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2701B" w14:textId="77777777" w:rsidR="00A77B3E" w:rsidRDefault="0052402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A2388B0" w14:textId="77777777" w:rsidR="00A77B3E" w:rsidRDefault="0052402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63016</w:t>
      </w:r>
    </w:p>
    <w:p w14:paraId="303F895A" w14:textId="77777777" w:rsidR="00A77B3E" w:rsidRDefault="0052402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0850B21" w14:textId="77777777" w:rsidR="00A77B3E" w:rsidRDefault="00A77B3E">
      <w:pPr>
        <w:spacing w:line="360" w:lineRule="auto"/>
        <w:jc w:val="both"/>
      </w:pPr>
    </w:p>
    <w:p w14:paraId="5B08A4C3" w14:textId="77777777" w:rsidR="00A77B3E" w:rsidRDefault="0052402A">
      <w:pPr>
        <w:spacing w:line="360" w:lineRule="auto"/>
        <w:jc w:val="both"/>
      </w:pPr>
      <w:r>
        <w:rPr>
          <w:rFonts w:ascii="Book Antiqua" w:eastAsia="Book Antiqua" w:hAnsi="Book Antiqua" w:cs="Book Antiqua"/>
          <w:b/>
          <w:i/>
          <w:color w:val="000000"/>
        </w:rPr>
        <w:t>Retrospective Cohort Study</w:t>
      </w:r>
    </w:p>
    <w:p w14:paraId="75A5BA62" w14:textId="77777777" w:rsidR="00A77B3E" w:rsidRDefault="0052402A">
      <w:pPr>
        <w:spacing w:line="360" w:lineRule="auto"/>
        <w:jc w:val="both"/>
      </w:pPr>
      <w:r>
        <w:rPr>
          <w:rFonts w:ascii="Book Antiqua" w:eastAsia="Book Antiqua" w:hAnsi="Book Antiqua" w:cs="Book Antiqua"/>
          <w:b/>
          <w:color w:val="000000"/>
        </w:rPr>
        <w:t>Factors influencing the failure of interferon-free therapy for chronic hepatitis C: Data from the Polish EpiTer-2 cohort study</w:t>
      </w:r>
    </w:p>
    <w:p w14:paraId="71EC30DE" w14:textId="77777777" w:rsidR="00A77B3E" w:rsidRDefault="00A77B3E">
      <w:pPr>
        <w:spacing w:line="360" w:lineRule="auto"/>
        <w:jc w:val="both"/>
      </w:pPr>
    </w:p>
    <w:p w14:paraId="0D1BAAD0" w14:textId="2FD095CD" w:rsidR="00A77B3E" w:rsidRDefault="0052402A">
      <w:pPr>
        <w:spacing w:line="360" w:lineRule="auto"/>
        <w:jc w:val="both"/>
      </w:pPr>
      <w:r>
        <w:rPr>
          <w:rFonts w:ascii="Book Antiqua" w:eastAsia="Book Antiqua" w:hAnsi="Book Antiqua" w:cs="Book Antiqua"/>
          <w:color w:val="000000"/>
        </w:rPr>
        <w:t>Janczewska E</w:t>
      </w:r>
      <w:r w:rsidR="00067AE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Failure of </w:t>
      </w:r>
      <w:r w:rsidR="003E5D5B">
        <w:rPr>
          <w:rFonts w:ascii="Book Antiqua" w:eastAsia="Book Antiqua" w:hAnsi="Book Antiqua" w:cs="Book Antiqua"/>
          <w:color w:val="000000"/>
        </w:rPr>
        <w:t>chronic hepatitis C treatment</w:t>
      </w:r>
    </w:p>
    <w:p w14:paraId="7974B245" w14:textId="77777777" w:rsidR="00A77B3E" w:rsidRDefault="00A77B3E">
      <w:pPr>
        <w:spacing w:line="360" w:lineRule="auto"/>
        <w:jc w:val="both"/>
      </w:pPr>
    </w:p>
    <w:p w14:paraId="0CE7F090" w14:textId="24A95D9C" w:rsidR="00A77B3E" w:rsidRDefault="0052402A">
      <w:pPr>
        <w:spacing w:line="360" w:lineRule="auto"/>
        <w:jc w:val="both"/>
      </w:pPr>
      <w:r>
        <w:rPr>
          <w:rFonts w:ascii="Book Antiqua" w:eastAsia="Book Antiqua" w:hAnsi="Book Antiqua" w:cs="Book Antiqua"/>
          <w:color w:val="000000"/>
        </w:rPr>
        <w:t>Ewa Janczewska, Mateusz Franciszek Kołek, Beata Lorenc, Jakub Klapaczyński, Magdalena Tudrujek-Zdunek, Marek Sitko, Włodzimierz Mazur, Dorota Zarębska-Michaluk, Iwona Buczyńska, Dorota Dybowska, Agnieszka Czauż-Andrzejuk, Hanna Berak, Rafał Krygier, Jerzy Jaroszewicz, Jolanta Citko, Anna Piekarska, Beata Dobracka, Łukasz Socha, Zbigniew Deroń, Łukasz Laurans, Jolanta Bia</w:t>
      </w:r>
      <w:r w:rsidR="008C308C">
        <w:rPr>
          <w:rFonts w:ascii="Book Antiqua" w:eastAsia="Book Antiqua" w:hAnsi="Book Antiqua" w:cs="Book Antiqua"/>
          <w:color w:val="000000"/>
        </w:rPr>
        <w:t>ł</w:t>
      </w:r>
      <w:r>
        <w:rPr>
          <w:rFonts w:ascii="Book Antiqua" w:eastAsia="Book Antiqua" w:hAnsi="Book Antiqua" w:cs="Book Antiqua"/>
          <w:color w:val="000000"/>
        </w:rPr>
        <w:t>kowska-Warzecha, Olga Tronina, Brygida Adamek, Krzysztof Tomasiewicz, Krzysztof Simon, Malgorzata Paw</w:t>
      </w:r>
      <w:r w:rsidRPr="0052402A">
        <w:rPr>
          <w:rFonts w:ascii="Book Antiqua" w:eastAsia="Book Antiqua" w:hAnsi="Book Antiqua" w:cs="Book Antiqua"/>
          <w:color w:val="000000"/>
        </w:rPr>
        <w:t>ł</w:t>
      </w:r>
      <w:r>
        <w:rPr>
          <w:rFonts w:ascii="Book Antiqua" w:eastAsia="Book Antiqua" w:hAnsi="Book Antiqua" w:cs="Book Antiqua"/>
          <w:color w:val="000000"/>
        </w:rPr>
        <w:t>owska, Waldemar Halota, Robert Flisiak</w:t>
      </w:r>
    </w:p>
    <w:p w14:paraId="39048294" w14:textId="77777777" w:rsidR="00A77B3E" w:rsidRDefault="00A77B3E">
      <w:pPr>
        <w:spacing w:line="360" w:lineRule="auto"/>
        <w:jc w:val="both"/>
      </w:pPr>
    </w:p>
    <w:p w14:paraId="7D123F6E" w14:textId="77777777" w:rsidR="00A77B3E" w:rsidRDefault="0052402A">
      <w:pPr>
        <w:spacing w:line="360" w:lineRule="auto"/>
        <w:jc w:val="both"/>
      </w:pPr>
      <w:r>
        <w:rPr>
          <w:rFonts w:ascii="Book Antiqua" w:eastAsia="Book Antiqua" w:hAnsi="Book Antiqua" w:cs="Book Antiqua"/>
          <w:b/>
          <w:bCs/>
          <w:color w:val="000000"/>
        </w:rPr>
        <w:t xml:space="preserve">Ewa Janczewska, Brygida Adamek, </w:t>
      </w:r>
      <w:r>
        <w:rPr>
          <w:rFonts w:ascii="Book Antiqua" w:eastAsia="Book Antiqua" w:hAnsi="Book Antiqua" w:cs="Book Antiqua"/>
          <w:color w:val="000000"/>
        </w:rPr>
        <w:t>Department of Basic Medical Sciences, The School of Health Sciences in Bytom, Medical University of Silesia, Bytom 41-902, Poland</w:t>
      </w:r>
    </w:p>
    <w:p w14:paraId="40184CBB" w14:textId="77777777" w:rsidR="00A77B3E" w:rsidRDefault="00A77B3E">
      <w:pPr>
        <w:spacing w:line="360" w:lineRule="auto"/>
        <w:jc w:val="both"/>
      </w:pPr>
    </w:p>
    <w:p w14:paraId="7F447FD1" w14:textId="77777777" w:rsidR="00A77B3E" w:rsidRDefault="0052402A">
      <w:pPr>
        <w:spacing w:line="360" w:lineRule="auto"/>
        <w:jc w:val="both"/>
      </w:pPr>
      <w:r>
        <w:rPr>
          <w:rFonts w:ascii="Book Antiqua" w:eastAsia="Book Antiqua" w:hAnsi="Book Antiqua" w:cs="Book Antiqua"/>
          <w:b/>
          <w:bCs/>
          <w:color w:val="000000"/>
        </w:rPr>
        <w:t xml:space="preserve">Mateusz Franciszek Kołek, </w:t>
      </w:r>
      <w:r>
        <w:rPr>
          <w:rFonts w:ascii="Book Antiqua" w:eastAsia="Book Antiqua" w:hAnsi="Book Antiqua" w:cs="Book Antiqua"/>
          <w:color w:val="000000"/>
        </w:rPr>
        <w:t>Department of Animal Physiology, Faculty of Biology, University of Warsaw, Warszawa 02-096, Poland</w:t>
      </w:r>
    </w:p>
    <w:p w14:paraId="01E8659F" w14:textId="77777777" w:rsidR="00A77B3E" w:rsidRDefault="00A77B3E">
      <w:pPr>
        <w:spacing w:line="360" w:lineRule="auto"/>
        <w:jc w:val="both"/>
      </w:pPr>
    </w:p>
    <w:p w14:paraId="4B8F3F6E" w14:textId="77777777" w:rsidR="00A77B3E" w:rsidRDefault="0052402A">
      <w:pPr>
        <w:spacing w:line="360" w:lineRule="auto"/>
        <w:jc w:val="both"/>
      </w:pPr>
      <w:r>
        <w:rPr>
          <w:rFonts w:ascii="Book Antiqua" w:eastAsia="Book Antiqua" w:hAnsi="Book Antiqua" w:cs="Book Antiqua"/>
          <w:b/>
          <w:bCs/>
          <w:color w:val="000000"/>
        </w:rPr>
        <w:t xml:space="preserve">Beata Lorenc, </w:t>
      </w:r>
      <w:r>
        <w:rPr>
          <w:rFonts w:ascii="Book Antiqua" w:eastAsia="Book Antiqua" w:hAnsi="Book Antiqua" w:cs="Book Antiqua"/>
          <w:color w:val="000000"/>
        </w:rPr>
        <w:t>Pomeranian Center of Infectious Diseases, Medical University Gdańsk, Gdańsk 80-214, Poland</w:t>
      </w:r>
    </w:p>
    <w:p w14:paraId="5181416B" w14:textId="77777777" w:rsidR="00A77B3E" w:rsidRDefault="00A77B3E">
      <w:pPr>
        <w:spacing w:line="360" w:lineRule="auto"/>
        <w:jc w:val="both"/>
      </w:pPr>
    </w:p>
    <w:p w14:paraId="66B78A46" w14:textId="77777777" w:rsidR="00A77B3E" w:rsidRDefault="0052402A">
      <w:pPr>
        <w:spacing w:line="360" w:lineRule="auto"/>
        <w:jc w:val="both"/>
      </w:pPr>
      <w:r>
        <w:rPr>
          <w:rFonts w:ascii="Book Antiqua" w:eastAsia="Book Antiqua" w:hAnsi="Book Antiqua" w:cs="Book Antiqua"/>
          <w:b/>
          <w:bCs/>
          <w:color w:val="000000"/>
        </w:rPr>
        <w:lastRenderedPageBreak/>
        <w:t xml:space="preserve">Jakub Klapaczyński, </w:t>
      </w:r>
      <w:r>
        <w:rPr>
          <w:rFonts w:ascii="Book Antiqua" w:eastAsia="Book Antiqua" w:hAnsi="Book Antiqua" w:cs="Book Antiqua"/>
          <w:color w:val="000000"/>
        </w:rPr>
        <w:t>Department of Internal Medicine and Hepatology, Central Clinical Hospital of the Ministry of Internal Affairs and Administration, Warszawa 02-507, Poland</w:t>
      </w:r>
    </w:p>
    <w:p w14:paraId="2A40888E" w14:textId="77777777" w:rsidR="00A77B3E" w:rsidRDefault="00A77B3E">
      <w:pPr>
        <w:spacing w:line="360" w:lineRule="auto"/>
        <w:jc w:val="both"/>
      </w:pPr>
    </w:p>
    <w:p w14:paraId="08C3835C" w14:textId="77777777" w:rsidR="00A77B3E" w:rsidRDefault="0052402A">
      <w:pPr>
        <w:spacing w:line="360" w:lineRule="auto"/>
        <w:jc w:val="both"/>
      </w:pPr>
      <w:r>
        <w:rPr>
          <w:rFonts w:ascii="Book Antiqua" w:eastAsia="Book Antiqua" w:hAnsi="Book Antiqua" w:cs="Book Antiqua"/>
          <w:b/>
          <w:bCs/>
          <w:color w:val="000000"/>
        </w:rPr>
        <w:t xml:space="preserve">Magdalena Tudrujek-Zdunek, Krzysztof Tomasiewicz, </w:t>
      </w:r>
      <w:r>
        <w:rPr>
          <w:rFonts w:ascii="Book Antiqua" w:eastAsia="Book Antiqua" w:hAnsi="Book Antiqua" w:cs="Book Antiqua"/>
          <w:color w:val="000000"/>
        </w:rPr>
        <w:t>Department of Infectious Diseases, Medical University of Lublin, Lublin 20-081, Poland</w:t>
      </w:r>
    </w:p>
    <w:p w14:paraId="4F9316BF" w14:textId="77777777" w:rsidR="00A77B3E" w:rsidRDefault="00A77B3E">
      <w:pPr>
        <w:spacing w:line="360" w:lineRule="auto"/>
        <w:jc w:val="both"/>
      </w:pPr>
    </w:p>
    <w:p w14:paraId="58DC6B50" w14:textId="77777777" w:rsidR="00A77B3E" w:rsidRDefault="0052402A">
      <w:pPr>
        <w:spacing w:line="360" w:lineRule="auto"/>
        <w:jc w:val="both"/>
      </w:pPr>
      <w:r>
        <w:rPr>
          <w:rFonts w:ascii="Book Antiqua" w:eastAsia="Book Antiqua" w:hAnsi="Book Antiqua" w:cs="Book Antiqua"/>
          <w:b/>
          <w:bCs/>
          <w:color w:val="000000"/>
        </w:rPr>
        <w:t xml:space="preserve">Marek Sitko, </w:t>
      </w:r>
      <w:r>
        <w:rPr>
          <w:rFonts w:ascii="Book Antiqua" w:eastAsia="Book Antiqua" w:hAnsi="Book Antiqua" w:cs="Book Antiqua"/>
          <w:color w:val="000000"/>
        </w:rPr>
        <w:t>Department of Infectious and Tropical Diseases, Jagiellonian University, Kraków 30-688, Poland</w:t>
      </w:r>
    </w:p>
    <w:p w14:paraId="1B0DB24F" w14:textId="77777777" w:rsidR="00A77B3E" w:rsidRDefault="00A77B3E">
      <w:pPr>
        <w:spacing w:line="360" w:lineRule="auto"/>
        <w:jc w:val="both"/>
      </w:pPr>
    </w:p>
    <w:p w14:paraId="777E36CB" w14:textId="77777777" w:rsidR="00A77B3E" w:rsidRDefault="0052402A">
      <w:pPr>
        <w:spacing w:line="360" w:lineRule="auto"/>
        <w:jc w:val="both"/>
      </w:pPr>
      <w:r>
        <w:rPr>
          <w:rFonts w:ascii="Book Antiqua" w:eastAsia="Book Antiqua" w:hAnsi="Book Antiqua" w:cs="Book Antiqua"/>
          <w:b/>
          <w:bCs/>
          <w:color w:val="000000"/>
        </w:rPr>
        <w:t xml:space="preserve">Włodzimierz Mazur, </w:t>
      </w:r>
      <w:r>
        <w:rPr>
          <w:rFonts w:ascii="Book Antiqua" w:eastAsia="Book Antiqua" w:hAnsi="Book Antiqua" w:cs="Book Antiqua"/>
          <w:color w:val="000000"/>
        </w:rPr>
        <w:t>Clinical Department of Infectious Diseases, Medical University of Silesia in Katowice, Chorzów 41-500, Poland</w:t>
      </w:r>
    </w:p>
    <w:p w14:paraId="40090F7E" w14:textId="77777777" w:rsidR="00A77B3E" w:rsidRDefault="00A77B3E">
      <w:pPr>
        <w:spacing w:line="360" w:lineRule="auto"/>
        <w:jc w:val="both"/>
      </w:pPr>
    </w:p>
    <w:p w14:paraId="36A43774" w14:textId="77777777" w:rsidR="00A77B3E" w:rsidRDefault="0052402A">
      <w:pPr>
        <w:spacing w:line="360" w:lineRule="auto"/>
        <w:jc w:val="both"/>
      </w:pPr>
      <w:r>
        <w:rPr>
          <w:rFonts w:ascii="Book Antiqua" w:eastAsia="Book Antiqua" w:hAnsi="Book Antiqua" w:cs="Book Antiqua"/>
          <w:b/>
          <w:bCs/>
          <w:color w:val="000000"/>
        </w:rPr>
        <w:t xml:space="preserve">Dorota Zarębska-Michaluk, </w:t>
      </w:r>
      <w:r>
        <w:rPr>
          <w:rFonts w:ascii="Book Antiqua" w:eastAsia="Book Antiqua" w:hAnsi="Book Antiqua" w:cs="Book Antiqua"/>
          <w:color w:val="000000"/>
        </w:rPr>
        <w:t>Department of Infectious Diseases, Jan Kochanowski University Kielce, Kielce 25-369, Poland</w:t>
      </w:r>
    </w:p>
    <w:p w14:paraId="54F03F72" w14:textId="77777777" w:rsidR="00A77B3E" w:rsidRDefault="00A77B3E">
      <w:pPr>
        <w:spacing w:line="360" w:lineRule="auto"/>
        <w:jc w:val="both"/>
      </w:pPr>
    </w:p>
    <w:p w14:paraId="1FBEDE3E" w14:textId="77777777" w:rsidR="00A77B3E" w:rsidRDefault="0052402A">
      <w:pPr>
        <w:spacing w:line="360" w:lineRule="auto"/>
        <w:jc w:val="both"/>
      </w:pPr>
      <w:r>
        <w:rPr>
          <w:rFonts w:ascii="Book Antiqua" w:eastAsia="Book Antiqua" w:hAnsi="Book Antiqua" w:cs="Book Antiqua"/>
          <w:b/>
          <w:bCs/>
          <w:color w:val="000000"/>
        </w:rPr>
        <w:t xml:space="preserve">Iwona Buczyńska, Krzysztof Simon, </w:t>
      </w:r>
      <w:r>
        <w:rPr>
          <w:rFonts w:ascii="Book Antiqua" w:eastAsia="Book Antiqua" w:hAnsi="Book Antiqua" w:cs="Book Antiqua"/>
          <w:color w:val="000000"/>
        </w:rPr>
        <w:t>Department of Infectious Diseases and Hepatology, Medical University Wrocław, Wrocław 51-149, Poland</w:t>
      </w:r>
    </w:p>
    <w:p w14:paraId="7860C497" w14:textId="77777777" w:rsidR="00A77B3E" w:rsidRDefault="00A77B3E">
      <w:pPr>
        <w:spacing w:line="360" w:lineRule="auto"/>
        <w:jc w:val="both"/>
      </w:pPr>
    </w:p>
    <w:p w14:paraId="3362CD6B" w14:textId="77777777" w:rsidR="00A77B3E" w:rsidRDefault="0052402A">
      <w:pPr>
        <w:spacing w:line="360" w:lineRule="auto"/>
        <w:jc w:val="both"/>
      </w:pPr>
      <w:r>
        <w:rPr>
          <w:rFonts w:ascii="Book Antiqua" w:eastAsia="Book Antiqua" w:hAnsi="Book Antiqua" w:cs="Book Antiqua"/>
          <w:b/>
          <w:bCs/>
          <w:color w:val="000000"/>
        </w:rPr>
        <w:t xml:space="preserve">Dorota Dybowska, </w:t>
      </w:r>
      <w:r>
        <w:rPr>
          <w:rFonts w:ascii="Book Antiqua" w:eastAsia="Book Antiqua" w:hAnsi="Book Antiqua" w:cs="Book Antiqua"/>
          <w:color w:val="000000"/>
        </w:rPr>
        <w:t>Department of Infectious Diseases and Hepatology, Ludwik Rydygier Collegium Medicum in Bydgoszcz Faculty of Medicine Nicolaus Copernicus University in Toruń, Bydgoszcz 85-030, Poland</w:t>
      </w:r>
    </w:p>
    <w:p w14:paraId="706F3F62" w14:textId="77777777" w:rsidR="00A77B3E" w:rsidRDefault="00A77B3E">
      <w:pPr>
        <w:spacing w:line="360" w:lineRule="auto"/>
        <w:jc w:val="both"/>
      </w:pPr>
    </w:p>
    <w:p w14:paraId="76DF97AC" w14:textId="77777777" w:rsidR="00A77B3E" w:rsidRDefault="0052402A">
      <w:pPr>
        <w:spacing w:line="360" w:lineRule="auto"/>
        <w:jc w:val="both"/>
      </w:pPr>
      <w:r>
        <w:rPr>
          <w:rFonts w:ascii="Book Antiqua" w:eastAsia="Book Antiqua" w:hAnsi="Book Antiqua" w:cs="Book Antiqua"/>
          <w:b/>
          <w:bCs/>
          <w:color w:val="000000"/>
        </w:rPr>
        <w:t xml:space="preserve">Agnieszka Czauż-Andrzejuk, Robert Flisiak, </w:t>
      </w:r>
      <w:r>
        <w:rPr>
          <w:rFonts w:ascii="Book Antiqua" w:eastAsia="Book Antiqua" w:hAnsi="Book Antiqua" w:cs="Book Antiqua"/>
          <w:color w:val="000000"/>
        </w:rPr>
        <w:t>Department of Infectious Diseases and Hepatology, Medical University of Białystok, Białystok 15-540, Poland</w:t>
      </w:r>
    </w:p>
    <w:p w14:paraId="7ACA9219" w14:textId="77777777" w:rsidR="00A77B3E" w:rsidRDefault="00A77B3E">
      <w:pPr>
        <w:spacing w:line="360" w:lineRule="auto"/>
        <w:jc w:val="both"/>
      </w:pPr>
    </w:p>
    <w:p w14:paraId="4853C995" w14:textId="77777777" w:rsidR="00A77B3E" w:rsidRDefault="0052402A">
      <w:pPr>
        <w:spacing w:line="360" w:lineRule="auto"/>
        <w:jc w:val="both"/>
      </w:pPr>
      <w:r>
        <w:rPr>
          <w:rFonts w:ascii="Book Antiqua" w:eastAsia="Book Antiqua" w:hAnsi="Book Antiqua" w:cs="Book Antiqua"/>
          <w:b/>
          <w:bCs/>
          <w:color w:val="000000"/>
        </w:rPr>
        <w:t xml:space="preserve">Hanna Berak, </w:t>
      </w:r>
      <w:r>
        <w:rPr>
          <w:rFonts w:ascii="Book Antiqua" w:eastAsia="Book Antiqua" w:hAnsi="Book Antiqua" w:cs="Book Antiqua"/>
          <w:color w:val="000000"/>
        </w:rPr>
        <w:t>One-Day Department, Hospital for Infectious Diseases in Warsaw, Warszawa 01-201, Poland</w:t>
      </w:r>
    </w:p>
    <w:p w14:paraId="516946C0" w14:textId="77777777" w:rsidR="00A77B3E" w:rsidRDefault="00A77B3E">
      <w:pPr>
        <w:spacing w:line="360" w:lineRule="auto"/>
        <w:jc w:val="both"/>
      </w:pPr>
    </w:p>
    <w:p w14:paraId="4ECC039F" w14:textId="77777777" w:rsidR="00A77B3E" w:rsidRDefault="0052402A">
      <w:pPr>
        <w:spacing w:line="360" w:lineRule="auto"/>
        <w:jc w:val="both"/>
      </w:pPr>
      <w:r>
        <w:rPr>
          <w:rFonts w:ascii="Book Antiqua" w:eastAsia="Book Antiqua" w:hAnsi="Book Antiqua" w:cs="Book Antiqua"/>
          <w:b/>
          <w:bCs/>
          <w:color w:val="000000"/>
        </w:rPr>
        <w:t xml:space="preserve">Rafał Krygier, </w:t>
      </w:r>
      <w:r>
        <w:rPr>
          <w:rFonts w:ascii="Book Antiqua" w:eastAsia="Book Antiqua" w:hAnsi="Book Antiqua" w:cs="Book Antiqua"/>
          <w:color w:val="000000"/>
        </w:rPr>
        <w:t>Outpatient Clinic, State University of Applied Sciences in Konin, Konin 62-510, Poland</w:t>
      </w:r>
    </w:p>
    <w:p w14:paraId="03B3DCBB" w14:textId="77777777" w:rsidR="00A77B3E" w:rsidRDefault="00A77B3E">
      <w:pPr>
        <w:spacing w:line="360" w:lineRule="auto"/>
        <w:jc w:val="both"/>
      </w:pPr>
    </w:p>
    <w:p w14:paraId="2627AFFA" w14:textId="77777777" w:rsidR="00A77B3E" w:rsidRDefault="0052402A">
      <w:pPr>
        <w:spacing w:line="360" w:lineRule="auto"/>
        <w:jc w:val="both"/>
      </w:pPr>
      <w:r>
        <w:rPr>
          <w:rFonts w:ascii="Book Antiqua" w:eastAsia="Book Antiqua" w:hAnsi="Book Antiqua" w:cs="Book Antiqua"/>
          <w:b/>
          <w:bCs/>
          <w:color w:val="000000"/>
        </w:rPr>
        <w:t xml:space="preserve">Jerzy Jaroszewicz, </w:t>
      </w:r>
      <w:r>
        <w:rPr>
          <w:rFonts w:ascii="Book Antiqua" w:eastAsia="Book Antiqua" w:hAnsi="Book Antiqua" w:cs="Book Antiqua"/>
          <w:color w:val="000000"/>
        </w:rPr>
        <w:t>Department of Infectious Diseases and Hepatology, Medical University of Silesia in Katowice, Bytom 41-902, Poland</w:t>
      </w:r>
    </w:p>
    <w:p w14:paraId="5B96CC94" w14:textId="77777777" w:rsidR="00A77B3E" w:rsidRDefault="00A77B3E">
      <w:pPr>
        <w:spacing w:line="360" w:lineRule="auto"/>
        <w:jc w:val="both"/>
      </w:pPr>
    </w:p>
    <w:p w14:paraId="433343E6" w14:textId="77777777" w:rsidR="00A77B3E" w:rsidRDefault="0052402A">
      <w:pPr>
        <w:spacing w:line="360" w:lineRule="auto"/>
        <w:jc w:val="both"/>
      </w:pPr>
      <w:r>
        <w:rPr>
          <w:rFonts w:ascii="Book Antiqua" w:eastAsia="Book Antiqua" w:hAnsi="Book Antiqua" w:cs="Book Antiqua"/>
          <w:b/>
          <w:bCs/>
          <w:color w:val="000000"/>
        </w:rPr>
        <w:t xml:space="preserve">Jolanta Citko, </w:t>
      </w:r>
      <w:r>
        <w:rPr>
          <w:rFonts w:ascii="Book Antiqua" w:eastAsia="Book Antiqua" w:hAnsi="Book Antiqua" w:cs="Book Antiqua"/>
          <w:color w:val="000000"/>
        </w:rPr>
        <w:t>Department of Medical Practice of Infections, Regional Hospital, Olsztyn 10-561, Poland</w:t>
      </w:r>
    </w:p>
    <w:p w14:paraId="20C0AB3E" w14:textId="77777777" w:rsidR="00A77B3E" w:rsidRDefault="00A77B3E">
      <w:pPr>
        <w:spacing w:line="360" w:lineRule="auto"/>
        <w:jc w:val="both"/>
      </w:pPr>
    </w:p>
    <w:p w14:paraId="1A763774" w14:textId="77777777" w:rsidR="00A77B3E" w:rsidRDefault="0052402A">
      <w:pPr>
        <w:spacing w:line="360" w:lineRule="auto"/>
        <w:jc w:val="both"/>
      </w:pPr>
      <w:r>
        <w:rPr>
          <w:rFonts w:ascii="Book Antiqua" w:eastAsia="Book Antiqua" w:hAnsi="Book Antiqua" w:cs="Book Antiqua"/>
          <w:b/>
          <w:bCs/>
          <w:color w:val="000000"/>
        </w:rPr>
        <w:t xml:space="preserve">Anna Piekarska, </w:t>
      </w:r>
      <w:r>
        <w:rPr>
          <w:rFonts w:ascii="Book Antiqua" w:eastAsia="Book Antiqua" w:hAnsi="Book Antiqua" w:cs="Book Antiqua"/>
          <w:color w:val="000000"/>
        </w:rPr>
        <w:t>Department of Infectious Diseases and Hepatology, Medical University of Łódź, Łódź 90-419, Poland</w:t>
      </w:r>
    </w:p>
    <w:p w14:paraId="443A0D05" w14:textId="77777777" w:rsidR="00A77B3E" w:rsidRDefault="00A77B3E">
      <w:pPr>
        <w:spacing w:line="360" w:lineRule="auto"/>
        <w:jc w:val="both"/>
      </w:pPr>
    </w:p>
    <w:p w14:paraId="02125548" w14:textId="19F0BB5C" w:rsidR="00A77B3E" w:rsidRPr="003E5D5B" w:rsidRDefault="0052402A">
      <w:pPr>
        <w:spacing w:line="360" w:lineRule="auto"/>
        <w:jc w:val="both"/>
        <w:rPr>
          <w:lang w:val="pl-PL"/>
        </w:rPr>
      </w:pPr>
      <w:r w:rsidRPr="003E5D5B">
        <w:rPr>
          <w:rFonts w:ascii="Book Antiqua" w:eastAsia="Book Antiqua" w:hAnsi="Book Antiqua" w:cs="Book Antiqua"/>
          <w:b/>
          <w:bCs/>
          <w:color w:val="000000"/>
          <w:lang w:val="pl-PL"/>
        </w:rPr>
        <w:t xml:space="preserve">Beata Dobracka, </w:t>
      </w:r>
      <w:r w:rsidRPr="003E5D5B">
        <w:rPr>
          <w:rFonts w:ascii="Book Antiqua" w:eastAsia="Book Antiqua" w:hAnsi="Book Antiqua" w:cs="Book Antiqua"/>
          <w:color w:val="000000"/>
          <w:lang w:val="pl-PL"/>
        </w:rPr>
        <w:t>MedicalSpec Center,</w:t>
      </w:r>
      <w:r w:rsidR="00012EEB" w:rsidRPr="003E5D5B">
        <w:rPr>
          <w:rFonts w:ascii="Book Antiqua" w:eastAsia="Book Antiqua" w:hAnsi="Book Antiqua" w:cs="Book Antiqua"/>
          <w:color w:val="000000"/>
          <w:lang w:val="pl-PL"/>
        </w:rPr>
        <w:t xml:space="preserve"> </w:t>
      </w:r>
      <w:r w:rsidRPr="003E5D5B">
        <w:rPr>
          <w:rFonts w:ascii="Book Antiqua" w:eastAsia="Book Antiqua" w:hAnsi="Book Antiqua" w:cs="Book Antiqua"/>
          <w:color w:val="000000"/>
          <w:lang w:val="pl-PL"/>
        </w:rPr>
        <w:t>Wrocław 53-428, Poland</w:t>
      </w:r>
    </w:p>
    <w:p w14:paraId="145E642E" w14:textId="77777777" w:rsidR="00A77B3E" w:rsidRPr="003E5D5B" w:rsidRDefault="00A77B3E">
      <w:pPr>
        <w:spacing w:line="360" w:lineRule="auto"/>
        <w:jc w:val="both"/>
        <w:rPr>
          <w:lang w:val="pl-PL"/>
        </w:rPr>
      </w:pPr>
    </w:p>
    <w:p w14:paraId="0435F4F6" w14:textId="77777777" w:rsidR="00A77B3E" w:rsidRDefault="0052402A">
      <w:pPr>
        <w:spacing w:line="360" w:lineRule="auto"/>
        <w:jc w:val="both"/>
      </w:pPr>
      <w:r>
        <w:rPr>
          <w:rFonts w:ascii="Book Antiqua" w:eastAsia="Book Antiqua" w:hAnsi="Book Antiqua" w:cs="Book Antiqua"/>
          <w:b/>
          <w:bCs/>
          <w:color w:val="000000"/>
        </w:rPr>
        <w:t xml:space="preserve">Łukasz Socha, Łukasz Laurans, </w:t>
      </w:r>
      <w:r>
        <w:rPr>
          <w:rFonts w:ascii="Book Antiqua" w:eastAsia="Book Antiqua" w:hAnsi="Book Antiqua" w:cs="Book Antiqua"/>
          <w:color w:val="000000"/>
        </w:rPr>
        <w:t>Department of Infectious Diseases, Hepatology and Liver Transplantation, Pomeranian Medical University, Szczecin 71-455, Poland</w:t>
      </w:r>
    </w:p>
    <w:p w14:paraId="250326FC" w14:textId="77777777" w:rsidR="00A77B3E" w:rsidRDefault="00A77B3E">
      <w:pPr>
        <w:spacing w:line="360" w:lineRule="auto"/>
        <w:jc w:val="both"/>
      </w:pPr>
    </w:p>
    <w:p w14:paraId="04FB4C12" w14:textId="77777777" w:rsidR="00A77B3E" w:rsidRDefault="0052402A">
      <w:pPr>
        <w:spacing w:line="360" w:lineRule="auto"/>
        <w:jc w:val="both"/>
      </w:pPr>
      <w:r>
        <w:rPr>
          <w:rFonts w:ascii="Book Antiqua" w:eastAsia="Book Antiqua" w:hAnsi="Book Antiqua" w:cs="Book Antiqua"/>
          <w:b/>
          <w:bCs/>
          <w:color w:val="000000"/>
        </w:rPr>
        <w:t xml:space="preserve">Zbigniew Deroń, </w:t>
      </w:r>
      <w:r>
        <w:rPr>
          <w:rFonts w:ascii="Book Antiqua" w:eastAsia="Book Antiqua" w:hAnsi="Book Antiqua" w:cs="Book Antiqua"/>
          <w:color w:val="000000"/>
        </w:rPr>
        <w:t>Ward of Infectious Diseases and Hepatology, Biegański Regional Specialist Hospital, Łódź 91-347, Poland</w:t>
      </w:r>
    </w:p>
    <w:p w14:paraId="37A1FCB2" w14:textId="77777777" w:rsidR="00A77B3E" w:rsidRDefault="00A77B3E">
      <w:pPr>
        <w:spacing w:line="360" w:lineRule="auto"/>
        <w:jc w:val="both"/>
      </w:pPr>
    </w:p>
    <w:p w14:paraId="5C680E4E" w14:textId="77777777" w:rsidR="00A77B3E" w:rsidRDefault="0052402A">
      <w:pPr>
        <w:spacing w:line="360" w:lineRule="auto"/>
        <w:jc w:val="both"/>
      </w:pPr>
      <w:r>
        <w:rPr>
          <w:rFonts w:ascii="Book Antiqua" w:eastAsia="Book Antiqua" w:hAnsi="Book Antiqua" w:cs="Book Antiqua"/>
          <w:b/>
          <w:bCs/>
          <w:color w:val="000000"/>
        </w:rPr>
        <w:t xml:space="preserve">Łukasz Laurans, </w:t>
      </w:r>
      <w:r>
        <w:rPr>
          <w:rFonts w:ascii="Book Antiqua" w:eastAsia="Book Antiqua" w:hAnsi="Book Antiqua" w:cs="Book Antiqua"/>
          <w:color w:val="000000"/>
        </w:rPr>
        <w:t>Infectious and Liver Diseases Clinic, Multidisciplinary Regional Hospital, Gorzów Wielkopolski 66-400, Poland</w:t>
      </w:r>
    </w:p>
    <w:p w14:paraId="1EF9B7C8" w14:textId="77777777" w:rsidR="00A77B3E" w:rsidRDefault="00A77B3E">
      <w:pPr>
        <w:spacing w:line="360" w:lineRule="auto"/>
        <w:jc w:val="both"/>
      </w:pPr>
    </w:p>
    <w:p w14:paraId="6D0C2748" w14:textId="5D2866BD" w:rsidR="00A77B3E" w:rsidRDefault="0052402A">
      <w:pPr>
        <w:spacing w:line="360" w:lineRule="auto"/>
        <w:jc w:val="both"/>
      </w:pPr>
      <w:r>
        <w:rPr>
          <w:rFonts w:ascii="Book Antiqua" w:eastAsia="Book Antiqua" w:hAnsi="Book Antiqua" w:cs="Book Antiqua"/>
          <w:b/>
          <w:bCs/>
          <w:color w:val="000000"/>
        </w:rPr>
        <w:t>Jolanta Bia</w:t>
      </w:r>
      <w:r w:rsidR="008C308C" w:rsidRPr="008C308C">
        <w:rPr>
          <w:rFonts w:ascii="Book Antiqua" w:eastAsia="Book Antiqua" w:hAnsi="Book Antiqua" w:cs="Book Antiqua"/>
          <w:b/>
          <w:bCs/>
          <w:color w:val="000000"/>
        </w:rPr>
        <w:t>ł</w:t>
      </w:r>
      <w:r>
        <w:rPr>
          <w:rFonts w:ascii="Book Antiqua" w:eastAsia="Book Antiqua" w:hAnsi="Book Antiqua" w:cs="Book Antiqua"/>
          <w:b/>
          <w:bCs/>
          <w:color w:val="000000"/>
        </w:rPr>
        <w:t xml:space="preserve">kowska-Warzecha, </w:t>
      </w:r>
      <w:r>
        <w:rPr>
          <w:rFonts w:ascii="Book Antiqua" w:eastAsia="Book Antiqua" w:hAnsi="Book Antiqua" w:cs="Book Antiqua"/>
          <w:color w:val="000000"/>
        </w:rPr>
        <w:t>Department of Infectious and Liver Diseases, Medical University of Łódź, Łódź 91-347, Poland</w:t>
      </w:r>
    </w:p>
    <w:p w14:paraId="064BD4C5" w14:textId="77777777" w:rsidR="00A77B3E" w:rsidRDefault="00A77B3E">
      <w:pPr>
        <w:spacing w:line="360" w:lineRule="auto"/>
        <w:jc w:val="both"/>
      </w:pPr>
    </w:p>
    <w:p w14:paraId="262E345A" w14:textId="77777777" w:rsidR="00A77B3E" w:rsidRDefault="0052402A">
      <w:pPr>
        <w:spacing w:line="360" w:lineRule="auto"/>
        <w:jc w:val="both"/>
      </w:pPr>
      <w:r>
        <w:rPr>
          <w:rFonts w:ascii="Book Antiqua" w:eastAsia="Book Antiqua" w:hAnsi="Book Antiqua" w:cs="Book Antiqua"/>
          <w:b/>
          <w:bCs/>
          <w:color w:val="000000"/>
        </w:rPr>
        <w:t xml:space="preserve">Olga Tronina, </w:t>
      </w:r>
      <w:r>
        <w:rPr>
          <w:rFonts w:ascii="Book Antiqua" w:eastAsia="Book Antiqua" w:hAnsi="Book Antiqua" w:cs="Book Antiqua"/>
          <w:color w:val="000000"/>
        </w:rPr>
        <w:t>Department of Transplantation Medicine, Nephrology, and Internal Diseases, Medical University of Warsaw, Warszawa 02-091, Poland</w:t>
      </w:r>
    </w:p>
    <w:p w14:paraId="559B2FAB" w14:textId="77777777" w:rsidR="00A77B3E" w:rsidRDefault="00A77B3E">
      <w:pPr>
        <w:spacing w:line="360" w:lineRule="auto"/>
        <w:jc w:val="both"/>
      </w:pPr>
    </w:p>
    <w:p w14:paraId="3D809E32" w14:textId="2EB5ED70" w:rsidR="00A77B3E" w:rsidRDefault="0052402A">
      <w:pPr>
        <w:spacing w:line="360" w:lineRule="auto"/>
        <w:jc w:val="both"/>
      </w:pPr>
      <w:r>
        <w:rPr>
          <w:rFonts w:ascii="Book Antiqua" w:eastAsia="Book Antiqua" w:hAnsi="Book Antiqua" w:cs="Book Antiqua"/>
          <w:b/>
          <w:bCs/>
          <w:color w:val="000000"/>
        </w:rPr>
        <w:t>Malgorzata Paw</w:t>
      </w:r>
      <w:r w:rsidRPr="0052402A">
        <w:rPr>
          <w:rFonts w:ascii="Book Antiqua" w:eastAsia="Book Antiqua" w:hAnsi="Book Antiqua" w:cs="Book Antiqua"/>
          <w:b/>
          <w:bCs/>
          <w:color w:val="000000"/>
        </w:rPr>
        <w:t>ł</w:t>
      </w:r>
      <w:r>
        <w:rPr>
          <w:rFonts w:ascii="Book Antiqua" w:eastAsia="Book Antiqua" w:hAnsi="Book Antiqua" w:cs="Book Antiqua"/>
          <w:b/>
          <w:bCs/>
          <w:color w:val="000000"/>
        </w:rPr>
        <w:t xml:space="preserve">owska, </w:t>
      </w:r>
      <w:r>
        <w:rPr>
          <w:rFonts w:ascii="Book Antiqua" w:eastAsia="Book Antiqua" w:hAnsi="Book Antiqua" w:cs="Book Antiqua"/>
          <w:color w:val="000000"/>
        </w:rPr>
        <w:t>Department of Paediatric Infectious Diseases and Hepatology, Faculty of Medicine, Collegium Medicum Bydgoszcz, Nicolaus Copernicus University Toruń, Bydgoszcz 85-030, Poland</w:t>
      </w:r>
    </w:p>
    <w:p w14:paraId="0A41AD4C" w14:textId="77777777" w:rsidR="00A77B3E" w:rsidRDefault="00A77B3E">
      <w:pPr>
        <w:spacing w:line="360" w:lineRule="auto"/>
        <w:jc w:val="both"/>
      </w:pPr>
    </w:p>
    <w:p w14:paraId="14A1FAE1" w14:textId="77777777" w:rsidR="00A77B3E" w:rsidRDefault="0052402A">
      <w:pPr>
        <w:spacing w:line="360" w:lineRule="auto"/>
        <w:jc w:val="both"/>
      </w:pPr>
      <w:r>
        <w:rPr>
          <w:rFonts w:ascii="Book Antiqua" w:eastAsia="Book Antiqua" w:hAnsi="Book Antiqua" w:cs="Book Antiqua"/>
          <w:b/>
          <w:bCs/>
          <w:color w:val="000000"/>
        </w:rPr>
        <w:t xml:space="preserve">Waldemar Halota, </w:t>
      </w:r>
      <w:r>
        <w:rPr>
          <w:rFonts w:ascii="Book Antiqua" w:eastAsia="Book Antiqua" w:hAnsi="Book Antiqua" w:cs="Book Antiqua"/>
          <w:color w:val="000000"/>
        </w:rPr>
        <w:t>Department of Infectious Diseases and Hepatology, Ludwik Rydygier Collegium Medicum in Bydgoszcz, Faculty of Medicine, Nicolaus Copernicus University in Toruń, Bydgoszcz 85-030, Poland</w:t>
      </w:r>
    </w:p>
    <w:p w14:paraId="25223B0B" w14:textId="77777777" w:rsidR="00A77B3E" w:rsidRDefault="00A77B3E">
      <w:pPr>
        <w:spacing w:line="360" w:lineRule="auto"/>
        <w:jc w:val="both"/>
      </w:pPr>
    </w:p>
    <w:p w14:paraId="2D3FDC67" w14:textId="56FB729F" w:rsidR="00A77B3E" w:rsidRDefault="0052402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Janczewska E and Flisiak R conceived the study design; Janczewska E, Lorenc B, Klapaczyński J, Tudrujek-Zdunek M, Sitko M, Mazur W, Zarębska-Michaluk D, Buczyńska</w:t>
      </w:r>
      <w:r w:rsidR="00012EEB">
        <w:rPr>
          <w:rFonts w:ascii="Book Antiqua" w:eastAsia="Book Antiqua" w:hAnsi="Book Antiqua" w:cs="Book Antiqua"/>
          <w:color w:val="000000"/>
        </w:rPr>
        <w:t xml:space="preserve"> I</w:t>
      </w:r>
      <w:r>
        <w:rPr>
          <w:rFonts w:ascii="Book Antiqua" w:eastAsia="Book Antiqua" w:hAnsi="Book Antiqua" w:cs="Book Antiqua"/>
          <w:color w:val="000000"/>
        </w:rPr>
        <w:t>, Dybowska D, Czauż-Andrzejuk A</w:t>
      </w:r>
      <w:r w:rsidR="00012EEB">
        <w:rPr>
          <w:rFonts w:ascii="Book Antiqua" w:eastAsia="Book Antiqua" w:hAnsi="Book Antiqua" w:cs="Book Antiqua"/>
          <w:color w:val="000000"/>
        </w:rPr>
        <w:t>,</w:t>
      </w:r>
      <w:r>
        <w:rPr>
          <w:rFonts w:ascii="Book Antiqua" w:eastAsia="Book Antiqua" w:hAnsi="Book Antiqua" w:cs="Book Antiqua"/>
          <w:color w:val="000000"/>
        </w:rPr>
        <w:t xml:space="preserve"> Berak H, Krygier R, Jaroszewicz J, Citko J, Piekarska A, Dobracka B, Socha Ł, Deroń Z, Laurans Ł, Bia</w:t>
      </w:r>
      <w:bookmarkStart w:id="0" w:name="_Hlk69407308"/>
      <w:r>
        <w:rPr>
          <w:rFonts w:ascii="Book Antiqua" w:eastAsia="Book Antiqua" w:hAnsi="Book Antiqua" w:cs="Book Antiqua"/>
          <w:color w:val="000000"/>
        </w:rPr>
        <w:t>ł</w:t>
      </w:r>
      <w:bookmarkEnd w:id="0"/>
      <w:r>
        <w:rPr>
          <w:rFonts w:ascii="Book Antiqua" w:eastAsia="Book Antiqua" w:hAnsi="Book Antiqua" w:cs="Book Antiqua"/>
          <w:color w:val="000000"/>
        </w:rPr>
        <w:t>kowska-Warzecha J, Tronina O, Adamek B, Tomasiewicz K, Simon K, Paw</w:t>
      </w:r>
      <w:bookmarkStart w:id="1" w:name="_Hlk69407025"/>
      <w:r>
        <w:rPr>
          <w:rFonts w:ascii="Book Antiqua" w:eastAsia="Book Antiqua" w:hAnsi="Book Antiqua" w:cs="Book Antiqua"/>
          <w:color w:val="000000"/>
        </w:rPr>
        <w:t>ł</w:t>
      </w:r>
      <w:bookmarkEnd w:id="1"/>
      <w:r>
        <w:rPr>
          <w:rFonts w:ascii="Book Antiqua" w:eastAsia="Book Antiqua" w:hAnsi="Book Antiqua" w:cs="Book Antiqua"/>
          <w:color w:val="000000"/>
        </w:rPr>
        <w:t>owska M, Halota W</w:t>
      </w:r>
      <w:r w:rsidR="00012EEB">
        <w:rPr>
          <w:rFonts w:ascii="Book Antiqua" w:eastAsia="Book Antiqua" w:hAnsi="Book Antiqua" w:cs="Book Antiqua"/>
          <w:color w:val="000000"/>
        </w:rPr>
        <w:t xml:space="preserve"> and</w:t>
      </w:r>
      <w:r>
        <w:rPr>
          <w:rFonts w:ascii="Book Antiqua" w:eastAsia="Book Antiqua" w:hAnsi="Book Antiqua" w:cs="Book Antiqua"/>
          <w:color w:val="000000"/>
        </w:rPr>
        <w:t xml:space="preserve"> Flisiak R acquired the data; Janczewska E</w:t>
      </w:r>
      <w:r w:rsidR="00012EEB">
        <w:rPr>
          <w:rFonts w:ascii="Book Antiqua" w:eastAsia="Book Antiqua" w:hAnsi="Book Antiqua" w:cs="Book Antiqua"/>
          <w:color w:val="000000"/>
        </w:rPr>
        <w:t xml:space="preserve"> and</w:t>
      </w:r>
      <w:r>
        <w:rPr>
          <w:rFonts w:ascii="Book Antiqua" w:eastAsia="Book Antiqua" w:hAnsi="Book Antiqua" w:cs="Book Antiqua"/>
          <w:color w:val="000000"/>
        </w:rPr>
        <w:t xml:space="preserve"> Kołek MF analyzed and interpreted the data; Kołek MF performed statistical analysis, Janczewska E drafted the manuscript; Janczewska E, Kołek MF, Lorenc B, Klapaczyński J, Tudrujek-Zdunek M, Sitko M, Mazur W, Zarębska-Michaluk D, Buczyńska I, Dybowska D, Czauż-Andrzejuk A</w:t>
      </w:r>
      <w:r w:rsidR="00012EEB">
        <w:rPr>
          <w:rFonts w:ascii="Book Antiqua" w:eastAsia="Book Antiqua" w:hAnsi="Book Antiqua" w:cs="Book Antiqua"/>
          <w:color w:val="000000"/>
        </w:rPr>
        <w:t>,</w:t>
      </w:r>
      <w:r>
        <w:rPr>
          <w:rFonts w:ascii="Book Antiqua" w:eastAsia="Book Antiqua" w:hAnsi="Book Antiqua" w:cs="Book Antiqua"/>
          <w:color w:val="000000"/>
        </w:rPr>
        <w:t xml:space="preserve"> Berak H, Krygier R, Jaroszewicz J, Citko J, Piekarska A, Dobracka B, Socha Ł, Deroń Z, Laurans Ł, Białkowska-Warzecha J, Tronina O, Adamek B, Tomasiewicz K, Simon K, Pawłowska M, Halota W</w:t>
      </w:r>
      <w:r w:rsidR="00012EEB">
        <w:rPr>
          <w:rFonts w:ascii="Book Antiqua" w:eastAsia="Book Antiqua" w:hAnsi="Book Antiqua" w:cs="Book Antiqua"/>
          <w:color w:val="000000"/>
        </w:rPr>
        <w:t xml:space="preserve"> and</w:t>
      </w:r>
      <w:r>
        <w:rPr>
          <w:rFonts w:ascii="Book Antiqua" w:eastAsia="Book Antiqua" w:hAnsi="Book Antiqua" w:cs="Book Antiqua"/>
          <w:color w:val="000000"/>
        </w:rPr>
        <w:t xml:space="preserve"> Flisiak R made critical revisions related to important intellectual content of the manuscript and approved the final version of the manuscript.</w:t>
      </w:r>
    </w:p>
    <w:p w14:paraId="05F7393B" w14:textId="77777777" w:rsidR="00A77B3E" w:rsidRDefault="00A77B3E">
      <w:pPr>
        <w:spacing w:line="360" w:lineRule="auto"/>
        <w:jc w:val="both"/>
      </w:pPr>
    </w:p>
    <w:p w14:paraId="41CF70C9" w14:textId="77777777" w:rsidR="00A77B3E" w:rsidRDefault="0052402A">
      <w:pPr>
        <w:spacing w:line="360" w:lineRule="auto"/>
        <w:jc w:val="both"/>
      </w:pPr>
      <w:r>
        <w:rPr>
          <w:rFonts w:ascii="Book Antiqua" w:eastAsia="Book Antiqua" w:hAnsi="Book Antiqua" w:cs="Book Antiqua"/>
          <w:b/>
          <w:bCs/>
          <w:color w:val="000000"/>
        </w:rPr>
        <w:t xml:space="preserve">Corresponding author: Ewa Janczewska, DSc, MD, PhD, Adjunct Professor, </w:t>
      </w:r>
      <w:r>
        <w:rPr>
          <w:rFonts w:ascii="Book Antiqua" w:eastAsia="Book Antiqua" w:hAnsi="Book Antiqua" w:cs="Book Antiqua"/>
          <w:color w:val="000000"/>
        </w:rPr>
        <w:t>Department of Basic Medical Sciences, The School of Health Sciences in Bytom, Medical University of Silesia, Piekarska 18, Bytom 41-902, Poland. ejanczewska@sum.edu.pl</w:t>
      </w:r>
    </w:p>
    <w:p w14:paraId="4E26ADE1" w14:textId="77777777" w:rsidR="00A77B3E" w:rsidRDefault="00A77B3E">
      <w:pPr>
        <w:spacing w:line="360" w:lineRule="auto"/>
        <w:jc w:val="both"/>
      </w:pPr>
    </w:p>
    <w:p w14:paraId="3CE968EE" w14:textId="77777777" w:rsidR="00A77B3E" w:rsidRDefault="0052402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616B4448" w14:textId="77777777" w:rsidR="00A77B3E" w:rsidRDefault="0052402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13, 2021</w:t>
      </w:r>
    </w:p>
    <w:p w14:paraId="6B27657B" w14:textId="3BFD4E18" w:rsidR="00A77B3E" w:rsidRDefault="0052402A">
      <w:pPr>
        <w:spacing w:line="360" w:lineRule="auto"/>
        <w:jc w:val="both"/>
      </w:pPr>
      <w:r>
        <w:rPr>
          <w:rFonts w:ascii="Book Antiqua" w:eastAsia="Book Antiqua" w:hAnsi="Book Antiqua" w:cs="Book Antiqua"/>
          <w:b/>
          <w:bCs/>
          <w:color w:val="000000"/>
        </w:rPr>
        <w:t xml:space="preserve">Accepted: </w:t>
      </w:r>
      <w:r w:rsidR="00D83F35" w:rsidRPr="00D83F35">
        <w:rPr>
          <w:rFonts w:ascii="Book Antiqua" w:eastAsia="Book Antiqua" w:hAnsi="Book Antiqua" w:cs="Book Antiqua"/>
          <w:color w:val="000000"/>
        </w:rPr>
        <w:t>April 20, 2021</w:t>
      </w:r>
    </w:p>
    <w:p w14:paraId="616D0C07" w14:textId="1B29E449" w:rsidR="00A77B3E" w:rsidRDefault="0052402A">
      <w:pPr>
        <w:spacing w:line="360" w:lineRule="auto"/>
        <w:jc w:val="both"/>
        <w:rPr>
          <w:lang w:eastAsia="zh-CN"/>
        </w:rPr>
      </w:pPr>
      <w:r>
        <w:rPr>
          <w:rFonts w:ascii="Book Antiqua" w:eastAsia="Book Antiqua" w:hAnsi="Book Antiqua" w:cs="Book Antiqua"/>
          <w:b/>
          <w:bCs/>
          <w:color w:val="000000"/>
        </w:rPr>
        <w:t xml:space="preserve">Published online: </w:t>
      </w:r>
      <w:r w:rsidR="009547AB">
        <w:rPr>
          <w:rFonts w:ascii="Book Antiqua" w:hAnsi="Book Antiqua"/>
          <w:color w:val="000000"/>
          <w:shd w:val="clear" w:color="auto" w:fill="FFFFFF"/>
        </w:rPr>
        <w:t>May 14</w:t>
      </w:r>
      <w:r w:rsidR="009547AB">
        <w:rPr>
          <w:rFonts w:ascii="Book Antiqua" w:hAnsi="Book Antiqua" w:hint="eastAsia"/>
          <w:color w:val="000000"/>
          <w:shd w:val="clear" w:color="auto" w:fill="FFFFFF"/>
          <w:lang w:eastAsia="zh-CN"/>
        </w:rPr>
        <w:t>, 2021</w:t>
      </w:r>
    </w:p>
    <w:p w14:paraId="2F735B8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78C4FD1" w14:textId="77777777" w:rsidR="00A77B3E" w:rsidRDefault="0052402A">
      <w:pPr>
        <w:spacing w:line="360" w:lineRule="auto"/>
        <w:jc w:val="both"/>
      </w:pPr>
      <w:r>
        <w:rPr>
          <w:rFonts w:ascii="Book Antiqua" w:eastAsia="Book Antiqua" w:hAnsi="Book Antiqua" w:cs="Book Antiqua"/>
          <w:b/>
          <w:color w:val="000000"/>
        </w:rPr>
        <w:t>Abstract</w:t>
      </w:r>
    </w:p>
    <w:p w14:paraId="5CDF0115" w14:textId="77777777" w:rsidR="00A77B3E" w:rsidRDefault="0052402A">
      <w:pPr>
        <w:spacing w:line="360" w:lineRule="auto"/>
        <w:jc w:val="both"/>
      </w:pPr>
      <w:r>
        <w:rPr>
          <w:rFonts w:ascii="Book Antiqua" w:eastAsia="Book Antiqua" w:hAnsi="Book Antiqua" w:cs="Book Antiqua"/>
          <w:color w:val="000000"/>
        </w:rPr>
        <w:t>BACKGROUND</w:t>
      </w:r>
    </w:p>
    <w:p w14:paraId="72395BB7" w14:textId="77777777" w:rsidR="00A77B3E" w:rsidRDefault="0052402A">
      <w:pPr>
        <w:spacing w:line="360" w:lineRule="auto"/>
        <w:jc w:val="both"/>
      </w:pPr>
      <w:r>
        <w:rPr>
          <w:rFonts w:ascii="Book Antiqua" w:eastAsia="Book Antiqua" w:hAnsi="Book Antiqua" w:cs="Book Antiqua"/>
          <w:color w:val="000000"/>
        </w:rPr>
        <w:t>The introduction of direct-acting antiviral drugs into clinical practice has revolutionized the treatment of chronic hepatitis C, making it highly effective and safe for patients. However, few researchers have analyzed the factors causing therapy failure in some patients.</w:t>
      </w:r>
    </w:p>
    <w:p w14:paraId="1D807A90" w14:textId="77777777" w:rsidR="00A77B3E" w:rsidRDefault="00A77B3E">
      <w:pPr>
        <w:spacing w:line="360" w:lineRule="auto"/>
        <w:jc w:val="both"/>
      </w:pPr>
    </w:p>
    <w:p w14:paraId="64EA9C2F" w14:textId="77777777" w:rsidR="00A77B3E" w:rsidRDefault="0052402A">
      <w:pPr>
        <w:spacing w:line="360" w:lineRule="auto"/>
        <w:jc w:val="both"/>
      </w:pPr>
      <w:r>
        <w:rPr>
          <w:rFonts w:ascii="Book Antiqua" w:eastAsia="Book Antiqua" w:hAnsi="Book Antiqua" w:cs="Book Antiqua"/>
          <w:color w:val="000000"/>
        </w:rPr>
        <w:t>AIM</w:t>
      </w:r>
    </w:p>
    <w:p w14:paraId="1776A7EB" w14:textId="719C8220" w:rsidR="00A77B3E" w:rsidRDefault="0052402A">
      <w:pPr>
        <w:spacing w:line="360" w:lineRule="auto"/>
        <w:jc w:val="both"/>
      </w:pPr>
      <w:r>
        <w:rPr>
          <w:rFonts w:ascii="Book Antiqua" w:eastAsia="Book Antiqua" w:hAnsi="Book Antiqua" w:cs="Book Antiqua"/>
          <w:color w:val="000000"/>
        </w:rPr>
        <w:t>To analyze factors influencing the failure of direct antiviral drugs in the large, multicenter EpiTer-2 cohort in a real-world</w:t>
      </w:r>
      <w:r w:rsidR="00012EEB">
        <w:rPr>
          <w:rFonts w:ascii="Book Antiqua" w:eastAsia="Book Antiqua" w:hAnsi="Book Antiqua" w:cs="Book Antiqua"/>
          <w:color w:val="000000"/>
        </w:rPr>
        <w:t xml:space="preserve"> </w:t>
      </w:r>
      <w:r>
        <w:rPr>
          <w:rFonts w:ascii="Book Antiqua" w:eastAsia="Book Antiqua" w:hAnsi="Book Antiqua" w:cs="Book Antiqua"/>
          <w:color w:val="000000"/>
        </w:rPr>
        <w:t>setting.</w:t>
      </w:r>
    </w:p>
    <w:p w14:paraId="3E14AAFA" w14:textId="77777777" w:rsidR="00A77B3E" w:rsidRDefault="00A77B3E">
      <w:pPr>
        <w:spacing w:line="360" w:lineRule="auto"/>
        <w:jc w:val="both"/>
      </w:pPr>
    </w:p>
    <w:p w14:paraId="39F01309" w14:textId="77777777" w:rsidR="00A77B3E" w:rsidRDefault="0052402A">
      <w:pPr>
        <w:spacing w:line="360" w:lineRule="auto"/>
        <w:jc w:val="both"/>
      </w:pPr>
      <w:r>
        <w:rPr>
          <w:rFonts w:ascii="Book Antiqua" w:eastAsia="Book Antiqua" w:hAnsi="Book Antiqua" w:cs="Book Antiqua"/>
          <w:color w:val="000000"/>
        </w:rPr>
        <w:t>METHODS</w:t>
      </w:r>
    </w:p>
    <w:p w14:paraId="4A170E6B" w14:textId="3F84EAF7" w:rsidR="00A77B3E" w:rsidRDefault="0052402A">
      <w:pPr>
        <w:spacing w:line="360" w:lineRule="auto"/>
        <w:jc w:val="both"/>
      </w:pPr>
      <w:r>
        <w:rPr>
          <w:rFonts w:ascii="Book Antiqua" w:eastAsia="Book Antiqua" w:hAnsi="Book Antiqua" w:cs="Book Antiqua"/>
          <w:color w:val="000000"/>
        </w:rPr>
        <w:t>The study cohort consisted of patients with chronic hepatitis C treated at 22 Polish centers from 2016</w:t>
      </w:r>
      <w:r w:rsidR="00012EEB">
        <w:rPr>
          <w:rFonts w:ascii="Book Antiqua" w:eastAsia="Book Antiqua" w:hAnsi="Book Antiqua" w:cs="Book Antiqua"/>
          <w:color w:val="000000"/>
        </w:rPr>
        <w:t>-</w:t>
      </w:r>
      <w:r>
        <w:rPr>
          <w:rFonts w:ascii="Book Antiqua" w:eastAsia="Book Antiqua" w:hAnsi="Book Antiqua" w:cs="Book Antiqua"/>
          <w:color w:val="000000"/>
        </w:rPr>
        <w:t>2020. Data collected from the online EpiTer-2 database included the following:</w:t>
      </w:r>
      <w:r w:rsidR="00012EEB">
        <w:rPr>
          <w:rFonts w:ascii="Book Antiqua" w:eastAsia="Book Antiqua" w:hAnsi="Book Antiqua" w:cs="Book Antiqua"/>
          <w:color w:val="000000"/>
        </w:rPr>
        <w:t xml:space="preserve"> </w:t>
      </w:r>
      <w:r>
        <w:rPr>
          <w:rFonts w:ascii="Book Antiqua" w:eastAsia="Book Antiqua" w:hAnsi="Book Antiqua" w:cs="Book Antiqua"/>
          <w:color w:val="000000"/>
        </w:rPr>
        <w:t>hepatitis C virus (HCV) genotype, stage of fibrosis, hematology and liver function parameters, Child-Turcotte-Pugh and Model for End-stage Liver Disease</w:t>
      </w:r>
      <w:r w:rsidR="00012EEB">
        <w:rPr>
          <w:rFonts w:ascii="Book Antiqua" w:eastAsia="Book Antiqua" w:hAnsi="Book Antiqua" w:cs="Book Antiqua"/>
          <w:color w:val="000000"/>
        </w:rPr>
        <w:t xml:space="preserve"> </w:t>
      </w:r>
      <w:r>
        <w:rPr>
          <w:rFonts w:ascii="Book Antiqua" w:eastAsia="Book Antiqua" w:hAnsi="Book Antiqua" w:cs="Book Antiqua"/>
          <w:color w:val="000000"/>
        </w:rPr>
        <w:t xml:space="preserve">scores, prior antiviral therapy, concomitant diseases, and drugs used in relation to </w:t>
      </w:r>
      <w:r w:rsidR="00012EEB">
        <w:rPr>
          <w:rFonts w:ascii="Book Antiqua" w:eastAsia="Book Antiqua" w:hAnsi="Book Antiqua" w:cs="Book Antiqua"/>
          <w:color w:val="000000"/>
        </w:rPr>
        <w:t>hepatitis B virus (</w:t>
      </w:r>
      <w:r>
        <w:rPr>
          <w:rFonts w:ascii="Book Antiqua" w:eastAsia="Book Antiqua" w:hAnsi="Book Antiqua" w:cs="Book Antiqua"/>
          <w:color w:val="000000"/>
        </w:rPr>
        <w:t>HBV</w:t>
      </w:r>
      <w:r w:rsidR="00012EEB">
        <w:rPr>
          <w:rFonts w:ascii="Book Antiqua" w:eastAsia="Book Antiqua" w:hAnsi="Book Antiqua" w:cs="Book Antiqua"/>
          <w:color w:val="000000"/>
        </w:rPr>
        <w:t>)</w:t>
      </w:r>
      <w:r>
        <w:rPr>
          <w:rFonts w:ascii="Book Antiqua" w:eastAsia="Book Antiqua" w:hAnsi="Book Antiqua" w:cs="Book Antiqua"/>
          <w:color w:val="000000"/>
        </w:rPr>
        <w:t xml:space="preserve"> and/or </w:t>
      </w:r>
      <w:r w:rsidR="00012EEB" w:rsidRPr="00012EEB">
        <w:rPr>
          <w:rFonts w:ascii="Book Antiqua" w:eastAsia="Book Antiqua" w:hAnsi="Book Antiqua" w:cs="Book Antiqua"/>
          <w:color w:val="000000"/>
        </w:rPr>
        <w:t>human immunodeficiency virus</w:t>
      </w:r>
      <w:r w:rsidR="00012EEB">
        <w:rPr>
          <w:rFonts w:ascii="Book Antiqua" w:eastAsia="Book Antiqua" w:hAnsi="Book Antiqua" w:cs="Book Antiqua"/>
          <w:color w:val="000000"/>
        </w:rPr>
        <w:t xml:space="preserve"> (</w:t>
      </w:r>
      <w:r>
        <w:rPr>
          <w:rFonts w:ascii="Book Antiqua" w:eastAsia="Book Antiqua" w:hAnsi="Book Antiqua" w:cs="Book Antiqua"/>
          <w:color w:val="000000"/>
        </w:rPr>
        <w:t>HIV</w:t>
      </w:r>
      <w:r w:rsidR="00012EEB">
        <w:rPr>
          <w:rFonts w:ascii="Book Antiqua" w:eastAsia="Book Antiqua" w:hAnsi="Book Antiqua" w:cs="Book Antiqua"/>
          <w:color w:val="000000"/>
        </w:rPr>
        <w:t>)</w:t>
      </w:r>
      <w:r>
        <w:rPr>
          <w:rFonts w:ascii="Book Antiqua" w:eastAsia="Book Antiqua" w:hAnsi="Book Antiqua" w:cs="Book Antiqua"/>
          <w:color w:val="000000"/>
        </w:rPr>
        <w:t xml:space="preserve"> coinfections.</w:t>
      </w:r>
      <w:r w:rsidR="00012EEB">
        <w:rPr>
          <w:rFonts w:ascii="Book Antiqua" w:eastAsia="Book Antiqua" w:hAnsi="Book Antiqua" w:cs="Book Antiqua"/>
          <w:color w:val="000000"/>
        </w:rPr>
        <w:t xml:space="preserve"> </w:t>
      </w:r>
      <w:r>
        <w:rPr>
          <w:rFonts w:ascii="Book Antiqua" w:eastAsia="Book Antiqua" w:hAnsi="Book Antiqua" w:cs="Book Antiqua"/>
          <w:color w:val="000000"/>
        </w:rPr>
        <w:t>Adverse events</w:t>
      </w:r>
      <w:r w:rsidR="00012EEB">
        <w:rPr>
          <w:rFonts w:ascii="Book Antiqua" w:eastAsia="Book Antiqua" w:hAnsi="Book Antiqua" w:cs="Book Antiqua"/>
          <w:color w:val="000000"/>
        </w:rPr>
        <w:t xml:space="preserve"> </w:t>
      </w:r>
      <w:r>
        <w:rPr>
          <w:rFonts w:ascii="Book Antiqua" w:eastAsia="Book Antiqua" w:hAnsi="Book Antiqua" w:cs="Book Antiqua"/>
          <w:color w:val="000000"/>
        </w:rPr>
        <w:t>observed during the treatment and follow-up period were reported. Both standard and machine learning methods were used for statistical analysis.</w:t>
      </w:r>
    </w:p>
    <w:p w14:paraId="71910A04" w14:textId="77777777" w:rsidR="00A77B3E" w:rsidRDefault="00A77B3E">
      <w:pPr>
        <w:spacing w:line="360" w:lineRule="auto"/>
        <w:jc w:val="both"/>
      </w:pPr>
    </w:p>
    <w:p w14:paraId="643A31EA" w14:textId="77777777" w:rsidR="00A77B3E" w:rsidRDefault="0052402A">
      <w:pPr>
        <w:spacing w:line="360" w:lineRule="auto"/>
        <w:jc w:val="both"/>
      </w:pPr>
      <w:r>
        <w:rPr>
          <w:rFonts w:ascii="Book Antiqua" w:eastAsia="Book Antiqua" w:hAnsi="Book Antiqua" w:cs="Book Antiqua"/>
          <w:color w:val="000000"/>
        </w:rPr>
        <w:t>RESULTS</w:t>
      </w:r>
    </w:p>
    <w:p w14:paraId="2799BE98" w14:textId="3A180C70" w:rsidR="00A77B3E" w:rsidRDefault="0052402A">
      <w:pPr>
        <w:spacing w:line="360" w:lineRule="auto"/>
        <w:jc w:val="both"/>
      </w:pPr>
      <w:r>
        <w:rPr>
          <w:rFonts w:ascii="Book Antiqua" w:eastAsia="Book Antiqua" w:hAnsi="Book Antiqua" w:cs="Book Antiqua"/>
          <w:color w:val="000000"/>
        </w:rPr>
        <w:t xml:space="preserve">During analysis, 12614 patients with chronic hepatitis C were registered, of which 11938 (mean age: 52 years) had available </w:t>
      </w:r>
      <w:bookmarkStart w:id="2" w:name="_Hlk69407940"/>
      <w:r>
        <w:rPr>
          <w:rFonts w:ascii="Book Antiqua" w:eastAsia="Book Antiqua" w:hAnsi="Book Antiqua" w:cs="Book Antiqua"/>
          <w:color w:val="000000"/>
        </w:rPr>
        <w:t>sustained virologic response</w:t>
      </w:r>
      <w:bookmarkEnd w:id="2"/>
      <w:r>
        <w:rPr>
          <w:rFonts w:ascii="Book Antiqua" w:eastAsia="Book Antiqua" w:hAnsi="Book Antiqua" w:cs="Book Antiqua"/>
          <w:color w:val="000000"/>
        </w:rPr>
        <w:t xml:space="preserve"> (SVR) data</w:t>
      </w:r>
      <w:r w:rsidR="00012EEB">
        <w:rPr>
          <w:rFonts w:ascii="Book Antiqua" w:eastAsia="Book Antiqua" w:hAnsi="Book Antiqua" w:cs="Book Antiqua"/>
          <w:color w:val="000000"/>
        </w:rPr>
        <w:t xml:space="preserve"> [</w:t>
      </w:r>
      <w:r>
        <w:rPr>
          <w:rFonts w:ascii="Book Antiqua" w:eastAsia="Book Antiqua" w:hAnsi="Book Antiqua" w:cs="Book Antiqua"/>
          <w:color w:val="000000"/>
        </w:rPr>
        <w:t xml:space="preserve">11629 </w:t>
      </w:r>
      <w:r w:rsidR="00012EEB">
        <w:rPr>
          <w:rFonts w:ascii="Book Antiqua" w:eastAsia="Book Antiqua" w:hAnsi="Book Antiqua" w:cs="Book Antiqua"/>
          <w:color w:val="000000"/>
        </w:rPr>
        <w:t>(</w:t>
      </w:r>
      <w:r>
        <w:rPr>
          <w:rFonts w:ascii="Book Antiqua" w:eastAsia="Book Antiqua" w:hAnsi="Book Antiqua" w:cs="Book Antiqua"/>
          <w:color w:val="000000"/>
        </w:rPr>
        <w:t>97%</w:t>
      </w:r>
      <w:r w:rsidR="00012EEB">
        <w:rPr>
          <w:rFonts w:ascii="Book Antiqua" w:eastAsia="Book Antiqua" w:hAnsi="Book Antiqua" w:cs="Book Antiqua"/>
          <w:color w:val="000000"/>
        </w:rPr>
        <w:t>)</w:t>
      </w:r>
      <w:r>
        <w:rPr>
          <w:rFonts w:ascii="Book Antiqua" w:eastAsia="Book Antiqua" w:hAnsi="Book Antiqua" w:cs="Book Antiqua"/>
          <w:color w:val="000000"/>
        </w:rPr>
        <w:t xml:space="preserve"> achieved SVR and 309 </w:t>
      </w:r>
      <w:r w:rsidR="00012EEB">
        <w:rPr>
          <w:rFonts w:ascii="Book Antiqua" w:eastAsia="Book Antiqua" w:hAnsi="Book Antiqua" w:cs="Book Antiqua"/>
          <w:color w:val="000000"/>
        </w:rPr>
        <w:t>(</w:t>
      </w:r>
      <w:r>
        <w:rPr>
          <w:rFonts w:ascii="Book Antiqua" w:eastAsia="Book Antiqua" w:hAnsi="Book Antiqua" w:cs="Book Antiqua"/>
          <w:color w:val="000000"/>
        </w:rPr>
        <w:t>3%</w:t>
      </w:r>
      <w:r w:rsidR="00012EEB">
        <w:rPr>
          <w:rFonts w:ascii="Book Antiqua" w:eastAsia="Book Antiqua" w:hAnsi="Book Antiqua" w:cs="Book Antiqua"/>
          <w:color w:val="000000"/>
        </w:rPr>
        <w:t>)</w:t>
      </w:r>
      <w:r>
        <w:rPr>
          <w:rFonts w:ascii="Book Antiqua" w:eastAsia="Book Antiqua" w:hAnsi="Book Antiqua" w:cs="Book Antiqua"/>
          <w:color w:val="000000"/>
        </w:rPr>
        <w:t xml:space="preserve"> did not</w:t>
      </w:r>
      <w:r w:rsidR="00012EEB">
        <w:rPr>
          <w:rFonts w:ascii="Book Antiqua" w:eastAsia="Book Antiqua" w:hAnsi="Book Antiqua" w:cs="Book Antiqua"/>
          <w:color w:val="000000"/>
        </w:rPr>
        <w:t>]</w:t>
      </w:r>
      <w:r>
        <w:rPr>
          <w:rFonts w:ascii="Book Antiqua" w:eastAsia="Book Antiqua" w:hAnsi="Book Antiqua" w:cs="Book Antiqua"/>
          <w:color w:val="000000"/>
        </w:rPr>
        <w:t>.</w:t>
      </w:r>
      <w:r w:rsidR="00012EEB">
        <w:rPr>
          <w:rFonts w:ascii="Book Antiqua" w:eastAsia="Book Antiqua" w:hAnsi="Book Antiqua" w:cs="Book Antiqua"/>
          <w:color w:val="000000"/>
        </w:rPr>
        <w:t xml:space="preserve"> </w:t>
      </w:r>
      <w:r>
        <w:rPr>
          <w:rFonts w:ascii="Book Antiqua" w:eastAsia="Book Antiqua" w:hAnsi="Book Antiqua" w:cs="Book Antiqua"/>
          <w:color w:val="000000"/>
        </w:rPr>
        <w:t xml:space="preserve">Most patients (78.1%) were infected with HCV genotype 1b. Liver cirrhosis was diagnosed in 2974 patients, while advanced fibrosis (F3) was diagnosed in 1717 patients. We included patients with features of hepatic failure at baseline </w:t>
      </w:r>
      <w:r w:rsidR="00012EEB">
        <w:rPr>
          <w:rFonts w:ascii="Book Antiqua" w:eastAsia="Book Antiqua" w:hAnsi="Book Antiqua" w:cs="Book Antiqua"/>
          <w:color w:val="000000"/>
        </w:rPr>
        <w:t>[</w:t>
      </w:r>
      <w:r>
        <w:rPr>
          <w:rFonts w:ascii="Book Antiqua" w:eastAsia="Book Antiqua" w:hAnsi="Book Antiqua" w:cs="Book Antiqua"/>
          <w:color w:val="000000"/>
        </w:rPr>
        <w:t xml:space="preserve">ascites in 142 </w:t>
      </w:r>
      <w:r w:rsidR="00012EEB">
        <w:rPr>
          <w:rFonts w:ascii="Book Antiqua" w:eastAsia="Book Antiqua" w:hAnsi="Book Antiqua" w:cs="Book Antiqua"/>
          <w:color w:val="000000"/>
        </w:rPr>
        <w:t>(</w:t>
      </w:r>
      <w:r>
        <w:rPr>
          <w:rFonts w:ascii="Book Antiqua" w:eastAsia="Book Antiqua" w:hAnsi="Book Antiqua" w:cs="Book Antiqua"/>
          <w:color w:val="000000"/>
        </w:rPr>
        <w:t>1.2%</w:t>
      </w:r>
      <w:r w:rsidR="00012EEB">
        <w:rPr>
          <w:rFonts w:ascii="Book Antiqua" w:eastAsia="Book Antiqua" w:hAnsi="Book Antiqua" w:cs="Book Antiqua"/>
          <w:color w:val="000000"/>
        </w:rPr>
        <w:t>)</w:t>
      </w:r>
      <w:r>
        <w:rPr>
          <w:rFonts w:ascii="Book Antiqua" w:eastAsia="Book Antiqua" w:hAnsi="Book Antiqua" w:cs="Book Antiqua"/>
          <w:color w:val="000000"/>
        </w:rPr>
        <w:t xml:space="preserve"> and encephalopathy in 68 </w:t>
      </w:r>
      <w:r w:rsidR="00012EEB">
        <w:rPr>
          <w:rFonts w:ascii="Book Antiqua" w:eastAsia="Book Antiqua" w:hAnsi="Book Antiqua" w:cs="Book Antiqua"/>
          <w:color w:val="000000"/>
        </w:rPr>
        <w:t>(</w:t>
      </w:r>
      <w:r>
        <w:rPr>
          <w:rFonts w:ascii="Book Antiqua" w:eastAsia="Book Antiqua" w:hAnsi="Book Antiqua" w:cs="Book Antiqua"/>
          <w:color w:val="000000"/>
        </w:rPr>
        <w:t>0.6%</w:t>
      </w:r>
      <w:r w:rsidR="00012EEB">
        <w:rPr>
          <w:rFonts w:ascii="Book Antiqua" w:eastAsia="Book Antiqua" w:hAnsi="Book Antiqua" w:cs="Book Antiqua"/>
          <w:color w:val="000000"/>
        </w:rPr>
        <w:t>)</w:t>
      </w:r>
      <w:r>
        <w:rPr>
          <w:rFonts w:ascii="Book Antiqua" w:eastAsia="Book Antiqua" w:hAnsi="Book Antiqua" w:cs="Book Antiqua"/>
          <w:color w:val="000000"/>
        </w:rPr>
        <w:t xml:space="preserve"> patients</w:t>
      </w:r>
      <w:r w:rsidR="00012EEB">
        <w:rPr>
          <w:rFonts w:ascii="Book Antiqua" w:eastAsia="Book Antiqua" w:hAnsi="Book Antiqua" w:cs="Book Antiqua"/>
          <w:color w:val="000000"/>
        </w:rPr>
        <w:t>]</w:t>
      </w:r>
      <w:r>
        <w:rPr>
          <w:rFonts w:ascii="Book Antiqua" w:eastAsia="Book Antiqua" w:hAnsi="Book Antiqua" w:cs="Book Antiqua"/>
          <w:color w:val="000000"/>
        </w:rPr>
        <w:t>. The most important host factors negatively influencing treatment efficacy were liver cirrhosis, clinical and laboratory features of liver failure, history of hepatocellular carcinoma,</w:t>
      </w:r>
      <w:r w:rsidR="00012EEB">
        <w:rPr>
          <w:rFonts w:ascii="Book Antiqua" w:eastAsia="Book Antiqua" w:hAnsi="Book Antiqua" w:cs="Book Antiqua"/>
          <w:color w:val="000000"/>
        </w:rPr>
        <w:t xml:space="preserve"> </w:t>
      </w:r>
      <w:r>
        <w:rPr>
          <w:rFonts w:ascii="Book Antiqua" w:eastAsia="Book Antiqua" w:hAnsi="Book Antiqua" w:cs="Book Antiqua"/>
          <w:color w:val="000000"/>
        </w:rPr>
        <w:t>and</w:t>
      </w:r>
      <w:r w:rsidR="00012EEB">
        <w:rPr>
          <w:rFonts w:ascii="Book Antiqua" w:eastAsia="Book Antiqua" w:hAnsi="Book Antiqua" w:cs="Book Antiqua"/>
          <w:color w:val="000000"/>
        </w:rPr>
        <w:t xml:space="preserve"> </w:t>
      </w:r>
      <w:r>
        <w:rPr>
          <w:rFonts w:ascii="Book Antiqua" w:eastAsia="Book Antiqua" w:hAnsi="Book Antiqua" w:cs="Book Antiqua"/>
          <w:color w:val="000000"/>
        </w:rPr>
        <w:t xml:space="preserve">higher </w:t>
      </w:r>
      <w:r w:rsidR="00012EEB">
        <w:rPr>
          <w:rFonts w:ascii="Book Antiqua" w:eastAsia="Book Antiqua" w:hAnsi="Book Antiqua" w:cs="Book Antiqua"/>
          <w:color w:val="000000"/>
        </w:rPr>
        <w:t>body mass index</w:t>
      </w:r>
      <w:r>
        <w:rPr>
          <w:rFonts w:ascii="Book Antiqua" w:eastAsia="Book Antiqua" w:hAnsi="Book Antiqua" w:cs="Book Antiqua"/>
          <w:color w:val="000000"/>
        </w:rPr>
        <w:t>. Among viral factors, genotype 3 and viral load also exerted an influence on treatment efficacy.</w:t>
      </w:r>
      <w:r w:rsidR="00012EEB">
        <w:rPr>
          <w:rFonts w:ascii="Book Antiqua" w:eastAsia="Book Antiqua" w:hAnsi="Book Antiqua" w:cs="Book Antiqua"/>
          <w:color w:val="000000"/>
        </w:rPr>
        <w:t xml:space="preserve"> </w:t>
      </w:r>
      <w:r>
        <w:rPr>
          <w:rFonts w:ascii="Book Antiqua" w:eastAsia="Book Antiqua" w:hAnsi="Book Antiqua" w:cs="Book Antiqua"/>
          <w:color w:val="000000"/>
        </w:rPr>
        <w:t>Classical statistical analysis revealed that treatment ineffectiveness seemed to be influenced by the male sex, which was not confirmed by the multivariate analysis using the machine learning algorithm (random forest). Coinfection with HBV (including patients with on-treatment reactivation of HBV infection) or HIV, extrahepatic manifestations, and renal failure did not significantly affect the treatment efficacy.</w:t>
      </w:r>
    </w:p>
    <w:p w14:paraId="503185DD" w14:textId="77777777" w:rsidR="00A77B3E" w:rsidRDefault="00A77B3E">
      <w:pPr>
        <w:spacing w:line="360" w:lineRule="auto"/>
        <w:jc w:val="both"/>
      </w:pPr>
    </w:p>
    <w:p w14:paraId="16E9556A" w14:textId="77777777" w:rsidR="00A77B3E" w:rsidRDefault="0052402A">
      <w:pPr>
        <w:spacing w:line="360" w:lineRule="auto"/>
        <w:jc w:val="both"/>
      </w:pPr>
      <w:r>
        <w:rPr>
          <w:rFonts w:ascii="Book Antiqua" w:eastAsia="Book Antiqua" w:hAnsi="Book Antiqua" w:cs="Book Antiqua"/>
          <w:color w:val="000000"/>
        </w:rPr>
        <w:t>CONCLUSION</w:t>
      </w:r>
    </w:p>
    <w:p w14:paraId="107E8D17" w14:textId="77777777" w:rsidR="00A77B3E" w:rsidRDefault="0052402A">
      <w:pPr>
        <w:spacing w:line="360" w:lineRule="auto"/>
        <w:jc w:val="both"/>
      </w:pPr>
      <w:r>
        <w:rPr>
          <w:rStyle w:val="jlqj4b"/>
          <w:rFonts w:ascii="Book Antiqua" w:eastAsia="Book Antiqua" w:hAnsi="Book Antiqua" w:cs="Book Antiqua"/>
          <w:color w:val="000000"/>
        </w:rPr>
        <w:t>In patients with advanced liver disease, individualized therapy (testing for resistance-associated variants and response-guided treatment) should be considered to maximize the chance of achieving SVR.</w:t>
      </w:r>
    </w:p>
    <w:p w14:paraId="61F76D11" w14:textId="77777777" w:rsidR="00A77B3E" w:rsidRDefault="00A77B3E">
      <w:pPr>
        <w:spacing w:line="360" w:lineRule="auto"/>
        <w:jc w:val="both"/>
      </w:pPr>
    </w:p>
    <w:p w14:paraId="6C200A7A" w14:textId="77777777" w:rsidR="00A77B3E" w:rsidRDefault="0052402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Advanced liver disease; Chronic hepatitis C; Direct-acting antiviral drugs; Sustained virologic response; Interferon-free therapy; Antiviral therapy</w:t>
      </w:r>
    </w:p>
    <w:p w14:paraId="28A86B93" w14:textId="77777777" w:rsidR="00D13A15" w:rsidRDefault="00D13A15" w:rsidP="00D13A15">
      <w:pPr>
        <w:spacing w:line="360" w:lineRule="auto"/>
        <w:jc w:val="both"/>
        <w:rPr>
          <w:lang w:eastAsia="zh-CN"/>
        </w:rPr>
      </w:pPr>
    </w:p>
    <w:p w14:paraId="6033B6E0" w14:textId="77777777" w:rsidR="00D13A15" w:rsidRPr="00026CB8" w:rsidRDefault="00D13A15" w:rsidP="00D13A1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43EDA57" w14:textId="77777777" w:rsidR="00A77B3E" w:rsidRDefault="00A77B3E">
      <w:pPr>
        <w:spacing w:line="360" w:lineRule="auto"/>
        <w:jc w:val="both"/>
      </w:pPr>
    </w:p>
    <w:p w14:paraId="6595453B" w14:textId="3340852B" w:rsidR="00211F7E" w:rsidRDefault="00211F7E">
      <w:pPr>
        <w:spacing w:line="360" w:lineRule="auto"/>
        <w:jc w:val="both"/>
        <w:rPr>
          <w:rFonts w:ascii="Book Antiqua" w:hAnsi="Book Antiqua" w:cs="Book Antiqua" w:hint="eastAsia"/>
          <w:color w:val="000000"/>
          <w:lang w:eastAsia="zh-CN"/>
        </w:rPr>
      </w:pPr>
      <w:r w:rsidRPr="00211F7E">
        <w:rPr>
          <w:rFonts w:ascii="Book Antiqua" w:hAnsi="Book Antiqua" w:cs="Book Antiqua" w:hint="eastAsia"/>
          <w:b/>
          <w:color w:val="000000"/>
          <w:lang w:eastAsia="zh-CN"/>
        </w:rPr>
        <w:t xml:space="preserve">Citation: </w:t>
      </w:r>
      <w:r w:rsidR="0052402A">
        <w:rPr>
          <w:rFonts w:ascii="Book Antiqua" w:eastAsia="Book Antiqua" w:hAnsi="Book Antiqua" w:cs="Book Antiqua"/>
          <w:color w:val="000000"/>
        </w:rPr>
        <w:t>Janczewska E, Kołek MF, Lorenc B, Klapaczyński J, Tudrujek-Zdunek M, Sitko M, Mazur W, Zarębska-Michaluk D, Buczyńska I, Dybowska D, Czauż-Andrzejuk A, Berak H, Krygier R, Jaroszewicz J, Citko J, Piekarska A, Dobracka B, Socha Ł, Deroń Z, Laurans Ł, Bia</w:t>
      </w:r>
      <w:r w:rsidR="008C308C">
        <w:rPr>
          <w:rFonts w:ascii="Book Antiqua" w:eastAsia="Book Antiqua" w:hAnsi="Book Antiqua" w:cs="Book Antiqua"/>
          <w:color w:val="000000"/>
        </w:rPr>
        <w:t>ł</w:t>
      </w:r>
      <w:r w:rsidR="0052402A">
        <w:rPr>
          <w:rFonts w:ascii="Book Antiqua" w:eastAsia="Book Antiqua" w:hAnsi="Book Antiqua" w:cs="Book Antiqua"/>
          <w:color w:val="000000"/>
        </w:rPr>
        <w:t xml:space="preserve">kowska-Warzecha J, Tronina O, Adamek B, Tomasiewicz K, Simon K, Pawlowska M, Halota W, Flisiak R. Factors influencing the failure of interferon-free therapy for chronic hepatitis C: Data from the Polish EpiTer-2 cohort study. </w:t>
      </w:r>
      <w:r w:rsidR="0052402A">
        <w:rPr>
          <w:rFonts w:ascii="Book Antiqua" w:eastAsia="Book Antiqua" w:hAnsi="Book Antiqua" w:cs="Book Antiqua"/>
          <w:i/>
          <w:iCs/>
          <w:color w:val="000000"/>
        </w:rPr>
        <w:t>World J Gastroenterol</w:t>
      </w:r>
      <w:r w:rsidR="0052402A">
        <w:rPr>
          <w:rFonts w:ascii="Book Antiqua" w:eastAsia="Book Antiqua" w:hAnsi="Book Antiqua" w:cs="Book Antiqua"/>
          <w:color w:val="000000"/>
        </w:rPr>
        <w:t xml:space="preserve"> 2021; </w:t>
      </w:r>
      <w:r w:rsidR="00CD1C2C" w:rsidRPr="00306166">
        <w:rPr>
          <w:rFonts w:ascii="Book Antiqua" w:eastAsia="Book Antiqua" w:hAnsi="Book Antiqua" w:cs="Book Antiqua"/>
          <w:color w:val="000000"/>
        </w:rPr>
        <w:t>2</w:t>
      </w:r>
      <w:r w:rsidR="00CD1C2C">
        <w:rPr>
          <w:rFonts w:ascii="Book Antiqua" w:hAnsi="Book Antiqua" w:cs="Book Antiqua" w:hint="eastAsia"/>
          <w:color w:val="000000"/>
          <w:lang w:eastAsia="zh-CN"/>
        </w:rPr>
        <w:t>7</w:t>
      </w:r>
      <w:r w:rsidR="00CD1C2C" w:rsidRPr="00306166">
        <w:rPr>
          <w:rFonts w:ascii="Book Antiqua" w:eastAsia="Book Antiqua" w:hAnsi="Book Antiqua" w:cs="Book Antiqua"/>
          <w:color w:val="000000"/>
        </w:rPr>
        <w:t>(</w:t>
      </w:r>
      <w:r w:rsidR="00CD1C2C">
        <w:rPr>
          <w:rFonts w:ascii="Book Antiqua" w:hAnsi="Book Antiqua" w:cs="Book Antiqua" w:hint="eastAsia"/>
          <w:color w:val="000000"/>
          <w:lang w:eastAsia="zh-CN"/>
        </w:rPr>
        <w:t>18</w:t>
      </w:r>
      <w:r w:rsidR="00CD1C2C" w:rsidRPr="00306166">
        <w:rPr>
          <w:rFonts w:ascii="Book Antiqua" w:eastAsia="Book Antiqua" w:hAnsi="Book Antiqua" w:cs="Book Antiqua"/>
          <w:color w:val="000000"/>
        </w:rPr>
        <w:t xml:space="preserve">): </w:t>
      </w:r>
      <w:r w:rsidRPr="00211F7E">
        <w:rPr>
          <w:rFonts w:ascii="Book Antiqua" w:eastAsia="Book Antiqua" w:hAnsi="Book Antiqua" w:cs="Book Antiqua"/>
          <w:color w:val="000000"/>
        </w:rPr>
        <w:t>2177-2192</w:t>
      </w:r>
      <w:r w:rsidR="00CD1C2C" w:rsidRPr="00306166">
        <w:rPr>
          <w:rFonts w:ascii="Book Antiqua" w:eastAsia="Book Antiqua" w:hAnsi="Book Antiqua" w:cs="Book Antiqua"/>
          <w:color w:val="000000"/>
        </w:rPr>
        <w:t xml:space="preserve"> </w:t>
      </w:r>
    </w:p>
    <w:p w14:paraId="1BE42349" w14:textId="77777777" w:rsidR="00211F7E" w:rsidRDefault="00CD1C2C">
      <w:pPr>
        <w:spacing w:line="360" w:lineRule="auto"/>
        <w:jc w:val="both"/>
        <w:rPr>
          <w:rFonts w:ascii="Book Antiqua" w:hAnsi="Book Antiqua" w:cs="Book Antiqua" w:hint="eastAsia"/>
          <w:color w:val="000000"/>
          <w:lang w:eastAsia="zh-CN"/>
        </w:rPr>
      </w:pPr>
      <w:r w:rsidRPr="00211F7E">
        <w:rPr>
          <w:rFonts w:ascii="Book Antiqua" w:eastAsia="Book Antiqua" w:hAnsi="Book Antiqua" w:cs="Book Antiqua"/>
          <w:b/>
          <w:color w:val="000000"/>
        </w:rPr>
        <w:t>URL:</w:t>
      </w:r>
      <w:r w:rsidRPr="00306166">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06166">
        <w:rPr>
          <w:rFonts w:ascii="Book Antiqua" w:eastAsia="Book Antiqua" w:hAnsi="Book Antiqua" w:cs="Book Antiqua"/>
          <w:color w:val="000000"/>
        </w:rPr>
        <w:t>/i</w:t>
      </w:r>
      <w:r>
        <w:rPr>
          <w:rFonts w:ascii="Book Antiqua" w:hAnsi="Book Antiqua" w:cs="Book Antiqua" w:hint="eastAsia"/>
          <w:color w:val="000000"/>
          <w:lang w:eastAsia="zh-CN"/>
        </w:rPr>
        <w:t>18</w:t>
      </w:r>
      <w:r w:rsidRPr="00306166">
        <w:rPr>
          <w:rFonts w:ascii="Book Antiqua" w:eastAsia="Book Antiqua" w:hAnsi="Book Antiqua" w:cs="Book Antiqua"/>
          <w:color w:val="000000"/>
        </w:rPr>
        <w:t>/</w:t>
      </w:r>
      <w:r w:rsidR="00211F7E" w:rsidRPr="00211F7E">
        <w:rPr>
          <w:rFonts w:ascii="Book Antiqua" w:eastAsia="Book Antiqua" w:hAnsi="Book Antiqua" w:cs="Book Antiqua"/>
          <w:color w:val="000000"/>
        </w:rPr>
        <w:t>2177</w:t>
      </w:r>
      <w:r w:rsidRPr="00306166">
        <w:rPr>
          <w:rFonts w:ascii="Book Antiqua" w:eastAsia="Book Antiqua" w:hAnsi="Book Antiqua" w:cs="Book Antiqua"/>
          <w:color w:val="000000"/>
        </w:rPr>
        <w:t xml:space="preserve">.htm </w:t>
      </w:r>
    </w:p>
    <w:p w14:paraId="1A4B045D" w14:textId="1A2A60EB" w:rsidR="00A77B3E" w:rsidRDefault="00CD1C2C">
      <w:pPr>
        <w:spacing w:line="360" w:lineRule="auto"/>
        <w:jc w:val="both"/>
      </w:pPr>
      <w:r w:rsidRPr="00211F7E">
        <w:rPr>
          <w:rFonts w:ascii="Book Antiqua" w:eastAsia="Book Antiqua" w:hAnsi="Book Antiqua" w:cs="Book Antiqua"/>
          <w:b/>
          <w:color w:val="000000"/>
        </w:rPr>
        <w:t xml:space="preserve">DOI: </w:t>
      </w:r>
      <w:r w:rsidRPr="00306166">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06166">
        <w:rPr>
          <w:rFonts w:ascii="Book Antiqua" w:eastAsia="Book Antiqua" w:hAnsi="Book Antiqua" w:cs="Book Antiqua"/>
          <w:color w:val="000000"/>
        </w:rPr>
        <w:t>.i</w:t>
      </w:r>
      <w:r>
        <w:rPr>
          <w:rFonts w:ascii="Book Antiqua" w:hAnsi="Book Antiqua" w:cs="Book Antiqua" w:hint="eastAsia"/>
          <w:color w:val="000000"/>
          <w:lang w:eastAsia="zh-CN"/>
        </w:rPr>
        <w:t>18</w:t>
      </w:r>
      <w:r w:rsidRPr="00306166">
        <w:rPr>
          <w:rFonts w:ascii="Book Antiqua" w:eastAsia="Book Antiqua" w:hAnsi="Book Antiqua" w:cs="Book Antiqua"/>
          <w:color w:val="000000"/>
        </w:rPr>
        <w:t>.</w:t>
      </w:r>
      <w:r w:rsidR="00211F7E" w:rsidRPr="00211F7E">
        <w:rPr>
          <w:rFonts w:ascii="Book Antiqua" w:eastAsia="Book Antiqua" w:hAnsi="Book Antiqua" w:cs="Book Antiqua"/>
          <w:color w:val="000000"/>
        </w:rPr>
        <w:t>2177</w:t>
      </w:r>
    </w:p>
    <w:p w14:paraId="4AF32592" w14:textId="77777777" w:rsidR="00A77B3E" w:rsidRDefault="00A77B3E">
      <w:pPr>
        <w:spacing w:line="360" w:lineRule="auto"/>
        <w:jc w:val="both"/>
      </w:pPr>
    </w:p>
    <w:p w14:paraId="6CF53E4F" w14:textId="77777777" w:rsidR="00A77B3E" w:rsidRDefault="0052402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analyzed factors influencing the failure of direct-acting antiviral drugs (DAAs) in a large, multicenter EpiTer-2 cohort of patients treated across 22 centers. Our findings demonstrate that failure of DAA treatment occurred mainly in patients with liver cirrhosis and deterioration of liver function. Our machine learning analysis further revealed that older age and creatinine and hemoglobin levels also influenced treatment failure, as did viral factors such as genotype 3 and viral load. Thus, in patients with advanced liver disease, individualized therapy (testing for resistance-associated variants, response-guided treatment) should be considered to maximize the chance of achieving a sustained virologic response.</w:t>
      </w:r>
    </w:p>
    <w:p w14:paraId="7D41DEA2" w14:textId="7959C4A0" w:rsidR="00A77B3E" w:rsidRDefault="00012EEB">
      <w:pPr>
        <w:spacing w:line="360" w:lineRule="auto"/>
        <w:jc w:val="both"/>
      </w:pPr>
      <w:r>
        <w:br w:type="page"/>
      </w:r>
      <w:r w:rsidR="0052402A">
        <w:rPr>
          <w:rFonts w:ascii="Book Antiqua" w:eastAsia="Book Antiqua" w:hAnsi="Book Antiqua" w:cs="Book Antiqua"/>
          <w:b/>
          <w:caps/>
          <w:color w:val="000000"/>
          <w:u w:val="single"/>
        </w:rPr>
        <w:t>INTRODUCTION</w:t>
      </w:r>
    </w:p>
    <w:p w14:paraId="6306F0E0" w14:textId="737C0E08" w:rsidR="00A77B3E" w:rsidRDefault="0052402A">
      <w:pPr>
        <w:spacing w:line="360" w:lineRule="auto"/>
        <w:jc w:val="both"/>
      </w:pPr>
      <w:r>
        <w:rPr>
          <w:rFonts w:ascii="Book Antiqua" w:eastAsia="Book Antiqua" w:hAnsi="Book Antiqua" w:cs="Book Antiqua"/>
          <w:color w:val="000000"/>
        </w:rPr>
        <w:t xml:space="preserve">The introduction of direct-acting antiviral drugs (DAAs) into clinical practice has revolutionized the treatment of chronic hepatitis C, making it highly effective and safe for patients. Interferon-free therapies with a short duration and the absence of significant adverse events </w:t>
      </w:r>
      <w:r w:rsidR="00012EEB">
        <w:rPr>
          <w:rFonts w:ascii="Book Antiqua" w:eastAsia="Book Antiqua" w:hAnsi="Book Antiqua" w:cs="Book Antiqua"/>
          <w:color w:val="000000"/>
        </w:rPr>
        <w:t xml:space="preserve">(AEs) </w:t>
      </w:r>
      <w:r>
        <w:rPr>
          <w:rFonts w:ascii="Book Antiqua" w:eastAsia="Book Antiqua" w:hAnsi="Book Antiqua" w:cs="Book Antiqua"/>
          <w:color w:val="000000"/>
        </w:rPr>
        <w:t>allow for a sustained virologic response (SVR) in over 90% of patients, both in randomized clinical trials</w:t>
      </w:r>
      <w:r>
        <w:rPr>
          <w:rFonts w:ascii="Book Antiqua" w:eastAsia="Book Antiqua" w:hAnsi="Book Antiqua" w:cs="Book Antiqua"/>
          <w:color w:val="000000"/>
          <w:szCs w:val="30"/>
          <w:vertAlign w:val="superscript"/>
        </w:rPr>
        <w:t>[1-3]</w:t>
      </w:r>
      <w:r w:rsidR="00012EEB">
        <w:rPr>
          <w:rFonts w:ascii="Book Antiqua" w:eastAsia="Book Antiqua" w:hAnsi="Book Antiqua" w:cs="Book Antiqua"/>
          <w:color w:val="000000"/>
        </w:rPr>
        <w:t xml:space="preserve"> </w:t>
      </w:r>
      <w:r>
        <w:rPr>
          <w:rFonts w:ascii="Book Antiqua" w:eastAsia="Book Antiqua" w:hAnsi="Book Antiqua" w:cs="Book Antiqua"/>
          <w:color w:val="000000"/>
        </w:rPr>
        <w:t>and in real-world settings</w:t>
      </w:r>
      <w:r>
        <w:rPr>
          <w:rFonts w:ascii="Book Antiqua" w:eastAsia="Book Antiqua" w:hAnsi="Book Antiqua" w:cs="Book Antiqua"/>
          <w:color w:val="000000"/>
          <w:szCs w:val="30"/>
          <w:vertAlign w:val="superscript"/>
        </w:rPr>
        <w:t>[4,5</w:t>
      </w:r>
      <w:r w:rsidR="00012EE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Previous research has demonstrated that pangenotypic therapies significantly increase the effectiveness of treatment in patients infected with </w:t>
      </w:r>
      <w:r w:rsidR="00012EEB">
        <w:rPr>
          <w:rFonts w:ascii="Book Antiqua" w:eastAsia="Book Antiqua" w:hAnsi="Book Antiqua" w:cs="Book Antiqua"/>
          <w:color w:val="000000"/>
        </w:rPr>
        <w:t>hepatitis C virus (HCV)</w:t>
      </w:r>
      <w:r>
        <w:rPr>
          <w:rFonts w:ascii="Book Antiqua" w:eastAsia="Book Antiqua" w:hAnsi="Book Antiqua" w:cs="Book Antiqua"/>
          <w:color w:val="000000"/>
        </w:rPr>
        <w:t xml:space="preserve"> genotype 3, which is considered more difficult to</w:t>
      </w:r>
      <w:r w:rsidR="00012EEB">
        <w:rPr>
          <w:rFonts w:ascii="Book Antiqua" w:eastAsia="Book Antiqua" w:hAnsi="Book Antiqua" w:cs="Book Antiqua"/>
          <w:color w:val="000000"/>
        </w:rPr>
        <w:t xml:space="preserve"> </w:t>
      </w:r>
      <w:r>
        <w:rPr>
          <w:rFonts w:ascii="Book Antiqua" w:eastAsia="Book Antiqua" w:hAnsi="Book Antiqua" w:cs="Book Antiqua"/>
          <w:color w:val="000000"/>
        </w:rPr>
        <w:t>treat</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1C539D51" w14:textId="498350B8" w:rsidR="00A77B3E" w:rsidRDefault="0052402A" w:rsidP="00012EEB">
      <w:pPr>
        <w:spacing w:line="360" w:lineRule="auto"/>
        <w:ind w:firstLineChars="100" w:firstLine="240"/>
        <w:jc w:val="both"/>
      </w:pPr>
      <w:r>
        <w:rPr>
          <w:rFonts w:ascii="Book Antiqua" w:eastAsia="Book Antiqua" w:hAnsi="Book Antiqua" w:cs="Book Antiqua"/>
          <w:color w:val="000000"/>
        </w:rPr>
        <w:t xml:space="preserve">Numerous studies have confirmed the high efficacy of treatment with DAAs in almost all groups of patients, including those with liver cirrhosis, renal failure, and organ transplants, regardless of age or concomitant diseases, including </w:t>
      </w:r>
      <w:r w:rsidR="00012EEB" w:rsidRPr="00012EEB">
        <w:rPr>
          <w:rFonts w:ascii="Book Antiqua" w:eastAsia="Book Antiqua" w:hAnsi="Book Antiqua" w:cs="Book Antiqua"/>
          <w:color w:val="000000"/>
        </w:rPr>
        <w:t>human immunodeficiency virus</w:t>
      </w:r>
      <w:r w:rsidR="00012EEB">
        <w:rPr>
          <w:rFonts w:ascii="Book Antiqua" w:eastAsia="Book Antiqua" w:hAnsi="Book Antiqua" w:cs="Book Antiqua"/>
          <w:color w:val="000000"/>
        </w:rPr>
        <w:t xml:space="preserve"> (HIV)</w:t>
      </w:r>
      <w:r>
        <w:rPr>
          <w:rFonts w:ascii="Book Antiqua" w:eastAsia="Book Antiqua" w:hAnsi="Book Antiqua" w:cs="Book Antiqua"/>
          <w:color w:val="000000"/>
        </w:rPr>
        <w:t xml:space="preserve"> or </w:t>
      </w:r>
      <w:r w:rsidR="00012EEB">
        <w:rPr>
          <w:rFonts w:ascii="Book Antiqua" w:eastAsia="Book Antiqua" w:hAnsi="Book Antiqua" w:cs="Book Antiqua"/>
          <w:color w:val="000000"/>
        </w:rPr>
        <w:t>hepatitis B virus (HBV)</w:t>
      </w:r>
      <w:r>
        <w:rPr>
          <w:rFonts w:ascii="Book Antiqua" w:eastAsia="Book Antiqua" w:hAnsi="Book Antiqua" w:cs="Book Antiqua"/>
          <w:color w:val="000000"/>
        </w:rPr>
        <w:t xml:space="preserve"> coinfections</w:t>
      </w:r>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w:t>
      </w:r>
    </w:p>
    <w:p w14:paraId="4EC6DB08" w14:textId="064EA774" w:rsidR="00A77B3E" w:rsidRDefault="0052402A" w:rsidP="00012EEB">
      <w:pPr>
        <w:spacing w:line="360" w:lineRule="auto"/>
        <w:ind w:firstLineChars="100" w:firstLine="240"/>
        <w:jc w:val="both"/>
      </w:pPr>
      <w:r>
        <w:rPr>
          <w:rFonts w:ascii="Book Antiqua" w:eastAsia="Book Antiqua" w:hAnsi="Book Antiqua" w:cs="Book Antiqua"/>
          <w:color w:val="000000"/>
        </w:rPr>
        <w:t>Most of the publications evaluating interferon-free therapies are devoted to assessing their efficacy and safety. Few researchers, however, have analyzed the factors that cause the therapy to fail in some patients. Therefore, we aimed to analyze this issue in the large, multicenter EpiTer-2 cohort and to present the characteristics of patients in whom DAA treatment has failed in a real-world setting. Knowledge of these factors may aid in determining the qualifying criteria for antiviral therapy and the way it is conducted, which would further minimize the failure rate.</w:t>
      </w:r>
    </w:p>
    <w:p w14:paraId="3DCD9AFF" w14:textId="3D4E2602" w:rsidR="00A77B3E" w:rsidRDefault="0052402A" w:rsidP="00012EEB">
      <w:pPr>
        <w:spacing w:line="360" w:lineRule="auto"/>
        <w:ind w:firstLineChars="100" w:firstLine="240"/>
        <w:jc w:val="both"/>
      </w:pPr>
      <w:r>
        <w:rPr>
          <w:rFonts w:ascii="Book Antiqua" w:eastAsia="Book Antiqua" w:hAnsi="Book Antiqua" w:cs="Book Antiqua"/>
          <w:color w:val="000000"/>
        </w:rPr>
        <w:t xml:space="preserve">Achieving SVR does not completely exclude the development adverse consequences of chronic hepatitis C, but there are no better methods to prevent the progression of liver fibrosis, development of cirrhosis, liver failure, and hepatocellular carcinoma </w:t>
      </w:r>
      <w:r w:rsidR="007C69C8">
        <w:rPr>
          <w:rFonts w:ascii="Book Antiqua" w:eastAsia="Book Antiqua" w:hAnsi="Book Antiqua" w:cs="Book Antiqua"/>
          <w:color w:val="000000"/>
        </w:rPr>
        <w:t xml:space="preserve">(HCC) </w:t>
      </w:r>
      <w:r>
        <w:rPr>
          <w:rFonts w:ascii="Book Antiqua" w:eastAsia="Book Antiqua" w:hAnsi="Book Antiqua" w:cs="Book Antiqua"/>
          <w:color w:val="000000"/>
        </w:rPr>
        <w:t>than to eliminate the infection.</w:t>
      </w:r>
      <w:r w:rsidR="00012EEB">
        <w:rPr>
          <w:rFonts w:ascii="Book Antiqua" w:eastAsia="Book Antiqua" w:hAnsi="Book Antiqua" w:cs="Book Antiqua"/>
          <w:color w:val="000000"/>
        </w:rPr>
        <w:t xml:space="preserve"> </w:t>
      </w:r>
      <w:r>
        <w:rPr>
          <w:rFonts w:ascii="Book Antiqua" w:eastAsia="Book Antiqua" w:hAnsi="Book Antiqua" w:cs="Book Antiqua"/>
          <w:color w:val="000000"/>
        </w:rPr>
        <w:t>Thus, all measures should be taken to maximize treatment efficacy.</w:t>
      </w:r>
    </w:p>
    <w:p w14:paraId="13C0015B" w14:textId="77777777" w:rsidR="00A77B3E" w:rsidRDefault="00A77B3E" w:rsidP="00012EEB">
      <w:pPr>
        <w:spacing w:line="360" w:lineRule="auto"/>
        <w:jc w:val="both"/>
      </w:pPr>
    </w:p>
    <w:p w14:paraId="4800B5EF" w14:textId="77777777" w:rsidR="00A77B3E" w:rsidRDefault="0052402A">
      <w:pPr>
        <w:spacing w:line="360" w:lineRule="auto"/>
        <w:jc w:val="both"/>
      </w:pPr>
      <w:r>
        <w:rPr>
          <w:rFonts w:ascii="Book Antiqua" w:eastAsia="Book Antiqua" w:hAnsi="Book Antiqua" w:cs="Book Antiqua"/>
          <w:b/>
          <w:caps/>
          <w:color w:val="000000"/>
          <w:u w:val="single"/>
        </w:rPr>
        <w:t>MATERIALS AND METHODS</w:t>
      </w:r>
    </w:p>
    <w:p w14:paraId="5E505C4D" w14:textId="77777777" w:rsidR="00A77B3E" w:rsidRDefault="0052402A">
      <w:pPr>
        <w:spacing w:line="360" w:lineRule="auto"/>
        <w:jc w:val="both"/>
      </w:pPr>
      <w:r>
        <w:rPr>
          <w:rFonts w:ascii="Book Antiqua" w:eastAsia="Book Antiqua" w:hAnsi="Book Antiqua" w:cs="Book Antiqua"/>
          <w:b/>
          <w:bCs/>
          <w:i/>
          <w:iCs/>
          <w:color w:val="000000"/>
        </w:rPr>
        <w:t>Study population</w:t>
      </w:r>
    </w:p>
    <w:p w14:paraId="4BF1E4F1" w14:textId="7CEE497D" w:rsidR="00A77B3E" w:rsidRDefault="0052402A" w:rsidP="00012EEB">
      <w:pPr>
        <w:spacing w:line="360" w:lineRule="auto"/>
        <w:jc w:val="both"/>
      </w:pPr>
      <w:r>
        <w:rPr>
          <w:rFonts w:ascii="Book Antiqua" w:eastAsia="Book Antiqua" w:hAnsi="Book Antiqua" w:cs="Book Antiqua"/>
          <w:color w:val="000000"/>
        </w:rPr>
        <w:t>In 2016, on the initiative of</w:t>
      </w:r>
      <w:r w:rsidR="00012EEB">
        <w:rPr>
          <w:rFonts w:ascii="Book Antiqua" w:eastAsia="Book Antiqua" w:hAnsi="Book Antiqua" w:cs="Book Antiqua"/>
          <w:color w:val="000000"/>
        </w:rPr>
        <w:t xml:space="preserve"> </w:t>
      </w:r>
      <w:r>
        <w:rPr>
          <w:rFonts w:ascii="Book Antiqua" w:eastAsia="Book Antiqua" w:hAnsi="Book Antiqua" w:cs="Book Antiqua"/>
          <w:color w:val="000000"/>
        </w:rPr>
        <w:t>investigators, a group of 22 Polish centers began collecting data on the efficacy</w:t>
      </w:r>
      <w:r w:rsidR="00012EEB">
        <w:rPr>
          <w:rFonts w:ascii="Book Antiqua" w:eastAsia="Book Antiqua" w:hAnsi="Book Antiqua" w:cs="Book Antiqua"/>
          <w:color w:val="000000"/>
        </w:rPr>
        <w:t xml:space="preserve"> </w:t>
      </w:r>
      <w:r>
        <w:rPr>
          <w:rFonts w:ascii="Book Antiqua" w:eastAsia="Book Antiqua" w:hAnsi="Book Antiqua" w:cs="Book Antiqua"/>
          <w:color w:val="000000"/>
        </w:rPr>
        <w:t>and safety of drugs used in the treatment of patients with chronic hepatitis C. This study, called EpiTer-2, was supported by the Polish Association of Epidemiologists and Infectologists. The data were</w:t>
      </w:r>
      <w:r w:rsidR="00012EEB">
        <w:rPr>
          <w:rFonts w:ascii="Book Antiqua" w:eastAsia="Book Antiqua" w:hAnsi="Book Antiqua" w:cs="Book Antiqua"/>
          <w:color w:val="000000"/>
        </w:rPr>
        <w:t xml:space="preserve"> </w:t>
      </w:r>
      <w:r>
        <w:rPr>
          <w:rFonts w:ascii="Book Antiqua" w:eastAsia="Book Antiqua" w:hAnsi="Book Antiqua" w:cs="Book Antiqua"/>
          <w:color w:val="000000"/>
        </w:rPr>
        <w:t>collected using a web-based questionnaire, in accordance with the National General Data Protection Regulation.</w:t>
      </w:r>
    </w:p>
    <w:p w14:paraId="12DDEC5B" w14:textId="3BA3E4CC" w:rsidR="00A77B3E" w:rsidRDefault="0052402A" w:rsidP="00012EEB">
      <w:pPr>
        <w:spacing w:line="360" w:lineRule="auto"/>
        <w:ind w:firstLineChars="100" w:firstLine="240"/>
        <w:jc w:val="both"/>
      </w:pPr>
      <w:r>
        <w:rPr>
          <w:rFonts w:ascii="Book Antiqua" w:eastAsia="Book Antiqua" w:hAnsi="Book Antiqua" w:cs="Book Antiqua"/>
          <w:color w:val="000000"/>
        </w:rPr>
        <w:t>The therapies were financed by the National Health Fund under general health insurance. The parameters collected in the database were as follows: HCV genotype, stage of fibrosis, hematology and liver function parameters, Child-Turcotte-Pugh and Model for End-stage Liver Disease (MELD) scores, prior antiviral therapy, concomitant diseases and drugs used in relation to them, HBV and/or HIV coinfections.</w:t>
      </w:r>
    </w:p>
    <w:p w14:paraId="66C123D7" w14:textId="2D12EE31" w:rsidR="00A77B3E" w:rsidRDefault="0052402A" w:rsidP="00012EEB">
      <w:pPr>
        <w:spacing w:line="360" w:lineRule="auto"/>
        <w:ind w:firstLineChars="100" w:firstLine="240"/>
        <w:jc w:val="both"/>
      </w:pPr>
      <w:r>
        <w:rPr>
          <w:rFonts w:ascii="Book Antiqua" w:eastAsia="Book Antiqua" w:hAnsi="Book Antiqua" w:cs="Book Antiqua"/>
          <w:color w:val="000000"/>
        </w:rPr>
        <w:t xml:space="preserve">Hepatic fibrosis was evaluated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liver biopsy based on the METAVIR or Scheuer scoring system, transient elastography using the FibroScan (Echosens, Paris) device, or real-time shear wave elastography) using the Aixplorer (Supersonic, Aix-en-Provence) device.</w:t>
      </w:r>
    </w:p>
    <w:p w14:paraId="1A88E592" w14:textId="4A488A0B" w:rsidR="00A77B3E" w:rsidRDefault="0052402A" w:rsidP="00012EEB">
      <w:pPr>
        <w:spacing w:line="360" w:lineRule="auto"/>
        <w:ind w:firstLineChars="100" w:firstLine="240"/>
        <w:jc w:val="both"/>
      </w:pPr>
      <w:r>
        <w:rPr>
          <w:rFonts w:ascii="Book Antiqua" w:eastAsia="Book Antiqua" w:hAnsi="Book Antiqua" w:cs="Book Antiqua"/>
          <w:color w:val="000000"/>
        </w:rPr>
        <w:t>HCV RNA was monitored prior to and after the treatment (end of treatment virologic response), and then after at least</w:t>
      </w:r>
      <w:r w:rsidR="00012EEB">
        <w:rPr>
          <w:rFonts w:ascii="Book Antiqua" w:eastAsia="Book Antiqua" w:hAnsi="Book Antiqua" w:cs="Book Antiqua"/>
          <w:color w:val="000000"/>
        </w:rPr>
        <w:t xml:space="preserve"> </w:t>
      </w:r>
      <w:r>
        <w:rPr>
          <w:rFonts w:ascii="Book Antiqua" w:eastAsia="Book Antiqua" w:hAnsi="Book Antiqua" w:cs="Book Antiqua"/>
          <w:color w:val="000000"/>
        </w:rPr>
        <w:t>a 12-wk follow-up period (SVR). Two assays were used to measure HCV RNA, depending on local practices at the testing site: Roche COBAS TaqMan with a lower limit of quantification (LLOQ) of 15</w:t>
      </w:r>
      <w:r w:rsidR="007C69C8">
        <w:rPr>
          <w:rFonts w:ascii="Book Antiqua" w:eastAsia="Book Antiqua" w:hAnsi="Book Antiqua" w:cs="Book Antiqua"/>
          <w:color w:val="000000"/>
        </w:rPr>
        <w:t xml:space="preserve"> </w:t>
      </w:r>
      <w:r>
        <w:rPr>
          <w:rFonts w:ascii="Book Antiqua" w:eastAsia="Book Antiqua" w:hAnsi="Book Antiqua" w:cs="Book Antiqua"/>
          <w:color w:val="000000"/>
        </w:rPr>
        <w:t>IU/mL or Abbott RealTime with an LLOQ of 12</w:t>
      </w:r>
      <w:r w:rsidR="007C69C8">
        <w:rPr>
          <w:rFonts w:ascii="Book Antiqua" w:eastAsia="Book Antiqua" w:hAnsi="Book Antiqua" w:cs="Book Antiqua"/>
          <w:color w:val="000000"/>
        </w:rPr>
        <w:t xml:space="preserve"> </w:t>
      </w:r>
      <w:r>
        <w:rPr>
          <w:rFonts w:ascii="Book Antiqua" w:eastAsia="Book Antiqua" w:hAnsi="Book Antiqua" w:cs="Book Antiqua"/>
          <w:color w:val="000000"/>
        </w:rPr>
        <w:t>IU/mL.</w:t>
      </w:r>
    </w:p>
    <w:p w14:paraId="10DBCC30" w14:textId="2F1C0A05" w:rsidR="00A77B3E" w:rsidRDefault="0052402A" w:rsidP="007C69C8">
      <w:pPr>
        <w:spacing w:line="360" w:lineRule="auto"/>
        <w:ind w:firstLineChars="100" w:firstLine="240"/>
        <w:jc w:val="both"/>
      </w:pPr>
      <w:r>
        <w:rPr>
          <w:rFonts w:ascii="Book Antiqua" w:eastAsia="Book Antiqua" w:hAnsi="Book Antiqua" w:cs="Book Antiqua"/>
          <w:color w:val="000000"/>
        </w:rPr>
        <w:t>Peripheral blood counts, liver function, and kidney function were evaluated to assess the safety of the therapy. The basic scope of tests and schedule of patients’ visits were defined in the National Health Fund therapeutic program. For the safety of the patient, additional examinations were performed if necessary.</w:t>
      </w:r>
    </w:p>
    <w:p w14:paraId="5B34FF1D" w14:textId="298E6311" w:rsidR="00A77B3E" w:rsidRDefault="0052402A" w:rsidP="007C69C8">
      <w:pPr>
        <w:spacing w:line="360" w:lineRule="auto"/>
        <w:ind w:firstLineChars="100" w:firstLine="240"/>
        <w:jc w:val="both"/>
      </w:pPr>
      <w:r>
        <w:rPr>
          <w:rFonts w:ascii="Book Antiqua" w:eastAsia="Book Antiqua" w:hAnsi="Book Antiqua" w:cs="Book Antiqua"/>
          <w:color w:val="000000"/>
        </w:rPr>
        <w:t>The drug used, the dosage and length of the treatment regimen,</w:t>
      </w:r>
      <w:r w:rsidR="007C69C8">
        <w:rPr>
          <w:rFonts w:ascii="Book Antiqua" w:eastAsia="Book Antiqua" w:hAnsi="Book Antiqua" w:cs="Book Antiqua"/>
          <w:color w:val="000000"/>
        </w:rPr>
        <w:t xml:space="preserve"> </w:t>
      </w:r>
      <w:r>
        <w:rPr>
          <w:rFonts w:ascii="Book Antiqua" w:eastAsia="Book Antiqua" w:hAnsi="Book Antiqua" w:cs="Book Antiqua"/>
          <w:color w:val="000000"/>
        </w:rPr>
        <w:t>and the decision to add ribavirin were determined by treating physicians based on the applicable product characteristics and recommendations of the</w:t>
      </w:r>
      <w:r w:rsidR="007C69C8">
        <w:rPr>
          <w:rFonts w:ascii="Book Antiqua" w:eastAsia="Book Antiqua" w:hAnsi="Book Antiqua" w:cs="Book Antiqua"/>
          <w:color w:val="000000"/>
        </w:rPr>
        <w:t xml:space="preserve"> </w:t>
      </w:r>
      <w:r>
        <w:rPr>
          <w:rFonts w:ascii="Book Antiqua" w:eastAsia="Book Antiqua" w:hAnsi="Book Antiqua" w:cs="Book Antiqua"/>
          <w:color w:val="000000"/>
        </w:rPr>
        <w:t>Polish Group of Experts</w:t>
      </w:r>
      <w:r w:rsidR="007C69C8">
        <w:rPr>
          <w:rFonts w:ascii="Book Antiqua" w:eastAsia="Book Antiqua" w:hAnsi="Book Antiqua" w:cs="Book Antiqua"/>
          <w:color w:val="000000"/>
        </w:rPr>
        <w:t xml:space="preserve"> </w:t>
      </w:r>
      <w:r>
        <w:rPr>
          <w:rFonts w:ascii="Book Antiqua" w:eastAsia="Book Antiqua" w:hAnsi="Book Antiqua" w:cs="Book Antiqua"/>
          <w:color w:val="000000"/>
        </w:rPr>
        <w:t>for HCV</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w:t>
      </w:r>
      <w:r w:rsidRPr="007C69C8">
        <w:rPr>
          <w:rFonts w:ascii="Book Antiqua" w:eastAsia="Book Antiqua" w:hAnsi="Book Antiqua" w:cs="Book Antiqua"/>
          <w:color w:val="000000"/>
          <w:szCs w:val="20"/>
        </w:rPr>
        <w:t>.</w:t>
      </w:r>
    </w:p>
    <w:p w14:paraId="1B2BE5C9" w14:textId="1E63DAA4" w:rsidR="00A77B3E" w:rsidRDefault="0052402A" w:rsidP="007C69C8">
      <w:pPr>
        <w:spacing w:line="360" w:lineRule="auto"/>
        <w:ind w:firstLineChars="100" w:firstLine="240"/>
        <w:jc w:val="both"/>
      </w:pPr>
      <w:r>
        <w:rPr>
          <w:rFonts w:ascii="Book Antiqua" w:eastAsia="Book Antiqua" w:hAnsi="Book Antiqua" w:cs="Book Antiqua"/>
          <w:color w:val="000000"/>
        </w:rPr>
        <w:t>AEs observed during the treatment and follow-up periods were reported as well, with particular attention to events related to liver disease.</w:t>
      </w:r>
    </w:p>
    <w:p w14:paraId="7E1B1939" w14:textId="77777777" w:rsidR="00A77B3E" w:rsidRDefault="00A77B3E">
      <w:pPr>
        <w:spacing w:line="360" w:lineRule="auto"/>
        <w:jc w:val="both"/>
      </w:pPr>
    </w:p>
    <w:p w14:paraId="798F5FF4" w14:textId="77777777" w:rsidR="00A77B3E" w:rsidRDefault="0052402A">
      <w:pPr>
        <w:spacing w:line="360" w:lineRule="auto"/>
        <w:jc w:val="both"/>
      </w:pPr>
      <w:r>
        <w:rPr>
          <w:rFonts w:ascii="Book Antiqua" w:eastAsia="Book Antiqua" w:hAnsi="Book Antiqua" w:cs="Book Antiqua"/>
          <w:b/>
          <w:bCs/>
          <w:i/>
          <w:iCs/>
          <w:color w:val="000000"/>
        </w:rPr>
        <w:t>Ethical considerations</w:t>
      </w:r>
    </w:p>
    <w:p w14:paraId="0C611B44" w14:textId="77777777" w:rsidR="00A77B3E" w:rsidRDefault="0052402A">
      <w:pPr>
        <w:spacing w:line="360" w:lineRule="auto"/>
        <w:jc w:val="both"/>
      </w:pPr>
      <w:r>
        <w:rPr>
          <w:rFonts w:ascii="Book Antiqua" w:eastAsia="Book Antiqua" w:hAnsi="Book Antiqua" w:cs="Book Antiqua"/>
          <w:color w:val="000000"/>
        </w:rPr>
        <w:t>This observational study was conducted in a real-world setting with approved drugs. Patients were not exposed to any experimental interventions, nor did the study intervene with the clinical management of the patient. The study only collected information from patient records. The analysis included routine examinations and tests performed in patients treated within the therapeutic program of the National Health Fund. The data were originally collected to assess treatment efficacy and safety in individual patients, not for scientific purposes. Hence, the treating physicians did not obtain approval from the ethics committee. According to local law (Pharmaceutical Law of 6</w:t>
      </w:r>
      <w:r w:rsidRPr="007C69C8">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September 2001, art. 37al), non-interventional studies do not require ethics committee approval. Patients provided informed consent for treatment and the processing of personal data. Patient data were collected through an online system, and only physicians caring for patients had access to the patients’ personal information. Planning, conduct, and reporting of the study were in line with the tenets outlined in the Declaration of Helsinki, as revised in 2013.</w:t>
      </w:r>
    </w:p>
    <w:p w14:paraId="045FAA7E" w14:textId="77777777" w:rsidR="00A77B3E" w:rsidRDefault="00A77B3E">
      <w:pPr>
        <w:spacing w:line="360" w:lineRule="auto"/>
        <w:jc w:val="both"/>
      </w:pPr>
    </w:p>
    <w:p w14:paraId="651C4C62" w14:textId="77777777" w:rsidR="00A77B3E" w:rsidRDefault="0052402A">
      <w:pPr>
        <w:spacing w:line="360" w:lineRule="auto"/>
        <w:jc w:val="both"/>
      </w:pPr>
      <w:r>
        <w:rPr>
          <w:rFonts w:ascii="Book Antiqua" w:eastAsia="Book Antiqua" w:hAnsi="Book Antiqua" w:cs="Book Antiqua"/>
          <w:b/>
          <w:bCs/>
          <w:i/>
          <w:iCs/>
          <w:color w:val="000000"/>
        </w:rPr>
        <w:t>Statistical analysis</w:t>
      </w:r>
    </w:p>
    <w:p w14:paraId="09AB36AD" w14:textId="28D0A563" w:rsidR="00A77B3E" w:rsidRDefault="0052402A">
      <w:pPr>
        <w:spacing w:line="360" w:lineRule="auto"/>
        <w:jc w:val="both"/>
      </w:pPr>
      <w:r>
        <w:rPr>
          <w:rFonts w:ascii="Book Antiqua" w:eastAsia="Book Antiqua" w:hAnsi="Book Antiqua" w:cs="Book Antiqua"/>
          <w:color w:val="000000"/>
        </w:rPr>
        <w:t>To identify the best predictors of HCV detectability by at least the 12</w:t>
      </w:r>
      <w:r w:rsidRPr="007C69C8">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 of follow-up, machine learning </w:t>
      </w:r>
      <w:r w:rsidR="00967B39">
        <w:rPr>
          <w:rFonts w:ascii="Book Antiqua" w:eastAsia="Book Antiqua" w:hAnsi="Book Antiqua" w:cs="Book Antiqua"/>
          <w:color w:val="000000"/>
        </w:rPr>
        <w:t>(</w:t>
      </w:r>
      <w:bookmarkStart w:id="3" w:name="_Hlk69406045"/>
      <w:r w:rsidR="00967B39">
        <w:rPr>
          <w:rFonts w:ascii="Book Antiqua" w:eastAsia="Book Antiqua" w:hAnsi="Book Antiqua" w:cs="Book Antiqua"/>
          <w:color w:val="000000"/>
        </w:rPr>
        <w:t>ML</w:t>
      </w:r>
      <w:bookmarkEnd w:id="3"/>
      <w:r w:rsidR="00967B39">
        <w:rPr>
          <w:rFonts w:ascii="Book Antiqua" w:eastAsia="Book Antiqua" w:hAnsi="Book Antiqua" w:cs="Book Antiqua"/>
          <w:color w:val="000000"/>
        </w:rPr>
        <w:t xml:space="preserve">) </w:t>
      </w:r>
      <w:r>
        <w:rPr>
          <w:rFonts w:ascii="Book Antiqua" w:eastAsia="Book Antiqua" w:hAnsi="Book Antiqua" w:cs="Book Antiqua"/>
          <w:color w:val="000000"/>
        </w:rPr>
        <w:t>techniques were used to develop a statistical model. First, variables with more than 10% of missing observations were removed from the dataset.</w:t>
      </w:r>
    </w:p>
    <w:p w14:paraId="085D53FB" w14:textId="51FCE1B6" w:rsidR="00A77B3E" w:rsidRDefault="0052402A" w:rsidP="007C69C8">
      <w:pPr>
        <w:spacing w:line="360" w:lineRule="auto"/>
        <w:ind w:firstLineChars="100" w:firstLine="240"/>
        <w:jc w:val="both"/>
      </w:pPr>
      <w:r>
        <w:rPr>
          <w:rFonts w:ascii="Book Antiqua" w:eastAsia="Book Antiqua" w:hAnsi="Book Antiqua" w:cs="Book Antiqua"/>
          <w:color w:val="000000"/>
        </w:rPr>
        <w:t xml:space="preserve">Because the dataset was unbalanced for the dependent variable, an oversampling technique was used. The data were split into learning (75%) and testing (25%) sets. Four </w:t>
      </w:r>
      <w:r w:rsidR="00967B39">
        <w:rPr>
          <w:rFonts w:ascii="Book Antiqua" w:eastAsia="Book Antiqua" w:hAnsi="Book Antiqua" w:cs="Book Antiqua"/>
          <w:color w:val="000000"/>
        </w:rPr>
        <w:t>ML</w:t>
      </w:r>
      <w:r>
        <w:rPr>
          <w:rFonts w:ascii="Book Antiqua" w:eastAsia="Book Antiqua" w:hAnsi="Book Antiqua" w:cs="Book Antiqua"/>
          <w:color w:val="000000"/>
        </w:rPr>
        <w:t xml:space="preserve"> models were built using the following algorithm types: k-nearest neighbor, support vector machine, classification and regression tree, and random forest. The algorithm with the best accuracy was used for further analysis. Then, the selected parameters were optimized to boost the algorithm performance. Twelve variables with the highest predictive value were plotted.</w:t>
      </w:r>
    </w:p>
    <w:p w14:paraId="7F6B8272" w14:textId="090D7EE4" w:rsidR="00A77B3E" w:rsidRDefault="0052402A" w:rsidP="007C69C8">
      <w:pPr>
        <w:spacing w:line="360" w:lineRule="auto"/>
        <w:ind w:firstLineChars="100" w:firstLine="240"/>
        <w:jc w:val="both"/>
      </w:pPr>
      <w:r>
        <w:rPr>
          <w:rFonts w:ascii="Book Antiqua" w:eastAsia="Book Antiqua" w:hAnsi="Book Antiqua" w:cs="Book Antiqua"/>
          <w:color w:val="000000"/>
        </w:rPr>
        <w:t>Standard statistical methods were used to compare data between patients positive and negative for HCV at least 12 wk after the end of treatment.</w:t>
      </w:r>
    </w:p>
    <w:p w14:paraId="5A784D71" w14:textId="755E0D69" w:rsidR="00A77B3E" w:rsidRDefault="0052402A" w:rsidP="007C69C8">
      <w:pPr>
        <w:spacing w:line="360" w:lineRule="auto"/>
        <w:ind w:firstLineChars="100" w:firstLine="240"/>
        <w:jc w:val="both"/>
      </w:pPr>
      <w:r>
        <w:rPr>
          <w:rFonts w:ascii="Book Antiqua" w:eastAsia="Book Antiqua" w:hAnsi="Book Antiqua" w:cs="Book Antiqua"/>
          <w:color w:val="000000"/>
        </w:rPr>
        <w:t xml:space="preserve">Data are presented as the mean </w:t>
      </w:r>
      <w:r w:rsidR="007C69C8">
        <w:rPr>
          <w:rFonts w:ascii="Book Antiqua" w:eastAsia="Book Antiqua" w:hAnsi="Book Antiqua" w:cs="Book Antiqua"/>
          <w:color w:val="000000"/>
        </w:rPr>
        <w:t>[</w:t>
      </w:r>
      <w:r>
        <w:rPr>
          <w:rFonts w:ascii="Book Antiqua" w:eastAsia="Book Antiqua" w:hAnsi="Book Antiqua" w:cs="Book Antiqua"/>
          <w:color w:val="000000"/>
        </w:rPr>
        <w:t xml:space="preserve">95% confidence interval </w:t>
      </w:r>
      <w:r w:rsidR="007C69C8">
        <w:rPr>
          <w:rFonts w:ascii="Book Antiqua" w:eastAsia="Book Antiqua" w:hAnsi="Book Antiqua" w:cs="Book Antiqua"/>
          <w:color w:val="000000"/>
        </w:rPr>
        <w:t>(</w:t>
      </w:r>
      <w:r>
        <w:rPr>
          <w:rFonts w:ascii="Book Antiqua" w:eastAsia="Book Antiqua" w:hAnsi="Book Antiqua" w:cs="Book Antiqua"/>
          <w:color w:val="000000"/>
        </w:rPr>
        <w:t>CI</w:t>
      </w:r>
      <w:r w:rsidR="007C69C8">
        <w:rPr>
          <w:rFonts w:ascii="Book Antiqua" w:eastAsia="Book Antiqua" w:hAnsi="Book Antiqua" w:cs="Book Antiqua"/>
          <w:color w:val="000000"/>
        </w:rPr>
        <w:t>)</w:t>
      </w:r>
      <w:r>
        <w:rPr>
          <w:rFonts w:ascii="Book Antiqua" w:eastAsia="Book Antiqua" w:hAnsi="Book Antiqua" w:cs="Book Antiqua"/>
          <w:color w:val="000000"/>
        </w:rPr>
        <w:t>] for continuous variables and as counts (%) for categorical variables. Groups were compared with</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xml:space="preserve">nonparametric Mann-Whitney </w:t>
      </w:r>
      <w:r w:rsidRPr="007831A1">
        <w:rPr>
          <w:rFonts w:ascii="Book Antiqua" w:eastAsia="Book Antiqua" w:hAnsi="Book Antiqua" w:cs="Book Antiqua"/>
          <w:i/>
          <w:iCs/>
          <w:color w:val="000000"/>
        </w:rPr>
        <w:t>U</w:t>
      </w:r>
      <w:r>
        <w:rPr>
          <w:rFonts w:ascii="Book Antiqua" w:eastAsia="Book Antiqua" w:hAnsi="Book Antiqua" w:cs="Book Antiqua"/>
          <w:color w:val="000000"/>
        </w:rPr>
        <w:t>-tests and Pearson chi-square tests.</w:t>
      </w:r>
    </w:p>
    <w:p w14:paraId="543FD5F8" w14:textId="6A1882A0" w:rsidR="00A77B3E" w:rsidRDefault="0052402A" w:rsidP="007C69C8">
      <w:pPr>
        <w:spacing w:line="360" w:lineRule="auto"/>
        <w:ind w:firstLineChars="100" w:firstLine="240"/>
        <w:jc w:val="both"/>
      </w:pPr>
      <w:r>
        <w:rPr>
          <w:rFonts w:ascii="Book Antiqua" w:eastAsia="Book Antiqua" w:hAnsi="Book Antiqua" w:cs="Book Antiqua"/>
          <w:color w:val="000000"/>
        </w:rPr>
        <w:t>The parametric tests were not used because of the unequal sample size (SVR</w:t>
      </w:r>
      <w:r w:rsidR="007C69C8">
        <w:rPr>
          <w:rFonts w:ascii="Book Antiqua" w:eastAsia="Book Antiqua" w:hAnsi="Book Antiqua" w:cs="Book Antiqua"/>
          <w:color w:val="000000"/>
        </w:rPr>
        <w:t xml:space="preserve"> </w:t>
      </w:r>
      <w:r w:rsidRPr="007C69C8">
        <w:rPr>
          <w:rFonts w:ascii="Book Antiqua" w:eastAsia="Book Antiqua" w:hAnsi="Book Antiqua" w:cs="Book Antiqua"/>
          <w:i/>
          <w:iCs/>
          <w:color w:val="000000"/>
        </w:rPr>
        <w:t>n</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11629; non-SVR</w:t>
      </w:r>
      <w:r w:rsidR="007C69C8">
        <w:rPr>
          <w:rFonts w:ascii="Book Antiqua" w:eastAsia="Book Antiqua" w:hAnsi="Book Antiqua" w:cs="Book Antiqua"/>
          <w:color w:val="000000"/>
        </w:rPr>
        <w:t xml:space="preserve"> </w:t>
      </w:r>
      <w:r w:rsidRPr="007C69C8">
        <w:rPr>
          <w:rFonts w:ascii="Book Antiqua" w:eastAsia="Book Antiqua" w:hAnsi="Book Antiqua" w:cs="Book Antiqua"/>
          <w:i/>
          <w:iCs/>
          <w:color w:val="000000"/>
        </w:rPr>
        <w:t>n</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309).</w:t>
      </w:r>
    </w:p>
    <w:p w14:paraId="300076D8" w14:textId="1ACFFF81" w:rsidR="00A77B3E" w:rsidRDefault="0052402A" w:rsidP="007C69C8">
      <w:pPr>
        <w:spacing w:line="360" w:lineRule="auto"/>
        <w:ind w:firstLineChars="100" w:firstLine="240"/>
        <w:jc w:val="both"/>
      </w:pPr>
      <w:r>
        <w:rPr>
          <w:rFonts w:ascii="Book Antiqua" w:eastAsia="Book Antiqua" w:hAnsi="Book Antiqua" w:cs="Book Antiqua"/>
          <w:color w:val="000000"/>
          <w:shd w:val="clear" w:color="auto" w:fill="FFFFFF"/>
        </w:rPr>
        <w:t>Analysis was performed using the R programming language in RStudio (R Core Team, 2020) and IBM SPSS Statistics 25 (IBM Corp., 2017). The level of statistical significance was set at</w:t>
      </w:r>
      <w:r w:rsidR="007C69C8">
        <w:rPr>
          <w:rFonts w:ascii="Book Antiqua" w:eastAsia="Book Antiqua" w:hAnsi="Book Antiqua" w:cs="Book Antiqua"/>
          <w:color w:val="000000"/>
          <w:shd w:val="clear" w:color="auto" w:fill="FFFFFF"/>
        </w:rPr>
        <w:t xml:space="preserve"> </w:t>
      </w:r>
      <w:r w:rsidR="007C69C8">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w:t>
      </w:r>
      <w:r w:rsidR="002F2A2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0.05.</w:t>
      </w:r>
    </w:p>
    <w:p w14:paraId="1CDBF797" w14:textId="77777777" w:rsidR="00A77B3E" w:rsidRDefault="00A77B3E">
      <w:pPr>
        <w:spacing w:line="360" w:lineRule="auto"/>
        <w:jc w:val="both"/>
      </w:pPr>
    </w:p>
    <w:p w14:paraId="3DB61B65" w14:textId="77777777" w:rsidR="00A77B3E" w:rsidRDefault="0052402A">
      <w:pPr>
        <w:spacing w:line="360" w:lineRule="auto"/>
        <w:jc w:val="both"/>
      </w:pPr>
      <w:r>
        <w:rPr>
          <w:rFonts w:ascii="Book Antiqua" w:eastAsia="Book Antiqua" w:hAnsi="Book Antiqua" w:cs="Book Antiqua"/>
          <w:b/>
          <w:caps/>
          <w:color w:val="000000"/>
          <w:u w:val="single"/>
        </w:rPr>
        <w:t>RESULTS</w:t>
      </w:r>
    </w:p>
    <w:p w14:paraId="0E45CCBC" w14:textId="2C536D9C" w:rsidR="00A77B3E" w:rsidRDefault="0052402A">
      <w:pPr>
        <w:spacing w:line="360" w:lineRule="auto"/>
        <w:jc w:val="both"/>
      </w:pPr>
      <w:r>
        <w:rPr>
          <w:rFonts w:ascii="Book Antiqua" w:eastAsia="Book Antiqua" w:hAnsi="Book Antiqua" w:cs="Book Antiqua"/>
          <w:color w:val="000000"/>
        </w:rPr>
        <w:t>Patients’ disposition and treatment outcomes are presented in Figure 1. At the time of analysis, a total of 12614 patients with chronic hepatitis C were registered in the database, of which 11938 had available SVR data. Among them,</w:t>
      </w:r>
      <w:r w:rsidR="007C69C8">
        <w:rPr>
          <w:rFonts w:ascii="Book Antiqua" w:eastAsia="Book Antiqua" w:hAnsi="Book Antiqua" w:cs="Book Antiqua"/>
          <w:color w:val="000000"/>
        </w:rPr>
        <w:t xml:space="preserve"> </w:t>
      </w:r>
      <w:r>
        <w:rPr>
          <w:rFonts w:ascii="Book Antiqua" w:eastAsia="Book Antiqua" w:hAnsi="Book Antiqua" w:cs="Book Antiqua"/>
          <w:color w:val="000000"/>
        </w:rPr>
        <w:t>11629 (97%) achieved SVR, while 309 (3%)</w:t>
      </w:r>
      <w:r w:rsidR="007C69C8">
        <w:rPr>
          <w:rFonts w:ascii="Book Antiqua" w:eastAsia="Book Antiqua" w:hAnsi="Book Antiqua" w:cs="Book Antiqua"/>
          <w:color w:val="000000"/>
        </w:rPr>
        <w:t xml:space="preserve"> </w:t>
      </w:r>
      <w:r>
        <w:rPr>
          <w:rFonts w:ascii="Book Antiqua" w:eastAsia="Book Antiqua" w:hAnsi="Book Antiqua" w:cs="Book Antiqua"/>
          <w:color w:val="000000"/>
        </w:rPr>
        <w:t>did</w:t>
      </w:r>
      <w:r w:rsidR="007C69C8">
        <w:rPr>
          <w:rFonts w:ascii="Book Antiqua" w:eastAsia="Book Antiqua" w:hAnsi="Book Antiqua" w:cs="Book Antiqua"/>
          <w:color w:val="000000"/>
        </w:rPr>
        <w:t xml:space="preserve"> </w:t>
      </w:r>
      <w:r>
        <w:rPr>
          <w:rFonts w:ascii="Book Antiqua" w:eastAsia="Book Antiqua" w:hAnsi="Book Antiqua" w:cs="Book Antiqua"/>
          <w:color w:val="000000"/>
        </w:rPr>
        <w:t>not.</w:t>
      </w:r>
    </w:p>
    <w:p w14:paraId="26CBF003" w14:textId="77777777" w:rsidR="00A77B3E" w:rsidRDefault="00A77B3E">
      <w:pPr>
        <w:spacing w:line="360" w:lineRule="auto"/>
        <w:jc w:val="both"/>
      </w:pPr>
    </w:p>
    <w:p w14:paraId="78C360E7" w14:textId="77777777" w:rsidR="00A77B3E" w:rsidRDefault="0052402A">
      <w:pPr>
        <w:spacing w:line="360" w:lineRule="auto"/>
        <w:jc w:val="both"/>
      </w:pPr>
      <w:r>
        <w:rPr>
          <w:rFonts w:ascii="Book Antiqua" w:eastAsia="Book Antiqua" w:hAnsi="Book Antiqua" w:cs="Book Antiqua"/>
          <w:b/>
          <w:bCs/>
          <w:i/>
          <w:iCs/>
          <w:color w:val="000000"/>
        </w:rPr>
        <w:t>Characteristics of the study group</w:t>
      </w:r>
    </w:p>
    <w:p w14:paraId="7A69787F" w14:textId="77777777" w:rsidR="00A77B3E" w:rsidRDefault="0052402A">
      <w:pPr>
        <w:spacing w:line="360" w:lineRule="auto"/>
        <w:jc w:val="both"/>
      </w:pPr>
      <w:r>
        <w:rPr>
          <w:rFonts w:ascii="Book Antiqua" w:eastAsia="Book Antiqua" w:hAnsi="Book Antiqua" w:cs="Book Antiqua"/>
          <w:color w:val="000000"/>
        </w:rPr>
        <w:t>The baseline characteristics of patients with SVR and their relationships to treatment efficacy are presented in Tables 1 and 2. As there were missing data for some parameters, the number of patients for a given parameter is not always equal to the total number of patients.</w:t>
      </w:r>
    </w:p>
    <w:p w14:paraId="3B40A6A2" w14:textId="6D6BD8E8" w:rsidR="00A77B3E" w:rsidRDefault="0052402A" w:rsidP="007C69C8">
      <w:pPr>
        <w:spacing w:line="360" w:lineRule="auto"/>
        <w:ind w:firstLineChars="100" w:firstLine="240"/>
        <w:jc w:val="both"/>
      </w:pPr>
      <w:r>
        <w:rPr>
          <w:rFonts w:ascii="Book Antiqua" w:eastAsia="Book Antiqua" w:hAnsi="Book Antiqua" w:cs="Book Antiqua"/>
          <w:color w:val="000000"/>
        </w:rPr>
        <w:t>The</w:t>
      </w:r>
      <w:r w:rsidR="007C69C8">
        <w:rPr>
          <w:rFonts w:ascii="Book Antiqua" w:eastAsia="Book Antiqua" w:hAnsi="Book Antiqua" w:cs="Book Antiqua"/>
          <w:color w:val="000000"/>
        </w:rPr>
        <w:t xml:space="preserve"> </w:t>
      </w:r>
      <w:r>
        <w:rPr>
          <w:rFonts w:ascii="Book Antiqua" w:eastAsia="Book Antiqua" w:hAnsi="Book Antiqua" w:cs="Book Antiqua"/>
          <w:color w:val="000000"/>
        </w:rPr>
        <w:t>studied population consisted of 5762 men (48.3%) and 6176 women (51.7%),</w:t>
      </w:r>
      <w:r w:rsidR="007C69C8">
        <w:rPr>
          <w:rFonts w:ascii="Book Antiqua" w:eastAsia="Book Antiqua" w:hAnsi="Book Antiqua" w:cs="Book Antiqua"/>
          <w:color w:val="000000"/>
        </w:rPr>
        <w:t xml:space="preserve"> </w:t>
      </w:r>
      <w:r>
        <w:rPr>
          <w:rFonts w:ascii="Book Antiqua" w:eastAsia="Book Antiqua" w:hAnsi="Book Antiqua" w:cs="Book Antiqua"/>
          <w:color w:val="000000"/>
        </w:rPr>
        <w:t>with a mean age</w:t>
      </w:r>
      <w:r w:rsidR="007C69C8">
        <w:rPr>
          <w:rFonts w:ascii="Book Antiqua" w:eastAsia="Book Antiqua" w:hAnsi="Book Antiqua" w:cs="Book Antiqua"/>
          <w:color w:val="000000"/>
        </w:rPr>
        <w:t xml:space="preserve"> </w:t>
      </w:r>
      <w:r>
        <w:rPr>
          <w:rFonts w:ascii="Book Antiqua" w:eastAsia="Book Antiqua" w:hAnsi="Book Antiqua" w:cs="Book Antiqua"/>
          <w:color w:val="000000"/>
        </w:rPr>
        <w:t>of 52 years.</w:t>
      </w:r>
      <w:r w:rsidR="007C69C8">
        <w:rPr>
          <w:rFonts w:ascii="Book Antiqua" w:eastAsia="Book Antiqua" w:hAnsi="Book Antiqua" w:cs="Book Antiqua"/>
          <w:color w:val="000000"/>
        </w:rPr>
        <w:t xml:space="preserve"> </w:t>
      </w:r>
      <w:r>
        <w:rPr>
          <w:rFonts w:ascii="Book Antiqua" w:eastAsia="Book Antiqua" w:hAnsi="Book Antiqua" w:cs="Book Antiqua"/>
          <w:color w:val="000000"/>
        </w:rPr>
        <w:t>Most patients (78.1%) were infected with HCV genotype 1b, which is typical for the population of Polish patients with chronic hepatitis C. Liver cirrhosis was diagnosed in 2974 patients, while advanced fibrosis (F3) was diagnosed in 1717 patients. The study group also included patients with features of hepatic failure at baseline: ascites in 142 (1.2%) patients and encephalopathy in 68 (0.6%) patients. Esophageal varices were diagnosed in 989 (10.5%) patients.</w:t>
      </w:r>
    </w:p>
    <w:p w14:paraId="3A45707D" w14:textId="56A7B5B2" w:rsidR="00A77B3E" w:rsidRDefault="0052402A" w:rsidP="007C69C8">
      <w:pPr>
        <w:spacing w:line="360" w:lineRule="auto"/>
        <w:ind w:firstLineChars="100" w:firstLine="240"/>
        <w:jc w:val="both"/>
      </w:pPr>
      <w:r>
        <w:rPr>
          <w:rFonts w:ascii="Book Antiqua" w:eastAsia="Book Antiqua" w:hAnsi="Book Antiqua" w:cs="Book Antiqua"/>
          <w:color w:val="000000"/>
        </w:rPr>
        <w:t>A history of HCC was documented in 179</w:t>
      </w:r>
      <w:r w:rsidR="007C69C8">
        <w:rPr>
          <w:rFonts w:ascii="Book Antiqua" w:eastAsia="Book Antiqua" w:hAnsi="Book Antiqua" w:cs="Book Antiqua"/>
          <w:color w:val="000000"/>
        </w:rPr>
        <w:t xml:space="preserve"> </w:t>
      </w:r>
      <w:r>
        <w:rPr>
          <w:rFonts w:ascii="Book Antiqua" w:eastAsia="Book Antiqua" w:hAnsi="Book Antiqua" w:cs="Book Antiqua"/>
          <w:color w:val="000000"/>
        </w:rPr>
        <w:t>patients (1.5%),</w:t>
      </w:r>
      <w:r w:rsidR="007C69C8">
        <w:rPr>
          <w:rFonts w:ascii="Book Antiqua" w:eastAsia="Book Antiqua" w:hAnsi="Book Antiqua" w:cs="Book Antiqua"/>
          <w:color w:val="000000"/>
        </w:rPr>
        <w:t xml:space="preserve"> </w:t>
      </w:r>
      <w:r>
        <w:rPr>
          <w:rFonts w:ascii="Book Antiqua" w:eastAsia="Book Antiqua" w:hAnsi="Book Antiqua" w:cs="Book Antiqua"/>
          <w:color w:val="000000"/>
        </w:rPr>
        <w:t>and 146 (1.2%)</w:t>
      </w:r>
      <w:r w:rsidR="007C69C8">
        <w:rPr>
          <w:rFonts w:ascii="Book Antiqua" w:eastAsia="Book Antiqua" w:hAnsi="Book Antiqua" w:cs="Book Antiqua"/>
          <w:color w:val="000000"/>
        </w:rPr>
        <w:t xml:space="preserve"> </w:t>
      </w:r>
      <w:r>
        <w:rPr>
          <w:rFonts w:ascii="Book Antiqua" w:eastAsia="Book Antiqua" w:hAnsi="Book Antiqua" w:cs="Book Antiqua"/>
          <w:color w:val="000000"/>
        </w:rPr>
        <w:t>patients underwent liver transplantation prior to the antiviral treatment. HIV coinfection was diagnosed in 587 (5%) patients, while HBV coinfection was diagnosed in 1570 (13.5%) patients, among whom 124 patients were HBsAg-positive.</w:t>
      </w:r>
    </w:p>
    <w:p w14:paraId="14F94ADF" w14:textId="77777777" w:rsidR="00A77B3E" w:rsidRDefault="00A77B3E">
      <w:pPr>
        <w:spacing w:line="360" w:lineRule="auto"/>
        <w:jc w:val="both"/>
      </w:pPr>
    </w:p>
    <w:p w14:paraId="3ABA1039" w14:textId="77777777" w:rsidR="00A77B3E" w:rsidRDefault="0052402A">
      <w:pPr>
        <w:spacing w:line="360" w:lineRule="auto"/>
        <w:jc w:val="both"/>
      </w:pPr>
      <w:r>
        <w:rPr>
          <w:rFonts w:ascii="Book Antiqua" w:eastAsia="Book Antiqua" w:hAnsi="Book Antiqua" w:cs="Book Antiqua"/>
          <w:b/>
          <w:bCs/>
          <w:i/>
          <w:iCs/>
          <w:color w:val="000000"/>
        </w:rPr>
        <w:t>Treatment regimens</w:t>
      </w:r>
    </w:p>
    <w:p w14:paraId="0F0D31ED" w14:textId="6A51B639" w:rsidR="00A77B3E" w:rsidRDefault="0052402A">
      <w:pPr>
        <w:spacing w:line="360" w:lineRule="auto"/>
        <w:jc w:val="both"/>
      </w:pPr>
      <w:r>
        <w:rPr>
          <w:rFonts w:ascii="Book Antiqua" w:eastAsia="Book Antiqua" w:hAnsi="Book Antiqua" w:cs="Book Antiqua"/>
          <w:color w:val="000000"/>
        </w:rPr>
        <w:t>Treatment regimens and the percentages of patients taking particular medications among patients who achieved or did not achieve SVR are presented in Figure 2. The most commonly used drugs during the study (2016</w:t>
      </w:r>
      <w:r w:rsidR="007C69C8">
        <w:rPr>
          <w:rFonts w:ascii="Book Antiqua" w:eastAsia="Book Antiqua" w:hAnsi="Book Antiqua" w:cs="Book Antiqua"/>
          <w:color w:val="000000"/>
        </w:rPr>
        <w:t>-</w:t>
      </w:r>
      <w:r>
        <w:rPr>
          <w:rFonts w:ascii="Book Antiqua" w:eastAsia="Book Antiqua" w:hAnsi="Book Antiqua" w:cs="Book Antiqua"/>
          <w:color w:val="000000"/>
        </w:rPr>
        <w:t>2020) were paritaprevir/</w:t>
      </w:r>
      <w:r w:rsidR="00696E0B">
        <w:rPr>
          <w:rFonts w:ascii="Book Antiqua" w:hAnsi="Book Antiqua" w:cs="Book Antiqua" w:hint="eastAsia"/>
          <w:color w:val="000000"/>
          <w:lang w:eastAsia="zh-CN"/>
        </w:rPr>
        <w:t xml:space="preserve"> </w:t>
      </w:r>
      <w:r>
        <w:rPr>
          <w:rFonts w:ascii="Book Antiqua" w:eastAsia="Book Antiqua" w:hAnsi="Book Antiqua" w:cs="Book Antiqua"/>
          <w:color w:val="000000"/>
        </w:rPr>
        <w:t>ritonavir/ombitasvir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dasabuvir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ribavirin (RBV); ledipasvir/sofosbuvir (LDV/SOF)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RBV; grazoprevir/elbasvir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RBV, glecaprevir/pibrentasvir, and velpatasvir/</w:t>
      </w:r>
      <w:r w:rsidR="007C69C8">
        <w:rPr>
          <w:rFonts w:ascii="Book Antiqua" w:eastAsia="Book Antiqua" w:hAnsi="Book Antiqua" w:cs="Book Antiqua"/>
          <w:color w:val="000000"/>
        </w:rPr>
        <w:t>SOF</w:t>
      </w:r>
      <w:r>
        <w:rPr>
          <w:rFonts w:ascii="Book Antiqua" w:eastAsia="Book Antiqua" w:hAnsi="Book Antiqua" w:cs="Book Antiqua"/>
          <w:color w:val="000000"/>
        </w:rPr>
        <w:t xml:space="preserve">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RBV.</w:t>
      </w:r>
    </w:p>
    <w:p w14:paraId="08411510" w14:textId="7E6F52DF" w:rsidR="00A77B3E" w:rsidRDefault="0052402A" w:rsidP="007C69C8">
      <w:pPr>
        <w:spacing w:line="360" w:lineRule="auto"/>
        <w:ind w:firstLineChars="100" w:firstLine="240"/>
        <w:jc w:val="both"/>
      </w:pPr>
      <w:r>
        <w:rPr>
          <w:rFonts w:ascii="Book Antiqua" w:eastAsia="Book Antiqua" w:hAnsi="Book Antiqua" w:cs="Book Antiqua"/>
          <w:color w:val="000000"/>
        </w:rPr>
        <w:t xml:space="preserve">The remaining drugs, asunaprevir plus daclatasvir (ASV+DCV) or </w:t>
      </w:r>
      <w:r w:rsidR="007C69C8">
        <w:rPr>
          <w:rFonts w:ascii="Book Antiqua" w:eastAsia="Book Antiqua" w:hAnsi="Book Antiqua" w:cs="Book Antiqua"/>
          <w:color w:val="000000"/>
        </w:rPr>
        <w:t>SOF</w:t>
      </w:r>
      <w:r>
        <w:rPr>
          <w:rFonts w:ascii="Book Antiqua" w:eastAsia="Book Antiqua" w:hAnsi="Book Antiqua" w:cs="Book Antiqua"/>
          <w:color w:val="000000"/>
        </w:rPr>
        <w:t xml:space="preserve"> + RBV, were used during the initial period of</w:t>
      </w:r>
      <w:r w:rsidR="007C69C8">
        <w:rPr>
          <w:rFonts w:ascii="Book Antiqua" w:eastAsia="Book Antiqua" w:hAnsi="Book Antiqua" w:cs="Book Antiqua"/>
          <w:color w:val="000000"/>
        </w:rPr>
        <w:t xml:space="preserve"> </w:t>
      </w:r>
      <w:r>
        <w:rPr>
          <w:rFonts w:ascii="Book Antiqua" w:eastAsia="Book Antiqua" w:hAnsi="Book Antiqua" w:cs="Book Antiqua"/>
          <w:color w:val="000000"/>
        </w:rPr>
        <w:t>the</w:t>
      </w:r>
      <w:r w:rsidR="007C69C8">
        <w:rPr>
          <w:rFonts w:ascii="Book Antiqua" w:eastAsia="Book Antiqua" w:hAnsi="Book Antiqua" w:cs="Book Antiqua"/>
          <w:color w:val="000000"/>
        </w:rPr>
        <w:t xml:space="preserve"> </w:t>
      </w:r>
      <w:r>
        <w:rPr>
          <w:rFonts w:ascii="Book Antiqua" w:eastAsia="Book Antiqua" w:hAnsi="Book Antiqua" w:cs="Book Antiqua"/>
          <w:color w:val="000000"/>
        </w:rPr>
        <w:t>EpiTer-2 study,</w:t>
      </w:r>
      <w:r w:rsidR="007C69C8">
        <w:rPr>
          <w:rFonts w:ascii="Book Antiqua" w:eastAsia="Book Antiqua" w:hAnsi="Book Antiqua" w:cs="Book Antiqua"/>
          <w:color w:val="000000"/>
        </w:rPr>
        <w:t xml:space="preserve"> </w:t>
      </w:r>
      <w:r>
        <w:rPr>
          <w:rFonts w:ascii="Book Antiqua" w:eastAsia="Book Antiqua" w:hAnsi="Book Antiqua" w:cs="Book Antiqua"/>
          <w:color w:val="000000"/>
        </w:rPr>
        <w:t>and fewer patients were treated with these drugs.</w:t>
      </w:r>
    </w:p>
    <w:p w14:paraId="43D1B09F" w14:textId="16A28608" w:rsidR="00A77B3E" w:rsidRDefault="0052402A" w:rsidP="007C69C8">
      <w:pPr>
        <w:spacing w:line="360" w:lineRule="auto"/>
        <w:ind w:firstLineChars="100" w:firstLine="240"/>
        <w:jc w:val="both"/>
      </w:pPr>
      <w:r>
        <w:rPr>
          <w:rFonts w:ascii="Book Antiqua" w:eastAsia="Book Antiqua" w:hAnsi="Book Antiqua" w:cs="Book Antiqua"/>
          <w:color w:val="000000"/>
        </w:rPr>
        <w:t>The percentages of patients treated with VEL/SOF +/</w:t>
      </w:r>
      <w:r w:rsidR="007C69C8">
        <w:rPr>
          <w:rFonts w:ascii="Book Antiqua" w:eastAsia="Book Antiqua" w:hAnsi="Book Antiqua" w:cs="Book Antiqua"/>
          <w:color w:val="000000"/>
        </w:rPr>
        <w:t>-</w:t>
      </w:r>
      <w:r>
        <w:rPr>
          <w:rFonts w:ascii="Book Antiqua" w:eastAsia="Book Antiqua" w:hAnsi="Book Antiqua" w:cs="Book Antiqua"/>
          <w:color w:val="000000"/>
        </w:rPr>
        <w:t xml:space="preserve"> RBV, </w:t>
      </w:r>
      <w:r w:rsidR="007C69C8">
        <w:rPr>
          <w:rFonts w:ascii="Book Antiqua" w:eastAsia="Book Antiqua" w:hAnsi="Book Antiqua" w:cs="Book Antiqua"/>
          <w:color w:val="000000"/>
        </w:rPr>
        <w:t>ASV</w:t>
      </w:r>
      <w:r>
        <w:rPr>
          <w:rFonts w:ascii="Book Antiqua" w:eastAsia="Book Antiqua" w:hAnsi="Book Antiqua" w:cs="Book Antiqua"/>
          <w:color w:val="000000"/>
        </w:rPr>
        <w:t xml:space="preserve"> + DCV, and SOF + RBV were higher among patients without SVR than among those who achieved SVR.</w:t>
      </w:r>
    </w:p>
    <w:p w14:paraId="5E71AB3C" w14:textId="5E431FAA" w:rsidR="00A77B3E" w:rsidRDefault="0052402A" w:rsidP="007C69C8">
      <w:pPr>
        <w:spacing w:line="360" w:lineRule="auto"/>
        <w:ind w:firstLineChars="100" w:firstLine="240"/>
        <w:jc w:val="both"/>
      </w:pPr>
      <w:r>
        <w:rPr>
          <w:rFonts w:ascii="Book Antiqua" w:eastAsia="Book Antiqua" w:hAnsi="Book Antiqua" w:cs="Book Antiqua"/>
          <w:color w:val="000000"/>
        </w:rPr>
        <w:t>The vast majority of patients received complete therapy as planned, although treatment was terminated prematurely in 86 (0.7%) and modified in 275 (2.2%). The modifications were mainly related to changes in the dose of RBV. The proportion of patients not completing full scheduled therapy was higher in the non-SVR group than in the SVR group; however, overall, it was not high (4.9% for both terminated and modified treatments).</w:t>
      </w:r>
    </w:p>
    <w:p w14:paraId="49C31714" w14:textId="77777777" w:rsidR="00A77B3E" w:rsidRDefault="00A77B3E">
      <w:pPr>
        <w:spacing w:line="360" w:lineRule="auto"/>
        <w:jc w:val="both"/>
      </w:pPr>
    </w:p>
    <w:p w14:paraId="5C5944E3" w14:textId="77777777" w:rsidR="00A77B3E" w:rsidRDefault="0052402A">
      <w:pPr>
        <w:spacing w:line="360" w:lineRule="auto"/>
        <w:jc w:val="both"/>
      </w:pPr>
      <w:r>
        <w:rPr>
          <w:rFonts w:ascii="Book Antiqua" w:eastAsia="Book Antiqua" w:hAnsi="Book Antiqua" w:cs="Book Antiqua"/>
          <w:b/>
          <w:bCs/>
          <w:i/>
          <w:iCs/>
          <w:color w:val="000000"/>
        </w:rPr>
        <w:t>Factors influencing treatment efficacy assessed using “traditional” statistics</w:t>
      </w:r>
    </w:p>
    <w:p w14:paraId="18180C96" w14:textId="29E46344" w:rsidR="00A77B3E" w:rsidRDefault="0052402A">
      <w:pPr>
        <w:spacing w:line="360" w:lineRule="auto"/>
        <w:jc w:val="both"/>
      </w:pPr>
      <w:r w:rsidRPr="007C69C8">
        <w:rPr>
          <w:rFonts w:ascii="Book Antiqua" w:eastAsia="Book Antiqua" w:hAnsi="Book Antiqua" w:cs="Book Antiqua"/>
          <w:b/>
          <w:bCs/>
          <w:color w:val="000000"/>
        </w:rPr>
        <w:t>Host factors</w:t>
      </w:r>
      <w:r w:rsidR="007C69C8">
        <w:rPr>
          <w:rFonts w:ascii="Book Antiqua" w:eastAsia="Book Antiqua" w:hAnsi="Book Antiqua" w:cs="Book Antiqua"/>
          <w:b/>
          <w:bCs/>
          <w:color w:val="000000"/>
        </w:rPr>
        <w:t xml:space="preserve">: </w:t>
      </w:r>
      <w:r>
        <w:rPr>
          <w:rFonts w:ascii="Book Antiqua" w:eastAsia="Book Antiqua" w:hAnsi="Book Antiqua" w:cs="Book Antiqua"/>
          <w:color w:val="000000"/>
        </w:rPr>
        <w:t>In the group of patients who did not achieve SVR, men predominated (67.7%). No age-related differences between</w:t>
      </w:r>
      <w:r w:rsidR="007C69C8">
        <w:rPr>
          <w:rFonts w:ascii="Book Antiqua" w:eastAsia="Book Antiqua" w:hAnsi="Book Antiqua" w:cs="Book Antiqua"/>
          <w:color w:val="000000"/>
        </w:rPr>
        <w:t xml:space="preserve"> </w:t>
      </w:r>
      <w:r>
        <w:rPr>
          <w:rFonts w:ascii="Book Antiqua" w:eastAsia="Book Antiqua" w:hAnsi="Book Antiqua" w:cs="Book Antiqua"/>
          <w:color w:val="000000"/>
        </w:rPr>
        <w:t>the SVR and non-SVR groups</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xml:space="preserve">were observed in the standard statistical analysis. However, body mass index (BMI) and mean liver stiffness (20.27 </w:t>
      </w:r>
      <w:r w:rsidRPr="007C69C8">
        <w:rPr>
          <w:rFonts w:ascii="Book Antiqua" w:eastAsia="Book Antiqua" w:hAnsi="Book Antiqua" w:cs="Book Antiqua"/>
          <w:i/>
          <w:iCs/>
          <w:color w:val="000000"/>
        </w:rPr>
        <w:t>vs</w:t>
      </w:r>
      <w:r>
        <w:rPr>
          <w:rFonts w:ascii="Book Antiqua" w:eastAsia="Book Antiqua" w:hAnsi="Book Antiqua" w:cs="Book Antiqua"/>
          <w:color w:val="000000"/>
        </w:rPr>
        <w:t xml:space="preserve"> 12.35 kPa) were higher in the non-SVR group than in the SVR group.</w:t>
      </w:r>
    </w:p>
    <w:p w14:paraId="6DA7858B" w14:textId="0FCB23D5" w:rsidR="00A77B3E" w:rsidRDefault="0052402A" w:rsidP="007C69C8">
      <w:pPr>
        <w:spacing w:line="360" w:lineRule="auto"/>
        <w:ind w:firstLineChars="100" w:firstLine="240"/>
        <w:jc w:val="both"/>
      </w:pPr>
      <w:r>
        <w:rPr>
          <w:rFonts w:ascii="Book Antiqua" w:eastAsia="Book Antiqua" w:hAnsi="Book Antiqua" w:cs="Book Antiqua"/>
          <w:color w:val="000000"/>
        </w:rPr>
        <w:t xml:space="preserve">DAA therapy was more often ineffective in patients with liver cirrhosis (F4 4.9% </w:t>
      </w:r>
      <w:r w:rsidR="007C69C8" w:rsidRPr="007C69C8">
        <w:rPr>
          <w:rFonts w:ascii="Book Antiqua" w:eastAsia="Book Antiqua" w:hAnsi="Book Antiqua" w:cs="Book Antiqua"/>
          <w:i/>
          <w:iCs/>
          <w:color w:val="000000"/>
        </w:rPr>
        <w:t>vs</w:t>
      </w:r>
      <w:r>
        <w:rPr>
          <w:rFonts w:ascii="Book Antiqua" w:eastAsia="Book Antiqua" w:hAnsi="Book Antiqua" w:cs="Book Antiqua"/>
          <w:color w:val="000000"/>
        </w:rPr>
        <w:t xml:space="preserve"> F3 1.9%; F2 2.0%; F1 1.5%; F0 0.9%), and with symptoms of liver failure (ascites, encephalopathy, esophageal varices, or higher Child-Pugh</w:t>
      </w:r>
      <w:r w:rsidR="007C69C8">
        <w:rPr>
          <w:rFonts w:ascii="Book Antiqua" w:eastAsia="Book Antiqua" w:hAnsi="Book Antiqua" w:cs="Book Antiqua"/>
          <w:color w:val="000000"/>
        </w:rPr>
        <w:t xml:space="preserve"> </w:t>
      </w:r>
      <w:r>
        <w:rPr>
          <w:rFonts w:ascii="Book Antiqua" w:eastAsia="Book Antiqua" w:hAnsi="Book Antiqua" w:cs="Book Antiqua"/>
          <w:color w:val="000000"/>
        </w:rPr>
        <w:t xml:space="preserve">or MELD scores) at baseline. In addition, the occurrence of symptoms of liver failure during therapy decreased the probability of achieving SVR. Significant differences in laboratory markers of liver injury and function </w:t>
      </w:r>
      <w:r w:rsidR="007C69C8">
        <w:rPr>
          <w:rFonts w:ascii="Book Antiqua" w:eastAsia="Book Antiqua" w:hAnsi="Book Antiqua" w:cs="Book Antiqua"/>
          <w:color w:val="000000"/>
        </w:rPr>
        <w:t>[</w:t>
      </w:r>
      <w:r>
        <w:rPr>
          <w:rFonts w:ascii="Book Antiqua" w:eastAsia="Book Antiqua" w:hAnsi="Book Antiqua" w:cs="Book Antiqua"/>
          <w:color w:val="000000"/>
        </w:rPr>
        <w:t xml:space="preserve">alanine aminotransferase, albumin, bilirubin, international normalized ratio </w:t>
      </w:r>
      <w:r w:rsidR="007C69C8">
        <w:rPr>
          <w:rFonts w:ascii="Book Antiqua" w:eastAsia="Book Antiqua" w:hAnsi="Book Antiqua" w:cs="Book Antiqua"/>
          <w:color w:val="000000"/>
        </w:rPr>
        <w:t>(</w:t>
      </w:r>
      <w:r>
        <w:rPr>
          <w:rFonts w:ascii="Book Antiqua" w:eastAsia="Book Antiqua" w:hAnsi="Book Antiqua" w:cs="Book Antiqua"/>
          <w:color w:val="000000"/>
        </w:rPr>
        <w:t>INR</w:t>
      </w:r>
      <w:r w:rsidR="007C69C8">
        <w:rPr>
          <w:rFonts w:ascii="Book Antiqua" w:eastAsia="Book Antiqua" w:hAnsi="Book Antiqua" w:cs="Book Antiqua"/>
          <w:color w:val="000000"/>
        </w:rPr>
        <w:t>)</w:t>
      </w:r>
      <w:r>
        <w:rPr>
          <w:rFonts w:ascii="Book Antiqua" w:eastAsia="Book Antiqua" w:hAnsi="Book Antiqua" w:cs="Book Antiqua"/>
          <w:color w:val="000000"/>
        </w:rPr>
        <w:t>,</w:t>
      </w:r>
      <w:r w:rsidR="007C69C8">
        <w:rPr>
          <w:rFonts w:ascii="Book Antiqua" w:eastAsia="Book Antiqua" w:hAnsi="Book Antiqua" w:cs="Book Antiqua"/>
          <w:color w:val="000000"/>
        </w:rPr>
        <w:t xml:space="preserve"> </w:t>
      </w:r>
      <w:r>
        <w:rPr>
          <w:rFonts w:ascii="Book Antiqua" w:eastAsia="Book Antiqua" w:hAnsi="Book Antiqua" w:cs="Book Antiqua"/>
          <w:color w:val="000000"/>
        </w:rPr>
        <w:t>and</w:t>
      </w:r>
      <w:r w:rsidR="007C69C8">
        <w:rPr>
          <w:rFonts w:ascii="Book Antiqua" w:eastAsia="Book Antiqua" w:hAnsi="Book Antiqua" w:cs="Book Antiqua"/>
          <w:color w:val="000000"/>
        </w:rPr>
        <w:t xml:space="preserve"> </w:t>
      </w:r>
      <w:r>
        <w:rPr>
          <w:rFonts w:ascii="Book Antiqua" w:eastAsia="Book Antiqua" w:hAnsi="Book Antiqua" w:cs="Book Antiqua"/>
          <w:color w:val="000000"/>
        </w:rPr>
        <w:t>platelet count</w:t>
      </w:r>
      <w:r w:rsidR="007C69C8">
        <w:rPr>
          <w:rFonts w:ascii="Book Antiqua" w:eastAsia="Book Antiqua" w:hAnsi="Book Antiqua" w:cs="Book Antiqua"/>
          <w:color w:val="000000"/>
        </w:rPr>
        <w:t>]</w:t>
      </w:r>
      <w:r>
        <w:rPr>
          <w:rFonts w:ascii="Book Antiqua" w:eastAsia="Book Antiqua" w:hAnsi="Book Antiqua" w:cs="Book Antiqua"/>
          <w:color w:val="000000"/>
        </w:rPr>
        <w:t xml:space="preserve"> were also observed between</w:t>
      </w:r>
      <w:r w:rsidR="007C69C8">
        <w:rPr>
          <w:rFonts w:ascii="Book Antiqua" w:eastAsia="Book Antiqua" w:hAnsi="Book Antiqua" w:cs="Book Antiqua"/>
          <w:color w:val="000000"/>
        </w:rPr>
        <w:t xml:space="preserve"> </w:t>
      </w:r>
      <w:r>
        <w:rPr>
          <w:rFonts w:ascii="Book Antiqua" w:eastAsia="Book Antiqua" w:hAnsi="Book Antiqua" w:cs="Book Antiqua"/>
          <w:color w:val="000000"/>
        </w:rPr>
        <w:t>the SVR and non-SVR</w:t>
      </w:r>
      <w:r w:rsidR="007C69C8">
        <w:rPr>
          <w:rFonts w:ascii="Book Antiqua" w:eastAsia="Book Antiqua" w:hAnsi="Book Antiqua" w:cs="Book Antiqua"/>
          <w:color w:val="000000"/>
        </w:rPr>
        <w:t xml:space="preserve"> </w:t>
      </w:r>
      <w:r>
        <w:rPr>
          <w:rFonts w:ascii="Book Antiqua" w:eastAsia="Book Antiqua" w:hAnsi="Book Antiqua" w:cs="Book Antiqua"/>
          <w:color w:val="000000"/>
        </w:rPr>
        <w:t>groups (</w:t>
      </w:r>
      <w:r w:rsidR="007C69C8">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7C69C8">
        <w:rPr>
          <w:rFonts w:ascii="Book Antiqua" w:eastAsia="Book Antiqua" w:hAnsi="Book Antiqua" w:cs="Book Antiqua"/>
          <w:color w:val="000000"/>
        </w:rPr>
        <w:t xml:space="preserve"> </w:t>
      </w:r>
      <w:r>
        <w:rPr>
          <w:rFonts w:ascii="Book Antiqua" w:eastAsia="Book Antiqua" w:hAnsi="Book Antiqua" w:cs="Book Antiqua"/>
          <w:color w:val="000000"/>
        </w:rPr>
        <w:t>0.001). However, it is worth noting that all 13 patients classified into Child-Pugh class C at baseline achieved SVR.</w:t>
      </w:r>
    </w:p>
    <w:p w14:paraId="4EBB2865" w14:textId="50A5919A" w:rsidR="00A77B3E" w:rsidRDefault="0052402A" w:rsidP="00967B39">
      <w:pPr>
        <w:spacing w:line="360" w:lineRule="auto"/>
        <w:ind w:firstLineChars="100" w:firstLine="240"/>
        <w:jc w:val="both"/>
      </w:pPr>
      <w:r>
        <w:rPr>
          <w:rFonts w:ascii="Book Antiqua" w:eastAsia="Book Antiqua" w:hAnsi="Book Antiqua" w:cs="Book Antiqua"/>
          <w:color w:val="000000"/>
        </w:rPr>
        <w:t>The percentage of patients with</w:t>
      </w:r>
      <w:r w:rsidR="00967B39">
        <w:rPr>
          <w:rFonts w:ascii="Book Antiqua" w:eastAsia="Book Antiqua" w:hAnsi="Book Antiqua" w:cs="Book Antiqua"/>
          <w:color w:val="000000"/>
        </w:rPr>
        <w:t xml:space="preserve"> </w:t>
      </w:r>
      <w:r>
        <w:rPr>
          <w:rFonts w:ascii="Book Antiqua" w:eastAsia="Book Antiqua" w:hAnsi="Book Antiqua" w:cs="Book Antiqua"/>
          <w:color w:val="000000"/>
        </w:rPr>
        <w:t>a history of HCC was significantly higher</w:t>
      </w:r>
      <w:r w:rsidR="00967B39">
        <w:rPr>
          <w:rFonts w:ascii="Book Antiqua" w:eastAsia="Book Antiqua" w:hAnsi="Book Antiqua" w:cs="Book Antiqua"/>
          <w:color w:val="000000"/>
        </w:rPr>
        <w:t xml:space="preserve"> </w:t>
      </w:r>
      <w:r>
        <w:rPr>
          <w:rFonts w:ascii="Book Antiqua" w:eastAsia="Book Antiqua" w:hAnsi="Book Antiqua" w:cs="Book Antiqua"/>
          <w:color w:val="000000"/>
        </w:rPr>
        <w:t>in</w:t>
      </w:r>
      <w:r w:rsidR="00967B39">
        <w:rPr>
          <w:rFonts w:ascii="Book Antiqua" w:eastAsia="Book Antiqua" w:hAnsi="Book Antiqua" w:cs="Book Antiqua"/>
          <w:color w:val="000000"/>
        </w:rPr>
        <w:t xml:space="preserve"> </w:t>
      </w:r>
      <w:r>
        <w:rPr>
          <w:rFonts w:ascii="Book Antiqua" w:eastAsia="Book Antiqua" w:hAnsi="Book Antiqua" w:cs="Book Antiqua"/>
          <w:color w:val="000000"/>
        </w:rPr>
        <w:t>the non-SVR group than in the SVR group</w:t>
      </w:r>
      <w:r w:rsidR="00967B39">
        <w:rPr>
          <w:rFonts w:ascii="Book Antiqua" w:eastAsia="Book Antiqua" w:hAnsi="Book Antiqua" w:cs="Book Antiqua"/>
          <w:color w:val="000000"/>
        </w:rPr>
        <w:t xml:space="preserve"> </w:t>
      </w:r>
      <w:r>
        <w:rPr>
          <w:rFonts w:ascii="Book Antiqua" w:eastAsia="Book Antiqua" w:hAnsi="Book Antiqua" w:cs="Book Antiqua"/>
          <w:color w:val="000000"/>
        </w:rPr>
        <w:t xml:space="preserve">(4.2% </w:t>
      </w:r>
      <w:r w:rsidR="007C69C8" w:rsidRPr="007C69C8">
        <w:rPr>
          <w:rFonts w:ascii="Book Antiqua" w:eastAsia="Book Antiqua" w:hAnsi="Book Antiqua" w:cs="Book Antiqua"/>
          <w:i/>
          <w:iCs/>
          <w:color w:val="000000"/>
        </w:rPr>
        <w:t>vs</w:t>
      </w:r>
      <w:r>
        <w:rPr>
          <w:rFonts w:ascii="Book Antiqua" w:eastAsia="Book Antiqua" w:hAnsi="Book Antiqua" w:cs="Book Antiqua"/>
          <w:color w:val="000000"/>
        </w:rPr>
        <w:t xml:space="preserve"> 1.5%,</w:t>
      </w:r>
      <w:r w:rsidR="00967B39">
        <w:rPr>
          <w:rFonts w:ascii="Book Antiqua" w:eastAsia="Book Antiqua" w:hAnsi="Book Antiqua" w:cs="Book Antiqua"/>
          <w:color w:val="000000"/>
        </w:rPr>
        <w:t xml:space="preserve"> </w:t>
      </w:r>
      <w:r w:rsidR="00967B39">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967B39">
        <w:rPr>
          <w:rFonts w:ascii="Book Antiqua" w:eastAsia="Book Antiqua" w:hAnsi="Book Antiqua" w:cs="Book Antiqua"/>
          <w:color w:val="000000"/>
        </w:rPr>
        <w:t xml:space="preserve"> </w:t>
      </w:r>
      <w:r>
        <w:rPr>
          <w:rFonts w:ascii="Book Antiqua" w:eastAsia="Book Antiqua" w:hAnsi="Book Antiqua" w:cs="Book Antiqua"/>
          <w:color w:val="000000"/>
        </w:rPr>
        <w:t>0.001). Coinfection with HBV (including patients with on-treatment reactivation of HBV infection) or HIV, extrahepatic manifestations, and renal failure did not significantly affect the efficacy of therapy.</w:t>
      </w:r>
    </w:p>
    <w:p w14:paraId="7D09911D" w14:textId="77777777" w:rsidR="00A77B3E" w:rsidRDefault="00A77B3E">
      <w:pPr>
        <w:spacing w:line="360" w:lineRule="auto"/>
        <w:jc w:val="both"/>
      </w:pPr>
    </w:p>
    <w:p w14:paraId="70D3816F" w14:textId="05E92CDD" w:rsidR="00A77B3E" w:rsidRDefault="0052402A">
      <w:pPr>
        <w:spacing w:line="360" w:lineRule="auto"/>
        <w:jc w:val="both"/>
      </w:pPr>
      <w:r w:rsidRPr="00967B39">
        <w:rPr>
          <w:rFonts w:ascii="Book Antiqua" w:eastAsia="Book Antiqua" w:hAnsi="Book Antiqua" w:cs="Book Antiqua"/>
          <w:b/>
          <w:bCs/>
          <w:color w:val="000000"/>
        </w:rPr>
        <w:t>Viral factors</w:t>
      </w:r>
      <w:r w:rsidR="00967B39">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Infection with the HCV genotype 3 was more common in the non-SVR group than in the SVR group (34.6% </w:t>
      </w:r>
      <w:r w:rsidR="007C69C8" w:rsidRPr="007C69C8">
        <w:rPr>
          <w:rFonts w:ascii="Book Antiqua" w:eastAsia="Book Antiqua" w:hAnsi="Book Antiqua" w:cs="Book Antiqua"/>
          <w:i/>
          <w:iCs/>
          <w:color w:val="000000"/>
        </w:rPr>
        <w:t>vs</w:t>
      </w:r>
      <w:r>
        <w:rPr>
          <w:rFonts w:ascii="Book Antiqua" w:eastAsia="Book Antiqua" w:hAnsi="Book Antiqua" w:cs="Book Antiqua"/>
          <w:color w:val="000000"/>
        </w:rPr>
        <w:t xml:space="preserve"> 10.5%). Viral load was also higher among those without SVR (6.36</w:t>
      </w:r>
      <w:r w:rsidR="00967B39" w:rsidRPr="00967B39">
        <w:rPr>
          <w:rFonts w:ascii="Book Antiqua" w:eastAsia="Book Antiqua" w:hAnsi="Book Antiqua" w:cs="Book Antiqua"/>
          <w:color w:val="000000"/>
        </w:rPr>
        <w:t xml:space="preserve"> </w:t>
      </w:r>
      <w:r w:rsidR="00967B39">
        <w:rPr>
          <w:rFonts w:ascii="Book Antiqua" w:eastAsia="Book Antiqua" w:hAnsi="Book Antiqua" w:cs="Book Antiqua"/>
          <w:color w:val="000000"/>
        </w:rPr>
        <w:t>log</w:t>
      </w:r>
      <w:r w:rsidR="00967B39">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w:t>
      </w:r>
      <w:r w:rsidR="007C69C8" w:rsidRPr="007C69C8">
        <w:rPr>
          <w:rFonts w:ascii="Book Antiqua" w:eastAsia="Book Antiqua" w:hAnsi="Book Antiqua" w:cs="Book Antiqua"/>
          <w:i/>
          <w:iCs/>
          <w:color w:val="000000"/>
        </w:rPr>
        <w:t>vs</w:t>
      </w:r>
      <w:r>
        <w:rPr>
          <w:rFonts w:ascii="Book Antiqua" w:eastAsia="Book Antiqua" w:hAnsi="Book Antiqua" w:cs="Book Antiqua"/>
          <w:color w:val="000000"/>
        </w:rPr>
        <w:t xml:space="preserve"> 6.39 </w:t>
      </w:r>
      <w:r w:rsidR="00967B39">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w:t>
      </w:r>
    </w:p>
    <w:p w14:paraId="7D197422" w14:textId="77777777" w:rsidR="00A77B3E" w:rsidRDefault="00A77B3E">
      <w:pPr>
        <w:spacing w:line="360" w:lineRule="auto"/>
        <w:jc w:val="both"/>
      </w:pPr>
    </w:p>
    <w:p w14:paraId="54894372" w14:textId="332FECCE" w:rsidR="00A77B3E" w:rsidRDefault="0052402A">
      <w:pPr>
        <w:spacing w:line="360" w:lineRule="auto"/>
        <w:jc w:val="both"/>
      </w:pPr>
      <w:r>
        <w:rPr>
          <w:rFonts w:ascii="Book Antiqua" w:eastAsia="Book Antiqua" w:hAnsi="Book Antiqua" w:cs="Book Antiqua"/>
          <w:b/>
          <w:bCs/>
          <w:i/>
          <w:iCs/>
          <w:color w:val="000000"/>
        </w:rPr>
        <w:t xml:space="preserve">Multivariate analysis using </w:t>
      </w:r>
      <w:r w:rsidR="00967B39" w:rsidRPr="00967B39">
        <w:rPr>
          <w:rFonts w:ascii="Book Antiqua" w:eastAsia="Book Antiqua" w:hAnsi="Book Antiqua" w:cs="Book Antiqua"/>
          <w:b/>
          <w:bCs/>
          <w:i/>
          <w:iCs/>
          <w:color w:val="000000"/>
        </w:rPr>
        <w:t>ML</w:t>
      </w:r>
      <w:r>
        <w:rPr>
          <w:rFonts w:ascii="Book Antiqua" w:eastAsia="Book Antiqua" w:hAnsi="Book Antiqua" w:cs="Book Antiqua"/>
          <w:b/>
          <w:bCs/>
          <w:i/>
          <w:iCs/>
          <w:color w:val="000000"/>
        </w:rPr>
        <w:t xml:space="preserve"> methods</w:t>
      </w:r>
    </w:p>
    <w:p w14:paraId="30ED5970" w14:textId="7F2A6EBA" w:rsidR="00A77B3E" w:rsidRDefault="0052402A">
      <w:pPr>
        <w:spacing w:line="360" w:lineRule="auto"/>
        <w:jc w:val="both"/>
      </w:pPr>
      <w:r>
        <w:rPr>
          <w:rFonts w:ascii="Book Antiqua" w:eastAsia="Book Antiqua" w:hAnsi="Book Antiqua" w:cs="Book Antiqua"/>
          <w:color w:val="000000"/>
        </w:rPr>
        <w:t>ML techniques were used to develop a predictive model. The variables in which the missing data accounted for over 10% of all observations were extracted from the database and removed from the analysis.</w:t>
      </w:r>
      <w:r w:rsidR="00967B39">
        <w:rPr>
          <w:rFonts w:ascii="Book Antiqua" w:eastAsia="Book Antiqua" w:hAnsi="Book Antiqua" w:cs="Book Antiqua"/>
          <w:color w:val="000000"/>
        </w:rPr>
        <w:t xml:space="preserve"> </w:t>
      </w:r>
      <w:r>
        <w:rPr>
          <w:rFonts w:ascii="Book Antiqua" w:eastAsia="Book Antiqua" w:hAnsi="Book Antiqua" w:cs="Book Antiqua"/>
          <w:color w:val="000000"/>
        </w:rPr>
        <w:t>Although four models were constructed using ML algorithms</w:t>
      </w:r>
      <w:r>
        <w:rPr>
          <w:rStyle w:val="jlqj4b"/>
          <w:rFonts w:ascii="Book Antiqua" w:eastAsia="Book Antiqua" w:hAnsi="Book Antiqua" w:cs="Book Antiqua"/>
          <w:color w:val="000000"/>
        </w:rPr>
        <w:t>, the random forest model was selected because it yielded the</w:t>
      </w:r>
      <w:r w:rsidR="00967B39">
        <w:rPr>
          <w:rStyle w:val="jlqj4b"/>
          <w:rFonts w:ascii="Book Antiqua" w:eastAsia="Book Antiqua" w:hAnsi="Book Antiqua" w:cs="Book Antiqua"/>
          <w:color w:val="000000"/>
        </w:rPr>
        <w:t xml:space="preserve"> </w:t>
      </w:r>
      <w:r>
        <w:rPr>
          <w:rFonts w:ascii="Book Antiqua" w:eastAsia="Book Antiqua" w:hAnsi="Book Antiqua" w:cs="Book Antiqua"/>
          <w:color w:val="000000"/>
        </w:rPr>
        <w:t>best prediction accuracy.</w:t>
      </w:r>
      <w:r w:rsidR="00967B39">
        <w:rPr>
          <w:rFonts w:ascii="Book Antiqua" w:eastAsia="Book Antiqua" w:hAnsi="Book Antiqua" w:cs="Book Antiqua"/>
          <w:color w:val="000000"/>
        </w:rPr>
        <w:t xml:space="preserve"> </w:t>
      </w:r>
      <w:r>
        <w:rPr>
          <w:rFonts w:ascii="Book Antiqua" w:eastAsia="Book Antiqua" w:hAnsi="Book Antiqua" w:cs="Book Antiqua"/>
          <w:color w:val="000000"/>
        </w:rPr>
        <w:t>The accuracy of the models is presented in Figure 3. The area under the receiver operating characteristic curve for</w:t>
      </w:r>
      <w:r w:rsidR="00967B39">
        <w:rPr>
          <w:rFonts w:ascii="Book Antiqua" w:eastAsia="Book Antiqua" w:hAnsi="Book Antiqua" w:cs="Book Antiqua"/>
          <w:color w:val="000000"/>
        </w:rPr>
        <w:t xml:space="preserve"> </w:t>
      </w:r>
      <w:r>
        <w:rPr>
          <w:rFonts w:ascii="Book Antiqua" w:eastAsia="Book Antiqua" w:hAnsi="Book Antiqua" w:cs="Book Antiqua"/>
          <w:color w:val="000000"/>
        </w:rPr>
        <w:t>the random forest model</w:t>
      </w:r>
      <w:r w:rsidR="00967B39">
        <w:rPr>
          <w:rFonts w:ascii="Book Antiqua" w:eastAsia="Book Antiqua" w:hAnsi="Book Antiqua" w:cs="Book Antiqua"/>
          <w:color w:val="000000"/>
        </w:rPr>
        <w:t xml:space="preserve"> </w:t>
      </w:r>
      <w:r>
        <w:rPr>
          <w:rFonts w:ascii="Book Antiqua" w:eastAsia="Book Antiqua" w:hAnsi="Book Antiqua" w:cs="Book Antiqua"/>
          <w:color w:val="000000"/>
        </w:rPr>
        <w:t>was 0.999 (Figure 4).</w:t>
      </w:r>
    </w:p>
    <w:p w14:paraId="1C8CDC2E" w14:textId="62D5315C" w:rsidR="00A77B3E" w:rsidRDefault="0052402A" w:rsidP="00967B39">
      <w:pPr>
        <w:spacing w:line="360" w:lineRule="auto"/>
        <w:ind w:firstLineChars="100" w:firstLine="240"/>
        <w:jc w:val="both"/>
      </w:pPr>
      <w:r>
        <w:rPr>
          <w:rFonts w:ascii="Book Antiqua" w:eastAsia="Book Antiqua" w:hAnsi="Book Antiqua" w:cs="Book Antiqua"/>
          <w:color w:val="000000"/>
        </w:rPr>
        <w:t>The accuracy of the final model was checked using 10-fold cross-validation.</w:t>
      </w:r>
      <w:r w:rsidR="00967B39">
        <w:rPr>
          <w:rStyle w:val="jlqj4b"/>
          <w:rFonts w:ascii="Book Antiqua" w:eastAsia="Book Antiqua" w:hAnsi="Book Antiqua" w:cs="Book Antiqua"/>
          <w:color w:val="000000"/>
        </w:rPr>
        <w:t xml:space="preserve"> </w:t>
      </w:r>
      <w:r>
        <w:rPr>
          <w:rFonts w:ascii="Book Antiqua" w:eastAsia="Book Antiqua" w:hAnsi="Book Antiqua" w:cs="Book Antiqua"/>
          <w:color w:val="000000"/>
        </w:rPr>
        <w:t>The model was "taught" on the training data and then validated using the test data. The final model was built based on 14012 observations and 36 variables. Its accuracy was 0.9993 on the training set, and Cohen's</w:t>
      </w:r>
      <w:r w:rsidR="00967B39">
        <w:rPr>
          <w:rFonts w:ascii="Book Antiqua" w:eastAsia="Book Antiqua" w:hAnsi="Book Antiqua" w:cs="Book Antiqua"/>
          <w:color w:val="000000"/>
        </w:rPr>
        <w:t xml:space="preserve"> </w:t>
      </w:r>
      <w:r>
        <w:rPr>
          <w:rFonts w:ascii="Book Antiqua" w:eastAsia="Book Antiqua" w:hAnsi="Book Antiqua" w:cs="Book Antiqua"/>
          <w:color w:val="000000"/>
        </w:rPr>
        <w:t>κ</w:t>
      </w:r>
      <w:r w:rsidR="00967B39">
        <w:rPr>
          <w:rFonts w:ascii="Book Antiqua" w:eastAsia="Book Antiqua" w:hAnsi="Book Antiqua" w:cs="Book Antiqua"/>
          <w:color w:val="000000"/>
        </w:rPr>
        <w:t xml:space="preserve"> </w:t>
      </w:r>
      <w:r>
        <w:rPr>
          <w:rFonts w:ascii="Book Antiqua" w:eastAsia="Book Antiqua" w:hAnsi="Book Antiqua" w:cs="Book Antiqua"/>
          <w:color w:val="000000"/>
        </w:rPr>
        <w:t>statistic was 0.9985. When validating the model using the test set (</w:t>
      </w:r>
      <w:r>
        <w:rPr>
          <w:rFonts w:ascii="Book Antiqua" w:eastAsia="Book Antiqua" w:hAnsi="Book Antiqua" w:cs="Book Antiqua"/>
          <w:i/>
          <w:iCs/>
          <w:color w:val="000000"/>
        </w:rPr>
        <w:t>n</w:t>
      </w:r>
      <w:r>
        <w:rPr>
          <w:rFonts w:ascii="Book Antiqua" w:eastAsia="Book Antiqua" w:hAnsi="Book Antiqua" w:cs="Book Antiqua"/>
          <w:color w:val="000000"/>
        </w:rPr>
        <w:t xml:space="preserve"> = 4670), an accuracy of 0.9985 (95%CI: 0.9969</w:t>
      </w:r>
      <w:r w:rsidR="00967B39">
        <w:rPr>
          <w:rFonts w:ascii="Book Antiqua" w:eastAsia="Book Antiqua" w:hAnsi="Book Antiqua" w:cs="Book Antiqua"/>
          <w:color w:val="000000"/>
        </w:rPr>
        <w:t>-</w:t>
      </w:r>
      <w:r>
        <w:rPr>
          <w:rFonts w:ascii="Book Antiqua" w:eastAsia="Book Antiqua" w:hAnsi="Book Antiqua" w:cs="Book Antiqua"/>
          <w:color w:val="000000"/>
        </w:rPr>
        <w:t>0.9994) and a Cohen</w:t>
      </w:r>
      <w:r w:rsidR="00967B39">
        <w:rPr>
          <w:rFonts w:ascii="Book Antiqua" w:eastAsia="Book Antiqua" w:hAnsi="Book Antiqua" w:cs="Book Antiqua"/>
          <w:color w:val="000000"/>
        </w:rPr>
        <w:t xml:space="preserve"> </w:t>
      </w:r>
      <w:r>
        <w:rPr>
          <w:rFonts w:ascii="Book Antiqua" w:eastAsia="Book Antiqua" w:hAnsi="Book Antiqua" w:cs="Book Antiqua"/>
          <w:color w:val="000000"/>
        </w:rPr>
        <w:t>κ</w:t>
      </w:r>
      <w:r w:rsidR="00967B39">
        <w:rPr>
          <w:rFonts w:ascii="Book Antiqua" w:eastAsia="Book Antiqua" w:hAnsi="Book Antiqua" w:cs="Book Antiqua"/>
          <w:color w:val="000000"/>
        </w:rPr>
        <w:t xml:space="preserve"> </w:t>
      </w:r>
      <w:r>
        <w:rPr>
          <w:rFonts w:ascii="Book Antiqua" w:eastAsia="Book Antiqua" w:hAnsi="Book Antiqua" w:cs="Book Antiqua"/>
          <w:color w:val="000000"/>
        </w:rPr>
        <w:t>statistic of 0.9970 were obtained.</w:t>
      </w:r>
    </w:p>
    <w:p w14:paraId="62E796EB" w14:textId="19FE99E1" w:rsidR="00A77B3E" w:rsidRDefault="0052402A" w:rsidP="00967B39">
      <w:pPr>
        <w:spacing w:line="360" w:lineRule="auto"/>
        <w:ind w:firstLineChars="100" w:firstLine="240"/>
        <w:jc w:val="both"/>
      </w:pPr>
      <w:r>
        <w:rPr>
          <w:rFonts w:ascii="Book Antiqua" w:eastAsia="Book Antiqua" w:hAnsi="Book Antiqua" w:cs="Book Antiqua"/>
          <w:color w:val="000000"/>
        </w:rPr>
        <w:t>Based on the constructed model, the weights of variables influencing HCV RNA detectability at least 12 wk after the end of treatment (non-SVR) were determined. Two measures were used for this purpose: the average loss of accuracy, which is determined by how much the accuracy of the model has decreased after the</w:t>
      </w:r>
      <w:r w:rsidR="00967B39">
        <w:rPr>
          <w:rFonts w:ascii="Book Antiqua" w:eastAsia="Book Antiqua" w:hAnsi="Book Antiqua" w:cs="Book Antiqua"/>
          <w:color w:val="000000"/>
        </w:rPr>
        <w:t xml:space="preserve"> </w:t>
      </w:r>
      <w:r>
        <w:rPr>
          <w:rFonts w:ascii="Book Antiqua" w:eastAsia="Book Antiqua" w:hAnsi="Book Antiqua" w:cs="Book Antiqua"/>
          <w:color w:val="000000"/>
        </w:rPr>
        <w:t>removal of a specific variable (Figure 5), and the average loss of the Gini coefficient (Figure 6), on which the random forest algorithm is based. The greater the value of</w:t>
      </w:r>
      <w:r w:rsidR="00967B39">
        <w:rPr>
          <w:rFonts w:ascii="Book Antiqua" w:eastAsia="Book Antiqua" w:hAnsi="Book Antiqua" w:cs="Book Antiqua"/>
          <w:color w:val="000000"/>
        </w:rPr>
        <w:t xml:space="preserve"> </w:t>
      </w:r>
      <w:r>
        <w:rPr>
          <w:rFonts w:ascii="Book Antiqua" w:eastAsia="Book Antiqua" w:hAnsi="Book Antiqua" w:cs="Book Antiqua"/>
          <w:color w:val="000000"/>
        </w:rPr>
        <w:t>the loss of the Gini coefficient, the more important the variable is, because it leads to a reduction in the entropy of the output variable.</w:t>
      </w:r>
    </w:p>
    <w:p w14:paraId="699596C7" w14:textId="57620250" w:rsidR="00A77B3E" w:rsidRDefault="0052402A" w:rsidP="00967B39">
      <w:pPr>
        <w:spacing w:line="360" w:lineRule="auto"/>
        <w:ind w:firstLineChars="100" w:firstLine="240"/>
        <w:jc w:val="both"/>
      </w:pPr>
      <w:r>
        <w:rPr>
          <w:rFonts w:ascii="Book Antiqua" w:eastAsia="Book Antiqua" w:hAnsi="Book Antiqua" w:cs="Book Antiqua"/>
          <w:color w:val="000000"/>
        </w:rPr>
        <w:t>Figures 5 and 6 show the top 12 factors contributing to treatment failure.</w:t>
      </w:r>
    </w:p>
    <w:p w14:paraId="2AC62F3B" w14:textId="77777777" w:rsidR="00A77B3E" w:rsidRDefault="0052402A" w:rsidP="00967B39">
      <w:pPr>
        <w:spacing w:line="360" w:lineRule="auto"/>
        <w:ind w:firstLineChars="100" w:firstLine="240"/>
        <w:jc w:val="both"/>
      </w:pPr>
      <w:r>
        <w:rPr>
          <w:rFonts w:ascii="Book Antiqua" w:eastAsia="Book Antiqua" w:hAnsi="Book Antiqua" w:cs="Book Antiqua"/>
          <w:color w:val="000000"/>
        </w:rPr>
        <w:t>In the case of the remaining variables, the degree of accuracy decrease indicated their minor importance in predicting therapy ineffectiveness.</w:t>
      </w:r>
    </w:p>
    <w:p w14:paraId="100EA33C" w14:textId="5FC074D7" w:rsidR="00A77B3E" w:rsidRDefault="0052402A" w:rsidP="00967B39">
      <w:pPr>
        <w:spacing w:line="360" w:lineRule="auto"/>
        <w:ind w:firstLineChars="100" w:firstLine="240"/>
        <w:jc w:val="both"/>
      </w:pPr>
      <w:r>
        <w:rPr>
          <w:rFonts w:ascii="Book Antiqua" w:eastAsia="Book Antiqua" w:hAnsi="Book Antiqua" w:cs="Book Antiqua"/>
          <w:color w:val="000000"/>
        </w:rPr>
        <w:t>Based on the statistical analysis of the factors influencing the failure of antiviral therapy performed with the use of the random forest algorithm, the following factors seem to be the most important:</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advancement of liver disease (</w:t>
      </w:r>
      <w:r w:rsidR="00967B39">
        <w:rPr>
          <w:rFonts w:ascii="Book Antiqua" w:eastAsia="Book Antiqua" w:hAnsi="Book Antiqua" w:cs="Book Antiqua"/>
          <w:color w:val="000000"/>
        </w:rPr>
        <w:t>platelets</w:t>
      </w:r>
      <w:r>
        <w:rPr>
          <w:rStyle w:val="jlqj4b"/>
          <w:rFonts w:ascii="Book Antiqua" w:eastAsia="Book Antiqua" w:hAnsi="Book Antiqua" w:cs="Book Antiqua"/>
          <w:color w:val="000000"/>
        </w:rPr>
        <w:t>, albumin, INR, bilirubin, fibrosis), HCV characteristics (viral load, genotype 3), patient characteristics (age, BMI), hemoglobin levels, and creatinine levels.</w:t>
      </w:r>
      <w:r w:rsidR="00967B39">
        <w:rPr>
          <w:rFonts w:ascii="Book Antiqua" w:eastAsia="Book Antiqua" w:hAnsi="Book Antiqua" w:cs="Book Antiqua"/>
          <w:color w:val="000000"/>
        </w:rPr>
        <w:t xml:space="preserve"> </w:t>
      </w:r>
      <w:r>
        <w:rPr>
          <w:rFonts w:ascii="Book Antiqua" w:eastAsia="Book Antiqua" w:hAnsi="Book Antiqua" w:cs="Book Antiqua"/>
          <w:color w:val="000000"/>
        </w:rPr>
        <w:t>Conversely, the following factors seem to be of minor importance: HBV and HIV coinfections, extrahepatic manifestations of HCV infection, and coexistence of HCC.</w:t>
      </w:r>
    </w:p>
    <w:p w14:paraId="1C98DC23" w14:textId="79C6789C"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Male sex was statistically significant in the conventional statistics. However, in the </w:t>
      </w:r>
      <w:r w:rsidR="00967B39">
        <w:rPr>
          <w:rFonts w:ascii="Book Antiqua" w:eastAsia="Book Antiqua" w:hAnsi="Book Antiqua" w:cs="Book Antiqua"/>
          <w:color w:val="000000"/>
        </w:rPr>
        <w:t>ML</w:t>
      </w:r>
      <w:r>
        <w:rPr>
          <w:rFonts w:ascii="Book Antiqua" w:eastAsia="Book Antiqua" w:hAnsi="Book Antiqua" w:cs="Book Antiqua"/>
          <w:color w:val="000000"/>
        </w:rPr>
        <w:t xml:space="preserve"> analysis, this parameter did not significantly affect treatment outcome (average accuracy decrease: 31</w:t>
      </w:r>
      <w:r>
        <w:rPr>
          <w:rFonts w:ascii="Book Antiqua" w:eastAsia="Book Antiqua" w:hAnsi="Book Antiqua" w:cs="Book Antiqua"/>
          <w:color w:val="000000"/>
          <w:szCs w:val="30"/>
          <w:vertAlign w:val="superscript"/>
        </w:rPr>
        <w:t>st</w:t>
      </w:r>
      <w:r w:rsidR="00967B39">
        <w:rPr>
          <w:rFonts w:ascii="Book Antiqua" w:eastAsia="Book Antiqua" w:hAnsi="Book Antiqua" w:cs="Book Antiqua"/>
          <w:color w:val="000000"/>
        </w:rPr>
        <w:t xml:space="preserve"> </w:t>
      </w:r>
      <w:r>
        <w:rPr>
          <w:rFonts w:ascii="Book Antiqua" w:eastAsia="Book Antiqua" w:hAnsi="Book Antiqua" w:cs="Book Antiqua"/>
          <w:color w:val="000000"/>
        </w:rPr>
        <w:t>position, loss of the Gini coefficient: 14</w:t>
      </w:r>
      <w:r>
        <w:rPr>
          <w:rFonts w:ascii="Book Antiqua" w:eastAsia="Book Antiqua" w:hAnsi="Book Antiqua" w:cs="Book Antiqua"/>
          <w:color w:val="000000"/>
          <w:szCs w:val="30"/>
          <w:vertAlign w:val="superscript"/>
        </w:rPr>
        <w:t>th</w:t>
      </w:r>
      <w:r w:rsidR="00967B39">
        <w:rPr>
          <w:rFonts w:ascii="Book Antiqua" w:eastAsia="Book Antiqua" w:hAnsi="Book Antiqua" w:cs="Book Antiqua"/>
          <w:color w:val="000000"/>
        </w:rPr>
        <w:t xml:space="preserve"> </w:t>
      </w:r>
      <w:r>
        <w:rPr>
          <w:rFonts w:ascii="Book Antiqua" w:eastAsia="Book Antiqua" w:hAnsi="Book Antiqua" w:cs="Book Antiqua"/>
          <w:color w:val="000000"/>
        </w:rPr>
        <w:t>position).</w:t>
      </w:r>
    </w:p>
    <w:p w14:paraId="2F41EC0E" w14:textId="77777777" w:rsidR="00A77B3E" w:rsidRDefault="00A77B3E">
      <w:pPr>
        <w:spacing w:line="360" w:lineRule="auto"/>
        <w:jc w:val="both"/>
      </w:pPr>
    </w:p>
    <w:p w14:paraId="0F09978D" w14:textId="77777777" w:rsidR="00A77B3E" w:rsidRDefault="0052402A">
      <w:pPr>
        <w:spacing w:line="360" w:lineRule="auto"/>
        <w:jc w:val="both"/>
      </w:pPr>
      <w:r>
        <w:rPr>
          <w:rFonts w:ascii="Book Antiqua" w:eastAsia="Book Antiqua" w:hAnsi="Book Antiqua" w:cs="Book Antiqua"/>
          <w:b/>
          <w:caps/>
          <w:color w:val="000000"/>
          <w:u w:val="single"/>
        </w:rPr>
        <w:t>DISCUSSION</w:t>
      </w:r>
    </w:p>
    <w:p w14:paraId="7E07B41E" w14:textId="04EC7C9B" w:rsidR="00A77B3E" w:rsidRDefault="0052402A">
      <w:pPr>
        <w:spacing w:line="360" w:lineRule="auto"/>
        <w:jc w:val="both"/>
      </w:pPr>
      <w:r>
        <w:rPr>
          <w:rFonts w:ascii="Book Antiqua" w:eastAsia="Book Antiqua" w:hAnsi="Book Antiqua" w:cs="Book Antiqua"/>
          <w:color w:val="000000"/>
        </w:rPr>
        <w:t>Treatment of chronic hepatitis C with DAAs rarely does not eliminate HCV infection. In our group, 97% of patients achieved SVR, which is consistent with the results of clinical trials</w:t>
      </w:r>
      <w:r>
        <w:rPr>
          <w:rFonts w:ascii="Book Antiqua" w:eastAsia="Book Antiqua" w:hAnsi="Book Antiqua" w:cs="Book Antiqua"/>
          <w:color w:val="000000"/>
          <w:szCs w:val="30"/>
          <w:vertAlign w:val="superscript"/>
        </w:rPr>
        <w:t>[1-3,8,9]</w:t>
      </w:r>
      <w:r w:rsidR="00967B39">
        <w:rPr>
          <w:rFonts w:ascii="Book Antiqua" w:eastAsia="Book Antiqua" w:hAnsi="Book Antiqua" w:cs="Book Antiqua"/>
          <w:color w:val="000000"/>
        </w:rPr>
        <w:t xml:space="preserve"> </w:t>
      </w:r>
      <w:r>
        <w:rPr>
          <w:rFonts w:ascii="Book Antiqua" w:eastAsia="Book Antiqua" w:hAnsi="Book Antiqua" w:cs="Book Antiqua"/>
          <w:color w:val="000000"/>
        </w:rPr>
        <w:t>and other cohort studies</w:t>
      </w:r>
      <w:r>
        <w:rPr>
          <w:rFonts w:ascii="Book Antiqua" w:eastAsia="Book Antiqua" w:hAnsi="Book Antiqua" w:cs="Book Antiqua"/>
          <w:color w:val="000000"/>
          <w:szCs w:val="30"/>
          <w:vertAlign w:val="superscript"/>
        </w:rPr>
        <w:t>[13-17]</w:t>
      </w:r>
      <w:r>
        <w:rPr>
          <w:rFonts w:ascii="Book Antiqua" w:eastAsia="Book Antiqua" w:hAnsi="Book Antiqua" w:cs="Book Antiqua"/>
          <w:color w:val="000000"/>
        </w:rPr>
        <w:t>. In the analysis of our large, multicenter cohort of over 11000 patients, we assessed the factors that may have contributed to the ineffectiveness of DAA therapy in the remaining 3%.</w:t>
      </w:r>
    </w:p>
    <w:p w14:paraId="0895D013" w14:textId="51B0C117"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Due to the specifics of the collected data (a very large study group, a large number of variables, a large disproportion between the number of patients who achieved and did not achieve SVR), we utilized </w:t>
      </w:r>
      <w:r w:rsidR="00967B39">
        <w:rPr>
          <w:rFonts w:ascii="Book Antiqua" w:eastAsia="Book Antiqua" w:hAnsi="Book Antiqua" w:cs="Book Antiqua"/>
          <w:color w:val="000000"/>
        </w:rPr>
        <w:t>ML</w:t>
      </w:r>
      <w:r>
        <w:rPr>
          <w:rFonts w:ascii="Book Antiqua" w:eastAsia="Book Antiqua" w:hAnsi="Book Antiqua" w:cs="Book Antiqua"/>
          <w:color w:val="000000"/>
        </w:rPr>
        <w:t xml:space="preserve"> techniques in addition to the traditional statistical analysis. Both types of statistical analysis revealed that the factors that have the greatest negative impact on the efficacy of DAA treatment are those related to the advancement of liver disease and impairment of its function. These observations are in line with the results of other cohort studies</w:t>
      </w:r>
      <w:r>
        <w:rPr>
          <w:rFonts w:ascii="Book Antiqua" w:eastAsia="Book Antiqua" w:hAnsi="Book Antiqua" w:cs="Book Antiqua"/>
          <w:color w:val="000000"/>
          <w:szCs w:val="30"/>
          <w:vertAlign w:val="superscript"/>
        </w:rPr>
        <w:t>[18-22]</w:t>
      </w:r>
      <w:r>
        <w:rPr>
          <w:rFonts w:ascii="Book Antiqua" w:eastAsia="Book Antiqua" w:hAnsi="Book Antiqua" w:cs="Book Antiqua"/>
          <w:color w:val="000000"/>
        </w:rPr>
        <w:t>. Because of the very low treatment failure rate, the numbers of patients failing to achieve SVR in these studies were significantly smaller than that in the present study. Gathering a group of 309 patients who did not achieve SVR makes our analysis more reliable than those conducted for groups with only several dozen non-SVR patients and can only be comparable to a few large study cohorts, such as the Veterans cohort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765C0F0A" w14:textId="6310B31B" w:rsidR="00A77B3E" w:rsidRDefault="0052402A" w:rsidP="00967B39">
      <w:pPr>
        <w:spacing w:line="360" w:lineRule="auto"/>
        <w:ind w:firstLineChars="100" w:firstLine="240"/>
        <w:jc w:val="both"/>
      </w:pPr>
      <w:r>
        <w:rPr>
          <w:rFonts w:ascii="Book Antiqua" w:eastAsia="Book Antiqua" w:hAnsi="Book Antiqua" w:cs="Book Antiqua"/>
          <w:color w:val="000000"/>
        </w:rPr>
        <w:t>In the classical statistical analysis, male sex seemed to be of importance, which is consistent with the findings of previous studies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However, in the </w:t>
      </w:r>
      <w:r w:rsidR="00967B39">
        <w:rPr>
          <w:rFonts w:ascii="Book Antiqua" w:eastAsia="Book Antiqua" w:hAnsi="Book Antiqua" w:cs="Book Antiqua"/>
          <w:color w:val="000000"/>
        </w:rPr>
        <w:t>ML</w:t>
      </w:r>
      <w:r>
        <w:rPr>
          <w:rFonts w:ascii="Book Antiqua" w:eastAsia="Book Antiqua" w:hAnsi="Book Antiqua" w:cs="Book Antiqua"/>
          <w:color w:val="000000"/>
        </w:rPr>
        <w:t xml:space="preserve"> analysis, this factor was not among those with the greatest impact on treatment efficacy. Another difference between conventional statistics and the ML algorithm is the significance of age, creatinine, and hemoglobin in relation to treatment failure. These factors appeared to be irrelevant in the conventional analysis; however, they were among the important determinants of treatment failure in the random forest algorithm. Higher BMI was also an unfavorable prognostic factor in both types of statistical analysis. Among the virological factors examined, genotype 3 and viral load appeared to influence the efficacy of DAA treatment as well. Different results were obtained by</w:t>
      </w:r>
      <w:r w:rsidRPr="00382E0D">
        <w:rPr>
          <w:rFonts w:ascii="Book Antiqua" w:eastAsia="Book Antiqua" w:hAnsi="Book Antiqua" w:cs="Book Antiqua"/>
          <w:color w:val="000000"/>
        </w:rPr>
        <w:t xml:space="preserve"> </w:t>
      </w:r>
      <w:r w:rsidR="00CA456B" w:rsidRPr="00382E0D">
        <w:rPr>
          <w:rStyle w:val="jlqj4b"/>
          <w:rFonts w:ascii="Book Antiqua" w:hAnsi="Book Antiqua"/>
          <w:bCs/>
        </w:rPr>
        <w:t>Ioannou</w:t>
      </w:r>
      <w:r w:rsidR="00CA456B" w:rsidRPr="00382E0D" w:rsidDel="00CA456B">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67B39">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a large cohort of Veterans, in which, using conventional statistical methods, viral load and age had no effect on the treatment efficacy.</w:t>
      </w:r>
    </w:p>
    <w:p w14:paraId="2983D17F" w14:textId="77777777" w:rsidR="00A77B3E" w:rsidRDefault="0052402A" w:rsidP="00967B39">
      <w:pPr>
        <w:spacing w:line="360" w:lineRule="auto"/>
        <w:ind w:firstLineChars="100" w:firstLine="240"/>
        <w:jc w:val="both"/>
      </w:pPr>
      <w:r>
        <w:rPr>
          <w:rFonts w:ascii="Book Antiqua" w:eastAsia="Book Antiqua" w:hAnsi="Book Antiqua" w:cs="Book Antiqua"/>
          <w:color w:val="000000"/>
        </w:rPr>
        <w:t>Neither HBV nor HIV coinfection influenced the results of therapy in our group.</w:t>
      </w:r>
    </w:p>
    <w:p w14:paraId="4108CD67" w14:textId="3E5E19AF"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Rial-Crestelo </w:t>
      </w:r>
      <w:r>
        <w:rPr>
          <w:rFonts w:ascii="Book Antiqua" w:eastAsia="Book Antiqua" w:hAnsi="Book Antiqua" w:cs="Book Antiqua"/>
          <w:i/>
          <w:iCs/>
          <w:color w:val="000000"/>
        </w:rPr>
        <w:t>et al</w:t>
      </w:r>
      <w:r w:rsidR="00967B39">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their publication, describes a cohort of 316 patients with HCV/HIV coinfection treated with DAAs between 2014 and 2018 (including 43.9% cirrhotics), in which the SVR rate was 90.9%. The factors with the greatest impact on the therapy ineffectiveness in this group were alcohol abuse and higher bilirubin levels. In our cohort, patients co-infected with HIV accounted for 5%, and only patients without active addictions were eligible for treatment. Higher bilirubin levels in our study were also associated with less effective therapy, as demonstrated by both traditional statistics and </w:t>
      </w:r>
      <w:r w:rsidR="00967B39">
        <w:rPr>
          <w:rFonts w:ascii="Book Antiqua" w:eastAsia="Book Antiqua" w:hAnsi="Book Antiqua" w:cs="Book Antiqua"/>
          <w:color w:val="000000"/>
        </w:rPr>
        <w:t>ML</w:t>
      </w:r>
      <w:r>
        <w:rPr>
          <w:rFonts w:ascii="Book Antiqua" w:eastAsia="Book Antiqua" w:hAnsi="Book Antiqua" w:cs="Book Antiqua"/>
          <w:color w:val="000000"/>
        </w:rPr>
        <w:t>.</w:t>
      </w:r>
    </w:p>
    <w:p w14:paraId="09BCC136" w14:textId="7AFF68EC" w:rsidR="00A77B3E" w:rsidRDefault="0052402A" w:rsidP="00967B39">
      <w:pPr>
        <w:spacing w:line="360" w:lineRule="auto"/>
        <w:ind w:firstLineChars="100" w:firstLine="240"/>
        <w:jc w:val="both"/>
      </w:pPr>
      <w:r>
        <w:rPr>
          <w:rFonts w:ascii="Book Antiqua" w:eastAsia="Book Antiqua" w:hAnsi="Book Antiqua" w:cs="Book Antiqua"/>
          <w:color w:val="000000"/>
        </w:rPr>
        <w:t xml:space="preserve">Part of the analyzed parameters showed a significant impact on the treatment effect in both “traditional” statistics and </w:t>
      </w:r>
      <w:r w:rsidR="00967B39">
        <w:rPr>
          <w:rFonts w:ascii="Book Antiqua" w:eastAsia="Book Antiqua" w:hAnsi="Book Antiqua" w:cs="Book Antiqua"/>
          <w:color w:val="000000"/>
        </w:rPr>
        <w:t>ML</w:t>
      </w:r>
      <w:r>
        <w:rPr>
          <w:rFonts w:ascii="Book Antiqua" w:eastAsia="Book Antiqua" w:hAnsi="Book Antiqua" w:cs="Book Antiqua"/>
          <w:color w:val="000000"/>
        </w:rPr>
        <w:t>. For other parameters, we observed differences in statistical significance between these methods.</w:t>
      </w:r>
    </w:p>
    <w:p w14:paraId="294CF176" w14:textId="77777777" w:rsidR="00A77B3E" w:rsidRDefault="0052402A" w:rsidP="00967B39">
      <w:pPr>
        <w:spacing w:line="360" w:lineRule="auto"/>
        <w:ind w:firstLineChars="100" w:firstLine="240"/>
        <w:jc w:val="both"/>
      </w:pPr>
      <w:r>
        <w:rPr>
          <w:rFonts w:ascii="Book Antiqua" w:eastAsia="Book Antiqua" w:hAnsi="Book Antiqua" w:cs="Book Antiqua"/>
          <w:color w:val="000000"/>
        </w:rPr>
        <w:t>Direct comparison of these methods is difficult, because they involve different aspects of data collected. "Traditional" statistics cannot assess the interaction between many continuous variables and many factors simultaneously. We used this method for univariate analysis only.</w:t>
      </w:r>
    </w:p>
    <w:p w14:paraId="07D8023B" w14:textId="58DAF1ED" w:rsidR="00A77B3E" w:rsidRDefault="00967B39" w:rsidP="00967B39">
      <w:pPr>
        <w:spacing w:line="360" w:lineRule="auto"/>
        <w:ind w:firstLineChars="100" w:firstLine="240"/>
        <w:jc w:val="both"/>
      </w:pPr>
      <w:r>
        <w:rPr>
          <w:rFonts w:ascii="Book Antiqua" w:eastAsia="Book Antiqua" w:hAnsi="Book Antiqua" w:cs="Book Antiqua"/>
          <w:color w:val="000000"/>
        </w:rPr>
        <w:t>ML</w:t>
      </w:r>
      <w:r w:rsidR="0052402A">
        <w:rPr>
          <w:rFonts w:ascii="Book Antiqua" w:eastAsia="Book Antiqua" w:hAnsi="Book Antiqua" w:cs="Book Antiqua"/>
          <w:color w:val="000000"/>
        </w:rPr>
        <w:t xml:space="preserve"> algorithms are a multivariate way to analyze the data. It takes into account interaction between all variables, and this is a reason for inconsistency between "traditional" and ML sections. In our opinion, </w:t>
      </w:r>
      <w:r>
        <w:rPr>
          <w:rFonts w:ascii="Book Antiqua" w:eastAsia="Book Antiqua" w:hAnsi="Book Antiqua" w:cs="Book Antiqua"/>
          <w:color w:val="000000"/>
        </w:rPr>
        <w:t>ML</w:t>
      </w:r>
      <w:r w:rsidR="0052402A">
        <w:rPr>
          <w:rFonts w:ascii="Book Antiqua" w:eastAsia="Book Antiqua" w:hAnsi="Book Antiqua" w:cs="Book Antiqua"/>
          <w:color w:val="000000"/>
        </w:rPr>
        <w:t xml:space="preserve"> algorithms</w:t>
      </w:r>
      <w:r>
        <w:rPr>
          <w:rFonts w:ascii="Book Antiqua" w:eastAsia="Book Antiqua" w:hAnsi="Book Antiqua" w:cs="Book Antiqua"/>
          <w:color w:val="000000"/>
        </w:rPr>
        <w:t xml:space="preserve"> </w:t>
      </w:r>
      <w:r w:rsidR="0052402A">
        <w:rPr>
          <w:rFonts w:ascii="Book Antiqua" w:eastAsia="Book Antiqua" w:hAnsi="Book Antiqua" w:cs="Book Antiqua"/>
          <w:color w:val="000000"/>
        </w:rPr>
        <w:t>perform better because of the following reasons</w:t>
      </w:r>
      <w:bookmarkStart w:id="4" w:name="_Hlk61967700"/>
      <w:r w:rsidRPr="008D1AA7">
        <w:rPr>
          <w:rFonts w:ascii="Book Antiqua" w:eastAsia="Book Antiqua" w:hAnsi="Book Antiqua" w:cs="Book Antiqua"/>
          <w:bCs/>
          <w:color w:val="000000"/>
        </w:rPr>
        <w:t>—</w:t>
      </w:r>
      <w:bookmarkEnd w:id="4"/>
      <w:r w:rsidR="0052402A">
        <w:rPr>
          <w:rFonts w:ascii="Book Antiqua" w:eastAsia="Book Antiqua" w:hAnsi="Book Antiqua" w:cs="Book Antiqua"/>
          <w:color w:val="000000"/>
        </w:rPr>
        <w:t>the large data frame with more than 11000 observations and a significant disproportion between patients who achieved and did not achieve SVR (97</w:t>
      </w:r>
      <w:r>
        <w:rPr>
          <w:rFonts w:ascii="Book Antiqua" w:eastAsia="Book Antiqua" w:hAnsi="Book Antiqua" w:cs="Book Antiqua"/>
          <w:color w:val="000000"/>
        </w:rPr>
        <w:t>%</w:t>
      </w:r>
      <w:r w:rsidR="0052402A">
        <w:rPr>
          <w:rFonts w:ascii="Book Antiqua" w:eastAsia="Book Antiqua" w:hAnsi="Book Antiqua" w:cs="Book Antiqua"/>
          <w:color w:val="000000"/>
        </w:rPr>
        <w:t xml:space="preserve"> </w:t>
      </w:r>
      <w:r w:rsidR="007C69C8" w:rsidRPr="007C69C8">
        <w:rPr>
          <w:rFonts w:ascii="Book Antiqua" w:eastAsia="Book Antiqua" w:hAnsi="Book Antiqua" w:cs="Book Antiqua"/>
          <w:i/>
          <w:iCs/>
          <w:color w:val="000000"/>
        </w:rPr>
        <w:t>vs</w:t>
      </w:r>
      <w:r w:rsidR="0052402A">
        <w:rPr>
          <w:rFonts w:ascii="Book Antiqua" w:eastAsia="Book Antiqua" w:hAnsi="Book Antiqua" w:cs="Book Antiqua"/>
          <w:color w:val="000000"/>
        </w:rPr>
        <w:t xml:space="preserve"> 3%); ML counts interactions between all variables; the oversampling technique allows us to have equal groups of HCV RNA detectability (in standard statistics, oversampling does not work because multiplication of data may result in biased outcomes).</w:t>
      </w:r>
    </w:p>
    <w:p w14:paraId="04DA340E" w14:textId="37537B78" w:rsidR="00A77B3E" w:rsidRDefault="0052402A" w:rsidP="00967B39">
      <w:pPr>
        <w:spacing w:line="360" w:lineRule="auto"/>
        <w:ind w:firstLineChars="100" w:firstLine="240"/>
        <w:jc w:val="both"/>
      </w:pPr>
      <w:r>
        <w:rPr>
          <w:rFonts w:ascii="Book Antiqua" w:eastAsia="Book Antiqua" w:hAnsi="Book Antiqua" w:cs="Book Antiqua"/>
          <w:color w:val="000000"/>
        </w:rPr>
        <w:t>The percentages of patients treated with VEL/SOF +/</w:t>
      </w:r>
      <w:r w:rsidR="00967B39">
        <w:rPr>
          <w:rFonts w:ascii="Book Antiqua" w:eastAsia="Book Antiqua" w:hAnsi="Book Antiqua" w:cs="Book Antiqua"/>
          <w:color w:val="000000"/>
        </w:rPr>
        <w:t>-</w:t>
      </w:r>
      <w:r>
        <w:rPr>
          <w:rFonts w:ascii="Book Antiqua" w:eastAsia="Book Antiqua" w:hAnsi="Book Antiqua" w:cs="Book Antiqua"/>
          <w:color w:val="000000"/>
        </w:rPr>
        <w:t xml:space="preserve"> RBV, ASV + DCV, and SOF + RBV were higher among patients without SVR than among those who achieved SVR.</w:t>
      </w:r>
    </w:p>
    <w:p w14:paraId="420BAD6A" w14:textId="77777777" w:rsidR="00A77B3E" w:rsidRDefault="0052402A" w:rsidP="00967B39">
      <w:pPr>
        <w:spacing w:line="360" w:lineRule="auto"/>
        <w:ind w:firstLineChars="100" w:firstLine="240"/>
        <w:jc w:val="both"/>
      </w:pPr>
      <w:r>
        <w:rPr>
          <w:rFonts w:ascii="Book Antiqua" w:eastAsia="Book Antiqua" w:hAnsi="Book Antiqua" w:cs="Book Antiqua"/>
          <w:color w:val="000000"/>
        </w:rPr>
        <w:t>The lower efficacy of treatment with SOF + RBV or ASV + DCV has been observed in previous studies and in clinical practice</w:t>
      </w:r>
      <w:r>
        <w:rPr>
          <w:rFonts w:ascii="Book Antiqua" w:eastAsia="Book Antiqua" w:hAnsi="Book Antiqua" w:cs="Book Antiqua"/>
          <w:color w:val="000000"/>
          <w:szCs w:val="30"/>
          <w:vertAlign w:val="superscript"/>
        </w:rPr>
        <w:t>[24-27]</w:t>
      </w:r>
      <w:r>
        <w:rPr>
          <w:rFonts w:ascii="Book Antiqua" w:eastAsia="Book Antiqua" w:hAnsi="Book Antiqua" w:cs="Book Antiqua"/>
          <w:color w:val="000000"/>
        </w:rPr>
        <w:t>.</w:t>
      </w:r>
    </w:p>
    <w:p w14:paraId="55089B6A" w14:textId="2B9AD804" w:rsidR="00A77B3E" w:rsidRDefault="0052402A" w:rsidP="00967B39">
      <w:pPr>
        <w:spacing w:line="360" w:lineRule="auto"/>
        <w:ind w:firstLineChars="100" w:firstLine="240"/>
        <w:jc w:val="both"/>
      </w:pPr>
      <w:r>
        <w:rPr>
          <w:rFonts w:ascii="Book Antiqua" w:eastAsia="Book Antiqua" w:hAnsi="Book Antiqua" w:cs="Book Antiqua"/>
          <w:color w:val="000000"/>
        </w:rPr>
        <w:t>The relatively high percentage of patients treated with VEL/SOF +/</w:t>
      </w:r>
      <w:r w:rsidR="00967B39">
        <w:rPr>
          <w:rFonts w:ascii="Book Antiqua" w:eastAsia="Book Antiqua" w:hAnsi="Book Antiqua" w:cs="Book Antiqua"/>
          <w:color w:val="000000"/>
        </w:rPr>
        <w:t>-</w:t>
      </w:r>
      <w:r>
        <w:rPr>
          <w:rFonts w:ascii="Book Antiqua" w:eastAsia="Book Antiqua" w:hAnsi="Book Antiqua" w:cs="Book Antiqua"/>
          <w:color w:val="000000"/>
        </w:rPr>
        <w:t xml:space="preserve"> RBV among therapy failures is somewhat surprising. However, patients with hepatic failure were treated with this drug because treatment with a regimen containing protease inhibitors is contraindicated in this group. Thus, higher treatment failure rates may be associated with more severe liver disease. On the other hand, no such effect was observed in patients treated with LDV/SOF +/</w:t>
      </w:r>
      <w:r w:rsidR="00967B39">
        <w:rPr>
          <w:rFonts w:ascii="Book Antiqua" w:eastAsia="Book Antiqua" w:hAnsi="Book Antiqua" w:cs="Book Antiqua"/>
          <w:color w:val="000000"/>
        </w:rPr>
        <w:t>-</w:t>
      </w:r>
      <w:r>
        <w:rPr>
          <w:rFonts w:ascii="Book Antiqua" w:eastAsia="Book Antiqua" w:hAnsi="Book Antiqua" w:cs="Book Antiqua"/>
          <w:color w:val="000000"/>
        </w:rPr>
        <w:t xml:space="preserve"> RBV in the earlier period of the EpiTer-2 study, when relatively more patients with advanced liver disease were included</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463F1E87" w14:textId="2D66D757" w:rsidR="00A77B3E" w:rsidRDefault="0052402A" w:rsidP="00967B39">
      <w:pPr>
        <w:spacing w:line="360" w:lineRule="auto"/>
        <w:ind w:firstLineChars="100" w:firstLine="240"/>
        <w:jc w:val="both"/>
      </w:pPr>
      <w:r>
        <w:rPr>
          <w:rFonts w:ascii="Book Antiqua" w:eastAsia="Book Antiqua" w:hAnsi="Book Antiqua" w:cs="Book Antiqua"/>
          <w:color w:val="000000"/>
        </w:rPr>
        <w:t>Resistance-associated variants (RASs) were not analyzed in this study because they are not routinely used in clinical practice and are determined only in a few cases at select centers.</w:t>
      </w:r>
      <w:r w:rsidR="00967B39">
        <w:rPr>
          <w:rFonts w:ascii="Book Antiqua" w:eastAsia="Book Antiqua" w:hAnsi="Book Antiqua" w:cs="Book Antiqua"/>
          <w:color w:val="000000"/>
        </w:rPr>
        <w:t xml:space="preserve"> </w:t>
      </w:r>
      <w:r>
        <w:rPr>
          <w:rStyle w:val="jlqj4b"/>
          <w:rFonts w:ascii="Book Antiqua" w:eastAsia="Book Antiqua" w:hAnsi="Book Antiqua" w:cs="Book Antiqua"/>
          <w:color w:val="000000"/>
        </w:rPr>
        <w:t>Pre-treatment RAS data were not available for all patients, although some who qualified had them assessed as part of a separate study</w:t>
      </w:r>
      <w:r>
        <w:rPr>
          <w:rStyle w:val="jlqj4b"/>
          <w:rFonts w:ascii="Book Antiqua" w:eastAsia="Book Antiqua" w:hAnsi="Book Antiqua" w:cs="Book Antiqua"/>
          <w:color w:val="000000"/>
          <w:szCs w:val="30"/>
          <w:vertAlign w:val="superscript"/>
        </w:rPr>
        <w:t>[29]</w:t>
      </w:r>
      <w:r>
        <w:rPr>
          <w:rStyle w:val="jlqj4b"/>
          <w:rFonts w:ascii="Book Antiqua" w:eastAsia="Book Antiqua" w:hAnsi="Book Antiqua" w:cs="Book Antiqua"/>
          <w:color w:val="000000"/>
        </w:rPr>
        <w:t>.</w:t>
      </w:r>
      <w:r w:rsidR="00967B39">
        <w:rPr>
          <w:rStyle w:val="jlqj4b"/>
          <w:rFonts w:ascii="Book Antiqua" w:eastAsia="Book Antiqua" w:hAnsi="Book Antiqua" w:cs="Book Antiqua"/>
          <w:color w:val="000000"/>
        </w:rPr>
        <w:t xml:space="preserve"> </w:t>
      </w:r>
      <w:r>
        <w:rPr>
          <w:rFonts w:ascii="Book Antiqua" w:eastAsia="Book Antiqua" w:hAnsi="Book Antiqua" w:cs="Book Antiqua"/>
          <w:color w:val="000000"/>
        </w:rPr>
        <w:t>A study carried out on a population partially overlapping our study group reported an increased frequency of baseline NS5A RASs (particularly Y93H) in patients with advanced fibrosis and cirrhosis.</w:t>
      </w:r>
      <w:r w:rsidR="00967B39">
        <w:rPr>
          <w:rFonts w:ascii="Book Antiqua" w:eastAsia="Book Antiqua" w:hAnsi="Book Antiqua" w:cs="Book Antiqua"/>
          <w:color w:val="000000"/>
        </w:rPr>
        <w:t xml:space="preserve"> </w:t>
      </w:r>
      <w:r>
        <w:rPr>
          <w:rStyle w:val="jlqj4b"/>
          <w:rFonts w:ascii="Book Antiqua" w:eastAsia="Book Antiqua" w:hAnsi="Book Antiqua" w:cs="Book Antiqua"/>
          <w:color w:val="000000"/>
        </w:rPr>
        <w:t xml:space="preserve">Data from the study by Parczewski </w:t>
      </w:r>
      <w:r>
        <w:rPr>
          <w:rStyle w:val="jlqj4b"/>
          <w:rFonts w:ascii="Book Antiqua" w:eastAsia="Book Antiqua" w:hAnsi="Book Antiqua" w:cs="Book Antiqua"/>
          <w:i/>
          <w:iCs/>
          <w:color w:val="000000"/>
        </w:rPr>
        <w:t>et al</w:t>
      </w:r>
      <w:r>
        <w:rPr>
          <w:rStyle w:val="jlqj4b"/>
          <w:rFonts w:ascii="Book Antiqua" w:eastAsia="Book Antiqua" w:hAnsi="Book Antiqua" w:cs="Book Antiqua"/>
          <w:color w:val="000000"/>
          <w:szCs w:val="30"/>
          <w:vertAlign w:val="superscript"/>
        </w:rPr>
        <w:t>[29]</w:t>
      </w:r>
      <w:r>
        <w:rPr>
          <w:rStyle w:val="jlqj4b"/>
          <w:rFonts w:ascii="Book Antiqua" w:eastAsia="Book Antiqua" w:hAnsi="Book Antiqua" w:cs="Book Antiqua"/>
          <w:color w:val="000000"/>
        </w:rPr>
        <w:t>, which included 265 patients, some of whom were subsequently treated in the EpiTer-2 study, suggest that</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the incidence of NS5A RASs increases in patients with advanced fibrosis and cirrhosis in comparison to levels observed in those with mild fibrosis, even in those with no history of antiviral therapy.</w:t>
      </w:r>
    </w:p>
    <w:p w14:paraId="7E8305E5" w14:textId="5D5FFAFF" w:rsidR="00A77B3E" w:rsidRDefault="0052402A" w:rsidP="00967B39">
      <w:pPr>
        <w:spacing w:line="360" w:lineRule="auto"/>
        <w:ind w:firstLineChars="100" w:firstLine="240"/>
        <w:jc w:val="both"/>
      </w:pPr>
      <w:r>
        <w:rPr>
          <w:rStyle w:val="jlqj4b"/>
          <w:rFonts w:ascii="Book Antiqua" w:eastAsia="Book Antiqua" w:hAnsi="Book Antiqua" w:cs="Book Antiqua"/>
          <w:color w:val="000000"/>
        </w:rPr>
        <w:t>The frequent occurrence of RASs was also observed in the Italian cohort of 87 patients after failing DAAs therapy, 79.5% of whom were patients with cirrhosis</w:t>
      </w:r>
      <w:r>
        <w:rPr>
          <w:rStyle w:val="jlqj4b"/>
          <w:rFonts w:ascii="Book Antiqua" w:eastAsia="Book Antiqua" w:hAnsi="Book Antiqua" w:cs="Book Antiqua"/>
          <w:color w:val="000000"/>
          <w:szCs w:val="30"/>
          <w:vertAlign w:val="superscript"/>
        </w:rPr>
        <w:t>[30]</w:t>
      </w:r>
      <w:r w:rsidR="00967B39" w:rsidRPr="00967B39">
        <w:rPr>
          <w:rStyle w:val="jlqj4b"/>
          <w:rFonts w:ascii="Book Antiqua" w:eastAsia="Book Antiqua" w:hAnsi="Book Antiqua" w:cs="Book Antiqua"/>
          <w:color w:val="000000"/>
          <w:szCs w:val="30"/>
        </w:rPr>
        <w:t>.</w:t>
      </w:r>
    </w:p>
    <w:p w14:paraId="03860EC4" w14:textId="2E17445C" w:rsidR="00A77B3E" w:rsidRDefault="0052402A" w:rsidP="00967B39">
      <w:pPr>
        <w:spacing w:line="360" w:lineRule="auto"/>
        <w:ind w:firstLineChars="100" w:firstLine="240"/>
        <w:jc w:val="both"/>
      </w:pPr>
      <w:r>
        <w:rPr>
          <w:rStyle w:val="jlqj4b"/>
          <w:rFonts w:ascii="Book Antiqua" w:eastAsia="Book Antiqua" w:hAnsi="Book Antiqua" w:cs="Book Antiqua"/>
          <w:color w:val="000000"/>
        </w:rPr>
        <w:t>Considering the lower efficacy of treatment in patients with advanced liver disease and a greater tendency to develop RASs in these groups</w:t>
      </w:r>
      <w:r>
        <w:rPr>
          <w:rStyle w:val="jlqj4b"/>
          <w:rFonts w:ascii="Book Antiqua" w:eastAsia="Book Antiqua" w:hAnsi="Book Antiqua" w:cs="Book Antiqua"/>
          <w:color w:val="000000"/>
          <w:szCs w:val="30"/>
          <w:vertAlign w:val="superscript"/>
        </w:rPr>
        <w:t>[29-31]</w:t>
      </w:r>
      <w:r>
        <w:rPr>
          <w:rStyle w:val="jlqj4b"/>
          <w:rFonts w:ascii="Book Antiqua" w:eastAsia="Book Antiqua" w:hAnsi="Book Antiqua" w:cs="Book Antiqua"/>
          <w:color w:val="000000"/>
        </w:rPr>
        <w:t>, sequencing tests should be considered in patients with cirrhosis, especially those with the features of deteriorating liver function (both with signs of overt failure and those meeting the Child-Pugh A criteria, but with decreased platelet count and albumin and/or elevated bilirubin). This would allow for the selection of personalized therapy with the maximum chance of eliminating HCV infection, which is important in this particular group of patients at risk of complications of liver cirrhosis and/or the development of HCC.</w:t>
      </w:r>
    </w:p>
    <w:p w14:paraId="48F13052" w14:textId="763EC9C1" w:rsidR="00A77B3E" w:rsidRDefault="0052402A" w:rsidP="00967B39">
      <w:pPr>
        <w:spacing w:line="360" w:lineRule="auto"/>
        <w:ind w:firstLineChars="100" w:firstLine="240"/>
        <w:jc w:val="both"/>
      </w:pPr>
      <w:r>
        <w:rPr>
          <w:rStyle w:val="jlqj4b"/>
          <w:rFonts w:ascii="Book Antiqua" w:eastAsia="Book Antiqua" w:hAnsi="Book Antiqua" w:cs="Book Antiqua"/>
          <w:color w:val="000000"/>
        </w:rPr>
        <w:t>Recently, there has been a tendency to shorten therapy in patients with cirrhosis,</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making its duration equal to that utilized in patients with less advanced liver disease</w:t>
      </w:r>
      <w:r>
        <w:rPr>
          <w:rStyle w:val="jlqj4b"/>
          <w:rFonts w:ascii="Book Antiqua" w:eastAsia="Book Antiqua" w:hAnsi="Book Antiqua" w:cs="Book Antiqua"/>
          <w:color w:val="000000"/>
          <w:szCs w:val="30"/>
          <w:vertAlign w:val="superscript"/>
        </w:rPr>
        <w:t>[32,33]</w:t>
      </w:r>
      <w:r>
        <w:rPr>
          <w:rStyle w:val="jlqj4b"/>
          <w:rFonts w:ascii="Book Antiqua" w:eastAsia="Book Antiqua" w:hAnsi="Book Antiqua" w:cs="Book Antiqua"/>
          <w:color w:val="000000"/>
        </w:rPr>
        <w:t>. Our data suggest that longer treatment durations should be considered in patients with cirrhosis, especially those with borderline or overt liver failure and high HCV viral load, with monitoring of early responses during the treatment period (response-guided therapy). Although the percentage of patients not achieving SVR was statistically low, this applies mainly to patients with cirrhosis, in whom the elimination of HCV sometimes determines their further health and even life. Therefore,</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a special approach to the treatment of these patients should be considered</w:t>
      </w:r>
      <w:r>
        <w:rPr>
          <w:rStyle w:val="jlqj4b"/>
          <w:rFonts w:ascii="Book Antiqua" w:eastAsia="Book Antiqua" w:hAnsi="Book Antiqua" w:cs="Book Antiqua"/>
          <w:color w:val="000000"/>
          <w:szCs w:val="30"/>
          <w:vertAlign w:val="superscript"/>
        </w:rPr>
        <w:t>[33,34]</w:t>
      </w:r>
      <w:r>
        <w:rPr>
          <w:rStyle w:val="jlqj4b"/>
          <w:rFonts w:ascii="Book Antiqua" w:eastAsia="Book Antiqua" w:hAnsi="Book Antiqua" w:cs="Book Antiqua"/>
          <w:color w:val="000000"/>
        </w:rPr>
        <w:t>. Due to the serious prognosis in these patients, it is important to maximize the effectiveness of the therapy in order to eliminate HCV infection as soon as possible, to prevent the development of additional RASs that can limit the efficacy of possible re-therapy, and</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to start the</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process of liver regeneration.</w:t>
      </w:r>
    </w:p>
    <w:p w14:paraId="67D79FB0" w14:textId="77777777" w:rsidR="00A77B3E" w:rsidRDefault="0052402A" w:rsidP="00967B39">
      <w:pPr>
        <w:spacing w:line="360" w:lineRule="auto"/>
        <w:ind w:firstLineChars="100" w:firstLine="240"/>
        <w:jc w:val="both"/>
      </w:pPr>
      <w:r>
        <w:rPr>
          <w:rStyle w:val="jlqj4b"/>
          <w:rFonts w:ascii="Book Antiqua" w:eastAsia="Book Antiqua" w:hAnsi="Book Antiqua" w:cs="Book Antiqua"/>
          <w:color w:val="000000"/>
        </w:rPr>
        <w:t>It would be advisable to conduct a further study to verify our findings and, if necessary, to develop guidelines for personalized therapy of such patients.</w:t>
      </w:r>
    </w:p>
    <w:p w14:paraId="56162456" w14:textId="5F2EDEC5" w:rsidR="00A77B3E" w:rsidRDefault="0052402A" w:rsidP="00967B39">
      <w:pPr>
        <w:spacing w:line="360" w:lineRule="auto"/>
        <w:ind w:firstLineChars="100" w:firstLine="240"/>
        <w:jc w:val="both"/>
      </w:pPr>
      <w:r>
        <w:rPr>
          <w:rFonts w:ascii="Book Antiqua" w:eastAsia="Book Antiqua" w:hAnsi="Book Antiqua" w:cs="Book Antiqua"/>
          <w:color w:val="000000"/>
        </w:rPr>
        <w:t>The strength of our study lies primarily in the inclusion of a large group of non-SVR patients treated in the setting of everyday clinical practice, which allowed us to assess the effects of treatment in patients with more advanced liver injury and concomitant diseases, in contrast to most clinical trials.</w:t>
      </w:r>
      <w:r w:rsidR="00967B39">
        <w:rPr>
          <w:rFonts w:ascii="Book Antiqua" w:eastAsia="Book Antiqua" w:hAnsi="Book Antiqua" w:cs="Book Antiqua"/>
          <w:color w:val="000000"/>
        </w:rPr>
        <w:t xml:space="preserve"> </w:t>
      </w:r>
      <w:r>
        <w:rPr>
          <w:rFonts w:ascii="Book Antiqua" w:eastAsia="Book Antiqua" w:hAnsi="Book Antiqua" w:cs="Book Antiqua"/>
          <w:color w:val="000000"/>
        </w:rPr>
        <w:t>There are, however, several limitations in our study.</w:t>
      </w:r>
      <w:r w:rsidR="00967B39">
        <w:rPr>
          <w:rFonts w:ascii="Book Antiqua" w:eastAsia="Book Antiqua" w:hAnsi="Book Antiqua" w:cs="Book Antiqua"/>
          <w:color w:val="000000"/>
        </w:rPr>
        <w:t xml:space="preserve"> </w:t>
      </w:r>
      <w:r>
        <w:rPr>
          <w:rStyle w:val="jlqj4b"/>
          <w:rFonts w:ascii="Book Antiqua" w:eastAsia="Book Antiqua" w:hAnsi="Book Antiqua" w:cs="Book Antiqua"/>
          <w:color w:val="000000"/>
        </w:rPr>
        <w:t>This was a cohort study in which various drugs were used depending on their availability over the 4-year data collection period. At that time, manufacturers also made changes to the characteristics of medicinal products used (</w:t>
      </w:r>
      <w:r w:rsidRPr="00967B39">
        <w:rPr>
          <w:rStyle w:val="jlqj4b"/>
          <w:rFonts w:ascii="Book Antiqua" w:eastAsia="Book Antiqua" w:hAnsi="Book Antiqua" w:cs="Book Antiqua"/>
          <w:i/>
          <w:iCs/>
          <w:color w:val="000000"/>
        </w:rPr>
        <w:t>e.g.</w:t>
      </w:r>
      <w:r>
        <w:rPr>
          <w:rStyle w:val="jlqj4b"/>
          <w:rFonts w:ascii="Book Antiqua" w:eastAsia="Book Antiqua" w:hAnsi="Book Antiqua" w:cs="Book Antiqua"/>
          <w:color w:val="000000"/>
        </w:rPr>
        <w:t>, shortening the treatment period, recommended treatment with or without RBV).</w:t>
      </w:r>
      <w:r w:rsidR="00967B39">
        <w:rPr>
          <w:rStyle w:val="jlqj4b"/>
          <w:rFonts w:ascii="Book Antiqua" w:eastAsia="Book Antiqua" w:hAnsi="Book Antiqua" w:cs="Book Antiqua"/>
          <w:color w:val="000000"/>
        </w:rPr>
        <w:t xml:space="preserve"> </w:t>
      </w:r>
      <w:r>
        <w:rPr>
          <w:rStyle w:val="jlqj4b"/>
          <w:rFonts w:ascii="Book Antiqua" w:eastAsia="Book Antiqua" w:hAnsi="Book Antiqua" w:cs="Book Antiqua"/>
          <w:color w:val="000000"/>
        </w:rPr>
        <w:t>However, it is known that these changes were introduced after evidence from clinical trials showed that they did not significantly reduce the efficacy of treatment and may improve the patient’s safety</w:t>
      </w:r>
      <w:r>
        <w:rPr>
          <w:rStyle w:val="jlqj4b"/>
          <w:rFonts w:ascii="Book Antiqua" w:eastAsia="Book Antiqua" w:hAnsi="Book Antiqua" w:cs="Book Antiqua"/>
          <w:color w:val="000000"/>
          <w:szCs w:val="30"/>
          <w:vertAlign w:val="superscript"/>
        </w:rPr>
        <w:t>[32]</w:t>
      </w:r>
      <w:r>
        <w:rPr>
          <w:rStyle w:val="jlqj4b"/>
          <w:rFonts w:ascii="Book Antiqua" w:eastAsia="Book Antiqua" w:hAnsi="Book Antiqua" w:cs="Book Antiqua"/>
          <w:color w:val="000000"/>
        </w:rPr>
        <w:t>.</w:t>
      </w:r>
    </w:p>
    <w:p w14:paraId="2A7CEBAF" w14:textId="77777777" w:rsidR="00A77B3E" w:rsidRDefault="0052402A" w:rsidP="00967B39">
      <w:pPr>
        <w:spacing w:line="360" w:lineRule="auto"/>
        <w:ind w:firstLineChars="100" w:firstLine="240"/>
        <w:jc w:val="both"/>
      </w:pPr>
      <w:r>
        <w:rPr>
          <w:rStyle w:val="jlqj4b"/>
          <w:rFonts w:ascii="Book Antiqua" w:eastAsia="Book Antiqua" w:hAnsi="Book Antiqua" w:cs="Book Antiqua"/>
          <w:color w:val="000000"/>
        </w:rPr>
        <w:t>In addition, some data were not entered for all patients, which is the case in such large, multicenter, real-world projects. However, despite the omitted data, the size of the group was large enough to draw reliable conclusions.</w:t>
      </w:r>
    </w:p>
    <w:p w14:paraId="156A5665" w14:textId="77777777" w:rsidR="00A77B3E" w:rsidRDefault="00A77B3E" w:rsidP="00967B39">
      <w:pPr>
        <w:spacing w:line="360" w:lineRule="auto"/>
        <w:jc w:val="both"/>
      </w:pPr>
    </w:p>
    <w:p w14:paraId="2B810E8D" w14:textId="77777777" w:rsidR="00A77B3E" w:rsidRDefault="0052402A">
      <w:pPr>
        <w:spacing w:line="360" w:lineRule="auto"/>
        <w:jc w:val="both"/>
      </w:pPr>
      <w:r>
        <w:rPr>
          <w:rFonts w:ascii="Book Antiqua" w:eastAsia="Book Antiqua" w:hAnsi="Book Antiqua" w:cs="Book Antiqua"/>
          <w:b/>
          <w:caps/>
          <w:color w:val="000000"/>
          <w:u w:val="single"/>
        </w:rPr>
        <w:t>CONCLUSION</w:t>
      </w:r>
    </w:p>
    <w:p w14:paraId="1117F0FF" w14:textId="46E45134" w:rsidR="00A77B3E" w:rsidRDefault="0052402A">
      <w:pPr>
        <w:spacing w:line="360" w:lineRule="auto"/>
        <w:jc w:val="both"/>
      </w:pPr>
      <w:r>
        <w:rPr>
          <w:rFonts w:ascii="Book Antiqua" w:eastAsia="Book Antiqua" w:hAnsi="Book Antiqua" w:cs="Book Antiqua"/>
          <w:color w:val="000000"/>
        </w:rPr>
        <w:t xml:space="preserve">In conclusion, our findings demonstrate that failure of treatment with DAAs occurs mainly in patients with liver cirrhosis and deterioration of liver function. Our </w:t>
      </w:r>
      <w:r w:rsidR="00967B39">
        <w:rPr>
          <w:rFonts w:ascii="Book Antiqua" w:eastAsia="Book Antiqua" w:hAnsi="Book Antiqua" w:cs="Book Antiqua"/>
          <w:color w:val="000000"/>
        </w:rPr>
        <w:t>ML</w:t>
      </w:r>
      <w:r>
        <w:rPr>
          <w:rFonts w:ascii="Book Antiqua" w:eastAsia="Book Antiqua" w:hAnsi="Book Antiqua" w:cs="Book Antiqua"/>
          <w:color w:val="000000"/>
        </w:rPr>
        <w:t xml:space="preserve"> analysis further revealed that older age, creatinine, and hemoglobin levels also influenced treatment failure, as did viral factors such as genotype 3 and viral load.</w:t>
      </w:r>
      <w:r w:rsidR="00967B39">
        <w:rPr>
          <w:rFonts w:ascii="Book Antiqua" w:eastAsia="Book Antiqua" w:hAnsi="Book Antiqua" w:cs="Book Antiqua"/>
          <w:color w:val="000000"/>
        </w:rPr>
        <w:t xml:space="preserve"> </w:t>
      </w:r>
      <w:r>
        <w:rPr>
          <w:rStyle w:val="jlqj4b"/>
          <w:rFonts w:ascii="Book Antiqua" w:eastAsia="Book Antiqua" w:hAnsi="Book Antiqua" w:cs="Book Antiqua"/>
          <w:color w:val="000000"/>
        </w:rPr>
        <w:t>In patients with advanced liver disease, individualization of therapy (RAS testing, response-guided treatment) should be considered to maximize the chance of achieving SVR.</w:t>
      </w:r>
    </w:p>
    <w:p w14:paraId="5E851BD6" w14:textId="77777777" w:rsidR="00A77B3E" w:rsidRDefault="00A77B3E">
      <w:pPr>
        <w:spacing w:line="360" w:lineRule="auto"/>
        <w:jc w:val="both"/>
      </w:pPr>
    </w:p>
    <w:p w14:paraId="3389B93C" w14:textId="77777777" w:rsidR="00A77B3E" w:rsidRDefault="0052402A">
      <w:pPr>
        <w:spacing w:line="360" w:lineRule="auto"/>
        <w:jc w:val="both"/>
      </w:pPr>
      <w:r>
        <w:rPr>
          <w:rFonts w:ascii="Book Antiqua" w:eastAsia="Book Antiqua" w:hAnsi="Book Antiqua" w:cs="Book Antiqua"/>
          <w:b/>
          <w:caps/>
          <w:color w:val="000000"/>
          <w:u w:val="single"/>
        </w:rPr>
        <w:t>ARTICLE HIGHLIGHTS</w:t>
      </w:r>
    </w:p>
    <w:p w14:paraId="4593FA21" w14:textId="77777777" w:rsidR="00A77B3E" w:rsidRDefault="0052402A">
      <w:pPr>
        <w:spacing w:line="360" w:lineRule="auto"/>
        <w:jc w:val="both"/>
      </w:pPr>
      <w:r>
        <w:rPr>
          <w:rFonts w:ascii="Book Antiqua" w:eastAsia="Book Antiqua" w:hAnsi="Book Antiqua" w:cs="Book Antiqua"/>
          <w:b/>
          <w:i/>
          <w:color w:val="000000"/>
        </w:rPr>
        <w:t>Research background</w:t>
      </w:r>
    </w:p>
    <w:p w14:paraId="58EF9AD4" w14:textId="5AEF9A5F" w:rsidR="00A77B3E" w:rsidRDefault="0052402A">
      <w:pPr>
        <w:spacing w:line="360" w:lineRule="auto"/>
        <w:jc w:val="both"/>
      </w:pPr>
      <w:r>
        <w:rPr>
          <w:rFonts w:ascii="Book Antiqua" w:eastAsia="Book Antiqua" w:hAnsi="Book Antiqua" w:cs="Book Antiqua"/>
          <w:color w:val="000000"/>
        </w:rPr>
        <w:t>Treatment with direct-acting antiviral drugs (DAAs) is highly effective and safe. Interferon-free therapies allow for a sustained virologic response (SVR) in over 90% of patients, both in randomized clinical trials and in real-world settings.</w:t>
      </w:r>
    </w:p>
    <w:p w14:paraId="7B13A4DB" w14:textId="77777777" w:rsidR="00A77B3E" w:rsidRDefault="00A77B3E">
      <w:pPr>
        <w:spacing w:line="360" w:lineRule="auto"/>
        <w:jc w:val="both"/>
      </w:pPr>
    </w:p>
    <w:p w14:paraId="3BA870B3" w14:textId="77777777" w:rsidR="00A77B3E" w:rsidRDefault="0052402A">
      <w:pPr>
        <w:spacing w:line="360" w:lineRule="auto"/>
        <w:jc w:val="both"/>
      </w:pPr>
      <w:r>
        <w:rPr>
          <w:rFonts w:ascii="Book Antiqua" w:eastAsia="Book Antiqua" w:hAnsi="Book Antiqua" w:cs="Book Antiqua"/>
          <w:b/>
          <w:i/>
          <w:color w:val="000000"/>
        </w:rPr>
        <w:t>Research motivation</w:t>
      </w:r>
    </w:p>
    <w:p w14:paraId="47F868B4" w14:textId="4BF8F3CD" w:rsidR="00A77B3E" w:rsidRDefault="0052402A">
      <w:pPr>
        <w:spacing w:line="360" w:lineRule="auto"/>
        <w:jc w:val="both"/>
      </w:pPr>
      <w:r>
        <w:rPr>
          <w:rFonts w:ascii="Book Antiqua" w:eastAsia="Book Antiqua" w:hAnsi="Book Antiqua" w:cs="Book Antiqua"/>
          <w:color w:val="000000"/>
        </w:rPr>
        <w:t>Treatment of chronic hepatitis C with DAAs rarely does not eliminate hepatitis C virus (HCV) infection. Numerous studies have confirmed the high efficacy of treatment with direct-acting antivirals. Most of the publications evaluating interferon-free therapies are devoted to assessing their efficacy and safety. Few researchers, however, have analyzed the factors that cause the therapy to fail in some patients.</w:t>
      </w:r>
    </w:p>
    <w:p w14:paraId="1FD5ADE4" w14:textId="77777777" w:rsidR="00A77B3E" w:rsidRDefault="00A77B3E">
      <w:pPr>
        <w:spacing w:line="360" w:lineRule="auto"/>
        <w:jc w:val="both"/>
      </w:pPr>
    </w:p>
    <w:p w14:paraId="637CB7E7" w14:textId="77777777" w:rsidR="00A77B3E" w:rsidRDefault="0052402A">
      <w:pPr>
        <w:spacing w:line="360" w:lineRule="auto"/>
        <w:jc w:val="both"/>
      </w:pPr>
      <w:r>
        <w:rPr>
          <w:rFonts w:ascii="Book Antiqua" w:eastAsia="Book Antiqua" w:hAnsi="Book Antiqua" w:cs="Book Antiqua"/>
          <w:b/>
          <w:i/>
          <w:color w:val="000000"/>
        </w:rPr>
        <w:t>Research objectives</w:t>
      </w:r>
    </w:p>
    <w:p w14:paraId="42A7FBF9" w14:textId="7FB5CCD0" w:rsidR="00A77B3E" w:rsidRDefault="0052402A">
      <w:pPr>
        <w:spacing w:line="360" w:lineRule="auto"/>
        <w:jc w:val="both"/>
      </w:pPr>
      <w:r>
        <w:rPr>
          <w:rFonts w:ascii="Book Antiqua" w:eastAsia="Book Antiqua" w:hAnsi="Book Antiqua" w:cs="Book Antiqua"/>
          <w:color w:val="000000"/>
        </w:rPr>
        <w:t>To analyze factors influencing the failure of direct antiviral drugs in the large, Polish multicenter EpiTer-2 cohort of 12614</w:t>
      </w:r>
      <w:r>
        <w:rPr>
          <w:rFonts w:ascii="Book Antiqua" w:eastAsia="Book Antiqua" w:hAnsi="Book Antiqua" w:cs="Book Antiqua"/>
          <w:b/>
          <w:bCs/>
          <w:color w:val="000000"/>
        </w:rPr>
        <w:t xml:space="preserve"> </w:t>
      </w:r>
      <w:r>
        <w:rPr>
          <w:rFonts w:ascii="Book Antiqua" w:eastAsia="Book Antiqua" w:hAnsi="Book Antiqua" w:cs="Book Antiqua"/>
          <w:color w:val="000000"/>
        </w:rPr>
        <w:t>patients in a real-world setting.</w:t>
      </w:r>
    </w:p>
    <w:p w14:paraId="417A5E3E" w14:textId="77777777" w:rsidR="00A77B3E" w:rsidRDefault="00A77B3E">
      <w:pPr>
        <w:spacing w:line="360" w:lineRule="auto"/>
        <w:jc w:val="both"/>
      </w:pPr>
    </w:p>
    <w:p w14:paraId="0E7E41C0" w14:textId="77777777" w:rsidR="00A77B3E" w:rsidRDefault="0052402A">
      <w:pPr>
        <w:spacing w:line="360" w:lineRule="auto"/>
        <w:jc w:val="both"/>
      </w:pPr>
      <w:r>
        <w:rPr>
          <w:rFonts w:ascii="Book Antiqua" w:eastAsia="Book Antiqua" w:hAnsi="Book Antiqua" w:cs="Book Antiqua"/>
          <w:b/>
          <w:i/>
          <w:color w:val="000000"/>
        </w:rPr>
        <w:t>Research methods</w:t>
      </w:r>
    </w:p>
    <w:p w14:paraId="1CAD1255" w14:textId="3B04EF89" w:rsidR="00A77B3E" w:rsidRDefault="0052402A">
      <w:pPr>
        <w:spacing w:line="360" w:lineRule="auto"/>
        <w:jc w:val="both"/>
      </w:pPr>
      <w:r>
        <w:rPr>
          <w:rFonts w:ascii="Book Antiqua" w:eastAsia="Book Antiqua" w:hAnsi="Book Antiqua" w:cs="Book Antiqua"/>
          <w:color w:val="000000"/>
        </w:rPr>
        <w:t>The study cohort consisted of patients treated at 22 centers from 2016-2020. Both standard and machine learning methods were used for statistical analysis.</w:t>
      </w:r>
    </w:p>
    <w:p w14:paraId="36A50778" w14:textId="77777777" w:rsidR="00A77B3E" w:rsidRDefault="00A77B3E">
      <w:pPr>
        <w:spacing w:line="360" w:lineRule="auto"/>
        <w:jc w:val="both"/>
      </w:pPr>
    </w:p>
    <w:p w14:paraId="741C5018" w14:textId="77777777" w:rsidR="00A77B3E" w:rsidRDefault="0052402A">
      <w:pPr>
        <w:spacing w:line="360" w:lineRule="auto"/>
        <w:jc w:val="both"/>
      </w:pPr>
      <w:r>
        <w:rPr>
          <w:rFonts w:ascii="Book Antiqua" w:eastAsia="Book Antiqua" w:hAnsi="Book Antiqua" w:cs="Book Antiqua"/>
          <w:b/>
          <w:i/>
          <w:color w:val="000000"/>
        </w:rPr>
        <w:t>Research results</w:t>
      </w:r>
    </w:p>
    <w:p w14:paraId="7D39B030" w14:textId="19E6D94C" w:rsidR="00A77B3E" w:rsidRDefault="0052402A">
      <w:pPr>
        <w:spacing w:line="360" w:lineRule="auto"/>
        <w:jc w:val="both"/>
      </w:pPr>
      <w:r>
        <w:rPr>
          <w:rFonts w:ascii="Book Antiqua" w:eastAsia="Book Antiqua" w:hAnsi="Book Antiqua" w:cs="Book Antiqua"/>
          <w:color w:val="000000"/>
        </w:rPr>
        <w:t>Among 11938 patients with SVR data available, 11629 (97%) achieved SVR and 309 (3%) did not. Most patients (78.1%) were infected with HCV genotype 1b. Liver cirrhosis was diagnosed in 2974 patients, advanced fibrosis (F3) in 1717 patients. The most important host factors negatively influencing treatment efficacy were liver cirrhosis, clinical and laboratory features of liver failure, history of hepatocellular carcinoma, and higher body mass index. Among viral factors, genotype 3 and viral load also exerted an influence on treatment efficacy.</w:t>
      </w:r>
    </w:p>
    <w:p w14:paraId="29290ADD" w14:textId="77777777" w:rsidR="00A77B3E" w:rsidRDefault="00A77B3E">
      <w:pPr>
        <w:spacing w:line="360" w:lineRule="auto"/>
        <w:jc w:val="both"/>
      </w:pPr>
    </w:p>
    <w:p w14:paraId="269289A4" w14:textId="77777777" w:rsidR="00A77B3E" w:rsidRDefault="0052402A">
      <w:pPr>
        <w:spacing w:line="360" w:lineRule="auto"/>
        <w:jc w:val="both"/>
      </w:pPr>
      <w:r>
        <w:rPr>
          <w:rFonts w:ascii="Book Antiqua" w:eastAsia="Book Antiqua" w:hAnsi="Book Antiqua" w:cs="Book Antiqua"/>
          <w:b/>
          <w:i/>
          <w:color w:val="000000"/>
        </w:rPr>
        <w:t>Research conclusions</w:t>
      </w:r>
    </w:p>
    <w:p w14:paraId="5EB72BBF" w14:textId="77777777" w:rsidR="00A77B3E" w:rsidRDefault="0052402A">
      <w:pPr>
        <w:spacing w:line="360" w:lineRule="auto"/>
        <w:jc w:val="both"/>
      </w:pPr>
      <w:r>
        <w:rPr>
          <w:rStyle w:val="jlqj4b"/>
          <w:rFonts w:ascii="Book Antiqua" w:eastAsia="Book Antiqua" w:hAnsi="Book Antiqua" w:cs="Book Antiqua"/>
          <w:color w:val="000000"/>
        </w:rPr>
        <w:t>In patients with advanced liver disease, individualized therapy (testing for resistance-associated variants and response-guided treatment) should be considered to maximize the chance of achieving SVR.</w:t>
      </w:r>
    </w:p>
    <w:p w14:paraId="3416300E" w14:textId="77777777" w:rsidR="00A77B3E" w:rsidRDefault="00A77B3E">
      <w:pPr>
        <w:spacing w:line="360" w:lineRule="auto"/>
        <w:jc w:val="both"/>
      </w:pPr>
    </w:p>
    <w:p w14:paraId="523E519E" w14:textId="77777777" w:rsidR="00A77B3E" w:rsidRDefault="0052402A">
      <w:pPr>
        <w:spacing w:line="360" w:lineRule="auto"/>
        <w:jc w:val="both"/>
      </w:pPr>
      <w:r>
        <w:rPr>
          <w:rFonts w:ascii="Book Antiqua" w:eastAsia="Book Antiqua" w:hAnsi="Book Antiqua" w:cs="Book Antiqua"/>
          <w:b/>
          <w:i/>
          <w:color w:val="000000"/>
        </w:rPr>
        <w:t>Research perspectives</w:t>
      </w:r>
    </w:p>
    <w:p w14:paraId="3BCDEDA5" w14:textId="6704E937" w:rsidR="00A77B3E" w:rsidRDefault="0052402A">
      <w:pPr>
        <w:spacing w:line="360" w:lineRule="auto"/>
        <w:jc w:val="both"/>
      </w:pPr>
      <w:r>
        <w:rPr>
          <w:rStyle w:val="jlqj4b"/>
          <w:rFonts w:ascii="Book Antiqua" w:eastAsia="Book Antiqua" w:hAnsi="Book Antiqua" w:cs="Book Antiqua"/>
          <w:color w:val="000000"/>
        </w:rPr>
        <w:t>The EpiTer-2 is still an active study, and data on patients treated for HCV infection are still being collected.</w:t>
      </w:r>
      <w:r>
        <w:rPr>
          <w:rFonts w:ascii="Book Antiqua" w:eastAsia="Book Antiqua" w:hAnsi="Book Antiqua" w:cs="Book Antiqua"/>
          <w:color w:val="000000"/>
        </w:rPr>
        <w:t xml:space="preserve"> </w:t>
      </w:r>
      <w:r>
        <w:rPr>
          <w:rStyle w:val="jlqj4b"/>
          <w:rFonts w:ascii="Book Antiqua" w:eastAsia="Book Antiqua" w:hAnsi="Book Antiqua" w:cs="Book Antiqua"/>
          <w:color w:val="000000"/>
        </w:rPr>
        <w:t>The obtained data will allow us to confirm the results of our research on a larger group of patients and to verify the validity of the hypothesis that individualization of therapy in patients with liver cirrhosis may improve the treatment efficacy.</w:t>
      </w:r>
    </w:p>
    <w:p w14:paraId="6622A536" w14:textId="5CA95A75" w:rsidR="00A77B3E" w:rsidRPr="007831A1" w:rsidRDefault="00A77B3E">
      <w:pPr>
        <w:spacing w:line="360" w:lineRule="auto"/>
        <w:jc w:val="both"/>
        <w:rPr>
          <w:rStyle w:val="jlqj4b"/>
          <w:rFonts w:ascii="Book Antiqua" w:eastAsia="Book Antiqua" w:hAnsi="Book Antiqua" w:cs="Book Antiqua"/>
          <w:color w:val="000000"/>
        </w:rPr>
      </w:pPr>
    </w:p>
    <w:p w14:paraId="292A310C" w14:textId="77777777" w:rsidR="007831A1" w:rsidRDefault="007831A1" w:rsidP="007831A1">
      <w:pPr>
        <w:spacing w:line="360" w:lineRule="auto"/>
        <w:jc w:val="both"/>
      </w:pPr>
      <w:r>
        <w:rPr>
          <w:rFonts w:ascii="Book Antiqua" w:eastAsia="Book Antiqua" w:hAnsi="Book Antiqua" w:cs="Book Antiqua"/>
          <w:b/>
          <w:caps/>
          <w:color w:val="000000"/>
          <w:u w:val="single"/>
        </w:rPr>
        <w:t>ACKNOWLEDGEMENTS</w:t>
      </w:r>
    </w:p>
    <w:p w14:paraId="3EEB8A29" w14:textId="5A477A3D" w:rsidR="007831A1" w:rsidRDefault="007831A1">
      <w:pPr>
        <w:spacing w:line="360" w:lineRule="auto"/>
        <w:jc w:val="both"/>
        <w:rPr>
          <w:rStyle w:val="jlqj4b"/>
          <w:rFonts w:ascii="Book Antiqua" w:eastAsia="Book Antiqua" w:hAnsi="Book Antiqua" w:cs="Book Antiqua"/>
          <w:color w:val="000000"/>
        </w:rPr>
      </w:pPr>
      <w:r>
        <w:rPr>
          <w:rStyle w:val="jlqj4b"/>
          <w:rFonts w:ascii="Book Antiqua" w:eastAsia="Book Antiqua" w:hAnsi="Book Antiqua" w:cs="Book Antiqua"/>
          <w:color w:val="000000"/>
        </w:rPr>
        <w:t xml:space="preserve">We would like to thank </w:t>
      </w:r>
      <w:r w:rsidRPr="007831A1">
        <w:rPr>
          <w:rStyle w:val="jlqj4b"/>
          <w:rFonts w:ascii="Book Antiqua" w:eastAsia="Book Antiqua" w:hAnsi="Book Antiqua" w:cs="Book Antiqua"/>
          <w:color w:val="000000"/>
        </w:rPr>
        <w:t>Polish Association of Epidemiologists and Infectiologists</w:t>
      </w:r>
      <w:r>
        <w:rPr>
          <w:rStyle w:val="jlqj4b"/>
          <w:rFonts w:ascii="Book Antiqua" w:eastAsia="Book Antiqua" w:hAnsi="Book Antiqua" w:cs="Book Antiqua"/>
          <w:color w:val="000000"/>
        </w:rPr>
        <w:t xml:space="preserve"> </w:t>
      </w:r>
      <w:r w:rsidRPr="007831A1">
        <w:rPr>
          <w:rStyle w:val="jlqj4b"/>
          <w:rFonts w:ascii="Book Antiqua" w:eastAsia="Book Antiqua" w:hAnsi="Book Antiqua" w:cs="Book Antiqua"/>
          <w:color w:val="000000"/>
        </w:rPr>
        <w:t>for the creation and maintenance of the database.</w:t>
      </w:r>
    </w:p>
    <w:p w14:paraId="032962CF" w14:textId="77777777" w:rsidR="007831A1" w:rsidRPr="007831A1" w:rsidRDefault="007831A1">
      <w:pPr>
        <w:spacing w:line="360" w:lineRule="auto"/>
        <w:jc w:val="both"/>
        <w:rPr>
          <w:rStyle w:val="jlqj4b"/>
          <w:rFonts w:ascii="Book Antiqua" w:eastAsia="Book Antiqua" w:hAnsi="Book Antiqua" w:cs="Book Antiqua"/>
          <w:color w:val="000000"/>
        </w:rPr>
      </w:pPr>
    </w:p>
    <w:p w14:paraId="15B2DDCA" w14:textId="77777777" w:rsidR="00A77B3E" w:rsidRDefault="0052402A">
      <w:pPr>
        <w:spacing w:line="360" w:lineRule="auto"/>
        <w:jc w:val="both"/>
      </w:pPr>
      <w:r>
        <w:rPr>
          <w:rFonts w:ascii="Book Antiqua" w:eastAsia="Book Antiqua" w:hAnsi="Book Antiqua" w:cs="Book Antiqua"/>
          <w:b/>
          <w:color w:val="000000"/>
        </w:rPr>
        <w:t>REFERENCES</w:t>
      </w:r>
    </w:p>
    <w:p w14:paraId="09F3447C" w14:textId="77777777" w:rsidR="00A77B3E" w:rsidRDefault="0052402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Ferenci P</w:t>
      </w:r>
      <w:r>
        <w:rPr>
          <w:rFonts w:ascii="Book Antiqua" w:eastAsia="Book Antiqua" w:hAnsi="Book Antiqua" w:cs="Book Antiqua"/>
          <w:color w:val="000000"/>
        </w:rPr>
        <w:t xml:space="preserve">, Bernstein D, Lalezari J, Cohen D, Luo Y, Cooper C, Tam E, Marinho RT, Tsai N, Nyberg A, Box TD, Younes Z, Enayati P, Green S, Baruch Y, Bhandari BR, Caruntu FA, Sepe T, Chulanov V, Janczewska E, Rizzardini G, Gervain J, Planas R, Moreno C, Hassanein T, Xie W, King M, Podsadecki T, Reddy KR; PEARL-III Study; PEARL-IV Study. ABT-450/r-ombitasvir and dasabuvir with or without ribavirin for HCV.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1983-1992 [PMID: 24795200 DOI: 10.1056/NEJMoa1402338]</w:t>
      </w:r>
    </w:p>
    <w:p w14:paraId="54970211" w14:textId="77777777" w:rsidR="00A77B3E" w:rsidRDefault="0052402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Zeuzem S</w:t>
      </w:r>
      <w:r>
        <w:rPr>
          <w:rFonts w:ascii="Book Antiqua" w:eastAsia="Book Antiqua" w:hAnsi="Book Antiqua" w:cs="Book Antiqua"/>
          <w:color w:val="000000"/>
        </w:rPr>
        <w:t xml:space="preserve">, Ghalib R, Reddy KR, Pockros PJ, Ben Ari Z, Zhao Y, Brown DD, Wan S, DiNubile MJ, Nguyen BY, Robertson MN, Wahl J, Barr E, Butterton JR. Grazoprevir-Elbasvir Combination Therapy for Treatment-Naive Cirrhotic and Noncirrhotic Patients With Chronic Hepatitis C Virus Genotype 1, 4, or 6 Infection: A Randomized Trial.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163</w:t>
      </w:r>
      <w:r>
        <w:rPr>
          <w:rFonts w:ascii="Book Antiqua" w:eastAsia="Book Antiqua" w:hAnsi="Book Antiqua" w:cs="Book Antiqua"/>
          <w:color w:val="000000"/>
        </w:rPr>
        <w:t>: 1-13 [PMID: 25909356 DOI: 10.7326/M15-0785]</w:t>
      </w:r>
    </w:p>
    <w:p w14:paraId="403728C8" w14:textId="77777777" w:rsidR="00A77B3E" w:rsidRDefault="0052402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Afdhal N</w:t>
      </w:r>
      <w:r>
        <w:rPr>
          <w:rFonts w:ascii="Book Antiqua" w:eastAsia="Book Antiqua" w:hAnsi="Book Antiqua" w:cs="Book Antiqua"/>
          <w:color w:val="000000"/>
        </w:rPr>
        <w:t xml:space="preserve">,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1889-1898 [PMID: 24725239 DOI: 10.1056/NEJMoa1402454]</w:t>
      </w:r>
    </w:p>
    <w:p w14:paraId="1F245BFF" w14:textId="092931D7" w:rsidR="00A77B3E" w:rsidRDefault="0052402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Mangia A</w:t>
      </w:r>
      <w:r>
        <w:rPr>
          <w:rFonts w:ascii="Book Antiqua" w:eastAsia="Book Antiqua" w:hAnsi="Book Antiqua" w:cs="Book Antiqua"/>
          <w:color w:val="000000"/>
        </w:rPr>
        <w:t xml:space="preserve">, Milligan S, Khalili M, Fagiuoli S, Shafran SD, Carrat F, Ouzan D, Papatheodoridis G, Ramji A, Borgia SM, Wedemeyer H, Losappio R, Pérez-Hernandez F, Wick N, Brown RS Jr, Lampertico P, Doucette K, Ntalla I, Ramroth H, Mertens M, Vanstraelen K, Turnes J. Global real-world evidence of sofosbuvir/velpatasvir as simple, effective HCV treatment: Analysis of 5552 patients from 12 cohorts.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1841-1852 [PMID: 32449966 DOI: 10.1111/</w:t>
      </w:r>
      <w:r w:rsidR="00387652">
        <w:rPr>
          <w:rFonts w:ascii="Book Antiqua" w:eastAsia="Book Antiqua" w:hAnsi="Book Antiqua" w:cs="Book Antiqua"/>
          <w:color w:val="000000"/>
        </w:rPr>
        <w:t>l</w:t>
      </w:r>
      <w:r>
        <w:rPr>
          <w:rFonts w:ascii="Book Antiqua" w:eastAsia="Book Antiqua" w:hAnsi="Book Antiqua" w:cs="Book Antiqua"/>
          <w:color w:val="000000"/>
        </w:rPr>
        <w:t>iv.14537]</w:t>
      </w:r>
    </w:p>
    <w:p w14:paraId="50EA0939" w14:textId="77777777" w:rsidR="00A77B3E" w:rsidRDefault="0052402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Puenpatom A</w:t>
      </w:r>
      <w:r>
        <w:rPr>
          <w:rFonts w:ascii="Book Antiqua" w:eastAsia="Book Antiqua" w:hAnsi="Book Antiqua" w:cs="Book Antiqua"/>
          <w:color w:val="000000"/>
        </w:rPr>
        <w:t xml:space="preserve">, Cao Y, Yu X, Kanwal F, El-Serag HB, Kramer JR. Effectiveness of Elbasvir/Grazoprevir in US Veterans with Chronic Hepatitis C Virus Genotype 1b Infection. </w:t>
      </w:r>
      <w:r>
        <w:rPr>
          <w:rFonts w:ascii="Book Antiqua" w:eastAsia="Book Antiqua" w:hAnsi="Book Antiqua" w:cs="Book Antiqua"/>
          <w:i/>
          <w:iCs/>
          <w:color w:val="000000"/>
        </w:rPr>
        <w:t>Infect Dis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355-365 [PMID: 32297307 DOI: 10.1007/s40121-020-00293-7]</w:t>
      </w:r>
    </w:p>
    <w:p w14:paraId="3D70A367" w14:textId="77777777" w:rsidR="00A77B3E" w:rsidRDefault="0052402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Zuckerman E</w:t>
      </w:r>
      <w:r>
        <w:rPr>
          <w:rFonts w:ascii="Book Antiqua" w:eastAsia="Book Antiqua" w:hAnsi="Book Antiqua" w:cs="Book Antiqua"/>
          <w:color w:val="000000"/>
        </w:rPr>
        <w:t xml:space="preserve">, Gutierrez JA, Dylla DE, de Ledinghen V, Muir AJ, Gschwantler M, Puoti M, Caruntu F, Slim J, Nevens F, Sigal S, Cohen S, Fredrick LM, Pires Dos Santos AG, Rodrigues L Jr, Dillon JF. Eight Weeks of Treatment With Glecaprevir/Pibrentasvir Is Safe and Efficacious in an Integrated Analysis of Treatment-Naïve Patients With Hepatitis C Virus 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2544-2553.e6 [PMID: 32621971 DOI: 10.1016/j.cgh.2020.06.044]</w:t>
      </w:r>
    </w:p>
    <w:p w14:paraId="25397C23" w14:textId="77777777" w:rsidR="00A77B3E" w:rsidRDefault="0052402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Boyle A</w:t>
      </w:r>
      <w:r>
        <w:rPr>
          <w:rFonts w:ascii="Book Antiqua" w:eastAsia="Book Antiqua" w:hAnsi="Book Antiqua" w:cs="Book Antiqua"/>
          <w:color w:val="000000"/>
        </w:rPr>
        <w:t xml:space="preserve">, Marra F, Peters E, Datta S, Ritchie T, Priest M, Heydtmann M, Barclay ST. Eight weeks of sofosbuvir/velpatasvir for genotype 3 hepatitis C in previously untreated patients with significant (F2/3) fibrosis.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371-375 [PMID: 31756019 DOI: 10.1111/jvh.13239]</w:t>
      </w:r>
    </w:p>
    <w:p w14:paraId="295C1CC3" w14:textId="77777777" w:rsidR="00A77B3E" w:rsidRDefault="0052402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Zoratti MJ</w:t>
      </w:r>
      <w:r>
        <w:rPr>
          <w:rFonts w:ascii="Book Antiqua" w:eastAsia="Book Antiqua" w:hAnsi="Book Antiqua" w:cs="Book Antiqua"/>
          <w:color w:val="000000"/>
        </w:rPr>
        <w:t xml:space="preserve">, Siddiqua A, Morassut RE, Zeraatkar D, Chou R, van Holten J, Xie F, Druyts E. Pangenotypic direct acting antivirals for the treatment of chronic hepatitis C virus infection: A systematic literature review and meta-analysis. </w:t>
      </w:r>
      <w:r>
        <w:rPr>
          <w:rFonts w:ascii="Book Antiqua" w:eastAsia="Book Antiqua" w:hAnsi="Book Antiqua" w:cs="Book Antiqua"/>
          <w:i/>
          <w:iCs/>
          <w:color w:val="000000"/>
        </w:rPr>
        <w:t>EClinicalMedicine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100237 [PMID: 31922124 DOI: 10.1016/j.eclinm.2019.12.007]</w:t>
      </w:r>
    </w:p>
    <w:p w14:paraId="4DC83AB5" w14:textId="77777777" w:rsidR="00A77B3E" w:rsidRDefault="0052402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Falade-Nwulia O</w:t>
      </w:r>
      <w:r>
        <w:rPr>
          <w:rFonts w:ascii="Book Antiqua" w:eastAsia="Book Antiqua" w:hAnsi="Book Antiqua" w:cs="Book Antiqua"/>
          <w:color w:val="000000"/>
        </w:rPr>
        <w:t xml:space="preserve">, Suarez-Cuervo C, Nelson DR, Fried MW, Segal JB, Sulkowski MS. Oral Direct-Acting Agent Therapy for Hepatitis C Virus Infection: A Systematic Review.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w:t>
      </w:r>
      <w:r>
        <w:rPr>
          <w:rFonts w:ascii="Book Antiqua" w:eastAsia="Book Antiqua" w:hAnsi="Book Antiqua" w:cs="Book Antiqua"/>
          <w:color w:val="000000"/>
        </w:rPr>
        <w:t>: 637-648 [PMID: 28319996 DOI: 10.7326/M16-2575]</w:t>
      </w:r>
    </w:p>
    <w:p w14:paraId="37567AEC" w14:textId="29D66C09" w:rsidR="00790643" w:rsidRPr="00881865" w:rsidRDefault="0052402A" w:rsidP="00DF7CAB">
      <w:pPr>
        <w:spacing w:line="360" w:lineRule="auto"/>
      </w:pPr>
      <w:r>
        <w:rPr>
          <w:rFonts w:ascii="Book Antiqua" w:eastAsia="Book Antiqua" w:hAnsi="Book Antiqua" w:cs="Book Antiqua"/>
          <w:color w:val="000000"/>
        </w:rPr>
        <w:t xml:space="preserve">10 </w:t>
      </w:r>
      <w:r w:rsidR="00881865" w:rsidRPr="00881865">
        <w:rPr>
          <w:rFonts w:ascii="Book Antiqua" w:eastAsia="Book Antiqua" w:hAnsi="Book Antiqua" w:cs="Book Antiqua"/>
          <w:b/>
          <w:bCs/>
          <w:color w:val="000000"/>
        </w:rPr>
        <w:t>Li T</w:t>
      </w:r>
      <w:r w:rsidR="00881865" w:rsidRPr="00881865">
        <w:rPr>
          <w:rFonts w:ascii="Book Antiqua" w:eastAsia="Book Antiqua" w:hAnsi="Book Antiqua" w:cs="Book Antiqua"/>
          <w:color w:val="000000"/>
        </w:rPr>
        <w:t xml:space="preserve">, Qu Y, Guo Y, Wang Y, Wang L. Efficacy and safety of direct-acting antivirals-based antiviral therapies for hepatitis C virus patients with stage 4-5 chronic kidney disease: a meta-analysis. </w:t>
      </w:r>
      <w:r w:rsidR="00881865" w:rsidRPr="00881865">
        <w:rPr>
          <w:rFonts w:ascii="Book Antiqua" w:eastAsia="Book Antiqua" w:hAnsi="Book Antiqua" w:cs="Book Antiqua"/>
          <w:i/>
          <w:iCs/>
          <w:color w:val="000000"/>
        </w:rPr>
        <w:t>Liver Int</w:t>
      </w:r>
      <w:r w:rsidR="00881865" w:rsidRPr="00881865">
        <w:rPr>
          <w:rFonts w:ascii="Book Antiqua" w:eastAsia="Book Antiqua" w:hAnsi="Book Antiqua" w:cs="Book Antiqua"/>
          <w:color w:val="000000"/>
        </w:rPr>
        <w:t xml:space="preserve"> 2017; </w:t>
      </w:r>
      <w:r w:rsidR="00881865" w:rsidRPr="00881865">
        <w:rPr>
          <w:rFonts w:ascii="Book Antiqua" w:eastAsia="Book Antiqua" w:hAnsi="Book Antiqua" w:cs="Book Antiqua"/>
          <w:b/>
          <w:bCs/>
          <w:color w:val="000000"/>
        </w:rPr>
        <w:t>37</w:t>
      </w:r>
      <w:r w:rsidR="00881865" w:rsidRPr="00881865">
        <w:rPr>
          <w:rFonts w:ascii="Book Antiqua" w:eastAsia="Book Antiqua" w:hAnsi="Book Antiqua" w:cs="Book Antiqua"/>
          <w:color w:val="000000"/>
        </w:rPr>
        <w:t>: 974-981 [PMID: 27943605 DOI: 10.1111/liv.13336]</w:t>
      </w:r>
    </w:p>
    <w:p w14:paraId="13924D4A" w14:textId="2A4B6D26" w:rsidR="00A77B3E" w:rsidRDefault="0052402A" w:rsidP="00A4707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Peters MG</w:t>
      </w:r>
      <w:r>
        <w:rPr>
          <w:rFonts w:ascii="Book Antiqua" w:eastAsia="Book Antiqua" w:hAnsi="Book Antiqua" w:cs="Book Antiqua"/>
          <w:color w:val="000000"/>
        </w:rPr>
        <w:t xml:space="preserve">, Kottilil S, Terrault N, Amara D, Husson J, Huprikar S, Florman S, Sulkowski MS, Durand CM, Luetkemeyer AF, Rogers R, Grab J, Haydel B, Blumberg E, Dove L, Emond J, Olthoff K, Smith C, Fishbein T, Masur H, Stock PG. Retrospective-prospective study of safety and efficacy of sofosbuvir-based direct-acting antivirals in HIV/HCV-coinfected participants with decompensated liver disease pre- or post-liver transplant.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[PMID: 33277801 DOI: 10.1111/ajt.16427]</w:t>
      </w:r>
    </w:p>
    <w:p w14:paraId="2AA704BA" w14:textId="0A013937" w:rsidR="005B60D8" w:rsidRPr="00382E0D" w:rsidRDefault="005B60D8" w:rsidP="00382E0D">
      <w:pPr>
        <w:spacing w:line="360" w:lineRule="auto"/>
        <w:jc w:val="both"/>
      </w:pPr>
      <w:r>
        <w:rPr>
          <w:rStyle w:val="jlqj4b"/>
          <w:rFonts w:ascii="Book Antiqua" w:hAnsi="Book Antiqua"/>
        </w:rPr>
        <w:t>12</w:t>
      </w:r>
      <w:r w:rsidRPr="00F16B6F">
        <w:rPr>
          <w:rStyle w:val="jlqj4b"/>
          <w:rFonts w:ascii="Book Antiqua" w:hAnsi="Book Antiqua"/>
        </w:rPr>
        <w:t xml:space="preserve"> </w:t>
      </w:r>
      <w:r w:rsidRPr="00F16B6F">
        <w:rPr>
          <w:rStyle w:val="jlqj4b"/>
          <w:rFonts w:ascii="Book Antiqua" w:hAnsi="Book Antiqua"/>
          <w:b/>
          <w:bCs/>
        </w:rPr>
        <w:t>Polish Group of Experts for HCV</w:t>
      </w:r>
      <w:r w:rsidRPr="00F16B6F">
        <w:rPr>
          <w:rStyle w:val="jlqj4b"/>
          <w:rFonts w:ascii="Book Antiqua" w:hAnsi="Book Antiqua"/>
        </w:rPr>
        <w:t>, Halota W, Flisiak R, Juszczyk J, Małkowski P, Pawłowska M, Simon K, Tomasiewicz K.</w:t>
      </w:r>
      <w:r>
        <w:rPr>
          <w:rStyle w:val="jlqj4b"/>
          <w:rFonts w:ascii="Book Antiqua" w:hAnsi="Book Antiqua"/>
        </w:rPr>
        <w:t xml:space="preserve"> </w:t>
      </w:r>
      <w:hyperlink r:id="rId8" w:history="1">
        <w:r w:rsidRPr="00F16B6F">
          <w:rPr>
            <w:rStyle w:val="jlqj4b"/>
            <w:rFonts w:ascii="Book Antiqua" w:hAnsi="Book Antiqua"/>
          </w:rPr>
          <w:t>Recommendations for the treatment of hepatitis C in 2017.</w:t>
        </w:r>
      </w:hyperlink>
      <w:r>
        <w:rPr>
          <w:rStyle w:val="jlqj4b"/>
          <w:rFonts w:ascii="Book Antiqua" w:hAnsi="Book Antiqua"/>
        </w:rPr>
        <w:t xml:space="preserve"> </w:t>
      </w:r>
      <w:r w:rsidRPr="00F16B6F">
        <w:rPr>
          <w:rStyle w:val="jlqj4b"/>
          <w:rFonts w:ascii="Book Antiqua" w:hAnsi="Book Antiqua"/>
          <w:i/>
          <w:iCs/>
        </w:rPr>
        <w:t>Clin Exp Hepatol</w:t>
      </w:r>
      <w:r>
        <w:rPr>
          <w:rStyle w:val="jlqj4b"/>
          <w:rFonts w:ascii="Book Antiqua" w:hAnsi="Book Antiqua"/>
        </w:rPr>
        <w:t xml:space="preserve"> </w:t>
      </w:r>
      <w:r w:rsidRPr="0025557C">
        <w:rPr>
          <w:rStyle w:val="jlqj4b"/>
          <w:rFonts w:ascii="Book Antiqua" w:hAnsi="Book Antiqua"/>
        </w:rPr>
        <w:t>2017; 3: 47</w:t>
      </w:r>
      <w:r w:rsidRPr="00F16B6F">
        <w:rPr>
          <w:rStyle w:val="jlqj4b"/>
          <w:rFonts w:ascii="Book Antiqua" w:hAnsi="Book Antiqua"/>
        </w:rPr>
        <w:t>-55</w:t>
      </w:r>
      <w:r>
        <w:rPr>
          <w:rStyle w:val="jlqj4b"/>
          <w:rFonts w:ascii="Book Antiqua" w:hAnsi="Book Antiqua"/>
        </w:rPr>
        <w:t xml:space="preserve"> [</w:t>
      </w:r>
      <w:r w:rsidRPr="00F16B6F">
        <w:rPr>
          <w:rStyle w:val="jlqj4b"/>
          <w:rFonts w:ascii="Book Antiqua" w:hAnsi="Book Antiqua"/>
        </w:rPr>
        <w:t>PMID: 2885629</w:t>
      </w:r>
      <w:r>
        <w:rPr>
          <w:rStyle w:val="jlqj4b"/>
          <w:rFonts w:ascii="Book Antiqua" w:hAnsi="Book Antiqua"/>
        </w:rPr>
        <w:t xml:space="preserve"> DOI</w:t>
      </w:r>
      <w:r w:rsidRPr="00F16B6F">
        <w:rPr>
          <w:rStyle w:val="jlqj4b"/>
          <w:rFonts w:ascii="Book Antiqua" w:hAnsi="Book Antiqua"/>
        </w:rPr>
        <w:t>: 10.5114/ceh.2017.67782</w:t>
      </w:r>
      <w:r>
        <w:rPr>
          <w:rStyle w:val="jlqj4b"/>
          <w:rFonts w:ascii="Book Antiqua" w:hAnsi="Book Antiqua"/>
        </w:rPr>
        <w:t>]</w:t>
      </w:r>
    </w:p>
    <w:p w14:paraId="4F7AE632" w14:textId="77777777" w:rsidR="00A77B3E" w:rsidRDefault="0052402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Calleja JL</w:t>
      </w:r>
      <w:r>
        <w:rPr>
          <w:rFonts w:ascii="Book Antiqua" w:eastAsia="Book Antiqua" w:hAnsi="Book Antiqua" w:cs="Book Antiqua"/>
          <w:color w:val="000000"/>
        </w:rPr>
        <w:t xml:space="preserve">, Crespo J, Rincón D, Ruiz-Antorán B, Fernandez I, Perelló C, Gea F, Lens S, García-Samaniego J, Sacristán B, García-Eliz M, Llerena S, Pascasio JM, Turnes J, Torras X, Morillas RM, Llaneras J, Serra MA, Diago M, Rodriguez CF, Ampuero J, Jorquera F, Simon MA, Arenas J, Navascues CA, Bañares R, Muñoz R, Albillos A, Mariño Z; Spanish Group for the Study of the Use of Direct-acting Drugs Hepatitis C Collaborating Group. Effectiveness, safety and clinical outcomes of direct-acting antiviral therapy in HCV genotype 1 infection: Results from a Spanish real-world cohort.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1138-1148 [PMID: 28189751 DOI: 10.1016/j.jhep.2017.01.028]</w:t>
      </w:r>
    </w:p>
    <w:p w14:paraId="38DDEA33" w14:textId="77777777" w:rsidR="00A77B3E" w:rsidRDefault="0052402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Bischoff J</w:t>
      </w:r>
      <w:r>
        <w:rPr>
          <w:rFonts w:ascii="Book Antiqua" w:eastAsia="Book Antiqua" w:hAnsi="Book Antiqua" w:cs="Book Antiqua"/>
          <w:color w:val="000000"/>
        </w:rPr>
        <w:t xml:space="preserve">, Mauss S, Cordes C, Lutz T, Scholten S, Moll A, Jäger H, Cornberg M, Manns MP, Baumgarten A, Rockstroh JK. Rates of sustained virological response 12 weeks after the scheduled end of direct-acting antiviral (DAA)-based hepatitis C virus (HCV) therapy from the National German HCV registry: does HIV coinfection impair the response to DAA combination therapy? </w:t>
      </w:r>
      <w:r>
        <w:rPr>
          <w:rFonts w:ascii="Book Antiqua" w:eastAsia="Book Antiqua" w:hAnsi="Book Antiqua" w:cs="Book Antiqua"/>
          <w:i/>
          <w:iCs/>
          <w:color w:val="000000"/>
        </w:rPr>
        <w:t>HIV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299-307 [PMID: 29368456 DOI: 10.1111/hiv.12579]</w:t>
      </w:r>
    </w:p>
    <w:p w14:paraId="346E7ECB" w14:textId="77777777" w:rsidR="00A77B3E" w:rsidRDefault="0052402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Huang CF</w:t>
      </w:r>
      <w:r>
        <w:rPr>
          <w:rFonts w:ascii="Book Antiqua" w:eastAsia="Book Antiqua" w:hAnsi="Book Antiqua" w:cs="Book Antiqua"/>
          <w:color w:val="000000"/>
        </w:rPr>
        <w:t xml:space="preserve">, Iio E, Jun DW, Ogawa E, Toyoda H, Hsu YC, Haga H, Iwane S, Enomoto M, Lee DH, Wong G, Liu CH, Tada T, Chuang WL, Cheung R, Hayashi J, Tseng CH, Yasuda S, Tran S, Kam L, Henry L, Jeong JY, Nomura H, Park SH, Nakamuta M, Huang JF, Tai CM, Lo GH, Lee MH, Yang HI, Kao JH, Tamori A, Eguchi Y, Ueno Y, Furusyo N, Tanaka Y, Yu ML, Nguyen MH; REAL-C Investigators. Direct-acting antivirals in East Asian hepatitis C patients: real-world experience from the REAL-C Consortium.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587-598 [PMID: 31463665 DOI: 10.1007/s12072-019-09974-z]</w:t>
      </w:r>
    </w:p>
    <w:p w14:paraId="0E030A8A" w14:textId="77777777" w:rsidR="00A77B3E" w:rsidRDefault="0052402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Salmon D</w:t>
      </w:r>
      <w:r>
        <w:rPr>
          <w:rFonts w:ascii="Book Antiqua" w:eastAsia="Book Antiqua" w:hAnsi="Book Antiqua" w:cs="Book Antiqua"/>
          <w:color w:val="000000"/>
        </w:rPr>
        <w:t xml:space="preserve">, Trimoulet P, Gilbert C, Solas C, Lafourcade E, Chas J, Piroth L, Lacombe K, Katlama C, Peytavin G, Aumaitre H, Alric L, Boué F, Morlat P, Poizot-Martin I, Billaud E, Rosenthal E, Naqvi A, Miailhes P, Bani-Sadr F, Esterle L, Carrieri P, Dabis F, Sogni P, Wittkop L; ANRS CO13 Hepavih study Group. Factors associated with DAA virological treatment failure and resistance-associated substitutions description in HIV/HCV coinfected patients.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856-866 [PMID: 30533186 DOI: 10.4254/wjh.v10.i11.856]</w:t>
      </w:r>
    </w:p>
    <w:p w14:paraId="25B80CFA" w14:textId="77777777" w:rsidR="00A77B3E" w:rsidRDefault="0052402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Dalgard O</w:t>
      </w:r>
      <w:r>
        <w:rPr>
          <w:rFonts w:ascii="Book Antiqua" w:eastAsia="Book Antiqua" w:hAnsi="Book Antiqua" w:cs="Book Antiqua"/>
          <w:color w:val="000000"/>
        </w:rPr>
        <w:t xml:space="preserve">, Weiland O, Noraberg G, Karlsen L, Heggelund L, Färkkilâ M, Balslev U, Belard E, Øvrehus A, Skalshøi Kjær M, Krarup H, Thorup Røge B, Hallager S, Madsen LG, Lund Laursen A, Lagging M, Weis N. Sofosbuvir based treatment of chronic hepatitis C genotype 3 infections-A Scandinavian real-life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e0179764 [PMID: 28704381 DOI: 10.1371/journal.pone.0179764]</w:t>
      </w:r>
    </w:p>
    <w:p w14:paraId="3D680F66" w14:textId="44ECC6AA" w:rsidR="00CA456B" w:rsidRDefault="00CA456B" w:rsidP="00382E0D">
      <w:pPr>
        <w:spacing w:line="360" w:lineRule="auto"/>
        <w:jc w:val="both"/>
      </w:pPr>
      <w:bookmarkStart w:id="5" w:name="_Hlk69406268"/>
      <w:r w:rsidRPr="005912C0">
        <w:rPr>
          <w:rStyle w:val="jlqj4b"/>
          <w:rFonts w:ascii="Book Antiqua" w:hAnsi="Book Antiqua"/>
        </w:rPr>
        <w:t>1</w:t>
      </w:r>
      <w:r>
        <w:rPr>
          <w:rStyle w:val="jlqj4b"/>
          <w:rFonts w:ascii="Book Antiqua" w:hAnsi="Book Antiqua"/>
        </w:rPr>
        <w:t>8</w:t>
      </w:r>
      <w:r w:rsidRPr="005912C0">
        <w:rPr>
          <w:rStyle w:val="jlqj4b"/>
          <w:rFonts w:ascii="Book Antiqua" w:hAnsi="Book Antiqua"/>
        </w:rPr>
        <w:t xml:space="preserve"> </w:t>
      </w:r>
      <w:r w:rsidRPr="005912C0">
        <w:rPr>
          <w:rStyle w:val="jlqj4b"/>
          <w:rFonts w:ascii="Book Antiqua" w:hAnsi="Book Antiqua"/>
          <w:b/>
          <w:bCs/>
        </w:rPr>
        <w:t>Ioannou GN</w:t>
      </w:r>
      <w:r w:rsidRPr="005912C0">
        <w:rPr>
          <w:rStyle w:val="jlqj4b"/>
          <w:rFonts w:ascii="Book Antiqua" w:hAnsi="Book Antiqua"/>
        </w:rPr>
        <w:t xml:space="preserve">, Beste LA, Chang MF, Green PK, Lowy E, Tsui JI, Su F, Berry K. Effectiveness of Sofosbuvir, Ledipasvir/Sofosbuvir, or Paritaprevir/Ritonavir/Ombitasvir and Dasabuvir Regimens for Treatment of Patients with Hepatitis C in the Veterans Affairs National Health Care System. </w:t>
      </w:r>
      <w:r w:rsidRPr="005912C0">
        <w:rPr>
          <w:rStyle w:val="jlqj4b"/>
          <w:rFonts w:ascii="Book Antiqua" w:hAnsi="Book Antiqua"/>
          <w:i/>
          <w:iCs/>
        </w:rPr>
        <w:t>Gastroenterology</w:t>
      </w:r>
      <w:r w:rsidRPr="005912C0">
        <w:rPr>
          <w:rStyle w:val="jlqj4b"/>
          <w:rFonts w:ascii="Book Antiqua" w:hAnsi="Book Antiqua"/>
        </w:rPr>
        <w:t> 2016</w:t>
      </w:r>
      <w:r w:rsidRPr="0025557C">
        <w:rPr>
          <w:rStyle w:val="jlqj4b"/>
          <w:rFonts w:ascii="Book Antiqua" w:hAnsi="Book Antiqua"/>
        </w:rPr>
        <w:t>; 151: 457-</w:t>
      </w:r>
      <w:r w:rsidRPr="005912C0">
        <w:rPr>
          <w:rStyle w:val="jlqj4b"/>
          <w:rFonts w:ascii="Book Antiqua" w:hAnsi="Book Antiqua"/>
        </w:rPr>
        <w:t xml:space="preserve">471.e5 [PMID: 2726705 </w:t>
      </w:r>
      <w:bookmarkEnd w:id="5"/>
    </w:p>
    <w:p w14:paraId="63BF42B0" w14:textId="77777777" w:rsidR="00A77B3E" w:rsidRDefault="0052402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Chang CY</w:t>
      </w:r>
      <w:r>
        <w:rPr>
          <w:rFonts w:ascii="Book Antiqua" w:eastAsia="Book Antiqua" w:hAnsi="Book Antiqua" w:cs="Book Antiqua"/>
          <w:color w:val="000000"/>
        </w:rPr>
        <w:t xml:space="preserve">, Nguyen P, Le A, Zhao C, Ahmed A, Daugherty T, Garcia G, Lutchman G, Kumari R, Nguyen MH. Real-world experience with interferon-free, direct acting antiviral therapies in Asian Americans with chronic hepatitis C and advanced liver disease.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e6128 [PMID: 28178174 DOI: 10.1097/MD.0000000000006128]</w:t>
      </w:r>
    </w:p>
    <w:p w14:paraId="3B6E56FE" w14:textId="77777777" w:rsidR="00A77B3E" w:rsidRDefault="0052402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Ippolito AM</w:t>
      </w:r>
      <w:r>
        <w:rPr>
          <w:rFonts w:ascii="Book Antiqua" w:eastAsia="Book Antiqua" w:hAnsi="Book Antiqua" w:cs="Book Antiqua"/>
          <w:color w:val="000000"/>
        </w:rPr>
        <w:t xml:space="preserve">, Milella M, Messina V, Conti F, Cozzolongo R, Morisco F, Brancaccio G, Barone M, Santantonio T, Masetti C, Tundo P, Smedile A, Carretta V, Gatti P, Termite AP, Valvano MR, Bruno G, Fabrizio C, Andreone P, Zappimbulso M, Gaeta GB, Napoli N, Fontanella L, Lauletta G, Cuccorese G, Metrangolo A, Francavilla R, Ciracì E, Rizzo S, Andriulli A. HCV clearance after direct-acting antivirals in patients with cirrhosis by stages of liver impairment: The ITAL-C network study.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1022-1028 [PMID: 28487083 DOI: 10.1016/j.dld.2017.03.025]</w:t>
      </w:r>
    </w:p>
    <w:p w14:paraId="130C2E2F" w14:textId="77777777" w:rsidR="00A77B3E" w:rsidRDefault="0052402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Jiménez-Macías FM</w:t>
      </w:r>
      <w:r>
        <w:rPr>
          <w:rFonts w:ascii="Book Antiqua" w:eastAsia="Book Antiqua" w:hAnsi="Book Antiqua" w:cs="Book Antiqua"/>
          <w:color w:val="000000"/>
        </w:rPr>
        <w:t xml:space="preserve">, Cabanillas-Casafranca M, Maraver-Zamora M, Romero-Herrera G, García-García F, Correia-Varela-Almeida A, Cabello-Fernández A, Ramos-Lora M. Experience in real clinical practice with new direct acting antivirals in chronic hepatitis C. </w:t>
      </w:r>
      <w:r>
        <w:rPr>
          <w:rFonts w:ascii="Book Antiqua" w:eastAsia="Book Antiqua" w:hAnsi="Book Antiqua" w:cs="Book Antiqua"/>
          <w:i/>
          <w:iCs/>
          <w:color w:val="000000"/>
        </w:rPr>
        <w:t>Med Clin (Barc)</w:t>
      </w:r>
      <w:r>
        <w:rPr>
          <w:rFonts w:ascii="Book Antiqua" w:eastAsia="Book Antiqua" w:hAnsi="Book Antiqua" w:cs="Book Antiqua"/>
          <w:color w:val="000000"/>
        </w:rPr>
        <w:t xml:space="preserve"> 2017; </w:t>
      </w:r>
      <w:r>
        <w:rPr>
          <w:rFonts w:ascii="Book Antiqua" w:eastAsia="Book Antiqua" w:hAnsi="Book Antiqua" w:cs="Book Antiqua"/>
          <w:b/>
          <w:bCs/>
          <w:color w:val="000000"/>
        </w:rPr>
        <w:t>149</w:t>
      </w:r>
      <w:r>
        <w:rPr>
          <w:rFonts w:ascii="Book Antiqua" w:eastAsia="Book Antiqua" w:hAnsi="Book Antiqua" w:cs="Book Antiqua"/>
          <w:color w:val="000000"/>
        </w:rPr>
        <w:t>: 375-382 [PMID: 28416232 DOI: 10.1016/j.medcli.2017.03.007]</w:t>
      </w:r>
    </w:p>
    <w:p w14:paraId="555487BB" w14:textId="77777777" w:rsidR="00A77B3E" w:rsidRDefault="0052402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Terrault NA</w:t>
      </w:r>
      <w:r>
        <w:rPr>
          <w:rFonts w:ascii="Book Antiqua" w:eastAsia="Book Antiqua" w:hAnsi="Book Antiqua" w:cs="Book Antiqua"/>
          <w:color w:val="000000"/>
        </w:rPr>
        <w:t xml:space="preserve">, Zeuzem S, Di Bisceglie AM, Lim JK, Pockros PJ, Frazier LM, Kuo A, Lok AS, Shiffman ML, Ben Ari Z, Akushevich L, Vainorius M, Sulkowski MS, Fried MW, Nelson DR; HCV-TARGET Study Group. Effectiveness of Ledipasvir-Sofosbuvir Combination in Patients With Hepatitis C Virus Infection and Factors Associated With Sustained Virologic Response.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1131-1140.e5 [PMID: 27565882 DOI: 10.1053/j.gastro.2016.08.004]</w:t>
      </w:r>
    </w:p>
    <w:p w14:paraId="26E7F5CA" w14:textId="77777777" w:rsidR="00A77B3E" w:rsidRDefault="0052402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Rial-Crestelo D</w:t>
      </w:r>
      <w:r>
        <w:rPr>
          <w:rFonts w:ascii="Book Antiqua" w:eastAsia="Book Antiqua" w:hAnsi="Book Antiqua" w:cs="Book Antiqua"/>
          <w:color w:val="000000"/>
        </w:rPr>
        <w:t xml:space="preserve">, Sepúlveda MA, González-Gasca FJ, Geijo-Martínez P, Martínez-Alfaro E, Barberá JR, Yzusqui M, Casallo S, García M, Muñoz Hornero C, Espinosa-Gimeno A, Torralba M; Grupo de Estudio de Castilla la Manche de enfermedades Infecciosas (GECMEI). Impact of interferon-free therapies in HIV/HCV co-infected patients on real clinical practice: results from a multicenter region-wide cohort study (2014-2018).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279-287 [PMID: 33252415 DOI: 10.1097/MEG.0000000000002012]</w:t>
      </w:r>
    </w:p>
    <w:p w14:paraId="2BCD0C98" w14:textId="77777777" w:rsidR="00A77B3E" w:rsidRDefault="0052402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Suzuki F</w:t>
      </w:r>
      <w:r>
        <w:rPr>
          <w:rFonts w:ascii="Book Antiqua" w:eastAsia="Book Antiqua" w:hAnsi="Book Antiqua" w:cs="Book Antiqua"/>
          <w:color w:val="000000"/>
        </w:rPr>
        <w:t xml:space="preserve">, Hatanaka N, Bando E, Nakamura K, Komoto A. Safety and effectiveness of daclatasvir and asunaprevir dual therapy in patients with genotype 1 chronic hepatitis C: results from postmarketing surveillance in Japan.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244-253 [PMID: 29900486 DOI: 10.1007/s12072-018-9872-z]</w:t>
      </w:r>
    </w:p>
    <w:p w14:paraId="7468DE42" w14:textId="77777777" w:rsidR="00A77B3E" w:rsidRDefault="0052402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Kumada H</w:t>
      </w:r>
      <w:r>
        <w:rPr>
          <w:rFonts w:ascii="Book Antiqua" w:eastAsia="Book Antiqua" w:hAnsi="Book Antiqua" w:cs="Book Antiqua"/>
          <w:color w:val="000000"/>
        </w:rPr>
        <w:t xml:space="preserve">, Suzuki Y, Ikeda K, Toyota J, Karino Y, Chayama K, Kawakami Y, Ido A, Yamamoto K, Takaguchi K, Izumi N, Koike K, Takehara T, Kawada N, Sata M, Miyagoshi H, Eley T, McPhee F, Damokosh A, Ishikawa H, Hughes E. Daclatasvir plus asunaprevir for chronic HCV genotype 1b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2083-2091 [PMID: 24604476 DOI: 10.1002/hep.27113]</w:t>
      </w:r>
    </w:p>
    <w:p w14:paraId="76238F45" w14:textId="77777777" w:rsidR="00A77B3E" w:rsidRDefault="0052402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Gane EJ</w:t>
      </w:r>
      <w:r>
        <w:rPr>
          <w:rFonts w:ascii="Book Antiqua" w:eastAsia="Book Antiqua" w:hAnsi="Book Antiqua" w:cs="Book Antiqua"/>
          <w:color w:val="000000"/>
        </w:rPr>
        <w:t xml:space="preserve">, Stedman CA, Hyland RH, Ding X, Svarovskaia E, Symonds WT, Hindes RG, Berrey MM. Nucleotide polymerase inhibitor sofosbuvir plus ribavirin for hepatitis C.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34-44 [PMID: 23281974 DOI: 10.1056/NEJMoa1208953]</w:t>
      </w:r>
    </w:p>
    <w:p w14:paraId="4D3C4FAA" w14:textId="77777777" w:rsidR="00A77B3E" w:rsidRDefault="0052402A">
      <w:pPr>
        <w:spacing w:line="360" w:lineRule="auto"/>
        <w:jc w:val="both"/>
      </w:pPr>
      <w:r w:rsidRPr="002345CB">
        <w:rPr>
          <w:rFonts w:ascii="Book Antiqua" w:eastAsia="Book Antiqua" w:hAnsi="Book Antiqua" w:cs="Book Antiqua"/>
          <w:color w:val="000000"/>
          <w:lang w:val="pl-PL"/>
        </w:rPr>
        <w:t xml:space="preserve">27 </w:t>
      </w:r>
      <w:r w:rsidRPr="002345CB">
        <w:rPr>
          <w:rFonts w:ascii="Book Antiqua" w:eastAsia="Book Antiqua" w:hAnsi="Book Antiqua" w:cs="Book Antiqua"/>
          <w:b/>
          <w:bCs/>
          <w:color w:val="000000"/>
          <w:lang w:val="pl-PL"/>
        </w:rPr>
        <w:t>Herbst DA Jr</w:t>
      </w:r>
      <w:r w:rsidRPr="002345CB">
        <w:rPr>
          <w:rFonts w:ascii="Book Antiqua" w:eastAsia="Book Antiqua" w:hAnsi="Book Antiqua" w:cs="Book Antiqua"/>
          <w:color w:val="000000"/>
          <w:lang w:val="pl-PL"/>
        </w:rPr>
        <w:t xml:space="preserve">, Reddy KR. </w:t>
      </w:r>
      <w:r>
        <w:rPr>
          <w:rFonts w:ascii="Book Antiqua" w:eastAsia="Book Antiqua" w:hAnsi="Book Antiqua" w:cs="Book Antiqua"/>
          <w:color w:val="000000"/>
        </w:rPr>
        <w:t xml:space="preserve">Sofosbuvir, a nucleotide polymerase inhibitor, for the treatment of chronic hepatitis C virus infection. </w:t>
      </w:r>
      <w:r>
        <w:rPr>
          <w:rFonts w:ascii="Book Antiqua" w:eastAsia="Book Antiqua" w:hAnsi="Book Antiqua" w:cs="Book Antiqua"/>
          <w:i/>
          <w:iCs/>
          <w:color w:val="000000"/>
        </w:rPr>
        <w:t>Expert Opin Investig Drugs</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527-536 [PMID: 23448131 DOI: 10.1517/13543784.2013.775246]</w:t>
      </w:r>
    </w:p>
    <w:p w14:paraId="1DC90181" w14:textId="77777777" w:rsidR="00A77B3E" w:rsidRDefault="0052402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Flisiak R</w:t>
      </w:r>
      <w:r>
        <w:rPr>
          <w:rFonts w:ascii="Book Antiqua" w:eastAsia="Book Antiqua" w:hAnsi="Book Antiqua" w:cs="Book Antiqua"/>
          <w:color w:val="000000"/>
        </w:rPr>
        <w:t xml:space="preserve">, Zarębska-Michaluk D, Janczewska E, Staniaszek A, Gietka A, Mazur W, Tudrujek M, Tomasiewicz K, Belica-Wdowik T, Baka-Ćwierz B, Dybowska D, Halota W, Lorenc B, Sitko M, Garlicki A, Berak H, Horban A, Orłowska I, Simon K, Socha Ł, Wawrzynowicz-Syczewska M, Jaroszewicz J, Deroń Z, Czauż-Andrzejuk A, Citko J, Krygier R, Piekarska A, Laurans Ł, Dobracki W, Białkowska J, Tronina O, Pawłowska M. Treatment of HCV infection in Poland at the beginning of the interferon-free era-the EpiTer-2 study.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661-669 [PMID: 29316039 DOI: 10.1111/jvh.12861]</w:t>
      </w:r>
    </w:p>
    <w:p w14:paraId="434B760C" w14:textId="77777777" w:rsidR="00A77B3E" w:rsidRDefault="0052402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Parczewski M</w:t>
      </w:r>
      <w:r>
        <w:rPr>
          <w:rFonts w:ascii="Book Antiqua" w:eastAsia="Book Antiqua" w:hAnsi="Book Antiqua" w:cs="Book Antiqua"/>
          <w:color w:val="000000"/>
        </w:rPr>
        <w:t xml:space="preserve">, Kordek J, Janczewska E, Pisula A, Łojewski W, Socha Ł, Wawrzynowicz-Syczewska M, Bociąga-Jasik M, Szymczak A, Cielniak I, Siwak E, Mularska E, Aksak-Wąs B, Urbańska A, Lübke N. Hepatitis C virus (HCV) genotype 1 NS5A resistance-associated variants are associated with advanced liver fibrosis independently of HCV-transmission clusters.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513.e1-513.e6 [PMID: 29981869 DOI: 10.1016/j.cmi.2018.06.028]</w:t>
      </w:r>
    </w:p>
    <w:p w14:paraId="40FC8F70" w14:textId="77777777" w:rsidR="00A77B3E" w:rsidRDefault="0052402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Starace M</w:t>
      </w:r>
      <w:r>
        <w:rPr>
          <w:rFonts w:ascii="Book Antiqua" w:eastAsia="Book Antiqua" w:hAnsi="Book Antiqua" w:cs="Book Antiqua"/>
          <w:color w:val="000000"/>
        </w:rPr>
        <w:t xml:space="preserve">, Minichini C, De Pascalis S, Macera M, Occhiello L, Messina V, Sangiovanni V, Adinolfi LE, Claar E, Precone D, Stornaiuolo G, Stanzione M, Ascione T, Caroprese M, Zampino R, Parrilli G, Gentile I, Brancaccio G, Iovinella V, Martini S, Masarone M, Fontanella L, Masiello A, Sagnelli E, Punzi R, Salomone Megna A, Santoro R, Gaeta GB, Coppola N. Virological patterns of HCV patients with failure to interferon-free regimens.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942-950 [PMID: 29315640 DOI: 10.1002/jmv.25022]</w:t>
      </w:r>
    </w:p>
    <w:p w14:paraId="341796CD" w14:textId="77777777" w:rsidR="00A77B3E" w:rsidRDefault="0052402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Di Stefano M</w:t>
      </w:r>
      <w:r>
        <w:rPr>
          <w:rFonts w:ascii="Book Antiqua" w:eastAsia="Book Antiqua" w:hAnsi="Book Antiqua" w:cs="Book Antiqua"/>
          <w:color w:val="000000"/>
        </w:rPr>
        <w:t xml:space="preserve">, Faleo G, Farhan Mohamed AM, Morella S, Bruno SR, Tundo P, Fiore JR, Santantonio TA. Resistance Associated Mutations in HCV Patients Failing DAA Treatment. </w:t>
      </w:r>
      <w:r>
        <w:rPr>
          <w:rFonts w:ascii="Book Antiqua" w:eastAsia="Book Antiqua" w:hAnsi="Book Antiqua" w:cs="Book Antiqua"/>
          <w:i/>
          <w:iCs/>
          <w:color w:val="000000"/>
        </w:rPr>
        <w:t>New Microbiol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12-18 [PMID: 33453702]</w:t>
      </w:r>
    </w:p>
    <w:p w14:paraId="08010B85" w14:textId="77777777" w:rsidR="00A77B3E" w:rsidRDefault="0052402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Brown RS Jr</w:t>
      </w:r>
      <w:r>
        <w:rPr>
          <w:rFonts w:ascii="Book Antiqua" w:eastAsia="Book Antiqua" w:hAnsi="Book Antiqua" w:cs="Book Antiqua"/>
          <w:color w:val="000000"/>
        </w:rPr>
        <w:t xml:space="preserve">, Buti M, Rodrigues L, Chulanov V, Chuang WL, Aguilar H, Horváth G, Zuckerman E, Carrion BR, Rodriguez-Perez F, Urbánek P, Abergel A, Cohen E, Lovell SS, Schnell G, Lin CW, Zha J, Wang S, Trinh R, Mensa FJ, Burroughs M, Felizarta F. Glecaprevir/pibrentasvir for 8 wk in treatment-naïve patients with chronic HCV genotypes 1-6 and compensated cirrhosis: The EXPEDITION-8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441-449 [PMID: 31682879 DOI: 10.1016/j.jhep.2019.10.020]</w:t>
      </w:r>
    </w:p>
    <w:p w14:paraId="2E470902" w14:textId="66B4513A" w:rsidR="005B60D8" w:rsidRDefault="005B60D8" w:rsidP="005B60D8">
      <w:pPr>
        <w:spacing w:line="360" w:lineRule="auto"/>
        <w:rPr>
          <w:rStyle w:val="jlqj4b"/>
          <w:rFonts w:ascii="Book Antiqua" w:hAnsi="Book Antiqua"/>
        </w:rPr>
      </w:pPr>
      <w:r>
        <w:rPr>
          <w:rStyle w:val="jlqj4b"/>
          <w:rFonts w:ascii="Book Antiqua" w:hAnsi="Book Antiqua"/>
        </w:rPr>
        <w:t xml:space="preserve">33 </w:t>
      </w:r>
      <w:r w:rsidRPr="005A48F0">
        <w:rPr>
          <w:rStyle w:val="jlqj4b"/>
          <w:rFonts w:ascii="Book Antiqua" w:hAnsi="Book Antiqua"/>
          <w:b/>
          <w:bCs/>
        </w:rPr>
        <w:t>Lampertico P</w:t>
      </w:r>
      <w:r w:rsidRPr="005A48F0">
        <w:rPr>
          <w:rStyle w:val="jlqj4b"/>
          <w:rFonts w:ascii="Book Antiqua" w:hAnsi="Book Antiqua"/>
        </w:rPr>
        <w:t xml:space="preserve">, Mauss S, Persico M, Barclay ST, Marx S, Lohmann K, Bondin M, Zhang Z, Marra F, Belperio PS, Wedemeyer H, Flamm S </w:t>
      </w:r>
      <w:hyperlink r:id="rId9" w:history="1">
        <w:r w:rsidRPr="005A48F0">
          <w:rPr>
            <w:rStyle w:val="jlqj4b"/>
            <w:rFonts w:ascii="Book Antiqua" w:hAnsi="Book Antiqua"/>
          </w:rPr>
          <w:t>Real-World Clinical Practice Use of 8-Week Glecaprevir/Pibrentasvir in Treatment-Naive Patients with Compensated Cirrhosis.</w:t>
        </w:r>
      </w:hyperlink>
      <w:r>
        <w:rPr>
          <w:rStyle w:val="jlqj4b"/>
          <w:rFonts w:ascii="Book Antiqua" w:hAnsi="Book Antiqua"/>
        </w:rPr>
        <w:t xml:space="preserve"> </w:t>
      </w:r>
      <w:r w:rsidRPr="005A48F0">
        <w:rPr>
          <w:rStyle w:val="jlqj4b"/>
          <w:rFonts w:ascii="Book Antiqua" w:hAnsi="Book Antiqua"/>
          <w:i/>
          <w:iCs/>
        </w:rPr>
        <w:t>Adv Ther</w:t>
      </w:r>
      <w:r w:rsidRPr="005A48F0">
        <w:rPr>
          <w:rStyle w:val="jlqj4b"/>
          <w:rFonts w:ascii="Book Antiqua" w:hAnsi="Book Antiqua"/>
        </w:rPr>
        <w:t xml:space="preserve"> 2020;</w:t>
      </w:r>
      <w:r>
        <w:rPr>
          <w:rStyle w:val="jlqj4b"/>
          <w:rFonts w:ascii="Book Antiqua" w:hAnsi="Book Antiqua"/>
        </w:rPr>
        <w:t xml:space="preserve"> </w:t>
      </w:r>
      <w:r w:rsidRPr="00342CC4">
        <w:rPr>
          <w:rStyle w:val="jlqj4b"/>
          <w:rFonts w:ascii="Book Antiqua" w:hAnsi="Book Antiqua"/>
          <w:b/>
          <w:bCs/>
        </w:rPr>
        <w:t>37</w:t>
      </w:r>
      <w:r w:rsidRPr="005A48F0">
        <w:rPr>
          <w:rStyle w:val="jlqj4b"/>
          <w:rFonts w:ascii="Book Antiqua" w:hAnsi="Book Antiqua"/>
        </w:rPr>
        <w:t>(9):</w:t>
      </w:r>
      <w:r>
        <w:rPr>
          <w:rStyle w:val="jlqj4b"/>
          <w:rFonts w:ascii="Book Antiqua" w:hAnsi="Book Antiqua"/>
        </w:rPr>
        <w:t xml:space="preserve"> </w:t>
      </w:r>
      <w:r w:rsidRPr="005A48F0">
        <w:rPr>
          <w:rStyle w:val="jlqj4b"/>
          <w:rFonts w:ascii="Book Antiqua" w:hAnsi="Book Antiqua"/>
        </w:rPr>
        <w:t>4033-4042</w:t>
      </w:r>
      <w:r>
        <w:rPr>
          <w:rStyle w:val="jlqj4b"/>
          <w:rFonts w:ascii="Book Antiqua" w:hAnsi="Book Antiqua"/>
        </w:rPr>
        <w:t xml:space="preserve"> [</w:t>
      </w:r>
      <w:r w:rsidRPr="005A48F0">
        <w:rPr>
          <w:rStyle w:val="jlqj4b"/>
          <w:rFonts w:ascii="Book Antiqua" w:hAnsi="Book Antiqua"/>
        </w:rPr>
        <w:t>PMID: 3275482</w:t>
      </w:r>
      <w:r>
        <w:rPr>
          <w:rStyle w:val="jlqj4b"/>
          <w:rFonts w:ascii="Book Antiqua" w:hAnsi="Book Antiqua"/>
        </w:rPr>
        <w:t xml:space="preserve"> DOI</w:t>
      </w:r>
      <w:r w:rsidRPr="005A48F0">
        <w:rPr>
          <w:rStyle w:val="jlqj4b"/>
          <w:rFonts w:ascii="Book Antiqua" w:hAnsi="Book Antiqua"/>
        </w:rPr>
        <w:t>: 10.1007/s12325-020-01449-0</w:t>
      </w:r>
      <w:r>
        <w:rPr>
          <w:rStyle w:val="jlqj4b"/>
          <w:rFonts w:ascii="Book Antiqua" w:hAnsi="Book Antiqua"/>
        </w:rPr>
        <w:t xml:space="preserve">] </w:t>
      </w:r>
      <w:r w:rsidRPr="005A48F0">
        <w:rPr>
          <w:rStyle w:val="jlqj4b"/>
          <w:rFonts w:ascii="Book Antiqua" w:hAnsi="Book Antiqua"/>
        </w:rPr>
        <w:t xml:space="preserve"> </w:t>
      </w:r>
    </w:p>
    <w:p w14:paraId="11CAF2B0" w14:textId="77777777" w:rsidR="00A77B3E" w:rsidRDefault="0052402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Peiffer KH</w:t>
      </w:r>
      <w:r>
        <w:rPr>
          <w:rFonts w:ascii="Book Antiqua" w:eastAsia="Book Antiqua" w:hAnsi="Book Antiqua" w:cs="Book Antiqua"/>
          <w:color w:val="000000"/>
        </w:rPr>
        <w:t xml:space="preserve">, Vermehren J, Kuhnhenn L, Susser S, Dietz J, Finkelmeier F, Weiler N, Welzel T, Grammatikos G, Zeuzem S, Sarrazin C. Interferon-free treatment choice according to baseline RASs leads to high SVR rates in HCV genotype 1 infected patients. </w:t>
      </w:r>
      <w:r>
        <w:rPr>
          <w:rFonts w:ascii="Book Antiqua" w:eastAsia="Book Antiqua" w:hAnsi="Book Antiqua" w:cs="Book Antiqua"/>
          <w:i/>
          <w:iCs/>
          <w:color w:val="000000"/>
        </w:rPr>
        <w:t>J Infect Chemother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524-530 [PMID: 29628383 DOI: 10.1016/j.jiac.2018.02.008]</w:t>
      </w:r>
    </w:p>
    <w:p w14:paraId="31CD003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08CF866" w14:textId="77777777" w:rsidR="00A77B3E" w:rsidRDefault="0052402A">
      <w:pPr>
        <w:spacing w:line="360" w:lineRule="auto"/>
        <w:jc w:val="both"/>
      </w:pPr>
      <w:r>
        <w:rPr>
          <w:rFonts w:ascii="Book Antiqua" w:eastAsia="Book Antiqua" w:hAnsi="Book Antiqua" w:cs="Book Antiqua"/>
          <w:b/>
          <w:color w:val="000000"/>
        </w:rPr>
        <w:t>Footnotes</w:t>
      </w:r>
    </w:p>
    <w:p w14:paraId="5B22150E" w14:textId="77777777" w:rsidR="00A77B3E" w:rsidRDefault="0052402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Patients participating in the study were not exposed to any experimental interventions, nor did the study intervene with the clinical management of the patient. The study only collected information from patient records. The data were originally collected to assess treatment efficacy and safety in individual patients, not for scientific purposes. Hence, the treating physicians did not obtain approval from the ethics committee. According to local law (Pharmaceutical Law of 6</w:t>
      </w:r>
      <w:r w:rsidRPr="0052402A">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September 2001, art. 37al), non-interventional studies do not require ethics committee approval.</w:t>
      </w:r>
    </w:p>
    <w:p w14:paraId="458E962C" w14:textId="77777777" w:rsidR="00A77B3E" w:rsidRDefault="00A77B3E">
      <w:pPr>
        <w:spacing w:line="360" w:lineRule="auto"/>
        <w:jc w:val="both"/>
      </w:pPr>
    </w:p>
    <w:p w14:paraId="0A23F8E5" w14:textId="77777777" w:rsidR="00A77B3E" w:rsidRDefault="0052402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provided informed consent for treatment and the processing of personal data.</w:t>
      </w:r>
    </w:p>
    <w:p w14:paraId="211013AE" w14:textId="77777777" w:rsidR="00A77B3E" w:rsidRDefault="00A77B3E">
      <w:pPr>
        <w:spacing w:line="360" w:lineRule="auto"/>
        <w:jc w:val="both"/>
      </w:pPr>
    </w:p>
    <w:p w14:paraId="00CFAD51" w14:textId="53142EFD" w:rsidR="00A77B3E" w:rsidRPr="002345CB" w:rsidRDefault="0052402A">
      <w:pPr>
        <w:spacing w:line="360" w:lineRule="auto"/>
        <w:jc w:val="both"/>
        <w:rPr>
          <w:lang w:val="pl-PL"/>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Janczewska E has acted as a speaker and/or advisor for AbbVie, Gilead, MSD, Ipsen, and has received funding for clinical trials from AbbVie, Allergan, BMS, Celgene, Cymabay, Dr Falk Pharma, Exelixis, GSK, and MSD. Jakub Klapaczyński has acted as a speaker for Gilead and AbbVie. Mazur W has acted as a speaker and/or advisor for AbbVie, Gilead, Merck, and has received funding for clinical trials from AbbVie, Gilead, and Janssen. Zarębska-Michaluk D has acted as a speaker for AbbVie and Gilead. Dybowska D has received funding for participation in the conference: from AbbVie. Czauż-Andrzejuk A has received funding for clinical trials from AbbVie and Merck. Berak H has acted as a speaker and/or advisor for Gilead, Abbvie, and MSD. Krygier R has acted as a consultant for AbbVie and Gilead. Jaroszewicz J has acted as a speaker and/or advisor for AbbVie, Gilead, Merck, Roche, Alfasigma, MSD, Gilead and PRO.MED. CS. Piekarska A has acted as a speaker and/or advisor for AbbVie, Gilead, Merck, and Roche. Socha Ł has acted as a consultant for BMS. Brygida Adamek has acted as a speaker for AbbVie, Gilead, and MSD. Tomasiewicz K has acted as a speaker and/or advisor AbbVie, Alfa Wasserman, BMS, Gilead, Janssen, Merck, Roche, and has received funding for clinical trials from AbbVie, BMS, Gilead, Janssen, Merck, and Roche. Simon K has acted as a speaker and/or advisor: AbbVie, Gilead, Merck, Alfa-Wassermann, Novartis, Lilly, Bayer, and has received funding for clinical trials from: AbbVie, Allergan, Bayer, EISAI, Gilead, Intercept, Pfizer. Pawłowska M has acted as a speaker and/or advisor for AbbVie, Gilead, Merck, Roche and has received funding for clinical trials from AbbVie, Gilead, and Roche. Halota W has acted as a speaker and/or advisor for AbbVie, BMS, Gilead, Janssen, Merck, Roche, and has received funding for clinical trials from AbbVie, Gilead, and Roche. Flisiak R has acted as a speaker and/or advisor, and has received funding for clinical trials from AbbVie, Gilead, Merck, and Roche. </w:t>
      </w:r>
      <w:r w:rsidRPr="002345CB">
        <w:rPr>
          <w:rFonts w:ascii="Book Antiqua" w:eastAsia="Book Antiqua" w:hAnsi="Book Antiqua" w:cs="Book Antiqua"/>
          <w:color w:val="000000"/>
          <w:lang w:val="pl-PL"/>
        </w:rPr>
        <w:t>Lorenc B, Kołek MF,</w:t>
      </w:r>
      <w:r w:rsidRPr="002345CB">
        <w:rPr>
          <w:rFonts w:ascii="Book Antiqua" w:eastAsia="Book Antiqua" w:hAnsi="Book Antiqua" w:cs="Book Antiqua"/>
          <w:color w:val="000000"/>
          <w:szCs w:val="20"/>
          <w:shd w:val="clear" w:color="auto" w:fill="FFFFFF"/>
          <w:lang w:val="pl-PL"/>
        </w:rPr>
        <w:t xml:space="preserve"> </w:t>
      </w:r>
      <w:r w:rsidRPr="002345CB">
        <w:rPr>
          <w:rFonts w:ascii="Book Antiqua" w:eastAsia="Book Antiqua" w:hAnsi="Book Antiqua" w:cs="Book Antiqua"/>
          <w:color w:val="000000"/>
          <w:lang w:val="pl-PL"/>
        </w:rPr>
        <w:t>Tudrujek-Zdunek M, Sitko M, Buczyńska I, Citko J, Dobracka B, Deroń Z,</w:t>
      </w:r>
      <w:r w:rsidR="008C308C" w:rsidRPr="002345CB">
        <w:rPr>
          <w:rFonts w:ascii="Book Antiqua" w:eastAsia="Book Antiqua" w:hAnsi="Book Antiqua" w:cs="Book Antiqua"/>
          <w:color w:val="000000"/>
          <w:lang w:val="pl-PL"/>
        </w:rPr>
        <w:t xml:space="preserve"> </w:t>
      </w:r>
      <w:r w:rsidRPr="002345CB">
        <w:rPr>
          <w:rFonts w:ascii="Book Antiqua" w:eastAsia="Book Antiqua" w:hAnsi="Book Antiqua" w:cs="Book Antiqua"/>
          <w:color w:val="000000"/>
          <w:lang w:val="pl-PL"/>
        </w:rPr>
        <w:t>Laurans</w:t>
      </w:r>
      <w:r w:rsidR="008C308C" w:rsidRPr="002345CB">
        <w:rPr>
          <w:rFonts w:ascii="Book Antiqua" w:eastAsia="Book Antiqua" w:hAnsi="Book Antiqua" w:cs="Book Antiqua"/>
          <w:color w:val="000000"/>
          <w:lang w:val="pl-PL"/>
        </w:rPr>
        <w:t xml:space="preserve"> Ł</w:t>
      </w:r>
      <w:r w:rsidRPr="002345CB">
        <w:rPr>
          <w:rFonts w:ascii="Book Antiqua" w:eastAsia="Book Antiqua" w:hAnsi="Book Antiqua" w:cs="Book Antiqua"/>
          <w:color w:val="000000"/>
          <w:lang w:val="pl-PL"/>
        </w:rPr>
        <w:t>, Białkowska-Warzecha</w:t>
      </w:r>
      <w:r w:rsidR="008C308C" w:rsidRPr="002345CB">
        <w:rPr>
          <w:rFonts w:ascii="Book Antiqua" w:eastAsia="Book Antiqua" w:hAnsi="Book Antiqua" w:cs="Book Antiqua"/>
          <w:color w:val="000000"/>
          <w:lang w:val="pl-PL"/>
        </w:rPr>
        <w:t xml:space="preserve"> J and </w:t>
      </w:r>
      <w:r w:rsidRPr="002345CB">
        <w:rPr>
          <w:rFonts w:ascii="Book Antiqua" w:eastAsia="Book Antiqua" w:hAnsi="Book Antiqua" w:cs="Book Antiqua"/>
          <w:color w:val="000000"/>
          <w:lang w:val="pl-PL"/>
        </w:rPr>
        <w:t xml:space="preserve">Tronina </w:t>
      </w:r>
      <w:r w:rsidR="008C308C" w:rsidRPr="002345CB">
        <w:rPr>
          <w:rFonts w:ascii="Book Antiqua" w:eastAsia="Book Antiqua" w:hAnsi="Book Antiqua" w:cs="Book Antiqua"/>
          <w:color w:val="000000"/>
          <w:lang w:val="pl-PL"/>
        </w:rPr>
        <w:t xml:space="preserve">O </w:t>
      </w:r>
      <w:r w:rsidRPr="002345CB">
        <w:rPr>
          <w:rFonts w:ascii="Book Antiqua" w:eastAsia="Book Antiqua" w:hAnsi="Book Antiqua" w:cs="Book Antiqua"/>
          <w:color w:val="000000"/>
          <w:lang w:val="pl-PL"/>
        </w:rPr>
        <w:t>have no conflict of interest to declare.</w:t>
      </w:r>
    </w:p>
    <w:p w14:paraId="3A38AB42" w14:textId="77777777" w:rsidR="00A77B3E" w:rsidRPr="002345CB" w:rsidRDefault="00A77B3E">
      <w:pPr>
        <w:spacing w:line="360" w:lineRule="auto"/>
        <w:jc w:val="both"/>
        <w:rPr>
          <w:lang w:val="pl-PL"/>
        </w:rPr>
      </w:pPr>
    </w:p>
    <w:p w14:paraId="2B0ECA9C" w14:textId="77777777" w:rsidR="00A77B3E" w:rsidRDefault="0052402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original anonymous dataset is available on request from the corresponding author at ejanczewska@sum.edu.pl.</w:t>
      </w:r>
    </w:p>
    <w:p w14:paraId="717F9A7C" w14:textId="77777777" w:rsidR="00A77B3E" w:rsidRDefault="00A77B3E">
      <w:pPr>
        <w:spacing w:line="360" w:lineRule="auto"/>
        <w:jc w:val="both"/>
      </w:pPr>
    </w:p>
    <w:p w14:paraId="475682C1" w14:textId="38F7BB7A" w:rsidR="00A77B3E" w:rsidRDefault="0052402A">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C569DD">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C569DD">
        <w:rPr>
          <w:rFonts w:ascii="Book Antiqua" w:eastAsia="Book Antiqua" w:hAnsi="Book Antiqua" w:cs="Book Antiqua"/>
          <w:color w:val="000000"/>
        </w:rPr>
        <w:t>-</w:t>
      </w:r>
      <w:r>
        <w:rPr>
          <w:rFonts w:ascii="Book Antiqua" w:eastAsia="Book Antiqua" w:hAnsi="Book Antiqua" w:cs="Book Antiqua"/>
          <w:color w:val="000000"/>
        </w:rPr>
        <w:t>checklist of items.</w:t>
      </w:r>
    </w:p>
    <w:p w14:paraId="5CE2FBC1" w14:textId="77777777" w:rsidR="00A77B3E" w:rsidRDefault="00A77B3E">
      <w:pPr>
        <w:spacing w:line="360" w:lineRule="auto"/>
        <w:jc w:val="both"/>
      </w:pPr>
    </w:p>
    <w:p w14:paraId="0AE10C8F" w14:textId="77777777" w:rsidR="00A77B3E" w:rsidRDefault="0052402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AB7D92" w14:textId="77777777" w:rsidR="00A77B3E" w:rsidRDefault="00A77B3E">
      <w:pPr>
        <w:spacing w:line="360" w:lineRule="auto"/>
        <w:jc w:val="both"/>
      </w:pPr>
    </w:p>
    <w:p w14:paraId="2BFD5003" w14:textId="3A49B4B2" w:rsidR="00A77B3E" w:rsidRDefault="0052402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569DD">
        <w:rPr>
          <w:rFonts w:ascii="Book Antiqua" w:eastAsia="Book Antiqua" w:hAnsi="Book Antiqua" w:cs="Book Antiqua"/>
          <w:color w:val="000000"/>
        </w:rPr>
        <w:t>ma</w:t>
      </w:r>
      <w:r>
        <w:rPr>
          <w:rFonts w:ascii="Book Antiqua" w:eastAsia="Book Antiqua" w:hAnsi="Book Antiqua" w:cs="Book Antiqua"/>
          <w:color w:val="000000"/>
        </w:rPr>
        <w:t>nuscript</w:t>
      </w:r>
    </w:p>
    <w:p w14:paraId="2A43AE61" w14:textId="77777777" w:rsidR="00BA0F39" w:rsidRDefault="00BA0F39">
      <w:pPr>
        <w:spacing w:line="360" w:lineRule="auto"/>
        <w:jc w:val="both"/>
      </w:pPr>
    </w:p>
    <w:p w14:paraId="2FF3543D" w14:textId="7669EB7D" w:rsidR="00A77B3E" w:rsidRDefault="0052402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European Association for the Study o</w:t>
      </w:r>
      <w:r w:rsidR="00C569DD">
        <w:rPr>
          <w:rFonts w:ascii="Book Antiqua" w:eastAsia="Book Antiqua" w:hAnsi="Book Antiqua" w:cs="Book Antiqua"/>
          <w:color w:val="000000"/>
        </w:rPr>
        <w:t>f</w:t>
      </w:r>
      <w:r>
        <w:rPr>
          <w:rFonts w:ascii="Book Antiqua" w:eastAsia="Book Antiqua" w:hAnsi="Book Antiqua" w:cs="Book Antiqua"/>
          <w:color w:val="000000"/>
        </w:rPr>
        <w:t xml:space="preserve"> the Liver, </w:t>
      </w:r>
      <w:r w:rsidR="00C569DD">
        <w:rPr>
          <w:rFonts w:ascii="Book Antiqua" w:eastAsia="Book Antiqua" w:hAnsi="Book Antiqua" w:cs="Book Antiqua"/>
          <w:color w:val="000000"/>
        </w:rPr>
        <w:t xml:space="preserve">No. </w:t>
      </w:r>
      <w:r w:rsidR="00DF7CAB">
        <w:rPr>
          <w:rFonts w:ascii="Book Antiqua" w:eastAsia="Book Antiqua" w:hAnsi="Book Antiqua" w:cs="Book Antiqua"/>
          <w:color w:val="000000"/>
        </w:rPr>
        <w:t>2039</w:t>
      </w:r>
      <w:r>
        <w:rPr>
          <w:rFonts w:ascii="Book Antiqua" w:eastAsia="Book Antiqua" w:hAnsi="Book Antiqua" w:cs="Book Antiqua"/>
          <w:color w:val="000000"/>
        </w:rPr>
        <w:t>.</w:t>
      </w:r>
    </w:p>
    <w:p w14:paraId="24F37723" w14:textId="77777777" w:rsidR="00A77B3E" w:rsidRDefault="00A77B3E">
      <w:pPr>
        <w:spacing w:line="360" w:lineRule="auto"/>
        <w:jc w:val="both"/>
      </w:pPr>
    </w:p>
    <w:p w14:paraId="2B2E3E6D" w14:textId="77777777" w:rsidR="00A77B3E" w:rsidRDefault="0052402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2021</w:t>
      </w:r>
    </w:p>
    <w:p w14:paraId="281DA4BB" w14:textId="77777777" w:rsidR="00A77B3E" w:rsidRDefault="0052402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14455834" w14:textId="1E68E366" w:rsidR="00A77B3E" w:rsidRDefault="0052402A">
      <w:pPr>
        <w:spacing w:line="360" w:lineRule="auto"/>
        <w:jc w:val="both"/>
      </w:pPr>
      <w:r>
        <w:rPr>
          <w:rFonts w:ascii="Book Antiqua" w:eastAsia="Book Antiqua" w:hAnsi="Book Antiqua" w:cs="Book Antiqua"/>
          <w:b/>
          <w:color w:val="000000"/>
        </w:rPr>
        <w:t xml:space="preserve">Article in press: </w:t>
      </w:r>
      <w:r w:rsidR="005F2418" w:rsidRPr="00D83F35">
        <w:rPr>
          <w:rFonts w:ascii="Book Antiqua" w:eastAsia="Book Antiqua" w:hAnsi="Book Antiqua" w:cs="Book Antiqua"/>
          <w:color w:val="000000"/>
        </w:rPr>
        <w:t>April 20, 2021</w:t>
      </w:r>
    </w:p>
    <w:p w14:paraId="43557432" w14:textId="77777777" w:rsidR="00A77B3E" w:rsidRDefault="00A77B3E">
      <w:pPr>
        <w:spacing w:line="360" w:lineRule="auto"/>
        <w:jc w:val="both"/>
      </w:pPr>
    </w:p>
    <w:p w14:paraId="40576992" w14:textId="4E08A0B8" w:rsidR="00A77B3E" w:rsidRDefault="0052402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w:t>
      </w:r>
      <w:r w:rsidR="00C569DD">
        <w:rPr>
          <w:rFonts w:ascii="Book Antiqua" w:eastAsia="Book Antiqua" w:hAnsi="Book Antiqua" w:cs="Book Antiqua"/>
          <w:color w:val="000000"/>
        </w:rPr>
        <w:t xml:space="preserve"> and he</w:t>
      </w:r>
      <w:r>
        <w:rPr>
          <w:rFonts w:ascii="Book Antiqua" w:eastAsia="Book Antiqua" w:hAnsi="Book Antiqua" w:cs="Book Antiqua"/>
          <w:color w:val="000000"/>
        </w:rPr>
        <w:t>patology</w:t>
      </w:r>
    </w:p>
    <w:p w14:paraId="7479E3D9" w14:textId="77777777" w:rsidR="00A77B3E" w:rsidRDefault="0052402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0326E58F" w14:textId="77777777" w:rsidR="00A77B3E" w:rsidRDefault="0052402A">
      <w:pPr>
        <w:spacing w:line="360" w:lineRule="auto"/>
        <w:jc w:val="both"/>
      </w:pPr>
      <w:r>
        <w:rPr>
          <w:rFonts w:ascii="Book Antiqua" w:eastAsia="Book Antiqua" w:hAnsi="Book Antiqua" w:cs="Book Antiqua"/>
          <w:b/>
          <w:color w:val="000000"/>
        </w:rPr>
        <w:t>Peer-review report’s scientific quality classification</w:t>
      </w:r>
    </w:p>
    <w:p w14:paraId="06415DD1" w14:textId="77777777" w:rsidR="00A77B3E" w:rsidRDefault="0052402A">
      <w:pPr>
        <w:spacing w:line="360" w:lineRule="auto"/>
        <w:jc w:val="both"/>
      </w:pPr>
      <w:r>
        <w:rPr>
          <w:rFonts w:ascii="Book Antiqua" w:eastAsia="Book Antiqua" w:hAnsi="Book Antiqua" w:cs="Book Antiqua"/>
          <w:color w:val="000000"/>
        </w:rPr>
        <w:t>Grade A (Excellent): 0</w:t>
      </w:r>
    </w:p>
    <w:p w14:paraId="14B8DD9E" w14:textId="77777777" w:rsidR="00A77B3E" w:rsidRDefault="0052402A">
      <w:pPr>
        <w:spacing w:line="360" w:lineRule="auto"/>
        <w:jc w:val="both"/>
      </w:pPr>
      <w:r>
        <w:rPr>
          <w:rFonts w:ascii="Book Antiqua" w:eastAsia="Book Antiqua" w:hAnsi="Book Antiqua" w:cs="Book Antiqua"/>
          <w:color w:val="000000"/>
        </w:rPr>
        <w:t>Grade B (Very good): B, B, B, B</w:t>
      </w:r>
    </w:p>
    <w:p w14:paraId="131AB3D5" w14:textId="77777777" w:rsidR="00A77B3E" w:rsidRDefault="0052402A">
      <w:pPr>
        <w:spacing w:line="360" w:lineRule="auto"/>
        <w:jc w:val="both"/>
      </w:pPr>
      <w:r>
        <w:rPr>
          <w:rFonts w:ascii="Book Antiqua" w:eastAsia="Book Antiqua" w:hAnsi="Book Antiqua" w:cs="Book Antiqua"/>
          <w:color w:val="000000"/>
        </w:rPr>
        <w:t>Grade C (Good): C</w:t>
      </w:r>
    </w:p>
    <w:p w14:paraId="0271BAE0" w14:textId="77777777" w:rsidR="00A77B3E" w:rsidRDefault="0052402A">
      <w:pPr>
        <w:spacing w:line="360" w:lineRule="auto"/>
        <w:jc w:val="both"/>
      </w:pPr>
      <w:r>
        <w:rPr>
          <w:rFonts w:ascii="Book Antiqua" w:eastAsia="Book Antiqua" w:hAnsi="Book Antiqua" w:cs="Book Antiqua"/>
          <w:color w:val="000000"/>
        </w:rPr>
        <w:t>Grade D (Fair): 0</w:t>
      </w:r>
    </w:p>
    <w:p w14:paraId="601ADFF4" w14:textId="77777777" w:rsidR="00A77B3E" w:rsidRDefault="0052402A">
      <w:pPr>
        <w:spacing w:line="360" w:lineRule="auto"/>
        <w:jc w:val="both"/>
      </w:pPr>
      <w:r>
        <w:rPr>
          <w:rFonts w:ascii="Book Antiqua" w:eastAsia="Book Antiqua" w:hAnsi="Book Antiqua" w:cs="Book Antiqua"/>
          <w:color w:val="000000"/>
        </w:rPr>
        <w:t>Grade E (Poor): 0</w:t>
      </w:r>
    </w:p>
    <w:p w14:paraId="020E7B29" w14:textId="77777777" w:rsidR="00A77B3E" w:rsidRDefault="00A77B3E">
      <w:pPr>
        <w:spacing w:line="360" w:lineRule="auto"/>
        <w:jc w:val="both"/>
      </w:pPr>
    </w:p>
    <w:p w14:paraId="481E4616" w14:textId="7B211266" w:rsidR="00477AF6" w:rsidRPr="00477AF6" w:rsidRDefault="0052402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Anastasiou I, Derviş Hakim G, Feng QS, Grawish ME, Irato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Pr="00477AF6">
        <w:rPr>
          <w:rFonts w:ascii="Book Antiqua" w:hAnsi="Book Antiqua" w:cs="Book Antiqua"/>
          <w:color w:val="000000"/>
          <w:lang w:eastAsia="zh-CN"/>
        </w:rPr>
        <w:t xml:space="preserve"> </w:t>
      </w:r>
      <w:r w:rsidR="00477AF6" w:rsidRPr="00477AF6">
        <w:rPr>
          <w:rFonts w:ascii="Book Antiqua" w:hAnsi="Book Antiqua" w:cs="Book Antiqua" w:hint="eastAsia"/>
          <w:color w:val="000000"/>
          <w:lang w:eastAsia="zh-CN"/>
        </w:rPr>
        <w:t>A</w:t>
      </w:r>
      <w:r w:rsidRPr="00477AF6">
        <w:rPr>
          <w:rFonts w:ascii="Book Antiqua" w:hAnsi="Book Antiqua" w:cs="Book Antiqua"/>
          <w:color w:val="000000"/>
          <w:lang w:eastAsia="zh-CN"/>
        </w:rPr>
        <w:t xml:space="preserve"> </w:t>
      </w:r>
      <w:r>
        <w:rPr>
          <w:rFonts w:ascii="Book Antiqua" w:eastAsia="Book Antiqua" w:hAnsi="Book Antiqua" w:cs="Book Antiqua"/>
          <w:b/>
          <w:color w:val="000000"/>
        </w:rPr>
        <w:t>P-Editor:</w:t>
      </w:r>
      <w:r w:rsidR="00477AF6" w:rsidRPr="00477AF6">
        <w:rPr>
          <w:rFonts w:ascii="Book Antiqua" w:hAnsi="Book Antiqua" w:cs="Book Antiqua" w:hint="eastAsia"/>
          <w:color w:val="000000"/>
          <w:lang w:eastAsia="zh-CN"/>
        </w:rPr>
        <w:t xml:space="preserve"> Wang LL</w:t>
      </w:r>
    </w:p>
    <w:p w14:paraId="009788B9" w14:textId="4C738E96" w:rsidR="00A77B3E" w:rsidRDefault="0052402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064D6DB" w14:textId="498B803F" w:rsidR="00A77B3E" w:rsidRDefault="0052402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07C3C6D5" w14:textId="1E2E71DF" w:rsidR="002B2F4B" w:rsidRDefault="002B2F4B">
      <w:pPr>
        <w:spacing w:line="360" w:lineRule="auto"/>
        <w:jc w:val="both"/>
      </w:pPr>
      <w:r>
        <w:rPr>
          <w:noProof/>
          <w:lang w:eastAsia="zh-CN"/>
        </w:rPr>
        <w:drawing>
          <wp:inline distT="0" distB="0" distL="0" distR="0" wp14:anchorId="76D34BDA" wp14:editId="2311F437">
            <wp:extent cx="5753142" cy="3400450"/>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3142" cy="3400450"/>
                    </a:xfrm>
                    <a:prstGeom prst="rect">
                      <a:avLst/>
                    </a:prstGeom>
                  </pic:spPr>
                </pic:pic>
              </a:graphicData>
            </a:graphic>
          </wp:inline>
        </w:drawing>
      </w:r>
    </w:p>
    <w:p w14:paraId="4793827E" w14:textId="71EAA2B7" w:rsidR="00A77B3E" w:rsidRDefault="0052402A">
      <w:pPr>
        <w:spacing w:line="360" w:lineRule="auto"/>
        <w:jc w:val="both"/>
      </w:pPr>
      <w:r w:rsidRPr="002B2F4B">
        <w:rPr>
          <w:rFonts w:ascii="Book Antiqua" w:eastAsia="Book Antiqua" w:hAnsi="Book Antiqua" w:cs="Book Antiqua"/>
          <w:b/>
          <w:bCs/>
          <w:color w:val="000000"/>
        </w:rPr>
        <w:t>Figure 1</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Patient disposition and treatment outcomes.</w:t>
      </w:r>
      <w:r>
        <w:rPr>
          <w:rFonts w:ascii="Book Antiqua" w:eastAsia="Book Antiqua" w:hAnsi="Book Antiqua" w:cs="Book Antiqua"/>
          <w:color w:val="000000"/>
        </w:rPr>
        <w:t xml:space="preserve"> SVR: </w:t>
      </w:r>
      <w:r w:rsidR="002B2F4B">
        <w:rPr>
          <w:rFonts w:ascii="Book Antiqua" w:eastAsia="Book Antiqua" w:hAnsi="Book Antiqua" w:cs="Book Antiqua"/>
          <w:color w:val="000000"/>
        </w:rPr>
        <w:t>S</w:t>
      </w:r>
      <w:r>
        <w:rPr>
          <w:rFonts w:ascii="Book Antiqua" w:eastAsia="Book Antiqua" w:hAnsi="Book Antiqua" w:cs="Book Antiqua"/>
          <w:color w:val="000000"/>
        </w:rPr>
        <w:t>ustained virologic response.</w:t>
      </w:r>
    </w:p>
    <w:p w14:paraId="0101FAF0" w14:textId="592FAE20" w:rsidR="00A77B3E" w:rsidRDefault="002B2F4B">
      <w:pPr>
        <w:spacing w:line="360" w:lineRule="auto"/>
        <w:jc w:val="both"/>
      </w:pPr>
      <w:r>
        <w:br w:type="page"/>
      </w:r>
      <w:r>
        <w:rPr>
          <w:noProof/>
          <w:lang w:eastAsia="zh-CN"/>
        </w:rPr>
        <w:drawing>
          <wp:inline distT="0" distB="0" distL="0" distR="0" wp14:anchorId="1537EF8C" wp14:editId="2EFCD2BE">
            <wp:extent cx="5943600" cy="20624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062480"/>
                    </a:xfrm>
                    <a:prstGeom prst="rect">
                      <a:avLst/>
                    </a:prstGeom>
                  </pic:spPr>
                </pic:pic>
              </a:graphicData>
            </a:graphic>
          </wp:inline>
        </w:drawing>
      </w:r>
    </w:p>
    <w:p w14:paraId="44047086" w14:textId="45447990" w:rsidR="00A77B3E" w:rsidRDefault="0052402A">
      <w:pPr>
        <w:spacing w:line="360" w:lineRule="auto"/>
        <w:jc w:val="both"/>
      </w:pPr>
      <w:r w:rsidRPr="002B2F4B">
        <w:rPr>
          <w:rFonts w:ascii="Book Antiqua" w:eastAsia="Book Antiqua" w:hAnsi="Book Antiqua" w:cs="Book Antiqua"/>
          <w:b/>
          <w:bCs/>
          <w:color w:val="000000"/>
        </w:rPr>
        <w:t>Figure 2</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 xml:space="preserve">Distribution of treatment regimens among patients who did and did not achieve </w:t>
      </w:r>
      <w:r w:rsidR="002B2F4B" w:rsidRPr="002B2F4B">
        <w:rPr>
          <w:rFonts w:ascii="Book Antiqua" w:eastAsia="Book Antiqua" w:hAnsi="Book Antiqua" w:cs="Book Antiqua"/>
          <w:b/>
          <w:bCs/>
          <w:color w:val="000000"/>
        </w:rPr>
        <w:t>sustained virologic response</w:t>
      </w:r>
      <w:r w:rsidRPr="002B2F4B">
        <w:rPr>
          <w:rFonts w:ascii="Book Antiqua" w:eastAsia="Book Antiqua" w:hAnsi="Book Antiqua" w:cs="Book Antiqua"/>
          <w:b/>
          <w:bCs/>
          <w:color w:val="000000"/>
        </w:rPr>
        <w:t>.</w:t>
      </w:r>
      <w:r>
        <w:rPr>
          <w:rFonts w:ascii="Book Antiqua" w:eastAsia="Book Antiqua" w:hAnsi="Book Antiqua" w:cs="Book Antiqua"/>
          <w:color w:val="000000"/>
        </w:rPr>
        <w:t xml:space="preserve"> SVR: </w:t>
      </w:r>
      <w:r w:rsidR="002B2F4B">
        <w:rPr>
          <w:rFonts w:ascii="Book Antiqua" w:eastAsia="Book Antiqua" w:hAnsi="Book Antiqua" w:cs="Book Antiqua"/>
          <w:color w:val="000000"/>
        </w:rPr>
        <w:t>S</w:t>
      </w:r>
      <w:r>
        <w:rPr>
          <w:rFonts w:ascii="Book Antiqua" w:eastAsia="Book Antiqua" w:hAnsi="Book Antiqua" w:cs="Book Antiqua"/>
          <w:color w:val="000000"/>
        </w:rPr>
        <w:t xml:space="preserve">ustained virologic response; RBV: </w:t>
      </w:r>
      <w:r w:rsidR="002B2F4B">
        <w:rPr>
          <w:rFonts w:ascii="Book Antiqua" w:eastAsia="Book Antiqua" w:hAnsi="Book Antiqua" w:cs="Book Antiqua"/>
          <w:color w:val="000000"/>
        </w:rPr>
        <w:t>R</w:t>
      </w:r>
      <w:r>
        <w:rPr>
          <w:rFonts w:ascii="Book Antiqua" w:eastAsia="Book Antiqua" w:hAnsi="Book Antiqua" w:cs="Book Antiqua"/>
          <w:color w:val="000000"/>
        </w:rPr>
        <w:t xml:space="preserve">ibavirin; SOF: </w:t>
      </w:r>
      <w:r w:rsidR="002B2F4B">
        <w:rPr>
          <w:rFonts w:ascii="Book Antiqua" w:eastAsia="Book Antiqua" w:hAnsi="Book Antiqua" w:cs="Book Antiqua"/>
          <w:color w:val="000000"/>
        </w:rPr>
        <w:t>S</w:t>
      </w:r>
      <w:r>
        <w:rPr>
          <w:rFonts w:ascii="Book Antiqua" w:eastAsia="Book Antiqua" w:hAnsi="Book Antiqua" w:cs="Book Antiqua"/>
          <w:color w:val="000000"/>
        </w:rPr>
        <w:t xml:space="preserve">ofosbuvir; PrOD: </w:t>
      </w:r>
      <w:r w:rsidR="002B2F4B">
        <w:rPr>
          <w:rFonts w:ascii="Book Antiqua" w:eastAsia="Book Antiqua" w:hAnsi="Book Antiqua" w:cs="Book Antiqua"/>
          <w:color w:val="000000"/>
        </w:rPr>
        <w:t>P</w:t>
      </w:r>
      <w:r>
        <w:rPr>
          <w:rFonts w:ascii="Book Antiqua" w:eastAsia="Book Antiqua" w:hAnsi="Book Antiqua" w:cs="Book Antiqua"/>
          <w:color w:val="000000"/>
        </w:rPr>
        <w:t>aritaprevir/ritonavir +/</w:t>
      </w:r>
      <w:r w:rsidR="002B2F4B">
        <w:rPr>
          <w:rFonts w:ascii="Book Antiqua" w:eastAsia="Book Antiqua" w:hAnsi="Book Antiqua" w:cs="Book Antiqua"/>
          <w:color w:val="000000"/>
        </w:rPr>
        <w:t>-</w:t>
      </w:r>
      <w:r>
        <w:rPr>
          <w:rFonts w:ascii="Book Antiqua" w:eastAsia="Book Antiqua" w:hAnsi="Book Antiqua" w:cs="Book Antiqua"/>
          <w:color w:val="000000"/>
        </w:rPr>
        <w:t xml:space="preserve"> dasabuvir; LDV: </w:t>
      </w:r>
      <w:r w:rsidR="002B2F4B">
        <w:rPr>
          <w:rFonts w:ascii="Book Antiqua" w:eastAsia="Book Antiqua" w:hAnsi="Book Antiqua" w:cs="Book Antiqua"/>
          <w:color w:val="000000"/>
        </w:rPr>
        <w:t>L</w:t>
      </w:r>
      <w:r>
        <w:rPr>
          <w:rFonts w:ascii="Book Antiqua" w:eastAsia="Book Antiqua" w:hAnsi="Book Antiqua" w:cs="Book Antiqua"/>
          <w:color w:val="000000"/>
        </w:rPr>
        <w:t xml:space="preserve">edipasvir; GZR: </w:t>
      </w:r>
      <w:r w:rsidR="002B2F4B">
        <w:rPr>
          <w:rFonts w:ascii="Book Antiqua" w:eastAsia="Book Antiqua" w:hAnsi="Book Antiqua" w:cs="Book Antiqua"/>
          <w:color w:val="000000"/>
        </w:rPr>
        <w:t>G</w:t>
      </w:r>
      <w:r>
        <w:rPr>
          <w:rFonts w:ascii="Book Antiqua" w:eastAsia="Book Antiqua" w:hAnsi="Book Antiqua" w:cs="Book Antiqua"/>
          <w:color w:val="000000"/>
        </w:rPr>
        <w:t xml:space="preserve">razoprevir; EBR: </w:t>
      </w:r>
      <w:r w:rsidR="002B2F4B">
        <w:rPr>
          <w:rFonts w:ascii="Book Antiqua" w:eastAsia="Book Antiqua" w:hAnsi="Book Antiqua" w:cs="Book Antiqua"/>
          <w:color w:val="000000"/>
        </w:rPr>
        <w:t>E</w:t>
      </w:r>
      <w:r>
        <w:rPr>
          <w:rFonts w:ascii="Book Antiqua" w:eastAsia="Book Antiqua" w:hAnsi="Book Antiqua" w:cs="Book Antiqua"/>
          <w:color w:val="000000"/>
        </w:rPr>
        <w:t xml:space="preserve">lbasvir; GLE: </w:t>
      </w:r>
      <w:r w:rsidR="002B2F4B">
        <w:rPr>
          <w:rFonts w:ascii="Book Antiqua" w:eastAsia="Book Antiqua" w:hAnsi="Book Antiqua" w:cs="Book Antiqua"/>
          <w:color w:val="000000"/>
        </w:rPr>
        <w:t>G</w:t>
      </w:r>
      <w:r>
        <w:rPr>
          <w:rFonts w:ascii="Book Antiqua" w:eastAsia="Book Antiqua" w:hAnsi="Book Antiqua" w:cs="Book Antiqua"/>
          <w:color w:val="000000"/>
        </w:rPr>
        <w:t xml:space="preserve">lecaprevir; PIB: </w:t>
      </w:r>
      <w:r w:rsidR="002B2F4B">
        <w:rPr>
          <w:rFonts w:ascii="Book Antiqua" w:eastAsia="Book Antiqua" w:hAnsi="Book Antiqua" w:cs="Book Antiqua"/>
          <w:color w:val="000000"/>
        </w:rPr>
        <w:t>P</w:t>
      </w:r>
      <w:r>
        <w:rPr>
          <w:rFonts w:ascii="Book Antiqua" w:eastAsia="Book Antiqua" w:hAnsi="Book Antiqua" w:cs="Book Antiqua"/>
          <w:color w:val="000000"/>
        </w:rPr>
        <w:t xml:space="preserve">ibrentasvir; VEL: </w:t>
      </w:r>
      <w:r w:rsidR="002B2F4B">
        <w:rPr>
          <w:rFonts w:ascii="Book Antiqua" w:eastAsia="Book Antiqua" w:hAnsi="Book Antiqua" w:cs="Book Antiqua"/>
          <w:color w:val="000000"/>
        </w:rPr>
        <w:t>V</w:t>
      </w:r>
      <w:r>
        <w:rPr>
          <w:rFonts w:ascii="Book Antiqua" w:eastAsia="Book Antiqua" w:hAnsi="Book Antiqua" w:cs="Book Antiqua"/>
          <w:color w:val="000000"/>
        </w:rPr>
        <w:t xml:space="preserve">elpatasvir; ASV: </w:t>
      </w:r>
      <w:r w:rsidR="002B2F4B">
        <w:rPr>
          <w:rFonts w:ascii="Book Antiqua" w:eastAsia="Book Antiqua" w:hAnsi="Book Antiqua" w:cs="Book Antiqua"/>
          <w:color w:val="000000"/>
        </w:rPr>
        <w:t>A</w:t>
      </w:r>
      <w:r>
        <w:rPr>
          <w:rFonts w:ascii="Book Antiqua" w:eastAsia="Book Antiqua" w:hAnsi="Book Antiqua" w:cs="Book Antiqua"/>
          <w:color w:val="000000"/>
        </w:rPr>
        <w:t xml:space="preserve">sunaprevir; DCV: </w:t>
      </w:r>
      <w:r w:rsidR="002B2F4B">
        <w:rPr>
          <w:rFonts w:ascii="Book Antiqua" w:eastAsia="Book Antiqua" w:hAnsi="Book Antiqua" w:cs="Book Antiqua"/>
          <w:color w:val="000000"/>
        </w:rPr>
        <w:t>D</w:t>
      </w:r>
      <w:r>
        <w:rPr>
          <w:rFonts w:ascii="Book Antiqua" w:eastAsia="Book Antiqua" w:hAnsi="Book Antiqua" w:cs="Book Antiqua"/>
          <w:color w:val="000000"/>
        </w:rPr>
        <w:t>aclatasvir.</w:t>
      </w:r>
    </w:p>
    <w:p w14:paraId="795DAC61" w14:textId="4265F497" w:rsidR="00A77B3E" w:rsidRDefault="002B2F4B">
      <w:pPr>
        <w:spacing w:line="360" w:lineRule="auto"/>
        <w:jc w:val="both"/>
      </w:pPr>
      <w:r>
        <w:br w:type="page"/>
      </w:r>
      <w:r>
        <w:rPr>
          <w:noProof/>
          <w:lang w:eastAsia="zh-CN"/>
        </w:rPr>
        <w:drawing>
          <wp:inline distT="0" distB="0" distL="0" distR="0" wp14:anchorId="5C6517BA" wp14:editId="2D4C105D">
            <wp:extent cx="5800767" cy="2943247"/>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0767" cy="2943247"/>
                    </a:xfrm>
                    <a:prstGeom prst="rect">
                      <a:avLst/>
                    </a:prstGeom>
                  </pic:spPr>
                </pic:pic>
              </a:graphicData>
            </a:graphic>
          </wp:inline>
        </w:drawing>
      </w:r>
    </w:p>
    <w:p w14:paraId="19AAF988" w14:textId="5D76ABD2" w:rsidR="00A77B3E" w:rsidRDefault="0052402A">
      <w:pPr>
        <w:spacing w:line="360" w:lineRule="auto"/>
        <w:jc w:val="both"/>
      </w:pPr>
      <w:r w:rsidRPr="002B2F4B">
        <w:rPr>
          <w:rFonts w:ascii="Book Antiqua" w:eastAsia="Book Antiqua" w:hAnsi="Book Antiqua" w:cs="Book Antiqua"/>
          <w:b/>
          <w:bCs/>
          <w:color w:val="000000"/>
        </w:rPr>
        <w:t>Figure 3</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Prediction accuracy and the value of Cohen's</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κ</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statistic for individual machine learning algorithms.</w:t>
      </w:r>
      <w:r>
        <w:rPr>
          <w:rFonts w:ascii="Book Antiqua" w:eastAsia="Book Antiqua" w:hAnsi="Book Antiqua" w:cs="Book Antiqua"/>
          <w:color w:val="000000"/>
        </w:rPr>
        <w:t xml:space="preserve"> </w:t>
      </w:r>
      <w:r w:rsidR="002B2F4B">
        <w:rPr>
          <w:rFonts w:ascii="Book Antiqua" w:eastAsia="Book Antiqua" w:hAnsi="Book Antiqua" w:cs="Book Antiqua"/>
          <w:color w:val="000000"/>
        </w:rPr>
        <w:t>cart</w:t>
      </w:r>
      <w:r>
        <w:rPr>
          <w:rFonts w:ascii="Book Antiqua" w:eastAsia="Book Antiqua" w:hAnsi="Book Antiqua" w:cs="Book Antiqua"/>
          <w:color w:val="000000"/>
        </w:rPr>
        <w:t xml:space="preserve">: </w:t>
      </w:r>
      <w:r w:rsidR="002B2F4B">
        <w:rPr>
          <w:rFonts w:ascii="Book Antiqua" w:eastAsia="Book Antiqua" w:hAnsi="Book Antiqua" w:cs="Book Antiqua"/>
          <w:color w:val="000000"/>
        </w:rPr>
        <w:t>C</w:t>
      </w:r>
      <w:r>
        <w:rPr>
          <w:rFonts w:ascii="Book Antiqua" w:eastAsia="Book Antiqua" w:hAnsi="Book Antiqua" w:cs="Book Antiqua"/>
          <w:color w:val="000000"/>
        </w:rPr>
        <w:t xml:space="preserve">lassification and regression tree; </w:t>
      </w:r>
      <w:r w:rsidR="002B2F4B">
        <w:rPr>
          <w:rFonts w:ascii="Book Antiqua" w:eastAsia="Book Antiqua" w:hAnsi="Book Antiqua" w:cs="Book Antiqua"/>
          <w:color w:val="000000"/>
        </w:rPr>
        <w:t>knn</w:t>
      </w:r>
      <w:r>
        <w:rPr>
          <w:rFonts w:ascii="Book Antiqua" w:eastAsia="Book Antiqua" w:hAnsi="Book Antiqua" w:cs="Book Antiqua"/>
          <w:color w:val="000000"/>
        </w:rPr>
        <w:t xml:space="preserve">: </w:t>
      </w:r>
      <w:r w:rsidR="002B2F4B">
        <w:rPr>
          <w:rFonts w:ascii="Book Antiqua" w:eastAsia="Book Antiqua" w:hAnsi="Book Antiqua" w:cs="Book Antiqua"/>
          <w:color w:val="000000"/>
        </w:rPr>
        <w:t>K</w:t>
      </w:r>
      <w:r>
        <w:rPr>
          <w:rFonts w:ascii="Book Antiqua" w:eastAsia="Book Antiqua" w:hAnsi="Book Antiqua" w:cs="Book Antiqua"/>
          <w:color w:val="000000"/>
        </w:rPr>
        <w:t xml:space="preserve">-nearest neighbors; </w:t>
      </w:r>
      <w:r w:rsidR="002B2F4B">
        <w:rPr>
          <w:rFonts w:ascii="Book Antiqua" w:eastAsia="Book Antiqua" w:hAnsi="Book Antiqua" w:cs="Book Antiqua"/>
          <w:color w:val="000000"/>
        </w:rPr>
        <w:t>svm</w:t>
      </w:r>
      <w:r>
        <w:rPr>
          <w:rFonts w:ascii="Book Antiqua" w:eastAsia="Book Antiqua" w:hAnsi="Book Antiqua" w:cs="Book Antiqua"/>
          <w:color w:val="000000"/>
        </w:rPr>
        <w:t xml:space="preserve">: </w:t>
      </w:r>
      <w:r w:rsidR="002B2F4B">
        <w:rPr>
          <w:rFonts w:ascii="Book Antiqua" w:eastAsia="Book Antiqua" w:hAnsi="Book Antiqua" w:cs="Book Antiqua"/>
          <w:color w:val="000000"/>
        </w:rPr>
        <w:t>S</w:t>
      </w:r>
      <w:r>
        <w:rPr>
          <w:rFonts w:ascii="Book Antiqua" w:eastAsia="Book Antiqua" w:hAnsi="Book Antiqua" w:cs="Book Antiqua"/>
          <w:color w:val="000000"/>
        </w:rPr>
        <w:t xml:space="preserve">upport vector machine; </w:t>
      </w:r>
      <w:r w:rsidR="002B2F4B">
        <w:rPr>
          <w:rFonts w:ascii="Book Antiqua" w:eastAsia="Book Antiqua" w:hAnsi="Book Antiqua" w:cs="Book Antiqua"/>
          <w:color w:val="000000"/>
        </w:rPr>
        <w:t>rf</w:t>
      </w:r>
      <w:r>
        <w:rPr>
          <w:rFonts w:ascii="Book Antiqua" w:eastAsia="Book Antiqua" w:hAnsi="Book Antiqua" w:cs="Book Antiqua"/>
          <w:color w:val="000000"/>
        </w:rPr>
        <w:t xml:space="preserve">: </w:t>
      </w:r>
      <w:r w:rsidR="002B2F4B">
        <w:rPr>
          <w:rFonts w:ascii="Book Antiqua" w:eastAsia="Book Antiqua" w:hAnsi="Book Antiqua" w:cs="Book Antiqua"/>
          <w:color w:val="000000"/>
        </w:rPr>
        <w:t>R</w:t>
      </w:r>
      <w:r>
        <w:rPr>
          <w:rFonts w:ascii="Book Antiqua" w:eastAsia="Book Antiqua" w:hAnsi="Book Antiqua" w:cs="Book Antiqua"/>
          <w:color w:val="000000"/>
        </w:rPr>
        <w:t>andom forest.</w:t>
      </w:r>
    </w:p>
    <w:p w14:paraId="4F338649" w14:textId="59C89C8D" w:rsidR="00A77B3E" w:rsidRDefault="002B2F4B">
      <w:pPr>
        <w:spacing w:line="360" w:lineRule="auto"/>
        <w:jc w:val="both"/>
      </w:pPr>
      <w:r>
        <w:br w:type="page"/>
      </w:r>
      <w:r>
        <w:rPr>
          <w:noProof/>
          <w:lang w:eastAsia="zh-CN"/>
        </w:rPr>
        <w:drawing>
          <wp:inline distT="0" distB="0" distL="0" distR="0" wp14:anchorId="002AAAE3" wp14:editId="7FEA7BE3">
            <wp:extent cx="5491203" cy="27336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1203" cy="2733695"/>
                    </a:xfrm>
                    <a:prstGeom prst="rect">
                      <a:avLst/>
                    </a:prstGeom>
                  </pic:spPr>
                </pic:pic>
              </a:graphicData>
            </a:graphic>
          </wp:inline>
        </w:drawing>
      </w:r>
    </w:p>
    <w:p w14:paraId="06B37AFC" w14:textId="15971E0E" w:rsidR="00A77B3E" w:rsidRPr="002B2F4B" w:rsidRDefault="0052402A">
      <w:pPr>
        <w:spacing w:line="360" w:lineRule="auto"/>
        <w:jc w:val="both"/>
        <w:rPr>
          <w:b/>
          <w:bCs/>
        </w:rPr>
      </w:pPr>
      <w:r w:rsidRPr="002B2F4B">
        <w:rPr>
          <w:rFonts w:ascii="Book Antiqua" w:eastAsia="Book Antiqua" w:hAnsi="Book Antiqua" w:cs="Book Antiqua"/>
          <w:b/>
          <w:bCs/>
          <w:color w:val="000000"/>
        </w:rPr>
        <w:t>Figure 4</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The receiver operating characteristic</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curve showing the accuracy of the final model for the test data.</w:t>
      </w:r>
    </w:p>
    <w:p w14:paraId="2E81CE92" w14:textId="62D6129C" w:rsidR="00A77B3E" w:rsidRDefault="002B2F4B">
      <w:pPr>
        <w:spacing w:line="360" w:lineRule="auto"/>
        <w:jc w:val="both"/>
      </w:pPr>
      <w:r>
        <w:br w:type="page"/>
      </w:r>
      <w:r>
        <w:rPr>
          <w:noProof/>
          <w:lang w:eastAsia="zh-CN"/>
        </w:rPr>
        <w:drawing>
          <wp:inline distT="0" distB="0" distL="0" distR="0" wp14:anchorId="4994CE2D" wp14:editId="6CB67694">
            <wp:extent cx="5129250" cy="296229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9250" cy="2962297"/>
                    </a:xfrm>
                    <a:prstGeom prst="rect">
                      <a:avLst/>
                    </a:prstGeom>
                  </pic:spPr>
                </pic:pic>
              </a:graphicData>
            </a:graphic>
          </wp:inline>
        </w:drawing>
      </w:r>
    </w:p>
    <w:p w14:paraId="44DE7348" w14:textId="555A84C8" w:rsidR="00A77B3E" w:rsidRDefault="0052402A">
      <w:pPr>
        <w:spacing w:line="360" w:lineRule="auto"/>
        <w:jc w:val="both"/>
      </w:pPr>
      <w:r w:rsidRPr="002B2F4B">
        <w:rPr>
          <w:rFonts w:ascii="Book Antiqua" w:eastAsia="Book Antiqua" w:hAnsi="Book Antiqua" w:cs="Book Antiqua"/>
          <w:b/>
          <w:bCs/>
          <w:color w:val="000000"/>
        </w:rPr>
        <w:t>Figure 5</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The most important factors influencing treatment failure: mean accuracy decrease.</w:t>
      </w:r>
      <w:r>
        <w:rPr>
          <w:rFonts w:ascii="Book Antiqua" w:eastAsia="Book Antiqua" w:hAnsi="Book Antiqua" w:cs="Book Antiqua"/>
          <w:color w:val="000000"/>
        </w:rPr>
        <w:t xml:space="preserve"> HCV: </w:t>
      </w:r>
      <w:r w:rsidR="002B2F4B">
        <w:rPr>
          <w:rFonts w:ascii="Book Antiqua" w:eastAsia="Book Antiqua" w:hAnsi="Book Antiqua" w:cs="Book Antiqua"/>
          <w:color w:val="000000"/>
        </w:rPr>
        <w:t>H</w:t>
      </w:r>
      <w:r>
        <w:rPr>
          <w:rFonts w:ascii="Book Antiqua" w:eastAsia="Book Antiqua" w:hAnsi="Book Antiqua" w:cs="Book Antiqua"/>
          <w:color w:val="000000"/>
        </w:rPr>
        <w:t xml:space="preserve">epatitis C virus; INR: </w:t>
      </w:r>
      <w:r w:rsidR="002B2F4B">
        <w:rPr>
          <w:rFonts w:ascii="Book Antiqua" w:eastAsia="Book Antiqua" w:hAnsi="Book Antiqua" w:cs="Book Antiqua"/>
          <w:color w:val="000000"/>
        </w:rPr>
        <w:t>I</w:t>
      </w:r>
      <w:r>
        <w:rPr>
          <w:rFonts w:ascii="Book Antiqua" w:eastAsia="Book Antiqua" w:hAnsi="Book Antiqua" w:cs="Book Antiqua"/>
          <w:color w:val="000000"/>
        </w:rPr>
        <w:t xml:space="preserve">nternational normalized ratio; BMI: </w:t>
      </w:r>
      <w:r w:rsidR="002B2F4B">
        <w:rPr>
          <w:rFonts w:ascii="Book Antiqua" w:eastAsia="Book Antiqua" w:hAnsi="Book Antiqua" w:cs="Book Antiqua"/>
          <w:color w:val="000000"/>
        </w:rPr>
        <w:t>B</w:t>
      </w:r>
      <w:r>
        <w:rPr>
          <w:rFonts w:ascii="Book Antiqua" w:eastAsia="Book Antiqua" w:hAnsi="Book Antiqua" w:cs="Book Antiqua"/>
          <w:color w:val="000000"/>
        </w:rPr>
        <w:t xml:space="preserve">ody mass index; PLT: </w:t>
      </w:r>
      <w:r w:rsidR="002B2F4B">
        <w:rPr>
          <w:rFonts w:ascii="Book Antiqua" w:eastAsia="Book Antiqua" w:hAnsi="Book Antiqua" w:cs="Book Antiqua"/>
          <w:color w:val="000000"/>
        </w:rPr>
        <w:t>P</w:t>
      </w:r>
      <w:r>
        <w:rPr>
          <w:rFonts w:ascii="Book Antiqua" w:eastAsia="Book Antiqua" w:hAnsi="Book Antiqua" w:cs="Book Antiqua"/>
          <w:color w:val="000000"/>
        </w:rPr>
        <w:t xml:space="preserve">latelets; ALT: </w:t>
      </w:r>
      <w:r w:rsidR="002B2F4B">
        <w:rPr>
          <w:rFonts w:ascii="Book Antiqua" w:eastAsia="Book Antiqua" w:hAnsi="Book Antiqua" w:cs="Book Antiqua"/>
          <w:color w:val="000000"/>
        </w:rPr>
        <w:t>A</w:t>
      </w:r>
      <w:r>
        <w:rPr>
          <w:rFonts w:ascii="Book Antiqua" w:eastAsia="Book Antiqua" w:hAnsi="Book Antiqua" w:cs="Book Antiqua"/>
          <w:color w:val="000000"/>
        </w:rPr>
        <w:t>lanine aminotransferase; MELD: Model for End-stage Liver Disease.</w:t>
      </w:r>
    </w:p>
    <w:p w14:paraId="24F96C7F" w14:textId="288420AD" w:rsidR="00A77B3E" w:rsidRDefault="002B2F4B">
      <w:pPr>
        <w:spacing w:line="360" w:lineRule="auto"/>
        <w:jc w:val="both"/>
      </w:pPr>
      <w:r>
        <w:br w:type="page"/>
      </w:r>
      <w:r>
        <w:rPr>
          <w:noProof/>
          <w:lang w:eastAsia="zh-CN"/>
        </w:rPr>
        <w:drawing>
          <wp:inline distT="0" distB="0" distL="0" distR="0" wp14:anchorId="6FE65261" wp14:editId="71F342A7">
            <wp:extent cx="5053049" cy="316708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53049" cy="3167086"/>
                    </a:xfrm>
                    <a:prstGeom prst="rect">
                      <a:avLst/>
                    </a:prstGeom>
                  </pic:spPr>
                </pic:pic>
              </a:graphicData>
            </a:graphic>
          </wp:inline>
        </w:drawing>
      </w:r>
    </w:p>
    <w:p w14:paraId="2190BE6D" w14:textId="77777777" w:rsidR="00FB28F4" w:rsidRDefault="0052402A">
      <w:pPr>
        <w:spacing w:line="360" w:lineRule="auto"/>
        <w:jc w:val="both"/>
        <w:rPr>
          <w:rFonts w:ascii="Book Antiqua" w:eastAsia="Book Antiqua" w:hAnsi="Book Antiqua" w:cs="Book Antiqua"/>
          <w:color w:val="000000"/>
        </w:rPr>
      </w:pPr>
      <w:r w:rsidRPr="002B2F4B">
        <w:rPr>
          <w:rFonts w:ascii="Book Antiqua" w:eastAsia="Book Antiqua" w:hAnsi="Book Antiqua" w:cs="Book Antiqua"/>
          <w:b/>
          <w:bCs/>
          <w:color w:val="000000"/>
        </w:rPr>
        <w:t>Figure 6</w:t>
      </w:r>
      <w:r w:rsidR="002B2F4B" w:rsidRPr="002B2F4B">
        <w:rPr>
          <w:rFonts w:ascii="Book Antiqua" w:eastAsia="Book Antiqua" w:hAnsi="Book Antiqua" w:cs="Book Antiqua"/>
          <w:b/>
          <w:bCs/>
          <w:color w:val="000000"/>
        </w:rPr>
        <w:t xml:space="preserve"> </w:t>
      </w:r>
      <w:r w:rsidRPr="002B2F4B">
        <w:rPr>
          <w:rFonts w:ascii="Book Antiqua" w:eastAsia="Book Antiqua" w:hAnsi="Book Antiqua" w:cs="Book Antiqua"/>
          <w:b/>
          <w:bCs/>
          <w:color w:val="000000"/>
        </w:rPr>
        <w:t>The most important factors influencing treatment failure: mean Gini coefficient decrease.</w:t>
      </w:r>
      <w:r>
        <w:rPr>
          <w:rFonts w:ascii="Book Antiqua" w:eastAsia="Book Antiqua" w:hAnsi="Book Antiqua" w:cs="Book Antiqua"/>
          <w:color w:val="000000"/>
        </w:rPr>
        <w:t xml:space="preserve"> HCV: </w:t>
      </w:r>
      <w:r w:rsidR="002B2F4B">
        <w:rPr>
          <w:rFonts w:ascii="Book Antiqua" w:eastAsia="Book Antiqua" w:hAnsi="Book Antiqua" w:cs="Book Antiqua"/>
          <w:color w:val="000000"/>
        </w:rPr>
        <w:t>H</w:t>
      </w:r>
      <w:r>
        <w:rPr>
          <w:rFonts w:ascii="Book Antiqua" w:eastAsia="Book Antiqua" w:hAnsi="Book Antiqua" w:cs="Book Antiqua"/>
          <w:color w:val="000000"/>
        </w:rPr>
        <w:t xml:space="preserve">epatitis C virus; INR: </w:t>
      </w:r>
      <w:r w:rsidR="006B3992">
        <w:rPr>
          <w:rFonts w:ascii="Book Antiqua" w:eastAsia="Book Antiqua" w:hAnsi="Book Antiqua" w:cs="Book Antiqua"/>
          <w:color w:val="000000"/>
        </w:rPr>
        <w:t>I</w:t>
      </w:r>
      <w:r>
        <w:rPr>
          <w:rFonts w:ascii="Book Antiqua" w:eastAsia="Book Antiqua" w:hAnsi="Book Antiqua" w:cs="Book Antiqua"/>
          <w:color w:val="000000"/>
        </w:rPr>
        <w:t xml:space="preserve">nternational normalized ratio; BMI: </w:t>
      </w:r>
      <w:r w:rsidR="006B3992">
        <w:rPr>
          <w:rFonts w:ascii="Book Antiqua" w:eastAsia="Book Antiqua" w:hAnsi="Book Antiqua" w:cs="Book Antiqua"/>
          <w:color w:val="000000"/>
        </w:rPr>
        <w:t>B</w:t>
      </w:r>
      <w:r>
        <w:rPr>
          <w:rFonts w:ascii="Book Antiqua" w:eastAsia="Book Antiqua" w:hAnsi="Book Antiqua" w:cs="Book Antiqua"/>
          <w:color w:val="000000"/>
        </w:rPr>
        <w:t xml:space="preserve">ody mass index; PLT: </w:t>
      </w:r>
      <w:r w:rsidR="006B3992">
        <w:rPr>
          <w:rFonts w:ascii="Book Antiqua" w:eastAsia="Book Antiqua" w:hAnsi="Book Antiqua" w:cs="Book Antiqua"/>
          <w:color w:val="000000"/>
        </w:rPr>
        <w:t>P</w:t>
      </w:r>
      <w:r>
        <w:rPr>
          <w:rFonts w:ascii="Book Antiqua" w:eastAsia="Book Antiqua" w:hAnsi="Book Antiqua" w:cs="Book Antiqua"/>
          <w:color w:val="000000"/>
        </w:rPr>
        <w:t xml:space="preserve">latelets; ALT: </w:t>
      </w:r>
      <w:r w:rsidR="006B3992">
        <w:rPr>
          <w:rFonts w:ascii="Book Antiqua" w:eastAsia="Book Antiqua" w:hAnsi="Book Antiqua" w:cs="Book Antiqua"/>
          <w:color w:val="000000"/>
        </w:rPr>
        <w:t>A</w:t>
      </w:r>
      <w:r>
        <w:rPr>
          <w:rFonts w:ascii="Book Antiqua" w:eastAsia="Book Antiqua" w:hAnsi="Book Antiqua" w:cs="Book Antiqua"/>
          <w:color w:val="000000"/>
        </w:rPr>
        <w:t>lanine aminotransferase; MELD: Model for End-stage Liver Disease.</w:t>
      </w:r>
    </w:p>
    <w:p w14:paraId="775FDD5D" w14:textId="1B86E876" w:rsidR="00090500" w:rsidRDefault="00090500">
      <w:pPr>
        <w:spacing w:line="360" w:lineRule="auto"/>
        <w:jc w:val="both"/>
        <w:rPr>
          <w:rFonts w:ascii="Book Antiqua" w:eastAsia="Book Antiqua" w:hAnsi="Book Antiqua" w:cs="Book Antiqua"/>
          <w:color w:val="000000"/>
        </w:rPr>
        <w:sectPr w:rsidR="00090500">
          <w:pgSz w:w="12240" w:h="15840"/>
          <w:pgMar w:top="1440" w:right="1440" w:bottom="1440" w:left="1440" w:header="720" w:footer="720" w:gutter="0"/>
          <w:cols w:space="720"/>
          <w:docGrid w:linePitch="360"/>
        </w:sectPr>
      </w:pPr>
    </w:p>
    <w:p w14:paraId="0FC407BA" w14:textId="7806D8B6" w:rsidR="00A77B3E" w:rsidRDefault="00FB28F4">
      <w:pPr>
        <w:spacing w:line="360" w:lineRule="auto"/>
        <w:jc w:val="both"/>
        <w:rPr>
          <w:rFonts w:ascii="Book Antiqua" w:hAnsi="Book Antiqua"/>
          <w:b/>
          <w:bCs/>
        </w:rPr>
      </w:pPr>
      <w:r w:rsidRPr="00FB28F4">
        <w:rPr>
          <w:rFonts w:ascii="Book Antiqua" w:hAnsi="Book Antiqua"/>
          <w:b/>
          <w:bCs/>
        </w:rPr>
        <w:t>Table 1</w:t>
      </w:r>
      <w:r>
        <w:rPr>
          <w:rFonts w:ascii="Book Antiqua" w:hAnsi="Book Antiqua"/>
          <w:b/>
          <w:bCs/>
        </w:rPr>
        <w:t xml:space="preserve"> </w:t>
      </w:r>
      <w:r w:rsidRPr="00FB28F4">
        <w:rPr>
          <w:rFonts w:ascii="Book Antiqua" w:hAnsi="Book Antiqua"/>
          <w:b/>
          <w:bCs/>
        </w:rPr>
        <w:t>Baseline characteristics of patients with and without sustained virologic response and their relationship to treatment efficacy</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1"/>
        <w:gridCol w:w="2849"/>
        <w:gridCol w:w="2849"/>
        <w:gridCol w:w="2849"/>
        <w:gridCol w:w="1068"/>
      </w:tblGrid>
      <w:tr w:rsidR="00FB28F4" w:rsidRPr="00FB28F4" w14:paraId="0C5CCF6C" w14:textId="77777777" w:rsidTr="00090500">
        <w:tc>
          <w:tcPr>
            <w:tcW w:w="3561" w:type="dxa"/>
            <w:tcBorders>
              <w:top w:val="single" w:sz="4" w:space="0" w:color="auto"/>
              <w:bottom w:val="single" w:sz="4" w:space="0" w:color="auto"/>
            </w:tcBorders>
          </w:tcPr>
          <w:p w14:paraId="41C52D86"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b/>
                <w:bCs/>
                <w:color w:val="000000"/>
              </w:rPr>
              <w:t>Variable</w:t>
            </w:r>
          </w:p>
        </w:tc>
        <w:tc>
          <w:tcPr>
            <w:tcW w:w="2849" w:type="dxa"/>
            <w:tcBorders>
              <w:top w:val="single" w:sz="4" w:space="0" w:color="auto"/>
              <w:bottom w:val="single" w:sz="4" w:space="0" w:color="auto"/>
            </w:tcBorders>
          </w:tcPr>
          <w:p w14:paraId="21D6721A" w14:textId="5AA1BDC3" w:rsidR="00FB28F4" w:rsidRPr="00FB28F4" w:rsidRDefault="00FB28F4" w:rsidP="00CF53D5">
            <w:pPr>
              <w:spacing w:line="360" w:lineRule="auto"/>
              <w:contextualSpacing/>
              <w:jc w:val="both"/>
              <w:rPr>
                <w:rFonts w:ascii="Book Antiqua" w:hAnsi="Book Antiqua"/>
              </w:rPr>
            </w:pPr>
            <w:r w:rsidRPr="00FB28F4">
              <w:rPr>
                <w:rFonts w:ascii="Book Antiqua" w:hAnsi="Book Antiqua"/>
                <w:b/>
                <w:bCs/>
                <w:color w:val="000000"/>
              </w:rPr>
              <w:t>Total</w:t>
            </w:r>
            <w:r w:rsidR="00CF53D5">
              <w:rPr>
                <w:rFonts w:ascii="Book Antiqua" w:hAnsi="Book Antiqua" w:hint="eastAsia"/>
                <w:b/>
                <w:bCs/>
                <w:color w:val="000000"/>
                <w:lang w:eastAsia="zh-CN"/>
              </w:rPr>
              <w:t xml:space="preserve">, </w:t>
            </w:r>
            <w:r w:rsidRPr="00FB28F4">
              <w:rPr>
                <w:rFonts w:ascii="Book Antiqua" w:hAnsi="Book Antiqua"/>
                <w:b/>
                <w:bCs/>
                <w:i/>
                <w:iCs/>
                <w:color w:val="000000"/>
              </w:rPr>
              <w:t>n</w:t>
            </w:r>
            <w:r>
              <w:rPr>
                <w:rFonts w:ascii="Book Antiqua" w:hAnsi="Book Antiqua"/>
                <w:b/>
                <w:bCs/>
                <w:color w:val="000000"/>
              </w:rPr>
              <w:t xml:space="preserve"> </w:t>
            </w:r>
            <w:r w:rsidRPr="00FB28F4">
              <w:rPr>
                <w:rFonts w:ascii="Book Antiqua" w:hAnsi="Book Antiqua"/>
                <w:b/>
                <w:bCs/>
                <w:color w:val="000000"/>
              </w:rPr>
              <w:t>=</w:t>
            </w:r>
            <w:r>
              <w:rPr>
                <w:rFonts w:ascii="Book Antiqua" w:hAnsi="Book Antiqua"/>
                <w:b/>
                <w:bCs/>
                <w:color w:val="000000"/>
              </w:rPr>
              <w:t xml:space="preserve"> </w:t>
            </w:r>
            <w:r w:rsidRPr="00FB28F4">
              <w:rPr>
                <w:rFonts w:ascii="Book Antiqua" w:hAnsi="Book Antiqua"/>
                <w:b/>
                <w:bCs/>
                <w:color w:val="000000"/>
              </w:rPr>
              <w:t>11938</w:t>
            </w:r>
          </w:p>
        </w:tc>
        <w:tc>
          <w:tcPr>
            <w:tcW w:w="2849" w:type="dxa"/>
            <w:tcBorders>
              <w:top w:val="single" w:sz="4" w:space="0" w:color="auto"/>
              <w:bottom w:val="single" w:sz="4" w:space="0" w:color="auto"/>
            </w:tcBorders>
          </w:tcPr>
          <w:p w14:paraId="5D784E0B" w14:textId="09F9C6D9" w:rsidR="00FB28F4" w:rsidRPr="00FB28F4" w:rsidRDefault="00FB28F4" w:rsidP="00FB28F4">
            <w:pPr>
              <w:spacing w:line="360" w:lineRule="auto"/>
              <w:contextualSpacing/>
              <w:jc w:val="both"/>
              <w:rPr>
                <w:rFonts w:ascii="Book Antiqua" w:hAnsi="Book Antiqua"/>
              </w:rPr>
            </w:pPr>
            <w:r w:rsidRPr="00FB28F4">
              <w:rPr>
                <w:rFonts w:ascii="Book Antiqua" w:hAnsi="Book Antiqua"/>
                <w:b/>
                <w:bCs/>
                <w:color w:val="000000" w:themeColor="text1"/>
              </w:rPr>
              <w:t>SVR</w:t>
            </w:r>
            <w:r w:rsidR="00CF53D5">
              <w:rPr>
                <w:rFonts w:ascii="Book Antiqua" w:hAnsi="Book Antiqua" w:hint="eastAsia"/>
                <w:b/>
                <w:bCs/>
                <w:color w:val="000000" w:themeColor="text1"/>
                <w:lang w:eastAsia="zh-CN"/>
              </w:rPr>
              <w:t>,</w:t>
            </w:r>
            <w:r>
              <w:rPr>
                <w:rFonts w:ascii="Book Antiqua" w:hAnsi="Book Antiqua"/>
                <w:b/>
                <w:bCs/>
                <w:color w:val="000000" w:themeColor="text1"/>
              </w:rPr>
              <w:t xml:space="preserve"> </w:t>
            </w:r>
            <w:r w:rsidRPr="00FB28F4">
              <w:rPr>
                <w:rFonts w:ascii="Book Antiqua" w:hAnsi="Book Antiqua"/>
                <w:b/>
                <w:bCs/>
                <w:i/>
                <w:iCs/>
                <w:color w:val="000000" w:themeColor="text1"/>
              </w:rPr>
              <w:t>n</w:t>
            </w:r>
            <w:r>
              <w:rPr>
                <w:rFonts w:ascii="Book Antiqua" w:hAnsi="Book Antiqua"/>
                <w:b/>
                <w:bCs/>
                <w:color w:val="000000" w:themeColor="text1"/>
              </w:rPr>
              <w:t xml:space="preserve"> </w:t>
            </w:r>
            <w:r w:rsidRPr="00FB28F4">
              <w:rPr>
                <w:rFonts w:ascii="Book Antiqua" w:hAnsi="Book Antiqua"/>
                <w:b/>
                <w:bCs/>
                <w:color w:val="000000" w:themeColor="text1"/>
              </w:rPr>
              <w:t>=</w:t>
            </w:r>
            <w:r>
              <w:rPr>
                <w:rFonts w:ascii="Book Antiqua" w:hAnsi="Book Antiqua"/>
                <w:b/>
                <w:bCs/>
                <w:color w:val="000000" w:themeColor="text1"/>
              </w:rPr>
              <w:t xml:space="preserve"> </w:t>
            </w:r>
            <w:r w:rsidRPr="00FB28F4">
              <w:rPr>
                <w:rFonts w:ascii="Book Antiqua" w:hAnsi="Book Antiqua"/>
                <w:b/>
                <w:bCs/>
                <w:color w:val="000000" w:themeColor="text1"/>
              </w:rPr>
              <w:t>11629</w:t>
            </w:r>
          </w:p>
        </w:tc>
        <w:tc>
          <w:tcPr>
            <w:tcW w:w="2849" w:type="dxa"/>
            <w:tcBorders>
              <w:top w:val="single" w:sz="4" w:space="0" w:color="auto"/>
              <w:bottom w:val="single" w:sz="4" w:space="0" w:color="auto"/>
            </w:tcBorders>
          </w:tcPr>
          <w:p w14:paraId="01417749" w14:textId="4E4E209D" w:rsidR="00FB28F4" w:rsidRPr="00FB28F4" w:rsidRDefault="00FB28F4" w:rsidP="00FB28F4">
            <w:pPr>
              <w:spacing w:line="360" w:lineRule="auto"/>
              <w:contextualSpacing/>
              <w:jc w:val="both"/>
              <w:rPr>
                <w:rFonts w:ascii="Book Antiqua" w:hAnsi="Book Antiqua"/>
              </w:rPr>
            </w:pPr>
            <w:r>
              <w:rPr>
                <w:rFonts w:ascii="Book Antiqua" w:hAnsi="Book Antiqua"/>
                <w:b/>
                <w:bCs/>
                <w:color w:val="000000" w:themeColor="text1"/>
              </w:rPr>
              <w:t>N</w:t>
            </w:r>
            <w:r w:rsidRPr="00FB28F4">
              <w:rPr>
                <w:rFonts w:ascii="Book Antiqua" w:hAnsi="Book Antiqua"/>
                <w:b/>
                <w:bCs/>
                <w:color w:val="000000" w:themeColor="text1"/>
              </w:rPr>
              <w:t>on-SVR</w:t>
            </w:r>
            <w:r w:rsidR="00CF53D5">
              <w:rPr>
                <w:rFonts w:ascii="Book Antiqua" w:hAnsi="Book Antiqua" w:hint="eastAsia"/>
                <w:b/>
                <w:bCs/>
                <w:color w:val="000000" w:themeColor="text1"/>
                <w:lang w:eastAsia="zh-CN"/>
              </w:rPr>
              <w:t>,</w:t>
            </w:r>
            <w:r>
              <w:rPr>
                <w:rFonts w:ascii="Book Antiqua" w:hAnsi="Book Antiqua"/>
                <w:b/>
                <w:bCs/>
                <w:color w:val="000000" w:themeColor="text1"/>
              </w:rPr>
              <w:t xml:space="preserve"> </w:t>
            </w:r>
            <w:r w:rsidRPr="00FB28F4">
              <w:rPr>
                <w:rFonts w:ascii="Book Antiqua" w:hAnsi="Book Antiqua"/>
                <w:b/>
                <w:bCs/>
                <w:i/>
                <w:iCs/>
                <w:color w:val="000000" w:themeColor="text1"/>
              </w:rPr>
              <w:t>n</w:t>
            </w:r>
            <w:r>
              <w:rPr>
                <w:rFonts w:ascii="Book Antiqua" w:hAnsi="Book Antiqua"/>
                <w:b/>
                <w:bCs/>
                <w:color w:val="000000" w:themeColor="text1"/>
              </w:rPr>
              <w:t xml:space="preserve"> </w:t>
            </w:r>
            <w:r w:rsidRPr="00FB28F4">
              <w:rPr>
                <w:rFonts w:ascii="Book Antiqua" w:hAnsi="Book Antiqua"/>
                <w:b/>
                <w:bCs/>
                <w:color w:val="000000" w:themeColor="text1"/>
              </w:rPr>
              <w:t>=</w:t>
            </w:r>
            <w:r>
              <w:rPr>
                <w:rFonts w:ascii="Book Antiqua" w:hAnsi="Book Antiqua"/>
                <w:b/>
                <w:bCs/>
                <w:color w:val="000000" w:themeColor="text1"/>
              </w:rPr>
              <w:t xml:space="preserve"> </w:t>
            </w:r>
            <w:r w:rsidRPr="00FB28F4">
              <w:rPr>
                <w:rFonts w:ascii="Book Antiqua" w:hAnsi="Book Antiqua"/>
                <w:b/>
                <w:bCs/>
                <w:color w:val="000000" w:themeColor="text1"/>
              </w:rPr>
              <w:t>309</w:t>
            </w:r>
          </w:p>
        </w:tc>
        <w:tc>
          <w:tcPr>
            <w:tcW w:w="1068" w:type="dxa"/>
            <w:tcBorders>
              <w:top w:val="single" w:sz="4" w:space="0" w:color="auto"/>
              <w:bottom w:val="single" w:sz="4" w:space="0" w:color="auto"/>
            </w:tcBorders>
          </w:tcPr>
          <w:p w14:paraId="4789CBD0" w14:textId="0E39A141" w:rsidR="00FB28F4" w:rsidRPr="00FB28F4" w:rsidRDefault="00FB28F4" w:rsidP="00FB28F4">
            <w:pPr>
              <w:autoSpaceDE w:val="0"/>
              <w:autoSpaceDN w:val="0"/>
              <w:adjustRightInd w:val="0"/>
              <w:spacing w:line="360" w:lineRule="auto"/>
              <w:contextualSpacing/>
              <w:jc w:val="both"/>
              <w:rPr>
                <w:rFonts w:ascii="Book Antiqua" w:hAnsi="Book Antiqua"/>
              </w:rPr>
            </w:pPr>
            <w:r>
              <w:rPr>
                <w:rFonts w:ascii="Book Antiqua" w:hAnsi="Book Antiqua"/>
                <w:b/>
                <w:bCs/>
                <w:i/>
                <w:iCs/>
                <w:color w:val="000000"/>
              </w:rPr>
              <w:t>P</w:t>
            </w:r>
            <w:r>
              <w:rPr>
                <w:rFonts w:ascii="Book Antiqua" w:hAnsi="Book Antiqua"/>
                <w:b/>
                <w:bCs/>
                <w:color w:val="000000"/>
              </w:rPr>
              <w:t xml:space="preserve"> value</w:t>
            </w:r>
          </w:p>
        </w:tc>
      </w:tr>
      <w:tr w:rsidR="00FB28F4" w:rsidRPr="00FB28F4" w14:paraId="500139B2" w14:textId="77777777" w:rsidTr="00090500">
        <w:tc>
          <w:tcPr>
            <w:tcW w:w="3561" w:type="dxa"/>
            <w:tcBorders>
              <w:top w:val="single" w:sz="4" w:space="0" w:color="auto"/>
            </w:tcBorders>
          </w:tcPr>
          <w:p w14:paraId="5F8E0D8B" w14:textId="56094A3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Sex</w:t>
            </w:r>
            <w:r w:rsidR="00947EA4">
              <w:rPr>
                <w:rFonts w:ascii="Book Antiqua" w:hAnsi="Book Antiqua"/>
                <w:color w:val="000000"/>
              </w:rPr>
              <w:t>,</w:t>
            </w:r>
            <w:r>
              <w:rPr>
                <w:rFonts w:ascii="Book Antiqua" w:hAnsi="Book Antiqua"/>
                <w:color w:val="000000"/>
              </w:rPr>
              <w:t xml:space="preserve"> </w:t>
            </w:r>
            <w:r w:rsidR="00947EA4" w:rsidRPr="00947EA4">
              <w:rPr>
                <w:rFonts w:ascii="Book Antiqua" w:hAnsi="Book Antiqua"/>
                <w:i/>
                <w:color w:val="000000"/>
              </w:rPr>
              <w:t>n</w:t>
            </w:r>
            <w:r w:rsidR="00947EA4">
              <w:rPr>
                <w:rFonts w:ascii="Book Antiqua" w:hAnsi="Book Antiqua"/>
                <w:color w:val="000000"/>
              </w:rPr>
              <w:t xml:space="preserve"> </w:t>
            </w:r>
            <w:r w:rsidRPr="00FB28F4">
              <w:rPr>
                <w:rFonts w:ascii="Book Antiqua" w:hAnsi="Book Antiqua"/>
                <w:color w:val="000000"/>
              </w:rPr>
              <w:t>(%)</w:t>
            </w:r>
          </w:p>
        </w:tc>
        <w:tc>
          <w:tcPr>
            <w:tcW w:w="2849" w:type="dxa"/>
            <w:tcBorders>
              <w:top w:val="single" w:sz="4" w:space="0" w:color="auto"/>
            </w:tcBorders>
          </w:tcPr>
          <w:p w14:paraId="67AA66E2"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Borders>
              <w:top w:val="single" w:sz="4" w:space="0" w:color="auto"/>
            </w:tcBorders>
          </w:tcPr>
          <w:p w14:paraId="0F39E0B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Borders>
              <w:top w:val="single" w:sz="4" w:space="0" w:color="auto"/>
            </w:tcBorders>
          </w:tcPr>
          <w:p w14:paraId="3A6DB20E"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Borders>
              <w:top w:val="single" w:sz="4" w:space="0" w:color="auto"/>
            </w:tcBorders>
          </w:tcPr>
          <w:p w14:paraId="1D548F1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0B7A3914" w14:textId="77777777" w:rsidTr="00090500">
        <w:tc>
          <w:tcPr>
            <w:tcW w:w="3561" w:type="dxa"/>
          </w:tcPr>
          <w:p w14:paraId="5A0F362F"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Male</w:t>
            </w:r>
          </w:p>
        </w:tc>
        <w:tc>
          <w:tcPr>
            <w:tcW w:w="2849" w:type="dxa"/>
          </w:tcPr>
          <w:p w14:paraId="149E7EB8" w14:textId="586FDB1A"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5762 (48.3)</w:t>
            </w:r>
          </w:p>
        </w:tc>
        <w:tc>
          <w:tcPr>
            <w:tcW w:w="2849" w:type="dxa"/>
          </w:tcPr>
          <w:p w14:paraId="1F7023ED" w14:textId="2B727AE6"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5553 (47.8)</w:t>
            </w:r>
          </w:p>
        </w:tc>
        <w:tc>
          <w:tcPr>
            <w:tcW w:w="2849" w:type="dxa"/>
          </w:tcPr>
          <w:p w14:paraId="2C1EEEBA" w14:textId="26A55E1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209 (67.6)</w:t>
            </w:r>
          </w:p>
        </w:tc>
        <w:tc>
          <w:tcPr>
            <w:tcW w:w="1068" w:type="dxa"/>
          </w:tcPr>
          <w:p w14:paraId="39B90ED1" w14:textId="1141E72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38EBF2AC" w14:textId="77777777" w:rsidTr="00090500">
        <w:tc>
          <w:tcPr>
            <w:tcW w:w="3561" w:type="dxa"/>
          </w:tcPr>
          <w:p w14:paraId="6AEC5CE0"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Female</w:t>
            </w:r>
          </w:p>
        </w:tc>
        <w:tc>
          <w:tcPr>
            <w:tcW w:w="2849" w:type="dxa"/>
          </w:tcPr>
          <w:p w14:paraId="08B3E874" w14:textId="563565E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6176 (51.7)</w:t>
            </w:r>
          </w:p>
        </w:tc>
        <w:tc>
          <w:tcPr>
            <w:tcW w:w="2849" w:type="dxa"/>
          </w:tcPr>
          <w:p w14:paraId="78E94CFB" w14:textId="61E1988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6076 (52.2)</w:t>
            </w:r>
          </w:p>
        </w:tc>
        <w:tc>
          <w:tcPr>
            <w:tcW w:w="2849" w:type="dxa"/>
          </w:tcPr>
          <w:p w14:paraId="293B24C8" w14:textId="31186E08"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100 (32.4)</w:t>
            </w:r>
          </w:p>
        </w:tc>
        <w:tc>
          <w:tcPr>
            <w:tcW w:w="1068" w:type="dxa"/>
          </w:tcPr>
          <w:p w14:paraId="5CFEE033"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4377B86" w14:textId="77777777" w:rsidTr="00090500">
        <w:tc>
          <w:tcPr>
            <w:tcW w:w="3561" w:type="dxa"/>
          </w:tcPr>
          <w:p w14:paraId="01807B48" w14:textId="55842084"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Age</w:t>
            </w:r>
          </w:p>
        </w:tc>
        <w:tc>
          <w:tcPr>
            <w:tcW w:w="2849" w:type="dxa"/>
          </w:tcPr>
          <w:p w14:paraId="390630C1" w14:textId="5E7DCDD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52.24 (51.77</w:t>
            </w:r>
            <w:r>
              <w:rPr>
                <w:rFonts w:ascii="Book Antiqua" w:hAnsi="Book Antiqua"/>
                <w:color w:val="000000"/>
              </w:rPr>
              <w:t>-</w:t>
            </w:r>
            <w:r w:rsidRPr="00FB28F4">
              <w:rPr>
                <w:rFonts w:ascii="Book Antiqua" w:hAnsi="Book Antiqua"/>
                <w:color w:val="000000"/>
              </w:rPr>
              <w:t>52.70)</w:t>
            </w:r>
          </w:p>
        </w:tc>
        <w:tc>
          <w:tcPr>
            <w:tcW w:w="2849" w:type="dxa"/>
          </w:tcPr>
          <w:p w14:paraId="3D892D6A" w14:textId="30E7440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52.24 (51.77</w:t>
            </w:r>
            <w:r>
              <w:rPr>
                <w:rFonts w:ascii="Book Antiqua" w:hAnsi="Book Antiqua"/>
                <w:color w:val="000000"/>
              </w:rPr>
              <w:t>-</w:t>
            </w:r>
            <w:r w:rsidRPr="00FB28F4">
              <w:rPr>
                <w:rFonts w:ascii="Book Antiqua" w:hAnsi="Book Antiqua"/>
                <w:color w:val="000000"/>
              </w:rPr>
              <w:t>52.71)</w:t>
            </w:r>
          </w:p>
        </w:tc>
        <w:tc>
          <w:tcPr>
            <w:tcW w:w="2849" w:type="dxa"/>
          </w:tcPr>
          <w:p w14:paraId="529FFD85" w14:textId="0ABC50F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52.16 (50.74</w:t>
            </w:r>
            <w:r>
              <w:rPr>
                <w:rFonts w:ascii="Book Antiqua" w:hAnsi="Book Antiqua"/>
                <w:color w:val="000000"/>
              </w:rPr>
              <w:t>-</w:t>
            </w:r>
            <w:r w:rsidRPr="00FB28F4">
              <w:rPr>
                <w:rFonts w:ascii="Book Antiqua" w:hAnsi="Book Antiqua"/>
                <w:color w:val="000000"/>
              </w:rPr>
              <w:t>53.58)</w:t>
            </w:r>
          </w:p>
        </w:tc>
        <w:tc>
          <w:tcPr>
            <w:tcW w:w="1068" w:type="dxa"/>
          </w:tcPr>
          <w:p w14:paraId="5ECDB22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0.869</w:t>
            </w:r>
          </w:p>
        </w:tc>
      </w:tr>
      <w:tr w:rsidR="00FB28F4" w:rsidRPr="00FB28F4" w14:paraId="281C03BA" w14:textId="77777777" w:rsidTr="00090500">
        <w:tc>
          <w:tcPr>
            <w:tcW w:w="3561" w:type="dxa"/>
          </w:tcPr>
          <w:p w14:paraId="468659B2" w14:textId="63D0D1CC"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BMI (kg/m</w:t>
            </w:r>
            <w:r w:rsidRPr="00FB28F4">
              <w:rPr>
                <w:rFonts w:ascii="Book Antiqua" w:hAnsi="Book Antiqua"/>
                <w:color w:val="000000"/>
                <w:vertAlign w:val="superscript"/>
              </w:rPr>
              <w:t>2</w:t>
            </w:r>
            <w:r w:rsidRPr="00FB28F4">
              <w:rPr>
                <w:rFonts w:ascii="Book Antiqua" w:hAnsi="Book Antiqua"/>
                <w:color w:val="000000"/>
              </w:rPr>
              <w:t>)</w:t>
            </w:r>
          </w:p>
        </w:tc>
        <w:tc>
          <w:tcPr>
            <w:tcW w:w="2849" w:type="dxa"/>
          </w:tcPr>
          <w:p w14:paraId="2B2BCB2C" w14:textId="71310274"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26.47 (26.29</w:t>
            </w:r>
            <w:r>
              <w:rPr>
                <w:rFonts w:ascii="Book Antiqua" w:hAnsi="Book Antiqua"/>
                <w:color w:val="000000"/>
              </w:rPr>
              <w:t>-</w:t>
            </w:r>
            <w:r w:rsidRPr="00FB28F4">
              <w:rPr>
                <w:rFonts w:ascii="Book Antiqua" w:hAnsi="Book Antiqua"/>
              </w:rPr>
              <w:t>26.64)</w:t>
            </w:r>
          </w:p>
        </w:tc>
        <w:tc>
          <w:tcPr>
            <w:tcW w:w="2849" w:type="dxa"/>
          </w:tcPr>
          <w:p w14:paraId="4A1E11BA" w14:textId="032B732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26.45 (26.26</w:t>
            </w:r>
            <w:r>
              <w:rPr>
                <w:rFonts w:ascii="Book Antiqua" w:hAnsi="Book Antiqua"/>
                <w:color w:val="000000"/>
              </w:rPr>
              <w:t>-</w:t>
            </w:r>
            <w:r w:rsidRPr="00FB28F4">
              <w:rPr>
                <w:rFonts w:ascii="Book Antiqua" w:hAnsi="Book Antiqua"/>
              </w:rPr>
              <w:t>26.62)</w:t>
            </w:r>
          </w:p>
        </w:tc>
        <w:tc>
          <w:tcPr>
            <w:tcW w:w="2849" w:type="dxa"/>
          </w:tcPr>
          <w:p w14:paraId="7E9AF5FE" w14:textId="0DB3D91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27.20 (26.68</w:t>
            </w:r>
            <w:r>
              <w:rPr>
                <w:rFonts w:ascii="Book Antiqua" w:hAnsi="Book Antiqua"/>
                <w:color w:val="000000"/>
              </w:rPr>
              <w:t>-</w:t>
            </w:r>
            <w:r w:rsidRPr="00FB28F4">
              <w:rPr>
                <w:rFonts w:ascii="Book Antiqua" w:hAnsi="Book Antiqua"/>
              </w:rPr>
              <w:t>27.72)</w:t>
            </w:r>
          </w:p>
        </w:tc>
        <w:tc>
          <w:tcPr>
            <w:tcW w:w="1068" w:type="dxa"/>
          </w:tcPr>
          <w:p w14:paraId="19DC00EB" w14:textId="479B4970"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&lt;</w:t>
            </w:r>
            <w:r>
              <w:rPr>
                <w:rFonts w:ascii="Book Antiqua" w:hAnsi="Book Antiqua"/>
              </w:rPr>
              <w:t xml:space="preserve"> </w:t>
            </w:r>
            <w:r w:rsidRPr="00FB28F4">
              <w:rPr>
                <w:rFonts w:ascii="Book Antiqua" w:hAnsi="Book Antiqua"/>
              </w:rPr>
              <w:t>0.001</w:t>
            </w:r>
          </w:p>
        </w:tc>
      </w:tr>
      <w:tr w:rsidR="00FB28F4" w:rsidRPr="00FB28F4" w14:paraId="53065A96" w14:textId="77777777" w:rsidTr="00090500">
        <w:tc>
          <w:tcPr>
            <w:tcW w:w="3561" w:type="dxa"/>
          </w:tcPr>
          <w:p w14:paraId="55C7AD9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Fibrosis</w:t>
            </w:r>
          </w:p>
        </w:tc>
        <w:tc>
          <w:tcPr>
            <w:tcW w:w="2849" w:type="dxa"/>
          </w:tcPr>
          <w:p w14:paraId="685A79F3"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72055D2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52D3A75D"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Pr>
          <w:p w14:paraId="1CC880EA"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869E5FF" w14:textId="77777777" w:rsidTr="00090500">
        <w:tc>
          <w:tcPr>
            <w:tcW w:w="3561" w:type="dxa"/>
          </w:tcPr>
          <w:p w14:paraId="35CE1492" w14:textId="2B5D313B"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F0</w:t>
            </w:r>
          </w:p>
        </w:tc>
        <w:tc>
          <w:tcPr>
            <w:tcW w:w="2849" w:type="dxa"/>
          </w:tcPr>
          <w:p w14:paraId="3DF7E3FB"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277 (1.9)</w:t>
            </w:r>
          </w:p>
        </w:tc>
        <w:tc>
          <w:tcPr>
            <w:tcW w:w="2849" w:type="dxa"/>
          </w:tcPr>
          <w:p w14:paraId="69F1DDD6"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225 (99.1)</w:t>
            </w:r>
          </w:p>
        </w:tc>
        <w:tc>
          <w:tcPr>
            <w:tcW w:w="2849" w:type="dxa"/>
          </w:tcPr>
          <w:p w14:paraId="7ED849C8"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 (0.9)</w:t>
            </w:r>
          </w:p>
        </w:tc>
        <w:tc>
          <w:tcPr>
            <w:tcW w:w="1068" w:type="dxa"/>
          </w:tcPr>
          <w:p w14:paraId="4A938534"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5CF55712" w14:textId="77777777" w:rsidTr="00090500">
        <w:tc>
          <w:tcPr>
            <w:tcW w:w="3561" w:type="dxa"/>
          </w:tcPr>
          <w:p w14:paraId="31A933C4"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F1</w:t>
            </w:r>
          </w:p>
        </w:tc>
        <w:tc>
          <w:tcPr>
            <w:tcW w:w="2849" w:type="dxa"/>
          </w:tcPr>
          <w:p w14:paraId="4333AEA9"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4539 (38.8)</w:t>
            </w:r>
          </w:p>
        </w:tc>
        <w:tc>
          <w:tcPr>
            <w:tcW w:w="2849" w:type="dxa"/>
          </w:tcPr>
          <w:p w14:paraId="30C055AC"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4469 (98.5)</w:t>
            </w:r>
          </w:p>
        </w:tc>
        <w:tc>
          <w:tcPr>
            <w:tcW w:w="2849" w:type="dxa"/>
          </w:tcPr>
          <w:p w14:paraId="5DA37DE0"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70 (1.5)</w:t>
            </w:r>
          </w:p>
        </w:tc>
        <w:tc>
          <w:tcPr>
            <w:tcW w:w="1068" w:type="dxa"/>
          </w:tcPr>
          <w:p w14:paraId="6420E4C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6926D6EC" w14:textId="77777777" w:rsidTr="00090500">
        <w:tc>
          <w:tcPr>
            <w:tcW w:w="3561" w:type="dxa"/>
          </w:tcPr>
          <w:p w14:paraId="4B1A30E5"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F2</w:t>
            </w:r>
          </w:p>
        </w:tc>
        <w:tc>
          <w:tcPr>
            <w:tcW w:w="2849" w:type="dxa"/>
          </w:tcPr>
          <w:p w14:paraId="46D2957C"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2249 (19.2)</w:t>
            </w:r>
          </w:p>
        </w:tc>
        <w:tc>
          <w:tcPr>
            <w:tcW w:w="2849" w:type="dxa"/>
          </w:tcPr>
          <w:p w14:paraId="17BD9D27"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2204 (98.0)</w:t>
            </w:r>
          </w:p>
        </w:tc>
        <w:tc>
          <w:tcPr>
            <w:tcW w:w="2849" w:type="dxa"/>
          </w:tcPr>
          <w:p w14:paraId="6042923F"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45 (2.0)</w:t>
            </w:r>
          </w:p>
        </w:tc>
        <w:tc>
          <w:tcPr>
            <w:tcW w:w="1068" w:type="dxa"/>
          </w:tcPr>
          <w:p w14:paraId="74F153C0" w14:textId="2014BAD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0A7C0193" w14:textId="77777777" w:rsidTr="00090500">
        <w:tc>
          <w:tcPr>
            <w:tcW w:w="3561" w:type="dxa"/>
          </w:tcPr>
          <w:p w14:paraId="1210046A"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F3</w:t>
            </w:r>
          </w:p>
        </w:tc>
        <w:tc>
          <w:tcPr>
            <w:tcW w:w="2849" w:type="dxa"/>
          </w:tcPr>
          <w:p w14:paraId="0B860079"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1717 (14.7)</w:t>
            </w:r>
          </w:p>
        </w:tc>
        <w:tc>
          <w:tcPr>
            <w:tcW w:w="2849" w:type="dxa"/>
          </w:tcPr>
          <w:p w14:paraId="2ECCCAA5"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1684 (98.1)</w:t>
            </w:r>
          </w:p>
        </w:tc>
        <w:tc>
          <w:tcPr>
            <w:tcW w:w="2849" w:type="dxa"/>
          </w:tcPr>
          <w:p w14:paraId="0186E7A0"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33 (1.9)</w:t>
            </w:r>
          </w:p>
        </w:tc>
        <w:tc>
          <w:tcPr>
            <w:tcW w:w="1068" w:type="dxa"/>
          </w:tcPr>
          <w:p w14:paraId="2F7083C6"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8E96575" w14:textId="77777777" w:rsidTr="00090500">
        <w:tc>
          <w:tcPr>
            <w:tcW w:w="3561" w:type="dxa"/>
          </w:tcPr>
          <w:p w14:paraId="52551DAF"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F4</w:t>
            </w:r>
          </w:p>
        </w:tc>
        <w:tc>
          <w:tcPr>
            <w:tcW w:w="2849" w:type="dxa"/>
          </w:tcPr>
          <w:p w14:paraId="2660AA64"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2974 (25.4)</w:t>
            </w:r>
          </w:p>
        </w:tc>
        <w:tc>
          <w:tcPr>
            <w:tcW w:w="2849" w:type="dxa"/>
          </w:tcPr>
          <w:p w14:paraId="65757805"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2828 (95.1)</w:t>
            </w:r>
          </w:p>
        </w:tc>
        <w:tc>
          <w:tcPr>
            <w:tcW w:w="2849" w:type="dxa"/>
          </w:tcPr>
          <w:p w14:paraId="668A52C6"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146 (4.9)</w:t>
            </w:r>
          </w:p>
        </w:tc>
        <w:tc>
          <w:tcPr>
            <w:tcW w:w="1068" w:type="dxa"/>
          </w:tcPr>
          <w:p w14:paraId="6396528A"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45E4E0E" w14:textId="77777777" w:rsidTr="00090500">
        <w:tc>
          <w:tcPr>
            <w:tcW w:w="3561" w:type="dxa"/>
          </w:tcPr>
          <w:p w14:paraId="7ECB5DD6" w14:textId="613E261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Liver stiffness (kPa)</w:t>
            </w:r>
          </w:p>
        </w:tc>
        <w:tc>
          <w:tcPr>
            <w:tcW w:w="2849" w:type="dxa"/>
          </w:tcPr>
          <w:p w14:paraId="5ADBCD75" w14:textId="128E4F6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12.72 (12.45</w:t>
            </w:r>
            <w:r>
              <w:rPr>
                <w:rFonts w:ascii="Book Antiqua" w:hAnsi="Book Antiqua"/>
                <w:color w:val="000000"/>
              </w:rPr>
              <w:t>-</w:t>
            </w:r>
            <w:r w:rsidRPr="00FB28F4">
              <w:rPr>
                <w:rFonts w:ascii="Book Antiqua" w:hAnsi="Book Antiqua"/>
              </w:rPr>
              <w:t>12.99)</w:t>
            </w:r>
          </w:p>
        </w:tc>
        <w:tc>
          <w:tcPr>
            <w:tcW w:w="2849" w:type="dxa"/>
          </w:tcPr>
          <w:p w14:paraId="3D65DEF1" w14:textId="27B8772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12.53 (12.29</w:t>
            </w:r>
            <w:r>
              <w:rPr>
                <w:rFonts w:ascii="Book Antiqua" w:hAnsi="Book Antiqua"/>
                <w:color w:val="000000"/>
              </w:rPr>
              <w:t>-</w:t>
            </w:r>
            <w:r w:rsidRPr="00FB28F4">
              <w:rPr>
                <w:rFonts w:ascii="Book Antiqua" w:hAnsi="Book Antiqua"/>
              </w:rPr>
              <w:t>12.76)</w:t>
            </w:r>
          </w:p>
        </w:tc>
        <w:tc>
          <w:tcPr>
            <w:tcW w:w="2849" w:type="dxa"/>
          </w:tcPr>
          <w:p w14:paraId="08268A70" w14:textId="732D59F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20.27 (14.78</w:t>
            </w:r>
            <w:r>
              <w:rPr>
                <w:rFonts w:ascii="Book Antiqua" w:hAnsi="Book Antiqua"/>
                <w:color w:val="000000"/>
              </w:rPr>
              <w:t>-</w:t>
            </w:r>
            <w:r w:rsidRPr="00FB28F4">
              <w:rPr>
                <w:rFonts w:ascii="Book Antiqua" w:hAnsi="Book Antiqua"/>
              </w:rPr>
              <w:t>25.76)</w:t>
            </w:r>
          </w:p>
        </w:tc>
        <w:tc>
          <w:tcPr>
            <w:tcW w:w="1068" w:type="dxa"/>
          </w:tcPr>
          <w:p w14:paraId="499997B8" w14:textId="2DE2424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&lt;</w:t>
            </w:r>
            <w:r>
              <w:rPr>
                <w:rFonts w:ascii="Book Antiqua" w:hAnsi="Book Antiqua"/>
              </w:rPr>
              <w:t xml:space="preserve"> </w:t>
            </w:r>
            <w:r w:rsidRPr="00FB28F4">
              <w:rPr>
                <w:rFonts w:ascii="Book Antiqua" w:hAnsi="Book Antiqua"/>
              </w:rPr>
              <w:t>0.001</w:t>
            </w:r>
          </w:p>
        </w:tc>
      </w:tr>
      <w:tr w:rsidR="00FB28F4" w:rsidRPr="00FB28F4" w14:paraId="66877DC2" w14:textId="77777777" w:rsidTr="00090500">
        <w:tc>
          <w:tcPr>
            <w:tcW w:w="3561" w:type="dxa"/>
          </w:tcPr>
          <w:p w14:paraId="50E52B41" w14:textId="19C809C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Child Pugh</w:t>
            </w:r>
            <w:r w:rsidR="00947EA4">
              <w:rPr>
                <w:rFonts w:ascii="Book Antiqua" w:hAnsi="Book Antiqua"/>
                <w:color w:val="000000"/>
              </w:rPr>
              <w:t xml:space="preserve">, </w:t>
            </w:r>
            <w:r w:rsidR="00947EA4" w:rsidRPr="00947EA4">
              <w:rPr>
                <w:rFonts w:ascii="Book Antiqua" w:hAnsi="Book Antiqua"/>
                <w:i/>
                <w:color w:val="000000"/>
              </w:rPr>
              <w:t>n</w:t>
            </w:r>
            <w:r w:rsidR="00947EA4">
              <w:rPr>
                <w:rFonts w:ascii="Book Antiqua" w:hAnsi="Book Antiqua"/>
                <w:color w:val="000000"/>
              </w:rPr>
              <w:t xml:space="preserve"> </w:t>
            </w:r>
            <w:r w:rsidR="00947EA4" w:rsidRPr="00FB28F4">
              <w:rPr>
                <w:rFonts w:ascii="Book Antiqua" w:hAnsi="Book Antiqua"/>
                <w:color w:val="000000"/>
              </w:rPr>
              <w:t>(%)</w:t>
            </w:r>
          </w:p>
        </w:tc>
        <w:tc>
          <w:tcPr>
            <w:tcW w:w="2849" w:type="dxa"/>
          </w:tcPr>
          <w:p w14:paraId="02B930FD" w14:textId="2847804B"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1598FB42" w14:textId="5A118B78"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28EBBFF0" w14:textId="6E206CB5"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Pr>
          <w:p w14:paraId="772F2410" w14:textId="6CF74E18"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C2B478F" w14:textId="77777777" w:rsidTr="00090500">
        <w:tc>
          <w:tcPr>
            <w:tcW w:w="3561" w:type="dxa"/>
          </w:tcPr>
          <w:p w14:paraId="76F076BB"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rPr>
              <w:t>A</w:t>
            </w:r>
          </w:p>
        </w:tc>
        <w:tc>
          <w:tcPr>
            <w:tcW w:w="2849" w:type="dxa"/>
          </w:tcPr>
          <w:p w14:paraId="0207DC6C" w14:textId="5D93052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11320 (96.9)</w:t>
            </w:r>
          </w:p>
        </w:tc>
        <w:tc>
          <w:tcPr>
            <w:tcW w:w="2849" w:type="dxa"/>
          </w:tcPr>
          <w:p w14:paraId="029FD1B6" w14:textId="205E7FC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11050 (97.1)</w:t>
            </w:r>
          </w:p>
        </w:tc>
        <w:tc>
          <w:tcPr>
            <w:tcW w:w="2849" w:type="dxa"/>
          </w:tcPr>
          <w:p w14:paraId="483CE89E" w14:textId="5B2387A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270 (89.7)</w:t>
            </w:r>
          </w:p>
        </w:tc>
        <w:tc>
          <w:tcPr>
            <w:tcW w:w="1068" w:type="dxa"/>
          </w:tcPr>
          <w:p w14:paraId="63B4DA6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3396A6FD" w14:textId="77777777" w:rsidTr="00090500">
        <w:tc>
          <w:tcPr>
            <w:tcW w:w="3561" w:type="dxa"/>
          </w:tcPr>
          <w:p w14:paraId="1364FDE3"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rPr>
              <w:t>B</w:t>
            </w:r>
          </w:p>
        </w:tc>
        <w:tc>
          <w:tcPr>
            <w:tcW w:w="2849" w:type="dxa"/>
          </w:tcPr>
          <w:p w14:paraId="246CA523" w14:textId="6C3AAC9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346 (3.0)</w:t>
            </w:r>
          </w:p>
        </w:tc>
        <w:tc>
          <w:tcPr>
            <w:tcW w:w="2849" w:type="dxa"/>
          </w:tcPr>
          <w:p w14:paraId="770807FA" w14:textId="64587AC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315 (2.8)</w:t>
            </w:r>
          </w:p>
        </w:tc>
        <w:tc>
          <w:tcPr>
            <w:tcW w:w="2849" w:type="dxa"/>
          </w:tcPr>
          <w:p w14:paraId="0A2700FA" w14:textId="7D1912F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31 (10.3)</w:t>
            </w:r>
          </w:p>
        </w:tc>
        <w:tc>
          <w:tcPr>
            <w:tcW w:w="1068" w:type="dxa"/>
          </w:tcPr>
          <w:p w14:paraId="155D33BD" w14:textId="750266E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1E5935F4" w14:textId="77777777" w:rsidTr="00090500">
        <w:tc>
          <w:tcPr>
            <w:tcW w:w="3561" w:type="dxa"/>
          </w:tcPr>
          <w:p w14:paraId="3590FCC5"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rPr>
              <w:t>C</w:t>
            </w:r>
          </w:p>
        </w:tc>
        <w:tc>
          <w:tcPr>
            <w:tcW w:w="2849" w:type="dxa"/>
          </w:tcPr>
          <w:p w14:paraId="163DE8A3" w14:textId="21FD33B8"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13 (0.1)</w:t>
            </w:r>
          </w:p>
        </w:tc>
        <w:tc>
          <w:tcPr>
            <w:tcW w:w="2849" w:type="dxa"/>
          </w:tcPr>
          <w:p w14:paraId="60126B3D" w14:textId="316A6EA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13 (0.1)</w:t>
            </w:r>
          </w:p>
        </w:tc>
        <w:tc>
          <w:tcPr>
            <w:tcW w:w="2849" w:type="dxa"/>
          </w:tcPr>
          <w:p w14:paraId="3DA8DB93" w14:textId="45F8CDF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0 (0.0)</w:t>
            </w:r>
          </w:p>
        </w:tc>
        <w:tc>
          <w:tcPr>
            <w:tcW w:w="1068" w:type="dxa"/>
          </w:tcPr>
          <w:p w14:paraId="11FC7D22"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3FEF23D0" w14:textId="77777777" w:rsidTr="00090500">
        <w:tc>
          <w:tcPr>
            <w:tcW w:w="3561" w:type="dxa"/>
          </w:tcPr>
          <w:p w14:paraId="227A10A5" w14:textId="742D48BA"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MELD score</w:t>
            </w:r>
          </w:p>
        </w:tc>
        <w:tc>
          <w:tcPr>
            <w:tcW w:w="2849" w:type="dxa"/>
          </w:tcPr>
          <w:p w14:paraId="3FDD54B8" w14:textId="66B0B5D0"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7.81 (7.76</w:t>
            </w:r>
            <w:r>
              <w:rPr>
                <w:rFonts w:ascii="Book Antiqua" w:hAnsi="Book Antiqua"/>
                <w:color w:val="000000"/>
              </w:rPr>
              <w:t>-</w:t>
            </w:r>
            <w:r w:rsidRPr="00FB28F4">
              <w:rPr>
                <w:rFonts w:ascii="Book Antiqua" w:hAnsi="Book Antiqua"/>
                <w:color w:val="000000"/>
              </w:rPr>
              <w:t>7.85)</w:t>
            </w:r>
          </w:p>
        </w:tc>
        <w:tc>
          <w:tcPr>
            <w:tcW w:w="2849" w:type="dxa"/>
          </w:tcPr>
          <w:p w14:paraId="2907FB53" w14:textId="255F41C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7.79 (7.74</w:t>
            </w:r>
            <w:r>
              <w:rPr>
                <w:rFonts w:ascii="Book Antiqua" w:hAnsi="Book Antiqua"/>
                <w:color w:val="000000"/>
              </w:rPr>
              <w:t>-</w:t>
            </w:r>
            <w:r w:rsidRPr="00FB28F4">
              <w:rPr>
                <w:rFonts w:ascii="Book Antiqua" w:hAnsi="Book Antiqua"/>
                <w:color w:val="000000"/>
              </w:rPr>
              <w:t>7.84)</w:t>
            </w:r>
          </w:p>
        </w:tc>
        <w:tc>
          <w:tcPr>
            <w:tcW w:w="2849" w:type="dxa"/>
          </w:tcPr>
          <w:p w14:paraId="324168E2" w14:textId="6CF1D87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8.39 (8.11</w:t>
            </w:r>
            <w:r>
              <w:rPr>
                <w:rFonts w:ascii="Book Antiqua" w:hAnsi="Book Antiqua"/>
                <w:color w:val="000000"/>
              </w:rPr>
              <w:t>-</w:t>
            </w:r>
            <w:r w:rsidRPr="00FB28F4">
              <w:rPr>
                <w:rFonts w:ascii="Book Antiqua" w:hAnsi="Book Antiqua"/>
                <w:color w:val="000000"/>
              </w:rPr>
              <w:t>8.67)</w:t>
            </w:r>
          </w:p>
        </w:tc>
        <w:tc>
          <w:tcPr>
            <w:tcW w:w="1068" w:type="dxa"/>
          </w:tcPr>
          <w:p w14:paraId="126175C1" w14:textId="150B60CC"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23972DA3" w14:textId="77777777" w:rsidTr="00090500">
        <w:tc>
          <w:tcPr>
            <w:tcW w:w="3561" w:type="dxa"/>
          </w:tcPr>
          <w:p w14:paraId="543DACF7" w14:textId="649FFA5C"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Esophageal varices</w:t>
            </w:r>
            <w:r w:rsidR="00947EA4">
              <w:rPr>
                <w:rFonts w:ascii="Book Antiqua" w:hAnsi="Book Antiqua"/>
                <w:color w:val="000000"/>
              </w:rPr>
              <w:t xml:space="preserve">, </w:t>
            </w:r>
            <w:r w:rsidR="00947EA4" w:rsidRPr="00947EA4">
              <w:rPr>
                <w:rFonts w:ascii="Book Antiqua" w:hAnsi="Book Antiqua"/>
                <w:i/>
                <w:color w:val="000000"/>
              </w:rPr>
              <w:t>n</w:t>
            </w:r>
            <w:r w:rsidR="00947EA4">
              <w:rPr>
                <w:rFonts w:ascii="Book Antiqua" w:hAnsi="Book Antiqua"/>
                <w:color w:val="000000"/>
              </w:rPr>
              <w:t xml:space="preserve"> </w:t>
            </w:r>
            <w:r w:rsidR="00947EA4" w:rsidRPr="00FB28F4">
              <w:rPr>
                <w:rFonts w:ascii="Book Antiqua" w:hAnsi="Book Antiqua"/>
                <w:color w:val="000000"/>
              </w:rPr>
              <w:t>(%)</w:t>
            </w:r>
          </w:p>
        </w:tc>
        <w:tc>
          <w:tcPr>
            <w:tcW w:w="2849" w:type="dxa"/>
          </w:tcPr>
          <w:p w14:paraId="5D2167BB"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65954F44"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2C0ED7D8"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Pr>
          <w:p w14:paraId="507B41C6"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3B87F45C" w14:textId="77777777" w:rsidTr="00090500">
        <w:tc>
          <w:tcPr>
            <w:tcW w:w="3561" w:type="dxa"/>
          </w:tcPr>
          <w:p w14:paraId="79BE7E7C"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rPr>
              <w:t>Yes</w:t>
            </w:r>
          </w:p>
        </w:tc>
        <w:tc>
          <w:tcPr>
            <w:tcW w:w="2849" w:type="dxa"/>
          </w:tcPr>
          <w:p w14:paraId="1C0744B3" w14:textId="7709045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989 (10.5)</w:t>
            </w:r>
          </w:p>
        </w:tc>
        <w:tc>
          <w:tcPr>
            <w:tcW w:w="2849" w:type="dxa"/>
          </w:tcPr>
          <w:p w14:paraId="5DE33EFF" w14:textId="7F2564E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922 (10.1)</w:t>
            </w:r>
          </w:p>
        </w:tc>
        <w:tc>
          <w:tcPr>
            <w:tcW w:w="2849" w:type="dxa"/>
          </w:tcPr>
          <w:p w14:paraId="71F4B0C6" w14:textId="3C63D1F0"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67 (27.1)</w:t>
            </w:r>
          </w:p>
        </w:tc>
        <w:tc>
          <w:tcPr>
            <w:tcW w:w="1068" w:type="dxa"/>
          </w:tcPr>
          <w:p w14:paraId="532E8A99" w14:textId="46F7532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70B22A57" w14:textId="77777777" w:rsidTr="00090500">
        <w:tc>
          <w:tcPr>
            <w:tcW w:w="3561" w:type="dxa"/>
          </w:tcPr>
          <w:p w14:paraId="69B65306"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rPr>
              <w:t>No</w:t>
            </w:r>
          </w:p>
        </w:tc>
        <w:tc>
          <w:tcPr>
            <w:tcW w:w="2849" w:type="dxa"/>
          </w:tcPr>
          <w:p w14:paraId="129BF2B6" w14:textId="50F26BF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8413 (89.5)</w:t>
            </w:r>
          </w:p>
        </w:tc>
        <w:tc>
          <w:tcPr>
            <w:tcW w:w="2849" w:type="dxa"/>
          </w:tcPr>
          <w:p w14:paraId="03BAE851" w14:textId="3FDDD5E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8233 (89.9)</w:t>
            </w:r>
          </w:p>
        </w:tc>
        <w:tc>
          <w:tcPr>
            <w:tcW w:w="2849" w:type="dxa"/>
          </w:tcPr>
          <w:p w14:paraId="346F27BE" w14:textId="5C79C7EA"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180 (72.9)</w:t>
            </w:r>
          </w:p>
        </w:tc>
        <w:tc>
          <w:tcPr>
            <w:tcW w:w="1068" w:type="dxa"/>
          </w:tcPr>
          <w:p w14:paraId="2754865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51A430C0" w14:textId="77777777" w:rsidTr="00090500">
        <w:tc>
          <w:tcPr>
            <w:tcW w:w="3561" w:type="dxa"/>
          </w:tcPr>
          <w:p w14:paraId="2AFEBFFB" w14:textId="03B712A7" w:rsidR="00FB28F4" w:rsidRPr="00947EA4" w:rsidRDefault="00FB28F4" w:rsidP="00FB28F4">
            <w:pPr>
              <w:autoSpaceDE w:val="0"/>
              <w:autoSpaceDN w:val="0"/>
              <w:adjustRightInd w:val="0"/>
              <w:spacing w:line="360" w:lineRule="auto"/>
              <w:contextualSpacing/>
              <w:jc w:val="both"/>
              <w:rPr>
                <w:rFonts w:ascii="Book Antiqua" w:hAnsi="Book Antiqua"/>
                <w:color w:val="000000"/>
                <w:lang w:val="en-US"/>
              </w:rPr>
            </w:pPr>
            <w:r w:rsidRPr="00FB28F4">
              <w:rPr>
                <w:rFonts w:ascii="Book Antiqua" w:hAnsi="Book Antiqua"/>
                <w:color w:val="000000"/>
                <w:lang w:val="en-US"/>
              </w:rPr>
              <w:t>Ascites</w:t>
            </w:r>
            <w:r w:rsidR="00947EA4">
              <w:rPr>
                <w:rFonts w:ascii="Book Antiqua" w:hAnsi="Book Antiqua" w:hint="eastAsia"/>
                <w:color w:val="000000"/>
                <w:lang w:val="en-US" w:eastAsia="zh-CN"/>
              </w:rPr>
              <w:t xml:space="preserve"> </w:t>
            </w:r>
            <w:r w:rsidRPr="00FB28F4">
              <w:rPr>
                <w:rFonts w:ascii="Book Antiqua" w:hAnsi="Book Antiqua"/>
                <w:color w:val="000000"/>
                <w:lang w:val="en-US"/>
              </w:rPr>
              <w:t>at the start of the treatment</w:t>
            </w:r>
            <w:r w:rsidR="00947EA4" w:rsidRPr="00CA456B">
              <w:rPr>
                <w:rFonts w:ascii="Book Antiqua" w:hAnsi="Book Antiqua"/>
                <w:color w:val="000000"/>
              </w:rPr>
              <w:t xml:space="preserve">, </w:t>
            </w:r>
            <w:r w:rsidR="00947EA4" w:rsidRPr="00CA456B">
              <w:rPr>
                <w:rFonts w:ascii="Book Antiqua" w:hAnsi="Book Antiqua"/>
                <w:i/>
                <w:color w:val="000000"/>
              </w:rPr>
              <w:t>n</w:t>
            </w:r>
            <w:r w:rsidR="00947EA4" w:rsidRPr="00CA456B">
              <w:rPr>
                <w:rFonts w:ascii="Book Antiqua" w:hAnsi="Book Antiqua"/>
                <w:color w:val="000000"/>
              </w:rPr>
              <w:t xml:space="preserve"> (%)</w:t>
            </w:r>
          </w:p>
        </w:tc>
        <w:tc>
          <w:tcPr>
            <w:tcW w:w="2849" w:type="dxa"/>
          </w:tcPr>
          <w:p w14:paraId="0A17CBA4"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4DEC02AE"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722FBE93"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1068" w:type="dxa"/>
          </w:tcPr>
          <w:p w14:paraId="2CAF06CA"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7B6CA81D" w14:textId="77777777" w:rsidTr="00090500">
        <w:tc>
          <w:tcPr>
            <w:tcW w:w="3561" w:type="dxa"/>
          </w:tcPr>
          <w:p w14:paraId="22EF0686"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No</w:t>
            </w:r>
          </w:p>
        </w:tc>
        <w:tc>
          <w:tcPr>
            <w:tcW w:w="2849" w:type="dxa"/>
          </w:tcPr>
          <w:p w14:paraId="46DA152D" w14:textId="2293AA29"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11742 (98.8)</w:t>
            </w:r>
          </w:p>
        </w:tc>
        <w:tc>
          <w:tcPr>
            <w:tcW w:w="2849" w:type="dxa"/>
          </w:tcPr>
          <w:p w14:paraId="376B38AA" w14:textId="6285494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11444 (98.9)</w:t>
            </w:r>
          </w:p>
        </w:tc>
        <w:tc>
          <w:tcPr>
            <w:tcW w:w="2849" w:type="dxa"/>
          </w:tcPr>
          <w:p w14:paraId="27699904" w14:textId="79200CE9"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298 (96.4)</w:t>
            </w:r>
          </w:p>
        </w:tc>
        <w:tc>
          <w:tcPr>
            <w:tcW w:w="1068" w:type="dxa"/>
          </w:tcPr>
          <w:p w14:paraId="191FFE54"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5207FD91" w14:textId="77777777" w:rsidTr="00090500">
        <w:tc>
          <w:tcPr>
            <w:tcW w:w="3561" w:type="dxa"/>
          </w:tcPr>
          <w:p w14:paraId="127A6B4E"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Moderate</w:t>
            </w:r>
          </w:p>
        </w:tc>
        <w:tc>
          <w:tcPr>
            <w:tcW w:w="2849" w:type="dxa"/>
          </w:tcPr>
          <w:p w14:paraId="7D735218" w14:textId="15F39B0C"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136 (1.2)</w:t>
            </w:r>
          </w:p>
        </w:tc>
        <w:tc>
          <w:tcPr>
            <w:tcW w:w="2849" w:type="dxa"/>
          </w:tcPr>
          <w:p w14:paraId="4C215CDA" w14:textId="2E592194"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125 (1.1)</w:t>
            </w:r>
          </w:p>
        </w:tc>
        <w:tc>
          <w:tcPr>
            <w:tcW w:w="2849" w:type="dxa"/>
          </w:tcPr>
          <w:p w14:paraId="36F3F408" w14:textId="5D9C3C81"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 (3.6)</w:t>
            </w:r>
          </w:p>
        </w:tc>
        <w:tc>
          <w:tcPr>
            <w:tcW w:w="1068" w:type="dxa"/>
          </w:tcPr>
          <w:p w14:paraId="47E5B2C5" w14:textId="5CCB2D36"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0279DB00" w14:textId="77777777" w:rsidTr="00090500">
        <w:tc>
          <w:tcPr>
            <w:tcW w:w="3561" w:type="dxa"/>
          </w:tcPr>
          <w:p w14:paraId="179780E4"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rPr>
            </w:pPr>
            <w:r w:rsidRPr="00FB28F4">
              <w:rPr>
                <w:rFonts w:ascii="Book Antiqua" w:hAnsi="Book Antiqua"/>
                <w:color w:val="000000"/>
              </w:rPr>
              <w:t>Tense</w:t>
            </w:r>
          </w:p>
        </w:tc>
        <w:tc>
          <w:tcPr>
            <w:tcW w:w="2849" w:type="dxa"/>
          </w:tcPr>
          <w:p w14:paraId="2A385CCF" w14:textId="3D8FDF0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6 (0.0)</w:t>
            </w:r>
          </w:p>
        </w:tc>
        <w:tc>
          <w:tcPr>
            <w:tcW w:w="2849" w:type="dxa"/>
          </w:tcPr>
          <w:p w14:paraId="4F4D2A98" w14:textId="2C69FD1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6 (0.0)</w:t>
            </w:r>
          </w:p>
        </w:tc>
        <w:tc>
          <w:tcPr>
            <w:tcW w:w="2849" w:type="dxa"/>
          </w:tcPr>
          <w:p w14:paraId="5E67E84D" w14:textId="4DCA166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 (0.0)</w:t>
            </w:r>
          </w:p>
        </w:tc>
        <w:tc>
          <w:tcPr>
            <w:tcW w:w="1068" w:type="dxa"/>
          </w:tcPr>
          <w:p w14:paraId="5347BF1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77171E57" w14:textId="77777777" w:rsidTr="00090500">
        <w:tc>
          <w:tcPr>
            <w:tcW w:w="3561" w:type="dxa"/>
          </w:tcPr>
          <w:p w14:paraId="20DA9AC7" w14:textId="0FA13130"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r w:rsidRPr="00FB28F4">
              <w:rPr>
                <w:rFonts w:ascii="Book Antiqua" w:hAnsi="Book Antiqua"/>
                <w:color w:val="000000"/>
                <w:lang w:val="en-US"/>
              </w:rPr>
              <w:t>Encephalopathy at the start of the treatment</w:t>
            </w:r>
            <w:r w:rsidR="00947EA4" w:rsidRPr="00CA456B">
              <w:rPr>
                <w:rFonts w:ascii="Book Antiqua" w:hAnsi="Book Antiqua"/>
                <w:color w:val="000000"/>
              </w:rPr>
              <w:t xml:space="preserve">, </w:t>
            </w:r>
            <w:r w:rsidR="00947EA4" w:rsidRPr="00CA456B">
              <w:rPr>
                <w:rFonts w:ascii="Book Antiqua" w:hAnsi="Book Antiqua"/>
                <w:i/>
                <w:color w:val="000000"/>
              </w:rPr>
              <w:t>n</w:t>
            </w:r>
            <w:r w:rsidR="00947EA4" w:rsidRPr="00CA456B">
              <w:rPr>
                <w:rFonts w:ascii="Book Antiqua" w:hAnsi="Book Antiqua"/>
                <w:color w:val="000000"/>
              </w:rPr>
              <w:t xml:space="preserve"> (%)</w:t>
            </w:r>
          </w:p>
        </w:tc>
        <w:tc>
          <w:tcPr>
            <w:tcW w:w="2849" w:type="dxa"/>
          </w:tcPr>
          <w:p w14:paraId="7D709057"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p>
        </w:tc>
        <w:tc>
          <w:tcPr>
            <w:tcW w:w="2849" w:type="dxa"/>
          </w:tcPr>
          <w:p w14:paraId="625E67D1"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p>
        </w:tc>
        <w:tc>
          <w:tcPr>
            <w:tcW w:w="2849" w:type="dxa"/>
          </w:tcPr>
          <w:p w14:paraId="5AC1B3D6"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p>
        </w:tc>
        <w:tc>
          <w:tcPr>
            <w:tcW w:w="1068" w:type="dxa"/>
          </w:tcPr>
          <w:p w14:paraId="541CFCB2"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6BF03F3F" w14:textId="77777777" w:rsidTr="00090500">
        <w:tc>
          <w:tcPr>
            <w:tcW w:w="3561" w:type="dxa"/>
          </w:tcPr>
          <w:p w14:paraId="4CF3DC1A"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424FABE2" w14:textId="1BF6F900"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11808 (99.4)</w:t>
            </w:r>
          </w:p>
        </w:tc>
        <w:tc>
          <w:tcPr>
            <w:tcW w:w="2849" w:type="dxa"/>
          </w:tcPr>
          <w:p w14:paraId="0581E029" w14:textId="6D5767D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11507 (99.5)</w:t>
            </w:r>
          </w:p>
        </w:tc>
        <w:tc>
          <w:tcPr>
            <w:tcW w:w="2849" w:type="dxa"/>
          </w:tcPr>
          <w:p w14:paraId="62813D50" w14:textId="3CDF75CF"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301 (97.8)</w:t>
            </w:r>
          </w:p>
        </w:tc>
        <w:tc>
          <w:tcPr>
            <w:tcW w:w="1068" w:type="dxa"/>
          </w:tcPr>
          <w:p w14:paraId="131A1DA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5B679DC4" w14:textId="77777777" w:rsidTr="00090500">
        <w:tc>
          <w:tcPr>
            <w:tcW w:w="3561" w:type="dxa"/>
          </w:tcPr>
          <w:p w14:paraId="7AB73AD6"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Grade 1-2</w:t>
            </w:r>
          </w:p>
        </w:tc>
        <w:tc>
          <w:tcPr>
            <w:tcW w:w="2849" w:type="dxa"/>
          </w:tcPr>
          <w:p w14:paraId="625913C2" w14:textId="6CBB3AE8"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67 (0.6)</w:t>
            </w:r>
          </w:p>
        </w:tc>
        <w:tc>
          <w:tcPr>
            <w:tcW w:w="2849" w:type="dxa"/>
          </w:tcPr>
          <w:p w14:paraId="0E57E899" w14:textId="4D386539"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60 (0.5)</w:t>
            </w:r>
          </w:p>
        </w:tc>
        <w:tc>
          <w:tcPr>
            <w:tcW w:w="2849" w:type="dxa"/>
          </w:tcPr>
          <w:p w14:paraId="5D82F75E" w14:textId="63B75ACB"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7 (2.2)</w:t>
            </w:r>
          </w:p>
        </w:tc>
        <w:tc>
          <w:tcPr>
            <w:tcW w:w="1068" w:type="dxa"/>
          </w:tcPr>
          <w:p w14:paraId="0458BD6C"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0.001</w:t>
            </w:r>
          </w:p>
        </w:tc>
      </w:tr>
      <w:tr w:rsidR="00FB28F4" w:rsidRPr="00FB28F4" w14:paraId="368A723E" w14:textId="77777777" w:rsidTr="00090500">
        <w:tc>
          <w:tcPr>
            <w:tcW w:w="3561" w:type="dxa"/>
          </w:tcPr>
          <w:p w14:paraId="311C579F"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Grade 3-4</w:t>
            </w:r>
          </w:p>
        </w:tc>
        <w:tc>
          <w:tcPr>
            <w:tcW w:w="2849" w:type="dxa"/>
          </w:tcPr>
          <w:p w14:paraId="275A4C6D" w14:textId="65CFC22D"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 (0.0)</w:t>
            </w:r>
          </w:p>
        </w:tc>
        <w:tc>
          <w:tcPr>
            <w:tcW w:w="2849" w:type="dxa"/>
          </w:tcPr>
          <w:p w14:paraId="4E32A705" w14:textId="079010C1"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 (0.0)</w:t>
            </w:r>
          </w:p>
        </w:tc>
        <w:tc>
          <w:tcPr>
            <w:tcW w:w="2849" w:type="dxa"/>
          </w:tcPr>
          <w:p w14:paraId="083E5837" w14:textId="0C22FA5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0 (0.0)</w:t>
            </w:r>
          </w:p>
        </w:tc>
        <w:tc>
          <w:tcPr>
            <w:tcW w:w="1068" w:type="dxa"/>
          </w:tcPr>
          <w:p w14:paraId="5ACAF0F3"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59912CB" w14:textId="77777777" w:rsidTr="00090500">
        <w:tc>
          <w:tcPr>
            <w:tcW w:w="3561" w:type="dxa"/>
          </w:tcPr>
          <w:p w14:paraId="53C58729" w14:textId="3E9BC60A" w:rsidR="00FB28F4" w:rsidRPr="00382E0D" w:rsidRDefault="00FB28F4" w:rsidP="00FB28F4">
            <w:pPr>
              <w:autoSpaceDE w:val="0"/>
              <w:autoSpaceDN w:val="0"/>
              <w:adjustRightInd w:val="0"/>
              <w:spacing w:line="360" w:lineRule="auto"/>
              <w:contextualSpacing/>
              <w:jc w:val="both"/>
              <w:rPr>
                <w:rFonts w:ascii="Book Antiqua" w:hAnsi="Book Antiqua"/>
                <w:color w:val="000000"/>
                <w:lang w:val="en-US"/>
              </w:rPr>
            </w:pPr>
            <w:r w:rsidRPr="00CA456B">
              <w:rPr>
                <w:rFonts w:ascii="Book Antiqua" w:hAnsi="Book Antiqua"/>
                <w:color w:val="000000"/>
              </w:rPr>
              <w:t>History of hepatocellular carcinoma</w:t>
            </w:r>
            <w:r w:rsidR="00947EA4" w:rsidRPr="00CA456B">
              <w:rPr>
                <w:rFonts w:ascii="Book Antiqua" w:hAnsi="Book Antiqua"/>
                <w:color w:val="000000"/>
              </w:rPr>
              <w:t xml:space="preserve">, </w:t>
            </w:r>
            <w:r w:rsidR="00947EA4" w:rsidRPr="00CA456B">
              <w:rPr>
                <w:rFonts w:ascii="Book Antiqua" w:hAnsi="Book Antiqua"/>
                <w:i/>
                <w:color w:val="000000"/>
              </w:rPr>
              <w:t>n</w:t>
            </w:r>
            <w:r w:rsidR="00947EA4" w:rsidRPr="00CA456B">
              <w:rPr>
                <w:rFonts w:ascii="Book Antiqua" w:hAnsi="Book Antiqua"/>
                <w:color w:val="000000"/>
              </w:rPr>
              <w:t xml:space="preserve"> (%)</w:t>
            </w:r>
          </w:p>
        </w:tc>
        <w:tc>
          <w:tcPr>
            <w:tcW w:w="2849" w:type="dxa"/>
          </w:tcPr>
          <w:p w14:paraId="5BDF1B1E" w14:textId="77777777" w:rsidR="00FB28F4" w:rsidRPr="00382E0D" w:rsidRDefault="00FB28F4" w:rsidP="00FB28F4">
            <w:pPr>
              <w:autoSpaceDE w:val="0"/>
              <w:autoSpaceDN w:val="0"/>
              <w:adjustRightInd w:val="0"/>
              <w:spacing w:line="360" w:lineRule="auto"/>
              <w:contextualSpacing/>
              <w:jc w:val="both"/>
              <w:rPr>
                <w:rFonts w:ascii="Book Antiqua" w:hAnsi="Book Antiqua"/>
                <w:color w:val="000000"/>
                <w:lang w:val="en-US"/>
              </w:rPr>
            </w:pPr>
          </w:p>
        </w:tc>
        <w:tc>
          <w:tcPr>
            <w:tcW w:w="2849" w:type="dxa"/>
          </w:tcPr>
          <w:p w14:paraId="192024F8" w14:textId="77777777" w:rsidR="00FB28F4" w:rsidRPr="00382E0D" w:rsidRDefault="00FB28F4" w:rsidP="00FB28F4">
            <w:pPr>
              <w:autoSpaceDE w:val="0"/>
              <w:autoSpaceDN w:val="0"/>
              <w:adjustRightInd w:val="0"/>
              <w:spacing w:line="360" w:lineRule="auto"/>
              <w:contextualSpacing/>
              <w:jc w:val="both"/>
              <w:rPr>
                <w:rFonts w:ascii="Book Antiqua" w:hAnsi="Book Antiqua"/>
                <w:color w:val="000000"/>
                <w:lang w:val="en-US"/>
              </w:rPr>
            </w:pPr>
          </w:p>
        </w:tc>
        <w:tc>
          <w:tcPr>
            <w:tcW w:w="2849" w:type="dxa"/>
          </w:tcPr>
          <w:p w14:paraId="0136F41F" w14:textId="77777777" w:rsidR="00FB28F4" w:rsidRPr="00382E0D" w:rsidRDefault="00FB28F4" w:rsidP="00FB28F4">
            <w:pPr>
              <w:autoSpaceDE w:val="0"/>
              <w:autoSpaceDN w:val="0"/>
              <w:adjustRightInd w:val="0"/>
              <w:spacing w:line="360" w:lineRule="auto"/>
              <w:contextualSpacing/>
              <w:jc w:val="both"/>
              <w:rPr>
                <w:rFonts w:ascii="Book Antiqua" w:hAnsi="Book Antiqua"/>
                <w:color w:val="000000"/>
                <w:lang w:val="en-US"/>
              </w:rPr>
            </w:pPr>
          </w:p>
        </w:tc>
        <w:tc>
          <w:tcPr>
            <w:tcW w:w="1068" w:type="dxa"/>
          </w:tcPr>
          <w:p w14:paraId="343FFB51" w14:textId="77777777" w:rsidR="00FB28F4" w:rsidRPr="00382E0D"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25B24F91" w14:textId="77777777" w:rsidTr="00090500">
        <w:tc>
          <w:tcPr>
            <w:tcW w:w="3561" w:type="dxa"/>
          </w:tcPr>
          <w:p w14:paraId="2C72B5D9"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Yes</w:t>
            </w:r>
          </w:p>
        </w:tc>
        <w:tc>
          <w:tcPr>
            <w:tcW w:w="2849" w:type="dxa"/>
          </w:tcPr>
          <w:p w14:paraId="47B71B96" w14:textId="22CE23BD"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179 (1.5)</w:t>
            </w:r>
          </w:p>
        </w:tc>
        <w:tc>
          <w:tcPr>
            <w:tcW w:w="2849" w:type="dxa"/>
          </w:tcPr>
          <w:p w14:paraId="56AA3234" w14:textId="6105B366"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167 (1.5)</w:t>
            </w:r>
          </w:p>
        </w:tc>
        <w:tc>
          <w:tcPr>
            <w:tcW w:w="2849" w:type="dxa"/>
          </w:tcPr>
          <w:p w14:paraId="5A54DBD7" w14:textId="5A3818C8"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12 (4.1)</w:t>
            </w:r>
          </w:p>
        </w:tc>
        <w:tc>
          <w:tcPr>
            <w:tcW w:w="1068" w:type="dxa"/>
          </w:tcPr>
          <w:p w14:paraId="0482B6FA" w14:textId="0090CE4A"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7752A6B9" w14:textId="77777777" w:rsidTr="00090500">
        <w:tc>
          <w:tcPr>
            <w:tcW w:w="3561" w:type="dxa"/>
          </w:tcPr>
          <w:p w14:paraId="44A330BD"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43918BF1" w14:textId="34594DAD"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11515 (98.5)</w:t>
            </w:r>
          </w:p>
        </w:tc>
        <w:tc>
          <w:tcPr>
            <w:tcW w:w="2849" w:type="dxa"/>
          </w:tcPr>
          <w:p w14:paraId="41B268C1" w14:textId="111127FF"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11231 (98.5)</w:t>
            </w:r>
          </w:p>
        </w:tc>
        <w:tc>
          <w:tcPr>
            <w:tcW w:w="2849" w:type="dxa"/>
          </w:tcPr>
          <w:p w14:paraId="74698389" w14:textId="351BA4DF"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284 (95.9)</w:t>
            </w:r>
          </w:p>
        </w:tc>
        <w:tc>
          <w:tcPr>
            <w:tcW w:w="1068" w:type="dxa"/>
          </w:tcPr>
          <w:p w14:paraId="0EE80D4B"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67EC93DF" w14:textId="77777777" w:rsidTr="00090500">
        <w:tc>
          <w:tcPr>
            <w:tcW w:w="3561" w:type="dxa"/>
          </w:tcPr>
          <w:p w14:paraId="38D2F50D" w14:textId="70926675"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Extrahepatic manifestations</w:t>
            </w:r>
            <w:r w:rsidR="00947EA4">
              <w:rPr>
                <w:rFonts w:ascii="Book Antiqua" w:hAnsi="Book Antiqua"/>
                <w:color w:val="000000"/>
              </w:rPr>
              <w:t xml:space="preserve">, </w:t>
            </w:r>
            <w:r w:rsidR="00947EA4" w:rsidRPr="00947EA4">
              <w:rPr>
                <w:rFonts w:ascii="Book Antiqua" w:hAnsi="Book Antiqua"/>
                <w:i/>
                <w:color w:val="000000"/>
              </w:rPr>
              <w:t>n</w:t>
            </w:r>
            <w:r w:rsidR="00947EA4">
              <w:rPr>
                <w:rFonts w:ascii="Book Antiqua" w:hAnsi="Book Antiqua"/>
                <w:color w:val="000000"/>
              </w:rPr>
              <w:t xml:space="preserve"> </w:t>
            </w:r>
            <w:r w:rsidR="00947EA4" w:rsidRPr="00FB28F4">
              <w:rPr>
                <w:rFonts w:ascii="Book Antiqua" w:hAnsi="Book Antiqua"/>
                <w:color w:val="000000"/>
              </w:rPr>
              <w:t>(%)</w:t>
            </w:r>
          </w:p>
        </w:tc>
        <w:tc>
          <w:tcPr>
            <w:tcW w:w="2849" w:type="dxa"/>
          </w:tcPr>
          <w:p w14:paraId="100FD8A8"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4AF74BD8"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0C257AC2"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1068" w:type="dxa"/>
          </w:tcPr>
          <w:p w14:paraId="14E31D6D"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DBA1003" w14:textId="77777777" w:rsidTr="00090500">
        <w:tc>
          <w:tcPr>
            <w:tcW w:w="3561" w:type="dxa"/>
          </w:tcPr>
          <w:p w14:paraId="79F1B178"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Yes</w:t>
            </w:r>
          </w:p>
        </w:tc>
        <w:tc>
          <w:tcPr>
            <w:tcW w:w="2849" w:type="dxa"/>
          </w:tcPr>
          <w:p w14:paraId="4832322B" w14:textId="4E46A71A"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948 (8.3)</w:t>
            </w:r>
          </w:p>
        </w:tc>
        <w:tc>
          <w:tcPr>
            <w:tcW w:w="2849" w:type="dxa"/>
          </w:tcPr>
          <w:p w14:paraId="48BB72EA" w14:textId="31363BD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916 (8.2)</w:t>
            </w:r>
          </w:p>
        </w:tc>
        <w:tc>
          <w:tcPr>
            <w:tcW w:w="2849" w:type="dxa"/>
          </w:tcPr>
          <w:p w14:paraId="5A3445EF" w14:textId="0E3BB69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32 (10.8)</w:t>
            </w:r>
          </w:p>
        </w:tc>
        <w:tc>
          <w:tcPr>
            <w:tcW w:w="1068" w:type="dxa"/>
          </w:tcPr>
          <w:p w14:paraId="226BD43E"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0.282</w:t>
            </w:r>
          </w:p>
        </w:tc>
      </w:tr>
      <w:tr w:rsidR="00FB28F4" w:rsidRPr="00FB28F4" w14:paraId="26C59722" w14:textId="77777777" w:rsidTr="00090500">
        <w:tc>
          <w:tcPr>
            <w:tcW w:w="3561" w:type="dxa"/>
          </w:tcPr>
          <w:p w14:paraId="0605137E"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0BC9786E" w14:textId="2511A6B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10513 (91.7)</w:t>
            </w:r>
          </w:p>
        </w:tc>
        <w:tc>
          <w:tcPr>
            <w:tcW w:w="2849" w:type="dxa"/>
          </w:tcPr>
          <w:p w14:paraId="4B1DDB84" w14:textId="79996EC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10248 (91.8)</w:t>
            </w:r>
          </w:p>
        </w:tc>
        <w:tc>
          <w:tcPr>
            <w:tcW w:w="2849" w:type="dxa"/>
          </w:tcPr>
          <w:p w14:paraId="537B42B3" w14:textId="23D880B8"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265 (89.2)</w:t>
            </w:r>
          </w:p>
        </w:tc>
        <w:tc>
          <w:tcPr>
            <w:tcW w:w="1068" w:type="dxa"/>
          </w:tcPr>
          <w:p w14:paraId="3ABAAE82"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9FD45DA" w14:textId="77777777" w:rsidTr="00090500">
        <w:tc>
          <w:tcPr>
            <w:tcW w:w="3561" w:type="dxa"/>
          </w:tcPr>
          <w:p w14:paraId="0543A808" w14:textId="0E3F8CE0"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HIV coinfection</w:t>
            </w:r>
            <w:r w:rsidR="00C11768">
              <w:rPr>
                <w:rFonts w:ascii="Book Antiqua" w:hAnsi="Book Antiqua"/>
                <w:color w:val="000000"/>
              </w:rPr>
              <w:t xml:space="preserve">, </w:t>
            </w:r>
            <w:r w:rsidR="00C11768" w:rsidRPr="00947EA4">
              <w:rPr>
                <w:rFonts w:ascii="Book Antiqua" w:hAnsi="Book Antiqua"/>
                <w:i/>
                <w:color w:val="000000"/>
              </w:rPr>
              <w:t>n</w:t>
            </w:r>
            <w:r w:rsidR="00C11768">
              <w:rPr>
                <w:rFonts w:ascii="Book Antiqua" w:hAnsi="Book Antiqua"/>
                <w:color w:val="000000"/>
              </w:rPr>
              <w:t xml:space="preserve"> </w:t>
            </w:r>
            <w:r w:rsidR="00C11768" w:rsidRPr="00FB28F4">
              <w:rPr>
                <w:rFonts w:ascii="Book Antiqua" w:hAnsi="Book Antiqua"/>
                <w:color w:val="000000"/>
              </w:rPr>
              <w:t>(%)</w:t>
            </w:r>
          </w:p>
        </w:tc>
        <w:tc>
          <w:tcPr>
            <w:tcW w:w="2849" w:type="dxa"/>
          </w:tcPr>
          <w:p w14:paraId="0F91E29F"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6AAFAB93"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705620FB"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1068" w:type="dxa"/>
          </w:tcPr>
          <w:p w14:paraId="333C43AE"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50D8916D" w14:textId="77777777" w:rsidTr="00090500">
        <w:tc>
          <w:tcPr>
            <w:tcW w:w="3561" w:type="dxa"/>
          </w:tcPr>
          <w:p w14:paraId="746D754A"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Yes</w:t>
            </w:r>
          </w:p>
        </w:tc>
        <w:tc>
          <w:tcPr>
            <w:tcW w:w="2849" w:type="dxa"/>
          </w:tcPr>
          <w:p w14:paraId="26398175" w14:textId="11B229DE"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587 (5.0)</w:t>
            </w:r>
          </w:p>
        </w:tc>
        <w:tc>
          <w:tcPr>
            <w:tcW w:w="2849" w:type="dxa"/>
          </w:tcPr>
          <w:p w14:paraId="07283CCD" w14:textId="68FCE11A"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564 (4.9)</w:t>
            </w:r>
          </w:p>
        </w:tc>
        <w:tc>
          <w:tcPr>
            <w:tcW w:w="2849" w:type="dxa"/>
          </w:tcPr>
          <w:p w14:paraId="2DB1290A" w14:textId="6650780D"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 xml:space="preserve"> 23 (7.6)</w:t>
            </w:r>
          </w:p>
        </w:tc>
        <w:tc>
          <w:tcPr>
            <w:tcW w:w="1068" w:type="dxa"/>
          </w:tcPr>
          <w:p w14:paraId="008030B0"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0.098</w:t>
            </w:r>
          </w:p>
        </w:tc>
      </w:tr>
      <w:tr w:rsidR="00FB28F4" w:rsidRPr="00FB28F4" w14:paraId="181911F1" w14:textId="77777777" w:rsidTr="00090500">
        <w:tc>
          <w:tcPr>
            <w:tcW w:w="3561" w:type="dxa"/>
          </w:tcPr>
          <w:p w14:paraId="1F4FD300"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545E621E" w14:textId="556D9BBF"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11161 (95.0)</w:t>
            </w:r>
          </w:p>
        </w:tc>
        <w:tc>
          <w:tcPr>
            <w:tcW w:w="2849" w:type="dxa"/>
          </w:tcPr>
          <w:p w14:paraId="43E6FECD" w14:textId="6CB7E81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10881 (95.1)</w:t>
            </w:r>
          </w:p>
        </w:tc>
        <w:tc>
          <w:tcPr>
            <w:tcW w:w="2849" w:type="dxa"/>
          </w:tcPr>
          <w:p w14:paraId="0FC9D984" w14:textId="381A6A8F"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280 (92.4)</w:t>
            </w:r>
          </w:p>
        </w:tc>
        <w:tc>
          <w:tcPr>
            <w:tcW w:w="1068" w:type="dxa"/>
          </w:tcPr>
          <w:p w14:paraId="4DAA44AA"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41DAB81" w14:textId="77777777" w:rsidTr="00090500">
        <w:tc>
          <w:tcPr>
            <w:tcW w:w="3561" w:type="dxa"/>
          </w:tcPr>
          <w:p w14:paraId="14D1F869" w14:textId="6AE733BD"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HBV coinfection</w:t>
            </w:r>
            <w:r w:rsidR="00C11768">
              <w:rPr>
                <w:rFonts w:ascii="Book Antiqua" w:hAnsi="Book Antiqua"/>
                <w:color w:val="000000"/>
              </w:rPr>
              <w:t xml:space="preserve">, </w:t>
            </w:r>
            <w:r w:rsidR="00C11768" w:rsidRPr="00947EA4">
              <w:rPr>
                <w:rFonts w:ascii="Book Antiqua" w:hAnsi="Book Antiqua"/>
                <w:i/>
                <w:color w:val="000000"/>
              </w:rPr>
              <w:t>n</w:t>
            </w:r>
            <w:r w:rsidR="00C11768">
              <w:rPr>
                <w:rFonts w:ascii="Book Antiqua" w:hAnsi="Book Antiqua"/>
                <w:color w:val="000000"/>
              </w:rPr>
              <w:t xml:space="preserve"> </w:t>
            </w:r>
            <w:r w:rsidR="00C11768" w:rsidRPr="00FB28F4">
              <w:rPr>
                <w:rFonts w:ascii="Book Antiqua" w:hAnsi="Book Antiqua"/>
                <w:color w:val="000000"/>
              </w:rPr>
              <w:t>(%)</w:t>
            </w:r>
          </w:p>
        </w:tc>
        <w:tc>
          <w:tcPr>
            <w:tcW w:w="2849" w:type="dxa"/>
          </w:tcPr>
          <w:p w14:paraId="56338DEA"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12D82593"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2849" w:type="dxa"/>
          </w:tcPr>
          <w:p w14:paraId="09262A88"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p>
        </w:tc>
        <w:tc>
          <w:tcPr>
            <w:tcW w:w="1068" w:type="dxa"/>
          </w:tcPr>
          <w:p w14:paraId="183A6ABE"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F7AD8C8" w14:textId="77777777" w:rsidTr="00090500">
        <w:tc>
          <w:tcPr>
            <w:tcW w:w="3561" w:type="dxa"/>
          </w:tcPr>
          <w:p w14:paraId="51493B58"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Yes</w:t>
            </w:r>
          </w:p>
        </w:tc>
        <w:tc>
          <w:tcPr>
            <w:tcW w:w="2849" w:type="dxa"/>
          </w:tcPr>
          <w:p w14:paraId="017683C0" w14:textId="43CE551A"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1570 (13.5)</w:t>
            </w:r>
          </w:p>
        </w:tc>
        <w:tc>
          <w:tcPr>
            <w:tcW w:w="2849" w:type="dxa"/>
          </w:tcPr>
          <w:p w14:paraId="3AA91BFD" w14:textId="2C77A283"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1526 (13.4)</w:t>
            </w:r>
          </w:p>
        </w:tc>
        <w:tc>
          <w:tcPr>
            <w:tcW w:w="2849" w:type="dxa"/>
          </w:tcPr>
          <w:p w14:paraId="04A39E71" w14:textId="0C45FDD6"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color w:val="000000"/>
              </w:rPr>
              <w:t>44 (14.6)</w:t>
            </w:r>
          </w:p>
        </w:tc>
        <w:tc>
          <w:tcPr>
            <w:tcW w:w="1068" w:type="dxa"/>
          </w:tcPr>
          <w:p w14:paraId="140218B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0.851</w:t>
            </w:r>
          </w:p>
        </w:tc>
      </w:tr>
      <w:tr w:rsidR="00FB28F4" w:rsidRPr="00FB28F4" w14:paraId="44BCDAC3" w14:textId="77777777" w:rsidTr="00090500">
        <w:tc>
          <w:tcPr>
            <w:tcW w:w="3561" w:type="dxa"/>
          </w:tcPr>
          <w:p w14:paraId="16DB4242"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74898A08" w14:textId="67185B68"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10098 (86.5)</w:t>
            </w:r>
          </w:p>
        </w:tc>
        <w:tc>
          <w:tcPr>
            <w:tcW w:w="2849" w:type="dxa"/>
          </w:tcPr>
          <w:p w14:paraId="5B814D9D" w14:textId="61837C57"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9840 (86.6)</w:t>
            </w:r>
          </w:p>
        </w:tc>
        <w:tc>
          <w:tcPr>
            <w:tcW w:w="2849" w:type="dxa"/>
          </w:tcPr>
          <w:p w14:paraId="0A8B71DB" w14:textId="7427A141"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258 (85.4)</w:t>
            </w:r>
          </w:p>
        </w:tc>
        <w:tc>
          <w:tcPr>
            <w:tcW w:w="1068" w:type="dxa"/>
          </w:tcPr>
          <w:p w14:paraId="229B8EAA"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4FC1DFFB" w14:textId="77777777" w:rsidTr="00090500">
        <w:tc>
          <w:tcPr>
            <w:tcW w:w="3561" w:type="dxa"/>
          </w:tcPr>
          <w:p w14:paraId="772F18F1" w14:textId="472FFCF7" w:rsidR="00FB28F4" w:rsidRPr="00FB28F4" w:rsidRDefault="00C11768" w:rsidP="00FB28F4">
            <w:pPr>
              <w:autoSpaceDE w:val="0"/>
              <w:autoSpaceDN w:val="0"/>
              <w:adjustRightInd w:val="0"/>
              <w:spacing w:line="360" w:lineRule="auto"/>
              <w:contextualSpacing/>
              <w:jc w:val="both"/>
              <w:rPr>
                <w:rFonts w:ascii="Book Antiqua" w:hAnsi="Book Antiqua"/>
                <w:color w:val="000000" w:themeColor="text1"/>
              </w:rPr>
            </w:pPr>
            <w:r>
              <w:rPr>
                <w:rFonts w:ascii="Book Antiqua" w:hAnsi="Book Antiqua"/>
                <w:color w:val="000000" w:themeColor="text1"/>
              </w:rPr>
              <w:t>HBsAg</w:t>
            </w:r>
            <w:r w:rsidR="00FB28F4" w:rsidRPr="00FB28F4">
              <w:rPr>
                <w:rFonts w:ascii="Book Antiqua" w:hAnsi="Book Antiqua"/>
                <w:color w:val="000000" w:themeColor="text1"/>
              </w:rPr>
              <w:t>(+)</w:t>
            </w:r>
            <w:r>
              <w:rPr>
                <w:rFonts w:ascii="Book Antiqua" w:hAnsi="Book Antiqua"/>
                <w:color w:val="000000"/>
              </w:rPr>
              <w:t xml:space="preserve">, </w:t>
            </w:r>
            <w:r w:rsidRPr="00947EA4">
              <w:rPr>
                <w:rFonts w:ascii="Book Antiqua" w:hAnsi="Book Antiqua"/>
                <w:i/>
                <w:color w:val="000000"/>
              </w:rPr>
              <w:t>n</w:t>
            </w:r>
            <w:r>
              <w:rPr>
                <w:rFonts w:ascii="Book Antiqua" w:hAnsi="Book Antiqua"/>
                <w:color w:val="000000"/>
              </w:rPr>
              <w:t xml:space="preserve"> </w:t>
            </w:r>
            <w:r w:rsidRPr="00FB28F4">
              <w:rPr>
                <w:rFonts w:ascii="Book Antiqua" w:hAnsi="Book Antiqua"/>
                <w:color w:val="000000"/>
              </w:rPr>
              <w:t>(%)</w:t>
            </w:r>
            <w:r w:rsidR="00FB28F4">
              <w:rPr>
                <w:rFonts w:ascii="Book Antiqua" w:hAnsi="Book Antiqua"/>
              </w:rPr>
              <w:t>)</w:t>
            </w:r>
          </w:p>
        </w:tc>
        <w:tc>
          <w:tcPr>
            <w:tcW w:w="2849" w:type="dxa"/>
          </w:tcPr>
          <w:p w14:paraId="64DCC3C5" w14:textId="5AD00BDA"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124 (8.0)</w:t>
            </w:r>
          </w:p>
        </w:tc>
        <w:tc>
          <w:tcPr>
            <w:tcW w:w="2849" w:type="dxa"/>
          </w:tcPr>
          <w:p w14:paraId="044F3DE7" w14:textId="7A6389E0"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122 (8.1)</w:t>
            </w:r>
          </w:p>
        </w:tc>
        <w:tc>
          <w:tcPr>
            <w:tcW w:w="2849" w:type="dxa"/>
          </w:tcPr>
          <w:p w14:paraId="6F067885" w14:textId="57AD54DA"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2 (4.5)</w:t>
            </w:r>
          </w:p>
        </w:tc>
        <w:tc>
          <w:tcPr>
            <w:tcW w:w="1068" w:type="dxa"/>
          </w:tcPr>
          <w:p w14:paraId="664A6998" w14:textId="77777777" w:rsidR="00FB28F4" w:rsidRPr="00FB28F4" w:rsidRDefault="00FB28F4" w:rsidP="00FB28F4">
            <w:pPr>
              <w:autoSpaceDE w:val="0"/>
              <w:autoSpaceDN w:val="0"/>
              <w:adjustRightInd w:val="0"/>
              <w:spacing w:line="360" w:lineRule="auto"/>
              <w:contextualSpacing/>
              <w:jc w:val="both"/>
              <w:rPr>
                <w:rFonts w:ascii="Book Antiqua" w:hAnsi="Book Antiqua"/>
                <w:color w:val="000000" w:themeColor="text1"/>
              </w:rPr>
            </w:pPr>
            <w:r w:rsidRPr="00FB28F4">
              <w:rPr>
                <w:rFonts w:ascii="Book Antiqua" w:hAnsi="Book Antiqua"/>
                <w:color w:val="000000" w:themeColor="text1"/>
              </w:rPr>
              <w:t>0.543</w:t>
            </w:r>
          </w:p>
        </w:tc>
      </w:tr>
      <w:tr w:rsidR="00FB28F4" w:rsidRPr="00FB28F4" w14:paraId="12A3C508" w14:textId="77777777" w:rsidTr="00090500">
        <w:tc>
          <w:tcPr>
            <w:tcW w:w="3561" w:type="dxa"/>
          </w:tcPr>
          <w:p w14:paraId="1F8E3FD3" w14:textId="372BCA35" w:rsidR="00FB28F4" w:rsidRPr="00382E0D" w:rsidRDefault="00FB28F4" w:rsidP="00FB28F4">
            <w:pPr>
              <w:autoSpaceDE w:val="0"/>
              <w:autoSpaceDN w:val="0"/>
              <w:adjustRightInd w:val="0"/>
              <w:spacing w:line="360" w:lineRule="auto"/>
              <w:contextualSpacing/>
              <w:jc w:val="both"/>
              <w:rPr>
                <w:rFonts w:ascii="Book Antiqua" w:hAnsi="Book Antiqua"/>
                <w:color w:val="000000"/>
                <w:lang w:val="en-US"/>
              </w:rPr>
            </w:pPr>
            <w:r w:rsidRPr="00CA456B">
              <w:rPr>
                <w:rFonts w:ascii="Book Antiqua" w:hAnsi="Book Antiqua"/>
                <w:color w:val="000000"/>
              </w:rPr>
              <w:t>Reactivation of HBV infection</w:t>
            </w:r>
            <w:r w:rsidR="00C11768" w:rsidRPr="00CA456B">
              <w:rPr>
                <w:rFonts w:ascii="Book Antiqua" w:hAnsi="Book Antiqua"/>
                <w:color w:val="000000"/>
              </w:rPr>
              <w:t xml:space="preserve">, </w:t>
            </w:r>
            <w:r w:rsidR="00C11768" w:rsidRPr="00CA456B">
              <w:rPr>
                <w:rFonts w:ascii="Book Antiqua" w:hAnsi="Book Antiqua"/>
                <w:i/>
                <w:color w:val="000000"/>
              </w:rPr>
              <w:t>n</w:t>
            </w:r>
            <w:r w:rsidR="00C11768" w:rsidRPr="00CA456B">
              <w:rPr>
                <w:rFonts w:ascii="Book Antiqua" w:hAnsi="Book Antiqua"/>
                <w:color w:val="000000"/>
              </w:rPr>
              <w:t xml:space="preserve"> (%)</w:t>
            </w:r>
          </w:p>
        </w:tc>
        <w:tc>
          <w:tcPr>
            <w:tcW w:w="2849" w:type="dxa"/>
          </w:tcPr>
          <w:p w14:paraId="2F33380D" w14:textId="77777777" w:rsidR="00FB28F4" w:rsidRPr="00382E0D"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5AFA1F9D" w14:textId="77777777" w:rsidR="00FB28F4" w:rsidRPr="00382E0D"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489BC285" w14:textId="77777777" w:rsidR="00FB28F4" w:rsidRPr="00382E0D" w:rsidRDefault="00FB28F4" w:rsidP="00FB28F4">
            <w:pPr>
              <w:autoSpaceDE w:val="0"/>
              <w:autoSpaceDN w:val="0"/>
              <w:adjustRightInd w:val="0"/>
              <w:spacing w:line="360" w:lineRule="auto"/>
              <w:contextualSpacing/>
              <w:jc w:val="both"/>
              <w:rPr>
                <w:rFonts w:ascii="Book Antiqua" w:hAnsi="Book Antiqua"/>
                <w:lang w:val="en-US"/>
              </w:rPr>
            </w:pPr>
          </w:p>
        </w:tc>
        <w:tc>
          <w:tcPr>
            <w:tcW w:w="1068" w:type="dxa"/>
          </w:tcPr>
          <w:p w14:paraId="1A824528" w14:textId="77777777" w:rsidR="00FB28F4" w:rsidRPr="00382E0D"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6F7CF7AF" w14:textId="77777777" w:rsidTr="00090500">
        <w:tc>
          <w:tcPr>
            <w:tcW w:w="3561" w:type="dxa"/>
          </w:tcPr>
          <w:p w14:paraId="2FCA91E8"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Yes</w:t>
            </w:r>
          </w:p>
        </w:tc>
        <w:tc>
          <w:tcPr>
            <w:tcW w:w="2849" w:type="dxa"/>
          </w:tcPr>
          <w:p w14:paraId="094C4E7F" w14:textId="6DEE02DC"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 (0.1)</w:t>
            </w:r>
          </w:p>
        </w:tc>
        <w:tc>
          <w:tcPr>
            <w:tcW w:w="2849" w:type="dxa"/>
          </w:tcPr>
          <w:p w14:paraId="4F6C101D" w14:textId="53ED00D6"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 (0.1)</w:t>
            </w:r>
          </w:p>
        </w:tc>
        <w:tc>
          <w:tcPr>
            <w:tcW w:w="2849" w:type="dxa"/>
          </w:tcPr>
          <w:p w14:paraId="7FB3084A" w14:textId="7BC82666"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 (0.0)</w:t>
            </w:r>
          </w:p>
        </w:tc>
        <w:tc>
          <w:tcPr>
            <w:tcW w:w="1068" w:type="dxa"/>
          </w:tcPr>
          <w:p w14:paraId="1252045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0.510</w:t>
            </w:r>
          </w:p>
        </w:tc>
      </w:tr>
      <w:tr w:rsidR="00FB28F4" w:rsidRPr="00FB28F4" w14:paraId="3ABFECFC" w14:textId="77777777" w:rsidTr="00090500">
        <w:tc>
          <w:tcPr>
            <w:tcW w:w="3561" w:type="dxa"/>
          </w:tcPr>
          <w:p w14:paraId="2836E75E"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color w:val="000000"/>
              </w:rPr>
              <w:t>No</w:t>
            </w:r>
          </w:p>
        </w:tc>
        <w:tc>
          <w:tcPr>
            <w:tcW w:w="2849" w:type="dxa"/>
          </w:tcPr>
          <w:p w14:paraId="5D56BF1D" w14:textId="4F5390F6"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10707 (99.9)</w:t>
            </w:r>
          </w:p>
        </w:tc>
        <w:tc>
          <w:tcPr>
            <w:tcW w:w="2849" w:type="dxa"/>
          </w:tcPr>
          <w:p w14:paraId="63EE9DB0" w14:textId="056B2DC9"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10435 (99.9)</w:t>
            </w:r>
          </w:p>
        </w:tc>
        <w:tc>
          <w:tcPr>
            <w:tcW w:w="2849" w:type="dxa"/>
          </w:tcPr>
          <w:p w14:paraId="54246731" w14:textId="4876019A"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272 (100.0)</w:t>
            </w:r>
          </w:p>
        </w:tc>
        <w:tc>
          <w:tcPr>
            <w:tcW w:w="1068" w:type="dxa"/>
          </w:tcPr>
          <w:p w14:paraId="13979F1E"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82D1E44" w14:textId="77777777" w:rsidTr="00090500">
        <w:tc>
          <w:tcPr>
            <w:tcW w:w="3561" w:type="dxa"/>
          </w:tcPr>
          <w:p w14:paraId="6285C17E" w14:textId="5F868E74" w:rsidR="00FB28F4" w:rsidRPr="00382E0D" w:rsidRDefault="00FB28F4" w:rsidP="00FB28F4">
            <w:pPr>
              <w:autoSpaceDE w:val="0"/>
              <w:autoSpaceDN w:val="0"/>
              <w:adjustRightInd w:val="0"/>
              <w:spacing w:line="360" w:lineRule="auto"/>
              <w:contextualSpacing/>
              <w:jc w:val="both"/>
              <w:rPr>
                <w:rFonts w:ascii="Book Antiqua" w:hAnsi="Book Antiqua"/>
                <w:color w:val="000000"/>
                <w:lang w:val="en-US"/>
              </w:rPr>
            </w:pPr>
            <w:r w:rsidRPr="00CA456B">
              <w:rPr>
                <w:rFonts w:ascii="Book Antiqua" w:hAnsi="Book Antiqua"/>
              </w:rPr>
              <w:t>History of liver transplantation</w:t>
            </w:r>
            <w:r w:rsidR="00C11768" w:rsidRPr="00CA456B">
              <w:rPr>
                <w:rFonts w:ascii="Book Antiqua" w:hAnsi="Book Antiqua"/>
                <w:color w:val="000000"/>
              </w:rPr>
              <w:t xml:space="preserve">, </w:t>
            </w:r>
            <w:r w:rsidR="00C11768" w:rsidRPr="00CA456B">
              <w:rPr>
                <w:rFonts w:ascii="Book Antiqua" w:hAnsi="Book Antiqua"/>
                <w:i/>
                <w:color w:val="000000"/>
              </w:rPr>
              <w:t>n</w:t>
            </w:r>
            <w:r w:rsidR="00C11768" w:rsidRPr="00CA456B">
              <w:rPr>
                <w:rFonts w:ascii="Book Antiqua" w:hAnsi="Book Antiqua"/>
                <w:color w:val="000000"/>
              </w:rPr>
              <w:t xml:space="preserve"> (%)</w:t>
            </w:r>
          </w:p>
        </w:tc>
        <w:tc>
          <w:tcPr>
            <w:tcW w:w="2849" w:type="dxa"/>
          </w:tcPr>
          <w:p w14:paraId="405CEFD7" w14:textId="77777777" w:rsidR="00FB28F4" w:rsidRPr="00382E0D"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4869E89E" w14:textId="77777777" w:rsidR="00FB28F4" w:rsidRPr="00382E0D"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220DC340" w14:textId="77777777" w:rsidR="00FB28F4" w:rsidRPr="00382E0D" w:rsidRDefault="00FB28F4" w:rsidP="00FB28F4">
            <w:pPr>
              <w:autoSpaceDE w:val="0"/>
              <w:autoSpaceDN w:val="0"/>
              <w:adjustRightInd w:val="0"/>
              <w:spacing w:line="360" w:lineRule="auto"/>
              <w:contextualSpacing/>
              <w:jc w:val="both"/>
              <w:rPr>
                <w:rFonts w:ascii="Book Antiqua" w:hAnsi="Book Antiqua"/>
                <w:lang w:val="en-US"/>
              </w:rPr>
            </w:pPr>
          </w:p>
        </w:tc>
        <w:tc>
          <w:tcPr>
            <w:tcW w:w="1068" w:type="dxa"/>
          </w:tcPr>
          <w:p w14:paraId="05083D87" w14:textId="77777777" w:rsidR="00FB28F4" w:rsidRPr="00382E0D"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34BAF223" w14:textId="77777777" w:rsidTr="00090500">
        <w:tc>
          <w:tcPr>
            <w:tcW w:w="3561" w:type="dxa"/>
          </w:tcPr>
          <w:p w14:paraId="65EECF59"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Yes</w:t>
            </w:r>
          </w:p>
        </w:tc>
        <w:tc>
          <w:tcPr>
            <w:tcW w:w="2849" w:type="dxa"/>
          </w:tcPr>
          <w:p w14:paraId="15956F76" w14:textId="6BDB9678"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146 (1.2)</w:t>
            </w:r>
          </w:p>
        </w:tc>
        <w:tc>
          <w:tcPr>
            <w:tcW w:w="2849" w:type="dxa"/>
          </w:tcPr>
          <w:p w14:paraId="20E1CB73" w14:textId="09FC340C"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144 (1.3)</w:t>
            </w:r>
          </w:p>
        </w:tc>
        <w:tc>
          <w:tcPr>
            <w:tcW w:w="2849" w:type="dxa"/>
          </w:tcPr>
          <w:p w14:paraId="1146BC7E" w14:textId="6391CAE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 (0.7)</w:t>
            </w:r>
          </w:p>
        </w:tc>
        <w:tc>
          <w:tcPr>
            <w:tcW w:w="1068" w:type="dxa"/>
          </w:tcPr>
          <w:p w14:paraId="61B9ECB6"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0.576</w:t>
            </w:r>
          </w:p>
        </w:tc>
      </w:tr>
      <w:tr w:rsidR="00FB28F4" w:rsidRPr="00FB28F4" w14:paraId="35877D24" w14:textId="77777777" w:rsidTr="00090500">
        <w:tc>
          <w:tcPr>
            <w:tcW w:w="3561" w:type="dxa"/>
          </w:tcPr>
          <w:p w14:paraId="02E7F166"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No</w:t>
            </w:r>
          </w:p>
        </w:tc>
        <w:tc>
          <w:tcPr>
            <w:tcW w:w="2849" w:type="dxa"/>
          </w:tcPr>
          <w:p w14:paraId="172490E0" w14:textId="40E7718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11555 (98.8)</w:t>
            </w:r>
          </w:p>
        </w:tc>
        <w:tc>
          <w:tcPr>
            <w:tcW w:w="2849" w:type="dxa"/>
          </w:tcPr>
          <w:p w14:paraId="70D6AB67" w14:textId="6E0F7F41"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11253 (98.7)</w:t>
            </w:r>
          </w:p>
        </w:tc>
        <w:tc>
          <w:tcPr>
            <w:tcW w:w="2849" w:type="dxa"/>
          </w:tcPr>
          <w:p w14:paraId="767A90F1" w14:textId="6B23296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302 (99.3)</w:t>
            </w:r>
          </w:p>
        </w:tc>
        <w:tc>
          <w:tcPr>
            <w:tcW w:w="1068" w:type="dxa"/>
          </w:tcPr>
          <w:p w14:paraId="57175793"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342F8C28" w14:textId="77777777" w:rsidTr="00090500">
        <w:tc>
          <w:tcPr>
            <w:tcW w:w="3561" w:type="dxa"/>
          </w:tcPr>
          <w:p w14:paraId="29D8A6A5" w14:textId="3FC9898C" w:rsidR="00FB28F4" w:rsidRPr="00FB28F4" w:rsidRDefault="00FB28F4" w:rsidP="00FB28F4">
            <w:pPr>
              <w:autoSpaceDE w:val="0"/>
              <w:autoSpaceDN w:val="0"/>
              <w:adjustRightInd w:val="0"/>
              <w:spacing w:line="360" w:lineRule="auto"/>
              <w:contextualSpacing/>
              <w:jc w:val="both"/>
              <w:rPr>
                <w:rFonts w:ascii="Book Antiqua" w:hAnsi="Book Antiqua"/>
                <w:color w:val="000000"/>
              </w:rPr>
            </w:pPr>
            <w:r w:rsidRPr="00FB28F4">
              <w:rPr>
                <w:rFonts w:ascii="Book Antiqua" w:hAnsi="Book Antiqua"/>
              </w:rPr>
              <w:t>Course of treatment</w:t>
            </w:r>
            <w:r w:rsidR="00C11768">
              <w:rPr>
                <w:rFonts w:ascii="Book Antiqua" w:hAnsi="Book Antiqua"/>
                <w:color w:val="000000"/>
              </w:rPr>
              <w:t xml:space="preserve">, </w:t>
            </w:r>
            <w:r w:rsidR="00C11768" w:rsidRPr="00947EA4">
              <w:rPr>
                <w:rFonts w:ascii="Book Antiqua" w:hAnsi="Book Antiqua"/>
                <w:i/>
                <w:color w:val="000000"/>
              </w:rPr>
              <w:t>n</w:t>
            </w:r>
            <w:r w:rsidR="00C11768">
              <w:rPr>
                <w:rFonts w:ascii="Book Antiqua" w:hAnsi="Book Antiqua"/>
                <w:color w:val="000000"/>
              </w:rPr>
              <w:t xml:space="preserve"> </w:t>
            </w:r>
            <w:r w:rsidR="00C11768" w:rsidRPr="00FB28F4">
              <w:rPr>
                <w:rFonts w:ascii="Book Antiqua" w:hAnsi="Book Antiqua"/>
                <w:color w:val="000000"/>
              </w:rPr>
              <w:t>(%)</w:t>
            </w:r>
          </w:p>
        </w:tc>
        <w:tc>
          <w:tcPr>
            <w:tcW w:w="2849" w:type="dxa"/>
          </w:tcPr>
          <w:p w14:paraId="777DD63D"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3190DB3F"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2849" w:type="dxa"/>
          </w:tcPr>
          <w:p w14:paraId="1D37C7BF"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c>
          <w:tcPr>
            <w:tcW w:w="1068" w:type="dxa"/>
          </w:tcPr>
          <w:p w14:paraId="7FF6A54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6D875D5" w14:textId="77777777" w:rsidTr="00090500">
        <w:tc>
          <w:tcPr>
            <w:tcW w:w="3561" w:type="dxa"/>
          </w:tcPr>
          <w:p w14:paraId="1F209BA5"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As planned</w:t>
            </w:r>
          </w:p>
        </w:tc>
        <w:tc>
          <w:tcPr>
            <w:tcW w:w="2849" w:type="dxa"/>
          </w:tcPr>
          <w:p w14:paraId="40FFDCDD" w14:textId="633D7E3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11516 (97.1)</w:t>
            </w:r>
          </w:p>
        </w:tc>
        <w:tc>
          <w:tcPr>
            <w:tcW w:w="2849" w:type="dxa"/>
          </w:tcPr>
          <w:p w14:paraId="32C8CE8C" w14:textId="5BFCEAA0"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11238 (97.3)</w:t>
            </w:r>
          </w:p>
        </w:tc>
        <w:tc>
          <w:tcPr>
            <w:tcW w:w="2849" w:type="dxa"/>
          </w:tcPr>
          <w:p w14:paraId="5CA8968B" w14:textId="562C3F3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278 (90.2)</w:t>
            </w:r>
          </w:p>
        </w:tc>
        <w:tc>
          <w:tcPr>
            <w:tcW w:w="1068" w:type="dxa"/>
          </w:tcPr>
          <w:p w14:paraId="4AA4297D"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6FC2AF61" w14:textId="77777777" w:rsidTr="00090500">
        <w:tc>
          <w:tcPr>
            <w:tcW w:w="3561" w:type="dxa"/>
          </w:tcPr>
          <w:p w14:paraId="092D228E"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Terminated early</w:t>
            </w:r>
          </w:p>
        </w:tc>
        <w:tc>
          <w:tcPr>
            <w:tcW w:w="2849" w:type="dxa"/>
          </w:tcPr>
          <w:p w14:paraId="23936194" w14:textId="492120C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86 (0.7)</w:t>
            </w:r>
          </w:p>
        </w:tc>
        <w:tc>
          <w:tcPr>
            <w:tcW w:w="2849" w:type="dxa"/>
          </w:tcPr>
          <w:p w14:paraId="681322E3" w14:textId="10C1D5A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71 (0.6)</w:t>
            </w:r>
          </w:p>
        </w:tc>
        <w:tc>
          <w:tcPr>
            <w:tcW w:w="2849" w:type="dxa"/>
          </w:tcPr>
          <w:p w14:paraId="412E3A2D" w14:textId="7A8320A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15 (4.9)</w:t>
            </w:r>
          </w:p>
        </w:tc>
        <w:tc>
          <w:tcPr>
            <w:tcW w:w="1068" w:type="dxa"/>
          </w:tcPr>
          <w:p w14:paraId="257AB6C7"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 0.001</w:t>
            </w:r>
          </w:p>
        </w:tc>
      </w:tr>
      <w:tr w:rsidR="00FB28F4" w:rsidRPr="00FB28F4" w14:paraId="586F45F1" w14:textId="77777777" w:rsidTr="00090500">
        <w:tc>
          <w:tcPr>
            <w:tcW w:w="3561" w:type="dxa"/>
          </w:tcPr>
          <w:p w14:paraId="1ACF1A32"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Modified</w:t>
            </w:r>
          </w:p>
        </w:tc>
        <w:tc>
          <w:tcPr>
            <w:tcW w:w="2849" w:type="dxa"/>
          </w:tcPr>
          <w:p w14:paraId="162CB0AE" w14:textId="16F2A59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257 (2.2)</w:t>
            </w:r>
          </w:p>
        </w:tc>
        <w:tc>
          <w:tcPr>
            <w:tcW w:w="2849" w:type="dxa"/>
          </w:tcPr>
          <w:p w14:paraId="4B82C5BF" w14:textId="772EB6E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242 (2.1)</w:t>
            </w:r>
          </w:p>
        </w:tc>
        <w:tc>
          <w:tcPr>
            <w:tcW w:w="2849" w:type="dxa"/>
          </w:tcPr>
          <w:p w14:paraId="72E9159D" w14:textId="1389E0BF"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15 (4.9)</w:t>
            </w:r>
          </w:p>
        </w:tc>
        <w:tc>
          <w:tcPr>
            <w:tcW w:w="1068" w:type="dxa"/>
          </w:tcPr>
          <w:p w14:paraId="72EF111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0B66117A" w14:textId="77777777" w:rsidTr="00090500">
        <w:tc>
          <w:tcPr>
            <w:tcW w:w="3561" w:type="dxa"/>
          </w:tcPr>
          <w:p w14:paraId="540291CA" w14:textId="13734C62"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r w:rsidRPr="00FB28F4">
              <w:rPr>
                <w:rFonts w:ascii="Book Antiqua" w:hAnsi="Book Antiqua"/>
                <w:lang w:val="en-US"/>
              </w:rPr>
              <w:t>Ascites appearing while on treatment</w:t>
            </w:r>
            <w:r w:rsidR="00C11768" w:rsidRPr="00CA456B">
              <w:rPr>
                <w:rFonts w:ascii="Book Antiqua" w:hAnsi="Book Antiqua"/>
                <w:color w:val="000000"/>
              </w:rPr>
              <w:t xml:space="preserve">, </w:t>
            </w:r>
            <w:r w:rsidR="00C11768" w:rsidRPr="00CA456B">
              <w:rPr>
                <w:rFonts w:ascii="Book Antiqua" w:hAnsi="Book Antiqua"/>
                <w:i/>
                <w:color w:val="000000"/>
              </w:rPr>
              <w:t>n</w:t>
            </w:r>
            <w:r w:rsidR="00C11768" w:rsidRPr="00CA456B">
              <w:rPr>
                <w:rFonts w:ascii="Book Antiqua" w:hAnsi="Book Antiqua"/>
                <w:color w:val="000000"/>
              </w:rPr>
              <w:t xml:space="preserve"> (%)</w:t>
            </w:r>
          </w:p>
        </w:tc>
        <w:tc>
          <w:tcPr>
            <w:tcW w:w="2849" w:type="dxa"/>
          </w:tcPr>
          <w:p w14:paraId="019FC8C7"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69E63E53"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40F1F3A9"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1068" w:type="dxa"/>
          </w:tcPr>
          <w:p w14:paraId="1D1D62DA"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08049B2D" w14:textId="77777777" w:rsidTr="00090500">
        <w:tc>
          <w:tcPr>
            <w:tcW w:w="3561" w:type="dxa"/>
          </w:tcPr>
          <w:p w14:paraId="65B92559"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Yes</w:t>
            </w:r>
          </w:p>
        </w:tc>
        <w:tc>
          <w:tcPr>
            <w:tcW w:w="2849" w:type="dxa"/>
          </w:tcPr>
          <w:p w14:paraId="0ADAB1BC" w14:textId="0ABF374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64 (0.5)</w:t>
            </w:r>
          </w:p>
        </w:tc>
        <w:tc>
          <w:tcPr>
            <w:tcW w:w="2849" w:type="dxa"/>
          </w:tcPr>
          <w:p w14:paraId="02E12A14" w14:textId="30395FE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57 (0.5)</w:t>
            </w:r>
          </w:p>
        </w:tc>
        <w:tc>
          <w:tcPr>
            <w:tcW w:w="2849" w:type="dxa"/>
          </w:tcPr>
          <w:p w14:paraId="1317FE43" w14:textId="234B21C4"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7 (2.3)</w:t>
            </w:r>
          </w:p>
        </w:tc>
        <w:tc>
          <w:tcPr>
            <w:tcW w:w="1068" w:type="dxa"/>
          </w:tcPr>
          <w:p w14:paraId="1A81FE47" w14:textId="0763962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6EA26FA8" w14:textId="77777777" w:rsidTr="00090500">
        <w:tc>
          <w:tcPr>
            <w:tcW w:w="3561" w:type="dxa"/>
          </w:tcPr>
          <w:p w14:paraId="33C1B55C"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No</w:t>
            </w:r>
          </w:p>
        </w:tc>
        <w:tc>
          <w:tcPr>
            <w:tcW w:w="2849" w:type="dxa"/>
          </w:tcPr>
          <w:p w14:paraId="2957641D" w14:textId="74C477E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11773 (99.5)</w:t>
            </w:r>
          </w:p>
        </w:tc>
        <w:tc>
          <w:tcPr>
            <w:tcW w:w="2849" w:type="dxa"/>
          </w:tcPr>
          <w:p w14:paraId="18A87046" w14:textId="34BBCA4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11473 (99.5)</w:t>
            </w:r>
          </w:p>
        </w:tc>
        <w:tc>
          <w:tcPr>
            <w:tcW w:w="2849" w:type="dxa"/>
          </w:tcPr>
          <w:p w14:paraId="10E7E8B3" w14:textId="145B233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300 (97.7)</w:t>
            </w:r>
          </w:p>
        </w:tc>
        <w:tc>
          <w:tcPr>
            <w:tcW w:w="1068" w:type="dxa"/>
          </w:tcPr>
          <w:p w14:paraId="2BD6E881"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1C6D412A" w14:textId="77777777" w:rsidTr="00090500">
        <w:tc>
          <w:tcPr>
            <w:tcW w:w="3561" w:type="dxa"/>
          </w:tcPr>
          <w:p w14:paraId="3B77C27B" w14:textId="1CE758FC"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r w:rsidRPr="00FB28F4">
              <w:rPr>
                <w:rFonts w:ascii="Book Antiqua" w:hAnsi="Book Antiqua"/>
                <w:lang w:val="en-US"/>
              </w:rPr>
              <w:t>Encephalopathy appearing while on treatment</w:t>
            </w:r>
            <w:r w:rsidR="00C11768" w:rsidRPr="00CA456B">
              <w:rPr>
                <w:rFonts w:ascii="Book Antiqua" w:hAnsi="Book Antiqua"/>
                <w:color w:val="000000"/>
              </w:rPr>
              <w:t xml:space="preserve">, </w:t>
            </w:r>
            <w:r w:rsidR="00C11768" w:rsidRPr="00CA456B">
              <w:rPr>
                <w:rFonts w:ascii="Book Antiqua" w:hAnsi="Book Antiqua"/>
                <w:i/>
                <w:color w:val="000000"/>
              </w:rPr>
              <w:t>n</w:t>
            </w:r>
            <w:r w:rsidR="00C11768" w:rsidRPr="00CA456B">
              <w:rPr>
                <w:rFonts w:ascii="Book Antiqua" w:hAnsi="Book Antiqua"/>
                <w:color w:val="000000"/>
              </w:rPr>
              <w:t xml:space="preserve"> (%)</w:t>
            </w:r>
          </w:p>
        </w:tc>
        <w:tc>
          <w:tcPr>
            <w:tcW w:w="2849" w:type="dxa"/>
          </w:tcPr>
          <w:p w14:paraId="7C6CBA0D"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722A8EF6"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65BB7883"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1068" w:type="dxa"/>
          </w:tcPr>
          <w:p w14:paraId="640B3140"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01368ED4" w14:textId="77777777" w:rsidTr="00090500">
        <w:tc>
          <w:tcPr>
            <w:tcW w:w="3561" w:type="dxa"/>
          </w:tcPr>
          <w:p w14:paraId="2669A4BA"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Yes</w:t>
            </w:r>
          </w:p>
        </w:tc>
        <w:tc>
          <w:tcPr>
            <w:tcW w:w="2849" w:type="dxa"/>
          </w:tcPr>
          <w:p w14:paraId="3DE13D73" w14:textId="1631FE1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43 (0.4)</w:t>
            </w:r>
          </w:p>
        </w:tc>
        <w:tc>
          <w:tcPr>
            <w:tcW w:w="2849" w:type="dxa"/>
          </w:tcPr>
          <w:p w14:paraId="04FF425E" w14:textId="2DF8C73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35 (0.3)</w:t>
            </w:r>
          </w:p>
        </w:tc>
        <w:tc>
          <w:tcPr>
            <w:tcW w:w="2849" w:type="dxa"/>
          </w:tcPr>
          <w:p w14:paraId="4FA1BE9A" w14:textId="15514C73"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8 (2.6)</w:t>
            </w:r>
          </w:p>
        </w:tc>
        <w:tc>
          <w:tcPr>
            <w:tcW w:w="1068" w:type="dxa"/>
          </w:tcPr>
          <w:p w14:paraId="0B1A0B77" w14:textId="5FB3E801"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&lt;</w:t>
            </w:r>
            <w:r>
              <w:rPr>
                <w:rFonts w:ascii="Book Antiqua" w:hAnsi="Book Antiqua"/>
                <w:color w:val="000000"/>
              </w:rPr>
              <w:t xml:space="preserve"> </w:t>
            </w:r>
            <w:r w:rsidRPr="00FB28F4">
              <w:rPr>
                <w:rFonts w:ascii="Book Antiqua" w:hAnsi="Book Antiqua"/>
                <w:color w:val="000000"/>
              </w:rPr>
              <w:t>0.001</w:t>
            </w:r>
          </w:p>
        </w:tc>
      </w:tr>
      <w:tr w:rsidR="00FB28F4" w:rsidRPr="00FB28F4" w14:paraId="738AF3A9" w14:textId="77777777" w:rsidTr="00090500">
        <w:tc>
          <w:tcPr>
            <w:tcW w:w="3561" w:type="dxa"/>
          </w:tcPr>
          <w:p w14:paraId="25121024"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No</w:t>
            </w:r>
          </w:p>
        </w:tc>
        <w:tc>
          <w:tcPr>
            <w:tcW w:w="2849" w:type="dxa"/>
          </w:tcPr>
          <w:p w14:paraId="4102069A" w14:textId="2D659B05"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11773 (99.6)</w:t>
            </w:r>
          </w:p>
        </w:tc>
        <w:tc>
          <w:tcPr>
            <w:tcW w:w="2849" w:type="dxa"/>
          </w:tcPr>
          <w:p w14:paraId="05C418E7" w14:textId="70B2C58B"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11474 (99.7)</w:t>
            </w:r>
          </w:p>
        </w:tc>
        <w:tc>
          <w:tcPr>
            <w:tcW w:w="2849" w:type="dxa"/>
          </w:tcPr>
          <w:p w14:paraId="4EFC14B5" w14:textId="6AEEA16E"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299 (97.4)</w:t>
            </w:r>
          </w:p>
        </w:tc>
        <w:tc>
          <w:tcPr>
            <w:tcW w:w="1068" w:type="dxa"/>
          </w:tcPr>
          <w:p w14:paraId="37B345D6"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r w:rsidR="00FB28F4" w:rsidRPr="00FB28F4" w14:paraId="270347C9" w14:textId="77777777" w:rsidTr="00090500">
        <w:tc>
          <w:tcPr>
            <w:tcW w:w="3561" w:type="dxa"/>
          </w:tcPr>
          <w:p w14:paraId="34B2A131" w14:textId="20AE9F16" w:rsidR="00FB28F4" w:rsidRPr="00FB28F4" w:rsidRDefault="00FB28F4" w:rsidP="00FB28F4">
            <w:pPr>
              <w:autoSpaceDE w:val="0"/>
              <w:autoSpaceDN w:val="0"/>
              <w:adjustRightInd w:val="0"/>
              <w:spacing w:line="360" w:lineRule="auto"/>
              <w:contextualSpacing/>
              <w:jc w:val="both"/>
              <w:rPr>
                <w:rFonts w:ascii="Book Antiqua" w:hAnsi="Book Antiqua"/>
                <w:color w:val="000000"/>
                <w:lang w:val="en-US"/>
              </w:rPr>
            </w:pPr>
            <w:r w:rsidRPr="00FB28F4">
              <w:rPr>
                <w:rFonts w:ascii="Book Antiqua" w:hAnsi="Book Antiqua"/>
                <w:lang w:val="en-US"/>
              </w:rPr>
              <w:t>Gastrointestinal bleeding while on treatment</w:t>
            </w:r>
            <w:r w:rsidR="00C11768" w:rsidRPr="00CA456B">
              <w:rPr>
                <w:rFonts w:ascii="Book Antiqua" w:hAnsi="Book Antiqua"/>
                <w:color w:val="000000"/>
              </w:rPr>
              <w:t xml:space="preserve">, </w:t>
            </w:r>
            <w:r w:rsidR="00C11768" w:rsidRPr="00CA456B">
              <w:rPr>
                <w:rFonts w:ascii="Book Antiqua" w:hAnsi="Book Antiqua"/>
                <w:i/>
                <w:color w:val="000000"/>
              </w:rPr>
              <w:t>n</w:t>
            </w:r>
            <w:r w:rsidR="00C11768" w:rsidRPr="00CA456B">
              <w:rPr>
                <w:rFonts w:ascii="Book Antiqua" w:hAnsi="Book Antiqua"/>
                <w:color w:val="000000"/>
              </w:rPr>
              <w:t xml:space="preserve"> (%)</w:t>
            </w:r>
          </w:p>
        </w:tc>
        <w:tc>
          <w:tcPr>
            <w:tcW w:w="2849" w:type="dxa"/>
          </w:tcPr>
          <w:p w14:paraId="43DEA5F3"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4F912A40"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2849" w:type="dxa"/>
          </w:tcPr>
          <w:p w14:paraId="0F0EC453"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c>
          <w:tcPr>
            <w:tcW w:w="1068" w:type="dxa"/>
          </w:tcPr>
          <w:p w14:paraId="448E6D48" w14:textId="77777777" w:rsidR="00FB28F4" w:rsidRPr="00FB28F4" w:rsidRDefault="00FB28F4" w:rsidP="00FB28F4">
            <w:pPr>
              <w:autoSpaceDE w:val="0"/>
              <w:autoSpaceDN w:val="0"/>
              <w:adjustRightInd w:val="0"/>
              <w:spacing w:line="360" w:lineRule="auto"/>
              <w:contextualSpacing/>
              <w:jc w:val="both"/>
              <w:rPr>
                <w:rFonts w:ascii="Book Antiqua" w:hAnsi="Book Antiqua"/>
                <w:lang w:val="en-US"/>
              </w:rPr>
            </w:pPr>
          </w:p>
        </w:tc>
      </w:tr>
      <w:tr w:rsidR="00FB28F4" w:rsidRPr="00FB28F4" w14:paraId="3CDA4364" w14:textId="77777777" w:rsidTr="00090500">
        <w:tc>
          <w:tcPr>
            <w:tcW w:w="3561" w:type="dxa"/>
          </w:tcPr>
          <w:p w14:paraId="43E5C1B0"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Yes</w:t>
            </w:r>
          </w:p>
        </w:tc>
        <w:tc>
          <w:tcPr>
            <w:tcW w:w="2849" w:type="dxa"/>
          </w:tcPr>
          <w:p w14:paraId="60444458" w14:textId="3B8EA1E2"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16 (0.1)</w:t>
            </w:r>
          </w:p>
        </w:tc>
        <w:tc>
          <w:tcPr>
            <w:tcW w:w="2849" w:type="dxa"/>
          </w:tcPr>
          <w:p w14:paraId="35FEC1C8" w14:textId="4030DC89"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14 (0.1)</w:t>
            </w:r>
          </w:p>
        </w:tc>
        <w:tc>
          <w:tcPr>
            <w:tcW w:w="2849" w:type="dxa"/>
          </w:tcPr>
          <w:p w14:paraId="095CD905" w14:textId="5E34A281"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2 (0.7)</w:t>
            </w:r>
          </w:p>
        </w:tc>
        <w:tc>
          <w:tcPr>
            <w:tcW w:w="1068" w:type="dxa"/>
          </w:tcPr>
          <w:p w14:paraId="49FE539B" w14:textId="777777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color w:val="000000"/>
              </w:rPr>
              <w:t>0.044</w:t>
            </w:r>
          </w:p>
        </w:tc>
      </w:tr>
      <w:tr w:rsidR="00FB28F4" w:rsidRPr="00FB28F4" w14:paraId="2F69F3AD" w14:textId="77777777" w:rsidTr="00090500">
        <w:tc>
          <w:tcPr>
            <w:tcW w:w="3561" w:type="dxa"/>
            <w:tcBorders>
              <w:bottom w:val="single" w:sz="4" w:space="0" w:color="auto"/>
            </w:tcBorders>
          </w:tcPr>
          <w:p w14:paraId="1C582441" w14:textId="77777777" w:rsidR="00FB28F4" w:rsidRPr="00FB28F4" w:rsidRDefault="00FB28F4" w:rsidP="00FB28F4">
            <w:pPr>
              <w:autoSpaceDE w:val="0"/>
              <w:autoSpaceDN w:val="0"/>
              <w:adjustRightInd w:val="0"/>
              <w:spacing w:line="360" w:lineRule="auto"/>
              <w:ind w:firstLineChars="100" w:firstLine="240"/>
              <w:contextualSpacing/>
              <w:jc w:val="both"/>
              <w:rPr>
                <w:rFonts w:ascii="Book Antiqua" w:hAnsi="Book Antiqua"/>
                <w:color w:val="000000"/>
              </w:rPr>
            </w:pPr>
            <w:r w:rsidRPr="00FB28F4">
              <w:rPr>
                <w:rFonts w:ascii="Book Antiqua" w:hAnsi="Book Antiqua"/>
              </w:rPr>
              <w:t>No</w:t>
            </w:r>
          </w:p>
        </w:tc>
        <w:tc>
          <w:tcPr>
            <w:tcW w:w="2849" w:type="dxa"/>
            <w:tcBorders>
              <w:bottom w:val="single" w:sz="4" w:space="0" w:color="auto"/>
            </w:tcBorders>
          </w:tcPr>
          <w:p w14:paraId="7C738BAE" w14:textId="19D94B77"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11798 (99.9)</w:t>
            </w:r>
          </w:p>
        </w:tc>
        <w:tc>
          <w:tcPr>
            <w:tcW w:w="2849" w:type="dxa"/>
            <w:tcBorders>
              <w:bottom w:val="single" w:sz="4" w:space="0" w:color="auto"/>
            </w:tcBorders>
          </w:tcPr>
          <w:p w14:paraId="77C289A5" w14:textId="0913F898"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11494 (99.9)</w:t>
            </w:r>
          </w:p>
        </w:tc>
        <w:tc>
          <w:tcPr>
            <w:tcW w:w="2849" w:type="dxa"/>
            <w:tcBorders>
              <w:bottom w:val="single" w:sz="4" w:space="0" w:color="auto"/>
            </w:tcBorders>
          </w:tcPr>
          <w:p w14:paraId="7D276D75" w14:textId="244B0D0D" w:rsidR="00FB28F4" w:rsidRPr="00FB28F4" w:rsidRDefault="00FB28F4" w:rsidP="00FB28F4">
            <w:pPr>
              <w:autoSpaceDE w:val="0"/>
              <w:autoSpaceDN w:val="0"/>
              <w:adjustRightInd w:val="0"/>
              <w:spacing w:line="360" w:lineRule="auto"/>
              <w:contextualSpacing/>
              <w:jc w:val="both"/>
              <w:rPr>
                <w:rFonts w:ascii="Book Antiqua" w:hAnsi="Book Antiqua"/>
              </w:rPr>
            </w:pPr>
            <w:r w:rsidRPr="00FB28F4">
              <w:rPr>
                <w:rFonts w:ascii="Book Antiqua" w:hAnsi="Book Antiqua"/>
              </w:rPr>
              <w:t>304 (99.3)</w:t>
            </w:r>
          </w:p>
        </w:tc>
        <w:tc>
          <w:tcPr>
            <w:tcW w:w="1068" w:type="dxa"/>
            <w:tcBorders>
              <w:bottom w:val="single" w:sz="4" w:space="0" w:color="auto"/>
            </w:tcBorders>
          </w:tcPr>
          <w:p w14:paraId="6C9F1EB5" w14:textId="77777777" w:rsidR="00FB28F4" w:rsidRPr="00FB28F4" w:rsidRDefault="00FB28F4" w:rsidP="00FB28F4">
            <w:pPr>
              <w:autoSpaceDE w:val="0"/>
              <w:autoSpaceDN w:val="0"/>
              <w:adjustRightInd w:val="0"/>
              <w:spacing w:line="360" w:lineRule="auto"/>
              <w:contextualSpacing/>
              <w:jc w:val="both"/>
              <w:rPr>
                <w:rFonts w:ascii="Book Antiqua" w:hAnsi="Book Antiqua"/>
              </w:rPr>
            </w:pPr>
          </w:p>
        </w:tc>
      </w:tr>
    </w:tbl>
    <w:p w14:paraId="20DC71F2" w14:textId="17941FEF" w:rsidR="00090500" w:rsidRDefault="00090500">
      <w:pPr>
        <w:spacing w:line="360" w:lineRule="auto"/>
        <w:jc w:val="both"/>
        <w:rPr>
          <w:rFonts w:ascii="Book Antiqua" w:hAnsi="Book Antiqua"/>
        </w:rPr>
      </w:pPr>
      <w:r w:rsidRPr="00090500">
        <w:rPr>
          <w:rFonts w:ascii="Book Antiqua" w:hAnsi="Book Antiqua"/>
        </w:rPr>
        <w:t xml:space="preserve">SVR: </w:t>
      </w:r>
      <w:r>
        <w:rPr>
          <w:rFonts w:ascii="Book Antiqua" w:hAnsi="Book Antiqua"/>
        </w:rPr>
        <w:t>S</w:t>
      </w:r>
      <w:r w:rsidRPr="00090500">
        <w:rPr>
          <w:rFonts w:ascii="Book Antiqua" w:hAnsi="Book Antiqua"/>
        </w:rPr>
        <w:t xml:space="preserve">ustained virologic response; BMI: </w:t>
      </w:r>
      <w:r>
        <w:rPr>
          <w:rFonts w:ascii="Book Antiqua" w:hAnsi="Book Antiqua"/>
        </w:rPr>
        <w:t>B</w:t>
      </w:r>
      <w:r w:rsidRPr="00090500">
        <w:rPr>
          <w:rFonts w:ascii="Book Antiqua" w:hAnsi="Book Antiqua"/>
        </w:rPr>
        <w:t xml:space="preserve">ody mass index; MELD: Model for End-stage Liver Disease; HBV: </w:t>
      </w:r>
      <w:r>
        <w:rPr>
          <w:rFonts w:ascii="Book Antiqua" w:hAnsi="Book Antiqua"/>
        </w:rPr>
        <w:t>H</w:t>
      </w:r>
      <w:r w:rsidRPr="00090500">
        <w:rPr>
          <w:rFonts w:ascii="Book Antiqua" w:hAnsi="Book Antiqua"/>
        </w:rPr>
        <w:t xml:space="preserve">epatitis B virus; INR: </w:t>
      </w:r>
      <w:r>
        <w:rPr>
          <w:rFonts w:ascii="Book Antiqua" w:hAnsi="Book Antiqua"/>
        </w:rPr>
        <w:t>I</w:t>
      </w:r>
      <w:r w:rsidRPr="00090500">
        <w:rPr>
          <w:rFonts w:ascii="Book Antiqua" w:hAnsi="Book Antiqua"/>
        </w:rPr>
        <w:t xml:space="preserve">nternational normalized ratio; PLT: </w:t>
      </w:r>
      <w:r>
        <w:rPr>
          <w:rFonts w:ascii="Book Antiqua" w:hAnsi="Book Antiqua"/>
        </w:rPr>
        <w:t>P</w:t>
      </w:r>
      <w:r w:rsidRPr="00090500">
        <w:rPr>
          <w:rFonts w:ascii="Book Antiqua" w:hAnsi="Book Antiqua"/>
        </w:rPr>
        <w:t xml:space="preserve">latelets; ALT: </w:t>
      </w:r>
      <w:r>
        <w:rPr>
          <w:rFonts w:ascii="Book Antiqua" w:hAnsi="Book Antiqua"/>
        </w:rPr>
        <w:t>A</w:t>
      </w:r>
      <w:r w:rsidRPr="00090500">
        <w:rPr>
          <w:rFonts w:ascii="Book Antiqua" w:hAnsi="Book Antiqua"/>
        </w:rPr>
        <w:t xml:space="preserve">lanine aminotransferase; eGFR: </w:t>
      </w:r>
      <w:r>
        <w:rPr>
          <w:rFonts w:ascii="Book Antiqua" w:hAnsi="Book Antiqua"/>
        </w:rPr>
        <w:t>E</w:t>
      </w:r>
      <w:r w:rsidRPr="00090500">
        <w:rPr>
          <w:rFonts w:ascii="Book Antiqua" w:hAnsi="Book Antiqua"/>
        </w:rPr>
        <w:t xml:space="preserve">stimated glomerular filtration rate; HCV: </w:t>
      </w:r>
      <w:r>
        <w:rPr>
          <w:rFonts w:ascii="Book Antiqua" w:hAnsi="Book Antiqua"/>
        </w:rPr>
        <w:t>H</w:t>
      </w:r>
      <w:r w:rsidRPr="00090500">
        <w:rPr>
          <w:rFonts w:ascii="Book Antiqua" w:hAnsi="Book Antiqua"/>
        </w:rPr>
        <w:t>epatitis C virus.</w:t>
      </w:r>
    </w:p>
    <w:p w14:paraId="0BE97E04" w14:textId="6B4B8A95" w:rsidR="00090500" w:rsidRDefault="00090500">
      <w:pPr>
        <w:spacing w:line="360" w:lineRule="auto"/>
        <w:jc w:val="both"/>
        <w:rPr>
          <w:rFonts w:ascii="Book Antiqua" w:hAnsi="Book Antiqua"/>
          <w:b/>
          <w:bCs/>
        </w:rPr>
      </w:pPr>
      <w:r>
        <w:rPr>
          <w:rFonts w:ascii="Book Antiqua" w:hAnsi="Book Antiqua"/>
        </w:rPr>
        <w:br w:type="page"/>
      </w:r>
      <w:r w:rsidRPr="00090500">
        <w:rPr>
          <w:rFonts w:ascii="Book Antiqua" w:hAnsi="Book Antiqua"/>
          <w:b/>
          <w:bCs/>
        </w:rPr>
        <w:t>Table 2 Baseline characteristics of patients with and without sustained virologic response and their relationship to treatment efficacy-laboratory parameters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1"/>
        <w:gridCol w:w="2849"/>
        <w:gridCol w:w="2849"/>
        <w:gridCol w:w="2849"/>
        <w:gridCol w:w="1068"/>
      </w:tblGrid>
      <w:tr w:rsidR="00090500" w:rsidRPr="00090500" w14:paraId="01983B10" w14:textId="77777777" w:rsidTr="00090500">
        <w:tc>
          <w:tcPr>
            <w:tcW w:w="3561" w:type="dxa"/>
            <w:tcBorders>
              <w:top w:val="single" w:sz="4" w:space="0" w:color="auto"/>
              <w:bottom w:val="single" w:sz="4" w:space="0" w:color="auto"/>
            </w:tcBorders>
          </w:tcPr>
          <w:p w14:paraId="342CFD4B" w14:textId="7777777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b/>
                <w:bCs/>
                <w:color w:val="000000"/>
              </w:rPr>
              <w:t>Variable</w:t>
            </w:r>
          </w:p>
        </w:tc>
        <w:tc>
          <w:tcPr>
            <w:tcW w:w="2849" w:type="dxa"/>
            <w:tcBorders>
              <w:top w:val="single" w:sz="4" w:space="0" w:color="auto"/>
              <w:bottom w:val="single" w:sz="4" w:space="0" w:color="auto"/>
            </w:tcBorders>
          </w:tcPr>
          <w:p w14:paraId="7716F782" w14:textId="72943D39" w:rsidR="00090500" w:rsidRPr="00090500" w:rsidRDefault="00090500" w:rsidP="00090500">
            <w:pPr>
              <w:spacing w:line="360" w:lineRule="auto"/>
              <w:contextualSpacing/>
              <w:jc w:val="both"/>
              <w:rPr>
                <w:rFonts w:ascii="Book Antiqua" w:hAnsi="Book Antiqua"/>
              </w:rPr>
            </w:pPr>
            <w:r w:rsidRPr="00090500">
              <w:rPr>
                <w:rFonts w:ascii="Book Antiqua" w:hAnsi="Book Antiqua"/>
                <w:b/>
                <w:bCs/>
                <w:color w:val="000000"/>
              </w:rPr>
              <w:t>Total</w:t>
            </w:r>
            <w:r w:rsidR="00B45BE7">
              <w:rPr>
                <w:rFonts w:ascii="Book Antiqua" w:hAnsi="Book Antiqua" w:hint="eastAsia"/>
                <w:b/>
                <w:bCs/>
                <w:color w:val="000000"/>
                <w:lang w:eastAsia="zh-CN"/>
              </w:rPr>
              <w:t>,</w:t>
            </w:r>
            <w:r>
              <w:rPr>
                <w:rFonts w:ascii="Book Antiqua" w:hAnsi="Book Antiqua"/>
                <w:b/>
                <w:bCs/>
                <w:color w:val="000000"/>
              </w:rPr>
              <w:t xml:space="preserve"> </w:t>
            </w:r>
            <w:r w:rsidRPr="00090500">
              <w:rPr>
                <w:rFonts w:ascii="Book Antiqua" w:hAnsi="Book Antiqua"/>
                <w:b/>
                <w:bCs/>
                <w:i/>
                <w:iCs/>
                <w:color w:val="000000"/>
              </w:rPr>
              <w:t>n</w:t>
            </w:r>
            <w:r>
              <w:rPr>
                <w:rFonts w:ascii="Book Antiqua" w:hAnsi="Book Antiqua"/>
                <w:b/>
                <w:bCs/>
                <w:color w:val="000000"/>
              </w:rPr>
              <w:t xml:space="preserve"> </w:t>
            </w:r>
            <w:r w:rsidRPr="00090500">
              <w:rPr>
                <w:rFonts w:ascii="Book Antiqua" w:hAnsi="Book Antiqua"/>
                <w:b/>
                <w:bCs/>
                <w:color w:val="000000"/>
              </w:rPr>
              <w:t>=</w:t>
            </w:r>
            <w:r>
              <w:rPr>
                <w:rFonts w:ascii="Book Antiqua" w:hAnsi="Book Antiqua"/>
                <w:b/>
                <w:bCs/>
                <w:color w:val="000000"/>
              </w:rPr>
              <w:t xml:space="preserve"> </w:t>
            </w:r>
            <w:r w:rsidRPr="00090500">
              <w:rPr>
                <w:rFonts w:ascii="Book Antiqua" w:hAnsi="Book Antiqua"/>
                <w:b/>
                <w:bCs/>
                <w:color w:val="000000"/>
              </w:rPr>
              <w:t>11938</w:t>
            </w:r>
          </w:p>
        </w:tc>
        <w:tc>
          <w:tcPr>
            <w:tcW w:w="2849" w:type="dxa"/>
            <w:tcBorders>
              <w:top w:val="single" w:sz="4" w:space="0" w:color="auto"/>
              <w:bottom w:val="single" w:sz="4" w:space="0" w:color="auto"/>
            </w:tcBorders>
          </w:tcPr>
          <w:p w14:paraId="07388428" w14:textId="3BFDAB12" w:rsidR="00090500" w:rsidRPr="00090500" w:rsidRDefault="00090500" w:rsidP="00090500">
            <w:pPr>
              <w:spacing w:line="360" w:lineRule="auto"/>
              <w:contextualSpacing/>
              <w:jc w:val="both"/>
              <w:rPr>
                <w:rFonts w:ascii="Book Antiqua" w:hAnsi="Book Antiqua"/>
              </w:rPr>
            </w:pPr>
            <w:r w:rsidRPr="00090500">
              <w:rPr>
                <w:rFonts w:ascii="Book Antiqua" w:hAnsi="Book Antiqua"/>
                <w:b/>
                <w:bCs/>
                <w:color w:val="000000" w:themeColor="text1"/>
              </w:rPr>
              <w:t>SVR</w:t>
            </w:r>
            <w:r w:rsidR="00B45BE7">
              <w:rPr>
                <w:rFonts w:ascii="Book Antiqua" w:hAnsi="Book Antiqua" w:hint="eastAsia"/>
                <w:b/>
                <w:bCs/>
                <w:color w:val="000000" w:themeColor="text1"/>
                <w:lang w:eastAsia="zh-CN"/>
              </w:rPr>
              <w:t>,</w:t>
            </w:r>
            <w:r>
              <w:rPr>
                <w:rFonts w:ascii="Book Antiqua" w:hAnsi="Book Antiqua"/>
                <w:b/>
                <w:bCs/>
                <w:color w:val="000000" w:themeColor="text1"/>
              </w:rPr>
              <w:t xml:space="preserve"> </w:t>
            </w:r>
            <w:r w:rsidRPr="00090500">
              <w:rPr>
                <w:rFonts w:ascii="Book Antiqua" w:hAnsi="Book Antiqua"/>
                <w:b/>
                <w:bCs/>
                <w:i/>
                <w:iCs/>
                <w:color w:val="000000" w:themeColor="text1"/>
              </w:rPr>
              <w:t>n</w:t>
            </w:r>
            <w:r>
              <w:rPr>
                <w:rFonts w:ascii="Book Antiqua" w:hAnsi="Book Antiqua"/>
                <w:b/>
                <w:bCs/>
                <w:i/>
                <w:iCs/>
                <w:color w:val="000000" w:themeColor="text1"/>
              </w:rPr>
              <w:t xml:space="preserve"> </w:t>
            </w:r>
            <w:r w:rsidRPr="00090500">
              <w:rPr>
                <w:rFonts w:ascii="Book Antiqua" w:hAnsi="Book Antiqua"/>
                <w:b/>
                <w:bCs/>
                <w:color w:val="000000" w:themeColor="text1"/>
              </w:rPr>
              <w:t>=</w:t>
            </w:r>
            <w:r>
              <w:rPr>
                <w:rFonts w:ascii="Book Antiqua" w:hAnsi="Book Antiqua"/>
                <w:b/>
                <w:bCs/>
                <w:color w:val="000000" w:themeColor="text1"/>
              </w:rPr>
              <w:t xml:space="preserve"> </w:t>
            </w:r>
            <w:r w:rsidRPr="00090500">
              <w:rPr>
                <w:rFonts w:ascii="Book Antiqua" w:hAnsi="Book Antiqua"/>
                <w:b/>
                <w:bCs/>
                <w:color w:val="000000" w:themeColor="text1"/>
              </w:rPr>
              <w:t>11629</w:t>
            </w:r>
          </w:p>
        </w:tc>
        <w:tc>
          <w:tcPr>
            <w:tcW w:w="2849" w:type="dxa"/>
            <w:tcBorders>
              <w:top w:val="single" w:sz="4" w:space="0" w:color="auto"/>
              <w:bottom w:val="single" w:sz="4" w:space="0" w:color="auto"/>
            </w:tcBorders>
          </w:tcPr>
          <w:p w14:paraId="182B8B7F" w14:textId="0D9892A8" w:rsidR="00090500" w:rsidRPr="00090500" w:rsidRDefault="00090500" w:rsidP="00090500">
            <w:pPr>
              <w:spacing w:line="360" w:lineRule="auto"/>
              <w:contextualSpacing/>
              <w:jc w:val="both"/>
              <w:rPr>
                <w:rFonts w:ascii="Book Antiqua" w:hAnsi="Book Antiqua"/>
              </w:rPr>
            </w:pPr>
            <w:r>
              <w:rPr>
                <w:rFonts w:ascii="Book Antiqua" w:hAnsi="Book Antiqua"/>
                <w:b/>
                <w:bCs/>
                <w:color w:val="000000" w:themeColor="text1"/>
              </w:rPr>
              <w:t>N</w:t>
            </w:r>
            <w:r w:rsidRPr="00090500">
              <w:rPr>
                <w:rFonts w:ascii="Book Antiqua" w:hAnsi="Book Antiqua"/>
                <w:b/>
                <w:bCs/>
                <w:color w:val="000000" w:themeColor="text1"/>
              </w:rPr>
              <w:t>on-SVR</w:t>
            </w:r>
            <w:r w:rsidR="00B45BE7">
              <w:rPr>
                <w:rFonts w:ascii="Book Antiqua" w:hAnsi="Book Antiqua" w:hint="eastAsia"/>
                <w:b/>
                <w:bCs/>
                <w:color w:val="000000" w:themeColor="text1"/>
                <w:lang w:eastAsia="zh-CN"/>
              </w:rPr>
              <w:t>,</w:t>
            </w:r>
            <w:r>
              <w:rPr>
                <w:rFonts w:ascii="Book Antiqua" w:hAnsi="Book Antiqua"/>
                <w:b/>
                <w:bCs/>
                <w:color w:val="000000" w:themeColor="text1"/>
              </w:rPr>
              <w:t xml:space="preserve"> </w:t>
            </w:r>
            <w:r w:rsidRPr="00090500">
              <w:rPr>
                <w:rFonts w:ascii="Book Antiqua" w:hAnsi="Book Antiqua"/>
                <w:b/>
                <w:bCs/>
                <w:i/>
                <w:iCs/>
                <w:color w:val="000000" w:themeColor="text1"/>
              </w:rPr>
              <w:t>n</w:t>
            </w:r>
            <w:r>
              <w:rPr>
                <w:rFonts w:ascii="Book Antiqua" w:hAnsi="Book Antiqua"/>
                <w:b/>
                <w:bCs/>
                <w:i/>
                <w:iCs/>
                <w:color w:val="000000" w:themeColor="text1"/>
              </w:rPr>
              <w:t xml:space="preserve"> </w:t>
            </w:r>
            <w:r w:rsidRPr="00090500">
              <w:rPr>
                <w:rFonts w:ascii="Book Antiqua" w:hAnsi="Book Antiqua"/>
                <w:b/>
                <w:bCs/>
                <w:color w:val="000000" w:themeColor="text1"/>
              </w:rPr>
              <w:t>=</w:t>
            </w:r>
            <w:r>
              <w:rPr>
                <w:rFonts w:ascii="Book Antiqua" w:hAnsi="Book Antiqua"/>
                <w:b/>
                <w:bCs/>
                <w:color w:val="000000" w:themeColor="text1"/>
              </w:rPr>
              <w:t xml:space="preserve"> </w:t>
            </w:r>
            <w:r w:rsidRPr="00090500">
              <w:rPr>
                <w:rFonts w:ascii="Book Antiqua" w:hAnsi="Book Antiqua"/>
                <w:b/>
                <w:bCs/>
                <w:color w:val="000000" w:themeColor="text1"/>
              </w:rPr>
              <w:t>309</w:t>
            </w:r>
          </w:p>
        </w:tc>
        <w:tc>
          <w:tcPr>
            <w:tcW w:w="1068" w:type="dxa"/>
            <w:tcBorders>
              <w:top w:val="single" w:sz="4" w:space="0" w:color="auto"/>
              <w:bottom w:val="single" w:sz="4" w:space="0" w:color="auto"/>
            </w:tcBorders>
          </w:tcPr>
          <w:p w14:paraId="599343AD" w14:textId="473D3795" w:rsidR="00090500" w:rsidRPr="00090500" w:rsidRDefault="00090500" w:rsidP="00090500">
            <w:pPr>
              <w:autoSpaceDE w:val="0"/>
              <w:autoSpaceDN w:val="0"/>
              <w:adjustRightInd w:val="0"/>
              <w:spacing w:line="360" w:lineRule="auto"/>
              <w:contextualSpacing/>
              <w:jc w:val="both"/>
              <w:rPr>
                <w:rFonts w:ascii="Book Antiqua" w:hAnsi="Book Antiqua"/>
              </w:rPr>
            </w:pPr>
            <w:r>
              <w:rPr>
                <w:rFonts w:ascii="Book Antiqua" w:hAnsi="Book Antiqua"/>
                <w:b/>
                <w:bCs/>
                <w:i/>
                <w:iCs/>
                <w:color w:val="000000"/>
              </w:rPr>
              <w:t xml:space="preserve">P </w:t>
            </w:r>
            <w:r w:rsidRPr="00090500">
              <w:rPr>
                <w:rFonts w:ascii="Book Antiqua" w:hAnsi="Book Antiqua"/>
                <w:b/>
                <w:bCs/>
                <w:color w:val="000000"/>
              </w:rPr>
              <w:t>value</w:t>
            </w:r>
          </w:p>
        </w:tc>
      </w:tr>
      <w:tr w:rsidR="00090500" w:rsidRPr="00090500" w14:paraId="13440BF6" w14:textId="77777777" w:rsidTr="00090500">
        <w:tc>
          <w:tcPr>
            <w:tcW w:w="3561" w:type="dxa"/>
            <w:tcBorders>
              <w:top w:val="single" w:sz="4" w:space="0" w:color="auto"/>
            </w:tcBorders>
          </w:tcPr>
          <w:p w14:paraId="5AB56E28" w14:textId="7127F038"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Albumin (g/dL)</w:t>
            </w:r>
          </w:p>
        </w:tc>
        <w:tc>
          <w:tcPr>
            <w:tcW w:w="2849" w:type="dxa"/>
            <w:tcBorders>
              <w:top w:val="single" w:sz="4" w:space="0" w:color="auto"/>
            </w:tcBorders>
          </w:tcPr>
          <w:p w14:paraId="7D4FCD8B" w14:textId="02EBB4F4"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4.37 (4.2</w:t>
            </w:r>
            <w:r>
              <w:rPr>
                <w:rFonts w:ascii="Book Antiqua" w:hAnsi="Book Antiqua"/>
                <w:color w:val="000000"/>
              </w:rPr>
              <w:t>-</w:t>
            </w:r>
            <w:r w:rsidRPr="00090500">
              <w:rPr>
                <w:rFonts w:ascii="Book Antiqua" w:hAnsi="Book Antiqua"/>
                <w:color w:val="000000"/>
              </w:rPr>
              <w:t>4.45)</w:t>
            </w:r>
          </w:p>
        </w:tc>
        <w:tc>
          <w:tcPr>
            <w:tcW w:w="2849" w:type="dxa"/>
            <w:tcBorders>
              <w:top w:val="single" w:sz="4" w:space="0" w:color="auto"/>
            </w:tcBorders>
          </w:tcPr>
          <w:p w14:paraId="798D459A" w14:textId="666AFF6D"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4.38 (4.29</w:t>
            </w:r>
            <w:r>
              <w:rPr>
                <w:rFonts w:ascii="Book Antiqua" w:hAnsi="Book Antiqua"/>
                <w:color w:val="000000"/>
              </w:rPr>
              <w:t>-</w:t>
            </w:r>
            <w:r w:rsidRPr="00090500">
              <w:rPr>
                <w:rFonts w:ascii="Book Antiqua" w:hAnsi="Book Antiqua"/>
                <w:color w:val="000000"/>
              </w:rPr>
              <w:t>4.46)</w:t>
            </w:r>
          </w:p>
        </w:tc>
        <w:tc>
          <w:tcPr>
            <w:tcW w:w="2849" w:type="dxa"/>
            <w:tcBorders>
              <w:top w:val="single" w:sz="4" w:space="0" w:color="auto"/>
            </w:tcBorders>
          </w:tcPr>
          <w:p w14:paraId="3BB42BBE" w14:textId="7494D1BC"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4.02 (3.76</w:t>
            </w:r>
            <w:r>
              <w:rPr>
                <w:rFonts w:ascii="Book Antiqua" w:hAnsi="Book Antiqua"/>
                <w:color w:val="000000"/>
              </w:rPr>
              <w:t>-</w:t>
            </w:r>
            <w:r w:rsidRPr="00090500">
              <w:rPr>
                <w:rFonts w:ascii="Book Antiqua" w:hAnsi="Book Antiqua"/>
                <w:color w:val="000000"/>
              </w:rPr>
              <w:t>4.28)</w:t>
            </w:r>
          </w:p>
        </w:tc>
        <w:tc>
          <w:tcPr>
            <w:tcW w:w="1068" w:type="dxa"/>
            <w:tcBorders>
              <w:top w:val="single" w:sz="4" w:space="0" w:color="auto"/>
            </w:tcBorders>
          </w:tcPr>
          <w:p w14:paraId="09FEE92D" w14:textId="0C3F0712"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55F39A57" w14:textId="77777777" w:rsidTr="00090500">
        <w:tc>
          <w:tcPr>
            <w:tcW w:w="3561" w:type="dxa"/>
          </w:tcPr>
          <w:p w14:paraId="257C8812" w14:textId="26C6131D"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Bilirubin (mg/dL)</w:t>
            </w:r>
          </w:p>
        </w:tc>
        <w:tc>
          <w:tcPr>
            <w:tcW w:w="2849" w:type="dxa"/>
          </w:tcPr>
          <w:p w14:paraId="357CD5CF" w14:textId="53DD1CE3"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0.80 (0.79</w:t>
            </w:r>
            <w:r>
              <w:rPr>
                <w:rFonts w:ascii="Book Antiqua" w:hAnsi="Book Antiqua"/>
                <w:color w:val="000000"/>
              </w:rPr>
              <w:t>-</w:t>
            </w:r>
            <w:r w:rsidRPr="00090500">
              <w:rPr>
                <w:rFonts w:ascii="Book Antiqua" w:hAnsi="Book Antiqua"/>
                <w:color w:val="000000"/>
              </w:rPr>
              <w:t>0.81)</w:t>
            </w:r>
          </w:p>
        </w:tc>
        <w:tc>
          <w:tcPr>
            <w:tcW w:w="2849" w:type="dxa"/>
          </w:tcPr>
          <w:p w14:paraId="112333AE" w14:textId="6E0059F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0.79 (0.78</w:t>
            </w:r>
            <w:r>
              <w:rPr>
                <w:rFonts w:ascii="Book Antiqua" w:hAnsi="Book Antiqua"/>
                <w:color w:val="000000"/>
              </w:rPr>
              <w:t>-</w:t>
            </w:r>
            <w:r w:rsidRPr="00090500">
              <w:rPr>
                <w:rFonts w:ascii="Book Antiqua" w:hAnsi="Book Antiqua"/>
                <w:color w:val="000000"/>
              </w:rPr>
              <w:t>0.80)</w:t>
            </w:r>
          </w:p>
        </w:tc>
        <w:tc>
          <w:tcPr>
            <w:tcW w:w="2849" w:type="dxa"/>
          </w:tcPr>
          <w:p w14:paraId="0E8246A6" w14:textId="7BB8312B"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1.06 (0.98</w:t>
            </w:r>
            <w:r>
              <w:rPr>
                <w:rFonts w:ascii="Book Antiqua" w:hAnsi="Book Antiqua"/>
                <w:color w:val="000000"/>
              </w:rPr>
              <w:t>-</w:t>
            </w:r>
            <w:r w:rsidRPr="00090500">
              <w:rPr>
                <w:rFonts w:ascii="Book Antiqua" w:hAnsi="Book Antiqua"/>
                <w:color w:val="000000"/>
              </w:rPr>
              <w:t>1.15)</w:t>
            </w:r>
          </w:p>
        </w:tc>
        <w:tc>
          <w:tcPr>
            <w:tcW w:w="1068" w:type="dxa"/>
          </w:tcPr>
          <w:p w14:paraId="36DCF6C4" w14:textId="6443450A"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7B30AA73" w14:textId="77777777" w:rsidTr="00090500">
        <w:tc>
          <w:tcPr>
            <w:tcW w:w="3561" w:type="dxa"/>
          </w:tcPr>
          <w:p w14:paraId="485A864B" w14:textId="421FF211"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INR</w:t>
            </w:r>
          </w:p>
        </w:tc>
        <w:tc>
          <w:tcPr>
            <w:tcW w:w="2849" w:type="dxa"/>
          </w:tcPr>
          <w:p w14:paraId="53DECC5A" w14:textId="47DEB73F"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1.10 (1.07</w:t>
            </w:r>
            <w:r>
              <w:rPr>
                <w:rFonts w:ascii="Book Antiqua" w:hAnsi="Book Antiqua"/>
                <w:color w:val="000000"/>
              </w:rPr>
              <w:t>-</w:t>
            </w:r>
            <w:r w:rsidRPr="00090500">
              <w:rPr>
                <w:rFonts w:ascii="Book Antiqua" w:hAnsi="Book Antiqua"/>
                <w:color w:val="000000"/>
              </w:rPr>
              <w:t>1.12)</w:t>
            </w:r>
          </w:p>
        </w:tc>
        <w:tc>
          <w:tcPr>
            <w:tcW w:w="2849" w:type="dxa"/>
          </w:tcPr>
          <w:p w14:paraId="2552821F" w14:textId="23DD51C3"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1.10 (1.07</w:t>
            </w:r>
            <w:r>
              <w:rPr>
                <w:rFonts w:ascii="Book Antiqua" w:hAnsi="Book Antiqua"/>
                <w:color w:val="000000"/>
              </w:rPr>
              <w:t>-</w:t>
            </w:r>
            <w:r w:rsidRPr="00090500">
              <w:rPr>
                <w:rFonts w:ascii="Book Antiqua" w:hAnsi="Book Antiqua"/>
                <w:color w:val="000000"/>
              </w:rPr>
              <w:t>1.12)</w:t>
            </w:r>
          </w:p>
        </w:tc>
        <w:tc>
          <w:tcPr>
            <w:tcW w:w="2849" w:type="dxa"/>
          </w:tcPr>
          <w:p w14:paraId="6956A88A" w14:textId="33FACFE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1.11 (1.08</w:t>
            </w:r>
            <w:r>
              <w:rPr>
                <w:rFonts w:ascii="Book Antiqua" w:hAnsi="Book Antiqua"/>
                <w:color w:val="000000"/>
              </w:rPr>
              <w:t>-</w:t>
            </w:r>
            <w:r w:rsidRPr="00090500">
              <w:rPr>
                <w:rFonts w:ascii="Book Antiqua" w:hAnsi="Book Antiqua"/>
                <w:color w:val="000000"/>
              </w:rPr>
              <w:t>1.13)</w:t>
            </w:r>
          </w:p>
        </w:tc>
        <w:tc>
          <w:tcPr>
            <w:tcW w:w="1068" w:type="dxa"/>
          </w:tcPr>
          <w:p w14:paraId="3C8CA8B3" w14:textId="38069D4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44B080EB" w14:textId="77777777" w:rsidTr="00090500">
        <w:tc>
          <w:tcPr>
            <w:tcW w:w="3561" w:type="dxa"/>
          </w:tcPr>
          <w:p w14:paraId="7584CE60" w14:textId="7E3332A0"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PLT (K/</w:t>
            </w:r>
            <w:bookmarkStart w:id="6" w:name="_Hlk65087422"/>
            <w:r w:rsidRPr="00792049">
              <w:rPr>
                <w:rFonts w:ascii="Book Antiqua" w:hAnsi="Book Antiqua" w:cs="Arial"/>
              </w:rPr>
              <w:t>μ</w:t>
            </w:r>
            <w:bookmarkEnd w:id="6"/>
            <w:r>
              <w:rPr>
                <w:rFonts w:ascii="Book Antiqua" w:hAnsi="Book Antiqua"/>
                <w:color w:val="000000"/>
              </w:rPr>
              <w:t>L</w:t>
            </w:r>
            <w:r w:rsidRPr="00090500">
              <w:rPr>
                <w:rFonts w:ascii="Book Antiqua" w:hAnsi="Book Antiqua"/>
                <w:color w:val="000000"/>
              </w:rPr>
              <w:t>)</w:t>
            </w:r>
          </w:p>
        </w:tc>
        <w:tc>
          <w:tcPr>
            <w:tcW w:w="2849" w:type="dxa"/>
          </w:tcPr>
          <w:p w14:paraId="02EE3722" w14:textId="2652EA2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191.47 (190.07</w:t>
            </w:r>
            <w:r>
              <w:rPr>
                <w:rFonts w:ascii="Book Antiqua" w:hAnsi="Book Antiqua"/>
                <w:color w:val="000000"/>
              </w:rPr>
              <w:t>-</w:t>
            </w:r>
            <w:r w:rsidRPr="00090500">
              <w:rPr>
                <w:rFonts w:ascii="Book Antiqua" w:hAnsi="Book Antiqua"/>
                <w:color w:val="000000"/>
              </w:rPr>
              <w:t>192.85)</w:t>
            </w:r>
          </w:p>
        </w:tc>
        <w:tc>
          <w:tcPr>
            <w:tcW w:w="2849" w:type="dxa"/>
          </w:tcPr>
          <w:p w14:paraId="07C5C961" w14:textId="219FD78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192.62 (191.22</w:t>
            </w:r>
            <w:r>
              <w:rPr>
                <w:rFonts w:ascii="Book Antiqua" w:hAnsi="Book Antiqua"/>
                <w:color w:val="000000"/>
              </w:rPr>
              <w:t>-</w:t>
            </w:r>
            <w:r w:rsidRPr="00090500">
              <w:rPr>
                <w:rFonts w:ascii="Book Antiqua" w:hAnsi="Book Antiqua"/>
                <w:color w:val="000000"/>
              </w:rPr>
              <w:t>194.02)</w:t>
            </w:r>
          </w:p>
        </w:tc>
        <w:tc>
          <w:tcPr>
            <w:tcW w:w="2849" w:type="dxa"/>
          </w:tcPr>
          <w:p w14:paraId="49CB404B" w14:textId="23B2B50B"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147.63 (139.07</w:t>
            </w:r>
            <w:r>
              <w:rPr>
                <w:rFonts w:ascii="Book Antiqua" w:hAnsi="Book Antiqua"/>
                <w:color w:val="000000"/>
              </w:rPr>
              <w:t>-</w:t>
            </w:r>
            <w:r w:rsidRPr="00090500">
              <w:rPr>
                <w:rFonts w:ascii="Book Antiqua" w:hAnsi="Book Antiqua"/>
                <w:color w:val="000000"/>
              </w:rPr>
              <w:t>156.19)</w:t>
            </w:r>
          </w:p>
        </w:tc>
        <w:tc>
          <w:tcPr>
            <w:tcW w:w="1068" w:type="dxa"/>
          </w:tcPr>
          <w:p w14:paraId="156E549B" w14:textId="19D82CFB"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5C2184E2" w14:textId="77777777" w:rsidTr="00090500">
        <w:tc>
          <w:tcPr>
            <w:tcW w:w="3561" w:type="dxa"/>
          </w:tcPr>
          <w:p w14:paraId="3F64FC5D" w14:textId="7538669F"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ALT (U/L)</w:t>
            </w:r>
          </w:p>
        </w:tc>
        <w:tc>
          <w:tcPr>
            <w:tcW w:w="2849" w:type="dxa"/>
          </w:tcPr>
          <w:p w14:paraId="20323F00" w14:textId="3552544A"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78.39 (77.19</w:t>
            </w:r>
            <w:r>
              <w:rPr>
                <w:rFonts w:ascii="Book Antiqua" w:hAnsi="Book Antiqua"/>
                <w:color w:val="000000"/>
              </w:rPr>
              <w:t>-</w:t>
            </w:r>
            <w:r w:rsidRPr="00090500">
              <w:rPr>
                <w:rFonts w:ascii="Book Antiqua" w:hAnsi="Book Antiqua"/>
                <w:color w:val="000000"/>
              </w:rPr>
              <w:t>79.59)</w:t>
            </w:r>
          </w:p>
        </w:tc>
        <w:tc>
          <w:tcPr>
            <w:tcW w:w="2849" w:type="dxa"/>
          </w:tcPr>
          <w:p w14:paraId="42A793DA" w14:textId="5042A47A"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77.92 (76.71</w:t>
            </w:r>
            <w:r>
              <w:rPr>
                <w:rFonts w:ascii="Book Antiqua" w:hAnsi="Book Antiqua"/>
                <w:color w:val="000000"/>
              </w:rPr>
              <w:t>-</w:t>
            </w:r>
            <w:r w:rsidRPr="00090500">
              <w:rPr>
                <w:rFonts w:ascii="Book Antiqua" w:hAnsi="Book Antiqua"/>
                <w:color w:val="000000"/>
              </w:rPr>
              <w:t>79.13)</w:t>
            </w:r>
          </w:p>
        </w:tc>
        <w:tc>
          <w:tcPr>
            <w:tcW w:w="2849" w:type="dxa"/>
          </w:tcPr>
          <w:p w14:paraId="31DFFC85" w14:textId="276AB95A"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96.07 (87.16</w:t>
            </w:r>
            <w:r>
              <w:rPr>
                <w:rFonts w:ascii="Book Antiqua" w:hAnsi="Book Antiqua"/>
                <w:color w:val="000000"/>
              </w:rPr>
              <w:t>-</w:t>
            </w:r>
            <w:r w:rsidRPr="00090500">
              <w:rPr>
                <w:rFonts w:ascii="Book Antiqua" w:hAnsi="Book Antiqua"/>
                <w:color w:val="000000"/>
              </w:rPr>
              <w:t>104.98)</w:t>
            </w:r>
          </w:p>
        </w:tc>
        <w:tc>
          <w:tcPr>
            <w:tcW w:w="1068" w:type="dxa"/>
          </w:tcPr>
          <w:p w14:paraId="78E74A7D" w14:textId="44558A1C"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46D87BEB" w14:textId="77777777" w:rsidTr="00090500">
        <w:tc>
          <w:tcPr>
            <w:tcW w:w="3561" w:type="dxa"/>
          </w:tcPr>
          <w:p w14:paraId="7801B604" w14:textId="64FF5C88"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Creatinine (mg/dL)</w:t>
            </w:r>
          </w:p>
        </w:tc>
        <w:tc>
          <w:tcPr>
            <w:tcW w:w="2849" w:type="dxa"/>
          </w:tcPr>
          <w:p w14:paraId="74B0A72B" w14:textId="612FB5B0"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0.92 (0.89</w:t>
            </w:r>
            <w:r>
              <w:rPr>
                <w:rFonts w:ascii="Book Antiqua" w:hAnsi="Book Antiqua"/>
                <w:color w:val="000000"/>
              </w:rPr>
              <w:t>-</w:t>
            </w:r>
            <w:r w:rsidRPr="00090500">
              <w:rPr>
                <w:rFonts w:ascii="Book Antiqua" w:hAnsi="Book Antiqua"/>
                <w:color w:val="000000"/>
              </w:rPr>
              <w:t>0.96)</w:t>
            </w:r>
          </w:p>
        </w:tc>
        <w:tc>
          <w:tcPr>
            <w:tcW w:w="2849" w:type="dxa"/>
          </w:tcPr>
          <w:p w14:paraId="380A163B" w14:textId="604F0F6D"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0.93 (0.89</w:t>
            </w:r>
            <w:r>
              <w:rPr>
                <w:rFonts w:ascii="Book Antiqua" w:hAnsi="Book Antiqua"/>
                <w:color w:val="000000"/>
              </w:rPr>
              <w:t>-</w:t>
            </w:r>
            <w:r w:rsidRPr="00090500">
              <w:rPr>
                <w:rFonts w:ascii="Book Antiqua" w:hAnsi="Book Antiqua"/>
                <w:color w:val="000000"/>
              </w:rPr>
              <w:t>0.96)</w:t>
            </w:r>
          </w:p>
        </w:tc>
        <w:tc>
          <w:tcPr>
            <w:tcW w:w="2849" w:type="dxa"/>
          </w:tcPr>
          <w:p w14:paraId="7603A7C7" w14:textId="76B4F5E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0.81 (0.79</w:t>
            </w:r>
            <w:r>
              <w:rPr>
                <w:rFonts w:ascii="Book Antiqua" w:hAnsi="Book Antiqua"/>
                <w:color w:val="000000"/>
              </w:rPr>
              <w:t>-</w:t>
            </w:r>
            <w:r w:rsidRPr="00090500">
              <w:rPr>
                <w:rFonts w:ascii="Book Antiqua" w:hAnsi="Book Antiqua"/>
                <w:color w:val="000000"/>
              </w:rPr>
              <w:t>0.83)</w:t>
            </w:r>
          </w:p>
        </w:tc>
        <w:tc>
          <w:tcPr>
            <w:tcW w:w="1068" w:type="dxa"/>
          </w:tcPr>
          <w:p w14:paraId="05486F0A" w14:textId="7777777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0.749</w:t>
            </w:r>
          </w:p>
        </w:tc>
      </w:tr>
      <w:tr w:rsidR="00090500" w:rsidRPr="00090500" w14:paraId="20C11C2E" w14:textId="77777777" w:rsidTr="00090500">
        <w:tc>
          <w:tcPr>
            <w:tcW w:w="3561" w:type="dxa"/>
          </w:tcPr>
          <w:p w14:paraId="7A16C36E" w14:textId="407B0CA2"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eGFR</w:t>
            </w:r>
            <w:r w:rsidR="00184DC8">
              <w:rPr>
                <w:rFonts w:ascii="Book Antiqua" w:hAnsi="Book Antiqua"/>
                <w:color w:val="000000"/>
              </w:rPr>
              <w:t xml:space="preserve">, </w:t>
            </w:r>
            <w:r w:rsidR="00184DC8" w:rsidRPr="00947EA4">
              <w:rPr>
                <w:rFonts w:ascii="Book Antiqua" w:hAnsi="Book Antiqua"/>
                <w:i/>
                <w:color w:val="000000"/>
              </w:rPr>
              <w:t>n</w:t>
            </w:r>
            <w:r w:rsidR="00184DC8">
              <w:rPr>
                <w:rFonts w:ascii="Book Antiqua" w:hAnsi="Book Antiqua"/>
                <w:color w:val="000000"/>
              </w:rPr>
              <w:t xml:space="preserve"> </w:t>
            </w:r>
            <w:r w:rsidR="00184DC8" w:rsidRPr="00FB28F4">
              <w:rPr>
                <w:rFonts w:ascii="Book Antiqua" w:hAnsi="Book Antiqua"/>
                <w:color w:val="000000"/>
              </w:rPr>
              <w:t>(%)</w:t>
            </w:r>
          </w:p>
        </w:tc>
        <w:tc>
          <w:tcPr>
            <w:tcW w:w="2849" w:type="dxa"/>
          </w:tcPr>
          <w:p w14:paraId="565443BA"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2849" w:type="dxa"/>
          </w:tcPr>
          <w:p w14:paraId="79B71EA4"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2849" w:type="dxa"/>
          </w:tcPr>
          <w:p w14:paraId="011F8540"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1068" w:type="dxa"/>
          </w:tcPr>
          <w:p w14:paraId="31478B8B"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38F70059" w14:textId="77777777" w:rsidTr="00090500">
        <w:tc>
          <w:tcPr>
            <w:tcW w:w="3561" w:type="dxa"/>
          </w:tcPr>
          <w:p w14:paraId="2B62D708" w14:textId="5F0FD4D1"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rPr>
              <w:t>&lt;</w:t>
            </w:r>
            <w:r>
              <w:rPr>
                <w:rFonts w:ascii="Book Antiqua" w:hAnsi="Book Antiqua"/>
              </w:rPr>
              <w:t xml:space="preserve"> </w:t>
            </w:r>
            <w:r w:rsidRPr="00090500">
              <w:rPr>
                <w:rFonts w:ascii="Book Antiqua" w:hAnsi="Book Antiqua"/>
              </w:rPr>
              <w:t>30 mL/min</w:t>
            </w:r>
          </w:p>
        </w:tc>
        <w:tc>
          <w:tcPr>
            <w:tcW w:w="2849" w:type="dxa"/>
          </w:tcPr>
          <w:p w14:paraId="09E02696" w14:textId="44208D94"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137 (29.2)</w:t>
            </w:r>
          </w:p>
        </w:tc>
        <w:tc>
          <w:tcPr>
            <w:tcW w:w="2849" w:type="dxa"/>
          </w:tcPr>
          <w:p w14:paraId="77350E0F" w14:textId="63ECCF38"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137 (29.7)</w:t>
            </w:r>
          </w:p>
        </w:tc>
        <w:tc>
          <w:tcPr>
            <w:tcW w:w="2849" w:type="dxa"/>
          </w:tcPr>
          <w:p w14:paraId="49695B88" w14:textId="185FD90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 (0.0)</w:t>
            </w:r>
          </w:p>
        </w:tc>
        <w:tc>
          <w:tcPr>
            <w:tcW w:w="1068" w:type="dxa"/>
          </w:tcPr>
          <w:p w14:paraId="69E95F39"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45E841EF" w14:textId="77777777" w:rsidTr="00090500">
        <w:tc>
          <w:tcPr>
            <w:tcW w:w="3561" w:type="dxa"/>
          </w:tcPr>
          <w:p w14:paraId="76D52CB9" w14:textId="1E25EDA2"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rPr>
              <w:t>&gt;</w:t>
            </w:r>
            <w:r>
              <w:rPr>
                <w:rFonts w:ascii="Book Antiqua" w:hAnsi="Book Antiqua"/>
              </w:rPr>
              <w:t xml:space="preserve"> </w:t>
            </w:r>
            <w:r w:rsidRPr="00090500">
              <w:rPr>
                <w:rFonts w:ascii="Book Antiqua" w:hAnsi="Book Antiqua"/>
              </w:rPr>
              <w:t>60 mL/min</w:t>
            </w:r>
          </w:p>
        </w:tc>
        <w:tc>
          <w:tcPr>
            <w:tcW w:w="2849" w:type="dxa"/>
          </w:tcPr>
          <w:p w14:paraId="6B219F9A" w14:textId="2FE431C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160 (34.0)</w:t>
            </w:r>
          </w:p>
        </w:tc>
        <w:tc>
          <w:tcPr>
            <w:tcW w:w="2849" w:type="dxa"/>
          </w:tcPr>
          <w:p w14:paraId="03F4D474" w14:textId="0ED68E7C"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157 (34.0)</w:t>
            </w:r>
          </w:p>
        </w:tc>
        <w:tc>
          <w:tcPr>
            <w:tcW w:w="2849" w:type="dxa"/>
          </w:tcPr>
          <w:p w14:paraId="62872335" w14:textId="3015A8CD"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3 (37.5)</w:t>
            </w:r>
          </w:p>
        </w:tc>
        <w:tc>
          <w:tcPr>
            <w:tcW w:w="1068" w:type="dxa"/>
          </w:tcPr>
          <w:p w14:paraId="755E8383" w14:textId="7777777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0.252</w:t>
            </w:r>
          </w:p>
        </w:tc>
      </w:tr>
      <w:tr w:rsidR="00090500" w:rsidRPr="00090500" w14:paraId="636C198F" w14:textId="77777777" w:rsidTr="00090500">
        <w:tc>
          <w:tcPr>
            <w:tcW w:w="3561" w:type="dxa"/>
          </w:tcPr>
          <w:p w14:paraId="7A3645B6"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rPr>
              <w:t>30-60 mL/min</w:t>
            </w:r>
          </w:p>
        </w:tc>
        <w:tc>
          <w:tcPr>
            <w:tcW w:w="2849" w:type="dxa"/>
          </w:tcPr>
          <w:p w14:paraId="0F1D59CC" w14:textId="60562596"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173 (36.8)</w:t>
            </w:r>
          </w:p>
        </w:tc>
        <w:tc>
          <w:tcPr>
            <w:tcW w:w="2849" w:type="dxa"/>
          </w:tcPr>
          <w:p w14:paraId="740A9231" w14:textId="5824D72E"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168 (36.3)</w:t>
            </w:r>
          </w:p>
        </w:tc>
        <w:tc>
          <w:tcPr>
            <w:tcW w:w="2849" w:type="dxa"/>
          </w:tcPr>
          <w:p w14:paraId="54974CA6" w14:textId="49F9905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5 (62.5)</w:t>
            </w:r>
          </w:p>
        </w:tc>
        <w:tc>
          <w:tcPr>
            <w:tcW w:w="1068" w:type="dxa"/>
          </w:tcPr>
          <w:p w14:paraId="4B64570B"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331CD221" w14:textId="77777777" w:rsidTr="00090500">
        <w:tc>
          <w:tcPr>
            <w:tcW w:w="3561" w:type="dxa"/>
          </w:tcPr>
          <w:p w14:paraId="130BEF45" w14:textId="72A195EE"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Hemoglobin (g/dL)</w:t>
            </w:r>
          </w:p>
        </w:tc>
        <w:tc>
          <w:tcPr>
            <w:tcW w:w="2849" w:type="dxa"/>
          </w:tcPr>
          <w:p w14:paraId="4BE6F272" w14:textId="2C5C5C8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14.40 (14.37</w:t>
            </w:r>
            <w:r>
              <w:rPr>
                <w:rFonts w:ascii="Book Antiqua" w:hAnsi="Book Antiqua"/>
                <w:color w:val="000000"/>
              </w:rPr>
              <w:t>-</w:t>
            </w:r>
            <w:r w:rsidRPr="00090500">
              <w:rPr>
                <w:rFonts w:ascii="Book Antiqua" w:hAnsi="Book Antiqua"/>
                <w:color w:val="000000"/>
              </w:rPr>
              <w:t>14.43)</w:t>
            </w:r>
          </w:p>
        </w:tc>
        <w:tc>
          <w:tcPr>
            <w:tcW w:w="2849" w:type="dxa"/>
          </w:tcPr>
          <w:p w14:paraId="75EFEB15" w14:textId="7A35EA0E"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14.40 (14.37</w:t>
            </w:r>
            <w:r>
              <w:rPr>
                <w:rFonts w:ascii="Book Antiqua" w:hAnsi="Book Antiqua"/>
                <w:color w:val="000000"/>
              </w:rPr>
              <w:t>-</w:t>
            </w:r>
            <w:r w:rsidRPr="00090500">
              <w:rPr>
                <w:rFonts w:ascii="Book Antiqua" w:hAnsi="Book Antiqua"/>
                <w:color w:val="000000"/>
              </w:rPr>
              <w:t>14.44)</w:t>
            </w:r>
          </w:p>
        </w:tc>
        <w:tc>
          <w:tcPr>
            <w:tcW w:w="2849" w:type="dxa"/>
          </w:tcPr>
          <w:p w14:paraId="101A8582" w14:textId="06356E10"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14.35 (14.15</w:t>
            </w:r>
            <w:r>
              <w:rPr>
                <w:rFonts w:ascii="Book Antiqua" w:hAnsi="Book Antiqua"/>
                <w:color w:val="000000"/>
              </w:rPr>
              <w:t>-</w:t>
            </w:r>
            <w:r w:rsidRPr="00090500">
              <w:rPr>
                <w:rFonts w:ascii="Book Antiqua" w:hAnsi="Book Antiqua"/>
                <w:color w:val="000000"/>
              </w:rPr>
              <w:t>14.55)</w:t>
            </w:r>
          </w:p>
        </w:tc>
        <w:tc>
          <w:tcPr>
            <w:tcW w:w="1068" w:type="dxa"/>
          </w:tcPr>
          <w:p w14:paraId="64808FE3" w14:textId="7777777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0.812</w:t>
            </w:r>
          </w:p>
        </w:tc>
      </w:tr>
      <w:tr w:rsidR="00090500" w:rsidRPr="00090500" w14:paraId="431D1A90" w14:textId="77777777" w:rsidTr="00090500">
        <w:tc>
          <w:tcPr>
            <w:tcW w:w="3561" w:type="dxa"/>
          </w:tcPr>
          <w:p w14:paraId="73B60D95" w14:textId="58742AC2"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HCV genotype</w:t>
            </w:r>
            <w:r w:rsidR="00012C7D">
              <w:rPr>
                <w:rFonts w:ascii="Book Antiqua" w:hAnsi="Book Antiqua"/>
                <w:color w:val="000000"/>
              </w:rPr>
              <w:t xml:space="preserve">, </w:t>
            </w:r>
            <w:r w:rsidR="00012C7D" w:rsidRPr="00947EA4">
              <w:rPr>
                <w:rFonts w:ascii="Book Antiqua" w:hAnsi="Book Antiqua"/>
                <w:i/>
                <w:color w:val="000000"/>
              </w:rPr>
              <w:t>n</w:t>
            </w:r>
            <w:r w:rsidR="00012C7D">
              <w:rPr>
                <w:rFonts w:ascii="Book Antiqua" w:hAnsi="Book Antiqua"/>
                <w:color w:val="000000"/>
              </w:rPr>
              <w:t xml:space="preserve"> </w:t>
            </w:r>
            <w:r w:rsidR="00012C7D" w:rsidRPr="00FB28F4">
              <w:rPr>
                <w:rFonts w:ascii="Book Antiqua" w:hAnsi="Book Antiqua"/>
                <w:color w:val="000000"/>
              </w:rPr>
              <w:t>(%)</w:t>
            </w:r>
          </w:p>
        </w:tc>
        <w:tc>
          <w:tcPr>
            <w:tcW w:w="2849" w:type="dxa"/>
          </w:tcPr>
          <w:p w14:paraId="2A3405EA"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2849" w:type="dxa"/>
          </w:tcPr>
          <w:p w14:paraId="28D3B45B"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2849" w:type="dxa"/>
          </w:tcPr>
          <w:p w14:paraId="5CBAD26F"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c>
          <w:tcPr>
            <w:tcW w:w="1068" w:type="dxa"/>
          </w:tcPr>
          <w:p w14:paraId="0627E231"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19410618" w14:textId="77777777" w:rsidTr="00090500">
        <w:tc>
          <w:tcPr>
            <w:tcW w:w="3561" w:type="dxa"/>
          </w:tcPr>
          <w:p w14:paraId="4E90D8F5"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1A</w:t>
            </w:r>
          </w:p>
        </w:tc>
        <w:tc>
          <w:tcPr>
            <w:tcW w:w="2849" w:type="dxa"/>
          </w:tcPr>
          <w:p w14:paraId="25E01642" w14:textId="1A52BB8F"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434 (3.6)</w:t>
            </w:r>
          </w:p>
        </w:tc>
        <w:tc>
          <w:tcPr>
            <w:tcW w:w="2849" w:type="dxa"/>
          </w:tcPr>
          <w:p w14:paraId="20C2A0FE" w14:textId="64053274"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426 (3.7)</w:t>
            </w:r>
          </w:p>
        </w:tc>
        <w:tc>
          <w:tcPr>
            <w:tcW w:w="2849" w:type="dxa"/>
          </w:tcPr>
          <w:p w14:paraId="65A700E5" w14:textId="0CD5A6CA"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8 (2.6)</w:t>
            </w:r>
          </w:p>
        </w:tc>
        <w:tc>
          <w:tcPr>
            <w:tcW w:w="1068" w:type="dxa"/>
          </w:tcPr>
          <w:p w14:paraId="52DA3C1D"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1F132F88" w14:textId="77777777" w:rsidTr="00090500">
        <w:tc>
          <w:tcPr>
            <w:tcW w:w="3561" w:type="dxa"/>
          </w:tcPr>
          <w:p w14:paraId="6E938D39"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1B</w:t>
            </w:r>
          </w:p>
        </w:tc>
        <w:tc>
          <w:tcPr>
            <w:tcW w:w="2849" w:type="dxa"/>
          </w:tcPr>
          <w:p w14:paraId="2D9DC0FD" w14:textId="72F22926"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9327 (78.1)</w:t>
            </w:r>
          </w:p>
        </w:tc>
        <w:tc>
          <w:tcPr>
            <w:tcW w:w="2849" w:type="dxa"/>
          </w:tcPr>
          <w:p w14:paraId="1801785D" w14:textId="366D750B"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9147 (78.7)</w:t>
            </w:r>
          </w:p>
        </w:tc>
        <w:tc>
          <w:tcPr>
            <w:tcW w:w="2849" w:type="dxa"/>
          </w:tcPr>
          <w:p w14:paraId="0B734215" w14:textId="7B6C3A91"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180 (58.3)</w:t>
            </w:r>
          </w:p>
        </w:tc>
        <w:tc>
          <w:tcPr>
            <w:tcW w:w="1068" w:type="dxa"/>
          </w:tcPr>
          <w:p w14:paraId="5FBADF3E"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3F46B976" w14:textId="77777777" w:rsidTr="00090500">
        <w:tc>
          <w:tcPr>
            <w:tcW w:w="3561" w:type="dxa"/>
          </w:tcPr>
          <w:p w14:paraId="3E133E5C"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2</w:t>
            </w:r>
          </w:p>
        </w:tc>
        <w:tc>
          <w:tcPr>
            <w:tcW w:w="2849" w:type="dxa"/>
          </w:tcPr>
          <w:p w14:paraId="034C33FB" w14:textId="4F218C9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20 (0.2)</w:t>
            </w:r>
          </w:p>
        </w:tc>
        <w:tc>
          <w:tcPr>
            <w:tcW w:w="2849" w:type="dxa"/>
          </w:tcPr>
          <w:p w14:paraId="1D72CE85" w14:textId="202FE5DD"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20 (0.2)</w:t>
            </w:r>
          </w:p>
        </w:tc>
        <w:tc>
          <w:tcPr>
            <w:tcW w:w="2849" w:type="dxa"/>
          </w:tcPr>
          <w:p w14:paraId="58698FD8" w14:textId="020FCCCF"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 (0.0)</w:t>
            </w:r>
          </w:p>
        </w:tc>
        <w:tc>
          <w:tcPr>
            <w:tcW w:w="1068" w:type="dxa"/>
          </w:tcPr>
          <w:p w14:paraId="64C045E8" w14:textId="7B3F9E93"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&lt;</w:t>
            </w:r>
            <w:r>
              <w:rPr>
                <w:rFonts w:ascii="Book Antiqua" w:hAnsi="Book Antiqua"/>
                <w:color w:val="000000"/>
              </w:rPr>
              <w:t xml:space="preserve"> </w:t>
            </w:r>
            <w:r w:rsidRPr="00090500">
              <w:rPr>
                <w:rFonts w:ascii="Book Antiqua" w:hAnsi="Book Antiqua"/>
                <w:color w:val="000000"/>
              </w:rPr>
              <w:t>0.001</w:t>
            </w:r>
          </w:p>
        </w:tc>
      </w:tr>
      <w:tr w:rsidR="00090500" w:rsidRPr="00090500" w14:paraId="504DE796" w14:textId="77777777" w:rsidTr="00090500">
        <w:tc>
          <w:tcPr>
            <w:tcW w:w="3561" w:type="dxa"/>
          </w:tcPr>
          <w:p w14:paraId="1745B817"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3</w:t>
            </w:r>
          </w:p>
        </w:tc>
        <w:tc>
          <w:tcPr>
            <w:tcW w:w="2849" w:type="dxa"/>
          </w:tcPr>
          <w:p w14:paraId="68B4041F" w14:textId="551B6B60"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1328 (11.1)</w:t>
            </w:r>
          </w:p>
        </w:tc>
        <w:tc>
          <w:tcPr>
            <w:tcW w:w="2849" w:type="dxa"/>
          </w:tcPr>
          <w:p w14:paraId="5D0F1B30" w14:textId="689211F8"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1221 (10.5)</w:t>
            </w:r>
          </w:p>
        </w:tc>
        <w:tc>
          <w:tcPr>
            <w:tcW w:w="2849" w:type="dxa"/>
          </w:tcPr>
          <w:p w14:paraId="2792D8EE" w14:textId="3330C5B1"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107 (34.6)</w:t>
            </w:r>
          </w:p>
        </w:tc>
        <w:tc>
          <w:tcPr>
            <w:tcW w:w="1068" w:type="dxa"/>
          </w:tcPr>
          <w:p w14:paraId="4798E9CB"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7EB8CAB6" w14:textId="77777777" w:rsidTr="00090500">
        <w:tc>
          <w:tcPr>
            <w:tcW w:w="3561" w:type="dxa"/>
          </w:tcPr>
          <w:p w14:paraId="57BA5356"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4</w:t>
            </w:r>
          </w:p>
        </w:tc>
        <w:tc>
          <w:tcPr>
            <w:tcW w:w="2849" w:type="dxa"/>
          </w:tcPr>
          <w:p w14:paraId="221BEF06" w14:textId="17F318A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575 (4.8)</w:t>
            </w:r>
          </w:p>
        </w:tc>
        <w:tc>
          <w:tcPr>
            <w:tcW w:w="2849" w:type="dxa"/>
          </w:tcPr>
          <w:p w14:paraId="24AD786C" w14:textId="46C84A42"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565 (4.9)</w:t>
            </w:r>
          </w:p>
        </w:tc>
        <w:tc>
          <w:tcPr>
            <w:tcW w:w="2849" w:type="dxa"/>
          </w:tcPr>
          <w:p w14:paraId="2DF18666" w14:textId="711CDC62"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10 (3.2)</w:t>
            </w:r>
          </w:p>
        </w:tc>
        <w:tc>
          <w:tcPr>
            <w:tcW w:w="1068" w:type="dxa"/>
          </w:tcPr>
          <w:p w14:paraId="25BDD59E"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1E576938" w14:textId="77777777" w:rsidTr="00090500">
        <w:tc>
          <w:tcPr>
            <w:tcW w:w="3561" w:type="dxa"/>
          </w:tcPr>
          <w:p w14:paraId="1245B0CA"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5</w:t>
            </w:r>
          </w:p>
        </w:tc>
        <w:tc>
          <w:tcPr>
            <w:tcW w:w="2849" w:type="dxa"/>
          </w:tcPr>
          <w:p w14:paraId="169BF4DA" w14:textId="52B35AB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 (0.0)</w:t>
            </w:r>
          </w:p>
        </w:tc>
        <w:tc>
          <w:tcPr>
            <w:tcW w:w="2849" w:type="dxa"/>
          </w:tcPr>
          <w:p w14:paraId="780CFCE6" w14:textId="7CF8ADFE"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1 (0.0)</w:t>
            </w:r>
          </w:p>
        </w:tc>
        <w:tc>
          <w:tcPr>
            <w:tcW w:w="2849" w:type="dxa"/>
          </w:tcPr>
          <w:p w14:paraId="254EFC1E" w14:textId="5BC27688"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 (0.0)</w:t>
            </w:r>
          </w:p>
        </w:tc>
        <w:tc>
          <w:tcPr>
            <w:tcW w:w="1068" w:type="dxa"/>
          </w:tcPr>
          <w:p w14:paraId="622AC86A"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7265EEF9" w14:textId="77777777" w:rsidTr="00090500">
        <w:tc>
          <w:tcPr>
            <w:tcW w:w="3561" w:type="dxa"/>
          </w:tcPr>
          <w:p w14:paraId="1A6C539A" w14:textId="77777777" w:rsidR="00090500" w:rsidRPr="00090500" w:rsidRDefault="00090500" w:rsidP="00090500">
            <w:pPr>
              <w:autoSpaceDE w:val="0"/>
              <w:autoSpaceDN w:val="0"/>
              <w:adjustRightInd w:val="0"/>
              <w:spacing w:line="360" w:lineRule="auto"/>
              <w:ind w:firstLineChars="100" w:firstLine="240"/>
              <w:contextualSpacing/>
              <w:jc w:val="both"/>
              <w:rPr>
                <w:rFonts w:ascii="Book Antiqua" w:hAnsi="Book Antiqua"/>
                <w:color w:val="000000"/>
              </w:rPr>
            </w:pPr>
            <w:r w:rsidRPr="00090500">
              <w:rPr>
                <w:rFonts w:ascii="Book Antiqua" w:hAnsi="Book Antiqua"/>
                <w:color w:val="000000"/>
              </w:rPr>
              <w:t>6</w:t>
            </w:r>
          </w:p>
        </w:tc>
        <w:tc>
          <w:tcPr>
            <w:tcW w:w="2849" w:type="dxa"/>
          </w:tcPr>
          <w:p w14:paraId="48CFEEA5" w14:textId="45AC45A5"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2 (0.0)</w:t>
            </w:r>
          </w:p>
        </w:tc>
        <w:tc>
          <w:tcPr>
            <w:tcW w:w="2849" w:type="dxa"/>
          </w:tcPr>
          <w:p w14:paraId="6C031684" w14:textId="6B37EE6B"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2 (0.0)</w:t>
            </w:r>
          </w:p>
        </w:tc>
        <w:tc>
          <w:tcPr>
            <w:tcW w:w="2849" w:type="dxa"/>
          </w:tcPr>
          <w:p w14:paraId="4D83B958" w14:textId="4E4A1C64"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rPr>
              <w:t>0 (0.0)</w:t>
            </w:r>
          </w:p>
        </w:tc>
        <w:tc>
          <w:tcPr>
            <w:tcW w:w="1068" w:type="dxa"/>
          </w:tcPr>
          <w:p w14:paraId="516A3451" w14:textId="77777777" w:rsidR="00090500" w:rsidRPr="00090500" w:rsidRDefault="00090500" w:rsidP="00090500">
            <w:pPr>
              <w:autoSpaceDE w:val="0"/>
              <w:autoSpaceDN w:val="0"/>
              <w:adjustRightInd w:val="0"/>
              <w:spacing w:line="360" w:lineRule="auto"/>
              <w:contextualSpacing/>
              <w:jc w:val="both"/>
              <w:rPr>
                <w:rFonts w:ascii="Book Antiqua" w:hAnsi="Book Antiqua"/>
              </w:rPr>
            </w:pPr>
          </w:p>
        </w:tc>
      </w:tr>
      <w:tr w:rsidR="00090500" w:rsidRPr="00090500" w14:paraId="471FD039" w14:textId="77777777" w:rsidTr="00090500">
        <w:tc>
          <w:tcPr>
            <w:tcW w:w="3561" w:type="dxa"/>
            <w:tcBorders>
              <w:bottom w:val="single" w:sz="4" w:space="0" w:color="auto"/>
            </w:tcBorders>
          </w:tcPr>
          <w:p w14:paraId="236A83D2" w14:textId="4B189266" w:rsidR="00090500" w:rsidRPr="00090500" w:rsidRDefault="00090500" w:rsidP="00090500">
            <w:pPr>
              <w:autoSpaceDE w:val="0"/>
              <w:autoSpaceDN w:val="0"/>
              <w:adjustRightInd w:val="0"/>
              <w:spacing w:line="360" w:lineRule="auto"/>
              <w:contextualSpacing/>
              <w:jc w:val="both"/>
              <w:rPr>
                <w:rFonts w:ascii="Book Antiqua" w:hAnsi="Book Antiqua"/>
                <w:color w:val="000000"/>
              </w:rPr>
            </w:pPr>
            <w:r w:rsidRPr="00090500">
              <w:rPr>
                <w:rFonts w:ascii="Book Antiqua" w:hAnsi="Book Antiqua"/>
                <w:color w:val="000000"/>
              </w:rPr>
              <w:t>HCV RNA (log</w:t>
            </w:r>
            <w:r w:rsidRPr="00090500">
              <w:rPr>
                <w:rFonts w:ascii="Book Antiqua" w:hAnsi="Book Antiqua"/>
                <w:color w:val="000000"/>
                <w:vertAlign w:val="subscript"/>
              </w:rPr>
              <w:t>10</w:t>
            </w:r>
            <w:r w:rsidRPr="00090500">
              <w:rPr>
                <w:rFonts w:ascii="Book Antiqua" w:hAnsi="Book Antiqua"/>
                <w:color w:val="000000"/>
              </w:rPr>
              <w:t>)</w:t>
            </w:r>
          </w:p>
        </w:tc>
        <w:tc>
          <w:tcPr>
            <w:tcW w:w="2849" w:type="dxa"/>
            <w:tcBorders>
              <w:bottom w:val="single" w:sz="4" w:space="0" w:color="auto"/>
            </w:tcBorders>
          </w:tcPr>
          <w:p w14:paraId="484FD559" w14:textId="2AE10F5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6.37 (6.34</w:t>
            </w:r>
            <w:r>
              <w:rPr>
                <w:rFonts w:ascii="Book Antiqua" w:hAnsi="Book Antiqua"/>
                <w:color w:val="000000"/>
              </w:rPr>
              <w:t>-</w:t>
            </w:r>
            <w:r w:rsidRPr="00090500">
              <w:rPr>
                <w:rFonts w:ascii="Book Antiqua" w:hAnsi="Book Antiqua"/>
                <w:color w:val="000000"/>
              </w:rPr>
              <w:t>6.39)</w:t>
            </w:r>
          </w:p>
        </w:tc>
        <w:tc>
          <w:tcPr>
            <w:tcW w:w="2849" w:type="dxa"/>
            <w:tcBorders>
              <w:bottom w:val="single" w:sz="4" w:space="0" w:color="auto"/>
            </w:tcBorders>
          </w:tcPr>
          <w:p w14:paraId="39B88ACE" w14:textId="554E9C6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6.36 (6.34</w:t>
            </w:r>
            <w:r>
              <w:rPr>
                <w:rFonts w:ascii="Book Antiqua" w:hAnsi="Book Antiqua"/>
                <w:color w:val="000000"/>
              </w:rPr>
              <w:t>-</w:t>
            </w:r>
            <w:r w:rsidRPr="00090500">
              <w:rPr>
                <w:rFonts w:ascii="Book Antiqua" w:hAnsi="Book Antiqua"/>
                <w:color w:val="000000"/>
              </w:rPr>
              <w:t>6.39)</w:t>
            </w:r>
          </w:p>
        </w:tc>
        <w:tc>
          <w:tcPr>
            <w:tcW w:w="2849" w:type="dxa"/>
            <w:tcBorders>
              <w:bottom w:val="single" w:sz="4" w:space="0" w:color="auto"/>
            </w:tcBorders>
          </w:tcPr>
          <w:p w14:paraId="77B1C1A5" w14:textId="12A40DC9"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6.39 (6.31</w:t>
            </w:r>
            <w:r>
              <w:rPr>
                <w:rFonts w:ascii="Book Antiqua" w:hAnsi="Book Antiqua"/>
                <w:color w:val="000000"/>
              </w:rPr>
              <w:t>-</w:t>
            </w:r>
            <w:r w:rsidRPr="00090500">
              <w:rPr>
                <w:rFonts w:ascii="Book Antiqua" w:hAnsi="Book Antiqua"/>
                <w:color w:val="000000"/>
              </w:rPr>
              <w:t>6.46)</w:t>
            </w:r>
          </w:p>
        </w:tc>
        <w:tc>
          <w:tcPr>
            <w:tcW w:w="1068" w:type="dxa"/>
            <w:tcBorders>
              <w:bottom w:val="single" w:sz="4" w:space="0" w:color="auto"/>
            </w:tcBorders>
          </w:tcPr>
          <w:p w14:paraId="795EDBB6" w14:textId="77777777" w:rsidR="00090500" w:rsidRPr="00090500" w:rsidRDefault="00090500" w:rsidP="00090500">
            <w:pPr>
              <w:autoSpaceDE w:val="0"/>
              <w:autoSpaceDN w:val="0"/>
              <w:adjustRightInd w:val="0"/>
              <w:spacing w:line="360" w:lineRule="auto"/>
              <w:contextualSpacing/>
              <w:jc w:val="both"/>
              <w:rPr>
                <w:rFonts w:ascii="Book Antiqua" w:hAnsi="Book Antiqua"/>
              </w:rPr>
            </w:pPr>
            <w:r w:rsidRPr="00090500">
              <w:rPr>
                <w:rFonts w:ascii="Book Antiqua" w:hAnsi="Book Antiqua"/>
                <w:color w:val="000000"/>
              </w:rPr>
              <w:t>0.004</w:t>
            </w:r>
          </w:p>
        </w:tc>
      </w:tr>
    </w:tbl>
    <w:p w14:paraId="16575571" w14:textId="77777777" w:rsidR="009400C6" w:rsidRDefault="00090500">
      <w:pPr>
        <w:spacing w:line="360" w:lineRule="auto"/>
        <w:jc w:val="both"/>
        <w:rPr>
          <w:rFonts w:ascii="Book Antiqua" w:hAnsi="Book Antiqua"/>
        </w:rPr>
        <w:sectPr w:rsidR="009400C6" w:rsidSect="00FB28F4">
          <w:pgSz w:w="15840" w:h="12240" w:orient="landscape"/>
          <w:pgMar w:top="1440" w:right="1440" w:bottom="1440" w:left="1440" w:header="720" w:footer="720" w:gutter="0"/>
          <w:cols w:space="720"/>
          <w:docGrid w:linePitch="360"/>
        </w:sectPr>
      </w:pPr>
      <w:r w:rsidRPr="00090500">
        <w:rPr>
          <w:rFonts w:ascii="Book Antiqua" w:hAnsi="Book Antiqua"/>
        </w:rPr>
        <w:t xml:space="preserve">SVR: </w:t>
      </w:r>
      <w:r>
        <w:rPr>
          <w:rFonts w:ascii="Book Antiqua" w:hAnsi="Book Antiqua"/>
        </w:rPr>
        <w:t>S</w:t>
      </w:r>
      <w:r w:rsidRPr="00090500">
        <w:rPr>
          <w:rFonts w:ascii="Book Antiqua" w:hAnsi="Book Antiqua"/>
        </w:rPr>
        <w:t xml:space="preserve">ustained virologic response; INR: </w:t>
      </w:r>
      <w:r>
        <w:rPr>
          <w:rFonts w:ascii="Book Antiqua" w:hAnsi="Book Antiqua"/>
        </w:rPr>
        <w:t>I</w:t>
      </w:r>
      <w:r w:rsidRPr="00090500">
        <w:rPr>
          <w:rFonts w:ascii="Book Antiqua" w:hAnsi="Book Antiqua"/>
        </w:rPr>
        <w:t xml:space="preserve">nternational normalized ratio; PLT: </w:t>
      </w:r>
      <w:r>
        <w:rPr>
          <w:rFonts w:ascii="Book Antiqua" w:hAnsi="Book Antiqua"/>
        </w:rPr>
        <w:t>P</w:t>
      </w:r>
      <w:r w:rsidRPr="00090500">
        <w:rPr>
          <w:rFonts w:ascii="Book Antiqua" w:hAnsi="Book Antiqua"/>
        </w:rPr>
        <w:t xml:space="preserve">latelets; ALT: </w:t>
      </w:r>
      <w:r>
        <w:rPr>
          <w:rFonts w:ascii="Book Antiqua" w:hAnsi="Book Antiqua"/>
        </w:rPr>
        <w:t>A</w:t>
      </w:r>
      <w:r w:rsidRPr="00090500">
        <w:rPr>
          <w:rFonts w:ascii="Book Antiqua" w:hAnsi="Book Antiqua"/>
        </w:rPr>
        <w:t xml:space="preserve">lanine aminotransferase; eGFR: </w:t>
      </w:r>
      <w:r>
        <w:rPr>
          <w:rFonts w:ascii="Book Antiqua" w:hAnsi="Book Antiqua"/>
        </w:rPr>
        <w:t>E</w:t>
      </w:r>
      <w:r w:rsidRPr="00090500">
        <w:rPr>
          <w:rFonts w:ascii="Book Antiqua" w:hAnsi="Book Antiqua"/>
        </w:rPr>
        <w:t xml:space="preserve">stimated glomerular filtration rate; HCV: </w:t>
      </w:r>
      <w:r>
        <w:rPr>
          <w:rFonts w:ascii="Book Antiqua" w:hAnsi="Book Antiqua"/>
        </w:rPr>
        <w:t>H</w:t>
      </w:r>
      <w:r w:rsidRPr="00090500">
        <w:rPr>
          <w:rFonts w:ascii="Book Antiqua" w:hAnsi="Book Antiqua"/>
        </w:rPr>
        <w:t>epatitis C virus.</w:t>
      </w:r>
    </w:p>
    <w:p w14:paraId="0D46FA83" w14:textId="77777777" w:rsidR="009400C6" w:rsidRDefault="009400C6" w:rsidP="009400C6">
      <w:pPr>
        <w:jc w:val="center"/>
        <w:rPr>
          <w:rFonts w:ascii="Book Antiqua" w:hAnsi="Book Antiqua"/>
          <w:lang w:eastAsia="zh-CN"/>
        </w:rPr>
      </w:pPr>
      <w:bookmarkStart w:id="7" w:name="OLE_LINK1"/>
      <w:bookmarkStart w:id="8" w:name="OLE_LINK2"/>
    </w:p>
    <w:p w14:paraId="77053885" w14:textId="77777777" w:rsidR="009400C6" w:rsidRDefault="009400C6" w:rsidP="009400C6">
      <w:pPr>
        <w:jc w:val="center"/>
        <w:rPr>
          <w:rFonts w:ascii="Book Antiqua" w:hAnsi="Book Antiqua"/>
          <w:lang w:eastAsia="zh-CN"/>
        </w:rPr>
      </w:pPr>
    </w:p>
    <w:p w14:paraId="1E564AB8" w14:textId="77777777" w:rsidR="009400C6" w:rsidRDefault="009400C6" w:rsidP="009400C6">
      <w:pPr>
        <w:jc w:val="center"/>
        <w:rPr>
          <w:rFonts w:ascii="Book Antiqua" w:hAnsi="Book Antiqua"/>
          <w:lang w:eastAsia="zh-CN"/>
        </w:rPr>
      </w:pPr>
    </w:p>
    <w:p w14:paraId="6F7D26D1" w14:textId="77777777" w:rsidR="009400C6" w:rsidRDefault="009400C6" w:rsidP="009400C6">
      <w:pPr>
        <w:jc w:val="center"/>
        <w:rPr>
          <w:rFonts w:ascii="Book Antiqua" w:hAnsi="Book Antiqua"/>
          <w:lang w:eastAsia="zh-CN"/>
        </w:rPr>
      </w:pPr>
    </w:p>
    <w:p w14:paraId="2F47260C" w14:textId="77777777" w:rsidR="009400C6" w:rsidRDefault="009400C6" w:rsidP="009400C6">
      <w:pPr>
        <w:jc w:val="center"/>
        <w:rPr>
          <w:rFonts w:ascii="Book Antiqua" w:hAnsi="Book Antiqua"/>
          <w:lang w:eastAsia="zh-CN"/>
        </w:rPr>
      </w:pPr>
    </w:p>
    <w:p w14:paraId="578B7971" w14:textId="77777777" w:rsidR="009400C6" w:rsidRDefault="009400C6" w:rsidP="009400C6">
      <w:pPr>
        <w:jc w:val="center"/>
        <w:rPr>
          <w:rFonts w:ascii="Book Antiqua" w:hAnsi="Book Antiqua"/>
          <w:lang w:eastAsia="zh-CN"/>
        </w:rPr>
      </w:pPr>
      <w:r>
        <w:rPr>
          <w:rFonts w:ascii="Book Antiqua" w:hAnsi="Book Antiqua"/>
          <w:noProof/>
          <w:lang w:eastAsia="zh-CN"/>
        </w:rPr>
        <w:drawing>
          <wp:inline distT="0" distB="0" distL="0" distR="0" wp14:anchorId="7137B871" wp14:editId="01ABCE13">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BED126" w14:textId="77777777" w:rsidR="009400C6" w:rsidRDefault="009400C6" w:rsidP="009400C6">
      <w:pPr>
        <w:jc w:val="center"/>
        <w:rPr>
          <w:rFonts w:ascii="Book Antiqua" w:hAnsi="Book Antiqua"/>
          <w:lang w:eastAsia="zh-CN"/>
        </w:rPr>
      </w:pPr>
    </w:p>
    <w:p w14:paraId="5F6A6443" w14:textId="77777777" w:rsidR="009400C6" w:rsidRPr="00763D22" w:rsidRDefault="009400C6" w:rsidP="009400C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F9546CB" w14:textId="77777777" w:rsidR="009400C6" w:rsidRPr="00763D22" w:rsidRDefault="009400C6" w:rsidP="009400C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CC99529" w14:textId="77777777" w:rsidR="009400C6" w:rsidRPr="00763D22" w:rsidRDefault="009400C6" w:rsidP="009400C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C6C47AC" w14:textId="77777777" w:rsidR="009400C6" w:rsidRPr="00763D22" w:rsidRDefault="009400C6" w:rsidP="009400C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1065C0A" w14:textId="77777777" w:rsidR="009400C6" w:rsidRPr="00763D22" w:rsidRDefault="009400C6" w:rsidP="009400C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05BB35" w14:textId="77777777" w:rsidR="009400C6" w:rsidRPr="00763D22" w:rsidRDefault="009400C6" w:rsidP="009400C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2EBB658" w14:textId="77777777" w:rsidR="009400C6" w:rsidRDefault="009400C6" w:rsidP="009400C6">
      <w:pPr>
        <w:jc w:val="center"/>
        <w:rPr>
          <w:rFonts w:ascii="Book Antiqua" w:hAnsi="Book Antiqua"/>
          <w:lang w:eastAsia="zh-CN"/>
        </w:rPr>
      </w:pPr>
    </w:p>
    <w:p w14:paraId="07BF42DC" w14:textId="77777777" w:rsidR="009400C6" w:rsidRDefault="009400C6" w:rsidP="009400C6">
      <w:pPr>
        <w:jc w:val="center"/>
        <w:rPr>
          <w:rFonts w:ascii="Book Antiqua" w:hAnsi="Book Antiqua"/>
          <w:lang w:eastAsia="zh-CN"/>
        </w:rPr>
      </w:pPr>
    </w:p>
    <w:p w14:paraId="4F74B32F" w14:textId="77777777" w:rsidR="009400C6" w:rsidRDefault="009400C6" w:rsidP="009400C6">
      <w:pPr>
        <w:jc w:val="center"/>
        <w:rPr>
          <w:rFonts w:ascii="Book Antiqua" w:hAnsi="Book Antiqua"/>
          <w:lang w:eastAsia="zh-CN"/>
        </w:rPr>
      </w:pPr>
    </w:p>
    <w:p w14:paraId="4B0AF3EE" w14:textId="77777777" w:rsidR="009400C6" w:rsidRDefault="009400C6" w:rsidP="009400C6">
      <w:pPr>
        <w:jc w:val="center"/>
        <w:rPr>
          <w:rFonts w:ascii="Book Antiqua" w:hAnsi="Book Antiqua"/>
          <w:lang w:eastAsia="zh-CN"/>
        </w:rPr>
      </w:pPr>
      <w:r>
        <w:rPr>
          <w:rFonts w:ascii="Book Antiqua" w:hAnsi="Book Antiqua"/>
          <w:noProof/>
          <w:lang w:eastAsia="zh-CN"/>
        </w:rPr>
        <w:drawing>
          <wp:inline distT="0" distB="0" distL="0" distR="0" wp14:anchorId="370D6E84" wp14:editId="19559FF7">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3CD3D7" w14:textId="77777777" w:rsidR="009400C6" w:rsidRDefault="009400C6" w:rsidP="009400C6">
      <w:pPr>
        <w:jc w:val="center"/>
        <w:rPr>
          <w:rFonts w:ascii="Book Antiqua" w:hAnsi="Book Antiqua"/>
          <w:lang w:eastAsia="zh-CN"/>
        </w:rPr>
      </w:pPr>
    </w:p>
    <w:p w14:paraId="7E97CBE6" w14:textId="77777777" w:rsidR="009400C6" w:rsidRDefault="009400C6" w:rsidP="009400C6">
      <w:pPr>
        <w:jc w:val="center"/>
        <w:rPr>
          <w:rFonts w:ascii="Book Antiqua" w:hAnsi="Book Antiqua"/>
          <w:lang w:eastAsia="zh-CN"/>
        </w:rPr>
      </w:pPr>
    </w:p>
    <w:p w14:paraId="20762CDE" w14:textId="77777777" w:rsidR="009400C6" w:rsidRDefault="009400C6" w:rsidP="009400C6">
      <w:pPr>
        <w:jc w:val="center"/>
        <w:rPr>
          <w:rFonts w:ascii="Book Antiqua" w:hAnsi="Book Antiqua"/>
          <w:lang w:eastAsia="zh-CN"/>
        </w:rPr>
      </w:pPr>
    </w:p>
    <w:p w14:paraId="70A4134B" w14:textId="77777777" w:rsidR="009400C6" w:rsidRDefault="009400C6" w:rsidP="009400C6">
      <w:pPr>
        <w:jc w:val="center"/>
        <w:rPr>
          <w:rFonts w:ascii="Book Antiqua" w:hAnsi="Book Antiqua"/>
          <w:lang w:eastAsia="zh-CN"/>
        </w:rPr>
      </w:pPr>
    </w:p>
    <w:p w14:paraId="61850B7F" w14:textId="77777777" w:rsidR="009400C6" w:rsidRDefault="009400C6" w:rsidP="009400C6">
      <w:pPr>
        <w:jc w:val="center"/>
        <w:rPr>
          <w:rFonts w:ascii="Book Antiqua" w:hAnsi="Book Antiqua"/>
          <w:lang w:eastAsia="zh-CN"/>
        </w:rPr>
      </w:pPr>
    </w:p>
    <w:p w14:paraId="4816EC84" w14:textId="77777777" w:rsidR="009400C6" w:rsidRDefault="009400C6" w:rsidP="009400C6">
      <w:pPr>
        <w:jc w:val="center"/>
        <w:rPr>
          <w:rFonts w:ascii="Book Antiqua" w:hAnsi="Book Antiqua"/>
          <w:lang w:eastAsia="zh-CN"/>
        </w:rPr>
      </w:pPr>
    </w:p>
    <w:p w14:paraId="327C5494" w14:textId="77777777" w:rsidR="009400C6" w:rsidRDefault="009400C6" w:rsidP="009400C6">
      <w:pPr>
        <w:jc w:val="center"/>
        <w:rPr>
          <w:rFonts w:ascii="Book Antiqua" w:hAnsi="Book Antiqua"/>
          <w:lang w:eastAsia="zh-CN"/>
        </w:rPr>
      </w:pPr>
    </w:p>
    <w:p w14:paraId="66C57653" w14:textId="77777777" w:rsidR="009400C6" w:rsidRDefault="009400C6" w:rsidP="009400C6">
      <w:pPr>
        <w:jc w:val="center"/>
        <w:rPr>
          <w:rFonts w:ascii="Book Antiqua" w:hAnsi="Book Antiqua"/>
          <w:lang w:eastAsia="zh-CN"/>
        </w:rPr>
      </w:pPr>
    </w:p>
    <w:p w14:paraId="40592FB6" w14:textId="77777777" w:rsidR="009400C6" w:rsidRDefault="009400C6" w:rsidP="009400C6">
      <w:pPr>
        <w:jc w:val="center"/>
        <w:rPr>
          <w:rFonts w:ascii="Book Antiqua" w:hAnsi="Book Antiqua"/>
          <w:lang w:eastAsia="zh-CN"/>
        </w:rPr>
      </w:pPr>
    </w:p>
    <w:p w14:paraId="38881FA0" w14:textId="77777777" w:rsidR="009400C6" w:rsidRPr="00763D22" w:rsidRDefault="009400C6" w:rsidP="009400C6">
      <w:pPr>
        <w:jc w:val="right"/>
        <w:rPr>
          <w:rFonts w:ascii="Book Antiqua" w:hAnsi="Book Antiqua"/>
          <w:color w:val="000000" w:themeColor="text1"/>
          <w:lang w:eastAsia="zh-CN"/>
        </w:rPr>
      </w:pPr>
    </w:p>
    <w:p w14:paraId="5932140A" w14:textId="77777777" w:rsidR="009400C6" w:rsidRPr="00763D22" w:rsidRDefault="009400C6" w:rsidP="009400C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bookmarkEnd w:id="8"/>
    </w:p>
    <w:p w14:paraId="4C106E3D" w14:textId="2B9BE2C4" w:rsidR="00090500" w:rsidRPr="00090500" w:rsidRDefault="00090500">
      <w:pPr>
        <w:spacing w:line="360" w:lineRule="auto"/>
        <w:jc w:val="both"/>
        <w:rPr>
          <w:rFonts w:ascii="Book Antiqua" w:hAnsi="Book Antiqua"/>
        </w:rPr>
      </w:pPr>
      <w:bookmarkStart w:id="9" w:name="_GoBack"/>
      <w:bookmarkEnd w:id="9"/>
    </w:p>
    <w:sectPr w:rsidR="00090500" w:rsidRPr="00090500"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CC44B" w14:textId="77777777" w:rsidR="00780B75" w:rsidRDefault="00780B75" w:rsidP="002521B5">
      <w:r>
        <w:separator/>
      </w:r>
    </w:p>
  </w:endnote>
  <w:endnote w:type="continuationSeparator" w:id="0">
    <w:p w14:paraId="52BAE9A7" w14:textId="77777777" w:rsidR="00780B75" w:rsidRDefault="00780B75" w:rsidP="0025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4650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422E933" w14:textId="2A386D1B" w:rsidR="00CA456B" w:rsidRPr="002521B5" w:rsidRDefault="00CA456B" w:rsidP="002521B5">
            <w:pPr>
              <w:pStyle w:val="a8"/>
              <w:jc w:val="right"/>
              <w:rPr>
                <w:rFonts w:ascii="Book Antiqua" w:hAnsi="Book Antiqua"/>
                <w:sz w:val="24"/>
                <w:szCs w:val="24"/>
              </w:rPr>
            </w:pPr>
            <w:r w:rsidRPr="002521B5">
              <w:rPr>
                <w:rFonts w:ascii="Book Antiqua" w:hAnsi="Book Antiqua"/>
                <w:sz w:val="24"/>
                <w:szCs w:val="24"/>
                <w:lang w:val="zh-CN" w:eastAsia="zh-CN"/>
              </w:rPr>
              <w:t xml:space="preserve"> </w:t>
            </w:r>
            <w:r w:rsidRPr="002521B5">
              <w:rPr>
                <w:rFonts w:ascii="Book Antiqua" w:hAnsi="Book Antiqua"/>
                <w:sz w:val="24"/>
                <w:szCs w:val="24"/>
              </w:rPr>
              <w:fldChar w:fldCharType="begin"/>
            </w:r>
            <w:r w:rsidRPr="002521B5">
              <w:rPr>
                <w:rFonts w:ascii="Book Antiqua" w:hAnsi="Book Antiqua"/>
                <w:sz w:val="24"/>
                <w:szCs w:val="24"/>
              </w:rPr>
              <w:instrText>PAGE</w:instrText>
            </w:r>
            <w:r w:rsidRPr="002521B5">
              <w:rPr>
                <w:rFonts w:ascii="Book Antiqua" w:hAnsi="Book Antiqua"/>
                <w:sz w:val="24"/>
                <w:szCs w:val="24"/>
              </w:rPr>
              <w:fldChar w:fldCharType="separate"/>
            </w:r>
            <w:r w:rsidR="00780B75">
              <w:rPr>
                <w:rFonts w:ascii="Book Antiqua" w:hAnsi="Book Antiqua"/>
                <w:noProof/>
                <w:sz w:val="24"/>
                <w:szCs w:val="24"/>
              </w:rPr>
              <w:t>1</w:t>
            </w:r>
            <w:r w:rsidRPr="002521B5">
              <w:rPr>
                <w:rFonts w:ascii="Book Antiqua" w:hAnsi="Book Antiqua"/>
                <w:sz w:val="24"/>
                <w:szCs w:val="24"/>
              </w:rPr>
              <w:fldChar w:fldCharType="end"/>
            </w:r>
            <w:r w:rsidRPr="002521B5">
              <w:rPr>
                <w:rFonts w:ascii="Book Antiqua" w:hAnsi="Book Antiqua"/>
                <w:sz w:val="24"/>
                <w:szCs w:val="24"/>
                <w:lang w:val="zh-CN" w:eastAsia="zh-CN"/>
              </w:rPr>
              <w:t xml:space="preserve"> / </w:t>
            </w:r>
            <w:r w:rsidRPr="002521B5">
              <w:rPr>
                <w:rFonts w:ascii="Book Antiqua" w:hAnsi="Book Antiqua"/>
                <w:sz w:val="24"/>
                <w:szCs w:val="24"/>
              </w:rPr>
              <w:fldChar w:fldCharType="begin"/>
            </w:r>
            <w:r w:rsidRPr="002521B5">
              <w:rPr>
                <w:rFonts w:ascii="Book Antiqua" w:hAnsi="Book Antiqua"/>
                <w:sz w:val="24"/>
                <w:szCs w:val="24"/>
              </w:rPr>
              <w:instrText>NUMPAGES</w:instrText>
            </w:r>
            <w:r w:rsidRPr="002521B5">
              <w:rPr>
                <w:rFonts w:ascii="Book Antiqua" w:hAnsi="Book Antiqua"/>
                <w:sz w:val="24"/>
                <w:szCs w:val="24"/>
              </w:rPr>
              <w:fldChar w:fldCharType="separate"/>
            </w:r>
            <w:r w:rsidR="00780B75">
              <w:rPr>
                <w:rFonts w:ascii="Book Antiqua" w:hAnsi="Book Antiqua"/>
                <w:noProof/>
                <w:sz w:val="24"/>
                <w:szCs w:val="24"/>
              </w:rPr>
              <w:t>1</w:t>
            </w:r>
            <w:r w:rsidRPr="002521B5">
              <w:rPr>
                <w:rFonts w:ascii="Book Antiqua" w:hAnsi="Book Antiqua"/>
                <w:sz w:val="24"/>
                <w:szCs w:val="24"/>
              </w:rPr>
              <w:fldChar w:fldCharType="end"/>
            </w:r>
          </w:p>
        </w:sdtContent>
      </w:sdt>
    </w:sdtContent>
  </w:sdt>
  <w:p w14:paraId="436406D7" w14:textId="77777777" w:rsidR="00CA456B" w:rsidRPr="002521B5" w:rsidRDefault="00CA456B" w:rsidP="002521B5">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59FDB" w14:textId="77777777" w:rsidR="00780B75" w:rsidRDefault="00780B75" w:rsidP="002521B5">
      <w:r>
        <w:separator/>
      </w:r>
    </w:p>
  </w:footnote>
  <w:footnote w:type="continuationSeparator" w:id="0">
    <w:p w14:paraId="75EDC61E" w14:textId="77777777" w:rsidR="00780B75" w:rsidRDefault="00780B75" w:rsidP="002521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wa Janczewska">
    <w15:presenceInfo w15:providerId="Windows Live" w15:userId="36670f6214370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C7D"/>
    <w:rsid w:val="00012EEB"/>
    <w:rsid w:val="00067AE0"/>
    <w:rsid w:val="00090500"/>
    <w:rsid w:val="000E6526"/>
    <w:rsid w:val="0012281F"/>
    <w:rsid w:val="001834B6"/>
    <w:rsid w:val="00184DC8"/>
    <w:rsid w:val="00211F7E"/>
    <w:rsid w:val="002345CB"/>
    <w:rsid w:val="002521B5"/>
    <w:rsid w:val="00292C21"/>
    <w:rsid w:val="002B2F4B"/>
    <w:rsid w:val="002F2A2F"/>
    <w:rsid w:val="003663C1"/>
    <w:rsid w:val="00382E0D"/>
    <w:rsid w:val="00387652"/>
    <w:rsid w:val="003E5D5B"/>
    <w:rsid w:val="0042683B"/>
    <w:rsid w:val="00444C0E"/>
    <w:rsid w:val="00477AF6"/>
    <w:rsid w:val="004E6C3D"/>
    <w:rsid w:val="005158A2"/>
    <w:rsid w:val="0052402A"/>
    <w:rsid w:val="005B60D8"/>
    <w:rsid w:val="005F2418"/>
    <w:rsid w:val="0068040D"/>
    <w:rsid w:val="00696E0B"/>
    <w:rsid w:val="006B3992"/>
    <w:rsid w:val="00746B8C"/>
    <w:rsid w:val="00780B75"/>
    <w:rsid w:val="007831A1"/>
    <w:rsid w:val="00790643"/>
    <w:rsid w:val="007C69C8"/>
    <w:rsid w:val="007F4322"/>
    <w:rsid w:val="0081058B"/>
    <w:rsid w:val="00881865"/>
    <w:rsid w:val="008C308C"/>
    <w:rsid w:val="009400C6"/>
    <w:rsid w:val="00947EA4"/>
    <w:rsid w:val="009547AB"/>
    <w:rsid w:val="00967B39"/>
    <w:rsid w:val="00A03C38"/>
    <w:rsid w:val="00A11B0A"/>
    <w:rsid w:val="00A47072"/>
    <w:rsid w:val="00A77B3E"/>
    <w:rsid w:val="00A837A2"/>
    <w:rsid w:val="00AB47A8"/>
    <w:rsid w:val="00B45BE7"/>
    <w:rsid w:val="00BA0F39"/>
    <w:rsid w:val="00BA7F9E"/>
    <w:rsid w:val="00C11768"/>
    <w:rsid w:val="00C532F5"/>
    <w:rsid w:val="00C55E61"/>
    <w:rsid w:val="00C569DD"/>
    <w:rsid w:val="00C74904"/>
    <w:rsid w:val="00CA2A55"/>
    <w:rsid w:val="00CA456B"/>
    <w:rsid w:val="00CD1C2C"/>
    <w:rsid w:val="00CF53D5"/>
    <w:rsid w:val="00D13A15"/>
    <w:rsid w:val="00D83F35"/>
    <w:rsid w:val="00DF7CAB"/>
    <w:rsid w:val="00EC631E"/>
    <w:rsid w:val="00F2180E"/>
    <w:rsid w:val="00FB28F4"/>
    <w:rsid w:val="00FC7EB5"/>
    <w:rsid w:val="00FD4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6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styleId="a3">
    <w:name w:val="annotation reference"/>
    <w:basedOn w:val="a0"/>
    <w:semiHidden/>
    <w:unhideWhenUsed/>
    <w:rsid w:val="00387652"/>
    <w:rPr>
      <w:sz w:val="21"/>
      <w:szCs w:val="21"/>
    </w:rPr>
  </w:style>
  <w:style w:type="paragraph" w:styleId="a4">
    <w:name w:val="annotation text"/>
    <w:basedOn w:val="a"/>
    <w:link w:val="Char"/>
    <w:semiHidden/>
    <w:unhideWhenUsed/>
    <w:rsid w:val="00387652"/>
  </w:style>
  <w:style w:type="character" w:customStyle="1" w:styleId="Char">
    <w:name w:val="批注文字 Char"/>
    <w:basedOn w:val="a0"/>
    <w:link w:val="a4"/>
    <w:semiHidden/>
    <w:rsid w:val="00387652"/>
    <w:rPr>
      <w:sz w:val="24"/>
      <w:szCs w:val="24"/>
    </w:rPr>
  </w:style>
  <w:style w:type="paragraph" w:styleId="a5">
    <w:name w:val="annotation subject"/>
    <w:basedOn w:val="a4"/>
    <w:next w:val="a4"/>
    <w:link w:val="Char0"/>
    <w:semiHidden/>
    <w:unhideWhenUsed/>
    <w:rsid w:val="00387652"/>
    <w:rPr>
      <w:b/>
      <w:bCs/>
    </w:rPr>
  </w:style>
  <w:style w:type="character" w:customStyle="1" w:styleId="Char0">
    <w:name w:val="批注主题 Char"/>
    <w:basedOn w:val="Char"/>
    <w:link w:val="a5"/>
    <w:semiHidden/>
    <w:rsid w:val="00387652"/>
    <w:rPr>
      <w:b/>
      <w:bCs/>
      <w:sz w:val="24"/>
      <w:szCs w:val="24"/>
    </w:rPr>
  </w:style>
  <w:style w:type="table" w:styleId="a6">
    <w:name w:val="Table Grid"/>
    <w:basedOn w:val="a1"/>
    <w:uiPriority w:val="39"/>
    <w:rsid w:val="00FB28F4"/>
    <w:rPr>
      <w:rFonts w:asciiTheme="minorHAnsi" w:hAnsiTheme="minorHAnsi" w:cstheme="minorBidi"/>
      <w:sz w:val="24"/>
      <w:szCs w:val="24"/>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2521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2521B5"/>
    <w:rPr>
      <w:sz w:val="18"/>
      <w:szCs w:val="18"/>
    </w:rPr>
  </w:style>
  <w:style w:type="paragraph" w:styleId="a8">
    <w:name w:val="footer"/>
    <w:basedOn w:val="a"/>
    <w:link w:val="Char2"/>
    <w:uiPriority w:val="99"/>
    <w:unhideWhenUsed/>
    <w:rsid w:val="002521B5"/>
    <w:pPr>
      <w:tabs>
        <w:tab w:val="center" w:pos="4153"/>
        <w:tab w:val="right" w:pos="8306"/>
      </w:tabs>
      <w:snapToGrid w:val="0"/>
    </w:pPr>
    <w:rPr>
      <w:sz w:val="18"/>
      <w:szCs w:val="18"/>
    </w:rPr>
  </w:style>
  <w:style w:type="character" w:customStyle="1" w:styleId="Char2">
    <w:name w:val="页脚 Char"/>
    <w:basedOn w:val="a0"/>
    <w:link w:val="a8"/>
    <w:uiPriority w:val="99"/>
    <w:rsid w:val="002521B5"/>
    <w:rPr>
      <w:sz w:val="18"/>
      <w:szCs w:val="18"/>
    </w:rPr>
  </w:style>
  <w:style w:type="paragraph" w:styleId="a9">
    <w:name w:val="Balloon Text"/>
    <w:basedOn w:val="a"/>
    <w:link w:val="Char3"/>
    <w:semiHidden/>
    <w:unhideWhenUsed/>
    <w:rsid w:val="005F2418"/>
    <w:rPr>
      <w:sz w:val="18"/>
      <w:szCs w:val="18"/>
    </w:rPr>
  </w:style>
  <w:style w:type="character" w:customStyle="1" w:styleId="Char3">
    <w:name w:val="批注框文本 Char"/>
    <w:basedOn w:val="a0"/>
    <w:link w:val="a9"/>
    <w:semiHidden/>
    <w:rsid w:val="005F2418"/>
    <w:rPr>
      <w:sz w:val="18"/>
      <w:szCs w:val="18"/>
    </w:rPr>
  </w:style>
  <w:style w:type="paragraph" w:styleId="aa">
    <w:name w:val="Revision"/>
    <w:hidden/>
    <w:uiPriority w:val="99"/>
    <w:semiHidden/>
    <w:rsid w:val="00382E0D"/>
    <w:rPr>
      <w:sz w:val="24"/>
      <w:szCs w:val="24"/>
    </w:rPr>
  </w:style>
  <w:style w:type="character" w:styleId="ab">
    <w:name w:val="Hyperlink"/>
    <w:basedOn w:val="a0"/>
    <w:unhideWhenUsed/>
    <w:rsid w:val="00211F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styleId="a3">
    <w:name w:val="annotation reference"/>
    <w:basedOn w:val="a0"/>
    <w:semiHidden/>
    <w:unhideWhenUsed/>
    <w:rsid w:val="00387652"/>
    <w:rPr>
      <w:sz w:val="21"/>
      <w:szCs w:val="21"/>
    </w:rPr>
  </w:style>
  <w:style w:type="paragraph" w:styleId="a4">
    <w:name w:val="annotation text"/>
    <w:basedOn w:val="a"/>
    <w:link w:val="Char"/>
    <w:semiHidden/>
    <w:unhideWhenUsed/>
    <w:rsid w:val="00387652"/>
  </w:style>
  <w:style w:type="character" w:customStyle="1" w:styleId="Char">
    <w:name w:val="批注文字 Char"/>
    <w:basedOn w:val="a0"/>
    <w:link w:val="a4"/>
    <w:semiHidden/>
    <w:rsid w:val="00387652"/>
    <w:rPr>
      <w:sz w:val="24"/>
      <w:szCs w:val="24"/>
    </w:rPr>
  </w:style>
  <w:style w:type="paragraph" w:styleId="a5">
    <w:name w:val="annotation subject"/>
    <w:basedOn w:val="a4"/>
    <w:next w:val="a4"/>
    <w:link w:val="Char0"/>
    <w:semiHidden/>
    <w:unhideWhenUsed/>
    <w:rsid w:val="00387652"/>
    <w:rPr>
      <w:b/>
      <w:bCs/>
    </w:rPr>
  </w:style>
  <w:style w:type="character" w:customStyle="1" w:styleId="Char0">
    <w:name w:val="批注主题 Char"/>
    <w:basedOn w:val="Char"/>
    <w:link w:val="a5"/>
    <w:semiHidden/>
    <w:rsid w:val="00387652"/>
    <w:rPr>
      <w:b/>
      <w:bCs/>
      <w:sz w:val="24"/>
      <w:szCs w:val="24"/>
    </w:rPr>
  </w:style>
  <w:style w:type="table" w:styleId="a6">
    <w:name w:val="Table Grid"/>
    <w:basedOn w:val="a1"/>
    <w:uiPriority w:val="39"/>
    <w:rsid w:val="00FB28F4"/>
    <w:rPr>
      <w:rFonts w:asciiTheme="minorHAnsi" w:hAnsiTheme="minorHAnsi" w:cstheme="minorBidi"/>
      <w:sz w:val="24"/>
      <w:szCs w:val="24"/>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2521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2521B5"/>
    <w:rPr>
      <w:sz w:val="18"/>
      <w:szCs w:val="18"/>
    </w:rPr>
  </w:style>
  <w:style w:type="paragraph" w:styleId="a8">
    <w:name w:val="footer"/>
    <w:basedOn w:val="a"/>
    <w:link w:val="Char2"/>
    <w:uiPriority w:val="99"/>
    <w:unhideWhenUsed/>
    <w:rsid w:val="002521B5"/>
    <w:pPr>
      <w:tabs>
        <w:tab w:val="center" w:pos="4153"/>
        <w:tab w:val="right" w:pos="8306"/>
      </w:tabs>
      <w:snapToGrid w:val="0"/>
    </w:pPr>
    <w:rPr>
      <w:sz w:val="18"/>
      <w:szCs w:val="18"/>
    </w:rPr>
  </w:style>
  <w:style w:type="character" w:customStyle="1" w:styleId="Char2">
    <w:name w:val="页脚 Char"/>
    <w:basedOn w:val="a0"/>
    <w:link w:val="a8"/>
    <w:uiPriority w:val="99"/>
    <w:rsid w:val="002521B5"/>
    <w:rPr>
      <w:sz w:val="18"/>
      <w:szCs w:val="18"/>
    </w:rPr>
  </w:style>
  <w:style w:type="paragraph" w:styleId="a9">
    <w:name w:val="Balloon Text"/>
    <w:basedOn w:val="a"/>
    <w:link w:val="Char3"/>
    <w:semiHidden/>
    <w:unhideWhenUsed/>
    <w:rsid w:val="005F2418"/>
    <w:rPr>
      <w:sz w:val="18"/>
      <w:szCs w:val="18"/>
    </w:rPr>
  </w:style>
  <w:style w:type="character" w:customStyle="1" w:styleId="Char3">
    <w:name w:val="批注框文本 Char"/>
    <w:basedOn w:val="a0"/>
    <w:link w:val="a9"/>
    <w:semiHidden/>
    <w:rsid w:val="005F2418"/>
    <w:rPr>
      <w:sz w:val="18"/>
      <w:szCs w:val="18"/>
    </w:rPr>
  </w:style>
  <w:style w:type="paragraph" w:styleId="aa">
    <w:name w:val="Revision"/>
    <w:hidden/>
    <w:uiPriority w:val="99"/>
    <w:semiHidden/>
    <w:rsid w:val="00382E0D"/>
    <w:rPr>
      <w:sz w:val="24"/>
      <w:szCs w:val="24"/>
    </w:rPr>
  </w:style>
  <w:style w:type="character" w:styleId="ab">
    <w:name w:val="Hyperlink"/>
    <w:basedOn w:val="a0"/>
    <w:unhideWhenUsed/>
    <w:rsid w:val="00211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4333">
      <w:bodyDiv w:val="1"/>
      <w:marLeft w:val="0"/>
      <w:marRight w:val="0"/>
      <w:marTop w:val="0"/>
      <w:marBottom w:val="0"/>
      <w:divBdr>
        <w:top w:val="none" w:sz="0" w:space="0" w:color="auto"/>
        <w:left w:val="none" w:sz="0" w:space="0" w:color="auto"/>
        <w:bottom w:val="none" w:sz="0" w:space="0" w:color="auto"/>
        <w:right w:val="none" w:sz="0" w:space="0" w:color="auto"/>
      </w:divBdr>
      <w:divsChild>
        <w:div w:id="921792171">
          <w:marLeft w:val="0"/>
          <w:marRight w:val="0"/>
          <w:marTop w:val="0"/>
          <w:marBottom w:val="0"/>
          <w:divBdr>
            <w:top w:val="none" w:sz="0" w:space="0" w:color="auto"/>
            <w:left w:val="none" w:sz="0" w:space="0" w:color="auto"/>
            <w:bottom w:val="none" w:sz="0" w:space="0" w:color="auto"/>
            <w:right w:val="none" w:sz="0" w:space="0" w:color="auto"/>
          </w:divBdr>
          <w:divsChild>
            <w:div w:id="1622497868">
              <w:marLeft w:val="0"/>
              <w:marRight w:val="0"/>
              <w:marTop w:val="0"/>
              <w:marBottom w:val="0"/>
              <w:divBdr>
                <w:top w:val="none" w:sz="0" w:space="0" w:color="auto"/>
                <w:left w:val="none" w:sz="0" w:space="0" w:color="auto"/>
                <w:bottom w:val="none" w:sz="0" w:space="0" w:color="auto"/>
                <w:right w:val="none" w:sz="0" w:space="0" w:color="auto"/>
              </w:divBdr>
              <w:divsChild>
                <w:div w:id="1805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5630">
          <w:marLeft w:val="0"/>
          <w:marRight w:val="0"/>
          <w:marTop w:val="0"/>
          <w:marBottom w:val="0"/>
          <w:divBdr>
            <w:top w:val="none" w:sz="0" w:space="0" w:color="auto"/>
            <w:left w:val="none" w:sz="0" w:space="0" w:color="auto"/>
            <w:bottom w:val="none" w:sz="0" w:space="0" w:color="auto"/>
            <w:right w:val="none" w:sz="0" w:space="0" w:color="auto"/>
          </w:divBdr>
        </w:div>
      </w:divsChild>
    </w:div>
    <w:div w:id="88553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8856290/"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png"/><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32754824/"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8946</Words>
  <Characters>50993</Characters>
  <Application>Microsoft Office Word</Application>
  <DocSecurity>0</DocSecurity>
  <Lines>424</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liujihong2008@qq.con</cp:lastModifiedBy>
  <cp:revision>6</cp:revision>
  <dcterms:created xsi:type="dcterms:W3CDTF">2021-04-25T18:17:00Z</dcterms:created>
  <dcterms:modified xsi:type="dcterms:W3CDTF">2021-05-08T04:49:00Z</dcterms:modified>
  <cp:category/>
</cp:coreProperties>
</file>