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BCF563" w14:textId="77777777" w:rsidR="00A77B3E" w:rsidRPr="00995972" w:rsidRDefault="006C4286">
      <w:pPr>
        <w:spacing w:line="360" w:lineRule="auto"/>
        <w:jc w:val="both"/>
      </w:pPr>
      <w:r w:rsidRPr="00995972">
        <w:rPr>
          <w:rFonts w:ascii="Book Antiqua" w:eastAsia="Book Antiqua" w:hAnsi="Book Antiqua" w:cs="Book Antiqua"/>
          <w:b/>
          <w:color w:val="000000"/>
        </w:rPr>
        <w:t xml:space="preserve">Name of Journal: </w:t>
      </w:r>
      <w:r w:rsidRPr="00995972">
        <w:rPr>
          <w:rFonts w:ascii="Book Antiqua" w:eastAsia="Book Antiqua" w:hAnsi="Book Antiqua" w:cs="Book Antiqua"/>
          <w:i/>
          <w:color w:val="000000"/>
        </w:rPr>
        <w:t>World Journal of Gastroenterology</w:t>
      </w:r>
    </w:p>
    <w:p w14:paraId="0B1E8F17" w14:textId="77777777" w:rsidR="00A77B3E" w:rsidRPr="00995972" w:rsidRDefault="006C4286">
      <w:pPr>
        <w:spacing w:line="360" w:lineRule="auto"/>
        <w:jc w:val="both"/>
      </w:pPr>
      <w:r w:rsidRPr="00995972">
        <w:rPr>
          <w:rFonts w:ascii="Book Antiqua" w:eastAsia="Book Antiqua" w:hAnsi="Book Antiqua" w:cs="Book Antiqua"/>
          <w:b/>
          <w:color w:val="000000"/>
        </w:rPr>
        <w:t xml:space="preserve">Manuscript NO: </w:t>
      </w:r>
      <w:r w:rsidRPr="00995972">
        <w:rPr>
          <w:rFonts w:ascii="Book Antiqua" w:eastAsia="Book Antiqua" w:hAnsi="Book Antiqua" w:cs="Book Antiqua"/>
          <w:color w:val="000000"/>
        </w:rPr>
        <w:t>63065</w:t>
      </w:r>
    </w:p>
    <w:p w14:paraId="2E641AB5" w14:textId="77777777" w:rsidR="00A77B3E" w:rsidRPr="00995972" w:rsidRDefault="006C4286">
      <w:pPr>
        <w:spacing w:line="360" w:lineRule="auto"/>
        <w:jc w:val="both"/>
      </w:pPr>
      <w:r w:rsidRPr="00995972">
        <w:rPr>
          <w:rFonts w:ascii="Book Antiqua" w:eastAsia="Book Antiqua" w:hAnsi="Book Antiqua" w:cs="Book Antiqua"/>
          <w:b/>
          <w:color w:val="000000"/>
        </w:rPr>
        <w:t xml:space="preserve">Manuscript Type: </w:t>
      </w:r>
      <w:bookmarkStart w:id="0" w:name="OLE_LINK8"/>
      <w:bookmarkStart w:id="1" w:name="OLE_LINK9"/>
      <w:r w:rsidRPr="00995972">
        <w:rPr>
          <w:rFonts w:ascii="Book Antiqua" w:eastAsia="Book Antiqua" w:hAnsi="Book Antiqua" w:cs="Book Antiqua"/>
          <w:color w:val="000000"/>
        </w:rPr>
        <w:t>MINIREVIEWS</w:t>
      </w:r>
      <w:bookmarkEnd w:id="0"/>
      <w:bookmarkEnd w:id="1"/>
    </w:p>
    <w:p w14:paraId="516151D1" w14:textId="77777777" w:rsidR="00A77B3E" w:rsidRPr="00995972" w:rsidRDefault="00A77B3E">
      <w:pPr>
        <w:spacing w:line="360" w:lineRule="auto"/>
        <w:jc w:val="both"/>
      </w:pPr>
    </w:p>
    <w:p w14:paraId="1D8CA462" w14:textId="77777777" w:rsidR="00A77B3E" w:rsidRPr="00995972" w:rsidRDefault="006C4286">
      <w:pPr>
        <w:spacing w:line="360" w:lineRule="auto"/>
        <w:jc w:val="both"/>
      </w:pPr>
      <w:bookmarkStart w:id="2" w:name="OLE_LINK1"/>
      <w:bookmarkStart w:id="3" w:name="OLE_LINK14"/>
      <w:r w:rsidRPr="00995972">
        <w:rPr>
          <w:rFonts w:ascii="Book Antiqua" w:eastAsia="Book Antiqua" w:hAnsi="Book Antiqua" w:cs="Book Antiqua"/>
          <w:b/>
          <w:color w:val="000000"/>
        </w:rPr>
        <w:t xml:space="preserve">Preoperative physiological esophageal assessment for anti-reflux surgery: A guide for surgeons on </w:t>
      </w:r>
      <w:r w:rsidR="001A4D81" w:rsidRPr="00995972">
        <w:rPr>
          <w:rFonts w:ascii="Book Antiqua" w:eastAsia="Book Antiqua" w:hAnsi="Book Antiqua" w:cs="Book Antiqua"/>
          <w:b/>
          <w:color w:val="000000"/>
        </w:rPr>
        <w:t>high-resolution manometry</w:t>
      </w:r>
      <w:r w:rsidRPr="00995972">
        <w:rPr>
          <w:rFonts w:ascii="Book Antiqua" w:eastAsia="Book Antiqua" w:hAnsi="Book Antiqua" w:cs="Book Antiqua"/>
          <w:b/>
          <w:color w:val="000000"/>
        </w:rPr>
        <w:t xml:space="preserve"> and pH testing</w:t>
      </w:r>
    </w:p>
    <w:bookmarkEnd w:id="2"/>
    <w:bookmarkEnd w:id="3"/>
    <w:p w14:paraId="378AF4D5" w14:textId="77777777" w:rsidR="00A77B3E" w:rsidRPr="00995972" w:rsidRDefault="00A77B3E">
      <w:pPr>
        <w:spacing w:line="360" w:lineRule="auto"/>
        <w:jc w:val="both"/>
      </w:pPr>
    </w:p>
    <w:p w14:paraId="68DF4FD1" w14:textId="77777777" w:rsidR="00A77B3E" w:rsidRPr="00995972" w:rsidRDefault="006C4286">
      <w:pPr>
        <w:spacing w:line="360" w:lineRule="auto"/>
        <w:jc w:val="both"/>
      </w:pPr>
      <w:r w:rsidRPr="00995972">
        <w:rPr>
          <w:rFonts w:ascii="Book Antiqua" w:eastAsia="Book Antiqua" w:hAnsi="Book Antiqua" w:cs="Book Antiqua"/>
          <w:color w:val="000000"/>
        </w:rPr>
        <w:t xml:space="preserve">Yodice M </w:t>
      </w:r>
      <w:r w:rsidRPr="00995972">
        <w:rPr>
          <w:rFonts w:ascii="Book Antiqua" w:eastAsia="Book Antiqua" w:hAnsi="Book Antiqua" w:cs="Book Antiqua"/>
          <w:i/>
          <w:iCs/>
          <w:color w:val="000000"/>
        </w:rPr>
        <w:t>et al</w:t>
      </w:r>
      <w:r w:rsidRPr="00995972">
        <w:rPr>
          <w:rFonts w:ascii="Book Antiqua" w:eastAsia="Book Antiqua" w:hAnsi="Book Antiqua" w:cs="Book Antiqua"/>
          <w:color w:val="000000"/>
        </w:rPr>
        <w:t xml:space="preserve">. </w:t>
      </w:r>
      <w:bookmarkStart w:id="4" w:name="OLE_LINK2"/>
      <w:bookmarkStart w:id="5" w:name="OLE_LINK3"/>
      <w:bookmarkStart w:id="6" w:name="OLE_LINK15"/>
      <w:bookmarkStart w:id="7" w:name="OLE_LINK16"/>
      <w:r w:rsidRPr="00995972">
        <w:rPr>
          <w:rFonts w:ascii="Book Antiqua" w:eastAsia="Book Antiqua" w:hAnsi="Book Antiqua" w:cs="Book Antiqua"/>
          <w:color w:val="000000"/>
        </w:rPr>
        <w:t>Preoperative esophageal assessment</w:t>
      </w:r>
      <w:bookmarkEnd w:id="4"/>
      <w:bookmarkEnd w:id="5"/>
    </w:p>
    <w:bookmarkEnd w:id="6"/>
    <w:bookmarkEnd w:id="7"/>
    <w:p w14:paraId="5A05E6DB" w14:textId="77777777" w:rsidR="00A77B3E" w:rsidRPr="00995972" w:rsidRDefault="00A77B3E">
      <w:pPr>
        <w:spacing w:line="360" w:lineRule="auto"/>
        <w:jc w:val="both"/>
      </w:pPr>
    </w:p>
    <w:p w14:paraId="2F7648E9" w14:textId="77777777" w:rsidR="00A77B3E" w:rsidRPr="00995972" w:rsidRDefault="006C4286">
      <w:pPr>
        <w:spacing w:line="360" w:lineRule="auto"/>
        <w:jc w:val="both"/>
      </w:pPr>
      <w:r w:rsidRPr="00995972">
        <w:rPr>
          <w:rFonts w:ascii="Book Antiqua" w:eastAsia="Book Antiqua" w:hAnsi="Book Antiqua" w:cs="Book Antiqua"/>
          <w:color w:val="000000"/>
        </w:rPr>
        <w:t>Michael Yodice, Alexandra Mignucci, Virali Shah, Christopher Ashley, Micheal Tadros</w:t>
      </w:r>
    </w:p>
    <w:p w14:paraId="67D7D4F4" w14:textId="77777777" w:rsidR="00A77B3E" w:rsidRPr="00995972" w:rsidRDefault="00A77B3E">
      <w:pPr>
        <w:spacing w:line="360" w:lineRule="auto"/>
        <w:jc w:val="both"/>
      </w:pPr>
    </w:p>
    <w:p w14:paraId="5E118B53" w14:textId="77777777" w:rsidR="00A77B3E" w:rsidRPr="00995972" w:rsidRDefault="006C4286">
      <w:pPr>
        <w:spacing w:line="360" w:lineRule="auto"/>
        <w:jc w:val="both"/>
      </w:pPr>
      <w:r w:rsidRPr="00995972">
        <w:rPr>
          <w:rFonts w:ascii="Book Antiqua" w:eastAsia="Book Antiqua" w:hAnsi="Book Antiqua" w:cs="Book Antiqua"/>
          <w:b/>
          <w:bCs/>
          <w:color w:val="000000"/>
        </w:rPr>
        <w:t xml:space="preserve">Michael Yodice, Alexandra Mignucci, Virali Shah, </w:t>
      </w:r>
      <w:r w:rsidRPr="00995972">
        <w:rPr>
          <w:rFonts w:ascii="Book Antiqua" w:eastAsia="Book Antiqua" w:hAnsi="Book Antiqua" w:cs="Book Antiqua"/>
          <w:color w:val="000000"/>
        </w:rPr>
        <w:t xml:space="preserve">Department of Gastroenterology, Albany Medical College, Albany, NY 12208, </w:t>
      </w:r>
      <w:bookmarkStart w:id="8" w:name="OLE_LINK4"/>
      <w:bookmarkStart w:id="9" w:name="OLE_LINK5"/>
      <w:r w:rsidRPr="00995972">
        <w:rPr>
          <w:rFonts w:ascii="Book Antiqua" w:eastAsia="Book Antiqua" w:hAnsi="Book Antiqua" w:cs="Book Antiqua"/>
          <w:color w:val="000000"/>
        </w:rPr>
        <w:t>United States</w:t>
      </w:r>
      <w:bookmarkEnd w:id="8"/>
      <w:bookmarkEnd w:id="9"/>
    </w:p>
    <w:p w14:paraId="621AE490" w14:textId="77777777" w:rsidR="00A77B3E" w:rsidRPr="00995972" w:rsidRDefault="00A77B3E">
      <w:pPr>
        <w:spacing w:line="360" w:lineRule="auto"/>
        <w:jc w:val="both"/>
      </w:pPr>
    </w:p>
    <w:p w14:paraId="3CBF5A5B" w14:textId="77777777" w:rsidR="00A77B3E" w:rsidRPr="00995972" w:rsidRDefault="006C4286">
      <w:pPr>
        <w:spacing w:line="360" w:lineRule="auto"/>
        <w:jc w:val="both"/>
      </w:pPr>
      <w:r w:rsidRPr="00995972">
        <w:rPr>
          <w:rFonts w:ascii="Book Antiqua" w:eastAsia="Book Antiqua" w:hAnsi="Book Antiqua" w:cs="Book Antiqua"/>
          <w:b/>
          <w:bCs/>
          <w:color w:val="000000"/>
        </w:rPr>
        <w:t xml:space="preserve">Christopher Ashley, </w:t>
      </w:r>
      <w:r w:rsidRPr="00995972">
        <w:rPr>
          <w:rFonts w:ascii="Book Antiqua" w:eastAsia="Book Antiqua" w:hAnsi="Book Antiqua" w:cs="Book Antiqua"/>
          <w:color w:val="000000"/>
        </w:rPr>
        <w:t>Section of Gastroenterology, Stratton VA Medical Center, Albany, NY 12208, United States</w:t>
      </w:r>
    </w:p>
    <w:p w14:paraId="13FA1A12" w14:textId="77777777" w:rsidR="00A77B3E" w:rsidRPr="00995972" w:rsidRDefault="00A77B3E">
      <w:pPr>
        <w:spacing w:line="360" w:lineRule="auto"/>
        <w:jc w:val="both"/>
      </w:pPr>
    </w:p>
    <w:p w14:paraId="7CC6E32D" w14:textId="77777777" w:rsidR="00A77B3E" w:rsidRPr="00995972" w:rsidRDefault="006C4286">
      <w:pPr>
        <w:spacing w:line="360" w:lineRule="auto"/>
        <w:jc w:val="both"/>
      </w:pPr>
      <w:r w:rsidRPr="00995972">
        <w:rPr>
          <w:rFonts w:ascii="Book Antiqua" w:eastAsia="Book Antiqua" w:hAnsi="Book Antiqua" w:cs="Book Antiqua"/>
          <w:b/>
          <w:bCs/>
          <w:color w:val="000000"/>
        </w:rPr>
        <w:t xml:space="preserve">Micheal Tadros, </w:t>
      </w:r>
      <w:r w:rsidRPr="00995972">
        <w:rPr>
          <w:rFonts w:ascii="Book Antiqua" w:eastAsia="Book Antiqua" w:hAnsi="Book Antiqua" w:cs="Book Antiqua"/>
          <w:color w:val="000000"/>
        </w:rPr>
        <w:t>Department of Gastroenterology, Albany Medical Center, Schenectady, NY 12309, United States</w:t>
      </w:r>
    </w:p>
    <w:p w14:paraId="75062FDA" w14:textId="77777777" w:rsidR="00A77B3E" w:rsidRPr="00995972" w:rsidRDefault="00A77B3E">
      <w:pPr>
        <w:spacing w:line="360" w:lineRule="auto"/>
        <w:jc w:val="both"/>
      </w:pPr>
    </w:p>
    <w:p w14:paraId="0966BDCD" w14:textId="6EF21DD6" w:rsidR="00A77B3E" w:rsidRPr="00995972" w:rsidRDefault="006C4286">
      <w:pPr>
        <w:spacing w:line="360" w:lineRule="auto"/>
        <w:jc w:val="both"/>
      </w:pPr>
      <w:r w:rsidRPr="00995972">
        <w:rPr>
          <w:rFonts w:ascii="Book Antiqua" w:eastAsia="Book Antiqua" w:hAnsi="Book Antiqua" w:cs="Book Antiqua"/>
          <w:b/>
          <w:bCs/>
          <w:color w:val="000000"/>
        </w:rPr>
        <w:t xml:space="preserve">Author contributions: </w:t>
      </w:r>
      <w:bookmarkStart w:id="10" w:name="OLE_LINK17"/>
      <w:r w:rsidRPr="00995972">
        <w:rPr>
          <w:rFonts w:ascii="Book Antiqua" w:eastAsia="Book Antiqua" w:hAnsi="Book Antiqua" w:cs="Book Antiqua"/>
          <w:color w:val="000000"/>
        </w:rPr>
        <w:t>Yodice M contributed as lead author with manuscript preparation. Mignucci A and Shah V contributed equally with manuscript preparation and critical review</w:t>
      </w:r>
      <w:r w:rsidR="00D670E7" w:rsidRPr="00995972">
        <w:rPr>
          <w:rFonts w:ascii="Book Antiqua" w:eastAsia="Book Antiqua" w:hAnsi="Book Antiqua" w:cs="Book Antiqua"/>
          <w:color w:val="000000"/>
        </w:rPr>
        <w:t>;</w:t>
      </w:r>
      <w:r w:rsidRPr="00995972">
        <w:rPr>
          <w:rFonts w:ascii="Book Antiqua" w:eastAsia="Book Antiqua" w:hAnsi="Book Antiqua" w:cs="Book Antiqua"/>
          <w:color w:val="000000"/>
        </w:rPr>
        <w:t xml:space="preserve"> Ashley C contributed critical review for the manuscript</w:t>
      </w:r>
      <w:r w:rsidR="00D670E7" w:rsidRPr="00995972">
        <w:rPr>
          <w:rFonts w:ascii="Book Antiqua" w:eastAsia="Book Antiqua" w:hAnsi="Book Antiqua" w:cs="Book Antiqua"/>
          <w:color w:val="000000"/>
        </w:rPr>
        <w:t>;</w:t>
      </w:r>
      <w:r w:rsidRPr="00995972">
        <w:rPr>
          <w:rFonts w:ascii="Book Antiqua" w:eastAsia="Book Antiqua" w:hAnsi="Book Antiqua" w:cs="Book Antiqua"/>
          <w:color w:val="000000"/>
        </w:rPr>
        <w:t xml:space="preserve"> Tadros M is the guarantor of the manuscript and also provided critical review.</w:t>
      </w:r>
    </w:p>
    <w:bookmarkEnd w:id="10"/>
    <w:p w14:paraId="458C21D6" w14:textId="77777777" w:rsidR="00A77B3E" w:rsidRPr="00995972" w:rsidRDefault="00A77B3E">
      <w:pPr>
        <w:spacing w:line="360" w:lineRule="auto"/>
        <w:jc w:val="both"/>
      </w:pPr>
    </w:p>
    <w:p w14:paraId="2BFAE9B5" w14:textId="77777777" w:rsidR="00A77B3E" w:rsidRPr="00995972" w:rsidRDefault="006C4286">
      <w:pPr>
        <w:spacing w:line="360" w:lineRule="auto"/>
        <w:jc w:val="both"/>
      </w:pPr>
      <w:r w:rsidRPr="00995972">
        <w:rPr>
          <w:rFonts w:ascii="Book Antiqua" w:eastAsia="Book Antiqua" w:hAnsi="Book Antiqua" w:cs="Book Antiqua"/>
          <w:b/>
          <w:bCs/>
          <w:color w:val="000000"/>
        </w:rPr>
        <w:t xml:space="preserve">Corresponding author: Micheal Tadros, FACG, MD, Associate Professor, Doctor, </w:t>
      </w:r>
      <w:r w:rsidRPr="00995972">
        <w:rPr>
          <w:rFonts w:ascii="Book Antiqua" w:eastAsia="Book Antiqua" w:hAnsi="Book Antiqua" w:cs="Book Antiqua"/>
          <w:color w:val="000000"/>
        </w:rPr>
        <w:t xml:space="preserve">Department of Gastroenterology, Albany Medical Center, </w:t>
      </w:r>
      <w:bookmarkStart w:id="11" w:name="OLE_LINK6"/>
      <w:bookmarkStart w:id="12" w:name="OLE_LINK7"/>
      <w:r w:rsidRPr="00995972">
        <w:rPr>
          <w:rFonts w:ascii="Book Antiqua" w:eastAsia="Book Antiqua" w:hAnsi="Book Antiqua" w:cs="Book Antiqua"/>
          <w:color w:val="000000"/>
        </w:rPr>
        <w:t>1769 Union Street 2</w:t>
      </w:r>
      <w:r w:rsidRPr="00995972">
        <w:rPr>
          <w:rFonts w:ascii="Book Antiqua" w:eastAsia="Book Antiqua" w:hAnsi="Book Antiqua" w:cs="Book Antiqua"/>
          <w:color w:val="000000"/>
          <w:vertAlign w:val="superscript"/>
        </w:rPr>
        <w:t>nd</w:t>
      </w:r>
      <w:r w:rsidRPr="00995972">
        <w:rPr>
          <w:rFonts w:ascii="Book Antiqua" w:eastAsia="Book Antiqua" w:hAnsi="Book Antiqua" w:cs="Book Antiqua"/>
          <w:color w:val="000000"/>
        </w:rPr>
        <w:t xml:space="preserve"> Floor</w:t>
      </w:r>
      <w:bookmarkEnd w:id="11"/>
      <w:bookmarkEnd w:id="12"/>
      <w:r w:rsidRPr="00995972">
        <w:rPr>
          <w:rFonts w:ascii="Book Antiqua" w:eastAsia="Book Antiqua" w:hAnsi="Book Antiqua" w:cs="Book Antiqua"/>
          <w:color w:val="000000"/>
        </w:rPr>
        <w:t>, Schenectady, NY 12309, United States. tadrosm1@amc.edu</w:t>
      </w:r>
    </w:p>
    <w:p w14:paraId="53E48BDC" w14:textId="77777777" w:rsidR="00A77B3E" w:rsidRPr="00995972" w:rsidRDefault="00A77B3E">
      <w:pPr>
        <w:spacing w:line="360" w:lineRule="auto"/>
        <w:jc w:val="both"/>
      </w:pPr>
    </w:p>
    <w:p w14:paraId="01D65F3A" w14:textId="77777777" w:rsidR="00A77B3E" w:rsidRPr="00995972" w:rsidRDefault="006C4286">
      <w:pPr>
        <w:spacing w:line="360" w:lineRule="auto"/>
        <w:jc w:val="both"/>
      </w:pPr>
      <w:r w:rsidRPr="00995972">
        <w:rPr>
          <w:rFonts w:ascii="Book Antiqua" w:eastAsia="Book Antiqua" w:hAnsi="Book Antiqua" w:cs="Book Antiqua"/>
          <w:b/>
          <w:bCs/>
          <w:color w:val="000000"/>
        </w:rPr>
        <w:t xml:space="preserve">Received: </w:t>
      </w:r>
      <w:r w:rsidRPr="00995972">
        <w:rPr>
          <w:rFonts w:ascii="Book Antiqua" w:eastAsia="Book Antiqua" w:hAnsi="Book Antiqua" w:cs="Book Antiqua"/>
          <w:color w:val="000000"/>
        </w:rPr>
        <w:t>January 23, 2021</w:t>
      </w:r>
    </w:p>
    <w:p w14:paraId="180FE18E" w14:textId="77777777" w:rsidR="00A77B3E" w:rsidRPr="00995972" w:rsidRDefault="006C4286">
      <w:pPr>
        <w:spacing w:line="360" w:lineRule="auto"/>
        <w:jc w:val="both"/>
      </w:pPr>
      <w:r w:rsidRPr="00995972">
        <w:rPr>
          <w:rFonts w:ascii="Book Antiqua" w:eastAsia="Book Antiqua" w:hAnsi="Book Antiqua" w:cs="Book Antiqua"/>
          <w:b/>
          <w:bCs/>
          <w:color w:val="000000"/>
        </w:rPr>
        <w:lastRenderedPageBreak/>
        <w:t xml:space="preserve">Revised: </w:t>
      </w:r>
      <w:r w:rsidRPr="00995972">
        <w:rPr>
          <w:rFonts w:ascii="Book Antiqua" w:eastAsia="Book Antiqua" w:hAnsi="Book Antiqua" w:cs="Book Antiqua"/>
          <w:color w:val="000000"/>
        </w:rPr>
        <w:t>February 18, 2021</w:t>
      </w:r>
    </w:p>
    <w:p w14:paraId="344CC1E1" w14:textId="681DB089" w:rsidR="00A77B3E" w:rsidRPr="00995972" w:rsidRDefault="006C4286">
      <w:pPr>
        <w:spacing w:line="360" w:lineRule="auto"/>
        <w:jc w:val="both"/>
      </w:pPr>
      <w:r w:rsidRPr="00995972">
        <w:rPr>
          <w:rFonts w:ascii="Book Antiqua" w:eastAsia="Book Antiqua" w:hAnsi="Book Antiqua" w:cs="Book Antiqua"/>
          <w:b/>
          <w:bCs/>
          <w:color w:val="000000"/>
        </w:rPr>
        <w:t xml:space="preserve">Accepted: </w:t>
      </w:r>
      <w:r w:rsidR="00332F0C" w:rsidRPr="00995972">
        <w:rPr>
          <w:rFonts w:ascii="Book Antiqua" w:eastAsia="Book Antiqua" w:hAnsi="Book Antiqua" w:cs="Book Antiqua"/>
          <w:color w:val="000000"/>
        </w:rPr>
        <w:t>March 25, 2021</w:t>
      </w:r>
    </w:p>
    <w:p w14:paraId="7FB6B58B" w14:textId="0360DBB2" w:rsidR="00A77B3E" w:rsidRPr="00995972" w:rsidRDefault="006C4286">
      <w:pPr>
        <w:spacing w:line="360" w:lineRule="auto"/>
        <w:jc w:val="both"/>
        <w:rPr>
          <w:lang w:eastAsia="zh-CN"/>
        </w:rPr>
      </w:pPr>
      <w:r w:rsidRPr="00995972">
        <w:rPr>
          <w:rFonts w:ascii="Book Antiqua" w:eastAsia="Book Antiqua" w:hAnsi="Book Antiqua" w:cs="Book Antiqua"/>
          <w:b/>
          <w:bCs/>
          <w:color w:val="000000"/>
        </w:rPr>
        <w:t>Published online:</w:t>
      </w:r>
      <w:r w:rsidRPr="00995972">
        <w:rPr>
          <w:rFonts w:ascii="Book Antiqua" w:eastAsia="Book Antiqua" w:hAnsi="Book Antiqua" w:cs="Book Antiqua"/>
          <w:bCs/>
          <w:color w:val="000000"/>
        </w:rPr>
        <w:t xml:space="preserve"> </w:t>
      </w:r>
      <w:r w:rsidR="00657E44" w:rsidRPr="00995972">
        <w:rPr>
          <w:rFonts w:ascii="Book Antiqua" w:hAnsi="Book Antiqua" w:cs="Book Antiqua" w:hint="eastAsia"/>
          <w:bCs/>
          <w:color w:val="000000"/>
          <w:lang w:eastAsia="zh-CN"/>
        </w:rPr>
        <w:t>April 28, 2021</w:t>
      </w:r>
    </w:p>
    <w:p w14:paraId="1F5F896A" w14:textId="77777777" w:rsidR="00A77B3E" w:rsidRPr="00995972" w:rsidRDefault="00A77B3E">
      <w:pPr>
        <w:spacing w:line="360" w:lineRule="auto"/>
        <w:jc w:val="both"/>
        <w:sectPr w:rsidR="00A77B3E" w:rsidRPr="00995972">
          <w:footerReference w:type="default" r:id="rId7"/>
          <w:pgSz w:w="12240" w:h="15840"/>
          <w:pgMar w:top="1440" w:right="1440" w:bottom="1440" w:left="1440" w:header="720" w:footer="720" w:gutter="0"/>
          <w:cols w:space="720"/>
          <w:docGrid w:linePitch="360"/>
        </w:sectPr>
      </w:pPr>
    </w:p>
    <w:p w14:paraId="2F275AFC" w14:textId="77777777" w:rsidR="00A77B3E" w:rsidRPr="00995972" w:rsidRDefault="006C4286">
      <w:pPr>
        <w:spacing w:line="360" w:lineRule="auto"/>
        <w:jc w:val="both"/>
      </w:pPr>
      <w:r w:rsidRPr="00995972">
        <w:rPr>
          <w:rFonts w:ascii="Book Antiqua" w:eastAsia="Book Antiqua" w:hAnsi="Book Antiqua" w:cs="Book Antiqua"/>
          <w:b/>
          <w:color w:val="000000"/>
        </w:rPr>
        <w:t>Abstract</w:t>
      </w:r>
    </w:p>
    <w:p w14:paraId="13DA4739" w14:textId="77777777" w:rsidR="00A77B3E" w:rsidRPr="00995972" w:rsidRDefault="006C4286">
      <w:pPr>
        <w:spacing w:line="360" w:lineRule="auto"/>
        <w:jc w:val="both"/>
      </w:pPr>
      <w:bookmarkStart w:id="13" w:name="OLE_LINK202"/>
      <w:bookmarkStart w:id="14" w:name="OLE_LINK203"/>
      <w:bookmarkStart w:id="15" w:name="OLE_LINK210"/>
      <w:bookmarkStart w:id="16" w:name="OLE_LINK191"/>
      <w:bookmarkStart w:id="17" w:name="OLE_LINK22"/>
      <w:bookmarkStart w:id="18" w:name="OLE_LINK23"/>
      <w:r w:rsidRPr="00995972">
        <w:rPr>
          <w:rFonts w:ascii="Book Antiqua" w:eastAsia="Book Antiqua" w:hAnsi="Book Antiqua" w:cs="Book Antiqua"/>
          <w:color w:val="000000"/>
        </w:rPr>
        <w:t>Gastroesophageal reflux disease</w:t>
      </w:r>
      <w:bookmarkEnd w:id="13"/>
      <w:bookmarkEnd w:id="14"/>
      <w:bookmarkEnd w:id="15"/>
      <w:r w:rsidRPr="00995972">
        <w:rPr>
          <w:rFonts w:ascii="Book Antiqua" w:eastAsia="Book Antiqua" w:hAnsi="Book Antiqua" w:cs="Book Antiqua"/>
          <w:color w:val="000000"/>
        </w:rPr>
        <w:t xml:space="preserve"> (GERD)</w:t>
      </w:r>
      <w:bookmarkEnd w:id="16"/>
      <w:r w:rsidRPr="00995972">
        <w:rPr>
          <w:rFonts w:ascii="Book Antiqua" w:eastAsia="Book Antiqua" w:hAnsi="Book Antiqua" w:cs="Book Antiqua"/>
          <w:color w:val="000000"/>
        </w:rPr>
        <w:t xml:space="preserve"> is one of the most commonly encountered digestive diseases in the world, with the prevalence continuing to increase. Many patients are successfully treated with lifestyle modifications and proton pump inhibitor therapy, but a subset of patients require more aggressive intervention for control of their symptoms. Surgical treatment with fundoplication is a viable option for patients with GERD, as it attempts to improve the integrity of the </w:t>
      </w:r>
      <w:bookmarkStart w:id="19" w:name="OLE_LINK195"/>
      <w:bookmarkStart w:id="20" w:name="OLE_LINK196"/>
      <w:r w:rsidRPr="00995972">
        <w:rPr>
          <w:rFonts w:ascii="Book Antiqua" w:eastAsia="Book Antiqua" w:hAnsi="Book Antiqua" w:cs="Book Antiqua"/>
          <w:color w:val="000000"/>
        </w:rPr>
        <w:t xml:space="preserve">lower esophageal sphincter </w:t>
      </w:r>
      <w:bookmarkEnd w:id="19"/>
      <w:bookmarkEnd w:id="20"/>
      <w:r w:rsidRPr="00995972">
        <w:rPr>
          <w:rFonts w:ascii="Book Antiqua" w:eastAsia="Book Antiqua" w:hAnsi="Book Antiqua" w:cs="Book Antiqua"/>
          <w:color w:val="000000"/>
        </w:rPr>
        <w:t>(LES). While surgery can be as effective as medical treatment, it can also be associated with side effects such as dysphagia, bloating, and abdominal pain. Therefore, a thorough pre-operative assessment is crucial to select appropriate surgical candidates. Newer technologies are becoming increasingly available to help clinicians identify patients with true LES dysfunction, such as pH-impedance studies and</w:t>
      </w:r>
      <w:bookmarkStart w:id="21" w:name="OLE_LINK190"/>
      <w:r w:rsidRPr="00995972">
        <w:rPr>
          <w:rFonts w:ascii="Book Antiqua" w:eastAsia="Book Antiqua" w:hAnsi="Book Antiqua" w:cs="Book Antiqua"/>
          <w:color w:val="000000"/>
        </w:rPr>
        <w:t xml:space="preserve"> </w:t>
      </w:r>
      <w:bookmarkStart w:id="22" w:name="OLE_LINK188"/>
      <w:bookmarkStart w:id="23" w:name="OLE_LINK189"/>
      <w:bookmarkStart w:id="24" w:name="OLE_LINK197"/>
      <w:r w:rsidRPr="00995972">
        <w:rPr>
          <w:rFonts w:ascii="Book Antiqua" w:eastAsia="Book Antiqua" w:hAnsi="Book Antiqua" w:cs="Book Antiqua"/>
          <w:color w:val="000000"/>
        </w:rPr>
        <w:t>high-resolution manometry</w:t>
      </w:r>
      <w:bookmarkEnd w:id="21"/>
      <w:bookmarkEnd w:id="22"/>
      <w:bookmarkEnd w:id="23"/>
      <w:bookmarkEnd w:id="24"/>
      <w:r w:rsidRPr="00995972">
        <w:rPr>
          <w:rFonts w:ascii="Book Antiqua" w:eastAsia="Book Antiqua" w:hAnsi="Book Antiqua" w:cs="Book Antiqua"/>
          <w:color w:val="000000"/>
        </w:rPr>
        <w:t xml:space="preserve"> (HRM). Pre-operative evaluation should be aimed at confirming the diagnosis of GERD, ruling out any major motility disorders, and selecting appropriate surgical candidates. HRM and pH testing are key tests to consider for patients with GERD like symptoms, and the addition of provocative measures such as straight leg raises and multiple rapid swallows to HRM protocol can assess the presence of underlying hiatal hernias and to test a patient’s peristaltic reserve prior to surgery. </w:t>
      </w:r>
    </w:p>
    <w:bookmarkEnd w:id="17"/>
    <w:bookmarkEnd w:id="18"/>
    <w:p w14:paraId="37EB08BC" w14:textId="77777777" w:rsidR="00A77B3E" w:rsidRPr="00995972" w:rsidRDefault="00A77B3E">
      <w:pPr>
        <w:spacing w:line="360" w:lineRule="auto"/>
        <w:jc w:val="both"/>
      </w:pPr>
    </w:p>
    <w:p w14:paraId="4EBAE285" w14:textId="77777777" w:rsidR="00A77B3E" w:rsidRPr="00995972" w:rsidRDefault="006C4286">
      <w:pPr>
        <w:spacing w:line="360" w:lineRule="auto"/>
        <w:jc w:val="both"/>
      </w:pPr>
      <w:r w:rsidRPr="00995972">
        <w:rPr>
          <w:rFonts w:ascii="Book Antiqua" w:eastAsia="Book Antiqua" w:hAnsi="Book Antiqua" w:cs="Book Antiqua"/>
          <w:b/>
          <w:bCs/>
          <w:color w:val="000000"/>
        </w:rPr>
        <w:t xml:space="preserve">Key Words: </w:t>
      </w:r>
      <w:bookmarkStart w:id="25" w:name="OLE_LINK18"/>
      <w:bookmarkStart w:id="26" w:name="OLE_LINK19"/>
      <w:bookmarkStart w:id="27" w:name="OLE_LINK10"/>
      <w:bookmarkStart w:id="28" w:name="OLE_LINK11"/>
      <w:r w:rsidRPr="00995972">
        <w:rPr>
          <w:rFonts w:ascii="Book Antiqua" w:eastAsia="Book Antiqua" w:hAnsi="Book Antiqua" w:cs="Book Antiqua"/>
          <w:color w:val="000000"/>
        </w:rPr>
        <w:t>Gastroesophageal reflux disease; Fundoplication; High resolution manometry; pH-impedance; Anti-reflux surgery; Pre-operative assessment</w:t>
      </w:r>
      <w:bookmarkEnd w:id="25"/>
      <w:bookmarkEnd w:id="26"/>
    </w:p>
    <w:bookmarkEnd w:id="27"/>
    <w:bookmarkEnd w:id="28"/>
    <w:p w14:paraId="7CBA6EF6" w14:textId="77777777" w:rsidR="001D3C27" w:rsidRDefault="001D3C27" w:rsidP="001D3C27">
      <w:pPr>
        <w:spacing w:line="360" w:lineRule="auto"/>
        <w:jc w:val="both"/>
        <w:rPr>
          <w:lang w:eastAsia="zh-CN"/>
        </w:rPr>
      </w:pPr>
    </w:p>
    <w:p w14:paraId="173FC88F" w14:textId="77777777" w:rsidR="001D3C27" w:rsidRPr="00026CB8" w:rsidRDefault="001D3C27" w:rsidP="001D3C27">
      <w:pPr>
        <w:spacing w:line="360" w:lineRule="auto"/>
        <w:jc w:val="both"/>
        <w:rPr>
          <w:rFonts w:ascii="Book Antiqua" w:eastAsia="Book Antiqua" w:hAnsi="Book Antiqua" w:cs="Book Antiqua"/>
          <w:color w:val="000000"/>
        </w:rPr>
      </w:pPr>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 xml:space="preserve">Author(s) 2021. </w:t>
      </w:r>
      <w:r w:rsidRPr="00026CB8">
        <w:rPr>
          <w:rFonts w:ascii="Book Antiqua" w:eastAsia="Book Antiqua" w:hAnsi="Book Antiqua" w:cs="Book Antiqua"/>
          <w:color w:val="000000"/>
        </w:rPr>
        <w:t xml:space="preserve">Published by Baishideng Publishing Group Inc. All rights reserved. </w:t>
      </w:r>
    </w:p>
    <w:p w14:paraId="7290FA6E" w14:textId="77777777" w:rsidR="00A77B3E" w:rsidRPr="00995972" w:rsidRDefault="00A77B3E">
      <w:pPr>
        <w:spacing w:line="360" w:lineRule="auto"/>
        <w:jc w:val="both"/>
      </w:pPr>
    </w:p>
    <w:p w14:paraId="209B774C" w14:textId="54790327" w:rsidR="0026794C" w:rsidRDefault="0026794C">
      <w:pPr>
        <w:spacing w:line="360" w:lineRule="auto"/>
        <w:jc w:val="both"/>
        <w:rPr>
          <w:rFonts w:ascii="Book Antiqua" w:hAnsi="Book Antiqua" w:cs="Book Antiqua" w:hint="eastAsia"/>
          <w:color w:val="000000"/>
          <w:lang w:eastAsia="zh-CN"/>
        </w:rPr>
      </w:pPr>
      <w:bookmarkStart w:id="29" w:name="OLE_LINK12"/>
      <w:bookmarkStart w:id="30" w:name="OLE_LINK13"/>
      <w:r w:rsidRPr="0026794C">
        <w:rPr>
          <w:rFonts w:ascii="Book Antiqua" w:hAnsi="Book Antiqua" w:cs="Book Antiqua" w:hint="eastAsia"/>
          <w:b/>
          <w:color w:val="000000"/>
          <w:lang w:eastAsia="zh-CN"/>
        </w:rPr>
        <w:t xml:space="preserve">Citation: </w:t>
      </w:r>
      <w:r w:rsidR="006C4286" w:rsidRPr="00995972">
        <w:rPr>
          <w:rFonts w:ascii="Book Antiqua" w:eastAsia="Book Antiqua" w:hAnsi="Book Antiqua" w:cs="Book Antiqua"/>
          <w:color w:val="000000"/>
        </w:rPr>
        <w:t xml:space="preserve">Yodice M, Mignucci A, Shah V, Ashley C, Tadros M. Preoperative physiological esophageal assessment for anti-reflux surgery: A guide for surgeons on </w:t>
      </w:r>
      <w:r w:rsidR="00301B9B" w:rsidRPr="00995972">
        <w:rPr>
          <w:rFonts w:ascii="Book Antiqua" w:eastAsia="Book Antiqua" w:hAnsi="Book Antiqua" w:cs="Book Antiqua"/>
          <w:color w:val="000000"/>
        </w:rPr>
        <w:t xml:space="preserve">high-resolution manometry </w:t>
      </w:r>
      <w:r w:rsidR="006C4286" w:rsidRPr="00995972">
        <w:rPr>
          <w:rFonts w:ascii="Book Antiqua" w:eastAsia="Book Antiqua" w:hAnsi="Book Antiqua" w:cs="Book Antiqua"/>
          <w:color w:val="000000"/>
        </w:rPr>
        <w:t xml:space="preserve">and pH testing. </w:t>
      </w:r>
      <w:r w:rsidR="006C4286" w:rsidRPr="00995972">
        <w:rPr>
          <w:rFonts w:ascii="Book Antiqua" w:eastAsia="Book Antiqua" w:hAnsi="Book Antiqua" w:cs="Book Antiqua"/>
          <w:i/>
          <w:iCs/>
          <w:color w:val="000000"/>
        </w:rPr>
        <w:t>World J Gastroenterol</w:t>
      </w:r>
      <w:r w:rsidR="006C4286" w:rsidRPr="00995972">
        <w:rPr>
          <w:rFonts w:ascii="Book Antiqua" w:eastAsia="Book Antiqua" w:hAnsi="Book Antiqua" w:cs="Book Antiqua"/>
          <w:color w:val="000000"/>
        </w:rPr>
        <w:t xml:space="preserve"> 2021; </w:t>
      </w:r>
      <w:r w:rsidR="00015FEB" w:rsidRPr="00995972">
        <w:rPr>
          <w:rFonts w:ascii="Book Antiqua" w:eastAsia="Book Antiqua" w:hAnsi="Book Antiqua" w:cs="Book Antiqua"/>
          <w:color w:val="000000"/>
        </w:rPr>
        <w:t xml:space="preserve">27(16): </w:t>
      </w:r>
      <w:r w:rsidR="00D80830" w:rsidRPr="00D80830">
        <w:rPr>
          <w:rFonts w:ascii="Book Antiqua" w:eastAsia="Book Antiqua" w:hAnsi="Book Antiqua" w:cs="Book Antiqua"/>
          <w:color w:val="000000"/>
        </w:rPr>
        <w:t>1751-1769</w:t>
      </w:r>
      <w:r w:rsidR="00015FEB" w:rsidRPr="00995972">
        <w:rPr>
          <w:rFonts w:ascii="Book Antiqua" w:eastAsia="Book Antiqua" w:hAnsi="Book Antiqua" w:cs="Book Antiqua"/>
          <w:color w:val="000000"/>
        </w:rPr>
        <w:t xml:space="preserve">  </w:t>
      </w:r>
    </w:p>
    <w:p w14:paraId="327BCCC4" w14:textId="77777777" w:rsidR="0026794C" w:rsidRDefault="00015FEB">
      <w:pPr>
        <w:spacing w:line="360" w:lineRule="auto"/>
        <w:jc w:val="both"/>
        <w:rPr>
          <w:rFonts w:ascii="Book Antiqua" w:hAnsi="Book Antiqua" w:cs="Book Antiqua" w:hint="eastAsia"/>
          <w:color w:val="000000"/>
          <w:lang w:eastAsia="zh-CN"/>
        </w:rPr>
      </w:pPr>
      <w:r w:rsidRPr="0026794C">
        <w:rPr>
          <w:rFonts w:ascii="Book Antiqua" w:eastAsia="Book Antiqua" w:hAnsi="Book Antiqua" w:cs="Book Antiqua"/>
          <w:b/>
          <w:color w:val="000000"/>
        </w:rPr>
        <w:t>URL:</w:t>
      </w:r>
      <w:r w:rsidRPr="00995972">
        <w:rPr>
          <w:rFonts w:ascii="Book Antiqua" w:eastAsia="Book Antiqua" w:hAnsi="Book Antiqua" w:cs="Book Antiqua"/>
          <w:color w:val="000000"/>
        </w:rPr>
        <w:t xml:space="preserve"> https://www.wjgnet.com/1007-9327/full/v27/i16/</w:t>
      </w:r>
      <w:r w:rsidR="00D80830">
        <w:rPr>
          <w:rFonts w:ascii="Book Antiqua" w:hAnsi="Book Antiqua" w:cs="Book Antiqua" w:hint="eastAsia"/>
          <w:color w:val="000000"/>
          <w:lang w:eastAsia="zh-CN"/>
        </w:rPr>
        <w:t>1751</w:t>
      </w:r>
      <w:r w:rsidRPr="00995972">
        <w:rPr>
          <w:rFonts w:ascii="Book Antiqua" w:eastAsia="Book Antiqua" w:hAnsi="Book Antiqua" w:cs="Book Antiqua"/>
          <w:color w:val="000000"/>
        </w:rPr>
        <w:t xml:space="preserve">.htm  </w:t>
      </w:r>
    </w:p>
    <w:p w14:paraId="3EE4404D" w14:textId="526B4768" w:rsidR="00A77B3E" w:rsidRPr="007058B6" w:rsidRDefault="00015FEB">
      <w:pPr>
        <w:spacing w:line="360" w:lineRule="auto"/>
        <w:jc w:val="both"/>
        <w:rPr>
          <w:rFonts w:hint="eastAsia"/>
          <w:lang w:eastAsia="zh-CN"/>
        </w:rPr>
      </w:pPr>
      <w:r w:rsidRPr="0026794C">
        <w:rPr>
          <w:rFonts w:ascii="Book Antiqua" w:eastAsia="Book Antiqua" w:hAnsi="Book Antiqua" w:cs="Book Antiqua"/>
          <w:b/>
          <w:color w:val="000000"/>
        </w:rPr>
        <w:t xml:space="preserve">DOI: </w:t>
      </w:r>
      <w:r w:rsidRPr="00995972">
        <w:rPr>
          <w:rFonts w:ascii="Book Antiqua" w:eastAsia="Book Antiqua" w:hAnsi="Book Antiqua" w:cs="Book Antiqua"/>
          <w:color w:val="000000"/>
        </w:rPr>
        <w:t>https://dx.doi.org/10.3748/wjg.v27.i16.</w:t>
      </w:r>
      <w:r w:rsidR="007058B6">
        <w:rPr>
          <w:rFonts w:ascii="Book Antiqua" w:hAnsi="Book Antiqua" w:cs="Book Antiqua" w:hint="eastAsia"/>
          <w:color w:val="000000"/>
          <w:lang w:eastAsia="zh-CN"/>
        </w:rPr>
        <w:t>1751</w:t>
      </w:r>
    </w:p>
    <w:bookmarkEnd w:id="29"/>
    <w:bookmarkEnd w:id="30"/>
    <w:p w14:paraId="5583AB01" w14:textId="77777777" w:rsidR="00A77B3E" w:rsidRPr="00995972" w:rsidRDefault="00A77B3E">
      <w:pPr>
        <w:spacing w:line="360" w:lineRule="auto"/>
        <w:jc w:val="both"/>
      </w:pPr>
    </w:p>
    <w:p w14:paraId="374427D2" w14:textId="77777777" w:rsidR="00A77B3E" w:rsidRPr="00995972" w:rsidRDefault="006C4286">
      <w:pPr>
        <w:spacing w:line="360" w:lineRule="auto"/>
        <w:jc w:val="both"/>
      </w:pPr>
      <w:r w:rsidRPr="00995972">
        <w:rPr>
          <w:rFonts w:ascii="Book Antiqua" w:eastAsia="Book Antiqua" w:hAnsi="Book Antiqua" w:cs="Book Antiqua"/>
          <w:b/>
          <w:bCs/>
          <w:color w:val="000000"/>
        </w:rPr>
        <w:t xml:space="preserve">Core Tip: </w:t>
      </w:r>
      <w:bookmarkStart w:id="31" w:name="OLE_LINK20"/>
      <w:bookmarkStart w:id="32" w:name="OLE_LINK21"/>
      <w:r w:rsidRPr="00995972">
        <w:rPr>
          <w:rFonts w:ascii="Book Antiqua" w:eastAsia="Book Antiqua" w:hAnsi="Book Antiqua" w:cs="Book Antiqua"/>
          <w:color w:val="000000"/>
        </w:rPr>
        <w:t xml:space="preserve">The goal of this review is to discuss recent technological advancements that have utility for patients with </w:t>
      </w:r>
      <w:r w:rsidR="00ED1C6D" w:rsidRPr="00995972">
        <w:rPr>
          <w:rFonts w:ascii="Book Antiqua" w:hAnsi="Book Antiqua" w:cs="Book Antiqua" w:hint="eastAsia"/>
          <w:color w:val="000000"/>
          <w:lang w:eastAsia="zh-CN"/>
        </w:rPr>
        <w:t>g</w:t>
      </w:r>
      <w:r w:rsidR="00ED1C6D" w:rsidRPr="00995972">
        <w:rPr>
          <w:rFonts w:ascii="Book Antiqua" w:eastAsia="Book Antiqua" w:hAnsi="Book Antiqua" w:cs="Book Antiqua"/>
          <w:color w:val="000000"/>
        </w:rPr>
        <w:t xml:space="preserve">astroesophageal reflux disease (GERD) </w:t>
      </w:r>
      <w:r w:rsidRPr="00995972">
        <w:rPr>
          <w:rFonts w:ascii="Book Antiqua" w:eastAsia="Book Antiqua" w:hAnsi="Book Antiqua" w:cs="Book Antiqua"/>
          <w:color w:val="000000"/>
        </w:rPr>
        <w:t>as a pre-operative assessment for anti-reflux surgery. Surgical treatment of GERD is centered around improving the integrity of the lower esophageal sphincter, therefore it is crucial to rule out other esophageal pathologies that may present with GERD-like symptoms. Advances in pH-impedance studies allow for assessment of patients with weak acid reflux of non-erosive reflux disease. High resolution manometry with the addition of provocative measures can uncover underlying esophageal motility disorders with GERD-like symptoms.</w:t>
      </w:r>
      <w:bookmarkEnd w:id="31"/>
      <w:bookmarkEnd w:id="32"/>
    </w:p>
    <w:p w14:paraId="4CB870B1" w14:textId="77777777" w:rsidR="00A77B3E" w:rsidRPr="00995972" w:rsidRDefault="00A77B3E">
      <w:pPr>
        <w:spacing w:line="360" w:lineRule="auto"/>
        <w:jc w:val="both"/>
      </w:pPr>
    </w:p>
    <w:p w14:paraId="5AC80220" w14:textId="77777777" w:rsidR="00A77B3E" w:rsidRPr="00995972" w:rsidRDefault="00ED1C6D">
      <w:pPr>
        <w:spacing w:line="360" w:lineRule="auto"/>
        <w:jc w:val="both"/>
      </w:pPr>
      <w:r w:rsidRPr="00995972">
        <w:rPr>
          <w:rFonts w:ascii="Book Antiqua" w:eastAsia="Book Antiqua" w:hAnsi="Book Antiqua" w:cs="Book Antiqua"/>
          <w:b/>
          <w:caps/>
          <w:color w:val="000000"/>
          <w:u w:val="single"/>
        </w:rPr>
        <w:br w:type="page"/>
      </w:r>
      <w:r w:rsidR="006C4286" w:rsidRPr="00995972">
        <w:rPr>
          <w:rFonts w:ascii="Book Antiqua" w:eastAsia="Book Antiqua" w:hAnsi="Book Antiqua" w:cs="Book Antiqua"/>
          <w:b/>
          <w:caps/>
          <w:color w:val="000000"/>
          <w:u w:val="single"/>
        </w:rPr>
        <w:t>INTRODUCTION</w:t>
      </w:r>
    </w:p>
    <w:p w14:paraId="46067EEF" w14:textId="77777777" w:rsidR="00A77B3E" w:rsidRPr="00995972" w:rsidRDefault="006C4286">
      <w:pPr>
        <w:spacing w:line="360" w:lineRule="auto"/>
        <w:jc w:val="both"/>
      </w:pPr>
      <w:r w:rsidRPr="00995972">
        <w:rPr>
          <w:rFonts w:ascii="Book Antiqua" w:eastAsia="Book Antiqua" w:hAnsi="Book Antiqua" w:cs="Book Antiqua"/>
          <w:color w:val="000000"/>
        </w:rPr>
        <w:t>Gastroesophageal reflux disease (GERD), defined as an abnormal reflux of gastric contents with associated symptoms, is one of the most common digestive diseases in the world, and currently affects up to 30% of individuals in North America</w:t>
      </w:r>
      <w:r w:rsidR="00E46BCF" w:rsidRPr="00995972">
        <w:rPr>
          <w:rFonts w:ascii="Book Antiqua" w:eastAsia="Book Antiqua" w:hAnsi="Book Antiqua" w:cs="Book Antiqua"/>
          <w:color w:val="000000"/>
          <w:vertAlign w:val="superscript"/>
        </w:rPr>
        <w:t>[1,</w:t>
      </w:r>
      <w:r w:rsidRPr="00995972">
        <w:rPr>
          <w:rFonts w:ascii="Book Antiqua" w:eastAsia="Book Antiqua" w:hAnsi="Book Antiqua" w:cs="Book Antiqua"/>
          <w:color w:val="000000"/>
          <w:vertAlign w:val="superscript"/>
        </w:rPr>
        <w:t>2]</w:t>
      </w:r>
      <w:r w:rsidRPr="00995972">
        <w:rPr>
          <w:rFonts w:ascii="Book Antiqua" w:eastAsia="Book Antiqua" w:hAnsi="Book Antiqua" w:cs="Book Antiqua"/>
          <w:color w:val="000000"/>
        </w:rPr>
        <w:t>. While the disease is commonly encountered in the outpatient setting, the true number of individuals with GERD could be even higher, as some patients may self-treat with over-the-counter medications</w:t>
      </w:r>
      <w:r w:rsidRPr="00995972">
        <w:rPr>
          <w:rFonts w:ascii="Book Antiqua" w:eastAsia="Book Antiqua" w:hAnsi="Book Antiqua" w:cs="Book Antiqua"/>
          <w:color w:val="000000"/>
          <w:vertAlign w:val="superscript"/>
        </w:rPr>
        <w:t>[3]</w:t>
      </w:r>
      <w:r w:rsidRPr="00995972">
        <w:rPr>
          <w:rFonts w:ascii="Book Antiqua" w:eastAsia="Book Antiqua" w:hAnsi="Book Antiqua" w:cs="Book Antiqua"/>
          <w:color w:val="000000"/>
        </w:rPr>
        <w:t>. Studies have also found the number of patients with GERD continues to rise, which may be due to the growing obesity epidemic</w:t>
      </w:r>
      <w:r w:rsidRPr="00995972">
        <w:rPr>
          <w:rFonts w:ascii="Book Antiqua" w:eastAsia="Book Antiqua" w:hAnsi="Book Antiqua" w:cs="Book Antiqua"/>
          <w:color w:val="000000"/>
          <w:vertAlign w:val="superscript"/>
        </w:rPr>
        <w:t>[1]</w:t>
      </w:r>
      <w:r w:rsidRPr="00995972">
        <w:rPr>
          <w:rFonts w:ascii="Book Antiqua" w:eastAsia="Book Antiqua" w:hAnsi="Book Antiqua" w:cs="Book Antiqua"/>
          <w:color w:val="000000"/>
        </w:rPr>
        <w:t>. Additionally, GERD is one of the costliest digestive diseases in the United States, with up to half of the cost attributed to the long term use of proton pump inhibitor (PPI) therapy</w:t>
      </w:r>
      <w:r w:rsidRPr="00995972">
        <w:rPr>
          <w:rFonts w:ascii="Book Antiqua" w:eastAsia="Book Antiqua" w:hAnsi="Book Antiqua" w:cs="Book Antiqua"/>
          <w:color w:val="000000"/>
          <w:vertAlign w:val="superscript"/>
        </w:rPr>
        <w:t>[4]</w:t>
      </w:r>
      <w:r w:rsidRPr="00995972">
        <w:rPr>
          <w:rFonts w:ascii="Book Antiqua" w:eastAsia="Book Antiqua" w:hAnsi="Book Antiqua" w:cs="Book Antiqua"/>
          <w:color w:val="000000"/>
        </w:rPr>
        <w:t>.</w:t>
      </w:r>
    </w:p>
    <w:p w14:paraId="02407397" w14:textId="77777777" w:rsidR="00A77B3E" w:rsidRPr="00995972" w:rsidRDefault="006C4286" w:rsidP="00E46BCF">
      <w:pPr>
        <w:spacing w:line="360" w:lineRule="auto"/>
        <w:ind w:firstLineChars="100" w:firstLine="240"/>
        <w:jc w:val="both"/>
        <w:rPr>
          <w:lang w:eastAsia="zh-CN"/>
        </w:rPr>
      </w:pPr>
      <w:r w:rsidRPr="00995972">
        <w:rPr>
          <w:rFonts w:ascii="Book Antiqua" w:eastAsia="Book Antiqua" w:hAnsi="Book Antiqua" w:cs="Book Antiqua"/>
          <w:color w:val="000000"/>
        </w:rPr>
        <w:t>The American College of Gastroenterology (ACG) guidelines state that a presumptive diagnosis of GERD can be made in patients with classical symptoms such as heartburn or regurgitation, with further diagnostic evaluation such as an upper endoscopy recommended for patients with alarm symptoms</w:t>
      </w:r>
      <w:r w:rsidRPr="00995972">
        <w:rPr>
          <w:rFonts w:ascii="Book Antiqua" w:eastAsia="Book Antiqua" w:hAnsi="Book Antiqua" w:cs="Book Antiqua"/>
          <w:color w:val="000000"/>
          <w:vertAlign w:val="superscript"/>
        </w:rPr>
        <w:t>[5]</w:t>
      </w:r>
      <w:r w:rsidRPr="00995972">
        <w:rPr>
          <w:rFonts w:ascii="Book Antiqua" w:eastAsia="Book Antiqua" w:hAnsi="Book Antiqua" w:cs="Book Antiqua"/>
          <w:color w:val="000000"/>
        </w:rPr>
        <w:t xml:space="preserve">. The ACG recommends management of these patients begin with lifestyle modifications, including weight loss and dietary changes, along with an 8-week course of </w:t>
      </w:r>
      <w:r w:rsidR="00E46BCF" w:rsidRPr="00995972">
        <w:rPr>
          <w:rFonts w:ascii="Book Antiqua" w:eastAsia="Book Antiqua" w:hAnsi="Book Antiqua" w:cs="Book Antiqua"/>
          <w:color w:val="000000"/>
        </w:rPr>
        <w:t>PPI</w:t>
      </w:r>
      <w:r w:rsidRPr="00995972">
        <w:rPr>
          <w:rFonts w:ascii="Book Antiqua" w:eastAsia="Book Antiqua" w:hAnsi="Book Antiqua" w:cs="Book Antiqua"/>
          <w:color w:val="000000"/>
        </w:rPr>
        <w:t xml:space="preserve"> therapy</w:t>
      </w:r>
      <w:r w:rsidRPr="00995972">
        <w:rPr>
          <w:rFonts w:ascii="Book Antiqua" w:eastAsia="Book Antiqua" w:hAnsi="Book Antiqua" w:cs="Book Antiqua"/>
          <w:color w:val="000000"/>
          <w:vertAlign w:val="superscript"/>
        </w:rPr>
        <w:t>[5]</w:t>
      </w:r>
      <w:r w:rsidRPr="00995972">
        <w:rPr>
          <w:rFonts w:ascii="Book Antiqua" w:eastAsia="Book Antiqua" w:hAnsi="Book Antiqua" w:cs="Book Antiqua"/>
          <w:color w:val="000000"/>
        </w:rPr>
        <w:t>. While this approach is effective for most patients, a subset of patients may require further management including surgical options such as fundoplication. Surgical treatment of GERD is as effective as medical management in appropriate candidates and is currently recommended for reasons including complications from PPIs, medication non-compliance, and large hiatal hernias</w:t>
      </w:r>
      <w:r w:rsidR="00667BFC" w:rsidRPr="00995972">
        <w:rPr>
          <w:rFonts w:ascii="Book Antiqua" w:eastAsia="Book Antiqua" w:hAnsi="Book Antiqua" w:cs="Book Antiqua"/>
          <w:color w:val="000000"/>
          <w:vertAlign w:val="superscript"/>
        </w:rPr>
        <w:t>[3,</w:t>
      </w:r>
      <w:r w:rsidRPr="00995972">
        <w:rPr>
          <w:rFonts w:ascii="Book Antiqua" w:eastAsia="Book Antiqua" w:hAnsi="Book Antiqua" w:cs="Book Antiqua"/>
          <w:color w:val="000000"/>
          <w:vertAlign w:val="superscript"/>
        </w:rPr>
        <w:t>5]</w:t>
      </w:r>
      <w:r w:rsidRPr="00995972">
        <w:rPr>
          <w:rFonts w:ascii="Book Antiqua" w:eastAsia="Book Antiqua" w:hAnsi="Book Antiqua" w:cs="Book Antiqua"/>
          <w:color w:val="000000"/>
        </w:rPr>
        <w:t>. Additionally, the Society of American Gastrointestinal and Endoscopic Surgeons (SAGES) recommends surgical therapy for patients with GERD who: have failed medical management, request surgery due to quality of life issues related to long term medication use, have complications such as Barrett’s esophagus, or have extra-esophageal symptoms related to their GERD</w:t>
      </w:r>
      <w:r w:rsidRPr="00995972">
        <w:rPr>
          <w:rFonts w:ascii="Book Antiqua" w:eastAsia="Book Antiqua" w:hAnsi="Book Antiqua" w:cs="Book Antiqua"/>
          <w:color w:val="000000"/>
          <w:vertAlign w:val="superscript"/>
        </w:rPr>
        <w:t>[6]</w:t>
      </w:r>
      <w:r w:rsidRPr="00995972">
        <w:rPr>
          <w:rFonts w:ascii="Book Antiqua" w:eastAsia="Book Antiqua" w:hAnsi="Book Antiqua" w:cs="Book Antiqua"/>
          <w:color w:val="000000"/>
        </w:rPr>
        <w:t>.</w:t>
      </w:r>
    </w:p>
    <w:p w14:paraId="7D9F1662" w14:textId="77777777" w:rsidR="00A77B3E" w:rsidRPr="00995972" w:rsidRDefault="006C4286" w:rsidP="00FF4178">
      <w:pPr>
        <w:spacing w:line="360" w:lineRule="auto"/>
        <w:ind w:firstLineChars="100" w:firstLine="240"/>
        <w:jc w:val="both"/>
      </w:pPr>
      <w:r w:rsidRPr="00995972">
        <w:rPr>
          <w:rFonts w:ascii="Book Antiqua" w:eastAsia="Book Antiqua" w:hAnsi="Book Antiqua" w:cs="Book Antiqua"/>
          <w:color w:val="000000"/>
        </w:rPr>
        <w:t>While surgical treatment of GERD may be as effective as medical therapy, complications are also possible. The most commonly reported side effects of surgery include dysphagia, belching, and increased abdominal bloating, though it is also possible to develop more severe complications requiring repeat surgery</w:t>
      </w:r>
      <w:r w:rsidRPr="00995972">
        <w:rPr>
          <w:rFonts w:ascii="Book Antiqua" w:eastAsia="Book Antiqua" w:hAnsi="Book Antiqua" w:cs="Book Antiqua"/>
          <w:color w:val="000000"/>
          <w:vertAlign w:val="superscript"/>
        </w:rPr>
        <w:t>[7]</w:t>
      </w:r>
      <w:r w:rsidRPr="00995972">
        <w:rPr>
          <w:rFonts w:ascii="Book Antiqua" w:eastAsia="Book Antiqua" w:hAnsi="Book Antiqua" w:cs="Book Antiqua"/>
          <w:color w:val="000000"/>
        </w:rPr>
        <w:t>. A total 360° Nissen Fundoplication is the most common surgical treatment for GERD, but variations also exist involving differing degrees of wrapping. Studies have found partial fundoplication to be similarly effective for reducing reflux symptoms, and may also have less post-operative dysphagia and bloating</w:t>
      </w:r>
      <w:r w:rsidRPr="00995972">
        <w:rPr>
          <w:rFonts w:ascii="Book Antiqua" w:eastAsia="Book Antiqua" w:hAnsi="Book Antiqua" w:cs="Book Antiqua"/>
          <w:color w:val="000000"/>
          <w:vertAlign w:val="superscript"/>
        </w:rPr>
        <w:t>[8]</w:t>
      </w:r>
      <w:r w:rsidRPr="00995972">
        <w:rPr>
          <w:rFonts w:ascii="Book Antiqua" w:eastAsia="Book Antiqua" w:hAnsi="Book Antiqua" w:cs="Book Antiqua"/>
          <w:color w:val="000000"/>
        </w:rPr>
        <w:t>. This is supported by a level 1 recommendation from the SAGES that partial fundoplication is associated with less dysphagia and similar patient satisfaction</w:t>
      </w:r>
      <w:r w:rsidRPr="00995972">
        <w:rPr>
          <w:rFonts w:ascii="Book Antiqua" w:eastAsia="Book Antiqua" w:hAnsi="Book Antiqua" w:cs="Book Antiqua"/>
          <w:color w:val="000000"/>
          <w:vertAlign w:val="superscript"/>
        </w:rPr>
        <w:t>[6]</w:t>
      </w:r>
      <w:r w:rsidRPr="00995972">
        <w:rPr>
          <w:rFonts w:ascii="Book Antiqua" w:eastAsia="Book Antiqua" w:hAnsi="Book Antiqua" w:cs="Book Antiqua"/>
          <w:color w:val="000000"/>
        </w:rPr>
        <w:t>. Additionally, newer techniq</w:t>
      </w:r>
      <w:r w:rsidR="00C449C3" w:rsidRPr="00995972">
        <w:rPr>
          <w:rFonts w:ascii="Book Antiqua" w:eastAsia="Book Antiqua" w:hAnsi="Book Antiqua" w:cs="Book Antiqua"/>
          <w:color w:val="000000"/>
        </w:rPr>
        <w:t xml:space="preserve">ues such as the Linx procedure </w:t>
      </w:r>
      <w:r w:rsidR="00C449C3" w:rsidRPr="00995972">
        <w:rPr>
          <w:rFonts w:ascii="Book Antiqua" w:hAnsi="Book Antiqua" w:cs="Book Antiqua" w:hint="eastAsia"/>
          <w:color w:val="000000"/>
          <w:lang w:eastAsia="zh-CN"/>
        </w:rPr>
        <w:t>[</w:t>
      </w:r>
      <w:r w:rsidRPr="00995972">
        <w:rPr>
          <w:rFonts w:ascii="Book Antiqua" w:eastAsia="Book Antiqua" w:hAnsi="Book Antiqua" w:cs="Book Antiqua"/>
          <w:color w:val="000000"/>
        </w:rPr>
        <w:t xml:space="preserve">which uses a circlet of magnets to augment the </w:t>
      </w:r>
      <w:r w:rsidR="00C449C3" w:rsidRPr="00995972">
        <w:rPr>
          <w:rFonts w:ascii="Book Antiqua" w:eastAsia="Book Antiqua" w:hAnsi="Book Antiqua" w:cs="Book Antiqua"/>
          <w:color w:val="000000"/>
        </w:rPr>
        <w:t>lower esophageal sphincter (LES)</w:t>
      </w:r>
      <w:r w:rsidR="00C449C3" w:rsidRPr="00995972">
        <w:rPr>
          <w:rFonts w:ascii="Book Antiqua" w:hAnsi="Book Antiqua" w:cs="Book Antiqua" w:hint="eastAsia"/>
          <w:color w:val="000000"/>
          <w:lang w:eastAsia="zh-CN"/>
        </w:rPr>
        <w:t>]</w:t>
      </w:r>
      <w:r w:rsidRPr="00995972">
        <w:rPr>
          <w:rFonts w:ascii="Book Antiqua" w:eastAsia="Book Antiqua" w:hAnsi="Book Antiqua" w:cs="Book Antiqua"/>
          <w:color w:val="000000"/>
        </w:rPr>
        <w:t xml:space="preserve"> have shown similar short-term outcomes for the treatment of GERD when compared to fundoplication. More research is needed on the long-term outcomes</w:t>
      </w:r>
      <w:r w:rsidRPr="00995972">
        <w:rPr>
          <w:rFonts w:ascii="Book Antiqua" w:eastAsia="Book Antiqua" w:hAnsi="Book Antiqua" w:cs="Book Antiqua"/>
          <w:color w:val="000000"/>
          <w:vertAlign w:val="superscript"/>
        </w:rPr>
        <w:t>[9]</w:t>
      </w:r>
      <w:r w:rsidRPr="00995972">
        <w:rPr>
          <w:rFonts w:ascii="Book Antiqua" w:eastAsia="Book Antiqua" w:hAnsi="Book Antiqua" w:cs="Book Antiqua"/>
          <w:color w:val="000000"/>
        </w:rPr>
        <w:t>.</w:t>
      </w:r>
    </w:p>
    <w:p w14:paraId="5B2AA616" w14:textId="77777777" w:rsidR="00A77B3E" w:rsidRPr="00995972" w:rsidRDefault="006C4286" w:rsidP="008702DC">
      <w:pPr>
        <w:spacing w:line="360" w:lineRule="auto"/>
        <w:ind w:firstLineChars="100" w:firstLine="240"/>
        <w:jc w:val="both"/>
      </w:pPr>
      <w:r w:rsidRPr="00995972">
        <w:rPr>
          <w:rFonts w:ascii="Book Antiqua" w:eastAsia="Book Antiqua" w:hAnsi="Book Antiqua" w:cs="Book Antiqua"/>
          <w:color w:val="000000"/>
        </w:rPr>
        <w:t>While surgical treatment of GERD can successfully relieve symptoms in up to 90% of patients</w:t>
      </w:r>
      <w:r w:rsidRPr="00995972">
        <w:rPr>
          <w:rFonts w:ascii="Book Antiqua" w:eastAsia="Book Antiqua" w:hAnsi="Book Antiqua" w:cs="Book Antiqua"/>
          <w:color w:val="000000"/>
          <w:vertAlign w:val="superscript"/>
        </w:rPr>
        <w:t>[10]</w:t>
      </w:r>
      <w:r w:rsidRPr="00995972">
        <w:rPr>
          <w:rFonts w:ascii="Book Antiqua" w:eastAsia="Book Antiqua" w:hAnsi="Book Antiqua" w:cs="Book Antiqua"/>
          <w:color w:val="000000"/>
        </w:rPr>
        <w:t xml:space="preserve">, a thorough pre-operative assessment is necessary to identify appropriate surgical candidates. The underlying mechanism of anti-reflux surgery is to improve the integrity of the </w:t>
      </w:r>
      <w:bookmarkStart w:id="33" w:name="OLE_LINK192"/>
      <w:r w:rsidRPr="00995972">
        <w:rPr>
          <w:rFonts w:ascii="Book Antiqua" w:eastAsia="Book Antiqua" w:hAnsi="Book Antiqua" w:cs="Book Antiqua"/>
          <w:color w:val="000000"/>
        </w:rPr>
        <w:t>LES</w:t>
      </w:r>
      <w:bookmarkEnd w:id="33"/>
      <w:r w:rsidRPr="00995972">
        <w:rPr>
          <w:rFonts w:ascii="Book Antiqua" w:eastAsia="Book Antiqua" w:hAnsi="Book Antiqua" w:cs="Book Antiqua"/>
          <w:color w:val="000000"/>
        </w:rPr>
        <w:t>. Therefore, in order to achieve the best post-operative outcomes, it is crucial to confirm a patient’s symptoms are due to GERD and not another underlying pathology. Otherwise, a patient would likely continue experiencing symptoms post-operatively along with potentially developing complications such as dysphagia.</w:t>
      </w:r>
    </w:p>
    <w:p w14:paraId="0E328DE9" w14:textId="77777777" w:rsidR="00A77B3E" w:rsidRPr="00995972" w:rsidRDefault="006C4286" w:rsidP="0066555C">
      <w:pPr>
        <w:spacing w:line="360" w:lineRule="auto"/>
        <w:ind w:firstLineChars="100" w:firstLine="240"/>
        <w:jc w:val="both"/>
      </w:pPr>
      <w:r w:rsidRPr="00995972">
        <w:rPr>
          <w:rFonts w:ascii="Book Antiqua" w:eastAsia="Book Antiqua" w:hAnsi="Book Antiqua" w:cs="Book Antiqua"/>
          <w:color w:val="000000"/>
        </w:rPr>
        <w:t>Newer technologies are becoming increasingly available for the assessment of patients with reflux symptoms and can help confirm the diagnosis of GERD. Improvements in pH studies with the inclusion of impedance measurements may help identify patients with non-erosive reflux disease (NERD). Additionally, advancements in high resolution manometry (HRM) help further classify esophageal pathologies and identify patients as having disorders with GERD like symptoms (Table 1). In this review, we aim to provide a guide for the pre-operative assessment and evaluation of patients with reflux. We will focus on newer technologies that can be used to identify appropriate candidates for anti-reflux surgery by confirming the diagnosis of GERD and ruling out other esophageal diseases.</w:t>
      </w:r>
    </w:p>
    <w:p w14:paraId="447AD70C" w14:textId="77777777" w:rsidR="00A77B3E" w:rsidRPr="00995972" w:rsidRDefault="006C4286" w:rsidP="00EE7352">
      <w:pPr>
        <w:spacing w:line="360" w:lineRule="auto"/>
        <w:ind w:firstLineChars="100" w:firstLine="240"/>
        <w:jc w:val="both"/>
        <w:rPr>
          <w:lang w:eastAsia="zh-CN"/>
        </w:rPr>
      </w:pPr>
      <w:r w:rsidRPr="00995972">
        <w:rPr>
          <w:rFonts w:ascii="Book Antiqua" w:eastAsia="Book Antiqua" w:hAnsi="Book Antiqua" w:cs="Book Antiqua"/>
          <w:color w:val="000000"/>
        </w:rPr>
        <w:t xml:space="preserve">The </w:t>
      </w:r>
      <w:r w:rsidR="00EE7352" w:rsidRPr="00995972">
        <w:rPr>
          <w:rFonts w:ascii="Book Antiqua" w:eastAsia="Book Antiqua" w:hAnsi="Book Antiqua" w:cs="Book Antiqua"/>
          <w:color w:val="000000"/>
        </w:rPr>
        <w:t>ACG</w:t>
      </w:r>
      <w:r w:rsidRPr="00995972">
        <w:rPr>
          <w:rFonts w:ascii="Book Antiqua" w:eastAsia="Book Antiqua" w:hAnsi="Book Antiqua" w:cs="Book Antiqua"/>
          <w:color w:val="000000"/>
        </w:rPr>
        <w:t xml:space="preserve"> guidelines state that a presumptive diagnosis of GERD can be made in patients with classical symptoms such as heartburn or regurgitation, with further diagnostic evaluation such as an upper endoscopy recommended for patients with alarm symptoms</w:t>
      </w:r>
      <w:r w:rsidRPr="00995972">
        <w:rPr>
          <w:rFonts w:ascii="Book Antiqua" w:eastAsia="Book Antiqua" w:hAnsi="Book Antiqua" w:cs="Book Antiqua"/>
          <w:color w:val="000000"/>
          <w:vertAlign w:val="superscript"/>
        </w:rPr>
        <w:t>[5]</w:t>
      </w:r>
      <w:r w:rsidRPr="00995972">
        <w:rPr>
          <w:rFonts w:ascii="Book Antiqua" w:eastAsia="Book Antiqua" w:hAnsi="Book Antiqua" w:cs="Book Antiqua"/>
          <w:color w:val="000000"/>
        </w:rPr>
        <w:t>. The ACG recommends management of these patients begin with lifestyle modifications, including weight loss and diet</w:t>
      </w:r>
      <w:r w:rsidR="00370CC2" w:rsidRPr="00995972">
        <w:rPr>
          <w:rFonts w:ascii="Book Antiqua" w:eastAsia="Book Antiqua" w:hAnsi="Book Antiqua" w:cs="Book Antiqua"/>
          <w:color w:val="000000"/>
        </w:rPr>
        <w:t>ary changes, along with an 8-w</w:t>
      </w:r>
      <w:r w:rsidRPr="00995972">
        <w:rPr>
          <w:rFonts w:ascii="Book Antiqua" w:eastAsia="Book Antiqua" w:hAnsi="Book Antiqua" w:cs="Book Antiqua"/>
          <w:color w:val="000000"/>
        </w:rPr>
        <w:t xml:space="preserve">k course of </w:t>
      </w:r>
      <w:r w:rsidR="00370CC2" w:rsidRPr="00995972">
        <w:rPr>
          <w:rFonts w:ascii="Book Antiqua" w:eastAsia="Book Antiqua" w:hAnsi="Book Antiqua" w:cs="Book Antiqua"/>
          <w:color w:val="000000"/>
        </w:rPr>
        <w:t>PPI</w:t>
      </w:r>
      <w:r w:rsidRPr="00995972">
        <w:rPr>
          <w:rFonts w:ascii="Book Antiqua" w:eastAsia="Book Antiqua" w:hAnsi="Book Antiqua" w:cs="Book Antiqua"/>
          <w:color w:val="000000"/>
        </w:rPr>
        <w:t xml:space="preserve"> therapy</w:t>
      </w:r>
      <w:r w:rsidRPr="00995972">
        <w:rPr>
          <w:rFonts w:ascii="Book Antiqua" w:eastAsia="Book Antiqua" w:hAnsi="Book Antiqua" w:cs="Book Antiqua"/>
          <w:color w:val="000000"/>
          <w:vertAlign w:val="superscript"/>
        </w:rPr>
        <w:t>[5]</w:t>
      </w:r>
      <w:r w:rsidRPr="00995972">
        <w:rPr>
          <w:rFonts w:ascii="Book Antiqua" w:eastAsia="Book Antiqua" w:hAnsi="Book Antiqua" w:cs="Book Antiqua"/>
          <w:color w:val="000000"/>
        </w:rPr>
        <w:t>. While this approach is effective for most patients, a subset of patients may require further management including surgical options such as fundoplication. Surgical treatment of GERD is as effective as medical management in appropriate candidates and is currently recommended for reasons including complications from PPIs, medication non-compliance, and large hiatal hernias</w:t>
      </w:r>
      <w:r w:rsidR="00370CC2" w:rsidRPr="00995972">
        <w:rPr>
          <w:rFonts w:ascii="Book Antiqua" w:eastAsia="Book Antiqua" w:hAnsi="Book Antiqua" w:cs="Book Antiqua"/>
          <w:color w:val="000000"/>
          <w:vertAlign w:val="superscript"/>
        </w:rPr>
        <w:t>[3,</w:t>
      </w:r>
      <w:r w:rsidRPr="00995972">
        <w:rPr>
          <w:rFonts w:ascii="Book Antiqua" w:eastAsia="Book Antiqua" w:hAnsi="Book Antiqua" w:cs="Book Antiqua"/>
          <w:color w:val="000000"/>
          <w:vertAlign w:val="superscript"/>
        </w:rPr>
        <w:t>5]</w:t>
      </w:r>
      <w:r w:rsidRPr="00995972">
        <w:rPr>
          <w:rFonts w:ascii="Book Antiqua" w:eastAsia="Book Antiqua" w:hAnsi="Book Antiqua" w:cs="Book Antiqua"/>
          <w:color w:val="000000"/>
        </w:rPr>
        <w:t xml:space="preserve">. Additionally, the </w:t>
      </w:r>
      <w:r w:rsidR="00370CC2" w:rsidRPr="00995972">
        <w:rPr>
          <w:rFonts w:ascii="Book Antiqua" w:eastAsia="Book Antiqua" w:hAnsi="Book Antiqua" w:cs="Book Antiqua"/>
          <w:color w:val="000000"/>
        </w:rPr>
        <w:t>SAGES</w:t>
      </w:r>
      <w:r w:rsidRPr="00995972">
        <w:rPr>
          <w:rFonts w:ascii="Book Antiqua" w:eastAsia="Book Antiqua" w:hAnsi="Book Antiqua" w:cs="Book Antiqua"/>
          <w:color w:val="000000"/>
        </w:rPr>
        <w:t xml:space="preserve"> recommends surgical therapy for patients with GERD who: have failed medical management, request surgery due to quality of life issues related to long term medication use, have complications such as Barrett’s esophagus, or have extra-esophageal symptoms related to their GERD</w:t>
      </w:r>
      <w:r w:rsidRPr="00995972">
        <w:rPr>
          <w:rFonts w:ascii="Book Antiqua" w:eastAsia="Book Antiqua" w:hAnsi="Book Antiqua" w:cs="Book Antiqua"/>
          <w:color w:val="000000"/>
          <w:vertAlign w:val="superscript"/>
        </w:rPr>
        <w:t>[6]</w:t>
      </w:r>
      <w:r w:rsidRPr="00995972">
        <w:rPr>
          <w:rFonts w:ascii="Book Antiqua" w:eastAsia="Book Antiqua" w:hAnsi="Book Antiqua" w:cs="Book Antiqua"/>
          <w:color w:val="000000"/>
        </w:rPr>
        <w:t>.</w:t>
      </w:r>
    </w:p>
    <w:p w14:paraId="3798B210" w14:textId="77777777" w:rsidR="00A77B3E" w:rsidRPr="00995972" w:rsidRDefault="006C4286" w:rsidP="00370CC2">
      <w:pPr>
        <w:spacing w:line="360" w:lineRule="auto"/>
        <w:ind w:firstLineChars="100" w:firstLine="240"/>
        <w:jc w:val="both"/>
      </w:pPr>
      <w:r w:rsidRPr="00995972">
        <w:rPr>
          <w:rFonts w:ascii="Book Antiqua" w:eastAsia="Book Antiqua" w:hAnsi="Book Antiqua" w:cs="Book Antiqua"/>
          <w:color w:val="000000"/>
        </w:rPr>
        <w:t>While surgical treatment of GERD may be as effective as medical therapy, complications are also possible. The most commonly reported side effects of surgery include dysphagia, belching, and increased abdominal bloating, though it is also possible to develop more severe complications requiring repeat surgery</w:t>
      </w:r>
      <w:r w:rsidRPr="00995972">
        <w:rPr>
          <w:rFonts w:ascii="Book Antiqua" w:eastAsia="Book Antiqua" w:hAnsi="Book Antiqua" w:cs="Book Antiqua"/>
          <w:color w:val="000000"/>
          <w:vertAlign w:val="superscript"/>
        </w:rPr>
        <w:t>[7]</w:t>
      </w:r>
      <w:r w:rsidRPr="00995972">
        <w:rPr>
          <w:rFonts w:ascii="Book Antiqua" w:eastAsia="Book Antiqua" w:hAnsi="Book Antiqua" w:cs="Book Antiqua"/>
          <w:color w:val="000000"/>
        </w:rPr>
        <w:t xml:space="preserve">. A total 360° Nissen </w:t>
      </w:r>
      <w:r w:rsidR="00B441BE" w:rsidRPr="00995972">
        <w:rPr>
          <w:rFonts w:ascii="Book Antiqua" w:eastAsia="Book Antiqua" w:hAnsi="Book Antiqua" w:cs="Book Antiqua"/>
          <w:color w:val="000000"/>
        </w:rPr>
        <w:t xml:space="preserve">fundoplication </w:t>
      </w:r>
      <w:r w:rsidRPr="00995972">
        <w:rPr>
          <w:rFonts w:ascii="Book Antiqua" w:eastAsia="Book Antiqua" w:hAnsi="Book Antiqua" w:cs="Book Antiqua"/>
          <w:color w:val="000000"/>
        </w:rPr>
        <w:t>is the most common surgical treatment for GERD, but variations also exist involving differing degrees of wrapping. Studies have found partial fundoplication to be similarly effective for reducing reflux symptoms, and may also have less post-operative dysphagia and bloating</w:t>
      </w:r>
      <w:r w:rsidRPr="00995972">
        <w:rPr>
          <w:rFonts w:ascii="Book Antiqua" w:eastAsia="Book Antiqua" w:hAnsi="Book Antiqua" w:cs="Book Antiqua"/>
          <w:color w:val="000000"/>
          <w:vertAlign w:val="superscript"/>
        </w:rPr>
        <w:t>[8]</w:t>
      </w:r>
      <w:r w:rsidRPr="00995972">
        <w:rPr>
          <w:rFonts w:ascii="Book Antiqua" w:eastAsia="Book Antiqua" w:hAnsi="Book Antiqua" w:cs="Book Antiqua"/>
          <w:color w:val="000000"/>
        </w:rPr>
        <w:t>. This is supported by a level 1 recommendation from the SAGES that partial fundoplication is associated with less dysphagia and similar patient satisfaction</w:t>
      </w:r>
      <w:r w:rsidRPr="00995972">
        <w:rPr>
          <w:rFonts w:ascii="Book Antiqua" w:eastAsia="Book Antiqua" w:hAnsi="Book Antiqua" w:cs="Book Antiqua"/>
          <w:color w:val="000000"/>
          <w:vertAlign w:val="superscript"/>
        </w:rPr>
        <w:t>[6]</w:t>
      </w:r>
      <w:r w:rsidRPr="00995972">
        <w:rPr>
          <w:rFonts w:ascii="Book Antiqua" w:eastAsia="Book Antiqua" w:hAnsi="Book Antiqua" w:cs="Book Antiqua"/>
          <w:color w:val="000000"/>
        </w:rPr>
        <w:t>. Additionally, newer techniques such as the Linx procedure (which uses a circlet of magnets to augment the LES) have shown similar short-term outcomes for the treatment of GERD when compared to fundoplication. More research is needed on the long-term outcomes</w:t>
      </w:r>
      <w:r w:rsidRPr="00995972">
        <w:rPr>
          <w:rFonts w:ascii="Book Antiqua" w:eastAsia="Book Antiqua" w:hAnsi="Book Antiqua" w:cs="Book Antiqua"/>
          <w:color w:val="000000"/>
          <w:vertAlign w:val="superscript"/>
        </w:rPr>
        <w:t>[9]</w:t>
      </w:r>
      <w:r w:rsidRPr="00995972">
        <w:rPr>
          <w:rFonts w:ascii="Book Antiqua" w:eastAsia="Book Antiqua" w:hAnsi="Book Antiqua" w:cs="Book Antiqua"/>
          <w:color w:val="000000"/>
        </w:rPr>
        <w:t>.</w:t>
      </w:r>
    </w:p>
    <w:p w14:paraId="77F3ED52" w14:textId="77777777" w:rsidR="00A77B3E" w:rsidRPr="00995972" w:rsidRDefault="006C4286" w:rsidP="00E1580E">
      <w:pPr>
        <w:spacing w:line="360" w:lineRule="auto"/>
        <w:ind w:firstLineChars="100" w:firstLine="240"/>
        <w:jc w:val="both"/>
      </w:pPr>
      <w:r w:rsidRPr="00995972">
        <w:rPr>
          <w:rFonts w:ascii="Book Antiqua" w:eastAsia="Book Antiqua" w:hAnsi="Book Antiqua" w:cs="Book Antiqua"/>
          <w:color w:val="000000"/>
        </w:rPr>
        <w:t>While surgical treatment of GERD can successfully relieve symptoms in up to 90% of patients</w:t>
      </w:r>
      <w:r w:rsidRPr="00995972">
        <w:rPr>
          <w:rFonts w:ascii="Book Antiqua" w:eastAsia="Book Antiqua" w:hAnsi="Book Antiqua" w:cs="Book Antiqua"/>
          <w:color w:val="000000"/>
          <w:vertAlign w:val="superscript"/>
        </w:rPr>
        <w:t>[10]</w:t>
      </w:r>
      <w:r w:rsidRPr="00995972">
        <w:rPr>
          <w:rFonts w:ascii="Book Antiqua" w:eastAsia="Book Antiqua" w:hAnsi="Book Antiqua" w:cs="Book Antiqua"/>
          <w:color w:val="000000"/>
        </w:rPr>
        <w:t xml:space="preserve">, a thorough pre-operative assessment is necessary to identify appropriate surgical candidates. The underlying mechanism of anti-reflux surgery is to improve the integrity of the </w:t>
      </w:r>
      <w:r w:rsidR="00301B9B" w:rsidRPr="00995972">
        <w:rPr>
          <w:rFonts w:ascii="Book Antiqua" w:eastAsia="Book Antiqua" w:hAnsi="Book Antiqua" w:cs="Book Antiqua"/>
          <w:color w:val="000000"/>
        </w:rPr>
        <w:t>LES</w:t>
      </w:r>
      <w:r w:rsidRPr="00995972">
        <w:rPr>
          <w:rFonts w:ascii="Book Antiqua" w:eastAsia="Book Antiqua" w:hAnsi="Book Antiqua" w:cs="Book Antiqua"/>
          <w:color w:val="000000"/>
        </w:rPr>
        <w:t>. Therefore, in order to achieve the best post-operative outcomes, it is crucial to confirm a patient’s symptoms are due to GERD and not another underlying pathology. Otherwise, a patient would likely continue experiencing symptoms post-operatively along with potentially developing complications such as dysphagia.</w:t>
      </w:r>
    </w:p>
    <w:p w14:paraId="63E45700" w14:textId="77777777" w:rsidR="00A77B3E" w:rsidRPr="00995972" w:rsidRDefault="006C4286" w:rsidP="00E1580E">
      <w:pPr>
        <w:spacing w:line="360" w:lineRule="auto"/>
        <w:ind w:firstLineChars="100" w:firstLine="240"/>
        <w:jc w:val="both"/>
      </w:pPr>
      <w:r w:rsidRPr="00995972">
        <w:rPr>
          <w:rFonts w:ascii="Book Antiqua" w:eastAsia="Book Antiqua" w:hAnsi="Book Antiqua" w:cs="Book Antiqua"/>
          <w:color w:val="000000"/>
        </w:rPr>
        <w:t xml:space="preserve">Newer technologies are becoming increasingly available for the assessment of patients with reflux symptoms and can help confirm the diagnosis of GERD. Improvements in pH studies with the inclusion of impedance measurements may help identify patients with </w:t>
      </w:r>
      <w:r w:rsidR="0066555C" w:rsidRPr="00995972">
        <w:rPr>
          <w:rFonts w:ascii="Book Antiqua" w:eastAsia="Book Antiqua" w:hAnsi="Book Antiqua" w:cs="Book Antiqua"/>
          <w:color w:val="000000"/>
        </w:rPr>
        <w:t>NERD</w:t>
      </w:r>
      <w:r w:rsidRPr="00995972">
        <w:rPr>
          <w:rFonts w:ascii="Book Antiqua" w:eastAsia="Book Antiqua" w:hAnsi="Book Antiqua" w:cs="Book Antiqua"/>
          <w:color w:val="000000"/>
        </w:rPr>
        <w:t xml:space="preserve">. Additionally, advancements in </w:t>
      </w:r>
      <w:r w:rsidR="0043041A" w:rsidRPr="00995972">
        <w:rPr>
          <w:rFonts w:ascii="Book Antiqua" w:eastAsia="Book Antiqua" w:hAnsi="Book Antiqua" w:cs="Book Antiqua"/>
          <w:color w:val="000000"/>
        </w:rPr>
        <w:t>HRM</w:t>
      </w:r>
      <w:r w:rsidRPr="00995972">
        <w:rPr>
          <w:rFonts w:ascii="Book Antiqua" w:eastAsia="Book Antiqua" w:hAnsi="Book Antiqua" w:cs="Book Antiqua"/>
          <w:color w:val="000000"/>
        </w:rPr>
        <w:t xml:space="preserve"> help further classify esophageal pathologies and identify patients as having disorders with GERD like symptoms (Table 1). In this review, we aim to provide a guide for the pre-operative assessment and evaluation of patients with reflux. We will focus on newer technologies that can be used to identify appropriate candidates for anti-reflux surgery by confirming the diagnosis of GERD and ruling out other esophageal diseases.</w:t>
      </w:r>
    </w:p>
    <w:p w14:paraId="49EA90B6" w14:textId="77777777" w:rsidR="00A77B3E" w:rsidRPr="00995972" w:rsidRDefault="00A77B3E">
      <w:pPr>
        <w:spacing w:line="360" w:lineRule="auto"/>
        <w:jc w:val="both"/>
      </w:pPr>
    </w:p>
    <w:p w14:paraId="46BE7DAB" w14:textId="77777777" w:rsidR="00A77B3E" w:rsidRPr="00995972" w:rsidRDefault="006C4286">
      <w:pPr>
        <w:spacing w:line="360" w:lineRule="auto"/>
        <w:jc w:val="both"/>
      </w:pPr>
      <w:bookmarkStart w:id="34" w:name="OLE_LINK24"/>
      <w:bookmarkStart w:id="35" w:name="OLE_LINK25"/>
      <w:r w:rsidRPr="00995972">
        <w:rPr>
          <w:rFonts w:ascii="Book Antiqua" w:eastAsia="Book Antiqua" w:hAnsi="Book Antiqua" w:cs="Book Antiqua"/>
          <w:b/>
          <w:caps/>
          <w:color w:val="000000"/>
          <w:u w:val="single"/>
        </w:rPr>
        <w:t>History Taking</w:t>
      </w:r>
    </w:p>
    <w:bookmarkEnd w:id="34"/>
    <w:bookmarkEnd w:id="35"/>
    <w:p w14:paraId="14E7E403" w14:textId="77777777" w:rsidR="00A77B3E" w:rsidRPr="00995972" w:rsidRDefault="006C4286" w:rsidP="00E1580E">
      <w:pPr>
        <w:spacing w:line="360" w:lineRule="auto"/>
        <w:jc w:val="both"/>
      </w:pPr>
      <w:r w:rsidRPr="00995972">
        <w:rPr>
          <w:rFonts w:ascii="Book Antiqua" w:eastAsia="Book Antiqua" w:hAnsi="Book Antiqua" w:cs="Book Antiqua"/>
          <w:color w:val="000000"/>
        </w:rPr>
        <w:t>The most important step in evaluating a patient’s candidacy for anti-reflux surgery is to confirm the diagnosis of GERD. This starts with careful history taking to assess the signs and symptoms a patient is suffering from. While the presence of typical GERD symptoms is enough for a presumptive diagnosis</w:t>
      </w:r>
      <w:r w:rsidRPr="00995972">
        <w:rPr>
          <w:rFonts w:ascii="Book Antiqua" w:eastAsia="Book Antiqua" w:hAnsi="Book Antiqua" w:cs="Book Antiqua"/>
          <w:color w:val="000000"/>
          <w:vertAlign w:val="superscript"/>
        </w:rPr>
        <w:t>[5]</w:t>
      </w:r>
      <w:r w:rsidRPr="00995972">
        <w:rPr>
          <w:rFonts w:ascii="Book Antiqua" w:eastAsia="Book Antiqua" w:hAnsi="Book Antiqua" w:cs="Book Antiqua"/>
          <w:color w:val="000000"/>
        </w:rPr>
        <w:t>, these symptoms can also be present in a wide range of diseases and do not confirm the diagnosis of GERD. One recent systematic review found that classic symptoms such as heartburn and regurgitation had a varying degree of sensitivity, ranging from 30</w:t>
      </w:r>
      <w:r w:rsidR="00E1580E" w:rsidRPr="00995972">
        <w:rPr>
          <w:rFonts w:ascii="Book Antiqua" w:hAnsi="Book Antiqua" w:cs="Book Antiqua" w:hint="eastAsia"/>
          <w:color w:val="000000"/>
          <w:lang w:eastAsia="zh-CN"/>
        </w:rPr>
        <w:t>%</w:t>
      </w:r>
      <w:r w:rsidRPr="00995972">
        <w:rPr>
          <w:rFonts w:ascii="Book Antiqua" w:eastAsia="Book Antiqua" w:hAnsi="Book Antiqua" w:cs="Book Antiqua"/>
          <w:color w:val="000000"/>
        </w:rPr>
        <w:t>-76%, for the presence of underlying GERD</w:t>
      </w:r>
      <w:r w:rsidRPr="00995972">
        <w:rPr>
          <w:rFonts w:ascii="Book Antiqua" w:eastAsia="Book Antiqua" w:hAnsi="Book Antiqua" w:cs="Book Antiqua"/>
          <w:color w:val="000000"/>
          <w:vertAlign w:val="superscript"/>
        </w:rPr>
        <w:t>[11]</w:t>
      </w:r>
      <w:r w:rsidRPr="00995972">
        <w:rPr>
          <w:rFonts w:ascii="Book Antiqua" w:eastAsia="Book Antiqua" w:hAnsi="Book Antiqua" w:cs="Book Antiqua"/>
          <w:color w:val="000000"/>
        </w:rPr>
        <w:t>. Additionally, the researchers found the studied symptoms were associated with a wide range of specificities (62</w:t>
      </w:r>
      <w:r w:rsidR="00E1580E" w:rsidRPr="00995972">
        <w:rPr>
          <w:rFonts w:ascii="Book Antiqua" w:hAnsi="Book Antiqua" w:cs="Book Antiqua" w:hint="eastAsia"/>
          <w:color w:val="000000"/>
          <w:lang w:eastAsia="zh-CN"/>
        </w:rPr>
        <w:t>%</w:t>
      </w:r>
      <w:r w:rsidRPr="00995972">
        <w:rPr>
          <w:rFonts w:ascii="Book Antiqua" w:eastAsia="Book Antiqua" w:hAnsi="Book Antiqua" w:cs="Book Antiqua"/>
          <w:color w:val="000000"/>
        </w:rPr>
        <w:t>-96%)</w:t>
      </w:r>
      <w:r w:rsidRPr="00995972">
        <w:rPr>
          <w:rFonts w:ascii="Book Antiqua" w:eastAsia="Book Antiqua" w:hAnsi="Book Antiqua" w:cs="Book Antiqua"/>
          <w:color w:val="000000"/>
          <w:vertAlign w:val="superscript"/>
        </w:rPr>
        <w:t>[11]</w:t>
      </w:r>
      <w:r w:rsidRPr="00995972">
        <w:rPr>
          <w:rFonts w:ascii="Book Antiqua" w:eastAsia="Book Antiqua" w:hAnsi="Book Antiqua" w:cs="Book Antiqua"/>
          <w:color w:val="000000"/>
        </w:rPr>
        <w:t xml:space="preserve">. It is also important to identify if patients are suffering from extra-esophageal symptoms of GERD, as they are less likely to find symptom relief with surgery. One randomized control study compared patients with asthma on medical </w:t>
      </w:r>
      <w:r w:rsidRPr="00995972">
        <w:rPr>
          <w:rFonts w:ascii="Book Antiqua" w:eastAsia="Book Antiqua" w:hAnsi="Book Antiqua" w:cs="Book Antiqua"/>
          <w:i/>
          <w:iCs/>
          <w:color w:val="000000"/>
        </w:rPr>
        <w:t>vs</w:t>
      </w:r>
      <w:r w:rsidRPr="00995972">
        <w:rPr>
          <w:rFonts w:ascii="Book Antiqua" w:eastAsia="Book Antiqua" w:hAnsi="Book Antiqua" w:cs="Book Antiqua"/>
          <w:color w:val="000000"/>
        </w:rPr>
        <w:t xml:space="preserve"> surgical therapy for reflux. While all patients experienced clinical improvement of their symptoms, researchers found no significant difference between the two modalities</w:t>
      </w:r>
      <w:r w:rsidRPr="00995972">
        <w:rPr>
          <w:rFonts w:ascii="Book Antiqua" w:eastAsia="Book Antiqua" w:hAnsi="Book Antiqua" w:cs="Book Antiqua"/>
          <w:color w:val="000000"/>
          <w:vertAlign w:val="superscript"/>
        </w:rPr>
        <w:t>[12]</w:t>
      </w:r>
      <w:r w:rsidRPr="00995972">
        <w:rPr>
          <w:rFonts w:ascii="Book Antiqua" w:eastAsia="Book Antiqua" w:hAnsi="Book Antiqua" w:cs="Book Antiqua"/>
          <w:color w:val="000000"/>
        </w:rPr>
        <w:t>. Overall, while a patient may display classic symptoms of GERD, further assessment must be completed to determine their appropriateness for surgery.</w:t>
      </w:r>
    </w:p>
    <w:p w14:paraId="1F23073B" w14:textId="77777777" w:rsidR="00A77B3E" w:rsidRPr="00995972" w:rsidRDefault="006C4286" w:rsidP="00864E05">
      <w:pPr>
        <w:spacing w:line="360" w:lineRule="auto"/>
        <w:ind w:firstLineChars="100" w:firstLine="240"/>
        <w:jc w:val="both"/>
        <w:rPr>
          <w:lang w:eastAsia="zh-CN"/>
        </w:rPr>
      </w:pPr>
      <w:r w:rsidRPr="00995972">
        <w:rPr>
          <w:rFonts w:ascii="Book Antiqua" w:eastAsia="Book Antiqua" w:hAnsi="Book Antiqua" w:cs="Book Antiqua"/>
          <w:color w:val="000000"/>
        </w:rPr>
        <w:t>Another important aspect of the patient’s history is to assess their response to PPI therapy, which may be a good predictor of outcomes after anti-reflux surgery</w:t>
      </w:r>
      <w:r w:rsidRPr="00995972">
        <w:rPr>
          <w:rFonts w:ascii="Book Antiqua" w:eastAsia="Book Antiqua" w:hAnsi="Book Antiqua" w:cs="Book Antiqua"/>
          <w:color w:val="000000"/>
          <w:vertAlign w:val="superscript"/>
        </w:rPr>
        <w:t>[13]</w:t>
      </w:r>
      <w:r w:rsidRPr="00995972">
        <w:rPr>
          <w:rFonts w:ascii="Book Antiqua" w:eastAsia="Book Antiqua" w:hAnsi="Book Antiqua" w:cs="Book Antiqua"/>
          <w:color w:val="000000"/>
        </w:rPr>
        <w:t>. One recent study involving 370 patients undergoing laparoscopic Nissan fundoplication found patients who responded well to PPI therapy had a significantly greater reduction in reflux symptoms after surgery</w:t>
      </w:r>
      <w:r w:rsidRPr="00995972">
        <w:rPr>
          <w:rFonts w:ascii="Book Antiqua" w:eastAsia="Book Antiqua" w:hAnsi="Book Antiqua" w:cs="Book Antiqua"/>
          <w:color w:val="000000"/>
          <w:vertAlign w:val="superscript"/>
        </w:rPr>
        <w:t>[14]</w:t>
      </w:r>
      <w:r w:rsidRPr="00995972">
        <w:rPr>
          <w:rFonts w:ascii="Book Antiqua" w:eastAsia="Book Antiqua" w:hAnsi="Book Antiqua" w:cs="Book Antiqua"/>
          <w:color w:val="000000"/>
        </w:rPr>
        <w:t>. Previous studies have also indicated that patients with symptoms refractory to PPI therapy may have a higher likelihood of poor surgical outcomes</w:t>
      </w:r>
      <w:r w:rsidRPr="00995972">
        <w:rPr>
          <w:rFonts w:ascii="Book Antiqua" w:eastAsia="Book Antiqua" w:hAnsi="Book Antiqua" w:cs="Book Antiqua"/>
          <w:color w:val="000000"/>
          <w:vertAlign w:val="superscript"/>
        </w:rPr>
        <w:t>[15]</w:t>
      </w:r>
      <w:r w:rsidRPr="00995972">
        <w:rPr>
          <w:rFonts w:ascii="Book Antiqua" w:eastAsia="Book Antiqua" w:hAnsi="Book Antiqua" w:cs="Book Antiqua"/>
          <w:color w:val="000000"/>
        </w:rPr>
        <w:t>. However, while PPI effectiveness may help predict surgical outcomes, it should not be used to confirm or rule out a diagnosis. One meta-analysis found that a successful response to PPI therapy was only 78% sensitive and 54% specific for an underlying diagnosis of GERD</w:t>
      </w:r>
      <w:r w:rsidRPr="00995972">
        <w:rPr>
          <w:rFonts w:ascii="Book Antiqua" w:eastAsia="Book Antiqua" w:hAnsi="Book Antiqua" w:cs="Book Antiqua"/>
          <w:color w:val="000000"/>
          <w:vertAlign w:val="superscript"/>
        </w:rPr>
        <w:t>[16]</w:t>
      </w:r>
      <w:r w:rsidRPr="00995972">
        <w:rPr>
          <w:rFonts w:ascii="Book Antiqua" w:eastAsia="Book Antiqua" w:hAnsi="Book Antiqua" w:cs="Book Antiqua"/>
          <w:color w:val="000000"/>
        </w:rPr>
        <w:t>.</w:t>
      </w:r>
    </w:p>
    <w:p w14:paraId="1DD9287E" w14:textId="77777777" w:rsidR="00A77B3E" w:rsidRPr="00995972" w:rsidRDefault="006C4286" w:rsidP="00234B95">
      <w:pPr>
        <w:spacing w:line="360" w:lineRule="auto"/>
        <w:ind w:firstLineChars="100" w:firstLine="240"/>
        <w:jc w:val="both"/>
      </w:pPr>
      <w:r w:rsidRPr="00995972">
        <w:rPr>
          <w:rFonts w:ascii="Book Antiqua" w:eastAsia="Book Antiqua" w:hAnsi="Book Antiqua" w:cs="Book Antiqua"/>
          <w:color w:val="000000"/>
        </w:rPr>
        <w:t>When assessing a patient for anti-reflux surgery, it is also important to understand the role of obesity in surgical outcomes. It is known that GERD is more common in obese patients, as greater central adipose tissue may lead to increased intraabdominal pressure stressing the LES</w:t>
      </w:r>
      <w:r w:rsidRPr="00995972">
        <w:rPr>
          <w:rFonts w:ascii="Book Antiqua" w:eastAsia="Book Antiqua" w:hAnsi="Book Antiqua" w:cs="Book Antiqua"/>
          <w:color w:val="000000"/>
          <w:vertAlign w:val="superscript"/>
        </w:rPr>
        <w:t>[17]</w:t>
      </w:r>
      <w:r w:rsidRPr="00995972">
        <w:rPr>
          <w:rFonts w:ascii="Book Antiqua" w:eastAsia="Book Antiqua" w:hAnsi="Book Antiqua" w:cs="Book Antiqua"/>
          <w:color w:val="000000"/>
        </w:rPr>
        <w:t>. While some studies indicated the morbidly obese are at a higher risk for surgical failure, more recent studies found similar outcomes of fundoplication in obese patients</w:t>
      </w:r>
      <w:r w:rsidR="001B0483" w:rsidRPr="00995972">
        <w:rPr>
          <w:rFonts w:ascii="Book Antiqua" w:eastAsia="Book Antiqua" w:hAnsi="Book Antiqua" w:cs="Book Antiqua"/>
          <w:color w:val="000000"/>
          <w:vertAlign w:val="superscript"/>
        </w:rPr>
        <w:t>[18,</w:t>
      </w:r>
      <w:r w:rsidRPr="00995972">
        <w:rPr>
          <w:rFonts w:ascii="Book Antiqua" w:eastAsia="Book Antiqua" w:hAnsi="Book Antiqua" w:cs="Book Antiqua"/>
          <w:color w:val="000000"/>
          <w:vertAlign w:val="superscript"/>
        </w:rPr>
        <w:t>19]</w:t>
      </w:r>
      <w:r w:rsidRPr="00995972">
        <w:rPr>
          <w:rFonts w:ascii="Book Antiqua" w:eastAsia="Book Antiqua" w:hAnsi="Book Antiqua" w:cs="Book Antiqua"/>
          <w:color w:val="000000"/>
        </w:rPr>
        <w:t>. An alternative surgical option for obese patients includes Roux-en-Y gastric bypass surgery. The SAGES currently recommends bypass surgery for morbidly obese patients with GERD, as it can help decrease GERD symptoms in addition to the weight loss benefits for the patient</w:t>
      </w:r>
      <w:r w:rsidRPr="00995972">
        <w:rPr>
          <w:rFonts w:ascii="Book Antiqua" w:eastAsia="Book Antiqua" w:hAnsi="Book Antiqua" w:cs="Book Antiqua"/>
          <w:color w:val="000000"/>
          <w:vertAlign w:val="superscript"/>
        </w:rPr>
        <w:t>[6]</w:t>
      </w:r>
      <w:r w:rsidRPr="00995972">
        <w:rPr>
          <w:rFonts w:ascii="Book Antiqua" w:eastAsia="Book Antiqua" w:hAnsi="Book Antiqua" w:cs="Book Antiqua"/>
          <w:color w:val="000000"/>
        </w:rPr>
        <w:t>. However, evidence is still unclear regarding the optimal surgical treatment for patients with class I obesity, and while anti-reflux surgery is a safe option, these patients should be evaluated on a case-by-case basis. Additionally, it is still important to fully assess the reflux symptoms of patients undergoing weight loss surgery. While obese patients are more likely to have GERD, they may also have an underlying esophageal motility disorders, and the use of HRM can help distinguish between these conditions</w:t>
      </w:r>
      <w:r w:rsidRPr="00995972">
        <w:rPr>
          <w:rFonts w:ascii="Book Antiqua" w:eastAsia="Book Antiqua" w:hAnsi="Book Antiqua" w:cs="Book Antiqua"/>
          <w:color w:val="000000"/>
          <w:vertAlign w:val="superscript"/>
        </w:rPr>
        <w:t>[20]</w:t>
      </w:r>
      <w:r w:rsidRPr="00995972">
        <w:rPr>
          <w:rFonts w:ascii="Book Antiqua" w:eastAsia="Book Antiqua" w:hAnsi="Book Antiqua" w:cs="Book Antiqua"/>
          <w:color w:val="000000"/>
        </w:rPr>
        <w:t>.</w:t>
      </w:r>
    </w:p>
    <w:p w14:paraId="2EF33D3F" w14:textId="77777777" w:rsidR="00A77B3E" w:rsidRPr="00995972" w:rsidRDefault="00A77B3E">
      <w:pPr>
        <w:spacing w:line="360" w:lineRule="auto"/>
        <w:jc w:val="both"/>
      </w:pPr>
    </w:p>
    <w:p w14:paraId="44815AB3" w14:textId="77777777" w:rsidR="00A77B3E" w:rsidRPr="00995972" w:rsidRDefault="006C4286">
      <w:pPr>
        <w:spacing w:line="360" w:lineRule="auto"/>
        <w:jc w:val="both"/>
      </w:pPr>
      <w:bookmarkStart w:id="36" w:name="OLE_LINK26"/>
      <w:bookmarkStart w:id="37" w:name="OLE_LINK27"/>
      <w:r w:rsidRPr="00995972">
        <w:rPr>
          <w:rFonts w:ascii="Book Antiqua" w:eastAsia="Book Antiqua" w:hAnsi="Book Antiqua" w:cs="Book Antiqua"/>
          <w:b/>
          <w:caps/>
          <w:color w:val="000000"/>
          <w:u w:val="single"/>
        </w:rPr>
        <w:t>Esophageal pH Testing</w:t>
      </w:r>
    </w:p>
    <w:bookmarkEnd w:id="36"/>
    <w:bookmarkEnd w:id="37"/>
    <w:p w14:paraId="31816370" w14:textId="77777777" w:rsidR="00A77B3E" w:rsidRPr="00995972" w:rsidRDefault="006C4286" w:rsidP="00AF247A">
      <w:pPr>
        <w:spacing w:line="360" w:lineRule="auto"/>
        <w:jc w:val="both"/>
      </w:pPr>
      <w:r w:rsidRPr="00995972">
        <w:rPr>
          <w:rFonts w:ascii="Book Antiqua" w:eastAsia="Book Antiqua" w:hAnsi="Book Antiqua" w:cs="Book Antiqua"/>
          <w:color w:val="000000"/>
        </w:rPr>
        <w:t>After thorough history taking to identify patients with GERD like symptoms, a upper endoscopy can help make a diagnosis by directly visualizing esophageal lesions such as esophagitis. However, a subset of patients may still have gastric reflux without evidence of any erosions</w:t>
      </w:r>
      <w:r w:rsidRPr="00995972">
        <w:rPr>
          <w:rFonts w:ascii="Book Antiqua" w:eastAsia="Book Antiqua" w:hAnsi="Book Antiqua" w:cs="Book Antiqua"/>
          <w:color w:val="000000"/>
          <w:vertAlign w:val="superscript"/>
        </w:rPr>
        <w:t>[5]</w:t>
      </w:r>
      <w:r w:rsidRPr="00995972">
        <w:rPr>
          <w:rFonts w:ascii="Book Antiqua" w:eastAsia="Book Antiqua" w:hAnsi="Book Antiqua" w:cs="Book Antiqua"/>
          <w:color w:val="000000"/>
        </w:rPr>
        <w:t xml:space="preserve">. In these patients with </w:t>
      </w:r>
      <w:r w:rsidR="0066555C" w:rsidRPr="00995972">
        <w:rPr>
          <w:rFonts w:ascii="Book Antiqua" w:eastAsia="Book Antiqua" w:hAnsi="Book Antiqua" w:cs="Book Antiqua"/>
          <w:color w:val="000000"/>
        </w:rPr>
        <w:t>NERD</w:t>
      </w:r>
      <w:r w:rsidRPr="00995972">
        <w:rPr>
          <w:rFonts w:ascii="Book Antiqua" w:eastAsia="Book Antiqua" w:hAnsi="Book Antiqua" w:cs="Book Antiqua"/>
          <w:color w:val="000000"/>
        </w:rPr>
        <w:t>, further testing is required to accurately diagnose reflux and confirm if a patient might be a good candidate for surgical correction. Esophageal pH testing can be a useful modality to identify acidic reflux above the LES</w:t>
      </w:r>
      <w:r w:rsidR="00DC3FDE" w:rsidRPr="00995972">
        <w:rPr>
          <w:rFonts w:ascii="Book Antiqua" w:eastAsia="Book Antiqua" w:hAnsi="Book Antiqua" w:cs="Book Antiqua"/>
          <w:color w:val="000000"/>
          <w:vertAlign w:val="superscript"/>
        </w:rPr>
        <w:t>[21,</w:t>
      </w:r>
      <w:r w:rsidRPr="00995972">
        <w:rPr>
          <w:rFonts w:ascii="Book Antiqua" w:eastAsia="Book Antiqua" w:hAnsi="Book Antiqua" w:cs="Book Antiqua"/>
          <w:color w:val="000000"/>
          <w:vertAlign w:val="superscript"/>
        </w:rPr>
        <w:t>22]</w:t>
      </w:r>
      <w:r w:rsidRPr="00995972">
        <w:rPr>
          <w:rFonts w:ascii="Book Antiqua" w:eastAsia="Book Antiqua" w:hAnsi="Book Antiqua" w:cs="Book Antiqua"/>
          <w:color w:val="000000"/>
        </w:rPr>
        <w:t>. Standard ambulatory pH monitoring involves placement of a trans-nasal probe 5 cm above the LES</w:t>
      </w:r>
      <w:r w:rsidRPr="00995972">
        <w:rPr>
          <w:rFonts w:ascii="Book Antiqua" w:eastAsia="Book Antiqua" w:hAnsi="Book Antiqua" w:cs="Book Antiqua"/>
          <w:color w:val="000000"/>
          <w:vertAlign w:val="superscript"/>
        </w:rPr>
        <w:t>[23]</w:t>
      </w:r>
      <w:r w:rsidRPr="00995972">
        <w:rPr>
          <w:rFonts w:ascii="Book Antiqua" w:eastAsia="Book Antiqua" w:hAnsi="Book Antiqua" w:cs="Book Antiqua"/>
          <w:color w:val="000000"/>
        </w:rPr>
        <w:t>. The probe then measures acid exposure time (AET) by recording any dr</w:t>
      </w:r>
      <w:r w:rsidR="008F426B" w:rsidRPr="00995972">
        <w:rPr>
          <w:rFonts w:ascii="Book Antiqua" w:eastAsia="Book Antiqua" w:hAnsi="Book Antiqua" w:cs="Book Antiqua"/>
          <w:color w:val="000000"/>
        </w:rPr>
        <w:t>ops in pH below 4 over a 24-h</w:t>
      </w:r>
      <w:r w:rsidRPr="00995972">
        <w:rPr>
          <w:rFonts w:ascii="Book Antiqua" w:eastAsia="Book Antiqua" w:hAnsi="Book Antiqua" w:cs="Book Antiqua"/>
          <w:color w:val="000000"/>
        </w:rPr>
        <w:t xml:space="preserve"> period (Figure 1). The DeMeester score was a system developed in the 1970’s to categorize a patient’s reflux based on parameters including the number and timing of reflux events as well as supine </w:t>
      </w:r>
      <w:r w:rsidRPr="00995972">
        <w:rPr>
          <w:rFonts w:ascii="Book Antiqua" w:eastAsia="Book Antiqua" w:hAnsi="Book Antiqua" w:cs="Book Antiqua"/>
          <w:i/>
          <w:iCs/>
          <w:color w:val="000000"/>
        </w:rPr>
        <w:t>vs</w:t>
      </w:r>
      <w:r w:rsidRPr="00995972">
        <w:rPr>
          <w:rFonts w:ascii="Book Antiqua" w:eastAsia="Book Antiqua" w:hAnsi="Book Antiqua" w:cs="Book Antiqua"/>
          <w:color w:val="000000"/>
        </w:rPr>
        <w:t xml:space="preserve"> upright positioning during these periods</w:t>
      </w:r>
      <w:r w:rsidRPr="00995972">
        <w:rPr>
          <w:rFonts w:ascii="Book Antiqua" w:eastAsia="Book Antiqua" w:hAnsi="Book Antiqua" w:cs="Book Antiqua"/>
          <w:color w:val="000000"/>
          <w:vertAlign w:val="superscript"/>
        </w:rPr>
        <w:t>[24]</w:t>
      </w:r>
      <w:r w:rsidRPr="00995972">
        <w:rPr>
          <w:rFonts w:ascii="Book Antiqua" w:eastAsia="Book Antiqua" w:hAnsi="Book Antiqua" w:cs="Book Antiqua"/>
          <w:color w:val="000000"/>
        </w:rPr>
        <w:t>. More recently, the Lyon consensus recommends using only AET when determining GERD, and defined pathologic reflux as having greater than 6% AET</w:t>
      </w:r>
      <w:r w:rsidRPr="00995972">
        <w:rPr>
          <w:rFonts w:ascii="Book Antiqua" w:eastAsia="Book Antiqua" w:hAnsi="Book Antiqua" w:cs="Book Antiqua"/>
          <w:color w:val="000000"/>
          <w:vertAlign w:val="superscript"/>
        </w:rPr>
        <w:t>[22]</w:t>
      </w:r>
      <w:r w:rsidRPr="00995972">
        <w:rPr>
          <w:rFonts w:ascii="Book Antiqua" w:eastAsia="Book Antiqua" w:hAnsi="Book Antiqua" w:cs="Book Antiqua"/>
          <w:color w:val="000000"/>
        </w:rPr>
        <w:t>. Although there is debate regarding which method is more reliable, both have similar strengths and weaknesses, and there is no current evidence that one method is superior to the other</w:t>
      </w:r>
      <w:r w:rsidRPr="00995972">
        <w:rPr>
          <w:rFonts w:ascii="Book Antiqua" w:eastAsia="Book Antiqua" w:hAnsi="Book Antiqua" w:cs="Book Antiqua"/>
          <w:color w:val="000000"/>
          <w:vertAlign w:val="superscript"/>
        </w:rPr>
        <w:t>[25]</w:t>
      </w:r>
      <w:r w:rsidRPr="00995972">
        <w:rPr>
          <w:rFonts w:ascii="Book Antiqua" w:eastAsia="Book Antiqua" w:hAnsi="Book Antiqua" w:cs="Book Antiqua"/>
          <w:color w:val="000000"/>
        </w:rPr>
        <w:t>. In general, the ACG recommends pH monitoring for all patients with NERD as a pre-operative assessment, and more recent studies have also found utility in measuring AET for patients with LA grade A or B esophagitis prior to surgery</w:t>
      </w:r>
      <w:r w:rsidR="008F426B" w:rsidRPr="00995972">
        <w:rPr>
          <w:rFonts w:ascii="Book Antiqua" w:eastAsia="Book Antiqua" w:hAnsi="Book Antiqua" w:cs="Book Antiqua"/>
          <w:color w:val="000000"/>
          <w:vertAlign w:val="superscript"/>
        </w:rPr>
        <w:t>[5,</w:t>
      </w:r>
      <w:r w:rsidRPr="00995972">
        <w:rPr>
          <w:rFonts w:ascii="Book Antiqua" w:eastAsia="Book Antiqua" w:hAnsi="Book Antiqua" w:cs="Book Antiqua"/>
          <w:color w:val="000000"/>
          <w:vertAlign w:val="superscript"/>
        </w:rPr>
        <w:t>26]</w:t>
      </w:r>
      <w:r w:rsidRPr="00995972">
        <w:rPr>
          <w:rFonts w:ascii="Book Antiqua" w:eastAsia="Book Antiqua" w:hAnsi="Book Antiqua" w:cs="Book Antiqua"/>
          <w:color w:val="000000"/>
        </w:rPr>
        <w:t>. Additionally, pH testing has utility for confirming reflux in patients with GERD or NERD who are unresponsive to PPI therapy</w:t>
      </w:r>
      <w:r w:rsidRPr="00995972">
        <w:rPr>
          <w:rFonts w:ascii="Book Antiqua" w:eastAsia="Book Antiqua" w:hAnsi="Book Antiqua" w:cs="Book Antiqua"/>
          <w:color w:val="000000"/>
          <w:vertAlign w:val="superscript"/>
        </w:rPr>
        <w:t>[21]</w:t>
      </w:r>
      <w:r w:rsidRPr="00995972">
        <w:rPr>
          <w:rFonts w:ascii="Book Antiqua" w:eastAsia="Book Antiqua" w:hAnsi="Book Antiqua" w:cs="Book Antiqua"/>
          <w:color w:val="000000"/>
        </w:rPr>
        <w:t>.</w:t>
      </w:r>
    </w:p>
    <w:p w14:paraId="4BD0946E" w14:textId="77777777" w:rsidR="00A77B3E" w:rsidRPr="00995972" w:rsidRDefault="006C4286" w:rsidP="00232384">
      <w:pPr>
        <w:spacing w:line="360" w:lineRule="auto"/>
        <w:ind w:firstLineChars="100" w:firstLine="240"/>
        <w:jc w:val="both"/>
        <w:rPr>
          <w:lang w:eastAsia="zh-CN"/>
        </w:rPr>
      </w:pPr>
      <w:r w:rsidRPr="00995972">
        <w:rPr>
          <w:rFonts w:ascii="Book Antiqua" w:eastAsia="Book Antiqua" w:hAnsi="Book Antiqua" w:cs="Book Antiqua"/>
          <w:color w:val="000000"/>
        </w:rPr>
        <w:t>One drawback of ambulatory pH monitoring is the discomfort patients may experience from the trans-nasal catheter, with some studies showing patients tend to decrease typical daily activities that might promote reflux after the probe is placed</w:t>
      </w:r>
      <w:r w:rsidRPr="00995972">
        <w:rPr>
          <w:rFonts w:ascii="Book Antiqua" w:eastAsia="Book Antiqua" w:hAnsi="Book Antiqua" w:cs="Book Antiqua"/>
          <w:color w:val="000000"/>
          <w:vertAlign w:val="superscript"/>
        </w:rPr>
        <w:t>[27]</w:t>
      </w:r>
      <w:r w:rsidRPr="00995972">
        <w:rPr>
          <w:rFonts w:ascii="Book Antiqua" w:eastAsia="Book Antiqua" w:hAnsi="Book Antiqua" w:cs="Book Antiqua"/>
          <w:color w:val="000000"/>
        </w:rPr>
        <w:t>. Wireless capsule pH monitoring is also available, and while it must be placed endoscopically, it is often better tolerated than the catheter probe and may provide better measurements of physiologic reflux (Figure 2)</w:t>
      </w:r>
      <w:r w:rsidRPr="00995972">
        <w:rPr>
          <w:rFonts w:ascii="Book Antiqua" w:eastAsia="Book Antiqua" w:hAnsi="Book Antiqua" w:cs="Book Antiqua"/>
          <w:color w:val="000000"/>
          <w:vertAlign w:val="superscript"/>
        </w:rPr>
        <w:t>[28]</w:t>
      </w:r>
      <w:r w:rsidRPr="00995972">
        <w:rPr>
          <w:rFonts w:ascii="Book Antiqua" w:eastAsia="Book Antiqua" w:hAnsi="Book Antiqua" w:cs="Book Antiqua"/>
          <w:color w:val="000000"/>
        </w:rPr>
        <w:t>. In addition to improved patient tolerance, the capsule can record AET for 48-96 h depending on battery life, improving the sensitivity of the test</w:t>
      </w:r>
      <w:r w:rsidRPr="00995972">
        <w:rPr>
          <w:rFonts w:ascii="Book Antiqua" w:eastAsia="Book Antiqua" w:hAnsi="Book Antiqua" w:cs="Book Antiqua"/>
          <w:color w:val="000000"/>
          <w:vertAlign w:val="superscript"/>
        </w:rPr>
        <w:t>[29]</w:t>
      </w:r>
      <w:r w:rsidRPr="00995972">
        <w:rPr>
          <w:rFonts w:ascii="Book Antiqua" w:eastAsia="Book Antiqua" w:hAnsi="Book Antiqua" w:cs="Book Antiqua"/>
          <w:color w:val="000000"/>
        </w:rPr>
        <w:t>. However, both catheter and capsule pH monitoring are limited by the fact that they only measure acidic reflux. Studies have shown up to 30% of patients with pathologic reflux may have normal pH measurements on ambulatory monitoring</w:t>
      </w:r>
      <w:r w:rsidRPr="00995972">
        <w:rPr>
          <w:rFonts w:ascii="Book Antiqua" w:eastAsia="Book Antiqua" w:hAnsi="Book Antiqua" w:cs="Book Antiqua"/>
          <w:color w:val="000000"/>
          <w:vertAlign w:val="superscript"/>
        </w:rPr>
        <w:t>[30]</w:t>
      </w:r>
      <w:r w:rsidRPr="00995972">
        <w:rPr>
          <w:rFonts w:ascii="Book Antiqua" w:eastAsia="Book Antiqua" w:hAnsi="Book Antiqua" w:cs="Book Antiqua"/>
          <w:color w:val="000000"/>
        </w:rPr>
        <w:t>. This indicates up to 1/3 of patients with LES dysfunction who may benefit from surgery are missed with this form of testing</w:t>
      </w:r>
      <w:r w:rsidR="00C02031" w:rsidRPr="00995972">
        <w:rPr>
          <w:rFonts w:ascii="Book Antiqua" w:hAnsi="Book Antiqua" w:cs="Book Antiqua" w:hint="eastAsia"/>
          <w:color w:val="000000"/>
          <w:lang w:eastAsia="zh-CN"/>
        </w:rPr>
        <w:t xml:space="preserve"> (Table 2)</w:t>
      </w:r>
      <w:r w:rsidRPr="00995972">
        <w:rPr>
          <w:rFonts w:ascii="Book Antiqua" w:eastAsia="Book Antiqua" w:hAnsi="Book Antiqua" w:cs="Book Antiqua"/>
          <w:color w:val="000000"/>
        </w:rPr>
        <w:t>.</w:t>
      </w:r>
    </w:p>
    <w:p w14:paraId="1BDB2A83" w14:textId="77777777" w:rsidR="00A77B3E" w:rsidRPr="00995972" w:rsidRDefault="00A77B3E">
      <w:pPr>
        <w:spacing w:line="360" w:lineRule="auto"/>
        <w:jc w:val="both"/>
      </w:pPr>
    </w:p>
    <w:p w14:paraId="41FAA24E" w14:textId="275641BB" w:rsidR="00A77B3E" w:rsidRPr="00995972" w:rsidRDefault="00D670E7">
      <w:pPr>
        <w:spacing w:line="360" w:lineRule="auto"/>
        <w:jc w:val="both"/>
        <w:rPr>
          <w:b/>
        </w:rPr>
      </w:pPr>
      <w:r w:rsidRPr="00995972">
        <w:rPr>
          <w:rFonts w:ascii="Book Antiqua" w:eastAsia="Book Antiqua" w:hAnsi="Book Antiqua" w:cs="Book Antiqua"/>
          <w:b/>
          <w:i/>
          <w:iCs/>
          <w:color w:val="000000"/>
        </w:rPr>
        <w:t>p</w:t>
      </w:r>
      <w:r w:rsidR="00F6455A" w:rsidRPr="00995972">
        <w:rPr>
          <w:rFonts w:ascii="Book Antiqua" w:eastAsia="Book Antiqua" w:hAnsi="Book Antiqua" w:cs="Book Antiqua"/>
          <w:b/>
          <w:i/>
          <w:iCs/>
          <w:color w:val="000000"/>
        </w:rPr>
        <w:t>H-impedance testing</w:t>
      </w:r>
    </w:p>
    <w:p w14:paraId="47316573" w14:textId="77777777" w:rsidR="00A77B3E" w:rsidRPr="00995972" w:rsidRDefault="006C4286">
      <w:pPr>
        <w:spacing w:line="360" w:lineRule="auto"/>
        <w:jc w:val="both"/>
        <w:rPr>
          <w:lang w:eastAsia="zh-CN"/>
        </w:rPr>
      </w:pPr>
      <w:bookmarkStart w:id="38" w:name="OLE_LINK194"/>
      <w:r w:rsidRPr="00995972">
        <w:rPr>
          <w:rFonts w:ascii="Book Antiqua" w:eastAsia="Book Antiqua" w:hAnsi="Book Antiqua" w:cs="Book Antiqua"/>
          <w:color w:val="000000"/>
        </w:rPr>
        <w:t>Multichannel intraluminal impendence pH monitoring</w:t>
      </w:r>
      <w:bookmarkEnd w:id="38"/>
      <w:r w:rsidRPr="00995972">
        <w:rPr>
          <w:rFonts w:ascii="Book Antiqua" w:eastAsia="Book Antiqua" w:hAnsi="Book Antiqua" w:cs="Book Antiqua"/>
          <w:color w:val="000000"/>
        </w:rPr>
        <w:t xml:space="preserve"> (MII-pH) is a newer technology that measures changes in electrical conductivity between multiple points on the probe</w:t>
      </w:r>
      <w:r w:rsidRPr="00995972">
        <w:rPr>
          <w:rFonts w:ascii="Book Antiqua" w:eastAsia="Book Antiqua" w:hAnsi="Book Antiqua" w:cs="Book Antiqua"/>
          <w:color w:val="000000"/>
          <w:vertAlign w:val="superscript"/>
        </w:rPr>
        <w:t>[23]</w:t>
      </w:r>
      <w:r w:rsidRPr="00995972">
        <w:rPr>
          <w:rFonts w:ascii="Book Antiqua" w:eastAsia="Book Antiqua" w:hAnsi="Book Antiqua" w:cs="Book Antiqua"/>
          <w:color w:val="000000"/>
        </w:rPr>
        <w:t>. This data is combined with the pH probe to measure reflux of any material above the LES, independent of pH (Figure 3)</w:t>
      </w:r>
      <w:r w:rsidRPr="00995972">
        <w:rPr>
          <w:rFonts w:ascii="Book Antiqua" w:eastAsia="Book Antiqua" w:hAnsi="Book Antiqua" w:cs="Book Antiqua"/>
          <w:color w:val="000000"/>
          <w:vertAlign w:val="superscript"/>
        </w:rPr>
        <w:t>[30]</w:t>
      </w:r>
      <w:r w:rsidRPr="00995972">
        <w:rPr>
          <w:rFonts w:ascii="Book Antiqua" w:eastAsia="Book Antiqua" w:hAnsi="Book Antiqua" w:cs="Book Antiqua"/>
          <w:color w:val="000000"/>
        </w:rPr>
        <w:t>. The Lyon consensus defines physiologic reflux as 40 or less reflux events, with pathologic defined as greater than 80 episodes of reflux</w:t>
      </w:r>
      <w:r w:rsidRPr="00995972">
        <w:rPr>
          <w:rFonts w:ascii="Book Antiqua" w:eastAsia="Book Antiqua" w:hAnsi="Book Antiqua" w:cs="Book Antiqua"/>
          <w:color w:val="000000"/>
          <w:vertAlign w:val="superscript"/>
        </w:rPr>
        <w:t>[22]</w:t>
      </w:r>
      <w:r w:rsidRPr="00995972">
        <w:rPr>
          <w:rFonts w:ascii="Book Antiqua" w:eastAsia="Book Antiqua" w:hAnsi="Book Antiqua" w:cs="Book Antiqua"/>
          <w:color w:val="000000"/>
        </w:rPr>
        <w:t>. This definition allows for patients to continue PPI therapy during testing, as pH does not factor into the diagnosis</w:t>
      </w:r>
      <w:r w:rsidRPr="00995972">
        <w:rPr>
          <w:rFonts w:ascii="Book Antiqua" w:eastAsia="Book Antiqua" w:hAnsi="Book Antiqua" w:cs="Book Antiqua"/>
          <w:color w:val="000000"/>
          <w:vertAlign w:val="superscript"/>
        </w:rPr>
        <w:t>[31]</w:t>
      </w:r>
      <w:r w:rsidRPr="00995972">
        <w:rPr>
          <w:rFonts w:ascii="Book Antiqua" w:eastAsia="Book Antiqua" w:hAnsi="Book Antiqua" w:cs="Book Antiqua"/>
          <w:color w:val="000000"/>
        </w:rPr>
        <w:t>. MII-pH testing also has utility in identifying patients with weak acid reflux (pH 4-7). Up to 30% of patients with GERD may continue to have symptoms refractory to acid suppression therapy</w:t>
      </w:r>
      <w:r w:rsidRPr="00995972">
        <w:rPr>
          <w:rFonts w:ascii="Book Antiqua" w:eastAsia="Book Antiqua" w:hAnsi="Book Antiqua" w:cs="Book Antiqua"/>
          <w:color w:val="000000"/>
          <w:vertAlign w:val="superscript"/>
        </w:rPr>
        <w:t>[32]</w:t>
      </w:r>
      <w:r w:rsidRPr="00995972">
        <w:rPr>
          <w:rFonts w:ascii="Book Antiqua" w:eastAsia="Book Antiqua" w:hAnsi="Book Antiqua" w:cs="Book Antiqua"/>
          <w:color w:val="000000"/>
        </w:rPr>
        <w:t>. While these symptoms could potentially be secondary to any of the diagnoses seen in Table 1, MII-pH testing can identify patients with weak reflux by independently measuring reflux and pH (Figure 3). Treatment of patients with weak acid reflux is controversial, especially because previous studies have shown failure of PPIs is an indicator for poor outcomes after anti-reflux surgery</w:t>
      </w:r>
      <w:r w:rsidRPr="00995972">
        <w:rPr>
          <w:rFonts w:ascii="Book Antiqua" w:eastAsia="Book Antiqua" w:hAnsi="Book Antiqua" w:cs="Book Antiqua"/>
          <w:color w:val="000000"/>
          <w:vertAlign w:val="superscript"/>
        </w:rPr>
        <w:t>[15]</w:t>
      </w:r>
      <w:r w:rsidRPr="00995972">
        <w:rPr>
          <w:rFonts w:ascii="Book Antiqua" w:eastAsia="Book Antiqua" w:hAnsi="Book Antiqua" w:cs="Book Antiqua"/>
          <w:color w:val="000000"/>
        </w:rPr>
        <w:t>. However, if clinicians can confirm refractory GERD is secondary to weak acid reflux and not alternative diagnoses such as functional heartburn, they can identify patients who would still be good surgical candidates</w:t>
      </w:r>
      <w:r w:rsidRPr="00995972">
        <w:rPr>
          <w:rFonts w:ascii="Book Antiqua" w:eastAsia="Book Antiqua" w:hAnsi="Book Antiqua" w:cs="Book Antiqua"/>
          <w:color w:val="000000"/>
          <w:vertAlign w:val="superscript"/>
        </w:rPr>
        <w:t>[33]</w:t>
      </w:r>
      <w:r w:rsidRPr="00995972">
        <w:rPr>
          <w:rFonts w:ascii="Book Antiqua" w:eastAsia="Book Antiqua" w:hAnsi="Book Antiqua" w:cs="Book Antiqua"/>
          <w:color w:val="000000"/>
        </w:rPr>
        <w:t>.</w:t>
      </w:r>
    </w:p>
    <w:p w14:paraId="4D0DC1D2" w14:textId="77777777" w:rsidR="00A77B3E" w:rsidRPr="00995972" w:rsidRDefault="006C4286" w:rsidP="00FA417A">
      <w:pPr>
        <w:spacing w:line="360" w:lineRule="auto"/>
        <w:ind w:firstLineChars="100" w:firstLine="240"/>
        <w:jc w:val="both"/>
      </w:pPr>
      <w:r w:rsidRPr="00995972">
        <w:rPr>
          <w:rFonts w:ascii="Book Antiqua" w:eastAsia="Book Antiqua" w:hAnsi="Book Antiqua" w:cs="Book Antiqua"/>
          <w:color w:val="000000"/>
        </w:rPr>
        <w:t>Limitations of MII-pH testing include using a trans-nasal catheter and required manometry testing for all patients prior to placement</w:t>
      </w:r>
      <w:r w:rsidRPr="00995972">
        <w:rPr>
          <w:rFonts w:ascii="Book Antiqua" w:eastAsia="Book Antiqua" w:hAnsi="Book Antiqua" w:cs="Book Antiqua"/>
          <w:color w:val="000000"/>
          <w:vertAlign w:val="superscript"/>
        </w:rPr>
        <w:t>[29]</w:t>
      </w:r>
      <w:r w:rsidRPr="00995972">
        <w:rPr>
          <w:rFonts w:ascii="Book Antiqua" w:eastAsia="Book Antiqua" w:hAnsi="Book Antiqua" w:cs="Book Antiqua"/>
          <w:color w:val="000000"/>
        </w:rPr>
        <w:t>. Additionally, visual analysis of the data is time consuming, but computerized electronic review software can be imprecise. One study found that computer interpretation of results identified only 74% of reflux events confirmed by visual analysis</w:t>
      </w:r>
      <w:r w:rsidRPr="00995972">
        <w:rPr>
          <w:rFonts w:ascii="Book Antiqua" w:eastAsia="Book Antiqua" w:hAnsi="Book Antiqua" w:cs="Book Antiqua"/>
          <w:color w:val="000000"/>
          <w:vertAlign w:val="superscript"/>
        </w:rPr>
        <w:t>[34]</w:t>
      </w:r>
      <w:r w:rsidRPr="00995972">
        <w:rPr>
          <w:rFonts w:ascii="Book Antiqua" w:eastAsia="Book Antiqua" w:hAnsi="Book Antiqua" w:cs="Book Antiqua"/>
          <w:color w:val="000000"/>
        </w:rPr>
        <w:t>. The authors suggested visual review of the data may be necessary to confirm test accuracy</w:t>
      </w:r>
      <w:r w:rsidRPr="00995972">
        <w:rPr>
          <w:rFonts w:ascii="Book Antiqua" w:eastAsia="Book Antiqua" w:hAnsi="Book Antiqua" w:cs="Book Antiqua"/>
          <w:color w:val="000000"/>
          <w:vertAlign w:val="superscript"/>
        </w:rPr>
        <w:t>[34]</w:t>
      </w:r>
      <w:r w:rsidRPr="00995972">
        <w:rPr>
          <w:rFonts w:ascii="Book Antiqua" w:eastAsia="Book Antiqua" w:hAnsi="Book Antiqua" w:cs="Book Antiqua"/>
          <w:color w:val="000000"/>
        </w:rPr>
        <w:t>. There also remains a potential for patients to have increased AET and reflux events secondary to other esophageal pathologies not related to LES dysfunction or GERD. This is important to keep in mind during pre-operative assessment for anti-reflux surgery, as patients without underlying LES dysfunction would not be good cand</w:t>
      </w:r>
      <w:r w:rsidR="00FA417A" w:rsidRPr="00995972">
        <w:rPr>
          <w:rFonts w:ascii="Book Antiqua" w:eastAsia="Book Antiqua" w:hAnsi="Book Antiqua" w:cs="Book Antiqua"/>
          <w:color w:val="000000"/>
        </w:rPr>
        <w:t>idates for surgical treatment.</w:t>
      </w:r>
      <w:r w:rsidR="00FA417A" w:rsidRPr="00995972">
        <w:rPr>
          <w:rFonts w:ascii="Book Antiqua" w:hAnsi="Book Antiqua" w:cs="Book Antiqua" w:hint="eastAsia"/>
          <w:color w:val="000000"/>
          <w:lang w:eastAsia="zh-CN"/>
        </w:rPr>
        <w:t xml:space="preserve"> </w:t>
      </w:r>
      <w:r w:rsidRPr="00995972">
        <w:rPr>
          <w:rFonts w:ascii="Book Antiqua" w:eastAsia="Book Antiqua" w:hAnsi="Book Antiqua" w:cs="Book Antiqua"/>
          <w:color w:val="000000"/>
        </w:rPr>
        <w:t>Patients with rumination syndrome can have false positives on pH testing due to frequent regurgitation, not transient LES relaxation</w:t>
      </w:r>
      <w:r w:rsidRPr="00995972">
        <w:rPr>
          <w:rFonts w:ascii="Book Antiqua" w:eastAsia="Book Antiqua" w:hAnsi="Book Antiqua" w:cs="Book Antiqua"/>
          <w:color w:val="000000"/>
          <w:vertAlign w:val="superscript"/>
        </w:rPr>
        <w:t>[35]</w:t>
      </w:r>
      <w:r w:rsidRPr="00995972">
        <w:rPr>
          <w:rFonts w:ascii="Book Antiqua" w:eastAsia="Book Antiqua" w:hAnsi="Book Antiqua" w:cs="Book Antiqua"/>
          <w:color w:val="000000"/>
        </w:rPr>
        <w:t>. Increased AET can also be secondary to a hypomotility disorders, such as in patients with achalasia or scleroderma. This is not limited to only pH testing, as impedance studies may also have inconclusive or misleading results in patients with achalasia, scleroderma, or rumination syndrome</w:t>
      </w:r>
      <w:r w:rsidRPr="00995972">
        <w:rPr>
          <w:rFonts w:ascii="Book Antiqua" w:eastAsia="Book Antiqua" w:hAnsi="Book Antiqua" w:cs="Book Antiqua"/>
          <w:color w:val="000000"/>
          <w:vertAlign w:val="superscript"/>
        </w:rPr>
        <w:t>[29]</w:t>
      </w:r>
      <w:r w:rsidRPr="00995972">
        <w:rPr>
          <w:rFonts w:ascii="Book Antiqua" w:eastAsia="Book Antiqua" w:hAnsi="Book Antiqua" w:cs="Book Antiqua"/>
          <w:color w:val="000000"/>
        </w:rPr>
        <w:t>. Due to these possibilities, the ACG recommends that all patients undergo manometry as part of their pre-operative assessment to rule out any motility disorders that may cause reflux</w:t>
      </w:r>
      <w:r w:rsidRPr="00995972">
        <w:rPr>
          <w:rFonts w:ascii="Book Antiqua" w:eastAsia="Book Antiqua" w:hAnsi="Book Antiqua" w:cs="Book Antiqua"/>
          <w:color w:val="000000"/>
          <w:vertAlign w:val="superscript"/>
        </w:rPr>
        <w:t>[5]</w:t>
      </w:r>
      <w:r w:rsidRPr="00995972">
        <w:rPr>
          <w:rFonts w:ascii="Book Antiqua" w:eastAsia="Book Antiqua" w:hAnsi="Book Antiqua" w:cs="Book Antiqua"/>
          <w:color w:val="000000"/>
        </w:rPr>
        <w:t>.</w:t>
      </w:r>
    </w:p>
    <w:p w14:paraId="23D17559" w14:textId="77777777" w:rsidR="00A77B3E" w:rsidRPr="00995972" w:rsidRDefault="006C4286" w:rsidP="00FA417A">
      <w:pPr>
        <w:spacing w:line="360" w:lineRule="auto"/>
        <w:ind w:firstLineChars="100" w:firstLine="240"/>
        <w:jc w:val="both"/>
      </w:pPr>
      <w:r w:rsidRPr="00995972">
        <w:rPr>
          <w:rFonts w:ascii="Book Antiqua" w:eastAsia="Book Antiqua" w:hAnsi="Book Antiqua" w:cs="Book Antiqua"/>
          <w:color w:val="000000"/>
        </w:rPr>
        <w:t>Another important aspect of utilizing pH or pH-impedance testing is the measurement of any associated symptoms during testing (Figure 4). Since there is still the potential for false positives when looking at AET or number of reflux episodes during testing, it is also important for a patient to log any symptoms they experience during testing</w:t>
      </w:r>
      <w:r w:rsidRPr="00995972">
        <w:rPr>
          <w:rFonts w:ascii="Book Antiqua" w:eastAsia="Book Antiqua" w:hAnsi="Book Antiqua" w:cs="Book Antiqua"/>
          <w:color w:val="000000"/>
          <w:vertAlign w:val="superscript"/>
        </w:rPr>
        <w:t>[36]</w:t>
      </w:r>
      <w:r w:rsidRPr="00995972">
        <w:rPr>
          <w:rFonts w:ascii="Book Antiqua" w:eastAsia="Book Antiqua" w:hAnsi="Book Antiqua" w:cs="Book Antiqua"/>
          <w:color w:val="000000"/>
        </w:rPr>
        <w:t>. This also has utility with extra-esophageal symptoms and can help in identifying if symptoms are causing reflux or are secondary to reflux, such as coughing</w:t>
      </w:r>
      <w:r w:rsidRPr="00995972">
        <w:rPr>
          <w:rFonts w:ascii="Book Antiqua" w:eastAsia="Book Antiqua" w:hAnsi="Book Antiqua" w:cs="Book Antiqua"/>
          <w:color w:val="000000"/>
          <w:vertAlign w:val="superscript"/>
        </w:rPr>
        <w:t>[36]</w:t>
      </w:r>
      <w:r w:rsidRPr="00995972">
        <w:rPr>
          <w:rFonts w:ascii="Book Antiqua" w:eastAsia="Book Antiqua" w:hAnsi="Book Antiqua" w:cs="Book Antiqua"/>
          <w:color w:val="000000"/>
        </w:rPr>
        <w:t>, The Symptoms Association Probabi</w:t>
      </w:r>
      <w:r w:rsidR="00AD5190" w:rsidRPr="00995972">
        <w:rPr>
          <w:rFonts w:ascii="Book Antiqua" w:eastAsia="Book Antiqua" w:hAnsi="Book Antiqua" w:cs="Book Antiqua"/>
          <w:color w:val="000000"/>
        </w:rPr>
        <w:t>lity (SAP) is one example of a</w:t>
      </w:r>
      <w:r w:rsidR="00AD5190" w:rsidRPr="00995972">
        <w:rPr>
          <w:rFonts w:ascii="Book Antiqua" w:hAnsi="Book Antiqua" w:cs="Book Antiqua" w:hint="eastAsia"/>
          <w:color w:val="000000"/>
          <w:lang w:eastAsia="zh-CN"/>
        </w:rPr>
        <w:t xml:space="preserve"> </w:t>
      </w:r>
      <w:r w:rsidRPr="00995972">
        <w:rPr>
          <w:rFonts w:ascii="Book Antiqua" w:eastAsia="Book Antiqua" w:hAnsi="Book Antiqua" w:cs="Book Antiqua"/>
          <w:color w:val="000000"/>
        </w:rPr>
        <w:t xml:space="preserve">methods to assess the association of symptoms with reflux </w:t>
      </w:r>
      <w:r w:rsidR="00FA417A" w:rsidRPr="00995972">
        <w:rPr>
          <w:rFonts w:ascii="Book Antiqua" w:eastAsia="Book Antiqua" w:hAnsi="Book Antiqua" w:cs="Book Antiqua"/>
          <w:color w:val="000000"/>
        </w:rPr>
        <w:t>events. This involves using a 2</w:t>
      </w:r>
      <w:r w:rsidR="00FA417A" w:rsidRPr="00995972">
        <w:rPr>
          <w:rFonts w:ascii="Book Antiqua" w:hAnsi="Book Antiqua" w:cs="Book Antiqua" w:hint="eastAsia"/>
          <w:color w:val="000000"/>
          <w:lang w:eastAsia="zh-CN"/>
        </w:rPr>
        <w:t xml:space="preserve"> </w:t>
      </w:r>
      <w:r w:rsidR="00FA417A" w:rsidRPr="00995972">
        <w:rPr>
          <w:rFonts w:ascii="Book Antiqua" w:eastAsia="Book Antiqua" w:hAnsi="Book Antiqua"/>
          <w:color w:val="000000"/>
        </w:rPr>
        <w:t>×</w:t>
      </w:r>
      <w:r w:rsidR="00FA417A" w:rsidRPr="00995972">
        <w:rPr>
          <w:rFonts w:hint="eastAsia"/>
          <w:color w:val="000000"/>
          <w:lang w:eastAsia="zh-CN"/>
        </w:rPr>
        <w:t xml:space="preserve"> </w:t>
      </w:r>
      <w:r w:rsidRPr="00995972">
        <w:rPr>
          <w:rFonts w:ascii="Book Antiqua" w:eastAsia="Book Antiqua" w:hAnsi="Book Antiqua" w:cs="Book Antiqua"/>
          <w:color w:val="000000"/>
        </w:rPr>
        <w:t>2 table assessing the presence of sympto</w:t>
      </w:r>
      <w:r w:rsidR="00FA417A" w:rsidRPr="00995972">
        <w:rPr>
          <w:rFonts w:ascii="Book Antiqua" w:eastAsia="Book Antiqua" w:hAnsi="Book Antiqua" w:cs="Book Antiqua"/>
          <w:color w:val="000000"/>
        </w:rPr>
        <w:t>ms and reflux events in 2-min</w:t>
      </w:r>
      <w:r w:rsidRPr="00995972">
        <w:rPr>
          <w:rFonts w:ascii="Book Antiqua" w:eastAsia="Book Antiqua" w:hAnsi="Book Antiqua" w:cs="Book Antiqua"/>
          <w:color w:val="000000"/>
        </w:rPr>
        <w:t xml:space="preserve"> blocks over a 24 h period</w:t>
      </w:r>
      <w:r w:rsidRPr="00995972">
        <w:rPr>
          <w:rFonts w:ascii="Book Antiqua" w:eastAsia="Book Antiqua" w:hAnsi="Book Antiqua" w:cs="Book Antiqua"/>
          <w:color w:val="000000"/>
          <w:vertAlign w:val="superscript"/>
        </w:rPr>
        <w:t>[37]</w:t>
      </w:r>
      <w:r w:rsidRPr="00995972">
        <w:rPr>
          <w:rFonts w:ascii="Book Antiqua" w:eastAsia="Book Antiqua" w:hAnsi="Book Antiqua" w:cs="Book Antiqua"/>
          <w:color w:val="000000"/>
        </w:rPr>
        <w:t>. Analysis then allows the determination of whether the symptoms were more likely secondary to reflux events or caused by chance. While there are other methods to assess symptom association, a SAP can provide a probability of symptom association and is thought to have the best clinical utility</w:t>
      </w:r>
      <w:r w:rsidRPr="00995972">
        <w:rPr>
          <w:rFonts w:ascii="Book Antiqua" w:eastAsia="Book Antiqua" w:hAnsi="Book Antiqua" w:cs="Book Antiqua"/>
          <w:color w:val="000000"/>
          <w:vertAlign w:val="superscript"/>
        </w:rPr>
        <w:t>[36]</w:t>
      </w:r>
      <w:r w:rsidRPr="00995972">
        <w:rPr>
          <w:rFonts w:ascii="Book Antiqua" w:eastAsia="Book Antiqua" w:hAnsi="Book Antiqua" w:cs="Book Antiqua"/>
          <w:color w:val="000000"/>
        </w:rPr>
        <w:t>.</w:t>
      </w:r>
    </w:p>
    <w:p w14:paraId="358FABED" w14:textId="77777777" w:rsidR="00A77B3E" w:rsidRPr="00995972" w:rsidRDefault="00A77B3E">
      <w:pPr>
        <w:spacing w:line="360" w:lineRule="auto"/>
        <w:ind w:firstLine="720"/>
        <w:jc w:val="both"/>
      </w:pPr>
    </w:p>
    <w:p w14:paraId="63C37FB5" w14:textId="77777777" w:rsidR="00A77B3E" w:rsidRPr="00995972" w:rsidRDefault="006C4286">
      <w:pPr>
        <w:spacing w:line="360" w:lineRule="auto"/>
        <w:jc w:val="both"/>
      </w:pPr>
      <w:bookmarkStart w:id="39" w:name="OLE_LINK28"/>
      <w:bookmarkStart w:id="40" w:name="OLE_LINK29"/>
      <w:r w:rsidRPr="00995972">
        <w:rPr>
          <w:rFonts w:ascii="Book Antiqua" w:eastAsia="Book Antiqua" w:hAnsi="Book Antiqua" w:cs="Book Antiqua"/>
          <w:b/>
          <w:caps/>
          <w:color w:val="000000"/>
          <w:u w:val="single"/>
        </w:rPr>
        <w:t>Manometry and Motility Testing</w:t>
      </w:r>
    </w:p>
    <w:p w14:paraId="5E073013" w14:textId="77777777" w:rsidR="00A77B3E" w:rsidRPr="00995972" w:rsidRDefault="006C4286" w:rsidP="00FA417A">
      <w:pPr>
        <w:spacing w:line="360" w:lineRule="auto"/>
        <w:jc w:val="both"/>
        <w:rPr>
          <w:lang w:eastAsia="zh-CN"/>
        </w:rPr>
      </w:pPr>
      <w:bookmarkStart w:id="41" w:name="OLE_LINK30"/>
      <w:bookmarkEnd w:id="39"/>
      <w:bookmarkEnd w:id="40"/>
      <w:r w:rsidRPr="00995972">
        <w:rPr>
          <w:rFonts w:ascii="Book Antiqua" w:eastAsia="Book Antiqua" w:hAnsi="Book Antiqua" w:cs="Book Antiqua"/>
          <w:color w:val="000000"/>
        </w:rPr>
        <w:t xml:space="preserve">Another important aspect of the pre-operative assessment is to rule out major esophageal motility disorders with </w:t>
      </w:r>
      <w:r w:rsidR="0043041A" w:rsidRPr="00995972">
        <w:rPr>
          <w:rFonts w:ascii="Book Antiqua" w:eastAsia="Book Antiqua" w:hAnsi="Book Antiqua" w:cs="Book Antiqua"/>
          <w:color w:val="000000"/>
        </w:rPr>
        <w:t>HRM</w:t>
      </w:r>
      <w:r w:rsidRPr="00995972">
        <w:rPr>
          <w:rFonts w:ascii="Book Antiqua" w:eastAsia="Book Antiqua" w:hAnsi="Book Antiqua" w:cs="Book Antiqua"/>
          <w:color w:val="000000"/>
        </w:rPr>
        <w:t xml:space="preserve"> (Figure 5). Patients with GERD often have findings of decreased LES pressures on HRM, indicating an impaired ability for the LES to act as an anti-reflux barrier and prevent gastric contents from entering the esophagus</w:t>
      </w:r>
      <w:r w:rsidRPr="00995972">
        <w:rPr>
          <w:rFonts w:ascii="Book Antiqua" w:eastAsia="Book Antiqua" w:hAnsi="Book Antiqua" w:cs="Book Antiqua"/>
          <w:color w:val="000000"/>
          <w:vertAlign w:val="superscript"/>
        </w:rPr>
        <w:t>[38]</w:t>
      </w:r>
      <w:r w:rsidRPr="00995972">
        <w:rPr>
          <w:rFonts w:ascii="Book Antiqua" w:eastAsia="Book Antiqua" w:hAnsi="Book Antiqua" w:cs="Book Antiqua"/>
          <w:color w:val="000000"/>
        </w:rPr>
        <w:t>. The smooth muscle in the LES is also augmented by pressure generated from the crural diaphragm, and because HRM utilizes an increased number of sensors, these pressures can be differentiated when evaluating the LES strength</w:t>
      </w:r>
      <w:r w:rsidRPr="00995972">
        <w:rPr>
          <w:rFonts w:ascii="Book Antiqua" w:eastAsia="Book Antiqua" w:hAnsi="Book Antiqua" w:cs="Book Antiqua"/>
          <w:color w:val="000000"/>
          <w:vertAlign w:val="superscript"/>
        </w:rPr>
        <w:t>[39]</w:t>
      </w:r>
      <w:r w:rsidRPr="00995972">
        <w:rPr>
          <w:rFonts w:ascii="Book Antiqua" w:eastAsia="Book Antiqua" w:hAnsi="Book Antiqua" w:cs="Book Antiqua"/>
          <w:color w:val="000000"/>
        </w:rPr>
        <w:t>. The esophagogastric junction contractile integral can also be quantified on HRM and may identify patients with severe reflux, but further research is needed to create a standardized metric for evaluating patients</w:t>
      </w:r>
      <w:r w:rsidRPr="00995972">
        <w:rPr>
          <w:rFonts w:ascii="Book Antiqua" w:eastAsia="Book Antiqua" w:hAnsi="Book Antiqua" w:cs="Book Antiqua"/>
          <w:color w:val="000000"/>
          <w:vertAlign w:val="superscript"/>
        </w:rPr>
        <w:t>[22]</w:t>
      </w:r>
      <w:r w:rsidRPr="00995972">
        <w:rPr>
          <w:rFonts w:ascii="Book Antiqua" w:eastAsia="Book Antiqua" w:hAnsi="Book Antiqua" w:cs="Book Antiqua"/>
          <w:color w:val="000000"/>
        </w:rPr>
        <w:t>. Additionally, LES physiology can be altered in the presence of a hiatal hernia, and HRM can be used to assess and measure the size of a patient’s hiatal hernia</w:t>
      </w:r>
      <w:r w:rsidRPr="00995972">
        <w:rPr>
          <w:rFonts w:ascii="Book Antiqua" w:eastAsia="Book Antiqua" w:hAnsi="Book Antiqua" w:cs="Book Antiqua"/>
          <w:color w:val="000000"/>
          <w:vertAlign w:val="superscript"/>
        </w:rPr>
        <w:t>[40]</w:t>
      </w:r>
      <w:r w:rsidR="00E04C80" w:rsidRPr="00995972">
        <w:rPr>
          <w:rFonts w:ascii="Book Antiqua" w:eastAsia="Book Antiqua" w:hAnsi="Book Antiqua" w:cs="Book Antiqua"/>
          <w:color w:val="000000"/>
        </w:rPr>
        <w:t>.</w:t>
      </w:r>
      <w:r w:rsidR="00E04C80" w:rsidRPr="00995972">
        <w:rPr>
          <w:rFonts w:ascii="Book Antiqua" w:hAnsi="Book Antiqua" w:cs="Book Antiqua" w:hint="eastAsia"/>
          <w:color w:val="000000"/>
          <w:lang w:eastAsia="zh-CN"/>
        </w:rPr>
        <w:t xml:space="preserve"> </w:t>
      </w:r>
      <w:r w:rsidRPr="00995972">
        <w:rPr>
          <w:rFonts w:ascii="Book Antiqua" w:eastAsia="Book Antiqua" w:hAnsi="Book Antiqua" w:cs="Book Antiqua"/>
          <w:color w:val="000000"/>
        </w:rPr>
        <w:t>While esophageal manometry is not a confirmatory test for diagnosing GERD, HRM is useful in identifying any underlying motility issues (Figure 6)</w:t>
      </w:r>
      <w:r w:rsidR="00E04C80" w:rsidRPr="00995972">
        <w:rPr>
          <w:rFonts w:ascii="Book Antiqua" w:eastAsia="Book Antiqua" w:hAnsi="Book Antiqua" w:cs="Book Antiqua"/>
          <w:color w:val="000000"/>
          <w:vertAlign w:val="superscript"/>
        </w:rPr>
        <w:t>[41,</w:t>
      </w:r>
      <w:r w:rsidRPr="00995972">
        <w:rPr>
          <w:rFonts w:ascii="Book Antiqua" w:eastAsia="Book Antiqua" w:hAnsi="Book Antiqua" w:cs="Book Antiqua"/>
          <w:color w:val="000000"/>
          <w:vertAlign w:val="superscript"/>
        </w:rPr>
        <w:t>42]</w:t>
      </w:r>
      <w:r w:rsidRPr="00995972">
        <w:rPr>
          <w:rFonts w:ascii="Book Antiqua" w:eastAsia="Book Antiqua" w:hAnsi="Book Antiqua" w:cs="Book Antiqua"/>
          <w:color w:val="000000"/>
        </w:rPr>
        <w:t>. While there is limited data to support mandatory pre-operative manometry testing, the ACG still recommends manometry to specifically rule out achalasia and absent peristalsis seen in conditions such as scleroderma</w:t>
      </w:r>
      <w:r w:rsidRPr="00995972">
        <w:rPr>
          <w:rFonts w:ascii="Book Antiqua" w:eastAsia="Book Antiqua" w:hAnsi="Book Antiqua" w:cs="Book Antiqua"/>
          <w:color w:val="000000"/>
          <w:vertAlign w:val="superscript"/>
        </w:rPr>
        <w:t>[5]</w:t>
      </w:r>
      <w:r w:rsidRPr="00995972">
        <w:rPr>
          <w:rFonts w:ascii="Book Antiqua" w:eastAsia="Book Antiqua" w:hAnsi="Book Antiqua" w:cs="Book Antiqua"/>
          <w:color w:val="000000"/>
        </w:rPr>
        <w:t xml:space="preserve">. In the 2019 </w:t>
      </w:r>
      <w:bookmarkStart w:id="42" w:name="OLE_LINK193"/>
      <w:r w:rsidRPr="00995972">
        <w:rPr>
          <w:rFonts w:ascii="Book Antiqua" w:eastAsia="Book Antiqua" w:hAnsi="Book Antiqua" w:cs="Book Antiqua"/>
          <w:color w:val="000000"/>
        </w:rPr>
        <w:t>ICARUS guidelines</w:t>
      </w:r>
      <w:bookmarkEnd w:id="42"/>
      <w:r w:rsidRPr="00995972">
        <w:rPr>
          <w:rFonts w:ascii="Book Antiqua" w:eastAsia="Book Antiqua" w:hAnsi="Book Antiqua" w:cs="Book Antiqua"/>
          <w:color w:val="000000"/>
        </w:rPr>
        <w:t>, 94% of experts also strongly agreed with pre-op HRM testing, but this could only be supported with grade D evidence</w:t>
      </w:r>
      <w:r w:rsidRPr="00995972">
        <w:rPr>
          <w:rFonts w:ascii="Book Antiqua" w:eastAsia="Book Antiqua" w:hAnsi="Book Antiqua" w:cs="Book Antiqua"/>
          <w:color w:val="000000"/>
          <w:vertAlign w:val="superscript"/>
        </w:rPr>
        <w:t>[42]</w:t>
      </w:r>
      <w:r w:rsidRPr="00995972">
        <w:rPr>
          <w:rFonts w:ascii="Book Antiqua" w:eastAsia="Book Antiqua" w:hAnsi="Book Antiqua" w:cs="Book Antiqua"/>
          <w:color w:val="000000"/>
        </w:rPr>
        <w:t>. Additionally, HRM can be used to assess baseline esophageal physiology to predict the risk of post-operative dysphagia.</w:t>
      </w:r>
    </w:p>
    <w:p w14:paraId="54CC2344" w14:textId="77777777" w:rsidR="00A77B3E" w:rsidRPr="00995972" w:rsidRDefault="00A77B3E">
      <w:pPr>
        <w:spacing w:line="360" w:lineRule="auto"/>
        <w:ind w:firstLine="720"/>
        <w:jc w:val="both"/>
      </w:pPr>
    </w:p>
    <w:p w14:paraId="3671C3CA" w14:textId="77777777" w:rsidR="00A77B3E" w:rsidRPr="00995972" w:rsidRDefault="006C4286">
      <w:pPr>
        <w:spacing w:line="360" w:lineRule="auto"/>
        <w:jc w:val="both"/>
        <w:rPr>
          <w:b/>
        </w:rPr>
      </w:pPr>
      <w:r w:rsidRPr="00995972">
        <w:rPr>
          <w:rFonts w:ascii="Book Antiqua" w:eastAsia="Book Antiqua" w:hAnsi="Book Antiqua" w:cs="Book Antiqua"/>
          <w:b/>
          <w:i/>
          <w:iCs/>
          <w:color w:val="000000"/>
        </w:rPr>
        <w:t xml:space="preserve">Ruling out </w:t>
      </w:r>
      <w:r w:rsidR="00E04C80" w:rsidRPr="00995972">
        <w:rPr>
          <w:rFonts w:ascii="Book Antiqua" w:eastAsia="Book Antiqua" w:hAnsi="Book Antiqua" w:cs="Book Antiqua"/>
          <w:b/>
          <w:i/>
          <w:iCs/>
          <w:color w:val="000000"/>
        </w:rPr>
        <w:t>major motility disor</w:t>
      </w:r>
      <w:r w:rsidRPr="00995972">
        <w:rPr>
          <w:rFonts w:ascii="Book Antiqua" w:eastAsia="Book Antiqua" w:hAnsi="Book Antiqua" w:cs="Book Antiqua"/>
          <w:b/>
          <w:i/>
          <w:iCs/>
          <w:color w:val="000000"/>
        </w:rPr>
        <w:t>ders</w:t>
      </w:r>
    </w:p>
    <w:p w14:paraId="4570FF4A" w14:textId="77777777" w:rsidR="00A77B3E" w:rsidRPr="00995972" w:rsidRDefault="006C4286" w:rsidP="00E04C80">
      <w:pPr>
        <w:spacing w:line="360" w:lineRule="auto"/>
        <w:jc w:val="both"/>
      </w:pPr>
      <w:r w:rsidRPr="00995972">
        <w:rPr>
          <w:rFonts w:ascii="Book Antiqua" w:eastAsia="Book Antiqua" w:hAnsi="Book Antiqua" w:cs="Book Antiqua"/>
          <w:color w:val="000000"/>
        </w:rPr>
        <w:t>The main indication for HRM should be used to rule out major motility disorders, as these may be the underlying cause of a patient’s reflux symptoms, and may also be a contraindication for fundoplication</w:t>
      </w:r>
      <w:r w:rsidRPr="00995972">
        <w:rPr>
          <w:rFonts w:ascii="Book Antiqua" w:eastAsia="Book Antiqua" w:hAnsi="Book Antiqua" w:cs="Book Antiqua"/>
          <w:color w:val="000000"/>
          <w:vertAlign w:val="superscript"/>
        </w:rPr>
        <w:t>[6]</w:t>
      </w:r>
      <w:r w:rsidRPr="00995972">
        <w:rPr>
          <w:rFonts w:ascii="Book Antiqua" w:eastAsia="Book Antiqua" w:hAnsi="Book Antiqua" w:cs="Book Antiqua"/>
          <w:color w:val="000000"/>
        </w:rPr>
        <w:t>.</w:t>
      </w:r>
    </w:p>
    <w:p w14:paraId="1AFE8ABC" w14:textId="77777777" w:rsidR="00404BE1" w:rsidRPr="00995972" w:rsidRDefault="00404BE1" w:rsidP="00404BE1">
      <w:pPr>
        <w:spacing w:line="360" w:lineRule="auto"/>
        <w:jc w:val="both"/>
        <w:rPr>
          <w:rFonts w:ascii="Book Antiqua" w:hAnsi="Book Antiqua" w:cs="Book Antiqua"/>
          <w:color w:val="000000"/>
          <w:lang w:eastAsia="zh-CN"/>
        </w:rPr>
      </w:pPr>
    </w:p>
    <w:p w14:paraId="321D0166" w14:textId="77777777" w:rsidR="00A77B3E" w:rsidRPr="00995972" w:rsidRDefault="00404BE1" w:rsidP="00404BE1">
      <w:pPr>
        <w:spacing w:line="360" w:lineRule="auto"/>
        <w:jc w:val="both"/>
      </w:pPr>
      <w:r w:rsidRPr="00995972">
        <w:rPr>
          <w:rFonts w:ascii="Book Antiqua" w:eastAsia="Book Antiqua" w:hAnsi="Book Antiqua" w:cs="Book Antiqua"/>
          <w:b/>
          <w:color w:val="000000"/>
        </w:rPr>
        <w:t>Achalasia</w:t>
      </w:r>
      <w:r w:rsidRPr="00995972">
        <w:rPr>
          <w:rFonts w:ascii="Book Antiqua" w:hAnsi="Book Antiqua" w:cs="Book Antiqua" w:hint="eastAsia"/>
          <w:b/>
          <w:color w:val="000000"/>
          <w:lang w:eastAsia="zh-CN"/>
        </w:rPr>
        <w:t>:</w:t>
      </w:r>
      <w:r w:rsidRPr="00995972">
        <w:rPr>
          <w:rFonts w:ascii="Book Antiqua" w:hAnsi="Book Antiqua" w:cs="Book Antiqua" w:hint="eastAsia"/>
          <w:color w:val="000000"/>
          <w:lang w:eastAsia="zh-CN"/>
        </w:rPr>
        <w:t xml:space="preserve"> </w:t>
      </w:r>
      <w:r w:rsidR="006C4286" w:rsidRPr="00995972">
        <w:rPr>
          <w:rFonts w:ascii="Book Antiqua" w:eastAsia="Book Antiqua" w:hAnsi="Book Antiqua" w:cs="Book Antiqua"/>
          <w:color w:val="000000"/>
        </w:rPr>
        <w:t xml:space="preserve">Abnormal esophageal peristalsis can manifest as GERD-like symptoms in patients with achalasia. The </w:t>
      </w:r>
      <w:bookmarkStart w:id="43" w:name="OLE_LINK211"/>
      <w:bookmarkStart w:id="44" w:name="OLE_LINK212"/>
      <w:r w:rsidR="006C4286" w:rsidRPr="00995972">
        <w:rPr>
          <w:rFonts w:ascii="Book Antiqua" w:eastAsia="Book Antiqua" w:hAnsi="Book Antiqua" w:cs="Book Antiqua"/>
          <w:color w:val="000000"/>
        </w:rPr>
        <w:t>integrated relaxation pressure</w:t>
      </w:r>
      <w:bookmarkEnd w:id="43"/>
      <w:bookmarkEnd w:id="44"/>
      <w:r w:rsidR="006C4286" w:rsidRPr="00995972">
        <w:rPr>
          <w:rFonts w:ascii="Book Antiqua" w:eastAsia="Book Antiqua" w:hAnsi="Book Antiqua" w:cs="Book Antiqua"/>
          <w:color w:val="000000"/>
        </w:rPr>
        <w:t xml:space="preserve"> (IRP) is an important measurement during manometry that assesses esophageal pressures and transit across the esophagogastric junction</w:t>
      </w:r>
      <w:r w:rsidR="006C4286" w:rsidRPr="00995972">
        <w:rPr>
          <w:rFonts w:ascii="Book Antiqua" w:eastAsia="Book Antiqua" w:hAnsi="Book Antiqua" w:cs="Book Antiqua"/>
          <w:color w:val="000000"/>
          <w:vertAlign w:val="superscript"/>
        </w:rPr>
        <w:t>[43]</w:t>
      </w:r>
      <w:r w:rsidR="006C4286" w:rsidRPr="00995972">
        <w:rPr>
          <w:rFonts w:ascii="Book Antiqua" w:eastAsia="Book Antiqua" w:hAnsi="Book Antiqua" w:cs="Book Antiqua"/>
          <w:color w:val="000000"/>
        </w:rPr>
        <w:t>. According to the Chicago Classification (CC), type I achalasia is diagnosed in patients found to have an IRP &gt;</w:t>
      </w:r>
      <w:r w:rsidR="00300FFB" w:rsidRPr="00995972">
        <w:rPr>
          <w:rFonts w:ascii="Book Antiqua" w:hAnsi="Book Antiqua" w:cs="Book Antiqua" w:hint="eastAsia"/>
          <w:color w:val="000000"/>
          <w:lang w:eastAsia="zh-CN"/>
        </w:rPr>
        <w:t xml:space="preserve"> </w:t>
      </w:r>
      <w:r w:rsidR="006C4286" w:rsidRPr="00995972">
        <w:rPr>
          <w:rFonts w:ascii="Book Antiqua" w:eastAsia="Book Antiqua" w:hAnsi="Book Antiqua" w:cs="Book Antiqua"/>
          <w:color w:val="000000"/>
        </w:rPr>
        <w:t>15</w:t>
      </w:r>
      <w:r w:rsidR="00300FFB" w:rsidRPr="00995972">
        <w:rPr>
          <w:rFonts w:ascii="Book Antiqua" w:hAnsi="Book Antiqua" w:cs="Book Antiqua" w:hint="eastAsia"/>
          <w:color w:val="000000"/>
          <w:lang w:eastAsia="zh-CN"/>
        </w:rPr>
        <w:t xml:space="preserve"> </w:t>
      </w:r>
      <w:r w:rsidR="006C4286" w:rsidRPr="00995972">
        <w:rPr>
          <w:rFonts w:ascii="Book Antiqua" w:eastAsia="Book Antiqua" w:hAnsi="Book Antiqua" w:cs="Book Antiqua"/>
          <w:color w:val="000000"/>
        </w:rPr>
        <w:t>mmHg and 100% failed peristalsis on HRM, with type II having the same characteristics as well as panesophageal pressurization in ≥</w:t>
      </w:r>
      <w:r w:rsidR="00300FFB" w:rsidRPr="00995972">
        <w:rPr>
          <w:rFonts w:ascii="Book Antiqua" w:hAnsi="Book Antiqua" w:cs="Book Antiqua" w:hint="eastAsia"/>
          <w:color w:val="000000"/>
          <w:lang w:eastAsia="zh-CN"/>
        </w:rPr>
        <w:t xml:space="preserve"> </w:t>
      </w:r>
      <w:r w:rsidR="006C4286" w:rsidRPr="00995972">
        <w:rPr>
          <w:rFonts w:ascii="Book Antiqua" w:eastAsia="Book Antiqua" w:hAnsi="Book Antiqua" w:cs="Book Antiqua"/>
          <w:color w:val="000000"/>
        </w:rPr>
        <w:t>20% of swallows</w:t>
      </w:r>
      <w:r w:rsidR="006C4286" w:rsidRPr="00995972">
        <w:rPr>
          <w:rFonts w:ascii="Book Antiqua" w:eastAsia="Book Antiqua" w:hAnsi="Book Antiqua" w:cs="Book Antiqua"/>
          <w:color w:val="000000"/>
          <w:vertAlign w:val="superscript"/>
        </w:rPr>
        <w:t>[44]</w:t>
      </w:r>
      <w:r w:rsidR="006C4286" w:rsidRPr="00995972">
        <w:rPr>
          <w:rFonts w:ascii="Book Antiqua" w:eastAsia="Book Antiqua" w:hAnsi="Book Antiqua" w:cs="Book Antiqua"/>
          <w:color w:val="000000"/>
        </w:rPr>
        <w:t>. Type III achalasia is defined as an elevated IRP &gt;</w:t>
      </w:r>
      <w:r w:rsidR="00300FFB" w:rsidRPr="00995972">
        <w:rPr>
          <w:rFonts w:ascii="Book Antiqua" w:hAnsi="Book Antiqua" w:cs="Book Antiqua" w:hint="eastAsia"/>
          <w:color w:val="000000"/>
          <w:lang w:eastAsia="zh-CN"/>
        </w:rPr>
        <w:t xml:space="preserve"> </w:t>
      </w:r>
      <w:r w:rsidR="006C4286" w:rsidRPr="00995972">
        <w:rPr>
          <w:rFonts w:ascii="Book Antiqua" w:eastAsia="Book Antiqua" w:hAnsi="Book Antiqua" w:cs="Book Antiqua"/>
          <w:color w:val="000000"/>
        </w:rPr>
        <w:t>15 mmHg, the absences of any normal peristalsis, and spastic contractions greater &gt; 450 mmHg on ≥ 20% of swallows (Figure 7)</w:t>
      </w:r>
      <w:r w:rsidR="006C4286" w:rsidRPr="00995972">
        <w:rPr>
          <w:rFonts w:ascii="Book Antiqua" w:eastAsia="Book Antiqua" w:hAnsi="Book Antiqua" w:cs="Book Antiqua"/>
          <w:color w:val="000000"/>
          <w:vertAlign w:val="superscript"/>
        </w:rPr>
        <w:t>[44]</w:t>
      </w:r>
      <w:r w:rsidR="006C4286" w:rsidRPr="00995972">
        <w:rPr>
          <w:rFonts w:ascii="Book Antiqua" w:eastAsia="Book Antiqua" w:hAnsi="Book Antiqua" w:cs="Book Antiqua"/>
          <w:color w:val="000000"/>
        </w:rPr>
        <w:t>. As previously discussed, the goal of fundoplication is to improve the integrity of the LES, but patients with achalasia suffer from impaired LES relaxation along with esophageal aperistalsis. While these patients may also have underlying GERD, surgical treatment revolves around addressing the LES with myotomy</w:t>
      </w:r>
      <w:r w:rsidR="00300FFB" w:rsidRPr="00995972">
        <w:rPr>
          <w:rFonts w:ascii="Book Antiqua" w:eastAsia="Book Antiqua" w:hAnsi="Book Antiqua" w:cs="Book Antiqua"/>
          <w:color w:val="000000"/>
          <w:vertAlign w:val="superscript"/>
        </w:rPr>
        <w:t>[42,</w:t>
      </w:r>
      <w:r w:rsidR="006C4286" w:rsidRPr="00995972">
        <w:rPr>
          <w:rFonts w:ascii="Book Antiqua" w:eastAsia="Book Antiqua" w:hAnsi="Book Antiqua" w:cs="Book Antiqua"/>
          <w:color w:val="000000"/>
          <w:vertAlign w:val="superscript"/>
        </w:rPr>
        <w:t>45]</w:t>
      </w:r>
      <w:r w:rsidR="006C4286" w:rsidRPr="00995972">
        <w:rPr>
          <w:rFonts w:ascii="Book Antiqua" w:eastAsia="Book Antiqua" w:hAnsi="Book Antiqua" w:cs="Book Antiqua"/>
          <w:color w:val="000000"/>
        </w:rPr>
        <w:t>. However, after myotomy weakens the LES, GERD can become a common side effect. While these patients would benefit from fundoplication, there is debate regarding the risk of post-operative dysphagia</w:t>
      </w:r>
      <w:r w:rsidR="006C4286" w:rsidRPr="00995972">
        <w:rPr>
          <w:rFonts w:ascii="Book Antiqua" w:eastAsia="Book Antiqua" w:hAnsi="Book Antiqua" w:cs="Book Antiqua"/>
          <w:color w:val="000000"/>
          <w:vertAlign w:val="superscript"/>
        </w:rPr>
        <w:t>[46]</w:t>
      </w:r>
      <w:r w:rsidR="006C4286" w:rsidRPr="00995972">
        <w:rPr>
          <w:rFonts w:ascii="Book Antiqua" w:eastAsia="Book Antiqua" w:hAnsi="Book Antiqua" w:cs="Book Antiqua"/>
          <w:color w:val="000000"/>
        </w:rPr>
        <w:t xml:space="preserve">. One prospective randomized study compared outcomes of myotomy alone </w:t>
      </w:r>
      <w:r w:rsidR="006C4286" w:rsidRPr="00995972">
        <w:rPr>
          <w:rFonts w:ascii="Book Antiqua" w:eastAsia="Book Antiqua" w:hAnsi="Book Antiqua" w:cs="Book Antiqua"/>
          <w:i/>
          <w:iCs/>
          <w:color w:val="000000"/>
        </w:rPr>
        <w:t>vs</w:t>
      </w:r>
      <w:r w:rsidR="006C4286" w:rsidRPr="00995972">
        <w:rPr>
          <w:rFonts w:ascii="Book Antiqua" w:eastAsia="Book Antiqua" w:hAnsi="Book Antiqua" w:cs="Book Antiqua"/>
          <w:color w:val="000000"/>
        </w:rPr>
        <w:t xml:space="preserve"> myotomy with fundoplication for 43 patients with achalasia. Researchers found that patients receiving myotomy with fundoplication had significantly less GERD and AET, with no significant difference in dysphagia between the two groups</w:t>
      </w:r>
      <w:r w:rsidR="006C4286" w:rsidRPr="00995972">
        <w:rPr>
          <w:rFonts w:ascii="Book Antiqua" w:eastAsia="Book Antiqua" w:hAnsi="Book Antiqua" w:cs="Book Antiqua"/>
          <w:color w:val="000000"/>
          <w:vertAlign w:val="superscript"/>
        </w:rPr>
        <w:t>[47]</w:t>
      </w:r>
      <w:r w:rsidR="006C4286" w:rsidRPr="00995972">
        <w:rPr>
          <w:rFonts w:ascii="Book Antiqua" w:eastAsia="Book Antiqua" w:hAnsi="Book Antiqua" w:cs="Book Antiqua"/>
          <w:color w:val="000000"/>
        </w:rPr>
        <w:t>. The group also followed patients long-term and concluded there was no significant differences in post-op dysphagia in patients who received myotomy with fundoplication</w:t>
      </w:r>
      <w:r w:rsidR="006C4286" w:rsidRPr="00995972">
        <w:rPr>
          <w:rFonts w:ascii="Book Antiqua" w:eastAsia="Book Antiqua" w:hAnsi="Book Antiqua" w:cs="Book Antiqua"/>
          <w:color w:val="000000"/>
          <w:vertAlign w:val="superscript"/>
        </w:rPr>
        <w:t>[48]</w:t>
      </w:r>
      <w:r w:rsidR="006C4286" w:rsidRPr="00995972">
        <w:rPr>
          <w:rFonts w:ascii="Book Antiqua" w:eastAsia="Book Antiqua" w:hAnsi="Book Antiqua" w:cs="Book Antiqua"/>
          <w:color w:val="000000"/>
        </w:rPr>
        <w:t>. Current guidelines from both the ACG and the SAGES recommend patients with achalasia undergo both myotomy and fundoplication for the best outcomes</w:t>
      </w:r>
      <w:r w:rsidR="00300FFB" w:rsidRPr="00995972">
        <w:rPr>
          <w:rFonts w:ascii="Book Antiqua" w:eastAsia="Book Antiqua" w:hAnsi="Book Antiqua" w:cs="Book Antiqua"/>
          <w:color w:val="000000"/>
          <w:vertAlign w:val="superscript"/>
        </w:rPr>
        <w:t>[45,</w:t>
      </w:r>
      <w:r w:rsidR="006C4286" w:rsidRPr="00995972">
        <w:rPr>
          <w:rFonts w:ascii="Book Antiqua" w:eastAsia="Book Antiqua" w:hAnsi="Book Antiqua" w:cs="Book Antiqua"/>
          <w:color w:val="000000"/>
          <w:vertAlign w:val="superscript"/>
        </w:rPr>
        <w:t>46]</w:t>
      </w:r>
      <w:r w:rsidR="006C4286" w:rsidRPr="00995972">
        <w:rPr>
          <w:rFonts w:ascii="Book Antiqua" w:eastAsia="Book Antiqua" w:hAnsi="Book Antiqua" w:cs="Book Antiqua"/>
          <w:color w:val="000000"/>
        </w:rPr>
        <w:t>.</w:t>
      </w:r>
    </w:p>
    <w:p w14:paraId="1DCB7B40" w14:textId="77777777" w:rsidR="00404BE1" w:rsidRPr="00995972" w:rsidRDefault="00404BE1" w:rsidP="00404BE1">
      <w:pPr>
        <w:spacing w:line="360" w:lineRule="auto"/>
        <w:jc w:val="both"/>
        <w:rPr>
          <w:rFonts w:ascii="Book Antiqua" w:hAnsi="Book Antiqua" w:cs="Book Antiqua"/>
          <w:color w:val="000000"/>
          <w:lang w:eastAsia="zh-CN"/>
        </w:rPr>
      </w:pPr>
    </w:p>
    <w:p w14:paraId="22440DE2" w14:textId="7A67C360" w:rsidR="00A77B3E" w:rsidRPr="00995972" w:rsidRDefault="00404BE1" w:rsidP="00404BE1">
      <w:pPr>
        <w:spacing w:line="360" w:lineRule="auto"/>
        <w:jc w:val="both"/>
        <w:rPr>
          <w:lang w:eastAsia="zh-CN"/>
        </w:rPr>
      </w:pPr>
      <w:r w:rsidRPr="00995972">
        <w:rPr>
          <w:rFonts w:ascii="Book Antiqua" w:eastAsia="Book Antiqua" w:hAnsi="Book Antiqua" w:cs="Book Antiqua"/>
          <w:b/>
          <w:color w:val="000000"/>
        </w:rPr>
        <w:t>Absent peristalsis</w:t>
      </w:r>
      <w:r w:rsidRPr="00995972">
        <w:rPr>
          <w:rFonts w:ascii="Book Antiqua" w:hAnsi="Book Antiqua" w:cs="Book Antiqua" w:hint="eastAsia"/>
          <w:b/>
          <w:color w:val="000000"/>
          <w:lang w:eastAsia="zh-CN"/>
        </w:rPr>
        <w:t>:</w:t>
      </w:r>
      <w:r w:rsidRPr="00995972">
        <w:rPr>
          <w:rFonts w:ascii="Book Antiqua" w:hAnsi="Book Antiqua" w:cs="Book Antiqua" w:hint="eastAsia"/>
          <w:color w:val="000000"/>
          <w:lang w:eastAsia="zh-CN"/>
        </w:rPr>
        <w:t xml:space="preserve"> </w:t>
      </w:r>
      <w:r w:rsidR="006C4286" w:rsidRPr="00995972">
        <w:rPr>
          <w:rFonts w:ascii="Book Antiqua" w:eastAsia="Book Antiqua" w:hAnsi="Book Antiqua" w:cs="Book Antiqua"/>
          <w:color w:val="000000"/>
        </w:rPr>
        <w:t>Conflicting data also exists regarding fundoplication for patients with absent peristalsis. Evidence of aperistalsis, defined as failed peristalsis with 100% of swallows, on HRM can indicate patients with scleroderma-like esophagus (Figure 8)</w:t>
      </w:r>
      <w:r w:rsidR="006C4286" w:rsidRPr="00995972">
        <w:rPr>
          <w:rFonts w:ascii="Book Antiqua" w:eastAsia="Book Antiqua" w:hAnsi="Book Antiqua" w:cs="Book Antiqua"/>
          <w:color w:val="000000"/>
          <w:vertAlign w:val="superscript"/>
        </w:rPr>
        <w:t>[49]</w:t>
      </w:r>
      <w:r w:rsidR="006C4286" w:rsidRPr="00995972">
        <w:rPr>
          <w:rFonts w:ascii="Book Antiqua" w:eastAsia="Book Antiqua" w:hAnsi="Book Antiqua" w:cs="Book Antiqua"/>
          <w:color w:val="000000"/>
        </w:rPr>
        <w:t>.</w:t>
      </w:r>
      <w:r w:rsidR="00D670E7" w:rsidRPr="00995972">
        <w:rPr>
          <w:rFonts w:ascii="Book Antiqua" w:eastAsia="Book Antiqua" w:hAnsi="Book Antiqua" w:cs="Book Antiqua"/>
          <w:color w:val="000000"/>
        </w:rPr>
        <w:t xml:space="preserve"> </w:t>
      </w:r>
      <w:r w:rsidR="006C4286" w:rsidRPr="00995972">
        <w:rPr>
          <w:rFonts w:ascii="Book Antiqua" w:eastAsia="Book Antiqua" w:hAnsi="Book Antiqua" w:cs="Book Antiqua"/>
          <w:color w:val="000000"/>
        </w:rPr>
        <w:t>Older studies have confirmed anti-reflux surgery can lead to improved symptoms, but more recent studies indicated these patients might have a higher risk for post-operative dysphagia</w:t>
      </w:r>
      <w:r w:rsidRPr="00995972">
        <w:rPr>
          <w:rFonts w:ascii="Book Antiqua" w:eastAsia="Book Antiqua" w:hAnsi="Book Antiqua" w:cs="Book Antiqua"/>
          <w:color w:val="000000"/>
          <w:vertAlign w:val="superscript"/>
        </w:rPr>
        <w:t>[42,</w:t>
      </w:r>
      <w:r w:rsidR="006C4286" w:rsidRPr="00995972">
        <w:rPr>
          <w:rFonts w:ascii="Book Antiqua" w:eastAsia="Book Antiqua" w:hAnsi="Book Antiqua" w:cs="Book Antiqua"/>
          <w:color w:val="000000"/>
          <w:vertAlign w:val="superscript"/>
        </w:rPr>
        <w:t>50]</w:t>
      </w:r>
      <w:r w:rsidR="006C4286" w:rsidRPr="00995972">
        <w:rPr>
          <w:rFonts w:ascii="Book Antiqua" w:eastAsia="Book Antiqua" w:hAnsi="Book Antiqua" w:cs="Book Antiqua"/>
          <w:color w:val="000000"/>
        </w:rPr>
        <w:t xml:space="preserve">. Additionally, studies have shown that alternative surgeries such as a Roux-en-Y bypass may lead to better outcomes. A 2018 study followed patients with systemic sclerosis undergoing surgical treatment for their GERD and compared fundoplication </w:t>
      </w:r>
      <w:r w:rsidR="006C4286" w:rsidRPr="00995972">
        <w:rPr>
          <w:rFonts w:ascii="Book Antiqua" w:eastAsia="Book Antiqua" w:hAnsi="Book Antiqua" w:cs="Book Antiqua"/>
          <w:i/>
          <w:iCs/>
          <w:color w:val="000000"/>
        </w:rPr>
        <w:t>vs</w:t>
      </w:r>
      <w:r w:rsidR="006C4286" w:rsidRPr="00995972">
        <w:rPr>
          <w:rFonts w:ascii="Book Antiqua" w:eastAsia="Book Antiqua" w:hAnsi="Book Antiqua" w:cs="Book Antiqua"/>
          <w:color w:val="000000"/>
        </w:rPr>
        <w:t xml:space="preserve"> Roux-en-Y bypass. While the sample size was small, researchers found patients had better GERD symptom relief after Roux-en-Y compared to fundoplication</w:t>
      </w:r>
      <w:r w:rsidR="006C4286" w:rsidRPr="00995972">
        <w:rPr>
          <w:rFonts w:ascii="Book Antiqua" w:eastAsia="Book Antiqua" w:hAnsi="Book Antiqua" w:cs="Book Antiqua"/>
          <w:color w:val="000000"/>
          <w:vertAlign w:val="superscript"/>
        </w:rPr>
        <w:t>[51]</w:t>
      </w:r>
      <w:r w:rsidR="006C4286" w:rsidRPr="00995972">
        <w:rPr>
          <w:rFonts w:ascii="Book Antiqua" w:eastAsia="Book Antiqua" w:hAnsi="Book Antiqua" w:cs="Book Antiqua"/>
          <w:color w:val="000000"/>
        </w:rPr>
        <w:t>.</w:t>
      </w:r>
    </w:p>
    <w:p w14:paraId="27D56375" w14:textId="77777777" w:rsidR="00404BE1" w:rsidRPr="00995972" w:rsidRDefault="00404BE1" w:rsidP="00404BE1">
      <w:pPr>
        <w:spacing w:line="360" w:lineRule="auto"/>
        <w:jc w:val="both"/>
        <w:rPr>
          <w:rFonts w:ascii="Book Antiqua" w:hAnsi="Book Antiqua" w:cs="Book Antiqua"/>
          <w:color w:val="000000"/>
          <w:lang w:eastAsia="zh-CN"/>
        </w:rPr>
      </w:pPr>
    </w:p>
    <w:p w14:paraId="40553680" w14:textId="7DA60A84" w:rsidR="00734126" w:rsidRPr="00995972" w:rsidRDefault="00404BE1" w:rsidP="00734126">
      <w:pPr>
        <w:spacing w:line="360" w:lineRule="auto"/>
        <w:jc w:val="both"/>
        <w:rPr>
          <w:lang w:eastAsia="zh-CN"/>
        </w:rPr>
      </w:pPr>
      <w:r w:rsidRPr="00995972">
        <w:rPr>
          <w:rFonts w:ascii="Book Antiqua" w:eastAsia="Book Antiqua" w:hAnsi="Book Antiqua" w:cs="Book Antiqua"/>
          <w:b/>
          <w:color w:val="000000"/>
        </w:rPr>
        <w:t>Esophagogastric junction outflow obstruction</w:t>
      </w:r>
      <w:r w:rsidRPr="00995972">
        <w:rPr>
          <w:rFonts w:ascii="Book Antiqua" w:hAnsi="Book Antiqua" w:cs="Book Antiqua" w:hint="eastAsia"/>
          <w:b/>
          <w:color w:val="000000"/>
          <w:lang w:eastAsia="zh-CN"/>
        </w:rPr>
        <w:t>:</w:t>
      </w:r>
      <w:r w:rsidRPr="00995972">
        <w:rPr>
          <w:rFonts w:ascii="Book Antiqua" w:eastAsia="Book Antiqua" w:hAnsi="Book Antiqua" w:cs="Book Antiqua"/>
          <w:color w:val="000000"/>
        </w:rPr>
        <w:t xml:space="preserve"> </w:t>
      </w:r>
      <w:r w:rsidR="006C4286" w:rsidRPr="00995972">
        <w:rPr>
          <w:rFonts w:ascii="Book Antiqua" w:eastAsia="Book Antiqua" w:hAnsi="Book Antiqua" w:cs="Book Antiqua"/>
          <w:color w:val="000000"/>
        </w:rPr>
        <w:t>Esophagogastric junction outflow obstruction (EGJOO) is another esophageal motility disorder that can present with GERD like symptoms. In this disorder, patients have normal or weakened esophageal peristalsis on HRM with an elevated</w:t>
      </w:r>
      <w:r w:rsidR="006910BF" w:rsidRPr="00995972">
        <w:rPr>
          <w:rFonts w:ascii="Book Antiqua" w:hAnsi="Book Antiqua" w:cs="Book Antiqua" w:hint="eastAsia"/>
          <w:color w:val="000000"/>
          <w:lang w:eastAsia="zh-CN"/>
        </w:rPr>
        <w:t xml:space="preserve"> </w:t>
      </w:r>
      <w:r w:rsidR="006C4286" w:rsidRPr="00995972">
        <w:rPr>
          <w:rFonts w:ascii="Book Antiqua" w:eastAsia="Book Antiqua" w:hAnsi="Book Antiqua" w:cs="Book Antiqua"/>
          <w:color w:val="000000"/>
        </w:rPr>
        <w:t>IRP</w:t>
      </w:r>
      <w:r w:rsidR="006C4286" w:rsidRPr="00995972">
        <w:rPr>
          <w:rFonts w:ascii="Book Antiqua" w:eastAsia="Book Antiqua" w:hAnsi="Book Antiqua" w:cs="Book Antiqua"/>
          <w:color w:val="000000"/>
          <w:vertAlign w:val="superscript"/>
        </w:rPr>
        <w:t>[44]</w:t>
      </w:r>
      <w:r w:rsidR="006C4286" w:rsidRPr="00995972">
        <w:rPr>
          <w:rFonts w:ascii="Book Antiqua" w:eastAsia="Book Antiqua" w:hAnsi="Book Antiqua" w:cs="Book Antiqua"/>
          <w:color w:val="000000"/>
        </w:rPr>
        <w:t xml:space="preserve">. While the current </w:t>
      </w:r>
      <w:r w:rsidR="00D670E7" w:rsidRPr="00995972">
        <w:rPr>
          <w:rFonts w:ascii="Book Antiqua" w:eastAsia="Book Antiqua" w:hAnsi="Book Antiqua" w:cs="Book Antiqua"/>
          <w:color w:val="000000"/>
        </w:rPr>
        <w:t>CC</w:t>
      </w:r>
      <w:r w:rsidR="006C4286" w:rsidRPr="00995972">
        <w:rPr>
          <w:rFonts w:ascii="Book Antiqua" w:eastAsia="Book Antiqua" w:hAnsi="Book Antiqua" w:cs="Book Antiqua"/>
          <w:color w:val="000000"/>
        </w:rPr>
        <w:t xml:space="preserve"> provides a guideline on making a diagnosis with HRM, it is important to remember that other factors can lead to an increased IRP. In some patients with hiatal hernias, the manometry catheter may be incorrectly positioned due to the underlying anatomical abnormality, which can contribute to increased IRP measurements</w:t>
      </w:r>
      <w:r w:rsidR="006C4286" w:rsidRPr="00995972">
        <w:rPr>
          <w:rFonts w:ascii="Book Antiqua" w:eastAsia="Book Antiqua" w:hAnsi="Book Antiqua" w:cs="Book Antiqua"/>
          <w:color w:val="000000"/>
          <w:vertAlign w:val="superscript"/>
        </w:rPr>
        <w:t>[52]</w:t>
      </w:r>
      <w:r w:rsidR="006C4286" w:rsidRPr="00995972">
        <w:rPr>
          <w:rFonts w:ascii="Book Antiqua" w:eastAsia="Book Antiqua" w:hAnsi="Book Antiqua" w:cs="Book Antiqua"/>
          <w:color w:val="000000"/>
        </w:rPr>
        <w:t>. These patients require confirmatory testing, and some centers have adopted the use of upright HRM measurements with an IRP &gt;</w:t>
      </w:r>
      <w:r w:rsidR="00734126" w:rsidRPr="00995972">
        <w:rPr>
          <w:rFonts w:ascii="Book Antiqua" w:hAnsi="Book Antiqua" w:cs="Book Antiqua" w:hint="eastAsia"/>
          <w:color w:val="000000"/>
          <w:lang w:eastAsia="zh-CN"/>
        </w:rPr>
        <w:t xml:space="preserve"> </w:t>
      </w:r>
      <w:r w:rsidR="006C4286" w:rsidRPr="00995972">
        <w:rPr>
          <w:rFonts w:ascii="Book Antiqua" w:eastAsia="Book Antiqua" w:hAnsi="Book Antiqua" w:cs="Book Antiqua"/>
          <w:color w:val="000000"/>
        </w:rPr>
        <w:t>12 mmHg as a cutoff</w:t>
      </w:r>
      <w:r w:rsidR="006C4286" w:rsidRPr="00995972">
        <w:rPr>
          <w:rFonts w:ascii="Book Antiqua" w:eastAsia="Book Antiqua" w:hAnsi="Book Antiqua" w:cs="Book Antiqua"/>
          <w:color w:val="000000"/>
          <w:vertAlign w:val="superscript"/>
        </w:rPr>
        <w:t>[53]</w:t>
      </w:r>
      <w:r w:rsidR="006C4286" w:rsidRPr="00995972">
        <w:rPr>
          <w:rFonts w:ascii="Book Antiqua" w:eastAsia="Book Antiqua" w:hAnsi="Book Antiqua" w:cs="Book Antiqua"/>
          <w:color w:val="000000"/>
        </w:rPr>
        <w:t>. Additionally, other esophageal abnormalities such as Schatzki’s ring can lead to altered HRM results</w:t>
      </w:r>
      <w:r w:rsidR="006C4286" w:rsidRPr="00995972">
        <w:rPr>
          <w:rFonts w:ascii="Book Antiqua" w:eastAsia="Book Antiqua" w:hAnsi="Book Antiqua" w:cs="Book Antiqua"/>
          <w:color w:val="000000"/>
          <w:vertAlign w:val="superscript"/>
        </w:rPr>
        <w:t>[54]</w:t>
      </w:r>
      <w:r w:rsidR="006C4286" w:rsidRPr="00995972">
        <w:rPr>
          <w:rFonts w:ascii="Book Antiqua" w:eastAsia="Book Antiqua" w:hAnsi="Book Antiqua" w:cs="Book Antiqua"/>
          <w:color w:val="000000"/>
        </w:rPr>
        <w:t>. Data is currently limited regarding the outcomes of fundoplication in patients with EGJOO, but an accurate diagnosis is still important as it identifies esophageal dysmotility as the cause of a patient’s GERD like symptoms.</w:t>
      </w:r>
    </w:p>
    <w:p w14:paraId="2018B2C8" w14:textId="0FCFEFD3" w:rsidR="00A77B3E" w:rsidRPr="00995972" w:rsidRDefault="006C4286" w:rsidP="00734126">
      <w:pPr>
        <w:spacing w:line="360" w:lineRule="auto"/>
        <w:ind w:firstLineChars="100" w:firstLine="240"/>
        <w:jc w:val="both"/>
        <w:rPr>
          <w:rFonts w:ascii="Book Antiqua" w:eastAsia="Book Antiqua" w:hAnsi="Book Antiqua" w:cs="Book Antiqua"/>
          <w:color w:val="000000"/>
        </w:rPr>
      </w:pPr>
      <w:r w:rsidRPr="00995972">
        <w:rPr>
          <w:rFonts w:ascii="Book Antiqua" w:eastAsia="Book Antiqua" w:hAnsi="Book Antiqua" w:cs="Book Antiqua"/>
          <w:color w:val="000000"/>
        </w:rPr>
        <w:t>Opioid induced esophageal dysfunction is increasingly being recognized as a potential cause of esophageal dysmotility. Just as chronic opioid use can lead to bowel hypomotility, it is theorized that opioids may block esophageal inhibitory signals leading to increased contractions and decreased LES sphincter relaxation</w:t>
      </w:r>
      <w:r w:rsidRPr="00995972">
        <w:rPr>
          <w:rFonts w:ascii="Book Antiqua" w:eastAsia="Book Antiqua" w:hAnsi="Book Antiqua" w:cs="Book Antiqua"/>
          <w:color w:val="000000"/>
          <w:vertAlign w:val="superscript"/>
        </w:rPr>
        <w:t>[55]</w:t>
      </w:r>
      <w:r w:rsidRPr="00995972">
        <w:rPr>
          <w:rFonts w:ascii="Book Antiqua" w:eastAsia="Book Antiqua" w:hAnsi="Book Antiqua" w:cs="Book Antiqua"/>
          <w:color w:val="000000"/>
        </w:rPr>
        <w:t>. This can in turn lead to findings of EGJOO, esophageal spasm, and hypercontractile esophagus on HRM (Figure 9)</w:t>
      </w:r>
      <w:r w:rsidRPr="00995972">
        <w:rPr>
          <w:rFonts w:ascii="Book Antiqua" w:eastAsia="Book Antiqua" w:hAnsi="Book Antiqua" w:cs="Book Antiqua"/>
          <w:color w:val="000000"/>
          <w:vertAlign w:val="superscript"/>
        </w:rPr>
        <w:t>[56]</w:t>
      </w:r>
      <w:r w:rsidRPr="00995972">
        <w:rPr>
          <w:rFonts w:ascii="Book Antiqua" w:eastAsia="Book Antiqua" w:hAnsi="Book Antiqua" w:cs="Book Antiqua"/>
          <w:color w:val="000000"/>
        </w:rPr>
        <w:t>. It is important to recognize the effect of chronic opioid use on esophageal motility, as cessation of opioid drugs may lead to resolution of GERD like symptoms.</w:t>
      </w:r>
    </w:p>
    <w:p w14:paraId="373035EA" w14:textId="77777777" w:rsidR="009B75AC" w:rsidRPr="00995972" w:rsidRDefault="009B75AC" w:rsidP="009B75AC">
      <w:pPr>
        <w:spacing w:line="360" w:lineRule="auto"/>
        <w:jc w:val="both"/>
        <w:rPr>
          <w:lang w:eastAsia="zh-CN"/>
        </w:rPr>
      </w:pPr>
    </w:p>
    <w:p w14:paraId="6E8F53CF" w14:textId="77777777" w:rsidR="00A77B3E" w:rsidRPr="00995972" w:rsidRDefault="00C21DAC" w:rsidP="00C21DAC">
      <w:pPr>
        <w:spacing w:line="360" w:lineRule="auto"/>
        <w:jc w:val="both"/>
      </w:pPr>
      <w:r w:rsidRPr="00995972">
        <w:rPr>
          <w:rFonts w:ascii="Book Antiqua" w:eastAsia="Book Antiqua" w:hAnsi="Book Antiqua" w:cs="Book Antiqua"/>
          <w:b/>
          <w:color w:val="000000"/>
        </w:rPr>
        <w:t>Hypercontractile disorders</w:t>
      </w:r>
      <w:r w:rsidRPr="00995972">
        <w:rPr>
          <w:rFonts w:ascii="Book Antiqua" w:hAnsi="Book Antiqua" w:cs="Book Antiqua" w:hint="eastAsia"/>
          <w:b/>
          <w:color w:val="000000"/>
          <w:lang w:eastAsia="zh-CN"/>
        </w:rPr>
        <w:t>:</w:t>
      </w:r>
      <w:r w:rsidR="006C4286" w:rsidRPr="00995972">
        <w:rPr>
          <w:rFonts w:ascii="Book Antiqua" w:eastAsia="Book Antiqua" w:hAnsi="Book Antiqua" w:cs="Book Antiqua"/>
          <w:color w:val="000000"/>
        </w:rPr>
        <w:t xml:space="preserve"> In addition to uncovering evidence of esophageal hypomotility, HRM can also identify hypercontractile patterns such as jackhammer esophagus and esophageal spasm (Figure 10). While the pathophysiology behind these diseases is still under investigation, both involve impaired inhibition and coordination of esophageal peristalsis and can present with dysphagia, non-cardiac chest pain, and reflux</w:t>
      </w:r>
      <w:r w:rsidR="00FD320F" w:rsidRPr="00995972">
        <w:rPr>
          <w:rFonts w:ascii="Book Antiqua" w:eastAsia="Book Antiqua" w:hAnsi="Book Antiqua" w:cs="Book Antiqua"/>
          <w:color w:val="000000"/>
          <w:vertAlign w:val="superscript"/>
        </w:rPr>
        <w:t>[57,</w:t>
      </w:r>
      <w:r w:rsidR="006C4286" w:rsidRPr="00995972">
        <w:rPr>
          <w:rFonts w:ascii="Book Antiqua" w:eastAsia="Book Antiqua" w:hAnsi="Book Antiqua" w:cs="Book Antiqua"/>
          <w:color w:val="000000"/>
          <w:vertAlign w:val="superscript"/>
        </w:rPr>
        <w:t>58]</w:t>
      </w:r>
      <w:r w:rsidR="006C4286" w:rsidRPr="00995972">
        <w:rPr>
          <w:rFonts w:ascii="Book Antiqua" w:eastAsia="Book Antiqua" w:hAnsi="Book Antiqua" w:cs="Book Antiqua"/>
          <w:color w:val="000000"/>
        </w:rPr>
        <w:t xml:space="preserve">. Jackhammer esophagus can be diagnosed on HRM if at least 20% of swallows have a </w:t>
      </w:r>
      <w:bookmarkStart w:id="45" w:name="OLE_LINK198"/>
      <w:bookmarkStart w:id="46" w:name="OLE_LINK199"/>
      <w:bookmarkStart w:id="47" w:name="OLE_LINK213"/>
      <w:r w:rsidR="006C4286" w:rsidRPr="00995972">
        <w:rPr>
          <w:rFonts w:ascii="Book Antiqua" w:eastAsia="Book Antiqua" w:hAnsi="Book Antiqua" w:cs="Book Antiqua"/>
          <w:color w:val="000000"/>
        </w:rPr>
        <w:t>distal contractile integral</w:t>
      </w:r>
      <w:bookmarkEnd w:id="45"/>
      <w:bookmarkEnd w:id="46"/>
      <w:bookmarkEnd w:id="47"/>
      <w:r w:rsidR="006C4286" w:rsidRPr="00995972">
        <w:rPr>
          <w:rFonts w:ascii="Book Antiqua" w:eastAsia="Book Antiqua" w:hAnsi="Book Antiqua" w:cs="Book Antiqua"/>
          <w:color w:val="000000"/>
        </w:rPr>
        <w:t xml:space="preserve"> (DCI) of greater than 8000 mmHg</w:t>
      </w:r>
      <w:r w:rsidR="006C4286" w:rsidRPr="00995972">
        <w:rPr>
          <w:rFonts w:ascii="Book Antiqua" w:eastAsia="Book Antiqua" w:hAnsi="Book Antiqua" w:cs="Book Antiqua"/>
          <w:color w:val="000000"/>
          <w:vertAlign w:val="superscript"/>
        </w:rPr>
        <w:t>[44]</w:t>
      </w:r>
      <w:r w:rsidR="006C4286" w:rsidRPr="00995972">
        <w:rPr>
          <w:rFonts w:ascii="Book Antiqua" w:eastAsia="Book Antiqua" w:hAnsi="Book Antiqua" w:cs="Book Antiqua"/>
          <w:color w:val="000000"/>
        </w:rPr>
        <w:t>. According to the 2019 ICARUS guidelines, 64% of experts agreed that patients with jackhammer esophagus are still good candidates for anti-reflux surgery, but this assertion is only supported by grade D evidence</w:t>
      </w:r>
      <w:r w:rsidR="006C4286" w:rsidRPr="00995972">
        <w:rPr>
          <w:rFonts w:ascii="Book Antiqua" w:eastAsia="Book Antiqua" w:hAnsi="Book Antiqua" w:cs="Book Antiqua"/>
          <w:color w:val="000000"/>
          <w:vertAlign w:val="superscript"/>
        </w:rPr>
        <w:t>[42]</w:t>
      </w:r>
      <w:r w:rsidR="006C4286" w:rsidRPr="00995972">
        <w:rPr>
          <w:rFonts w:ascii="Book Antiqua" w:eastAsia="Book Antiqua" w:hAnsi="Book Antiqua" w:cs="Book Antiqua"/>
          <w:color w:val="000000"/>
        </w:rPr>
        <w:t>. Data is limited regarding outcomes of patients with jackhammer esophagus after anti-reflux surgery, but one retrospective study found no difference in outcomes when compared to patients with physiologic esophageal motility</w:t>
      </w:r>
      <w:r w:rsidR="006C4286" w:rsidRPr="00995972">
        <w:rPr>
          <w:rFonts w:ascii="Book Antiqua" w:eastAsia="Book Antiqua" w:hAnsi="Book Antiqua" w:cs="Book Antiqua"/>
          <w:color w:val="000000"/>
          <w:vertAlign w:val="superscript"/>
        </w:rPr>
        <w:t>[59]</w:t>
      </w:r>
      <w:r w:rsidR="006C4286" w:rsidRPr="00995972">
        <w:rPr>
          <w:rFonts w:ascii="Book Antiqua" w:eastAsia="Book Antiqua" w:hAnsi="Book Antiqua" w:cs="Book Antiqua"/>
          <w:color w:val="000000"/>
        </w:rPr>
        <w:t>. Distal esophageal spasm is diagnosed in patients with a normal IRP but ≥</w:t>
      </w:r>
      <w:r w:rsidR="003E293B" w:rsidRPr="00995972">
        <w:rPr>
          <w:rFonts w:ascii="Book Antiqua" w:hAnsi="Book Antiqua" w:cs="Book Antiqua" w:hint="eastAsia"/>
          <w:color w:val="000000"/>
          <w:lang w:eastAsia="zh-CN"/>
        </w:rPr>
        <w:t xml:space="preserve"> </w:t>
      </w:r>
      <w:r w:rsidR="006C4286" w:rsidRPr="00995972">
        <w:rPr>
          <w:rFonts w:ascii="Book Antiqua" w:eastAsia="Book Antiqua" w:hAnsi="Book Antiqua" w:cs="Book Antiqua"/>
          <w:color w:val="000000"/>
        </w:rPr>
        <w:t xml:space="preserve">20% of premature contractions with a DCI </w:t>
      </w:r>
      <w:r w:rsidR="00FD320F" w:rsidRPr="00995972">
        <w:rPr>
          <w:rFonts w:ascii="Book Antiqua" w:eastAsia="Book Antiqua" w:hAnsi="Book Antiqua" w:cs="Book Antiqua"/>
          <w:color w:val="000000"/>
        </w:rPr>
        <w:t>of</w:t>
      </w:r>
      <w:r w:rsidR="00FD320F" w:rsidRPr="00995972">
        <w:rPr>
          <w:rFonts w:ascii="Book Antiqua" w:hAnsi="Book Antiqua" w:cs="Book Antiqua" w:hint="eastAsia"/>
          <w:color w:val="000000"/>
          <w:lang w:eastAsia="zh-CN"/>
        </w:rPr>
        <w:t xml:space="preserve"> </w:t>
      </w:r>
      <w:r w:rsidR="006C4286" w:rsidRPr="00995972">
        <w:rPr>
          <w:rFonts w:ascii="Book Antiqua" w:eastAsia="Book Antiqua" w:hAnsi="Book Antiqua" w:cs="Book Antiqua"/>
          <w:color w:val="000000"/>
        </w:rPr>
        <w:t>&gt;</w:t>
      </w:r>
      <w:r w:rsidR="003E293B" w:rsidRPr="00995972">
        <w:rPr>
          <w:rFonts w:ascii="Book Antiqua" w:hAnsi="Book Antiqua" w:cs="Book Antiqua" w:hint="eastAsia"/>
          <w:color w:val="000000"/>
          <w:lang w:eastAsia="zh-CN"/>
        </w:rPr>
        <w:t xml:space="preserve"> </w:t>
      </w:r>
      <w:r w:rsidR="006C4286" w:rsidRPr="00995972">
        <w:rPr>
          <w:rFonts w:ascii="Book Antiqua" w:eastAsia="Book Antiqua" w:hAnsi="Book Antiqua" w:cs="Book Antiqua"/>
          <w:color w:val="000000"/>
        </w:rPr>
        <w:t>450 mmHg</w:t>
      </w:r>
      <w:r w:rsidR="006C4286" w:rsidRPr="00995972">
        <w:rPr>
          <w:rFonts w:ascii="Book Antiqua" w:eastAsia="Book Antiqua" w:hAnsi="Book Antiqua" w:cs="Book Antiqua"/>
          <w:color w:val="000000"/>
          <w:vertAlign w:val="superscript"/>
        </w:rPr>
        <w:t>[44]</w:t>
      </w:r>
      <w:r w:rsidR="006C4286" w:rsidRPr="00995972">
        <w:rPr>
          <w:rFonts w:ascii="Book Antiqua" w:eastAsia="Book Antiqua" w:hAnsi="Book Antiqua" w:cs="Book Antiqua"/>
          <w:color w:val="000000"/>
        </w:rPr>
        <w:t>. 64% of experts agreed that these patients were not good surgical candidates, but this again was only supported with grade D evidence</w:t>
      </w:r>
      <w:r w:rsidR="006C4286" w:rsidRPr="00995972">
        <w:rPr>
          <w:rFonts w:ascii="Book Antiqua" w:eastAsia="Book Antiqua" w:hAnsi="Book Antiqua" w:cs="Book Antiqua"/>
          <w:color w:val="000000"/>
          <w:vertAlign w:val="superscript"/>
        </w:rPr>
        <w:t>[42]</w:t>
      </w:r>
      <w:r w:rsidR="006C4286" w:rsidRPr="00995972">
        <w:rPr>
          <w:rFonts w:ascii="Book Antiqua" w:eastAsia="Book Antiqua" w:hAnsi="Book Antiqua" w:cs="Book Antiqua"/>
          <w:color w:val="000000"/>
        </w:rPr>
        <w:t>. Instead, the authors suggested specific therapeutic measures for esophageal spasm such as botulinum injections and myotomy instead of anti-reflux surgery</w:t>
      </w:r>
      <w:r w:rsidR="006C4286" w:rsidRPr="00995972">
        <w:rPr>
          <w:rFonts w:ascii="Book Antiqua" w:eastAsia="Book Antiqua" w:hAnsi="Book Antiqua" w:cs="Book Antiqua"/>
          <w:color w:val="000000"/>
          <w:vertAlign w:val="superscript"/>
        </w:rPr>
        <w:t>[42]</w:t>
      </w:r>
      <w:r w:rsidR="006C4286" w:rsidRPr="00995972">
        <w:rPr>
          <w:rFonts w:ascii="Book Antiqua" w:eastAsia="Book Antiqua" w:hAnsi="Book Antiqua" w:cs="Book Antiqua"/>
          <w:color w:val="000000"/>
        </w:rPr>
        <w:t>.</w:t>
      </w:r>
    </w:p>
    <w:p w14:paraId="0B8F0C09" w14:textId="77777777" w:rsidR="00A77B3E" w:rsidRPr="00995972" w:rsidRDefault="00A77B3E">
      <w:pPr>
        <w:spacing w:line="360" w:lineRule="auto"/>
        <w:ind w:hanging="210"/>
        <w:jc w:val="both"/>
      </w:pPr>
    </w:p>
    <w:p w14:paraId="09CD750A" w14:textId="77777777" w:rsidR="00A77B3E" w:rsidRPr="00995972" w:rsidRDefault="006C4286">
      <w:pPr>
        <w:spacing w:line="360" w:lineRule="auto"/>
        <w:jc w:val="both"/>
        <w:rPr>
          <w:b/>
          <w:lang w:eastAsia="zh-CN"/>
        </w:rPr>
      </w:pPr>
      <w:r w:rsidRPr="00995972">
        <w:rPr>
          <w:rFonts w:ascii="Book Antiqua" w:eastAsia="Book Antiqua" w:hAnsi="Book Antiqua" w:cs="Book Antiqua"/>
          <w:b/>
          <w:i/>
          <w:iCs/>
          <w:color w:val="000000"/>
        </w:rPr>
        <w:t xml:space="preserve">Utility of </w:t>
      </w:r>
      <w:r w:rsidR="00FD320F" w:rsidRPr="00995972">
        <w:rPr>
          <w:rFonts w:ascii="Book Antiqua" w:eastAsia="Book Antiqua" w:hAnsi="Book Antiqua" w:cs="Book Antiqua"/>
          <w:b/>
          <w:i/>
          <w:iCs/>
          <w:color w:val="000000"/>
        </w:rPr>
        <w:t>provocative maneuvers duri</w:t>
      </w:r>
      <w:r w:rsidRPr="00995972">
        <w:rPr>
          <w:rFonts w:ascii="Book Antiqua" w:eastAsia="Book Antiqua" w:hAnsi="Book Antiqua" w:cs="Book Antiqua"/>
          <w:b/>
          <w:i/>
          <w:iCs/>
          <w:color w:val="000000"/>
        </w:rPr>
        <w:t>ng HRM</w:t>
      </w:r>
      <w:r w:rsidR="00C02031" w:rsidRPr="00995972">
        <w:rPr>
          <w:rFonts w:ascii="Book Antiqua" w:hAnsi="Book Antiqua" w:cs="Book Antiqua" w:hint="eastAsia"/>
          <w:b/>
          <w:i/>
          <w:iCs/>
          <w:color w:val="000000"/>
          <w:lang w:eastAsia="zh-CN"/>
        </w:rPr>
        <w:t xml:space="preserve"> </w:t>
      </w:r>
    </w:p>
    <w:p w14:paraId="2A0FA3DA" w14:textId="77777777" w:rsidR="00A77B3E" w:rsidRPr="00995972" w:rsidRDefault="006C4286" w:rsidP="00FD320F">
      <w:pPr>
        <w:spacing w:line="360" w:lineRule="auto"/>
        <w:jc w:val="both"/>
        <w:rPr>
          <w:lang w:eastAsia="zh-CN"/>
        </w:rPr>
      </w:pPr>
      <w:r w:rsidRPr="00995972">
        <w:rPr>
          <w:rFonts w:ascii="Book Antiqua" w:eastAsia="Book Antiqua" w:hAnsi="Book Antiqua" w:cs="Book Antiqua"/>
          <w:color w:val="000000"/>
        </w:rPr>
        <w:t xml:space="preserve">Provocative studies such as </w:t>
      </w:r>
      <w:bookmarkStart w:id="48" w:name="OLE_LINK200"/>
      <w:bookmarkStart w:id="49" w:name="OLE_LINK201"/>
      <w:bookmarkStart w:id="50" w:name="OLE_LINK225"/>
      <w:r w:rsidRPr="00995972">
        <w:rPr>
          <w:rFonts w:ascii="Book Antiqua" w:eastAsia="Book Antiqua" w:hAnsi="Book Antiqua" w:cs="Book Antiqua"/>
          <w:color w:val="000000"/>
        </w:rPr>
        <w:t>multiple rapid swallow</w:t>
      </w:r>
      <w:bookmarkEnd w:id="48"/>
      <w:bookmarkEnd w:id="49"/>
      <w:bookmarkEnd w:id="50"/>
      <w:r w:rsidRPr="00995972">
        <w:rPr>
          <w:rFonts w:ascii="Book Antiqua" w:eastAsia="Book Antiqua" w:hAnsi="Book Antiqua" w:cs="Book Antiqua"/>
          <w:color w:val="000000"/>
        </w:rPr>
        <w:t xml:space="preserve"> (MRS) or rapid drink challenge (RDC) tests can also be added to HRM to further evaluate esophageal physiology. MRS testing involves swallowing small amounts of water over a quick period of time which stresses the coordination of esophageal contraction and LES relaxation</w:t>
      </w:r>
      <w:r w:rsidRPr="00995972">
        <w:rPr>
          <w:rFonts w:ascii="Book Antiqua" w:eastAsia="Book Antiqua" w:hAnsi="Book Antiqua" w:cs="Book Antiqua"/>
          <w:color w:val="000000"/>
          <w:vertAlign w:val="superscript"/>
        </w:rPr>
        <w:t>[60]</w:t>
      </w:r>
      <w:r w:rsidRPr="00995972">
        <w:rPr>
          <w:rFonts w:ascii="Book Antiqua" w:eastAsia="Book Antiqua" w:hAnsi="Book Antiqua" w:cs="Book Antiqua"/>
          <w:color w:val="000000"/>
        </w:rPr>
        <w:t>. Recent studies have found the addition of MRS during HRM can help uncover pathologies that might have been missed on manometry alone such as distal esophageal spasm and achalasia variants</w:t>
      </w:r>
      <w:r w:rsidRPr="00995972">
        <w:rPr>
          <w:rFonts w:ascii="Book Antiqua" w:eastAsia="Book Antiqua" w:hAnsi="Book Antiqua" w:cs="Book Antiqua"/>
          <w:color w:val="000000"/>
          <w:vertAlign w:val="superscript"/>
        </w:rPr>
        <w:t>[61]</w:t>
      </w:r>
      <w:r w:rsidRPr="00995972">
        <w:rPr>
          <w:rFonts w:ascii="Book Antiqua" w:eastAsia="Book Antiqua" w:hAnsi="Book Antiqua" w:cs="Book Antiqua"/>
          <w:color w:val="000000"/>
        </w:rPr>
        <w:t>. MRS also allows for visualization of esophageal pressurization patterns which can help identify hypercontractility and EGJOO</w:t>
      </w:r>
      <w:r w:rsidR="00897268" w:rsidRPr="00995972">
        <w:rPr>
          <w:rFonts w:ascii="Book Antiqua" w:eastAsia="Book Antiqua" w:hAnsi="Book Antiqua" w:cs="Book Antiqua"/>
          <w:color w:val="000000"/>
          <w:vertAlign w:val="superscript"/>
        </w:rPr>
        <w:t>[62,</w:t>
      </w:r>
      <w:r w:rsidRPr="00995972">
        <w:rPr>
          <w:rFonts w:ascii="Book Antiqua" w:eastAsia="Book Antiqua" w:hAnsi="Book Antiqua" w:cs="Book Antiqua"/>
          <w:color w:val="000000"/>
          <w:vertAlign w:val="superscript"/>
        </w:rPr>
        <w:t>63]</w:t>
      </w:r>
      <w:r w:rsidRPr="00995972">
        <w:rPr>
          <w:rFonts w:ascii="Book Antiqua" w:eastAsia="Book Antiqua" w:hAnsi="Book Antiqua" w:cs="Book Antiqua"/>
          <w:color w:val="000000"/>
        </w:rPr>
        <w:t>. RDC is also a simple test that can be added to HRM to stress the esophagus and uncover motility disorders. RDC is a similar test to MRS, but involves drinking a larger total amount of water. A recent study in 2017 compared HRM and RDC results between healthy individuals and a cohort of patients with dysphagia and reflux. They found that the addition of RDC improved the sensitivity and specificity of HRM for identifying esophageal motility disorders to 85% and 95% respectively</w:t>
      </w:r>
      <w:r w:rsidRPr="00995972">
        <w:rPr>
          <w:rFonts w:ascii="Book Antiqua" w:eastAsia="Book Antiqua" w:hAnsi="Book Antiqua" w:cs="Book Antiqua"/>
          <w:color w:val="000000"/>
          <w:vertAlign w:val="superscript"/>
        </w:rPr>
        <w:t>[64]</w:t>
      </w:r>
      <w:r w:rsidRPr="00995972">
        <w:rPr>
          <w:rFonts w:ascii="Book Antiqua" w:eastAsia="Book Antiqua" w:hAnsi="Book Antiqua" w:cs="Book Antiqua"/>
          <w:color w:val="000000"/>
        </w:rPr>
        <w:t>.</w:t>
      </w:r>
    </w:p>
    <w:p w14:paraId="350DA3E9" w14:textId="77777777" w:rsidR="00A77B3E" w:rsidRPr="00995972" w:rsidRDefault="006C4286" w:rsidP="00897268">
      <w:pPr>
        <w:spacing w:line="360" w:lineRule="auto"/>
        <w:ind w:firstLineChars="100" w:firstLine="240"/>
        <w:jc w:val="both"/>
        <w:rPr>
          <w:lang w:eastAsia="zh-CN"/>
        </w:rPr>
      </w:pPr>
      <w:r w:rsidRPr="00995972">
        <w:rPr>
          <w:rFonts w:ascii="Book Antiqua" w:eastAsia="Book Antiqua" w:hAnsi="Book Antiqua" w:cs="Book Antiqua"/>
          <w:color w:val="000000"/>
        </w:rPr>
        <w:t>Another provocative test that can be added to HRM is apple viscous swallows (AVS). AVS involves patients swallowing apple sauce during manometry, and the increased viscosity may help better simulate physiologic swallowing of food. A study from 2011 Looked at patients with dysphagia and compared results of HRM with AVS and standard water swallows. The researchers found that 4% of patients had abnormal results with water swallows, but this increased to 30% with AVS</w:t>
      </w:r>
      <w:r w:rsidRPr="00995972">
        <w:rPr>
          <w:rFonts w:ascii="Book Antiqua" w:eastAsia="Book Antiqua" w:hAnsi="Book Antiqua" w:cs="Book Antiqua"/>
          <w:color w:val="000000"/>
          <w:vertAlign w:val="superscript"/>
        </w:rPr>
        <w:t>[65]</w:t>
      </w:r>
      <w:r w:rsidRPr="00995972">
        <w:rPr>
          <w:rFonts w:ascii="Book Antiqua" w:eastAsia="Book Antiqua" w:hAnsi="Book Antiqua" w:cs="Book Antiqua"/>
          <w:color w:val="000000"/>
        </w:rPr>
        <w:t>. Overall, the additions of provocative maneuvers such as MRS, RDC, and AVS to HRM are quick and simple and can help identify esophageal motility disorders in patients with GERD like symptoms.</w:t>
      </w:r>
    </w:p>
    <w:p w14:paraId="6755E095" w14:textId="77777777" w:rsidR="00A77B3E" w:rsidRPr="00995972" w:rsidRDefault="006C4286" w:rsidP="00616422">
      <w:pPr>
        <w:spacing w:line="360" w:lineRule="auto"/>
        <w:ind w:firstLineChars="100" w:firstLine="240"/>
        <w:jc w:val="both"/>
      </w:pPr>
      <w:r w:rsidRPr="00995972">
        <w:rPr>
          <w:rFonts w:ascii="Book Antiqua" w:eastAsia="Book Antiqua" w:hAnsi="Book Antiqua" w:cs="Book Antiqua"/>
          <w:color w:val="000000"/>
        </w:rPr>
        <w:t xml:space="preserve">Provocative testing also has important utility as a pre-operative assessment by predicting the risk of post-operative dysphagia. The </w:t>
      </w:r>
      <w:r w:rsidR="00616422" w:rsidRPr="00995972">
        <w:rPr>
          <w:rFonts w:ascii="Book Antiqua" w:eastAsia="Book Antiqua" w:hAnsi="Book Antiqua" w:cs="Book Antiqua"/>
          <w:color w:val="000000"/>
        </w:rPr>
        <w:t>DCI</w:t>
      </w:r>
      <w:r w:rsidRPr="00995972">
        <w:rPr>
          <w:rFonts w:ascii="Book Antiqua" w:eastAsia="Book Antiqua" w:hAnsi="Book Antiqua" w:cs="Book Antiqua"/>
          <w:color w:val="000000"/>
        </w:rPr>
        <w:t xml:space="preserve"> is another measurement that can be used to assess the strength of esophageal contractions during HRM</w:t>
      </w:r>
      <w:r w:rsidRPr="00995972">
        <w:rPr>
          <w:rFonts w:ascii="Book Antiqua" w:eastAsia="Book Antiqua" w:hAnsi="Book Antiqua" w:cs="Book Antiqua"/>
          <w:color w:val="000000"/>
          <w:vertAlign w:val="superscript"/>
        </w:rPr>
        <w:t>[63]</w:t>
      </w:r>
      <w:r w:rsidRPr="00995972">
        <w:rPr>
          <w:rFonts w:ascii="Book Antiqua" w:eastAsia="Book Antiqua" w:hAnsi="Book Antiqua" w:cs="Book Antiqua"/>
          <w:color w:val="000000"/>
        </w:rPr>
        <w:t xml:space="preserve">. According to the </w:t>
      </w:r>
      <w:r w:rsidR="00FB2BC9" w:rsidRPr="00995972">
        <w:rPr>
          <w:rFonts w:ascii="Book Antiqua" w:eastAsia="Book Antiqua" w:hAnsi="Book Antiqua" w:cs="Book Antiqua"/>
          <w:color w:val="000000"/>
        </w:rPr>
        <w:t>CC</w:t>
      </w:r>
      <w:r w:rsidRPr="00995972">
        <w:rPr>
          <w:rFonts w:ascii="Book Antiqua" w:eastAsia="Book Antiqua" w:hAnsi="Book Antiqua" w:cs="Book Antiqua"/>
          <w:color w:val="000000"/>
        </w:rPr>
        <w:t>, a DCI ratio can be calculated from standard manometry and MRS testing to assess peristaltic or contraction reserve (Figure 11)</w:t>
      </w:r>
      <w:r w:rsidRPr="00995972">
        <w:rPr>
          <w:rFonts w:ascii="Book Antiqua" w:eastAsia="Book Antiqua" w:hAnsi="Book Antiqua" w:cs="Book Antiqua"/>
          <w:color w:val="000000"/>
          <w:vertAlign w:val="superscript"/>
        </w:rPr>
        <w:t>[44]</w:t>
      </w:r>
      <w:r w:rsidRPr="00995972">
        <w:rPr>
          <w:rFonts w:ascii="Book Antiqua" w:eastAsia="Book Antiqua" w:hAnsi="Book Antiqua" w:cs="Book Antiqua"/>
          <w:color w:val="000000"/>
        </w:rPr>
        <w:t>. This can help indicate the ability of the esophageal body to augment contractions and may be predictive of multiple pathologies in patients with impaired esophageal motility</w:t>
      </w:r>
      <w:r w:rsidR="00425D2D" w:rsidRPr="00995972">
        <w:rPr>
          <w:rFonts w:ascii="Book Antiqua" w:eastAsia="Book Antiqua" w:hAnsi="Book Antiqua" w:cs="Book Antiqua"/>
          <w:color w:val="000000"/>
          <w:vertAlign w:val="superscript"/>
        </w:rPr>
        <w:t>[22,</w:t>
      </w:r>
      <w:r w:rsidRPr="00995972">
        <w:rPr>
          <w:rFonts w:ascii="Book Antiqua" w:eastAsia="Book Antiqua" w:hAnsi="Book Antiqua" w:cs="Book Antiqua"/>
          <w:color w:val="000000"/>
          <w:vertAlign w:val="superscript"/>
        </w:rPr>
        <w:t>66]</w:t>
      </w:r>
      <w:r w:rsidRPr="00995972">
        <w:rPr>
          <w:rFonts w:ascii="Book Antiqua" w:eastAsia="Book Antiqua" w:hAnsi="Book Antiqua" w:cs="Book Antiqua"/>
          <w:color w:val="000000"/>
        </w:rPr>
        <w:t>. Patients with weak contractions on HRM with MRS may have low peristaltic res</w:t>
      </w:r>
      <w:r w:rsidR="00425D2D" w:rsidRPr="00995972">
        <w:rPr>
          <w:rFonts w:ascii="Book Antiqua" w:eastAsia="Book Antiqua" w:hAnsi="Book Antiqua" w:cs="Book Antiqua"/>
          <w:color w:val="000000"/>
        </w:rPr>
        <w:t>erve and a DCI ratio cutoff of</w:t>
      </w:r>
      <w:r w:rsidR="00425D2D" w:rsidRPr="00995972">
        <w:rPr>
          <w:rFonts w:ascii="Book Antiqua" w:hAnsi="Book Antiqua" w:cs="Book Antiqua" w:hint="eastAsia"/>
          <w:color w:val="000000"/>
          <w:lang w:eastAsia="zh-CN"/>
        </w:rPr>
        <w:t xml:space="preserve"> </w:t>
      </w:r>
      <w:r w:rsidRPr="00995972">
        <w:rPr>
          <w:rFonts w:ascii="Book Antiqua" w:eastAsia="Book Antiqua" w:hAnsi="Book Antiqua" w:cs="Book Antiqua"/>
          <w:color w:val="000000"/>
        </w:rPr>
        <w:t>&gt;</w:t>
      </w:r>
      <w:r w:rsidR="00425D2D" w:rsidRPr="00995972">
        <w:rPr>
          <w:rFonts w:ascii="Book Antiqua" w:hAnsi="Book Antiqua" w:cs="Book Antiqua" w:hint="eastAsia"/>
          <w:color w:val="000000"/>
          <w:lang w:eastAsia="zh-CN"/>
        </w:rPr>
        <w:t xml:space="preserve"> </w:t>
      </w:r>
      <w:r w:rsidRPr="00995972">
        <w:rPr>
          <w:rFonts w:ascii="Book Antiqua" w:eastAsia="Book Antiqua" w:hAnsi="Book Antiqua" w:cs="Book Antiqua"/>
          <w:color w:val="000000"/>
        </w:rPr>
        <w:t>0.85 was found to be 67% sensitive and 64% specific for identifying late post-operative dysphagia in patients with GERD</w:t>
      </w:r>
      <w:r w:rsidRPr="00995972">
        <w:rPr>
          <w:rFonts w:ascii="Book Antiqua" w:eastAsia="Book Antiqua" w:hAnsi="Book Antiqua" w:cs="Book Antiqua"/>
          <w:color w:val="000000"/>
          <w:vertAlign w:val="superscript"/>
        </w:rPr>
        <w:t>[67]</w:t>
      </w:r>
      <w:r w:rsidRPr="00995972">
        <w:rPr>
          <w:rFonts w:ascii="Book Antiqua" w:eastAsia="Book Antiqua" w:hAnsi="Book Antiqua" w:cs="Book Antiqua"/>
          <w:color w:val="000000"/>
        </w:rPr>
        <w:t>. Additionally, a lack of manometric response can identify patients with esophageal involvement of their systemic sclerosis, as peristaltic reserve is typically absent in this population</w:t>
      </w:r>
      <w:r w:rsidRPr="00995972">
        <w:rPr>
          <w:rFonts w:ascii="Book Antiqua" w:eastAsia="Book Antiqua" w:hAnsi="Book Antiqua" w:cs="Book Antiqua"/>
          <w:color w:val="000000"/>
          <w:vertAlign w:val="superscript"/>
        </w:rPr>
        <w:t>[68]</w:t>
      </w:r>
      <w:r w:rsidRPr="00995972">
        <w:rPr>
          <w:rFonts w:ascii="Book Antiqua" w:eastAsia="Book Antiqua" w:hAnsi="Book Antiqua" w:cs="Book Antiqua"/>
          <w:color w:val="000000"/>
        </w:rPr>
        <w:t>.</w:t>
      </w:r>
    </w:p>
    <w:p w14:paraId="6495A425" w14:textId="77777777" w:rsidR="00A77B3E" w:rsidRPr="00995972" w:rsidRDefault="006C4286" w:rsidP="00425D2D">
      <w:pPr>
        <w:spacing w:line="360" w:lineRule="auto"/>
        <w:ind w:firstLineChars="100" w:firstLine="240"/>
        <w:jc w:val="both"/>
      </w:pPr>
      <w:r w:rsidRPr="00995972">
        <w:rPr>
          <w:rFonts w:ascii="Book Antiqua" w:eastAsia="Book Antiqua" w:hAnsi="Book Antiqua" w:cs="Book Antiqua"/>
          <w:color w:val="000000"/>
        </w:rPr>
        <w:t>It is known from previous studies that impaired LES pressures are associated with increased esophageal acid exposure</w:t>
      </w:r>
      <w:r w:rsidRPr="00995972">
        <w:rPr>
          <w:rFonts w:ascii="Book Antiqua" w:eastAsia="Book Antiqua" w:hAnsi="Book Antiqua" w:cs="Book Antiqua"/>
          <w:color w:val="000000"/>
          <w:vertAlign w:val="superscript"/>
        </w:rPr>
        <w:t>[69]</w:t>
      </w:r>
      <w:r w:rsidRPr="00995972">
        <w:rPr>
          <w:rFonts w:ascii="Book Antiqua" w:eastAsia="Book Antiqua" w:hAnsi="Book Antiqua" w:cs="Book Antiqua"/>
          <w:color w:val="000000"/>
        </w:rPr>
        <w:t>. A 2012 retrospective study included over 2000 patients who underwent manometry and pH testing and found that patients with incompetent LES pressures had significantly higher DeMeester scores</w:t>
      </w:r>
      <w:r w:rsidRPr="00995972">
        <w:rPr>
          <w:rFonts w:ascii="Book Antiqua" w:eastAsia="Book Antiqua" w:hAnsi="Book Antiqua" w:cs="Book Antiqua"/>
          <w:color w:val="000000"/>
          <w:vertAlign w:val="superscript"/>
        </w:rPr>
        <w:t>[70]</w:t>
      </w:r>
      <w:r w:rsidRPr="00995972">
        <w:rPr>
          <w:rFonts w:ascii="Book Antiqua" w:eastAsia="Book Antiqua" w:hAnsi="Book Antiqua" w:cs="Book Antiqua"/>
          <w:color w:val="000000"/>
        </w:rPr>
        <w:t>. A hiatal hernia is one example of why the LES can be compromised in patients and lead to lower closing pressures</w:t>
      </w:r>
      <w:r w:rsidRPr="00995972">
        <w:rPr>
          <w:rFonts w:ascii="Book Antiqua" w:eastAsia="Book Antiqua" w:hAnsi="Book Antiqua" w:cs="Book Antiqua"/>
          <w:color w:val="000000"/>
          <w:vertAlign w:val="superscript"/>
        </w:rPr>
        <w:t>[71]</w:t>
      </w:r>
      <w:r w:rsidRPr="00995972">
        <w:rPr>
          <w:rFonts w:ascii="Book Antiqua" w:eastAsia="Book Antiqua" w:hAnsi="Book Antiqua" w:cs="Book Antiqua"/>
          <w:color w:val="000000"/>
        </w:rPr>
        <w:t>. The straight leg raise is another simple provocative maneuver that can be completed during HRM to assess patients with a hiatal hernia (Figure 12). Previous studies have indicated the size of a hiatal hernia is the best predictor for the severity of GERD</w:t>
      </w:r>
      <w:r w:rsidRPr="00995972">
        <w:rPr>
          <w:rFonts w:ascii="Book Antiqua" w:eastAsia="Book Antiqua" w:hAnsi="Book Antiqua" w:cs="Book Antiqua"/>
          <w:color w:val="000000"/>
          <w:vertAlign w:val="superscript"/>
        </w:rPr>
        <w:t>[72]</w:t>
      </w:r>
      <w:r w:rsidRPr="00995972">
        <w:rPr>
          <w:rFonts w:ascii="Book Antiqua" w:eastAsia="Book Antiqua" w:hAnsi="Book Antiqua" w:cs="Book Antiqua"/>
          <w:color w:val="000000"/>
        </w:rPr>
        <w:t>. Straight leg raises during HRM can increase intraabdominal pressure and stress the LES. A recent study measured trans-esophagogastric junction gradient pressures during straight leg raises on HRM and found a significant decrease in peak pressure gradient in patients with a hiatal hernia of 3 cm or greater</w:t>
      </w:r>
      <w:r w:rsidRPr="00995972">
        <w:rPr>
          <w:rFonts w:ascii="Book Antiqua" w:eastAsia="Book Antiqua" w:hAnsi="Book Antiqua" w:cs="Book Antiqua"/>
          <w:color w:val="000000"/>
          <w:vertAlign w:val="superscript"/>
        </w:rPr>
        <w:t>[73]</w:t>
      </w:r>
      <w:r w:rsidRPr="00995972">
        <w:rPr>
          <w:rFonts w:ascii="Book Antiqua" w:eastAsia="Book Antiqua" w:hAnsi="Book Antiqua" w:cs="Book Antiqua"/>
          <w:color w:val="000000"/>
        </w:rPr>
        <w:t>. Straight leg raises are a simple provocative maneuver to add during HRM and can identify patients that could benefit from surgical treatment for both their GERD and hiatal hernia with good outcomes</w:t>
      </w:r>
      <w:r w:rsidRPr="00995972">
        <w:rPr>
          <w:rFonts w:ascii="Book Antiqua" w:eastAsia="Book Antiqua" w:hAnsi="Book Antiqua" w:cs="Book Antiqua"/>
          <w:color w:val="000000"/>
          <w:vertAlign w:val="superscript"/>
        </w:rPr>
        <w:t>[74]</w:t>
      </w:r>
      <w:r w:rsidR="004543A6" w:rsidRPr="00995972">
        <w:t xml:space="preserve"> </w:t>
      </w:r>
      <w:r w:rsidR="004543A6" w:rsidRPr="00995972">
        <w:rPr>
          <w:rFonts w:ascii="Book Antiqua" w:eastAsia="Book Antiqua" w:hAnsi="Book Antiqua" w:cs="Book Antiqua"/>
          <w:color w:val="000000"/>
        </w:rPr>
        <w:t>(Table 3)</w:t>
      </w:r>
      <w:r w:rsidRPr="00995972">
        <w:rPr>
          <w:rFonts w:ascii="Book Antiqua" w:eastAsia="Book Antiqua" w:hAnsi="Book Antiqua" w:cs="Book Antiqua"/>
          <w:color w:val="000000"/>
        </w:rPr>
        <w:t>.</w:t>
      </w:r>
    </w:p>
    <w:p w14:paraId="5BC70E7C" w14:textId="77777777" w:rsidR="00A77B3E" w:rsidRPr="00995972" w:rsidRDefault="00A77B3E">
      <w:pPr>
        <w:spacing w:line="360" w:lineRule="auto"/>
        <w:ind w:firstLine="720"/>
        <w:jc w:val="both"/>
      </w:pPr>
    </w:p>
    <w:p w14:paraId="7E838C3A" w14:textId="77777777" w:rsidR="00A77B3E" w:rsidRPr="00995972" w:rsidRDefault="006C4286">
      <w:pPr>
        <w:spacing w:line="360" w:lineRule="auto"/>
        <w:jc w:val="both"/>
        <w:rPr>
          <w:b/>
        </w:rPr>
      </w:pPr>
      <w:r w:rsidRPr="00995972">
        <w:rPr>
          <w:rFonts w:ascii="Book Antiqua" w:eastAsia="Book Antiqua" w:hAnsi="Book Antiqua" w:cs="Book Antiqua"/>
          <w:b/>
          <w:i/>
          <w:iCs/>
          <w:color w:val="000000"/>
        </w:rPr>
        <w:t xml:space="preserve">Ruling out </w:t>
      </w:r>
      <w:r w:rsidR="00053D5E" w:rsidRPr="00995972">
        <w:rPr>
          <w:rFonts w:ascii="Book Antiqua" w:eastAsia="Book Antiqua" w:hAnsi="Book Antiqua" w:cs="Book Antiqua"/>
          <w:b/>
          <w:i/>
          <w:iCs/>
          <w:color w:val="000000"/>
        </w:rPr>
        <w:t>supragastric belching and rumination synd</w:t>
      </w:r>
      <w:r w:rsidRPr="00995972">
        <w:rPr>
          <w:rFonts w:ascii="Book Antiqua" w:eastAsia="Book Antiqua" w:hAnsi="Book Antiqua" w:cs="Book Antiqua"/>
          <w:b/>
          <w:i/>
          <w:iCs/>
          <w:color w:val="000000"/>
        </w:rPr>
        <w:t>rome</w:t>
      </w:r>
    </w:p>
    <w:p w14:paraId="17A77D77" w14:textId="77777777" w:rsidR="00A77B3E" w:rsidRPr="00995972" w:rsidRDefault="006C4286">
      <w:pPr>
        <w:spacing w:line="360" w:lineRule="auto"/>
        <w:jc w:val="both"/>
      </w:pPr>
      <w:r w:rsidRPr="00995972">
        <w:rPr>
          <w:rFonts w:ascii="Book Antiqua" w:eastAsia="Book Antiqua" w:hAnsi="Book Antiqua" w:cs="Book Antiqua"/>
          <w:color w:val="000000"/>
        </w:rPr>
        <w:t>Patients with GERD may also commonly complain of increased belching</w:t>
      </w:r>
      <w:r w:rsidRPr="00995972">
        <w:rPr>
          <w:rFonts w:ascii="Book Antiqua" w:eastAsia="Book Antiqua" w:hAnsi="Book Antiqua" w:cs="Book Antiqua"/>
          <w:color w:val="000000"/>
          <w:vertAlign w:val="superscript"/>
        </w:rPr>
        <w:t>[75]</w:t>
      </w:r>
      <w:r w:rsidRPr="00995972">
        <w:rPr>
          <w:rFonts w:ascii="Book Antiqua" w:eastAsia="Book Antiqua" w:hAnsi="Book Antiqua" w:cs="Book Antiqua"/>
          <w:color w:val="000000"/>
        </w:rPr>
        <w:t>. Supragastric belching is another disorder with many GERD-like symptoms, and is common in patients with GERD, NERD, reflux hypersensitivity, and functional dyspepsia</w:t>
      </w:r>
      <w:r w:rsidR="00AD4897" w:rsidRPr="00995972">
        <w:rPr>
          <w:rFonts w:ascii="Book Antiqua" w:eastAsia="Book Antiqua" w:hAnsi="Book Antiqua" w:cs="Book Antiqua"/>
          <w:color w:val="000000"/>
          <w:vertAlign w:val="superscript"/>
        </w:rPr>
        <w:t>[76,</w:t>
      </w:r>
      <w:r w:rsidRPr="00995972">
        <w:rPr>
          <w:rFonts w:ascii="Book Antiqua" w:eastAsia="Book Antiqua" w:hAnsi="Book Antiqua" w:cs="Book Antiqua"/>
          <w:color w:val="000000"/>
          <w:vertAlign w:val="superscript"/>
        </w:rPr>
        <w:t>77]</w:t>
      </w:r>
      <w:r w:rsidRPr="00995972">
        <w:rPr>
          <w:rFonts w:ascii="Book Antiqua" w:eastAsia="Book Antiqua" w:hAnsi="Book Antiqua" w:cs="Book Antiqua"/>
          <w:color w:val="000000"/>
        </w:rPr>
        <w:t>. Distinguishing between the two disorders is important, as both are due to different underlying pathologies requiring specific treatment approaches. Supragastric belching is seen as a learned behavioral disorder where air is pulled into the esophagus, but there is no transient relaxation of the LES as seen in physiologic belching</w:t>
      </w:r>
      <w:r w:rsidRPr="00995972">
        <w:rPr>
          <w:rFonts w:ascii="Book Antiqua" w:eastAsia="Book Antiqua" w:hAnsi="Book Antiqua" w:cs="Book Antiqua"/>
          <w:color w:val="000000"/>
          <w:vertAlign w:val="superscript"/>
        </w:rPr>
        <w:t>[78]</w:t>
      </w:r>
      <w:r w:rsidRPr="00995972">
        <w:rPr>
          <w:rFonts w:ascii="Book Antiqua" w:eastAsia="Book Antiqua" w:hAnsi="Book Antiqua" w:cs="Book Antiqua"/>
          <w:color w:val="000000"/>
        </w:rPr>
        <w:t>. Even though these patients present with symptoms of reflux, the treatment is directed at behavioral therapy to decrease bringing air into the esophagus. These patients would not be good candidates for anti-reflux surgery. Recent improvements in high resolution impedance manometry (HRIM) allow for clinicians to measure both esophageal pressure and flow during swallows</w:t>
      </w:r>
      <w:r w:rsidRPr="00995972">
        <w:rPr>
          <w:rFonts w:ascii="Book Antiqua" w:eastAsia="Book Antiqua" w:hAnsi="Book Antiqua" w:cs="Book Antiqua"/>
          <w:color w:val="000000"/>
          <w:vertAlign w:val="superscript"/>
        </w:rPr>
        <w:t>[79]</w:t>
      </w:r>
      <w:r w:rsidRPr="00995972">
        <w:rPr>
          <w:rFonts w:ascii="Book Antiqua" w:eastAsia="Book Antiqua" w:hAnsi="Book Antiqua" w:cs="Book Antiqua"/>
          <w:color w:val="000000"/>
        </w:rPr>
        <w:t>. While supragastric belching can induce GERD, HRIM can identify episodes of supragastric belching with no LES relaxation and confirm only esophageal air is released instead of gastric air</w:t>
      </w:r>
      <w:r w:rsidRPr="00995972">
        <w:rPr>
          <w:rFonts w:ascii="Book Antiqua" w:eastAsia="Book Antiqua" w:hAnsi="Book Antiqua" w:cs="Book Antiqua"/>
          <w:color w:val="000000"/>
          <w:vertAlign w:val="superscript"/>
        </w:rPr>
        <w:t>[80]</w:t>
      </w:r>
      <w:r w:rsidRPr="00995972">
        <w:rPr>
          <w:rFonts w:ascii="Book Antiqua" w:eastAsia="Book Antiqua" w:hAnsi="Book Antiqua" w:cs="Book Antiqua"/>
          <w:color w:val="000000"/>
        </w:rPr>
        <w:t>.</w:t>
      </w:r>
    </w:p>
    <w:p w14:paraId="0F850364" w14:textId="77777777" w:rsidR="00A77B3E" w:rsidRPr="00995972" w:rsidRDefault="006C4286" w:rsidP="00AD4897">
      <w:pPr>
        <w:spacing w:line="360" w:lineRule="auto"/>
        <w:ind w:firstLineChars="100" w:firstLine="240"/>
        <w:jc w:val="both"/>
      </w:pPr>
      <w:r w:rsidRPr="00995972">
        <w:rPr>
          <w:rFonts w:ascii="Book Antiqua" w:eastAsia="Book Antiqua" w:hAnsi="Book Antiqua" w:cs="Book Antiqua"/>
          <w:color w:val="000000"/>
        </w:rPr>
        <w:t>Rumination syndrome is another functional disorder involving patients suffering with GERD-like symptoms of frequent reflux and regurgitation. Like supragastric belching, HRM can be useful in identifying the underlying mechanism of the dysfunction. A recent study found that different subtypes of rumination can be identified on HRM, with some having pathophysiologies similar to supragastric belching, and others showing evidence of gastric contents refluxing above the LES</w:t>
      </w:r>
      <w:r w:rsidRPr="00995972">
        <w:rPr>
          <w:rFonts w:ascii="Book Antiqua" w:eastAsia="Book Antiqua" w:hAnsi="Book Antiqua" w:cs="Book Antiqua"/>
          <w:color w:val="000000"/>
          <w:vertAlign w:val="superscript"/>
        </w:rPr>
        <w:t>[35]</w:t>
      </w:r>
      <w:r w:rsidRPr="00995972">
        <w:rPr>
          <w:rFonts w:ascii="Book Antiqua" w:eastAsia="Book Antiqua" w:hAnsi="Book Antiqua" w:cs="Book Antiqua"/>
          <w:color w:val="000000"/>
        </w:rPr>
        <w:t>. While the first line treatment of rumination syndrome involves cognitive behavioral therapy, HRM can help identify patients with gastric rumination as the cause of their reflux symptoms, and these patients may benefit from further treatments such as anti-reflux surgery</w:t>
      </w:r>
      <w:r w:rsidRPr="00995972">
        <w:rPr>
          <w:rFonts w:ascii="Book Antiqua" w:eastAsia="Book Antiqua" w:hAnsi="Book Antiqua" w:cs="Book Antiqua"/>
          <w:color w:val="000000"/>
          <w:vertAlign w:val="superscript"/>
        </w:rPr>
        <w:t>[35]</w:t>
      </w:r>
      <w:r w:rsidRPr="00995972">
        <w:rPr>
          <w:rFonts w:ascii="Book Antiqua" w:eastAsia="Book Antiqua" w:hAnsi="Book Antiqua" w:cs="Book Antiqua"/>
          <w:color w:val="000000"/>
        </w:rPr>
        <w:t>.</w:t>
      </w:r>
    </w:p>
    <w:bookmarkEnd w:id="41"/>
    <w:p w14:paraId="7CDFDFE7" w14:textId="77777777" w:rsidR="00A77B3E" w:rsidRPr="00995972" w:rsidRDefault="00A77B3E">
      <w:pPr>
        <w:spacing w:line="360" w:lineRule="auto"/>
        <w:jc w:val="both"/>
      </w:pPr>
    </w:p>
    <w:p w14:paraId="339D932F" w14:textId="77777777" w:rsidR="00A77B3E" w:rsidRPr="00995972" w:rsidRDefault="006C4286">
      <w:pPr>
        <w:spacing w:line="360" w:lineRule="auto"/>
        <w:jc w:val="both"/>
      </w:pPr>
      <w:r w:rsidRPr="00995972">
        <w:rPr>
          <w:rFonts w:ascii="Book Antiqua" w:eastAsia="Book Antiqua" w:hAnsi="Book Antiqua" w:cs="Book Antiqua"/>
          <w:b/>
          <w:caps/>
          <w:color w:val="000000"/>
          <w:u w:val="single"/>
        </w:rPr>
        <w:t>CONCLUSION</w:t>
      </w:r>
    </w:p>
    <w:p w14:paraId="3F244C10" w14:textId="77777777" w:rsidR="00A77B3E" w:rsidRPr="00995972" w:rsidRDefault="006C4286">
      <w:pPr>
        <w:spacing w:line="360" w:lineRule="auto"/>
        <w:jc w:val="both"/>
      </w:pPr>
      <w:bookmarkStart w:id="51" w:name="OLE_LINK31"/>
      <w:bookmarkStart w:id="52" w:name="OLE_LINK32"/>
      <w:r w:rsidRPr="00995972">
        <w:rPr>
          <w:rFonts w:ascii="Book Antiqua" w:eastAsia="Book Antiqua" w:hAnsi="Book Antiqua" w:cs="Book Antiqua"/>
          <w:color w:val="000000"/>
        </w:rPr>
        <w:t>Fundoplication is a safe and effective treatment for individuals with GERD, but a thorough pre-operative assessment is critical to achieving good surgical outcomes. Newer technologies continue to become more widely available and can help clinicians in selecting appropriate surgical candidates. By accurately diagnosing GERD, assessing peristaltic reserve, and ruling out major motility disorders and diseases with GERD-like symptoms, clinicians can confidently identify patients with true LES dysfunction who would benefit from surgical intervention.</w:t>
      </w:r>
    </w:p>
    <w:bookmarkEnd w:id="51"/>
    <w:bookmarkEnd w:id="52"/>
    <w:p w14:paraId="6E86E16B" w14:textId="77777777" w:rsidR="00A77B3E" w:rsidRPr="00995972" w:rsidRDefault="00A77B3E">
      <w:pPr>
        <w:spacing w:line="360" w:lineRule="auto"/>
        <w:jc w:val="both"/>
      </w:pPr>
    </w:p>
    <w:p w14:paraId="4782BD62" w14:textId="77777777" w:rsidR="00A77B3E" w:rsidRPr="00995972" w:rsidRDefault="006C4286" w:rsidP="00314B24">
      <w:pPr>
        <w:adjustRightInd w:val="0"/>
        <w:snapToGrid w:val="0"/>
        <w:spacing w:line="360" w:lineRule="auto"/>
        <w:jc w:val="both"/>
        <w:rPr>
          <w:rFonts w:ascii="Book Antiqua" w:hAnsi="Book Antiqua"/>
        </w:rPr>
      </w:pPr>
      <w:r w:rsidRPr="00995972">
        <w:rPr>
          <w:rFonts w:ascii="Book Antiqua" w:eastAsia="Book Antiqua" w:hAnsi="Book Antiqua" w:cs="Book Antiqua"/>
          <w:b/>
        </w:rPr>
        <w:t>REFERENCES</w:t>
      </w:r>
    </w:p>
    <w:p w14:paraId="7DA827A6"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bookmarkStart w:id="53" w:name="OLE_LINK2704"/>
      <w:bookmarkStart w:id="54" w:name="OLE_LINK2705"/>
      <w:r w:rsidRPr="00995972">
        <w:rPr>
          <w:rFonts w:ascii="Book Antiqua" w:hAnsi="Book Antiqua"/>
        </w:rPr>
        <w:t>1 </w:t>
      </w:r>
      <w:r w:rsidRPr="00995972">
        <w:rPr>
          <w:rFonts w:ascii="Book Antiqua" w:hAnsi="Book Antiqua"/>
          <w:b/>
          <w:bCs/>
        </w:rPr>
        <w:t>El-Serag HB</w:t>
      </w:r>
      <w:r w:rsidRPr="00995972">
        <w:rPr>
          <w:rFonts w:ascii="Book Antiqua" w:hAnsi="Book Antiqua"/>
        </w:rPr>
        <w:t>, Sweet S, Winchester CC, Dent J. Update on the epidemiology of gastro-oesophageal reflux disease: a systematic review. </w:t>
      </w:r>
      <w:r w:rsidRPr="00995972">
        <w:rPr>
          <w:rFonts w:ascii="Book Antiqua" w:hAnsi="Book Antiqua"/>
          <w:i/>
          <w:iCs/>
        </w:rPr>
        <w:t>Gut</w:t>
      </w:r>
      <w:r w:rsidRPr="00995972">
        <w:rPr>
          <w:rFonts w:ascii="Book Antiqua" w:hAnsi="Book Antiqua"/>
        </w:rPr>
        <w:t> 2014; </w:t>
      </w:r>
      <w:r w:rsidRPr="00995972">
        <w:rPr>
          <w:rFonts w:ascii="Book Antiqua" w:hAnsi="Book Antiqua"/>
          <w:b/>
          <w:bCs/>
        </w:rPr>
        <w:t>63</w:t>
      </w:r>
      <w:r w:rsidRPr="00995972">
        <w:rPr>
          <w:rFonts w:ascii="Book Antiqua" w:hAnsi="Book Antiqua"/>
        </w:rPr>
        <w:t>: 871-880 [PMID: 23853213 DOI: 10.1136/gutjnl-2012-304269]</w:t>
      </w:r>
    </w:p>
    <w:p w14:paraId="3705FD59"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2 </w:t>
      </w:r>
      <w:r w:rsidRPr="00995972">
        <w:rPr>
          <w:rFonts w:ascii="Book Antiqua" w:hAnsi="Book Antiqua"/>
          <w:b/>
          <w:bCs/>
        </w:rPr>
        <w:t>Dent J</w:t>
      </w:r>
      <w:r w:rsidRPr="00995972">
        <w:rPr>
          <w:rFonts w:ascii="Book Antiqua" w:hAnsi="Book Antiqua"/>
        </w:rPr>
        <w:t>, Becher A, Sung J, Zou D, Agréus L, Bazzoli F. Systematic review: patterns of reflux-induced symptoms and esophageal endoscopic findings in large-scale surveys. </w:t>
      </w:r>
      <w:r w:rsidRPr="00995972">
        <w:rPr>
          <w:rFonts w:ascii="Book Antiqua" w:hAnsi="Book Antiqua"/>
          <w:i/>
          <w:iCs/>
        </w:rPr>
        <w:t>Clin Gastroenterol Hepatol</w:t>
      </w:r>
      <w:r w:rsidRPr="00995972">
        <w:rPr>
          <w:rFonts w:ascii="Book Antiqua" w:hAnsi="Book Antiqua"/>
        </w:rPr>
        <w:t> 2012; </w:t>
      </w:r>
      <w:r w:rsidRPr="00995972">
        <w:rPr>
          <w:rFonts w:ascii="Book Antiqua" w:hAnsi="Book Antiqua"/>
          <w:b/>
          <w:bCs/>
        </w:rPr>
        <w:t>10</w:t>
      </w:r>
      <w:r w:rsidRPr="00995972">
        <w:rPr>
          <w:rFonts w:ascii="Book Antiqua" w:hAnsi="Book Antiqua"/>
        </w:rPr>
        <w:t>: 863-873.e3 [PMID: 22401904 DOI: 10.1016/j.cgh.2012.02.028]</w:t>
      </w:r>
    </w:p>
    <w:p w14:paraId="7BD5047D"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3 </w:t>
      </w:r>
      <w:r w:rsidRPr="00995972">
        <w:rPr>
          <w:rFonts w:ascii="Book Antiqua" w:hAnsi="Book Antiqua"/>
          <w:b/>
          <w:bCs/>
        </w:rPr>
        <w:t>Patti MG</w:t>
      </w:r>
      <w:r w:rsidRPr="00995972">
        <w:rPr>
          <w:rFonts w:ascii="Book Antiqua" w:hAnsi="Book Antiqua"/>
        </w:rPr>
        <w:t>. An Evidence-Based Approach to the Treatment of Gastroesophageal Reflux Disease. </w:t>
      </w:r>
      <w:r w:rsidRPr="00995972">
        <w:rPr>
          <w:rFonts w:ascii="Book Antiqua" w:hAnsi="Book Antiqua"/>
          <w:i/>
          <w:iCs/>
        </w:rPr>
        <w:t>JAMA Surg</w:t>
      </w:r>
      <w:r w:rsidRPr="00995972">
        <w:rPr>
          <w:rFonts w:ascii="Book Antiqua" w:hAnsi="Book Antiqua"/>
        </w:rPr>
        <w:t> 2016; </w:t>
      </w:r>
      <w:r w:rsidRPr="00995972">
        <w:rPr>
          <w:rFonts w:ascii="Book Antiqua" w:hAnsi="Book Antiqua"/>
          <w:b/>
          <w:bCs/>
        </w:rPr>
        <w:t>151</w:t>
      </w:r>
      <w:r w:rsidRPr="00995972">
        <w:rPr>
          <w:rFonts w:ascii="Book Antiqua" w:hAnsi="Book Antiqua"/>
        </w:rPr>
        <w:t>: 73-78 [PMID: 26629969 DOI: 10.1001/jamasurg.2015.4233]</w:t>
      </w:r>
    </w:p>
    <w:p w14:paraId="361A225A"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4 </w:t>
      </w:r>
      <w:r w:rsidRPr="00995972">
        <w:rPr>
          <w:rFonts w:ascii="Book Antiqua" w:hAnsi="Book Antiqua"/>
          <w:b/>
          <w:bCs/>
        </w:rPr>
        <w:t>Gawron AJ</w:t>
      </w:r>
      <w:r w:rsidRPr="00995972">
        <w:rPr>
          <w:rFonts w:ascii="Book Antiqua" w:hAnsi="Book Antiqua"/>
        </w:rPr>
        <w:t>, French DD, Pandolfino JE, Howden CW. Economic evaluations of gastroesophageal reflux disease medical management. </w:t>
      </w:r>
      <w:r w:rsidRPr="00995972">
        <w:rPr>
          <w:rFonts w:ascii="Book Antiqua" w:hAnsi="Book Antiqua"/>
          <w:i/>
          <w:iCs/>
        </w:rPr>
        <w:t>Pharmacoeconomics</w:t>
      </w:r>
      <w:r w:rsidRPr="00995972">
        <w:rPr>
          <w:rFonts w:ascii="Book Antiqua" w:hAnsi="Book Antiqua"/>
        </w:rPr>
        <w:t> 2014; </w:t>
      </w:r>
      <w:r w:rsidRPr="00995972">
        <w:rPr>
          <w:rFonts w:ascii="Book Antiqua" w:hAnsi="Book Antiqua"/>
          <w:b/>
          <w:bCs/>
        </w:rPr>
        <w:t>32</w:t>
      </w:r>
      <w:r w:rsidRPr="00995972">
        <w:rPr>
          <w:rFonts w:ascii="Book Antiqua" w:hAnsi="Book Antiqua"/>
        </w:rPr>
        <w:t>: 745-758 [PMID: 24807469 DOI: 10.1007/s40273-014-0164-8]</w:t>
      </w:r>
    </w:p>
    <w:p w14:paraId="23A4A2C0"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5 </w:t>
      </w:r>
      <w:r w:rsidRPr="00995972">
        <w:rPr>
          <w:rFonts w:ascii="Book Antiqua" w:hAnsi="Book Antiqua"/>
          <w:b/>
          <w:bCs/>
        </w:rPr>
        <w:t>Katz PO</w:t>
      </w:r>
      <w:r w:rsidRPr="00995972">
        <w:rPr>
          <w:rFonts w:ascii="Book Antiqua" w:hAnsi="Book Antiqua"/>
        </w:rPr>
        <w:t>, Gerson LB, Vela MF. Guidelines for the diagnosis and management of gastroesophageal reflux disease. </w:t>
      </w:r>
      <w:r w:rsidRPr="00995972">
        <w:rPr>
          <w:rFonts w:ascii="Book Antiqua" w:hAnsi="Book Antiqua"/>
          <w:i/>
          <w:iCs/>
        </w:rPr>
        <w:t>Am J Gastroenterol</w:t>
      </w:r>
      <w:r w:rsidRPr="00995972">
        <w:rPr>
          <w:rFonts w:ascii="Book Antiqua" w:hAnsi="Book Antiqua"/>
        </w:rPr>
        <w:t> 2013; </w:t>
      </w:r>
      <w:r w:rsidRPr="00995972">
        <w:rPr>
          <w:rFonts w:ascii="Book Antiqua" w:hAnsi="Book Antiqua"/>
          <w:b/>
          <w:bCs/>
        </w:rPr>
        <w:t>108</w:t>
      </w:r>
      <w:r w:rsidRPr="00995972">
        <w:rPr>
          <w:rFonts w:ascii="Book Antiqua" w:hAnsi="Book Antiqua"/>
        </w:rPr>
        <w:t>: 308-28; quiz 329 [PMID: 23419381 DOI: 10.1038/ajg.2012.444]</w:t>
      </w:r>
    </w:p>
    <w:p w14:paraId="7E04613C"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6 </w:t>
      </w:r>
      <w:r w:rsidRPr="00995972">
        <w:rPr>
          <w:rFonts w:ascii="Book Antiqua" w:hAnsi="Book Antiqua"/>
          <w:b/>
          <w:bCs/>
        </w:rPr>
        <w:t>Stefanidis D</w:t>
      </w:r>
      <w:r w:rsidRPr="00995972">
        <w:rPr>
          <w:rFonts w:ascii="Book Antiqua" w:hAnsi="Book Antiqua"/>
        </w:rPr>
        <w:t>, Hope WW, Kohn GP, Reardon PR, Richardson WS, Fanelli RD; SAGES Guidelines Committee. Guidelines for surgical treatment of gastroesophageal reflux disease. </w:t>
      </w:r>
      <w:r w:rsidRPr="00995972">
        <w:rPr>
          <w:rFonts w:ascii="Book Antiqua" w:hAnsi="Book Antiqua"/>
          <w:i/>
          <w:iCs/>
        </w:rPr>
        <w:t>Surg Endosc</w:t>
      </w:r>
      <w:r w:rsidRPr="00995972">
        <w:rPr>
          <w:rFonts w:ascii="Book Antiqua" w:hAnsi="Book Antiqua"/>
        </w:rPr>
        <w:t> 2010; </w:t>
      </w:r>
      <w:r w:rsidRPr="00995972">
        <w:rPr>
          <w:rFonts w:ascii="Book Antiqua" w:hAnsi="Book Antiqua"/>
          <w:b/>
          <w:bCs/>
        </w:rPr>
        <w:t>24</w:t>
      </w:r>
      <w:r w:rsidRPr="00995972">
        <w:rPr>
          <w:rFonts w:ascii="Book Antiqua" w:hAnsi="Book Antiqua"/>
        </w:rPr>
        <w:t>: 2647-2669 [PMID: 20725747 DOI: 10.1007/s00464-010-1267-8]</w:t>
      </w:r>
    </w:p>
    <w:p w14:paraId="09133190"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7 </w:t>
      </w:r>
      <w:r w:rsidRPr="00995972">
        <w:rPr>
          <w:rFonts w:ascii="Book Antiqua" w:hAnsi="Book Antiqua"/>
          <w:b/>
          <w:bCs/>
        </w:rPr>
        <w:t>Frazzoni M</w:t>
      </w:r>
      <w:r w:rsidRPr="00995972">
        <w:rPr>
          <w:rFonts w:ascii="Book Antiqua" w:hAnsi="Book Antiqua"/>
        </w:rPr>
        <w:t>, Piccoli M, Conigliaro R, Frazzoni L, Melotti G. Laparoscopic fundoplication for gastroesophageal reflux disease. </w:t>
      </w:r>
      <w:r w:rsidRPr="00995972">
        <w:rPr>
          <w:rFonts w:ascii="Book Antiqua" w:hAnsi="Book Antiqua"/>
          <w:i/>
          <w:iCs/>
        </w:rPr>
        <w:t>World J Gastroenterol</w:t>
      </w:r>
      <w:r w:rsidRPr="00995972">
        <w:rPr>
          <w:rFonts w:ascii="Book Antiqua" w:hAnsi="Book Antiqua"/>
        </w:rPr>
        <w:t> 2014; </w:t>
      </w:r>
      <w:r w:rsidRPr="00995972">
        <w:rPr>
          <w:rFonts w:ascii="Book Antiqua" w:hAnsi="Book Antiqua"/>
          <w:b/>
          <w:bCs/>
        </w:rPr>
        <w:t>20</w:t>
      </w:r>
      <w:r w:rsidRPr="00995972">
        <w:rPr>
          <w:rFonts w:ascii="Book Antiqua" w:hAnsi="Book Antiqua"/>
        </w:rPr>
        <w:t>: 14272-14279 [PMID: 25339814 DOI: 10.3748/wjg.v20.i39.14272]</w:t>
      </w:r>
    </w:p>
    <w:p w14:paraId="4061110B"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8 </w:t>
      </w:r>
      <w:r w:rsidRPr="00995972">
        <w:rPr>
          <w:rFonts w:ascii="Book Antiqua" w:hAnsi="Book Antiqua"/>
          <w:b/>
          <w:bCs/>
        </w:rPr>
        <w:t>Broeders JA</w:t>
      </w:r>
      <w:r w:rsidRPr="00995972">
        <w:rPr>
          <w:rFonts w:ascii="Book Antiqua" w:hAnsi="Book Antiqua"/>
        </w:rPr>
        <w:t>, Roks DJ, Ahmed Ali U, Watson DI, Baigrie RJ, Cao Z, Hartmann J, Maddern GJ. Laparoscopic anterior 180-degree versus nissen fundoplication for gastroesophageal reflux disease: systematic review and meta-analysis of randomized clinical trials. </w:t>
      </w:r>
      <w:r w:rsidRPr="00995972">
        <w:rPr>
          <w:rFonts w:ascii="Book Antiqua" w:hAnsi="Book Antiqua"/>
          <w:i/>
          <w:iCs/>
        </w:rPr>
        <w:t>Ann Surg</w:t>
      </w:r>
      <w:r w:rsidRPr="00995972">
        <w:rPr>
          <w:rFonts w:ascii="Book Antiqua" w:hAnsi="Book Antiqua"/>
        </w:rPr>
        <w:t> 2013; </w:t>
      </w:r>
      <w:r w:rsidRPr="00995972">
        <w:rPr>
          <w:rFonts w:ascii="Book Antiqua" w:hAnsi="Book Antiqua"/>
          <w:b/>
          <w:bCs/>
        </w:rPr>
        <w:t>257</w:t>
      </w:r>
      <w:r w:rsidRPr="00995972">
        <w:rPr>
          <w:rFonts w:ascii="Book Antiqua" w:hAnsi="Book Antiqua"/>
        </w:rPr>
        <w:t>: 850-859 [PMID: 23470572 DOI: 10.1097/SLA.0b013e31828604dd]</w:t>
      </w:r>
    </w:p>
    <w:p w14:paraId="66D7A185"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9 </w:t>
      </w:r>
      <w:r w:rsidRPr="00995972">
        <w:rPr>
          <w:rFonts w:ascii="Book Antiqua" w:hAnsi="Book Antiqua"/>
          <w:b/>
          <w:bCs/>
        </w:rPr>
        <w:t>Skubleny D</w:t>
      </w:r>
      <w:r w:rsidRPr="00995972">
        <w:rPr>
          <w:rFonts w:ascii="Book Antiqua" w:hAnsi="Book Antiqua"/>
        </w:rPr>
        <w:t>, Switzer NJ, Dang J, Gill RS, Shi X, de Gara C, Birch DW, Wong C, Hutter MM, Karmali S. LINX</w:t>
      </w:r>
      <w:r w:rsidRPr="00995972">
        <w:rPr>
          <w:rFonts w:ascii="Book Antiqua" w:hAnsi="Book Antiqua"/>
          <w:vertAlign w:val="superscript"/>
        </w:rPr>
        <w:t>®</w:t>
      </w:r>
      <w:r w:rsidRPr="00995972">
        <w:rPr>
          <w:rFonts w:ascii="Book Antiqua" w:hAnsi="Book Antiqua"/>
        </w:rPr>
        <w:t> magnetic esophageal sphincter augmentation versus Nissen fundoplication for gastroesophageal reflux disease: a systematic review and meta-analysis. </w:t>
      </w:r>
      <w:r w:rsidRPr="00995972">
        <w:rPr>
          <w:rFonts w:ascii="Book Antiqua" w:hAnsi="Book Antiqua"/>
          <w:i/>
          <w:iCs/>
        </w:rPr>
        <w:t>Surg Endosc</w:t>
      </w:r>
      <w:r w:rsidRPr="00995972">
        <w:rPr>
          <w:rFonts w:ascii="Book Antiqua" w:hAnsi="Book Antiqua"/>
        </w:rPr>
        <w:t> 2017; </w:t>
      </w:r>
      <w:r w:rsidRPr="00995972">
        <w:rPr>
          <w:rFonts w:ascii="Book Antiqua" w:hAnsi="Book Antiqua"/>
          <w:b/>
          <w:bCs/>
        </w:rPr>
        <w:t>31</w:t>
      </w:r>
      <w:r w:rsidRPr="00995972">
        <w:rPr>
          <w:rFonts w:ascii="Book Antiqua" w:hAnsi="Book Antiqua"/>
        </w:rPr>
        <w:t>: 3078-3084 [PMID: 27981382 DOI: 10.1007/s00464-016-5370-3]</w:t>
      </w:r>
    </w:p>
    <w:p w14:paraId="795C52F0"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10 </w:t>
      </w:r>
      <w:r w:rsidRPr="00995972">
        <w:rPr>
          <w:rFonts w:ascii="Book Antiqua" w:hAnsi="Book Antiqua"/>
          <w:b/>
          <w:bCs/>
        </w:rPr>
        <w:t>Davis CS</w:t>
      </w:r>
      <w:r w:rsidRPr="00995972">
        <w:rPr>
          <w:rFonts w:ascii="Book Antiqua" w:hAnsi="Book Antiqua"/>
        </w:rPr>
        <w:t>, Baldea A, Johns JR, Joehl RJ, Fisichella PM. The evolution and long-term results of laparoscopic antireflux surgery for the treatment of gastroesophageal reflux disease. </w:t>
      </w:r>
      <w:r w:rsidRPr="00995972">
        <w:rPr>
          <w:rFonts w:ascii="Book Antiqua" w:hAnsi="Book Antiqua"/>
          <w:i/>
          <w:iCs/>
        </w:rPr>
        <w:t>JSLS</w:t>
      </w:r>
      <w:r w:rsidRPr="00995972">
        <w:rPr>
          <w:rFonts w:ascii="Book Antiqua" w:hAnsi="Book Antiqua"/>
        </w:rPr>
        <w:t> 2010; </w:t>
      </w:r>
      <w:r w:rsidRPr="00995972">
        <w:rPr>
          <w:rFonts w:ascii="Book Antiqua" w:hAnsi="Book Antiqua"/>
          <w:b/>
          <w:bCs/>
        </w:rPr>
        <w:t>14</w:t>
      </w:r>
      <w:r w:rsidRPr="00995972">
        <w:rPr>
          <w:rFonts w:ascii="Book Antiqua" w:hAnsi="Book Antiqua"/>
        </w:rPr>
        <w:t>: 332-341 [PMID: 21333184 DOI: 10.4293/108680810X12924466007007]</w:t>
      </w:r>
    </w:p>
    <w:p w14:paraId="65E6C968"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11 </w:t>
      </w:r>
      <w:r w:rsidRPr="00995972">
        <w:rPr>
          <w:rFonts w:ascii="Book Antiqua" w:hAnsi="Book Antiqua"/>
          <w:b/>
          <w:bCs/>
        </w:rPr>
        <w:t>Moayyedi P</w:t>
      </w:r>
      <w:r w:rsidRPr="00995972">
        <w:rPr>
          <w:rFonts w:ascii="Book Antiqua" w:hAnsi="Book Antiqua"/>
        </w:rPr>
        <w:t>, Talley NJ, Fennerty MB, Vakil N. Can the clinical history distinguish between organic and functional dyspepsia? </w:t>
      </w:r>
      <w:r w:rsidRPr="00995972">
        <w:rPr>
          <w:rFonts w:ascii="Book Antiqua" w:hAnsi="Book Antiqua"/>
          <w:i/>
          <w:iCs/>
        </w:rPr>
        <w:t>JAMA</w:t>
      </w:r>
      <w:r w:rsidRPr="00995972">
        <w:rPr>
          <w:rFonts w:ascii="Book Antiqua" w:hAnsi="Book Antiqua"/>
        </w:rPr>
        <w:t> 2006; </w:t>
      </w:r>
      <w:r w:rsidRPr="00995972">
        <w:rPr>
          <w:rFonts w:ascii="Book Antiqua" w:hAnsi="Book Antiqua"/>
          <w:b/>
          <w:bCs/>
        </w:rPr>
        <w:t>295</w:t>
      </w:r>
      <w:r w:rsidRPr="00995972">
        <w:rPr>
          <w:rFonts w:ascii="Book Antiqua" w:hAnsi="Book Antiqua"/>
        </w:rPr>
        <w:t>: 1566-1576 [PMID: 16595759 DOI: 10.1001/jama.295.13.1566]</w:t>
      </w:r>
    </w:p>
    <w:p w14:paraId="61C97D4F"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12 </w:t>
      </w:r>
      <w:r w:rsidRPr="00995972">
        <w:rPr>
          <w:rFonts w:ascii="Book Antiqua" w:hAnsi="Book Antiqua"/>
          <w:b/>
          <w:bCs/>
        </w:rPr>
        <w:t>Larrain A</w:t>
      </w:r>
      <w:r w:rsidRPr="00995972">
        <w:rPr>
          <w:rFonts w:ascii="Book Antiqua" w:hAnsi="Book Antiqua"/>
        </w:rPr>
        <w:t>, Carrasco E, Galleguillos F, Sepulveda R, Pope CE 2nd. Medical and surgical treatment of nonallergic asthma associated with gastroesophageal reflux. </w:t>
      </w:r>
      <w:r w:rsidRPr="00995972">
        <w:rPr>
          <w:rFonts w:ascii="Book Antiqua" w:hAnsi="Book Antiqua"/>
          <w:i/>
          <w:iCs/>
        </w:rPr>
        <w:t>Chest</w:t>
      </w:r>
      <w:r w:rsidRPr="00995972">
        <w:rPr>
          <w:rFonts w:ascii="Book Antiqua" w:hAnsi="Book Antiqua"/>
        </w:rPr>
        <w:t> 1991; </w:t>
      </w:r>
      <w:r w:rsidRPr="00995972">
        <w:rPr>
          <w:rFonts w:ascii="Book Antiqua" w:hAnsi="Book Antiqua"/>
          <w:b/>
          <w:bCs/>
        </w:rPr>
        <w:t>99</w:t>
      </w:r>
      <w:r w:rsidRPr="00995972">
        <w:rPr>
          <w:rFonts w:ascii="Book Antiqua" w:hAnsi="Book Antiqua"/>
        </w:rPr>
        <w:t>: 1330-1335 [PMID: 2036812 DOI: 10.1378/chest.99.6.1330]</w:t>
      </w:r>
    </w:p>
    <w:p w14:paraId="09D93A6F"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13 </w:t>
      </w:r>
      <w:r w:rsidRPr="00995972">
        <w:rPr>
          <w:rFonts w:ascii="Book Antiqua" w:hAnsi="Book Antiqua"/>
          <w:b/>
          <w:bCs/>
        </w:rPr>
        <w:t>Oelschlager BK</w:t>
      </w:r>
      <w:r w:rsidRPr="00995972">
        <w:rPr>
          <w:rFonts w:ascii="Book Antiqua" w:hAnsi="Book Antiqua"/>
        </w:rPr>
        <w:t>, Quiroga E, Parra JD, Cahill M, Polissar N, Pellegrini CA. Long-term outcomes after laparoscopic antireflux surgery. </w:t>
      </w:r>
      <w:r w:rsidRPr="00995972">
        <w:rPr>
          <w:rFonts w:ascii="Book Antiqua" w:hAnsi="Book Antiqua"/>
          <w:i/>
          <w:iCs/>
        </w:rPr>
        <w:t>Am J Gastroenterol</w:t>
      </w:r>
      <w:r w:rsidRPr="00995972">
        <w:rPr>
          <w:rFonts w:ascii="Book Antiqua" w:hAnsi="Book Antiqua"/>
        </w:rPr>
        <w:t> 2008; </w:t>
      </w:r>
      <w:r w:rsidRPr="00995972">
        <w:rPr>
          <w:rFonts w:ascii="Book Antiqua" w:hAnsi="Book Antiqua"/>
          <w:b/>
          <w:bCs/>
        </w:rPr>
        <w:t>103</w:t>
      </w:r>
      <w:r w:rsidRPr="00995972">
        <w:rPr>
          <w:rFonts w:ascii="Book Antiqua" w:hAnsi="Book Antiqua"/>
        </w:rPr>
        <w:t>: 280-7; quiz 288 [PMID: 17970835 DOI: 10.1111/j.1572-0241.2007.01606.x]</w:t>
      </w:r>
    </w:p>
    <w:p w14:paraId="6DA37C07"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14 </w:t>
      </w:r>
      <w:r w:rsidRPr="00995972">
        <w:rPr>
          <w:rFonts w:ascii="Book Antiqua" w:hAnsi="Book Antiqua"/>
          <w:b/>
          <w:bCs/>
        </w:rPr>
        <w:t>Hamdy E</w:t>
      </w:r>
      <w:r w:rsidRPr="00995972">
        <w:rPr>
          <w:rFonts w:ascii="Book Antiqua" w:hAnsi="Book Antiqua"/>
        </w:rPr>
        <w:t>, El Nakeeb A, Hamed H, El Hemaly M, ElHak NG. Outcome of laparoscopic Nissen fundoplication for gastroesophageal reflux disease in non-responders to proton pump inhibitors. </w:t>
      </w:r>
      <w:r w:rsidRPr="00995972">
        <w:rPr>
          <w:rFonts w:ascii="Book Antiqua" w:hAnsi="Book Antiqua"/>
          <w:i/>
          <w:iCs/>
        </w:rPr>
        <w:t>J Gastrointest Surg</w:t>
      </w:r>
      <w:r w:rsidRPr="00995972">
        <w:rPr>
          <w:rFonts w:ascii="Book Antiqua" w:hAnsi="Book Antiqua"/>
        </w:rPr>
        <w:t> 2014; </w:t>
      </w:r>
      <w:r w:rsidRPr="00995972">
        <w:rPr>
          <w:rFonts w:ascii="Book Antiqua" w:hAnsi="Book Antiqua"/>
          <w:b/>
          <w:bCs/>
        </w:rPr>
        <w:t>18</w:t>
      </w:r>
      <w:r w:rsidRPr="00995972">
        <w:rPr>
          <w:rFonts w:ascii="Book Antiqua" w:hAnsi="Book Antiqua"/>
        </w:rPr>
        <w:t>: 1557-1562 [PMID: 24985244 DOI: 10.1007/s11605-014-2584-3]</w:t>
      </w:r>
    </w:p>
    <w:p w14:paraId="33DA123A"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15 </w:t>
      </w:r>
      <w:r w:rsidRPr="00995972">
        <w:rPr>
          <w:rFonts w:ascii="Book Antiqua" w:hAnsi="Book Antiqua"/>
          <w:b/>
          <w:bCs/>
        </w:rPr>
        <w:t>Campos GM</w:t>
      </w:r>
      <w:r w:rsidRPr="00995972">
        <w:rPr>
          <w:rFonts w:ascii="Book Antiqua" w:hAnsi="Book Antiqua"/>
        </w:rPr>
        <w:t>, Peters JH, DeMeester TR, Oberg S, Crookes PF, Tan S, DeMeester SR, Hagen JA, Bremner CG. Multivariate analysis of factors predicting outcome after laparoscopic Nissen fundoplication. </w:t>
      </w:r>
      <w:r w:rsidRPr="00995972">
        <w:rPr>
          <w:rFonts w:ascii="Book Antiqua" w:hAnsi="Book Antiqua"/>
          <w:i/>
          <w:iCs/>
        </w:rPr>
        <w:t>J Gastrointest Surg</w:t>
      </w:r>
      <w:r w:rsidRPr="00995972">
        <w:rPr>
          <w:rFonts w:ascii="Book Antiqua" w:hAnsi="Book Antiqua"/>
        </w:rPr>
        <w:t> 1999; </w:t>
      </w:r>
      <w:r w:rsidRPr="00995972">
        <w:rPr>
          <w:rFonts w:ascii="Book Antiqua" w:hAnsi="Book Antiqua"/>
          <w:b/>
          <w:bCs/>
        </w:rPr>
        <w:t>3</w:t>
      </w:r>
      <w:r w:rsidRPr="00995972">
        <w:rPr>
          <w:rFonts w:ascii="Book Antiqua" w:hAnsi="Book Antiqua"/>
        </w:rPr>
        <w:t>: 292-300 [PMID: 10481122 DOI: 10.1016/s1091-255x(99)80071-7]</w:t>
      </w:r>
    </w:p>
    <w:p w14:paraId="4FFA144F"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16 </w:t>
      </w:r>
      <w:r w:rsidRPr="00995972">
        <w:rPr>
          <w:rFonts w:ascii="Book Antiqua" w:hAnsi="Book Antiqua"/>
          <w:b/>
          <w:bCs/>
        </w:rPr>
        <w:t>Numans ME</w:t>
      </w:r>
      <w:r w:rsidRPr="00995972">
        <w:rPr>
          <w:rFonts w:ascii="Book Antiqua" w:hAnsi="Book Antiqua"/>
        </w:rPr>
        <w:t>, Lau J, de Wit NJ, Bonis PA. Short-term treatment with proton-pump inhibitors as a test for gastroesophageal reflux disease: a meta-analysis of diagnostic test characteristics. </w:t>
      </w:r>
      <w:r w:rsidRPr="00995972">
        <w:rPr>
          <w:rFonts w:ascii="Book Antiqua" w:hAnsi="Book Antiqua"/>
          <w:i/>
          <w:iCs/>
        </w:rPr>
        <w:t>Ann Intern Med</w:t>
      </w:r>
      <w:r w:rsidRPr="00995972">
        <w:rPr>
          <w:rFonts w:ascii="Book Antiqua" w:hAnsi="Book Antiqua"/>
        </w:rPr>
        <w:t> 2004; </w:t>
      </w:r>
      <w:r w:rsidRPr="00995972">
        <w:rPr>
          <w:rFonts w:ascii="Book Antiqua" w:hAnsi="Book Antiqua"/>
          <w:b/>
          <w:bCs/>
        </w:rPr>
        <w:t>140</w:t>
      </w:r>
      <w:r w:rsidRPr="00995972">
        <w:rPr>
          <w:rFonts w:ascii="Book Antiqua" w:hAnsi="Book Antiqua"/>
        </w:rPr>
        <w:t>: 518-527 [PMID: 15068979 DOI: 10.7326/0003-4819-140-7-200404060-00011]</w:t>
      </w:r>
    </w:p>
    <w:p w14:paraId="47EA015A"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17 </w:t>
      </w:r>
      <w:r w:rsidRPr="00995972">
        <w:rPr>
          <w:rFonts w:ascii="Book Antiqua" w:hAnsi="Book Antiqua"/>
          <w:b/>
          <w:bCs/>
        </w:rPr>
        <w:t>Herbella FA</w:t>
      </w:r>
      <w:r w:rsidRPr="00995972">
        <w:rPr>
          <w:rFonts w:ascii="Book Antiqua" w:hAnsi="Book Antiqua"/>
        </w:rPr>
        <w:t>, Sweet MP, Tedesco P, Nipomnick I, Patti MG. Gastroesophageal reflux disease and obesity. Pathophysiology and implications for treatment. </w:t>
      </w:r>
      <w:r w:rsidRPr="00995972">
        <w:rPr>
          <w:rFonts w:ascii="Book Antiqua" w:hAnsi="Book Antiqua"/>
          <w:i/>
          <w:iCs/>
        </w:rPr>
        <w:t>J Gastrointest Surg</w:t>
      </w:r>
      <w:r w:rsidRPr="00995972">
        <w:rPr>
          <w:rFonts w:ascii="Book Antiqua" w:hAnsi="Book Antiqua"/>
        </w:rPr>
        <w:t> 2007; </w:t>
      </w:r>
      <w:r w:rsidRPr="00995972">
        <w:rPr>
          <w:rFonts w:ascii="Book Antiqua" w:hAnsi="Book Antiqua"/>
          <w:b/>
          <w:bCs/>
        </w:rPr>
        <w:t>11</w:t>
      </w:r>
      <w:r w:rsidRPr="00995972">
        <w:rPr>
          <w:rFonts w:ascii="Book Antiqua" w:hAnsi="Book Antiqua"/>
        </w:rPr>
        <w:t>: 286-290 [PMID: 17458599 DOI: 10.1007/s11605-007-0097-z]</w:t>
      </w:r>
    </w:p>
    <w:p w14:paraId="7742ADB0"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18 </w:t>
      </w:r>
      <w:r w:rsidRPr="00995972">
        <w:rPr>
          <w:rFonts w:ascii="Book Antiqua" w:hAnsi="Book Antiqua"/>
          <w:b/>
          <w:bCs/>
        </w:rPr>
        <w:t>Luketina RR</w:t>
      </w:r>
      <w:r w:rsidRPr="00995972">
        <w:rPr>
          <w:rFonts w:ascii="Book Antiqua" w:hAnsi="Book Antiqua"/>
        </w:rPr>
        <w:t>, Koch OO, Köhler G, Antoniou SA, Emmanuel K, Pointner R. Obesity does not affect the outcome of laparoscopic antireflux surgery. </w:t>
      </w:r>
      <w:r w:rsidRPr="00995972">
        <w:rPr>
          <w:rFonts w:ascii="Book Antiqua" w:hAnsi="Book Antiqua"/>
          <w:i/>
          <w:iCs/>
        </w:rPr>
        <w:t>Surg Endosc</w:t>
      </w:r>
      <w:r w:rsidRPr="00995972">
        <w:rPr>
          <w:rFonts w:ascii="Book Antiqua" w:hAnsi="Book Antiqua"/>
        </w:rPr>
        <w:t> 2015; </w:t>
      </w:r>
      <w:r w:rsidRPr="00995972">
        <w:rPr>
          <w:rFonts w:ascii="Book Antiqua" w:hAnsi="Book Antiqua"/>
          <w:b/>
          <w:bCs/>
        </w:rPr>
        <w:t>29</w:t>
      </w:r>
      <w:r w:rsidRPr="00995972">
        <w:rPr>
          <w:rFonts w:ascii="Book Antiqua" w:hAnsi="Book Antiqua"/>
        </w:rPr>
        <w:t>: 1327-1333 [PMID: 25294529 DOI: 10.1007/s00464-014-3842-x]</w:t>
      </w:r>
    </w:p>
    <w:p w14:paraId="540E2A87"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19 </w:t>
      </w:r>
      <w:r w:rsidRPr="00995972">
        <w:rPr>
          <w:rFonts w:ascii="Book Antiqua" w:hAnsi="Book Antiqua"/>
          <w:b/>
          <w:bCs/>
        </w:rPr>
        <w:t>Morgenthal CB</w:t>
      </w:r>
      <w:r w:rsidRPr="00995972">
        <w:rPr>
          <w:rFonts w:ascii="Book Antiqua" w:hAnsi="Book Antiqua"/>
        </w:rPr>
        <w:t>, Lin E, Shane MD, Hunter JG, Smith CD. Who will fail laparoscopic Nissen fundoplication? Preoperative prediction of long-term outcomes. </w:t>
      </w:r>
      <w:r w:rsidRPr="00995972">
        <w:rPr>
          <w:rFonts w:ascii="Book Antiqua" w:hAnsi="Book Antiqua"/>
          <w:i/>
          <w:iCs/>
        </w:rPr>
        <w:t>Surg Endosc</w:t>
      </w:r>
      <w:r w:rsidRPr="00995972">
        <w:rPr>
          <w:rFonts w:ascii="Book Antiqua" w:hAnsi="Book Antiqua"/>
        </w:rPr>
        <w:t> 2007; </w:t>
      </w:r>
      <w:r w:rsidRPr="00995972">
        <w:rPr>
          <w:rFonts w:ascii="Book Antiqua" w:hAnsi="Book Antiqua"/>
          <w:b/>
          <w:bCs/>
        </w:rPr>
        <w:t>21</w:t>
      </w:r>
      <w:r w:rsidRPr="00995972">
        <w:rPr>
          <w:rFonts w:ascii="Book Antiqua" w:hAnsi="Book Antiqua"/>
        </w:rPr>
        <w:t>: 1978-1984 [PMID: 17623236 DOI: 10.1007/s00464-007-9490-7]</w:t>
      </w:r>
    </w:p>
    <w:p w14:paraId="3E8264F8"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20 </w:t>
      </w:r>
      <w:r w:rsidRPr="00995972">
        <w:rPr>
          <w:rFonts w:ascii="Book Antiqua" w:hAnsi="Book Antiqua"/>
          <w:b/>
          <w:bCs/>
        </w:rPr>
        <w:t>Kuna M</w:t>
      </w:r>
      <w:r w:rsidRPr="00995972">
        <w:rPr>
          <w:rFonts w:ascii="Book Antiqua" w:hAnsi="Book Antiqua"/>
        </w:rPr>
        <w:t>, Tran V, Tadros M. The Role of High-Resolution Manometry in Management of Patients with Sleeve Gastrectomy. </w:t>
      </w:r>
      <w:r w:rsidRPr="00995972">
        <w:rPr>
          <w:rFonts w:ascii="Book Antiqua" w:hAnsi="Book Antiqua"/>
          <w:i/>
          <w:iCs/>
        </w:rPr>
        <w:t>Obes Surg</w:t>
      </w:r>
      <w:r w:rsidRPr="00995972">
        <w:rPr>
          <w:rFonts w:ascii="Book Antiqua" w:hAnsi="Book Antiqua"/>
        </w:rPr>
        <w:t> 2021; </w:t>
      </w:r>
      <w:r w:rsidRPr="00995972">
        <w:rPr>
          <w:rFonts w:ascii="Book Antiqua" w:hAnsi="Book Antiqua"/>
          <w:b/>
          <w:bCs/>
        </w:rPr>
        <w:t>31</w:t>
      </w:r>
      <w:r w:rsidRPr="00995972">
        <w:rPr>
          <w:rFonts w:ascii="Book Antiqua" w:hAnsi="Book Antiqua"/>
        </w:rPr>
        <w:t>: 409-412 [PMID: 32617925 DOI: 10.1007/s11695-020-04797-6]</w:t>
      </w:r>
    </w:p>
    <w:p w14:paraId="2B685576"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21 </w:t>
      </w:r>
      <w:r w:rsidRPr="00995972">
        <w:rPr>
          <w:rFonts w:ascii="Book Antiqua" w:hAnsi="Book Antiqua"/>
          <w:b/>
          <w:bCs/>
        </w:rPr>
        <w:t>Savarino E</w:t>
      </w:r>
      <w:r w:rsidRPr="00995972">
        <w:rPr>
          <w:rFonts w:ascii="Book Antiqua" w:hAnsi="Book Antiqua"/>
        </w:rPr>
        <w:t>, Bredenoord AJ, Fox M, Pandolfino JE, Roman S, Gyawali CP; International Working Group for Disorders of Gastrointestinal Motility and Function. Advances in the physiological assessment and diagnosis of GERD. </w:t>
      </w:r>
      <w:r w:rsidRPr="00995972">
        <w:rPr>
          <w:rFonts w:ascii="Book Antiqua" w:hAnsi="Book Antiqua"/>
          <w:i/>
          <w:iCs/>
        </w:rPr>
        <w:t>Nat Rev Gastroenterol Hepatol</w:t>
      </w:r>
      <w:r w:rsidRPr="00995972">
        <w:rPr>
          <w:rFonts w:ascii="Book Antiqua" w:hAnsi="Book Antiqua"/>
        </w:rPr>
        <w:t> 2018; </w:t>
      </w:r>
      <w:r w:rsidRPr="00995972">
        <w:rPr>
          <w:rFonts w:ascii="Book Antiqua" w:hAnsi="Book Antiqua"/>
          <w:b/>
          <w:bCs/>
        </w:rPr>
        <w:t>15</w:t>
      </w:r>
      <w:r w:rsidRPr="00995972">
        <w:rPr>
          <w:rFonts w:ascii="Book Antiqua" w:hAnsi="Book Antiqua"/>
        </w:rPr>
        <w:t>: 323 [PMID: 29622813 DOI: 10.1038/nrgastro.2018.32]</w:t>
      </w:r>
    </w:p>
    <w:p w14:paraId="5CA361C3"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22 </w:t>
      </w:r>
      <w:r w:rsidRPr="00995972">
        <w:rPr>
          <w:rFonts w:ascii="Book Antiqua" w:hAnsi="Book Antiqua"/>
          <w:b/>
          <w:bCs/>
        </w:rPr>
        <w:t>Gyawali CP</w:t>
      </w:r>
      <w:r w:rsidRPr="00995972">
        <w:rPr>
          <w:rFonts w:ascii="Book Antiqua" w:hAnsi="Book Antiqua"/>
        </w:rPr>
        <w:t>, Kahrilas PJ, Savarino E, Zerbib F, Mion F, Smout AJPM, Vaezi M, Sifrim D, Fox MR, Vela MF, Tutuian R, Tack J, Bredenoord AJ, Pandolfino J, Roman S. Modern diagnosis of GERD: the Lyon Consensus. </w:t>
      </w:r>
      <w:r w:rsidRPr="00995972">
        <w:rPr>
          <w:rFonts w:ascii="Book Antiqua" w:hAnsi="Book Antiqua"/>
          <w:i/>
          <w:iCs/>
        </w:rPr>
        <w:t>Gut</w:t>
      </w:r>
      <w:r w:rsidRPr="00995972">
        <w:rPr>
          <w:rFonts w:ascii="Book Antiqua" w:hAnsi="Book Antiqua"/>
        </w:rPr>
        <w:t> 2018; </w:t>
      </w:r>
      <w:r w:rsidRPr="00995972">
        <w:rPr>
          <w:rFonts w:ascii="Book Antiqua" w:hAnsi="Book Antiqua"/>
          <w:b/>
          <w:bCs/>
        </w:rPr>
        <w:t>67</w:t>
      </w:r>
      <w:r w:rsidRPr="00995972">
        <w:rPr>
          <w:rFonts w:ascii="Book Antiqua" w:hAnsi="Book Antiqua"/>
        </w:rPr>
        <w:t>: 1351-1362 [PMID: 29437910 DOI: 10.1136/gutjnl-2017-314722]</w:t>
      </w:r>
    </w:p>
    <w:p w14:paraId="02EA6423"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23 </w:t>
      </w:r>
      <w:r w:rsidRPr="00995972">
        <w:rPr>
          <w:rFonts w:ascii="Book Antiqua" w:hAnsi="Book Antiqua"/>
          <w:b/>
          <w:bCs/>
        </w:rPr>
        <w:t>Vardar R</w:t>
      </w:r>
      <w:r w:rsidRPr="00995972">
        <w:rPr>
          <w:rFonts w:ascii="Book Antiqua" w:hAnsi="Book Antiqua"/>
        </w:rPr>
        <w:t>, Keskin M. Indications of 24-h esophageal pH monitoring, capsule pH monitoring, combined pH monitoring with multichannel impedance, esophageal manometry, radiology and scintigraphy in gastroesophageal reflux disease? </w:t>
      </w:r>
      <w:r w:rsidRPr="00995972">
        <w:rPr>
          <w:rFonts w:ascii="Book Antiqua" w:hAnsi="Book Antiqua"/>
          <w:i/>
          <w:iCs/>
        </w:rPr>
        <w:t>Turk J Gastroenterol</w:t>
      </w:r>
      <w:r w:rsidRPr="00995972">
        <w:rPr>
          <w:rFonts w:ascii="Book Antiqua" w:hAnsi="Book Antiqua"/>
        </w:rPr>
        <w:t> 2017; </w:t>
      </w:r>
      <w:r w:rsidRPr="00995972">
        <w:rPr>
          <w:rFonts w:ascii="Book Antiqua" w:hAnsi="Book Antiqua"/>
          <w:b/>
          <w:bCs/>
        </w:rPr>
        <w:t>28</w:t>
      </w:r>
      <w:r w:rsidRPr="00995972">
        <w:rPr>
          <w:rFonts w:ascii="Book Antiqua" w:hAnsi="Book Antiqua"/>
        </w:rPr>
        <w:t>: S16-S21 [PMID: 29199161 DOI: 10.5152/tjg.2017.06]</w:t>
      </w:r>
    </w:p>
    <w:p w14:paraId="75105493"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24 </w:t>
      </w:r>
      <w:r w:rsidRPr="00995972">
        <w:rPr>
          <w:rFonts w:ascii="Book Antiqua" w:hAnsi="Book Antiqua"/>
          <w:b/>
          <w:bCs/>
        </w:rPr>
        <w:t>Johnson LF</w:t>
      </w:r>
      <w:r w:rsidRPr="00995972">
        <w:rPr>
          <w:rFonts w:ascii="Book Antiqua" w:hAnsi="Book Antiqua"/>
        </w:rPr>
        <w:t>, DeMeester TR. Development of the 24-hour intraesophageal pH monitoring composite scoring system. </w:t>
      </w:r>
      <w:r w:rsidRPr="00995972">
        <w:rPr>
          <w:rFonts w:ascii="Book Antiqua" w:hAnsi="Book Antiqua"/>
          <w:i/>
          <w:iCs/>
        </w:rPr>
        <w:t>J Clin Gastroenterol</w:t>
      </w:r>
      <w:r w:rsidRPr="00995972">
        <w:rPr>
          <w:rFonts w:ascii="Book Antiqua" w:hAnsi="Book Antiqua"/>
        </w:rPr>
        <w:t> 1986; </w:t>
      </w:r>
      <w:r w:rsidRPr="00995972">
        <w:rPr>
          <w:rFonts w:ascii="Book Antiqua" w:hAnsi="Book Antiqua"/>
          <w:b/>
          <w:bCs/>
        </w:rPr>
        <w:t>8 Suppl 1</w:t>
      </w:r>
      <w:r w:rsidRPr="00995972">
        <w:rPr>
          <w:rFonts w:ascii="Book Antiqua" w:hAnsi="Book Antiqua"/>
        </w:rPr>
        <w:t>: 52-58 [PMID: 3734377 DOI: 10.1097/00004836-198606001-00008]</w:t>
      </w:r>
    </w:p>
    <w:p w14:paraId="0E897EA6"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25 </w:t>
      </w:r>
      <w:r w:rsidRPr="00995972">
        <w:rPr>
          <w:rFonts w:ascii="Book Antiqua" w:hAnsi="Book Antiqua"/>
          <w:b/>
          <w:bCs/>
        </w:rPr>
        <w:t>Neto RML</w:t>
      </w:r>
      <w:r w:rsidRPr="00995972">
        <w:rPr>
          <w:rFonts w:ascii="Book Antiqua" w:hAnsi="Book Antiqua"/>
        </w:rPr>
        <w:t>, Herbella FAM, Schlottmann F, Patti MG. Does DeMeester score still define GERD? </w:t>
      </w:r>
      <w:r w:rsidRPr="00995972">
        <w:rPr>
          <w:rFonts w:ascii="Book Antiqua" w:hAnsi="Book Antiqua"/>
          <w:i/>
          <w:iCs/>
        </w:rPr>
        <w:t>Dis Esophagus</w:t>
      </w:r>
      <w:r w:rsidRPr="00995972">
        <w:rPr>
          <w:rFonts w:ascii="Book Antiqua" w:hAnsi="Book Antiqua"/>
        </w:rPr>
        <w:t> 2019; </w:t>
      </w:r>
      <w:r w:rsidRPr="00995972">
        <w:rPr>
          <w:rFonts w:ascii="Book Antiqua" w:hAnsi="Book Antiqua"/>
          <w:b/>
          <w:bCs/>
        </w:rPr>
        <w:t>32</w:t>
      </w:r>
      <w:r w:rsidRPr="00995972">
        <w:rPr>
          <w:rFonts w:ascii="Book Antiqua" w:hAnsi="Book Antiqua"/>
        </w:rPr>
        <w:t> [PMID: 30561585 DOI: 10.1093/dote/doy118]</w:t>
      </w:r>
    </w:p>
    <w:p w14:paraId="4BCC586E"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26 </w:t>
      </w:r>
      <w:r w:rsidRPr="00995972">
        <w:rPr>
          <w:rFonts w:ascii="Book Antiqua" w:hAnsi="Book Antiqua"/>
          <w:b/>
          <w:bCs/>
        </w:rPr>
        <w:t>Schwameis K</w:t>
      </w:r>
      <w:r w:rsidRPr="00995972">
        <w:rPr>
          <w:rFonts w:ascii="Book Antiqua" w:hAnsi="Book Antiqua"/>
        </w:rPr>
        <w:t>, Lin B, Roman J, Olengue K, Siegal S, DeMeester SR. Is pH Testing Necessary Before Antireflux Surgery in Patients with Endoscopic Erosive Esophagitis? </w:t>
      </w:r>
      <w:r w:rsidRPr="00995972">
        <w:rPr>
          <w:rFonts w:ascii="Book Antiqua" w:hAnsi="Book Antiqua"/>
          <w:i/>
          <w:iCs/>
        </w:rPr>
        <w:t>J Gastrointest Surg</w:t>
      </w:r>
      <w:r w:rsidRPr="00995972">
        <w:rPr>
          <w:rFonts w:ascii="Book Antiqua" w:hAnsi="Book Antiqua"/>
        </w:rPr>
        <w:t> 2018; </w:t>
      </w:r>
      <w:r w:rsidRPr="00995972">
        <w:rPr>
          <w:rFonts w:ascii="Book Antiqua" w:hAnsi="Book Antiqua"/>
          <w:b/>
          <w:bCs/>
        </w:rPr>
        <w:t>22</w:t>
      </w:r>
      <w:r w:rsidRPr="00995972">
        <w:rPr>
          <w:rFonts w:ascii="Book Antiqua" w:hAnsi="Book Antiqua"/>
        </w:rPr>
        <w:t>: 8-12 [PMID: 28842858 DOI: 10.1007/s11605-017-3554-3]</w:t>
      </w:r>
    </w:p>
    <w:p w14:paraId="796961A7"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27 </w:t>
      </w:r>
      <w:r w:rsidRPr="00995972">
        <w:rPr>
          <w:rFonts w:ascii="Book Antiqua" w:hAnsi="Book Antiqua"/>
          <w:b/>
          <w:bCs/>
        </w:rPr>
        <w:t>Fass R</w:t>
      </w:r>
      <w:r w:rsidRPr="00995972">
        <w:rPr>
          <w:rFonts w:ascii="Book Antiqua" w:hAnsi="Book Antiqua"/>
        </w:rPr>
        <w:t>, Hell R, Sampliner RE, Pulliam G, Graver E, Hartz V, Johnson C, Jaffe P. Effect of ambulatory 24-hour esophageal pH monitoring on reflux-provoking activities. </w:t>
      </w:r>
      <w:r w:rsidRPr="00995972">
        <w:rPr>
          <w:rFonts w:ascii="Book Antiqua" w:hAnsi="Book Antiqua"/>
          <w:i/>
          <w:iCs/>
        </w:rPr>
        <w:t>Dig Dis Sci</w:t>
      </w:r>
      <w:r w:rsidRPr="00995972">
        <w:rPr>
          <w:rFonts w:ascii="Book Antiqua" w:hAnsi="Book Antiqua"/>
        </w:rPr>
        <w:t> 1999; </w:t>
      </w:r>
      <w:r w:rsidRPr="00995972">
        <w:rPr>
          <w:rFonts w:ascii="Book Antiqua" w:hAnsi="Book Antiqua"/>
          <w:b/>
          <w:bCs/>
        </w:rPr>
        <w:t>44</w:t>
      </w:r>
      <w:r w:rsidRPr="00995972">
        <w:rPr>
          <w:rFonts w:ascii="Book Antiqua" w:hAnsi="Book Antiqua"/>
        </w:rPr>
        <w:t>: 2263-2269 [PMID: 10573372 DOI: 10.1023/a:1026608804938]</w:t>
      </w:r>
    </w:p>
    <w:p w14:paraId="5AD440DF"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28 </w:t>
      </w:r>
      <w:r w:rsidRPr="00995972">
        <w:rPr>
          <w:rFonts w:ascii="Book Antiqua" w:hAnsi="Book Antiqua"/>
          <w:b/>
          <w:bCs/>
        </w:rPr>
        <w:t>Richter JE</w:t>
      </w:r>
      <w:r w:rsidRPr="00995972">
        <w:rPr>
          <w:rFonts w:ascii="Book Antiqua" w:hAnsi="Book Antiqua"/>
        </w:rPr>
        <w:t>, Pandolfino JE, Vela MF, Kahrilas PJ, Lacy BE, Ganz R, Dengler W, Oelschlager BK, Peters J, DeVault KR, Fass R, Gyawali CP, Conklin J, DeMeester T; Esophageal Diagnostic Working Group. Utilization of wireless pH monitoring technologies: a summary of the proceedings from the esophageal diagnostic working group. </w:t>
      </w:r>
      <w:r w:rsidRPr="00995972">
        <w:rPr>
          <w:rFonts w:ascii="Book Antiqua" w:hAnsi="Book Antiqua"/>
          <w:i/>
          <w:iCs/>
        </w:rPr>
        <w:t>Dis Esophagus</w:t>
      </w:r>
      <w:r w:rsidRPr="00995972">
        <w:rPr>
          <w:rFonts w:ascii="Book Antiqua" w:hAnsi="Book Antiqua"/>
        </w:rPr>
        <w:t> 2013; </w:t>
      </w:r>
      <w:r w:rsidRPr="00995972">
        <w:rPr>
          <w:rFonts w:ascii="Book Antiqua" w:hAnsi="Book Antiqua"/>
          <w:b/>
          <w:bCs/>
        </w:rPr>
        <w:t>26</w:t>
      </w:r>
      <w:r w:rsidRPr="00995972">
        <w:rPr>
          <w:rFonts w:ascii="Book Antiqua" w:hAnsi="Book Antiqua"/>
        </w:rPr>
        <w:t>: 755-765 [PMID: 22882487 DOI: 10.1111/j.1442-2050.2012.01384.x]</w:t>
      </w:r>
    </w:p>
    <w:p w14:paraId="1BC998EF"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29 </w:t>
      </w:r>
      <w:r w:rsidRPr="00995972">
        <w:rPr>
          <w:rFonts w:ascii="Book Antiqua" w:hAnsi="Book Antiqua"/>
          <w:b/>
          <w:bCs/>
        </w:rPr>
        <w:t>Chae S</w:t>
      </w:r>
      <w:r w:rsidRPr="00995972">
        <w:rPr>
          <w:rFonts w:ascii="Book Antiqua" w:hAnsi="Book Antiqua"/>
        </w:rPr>
        <w:t>, Richter JE. Wireless 24, 48, and 96 Hour or Impedance or Oropharyngeal Prolonged pH Monitoring: Which Test, When, and Why for GERD? </w:t>
      </w:r>
      <w:r w:rsidRPr="00995972">
        <w:rPr>
          <w:rFonts w:ascii="Book Antiqua" w:hAnsi="Book Antiqua"/>
          <w:i/>
          <w:iCs/>
        </w:rPr>
        <w:t>Curr Gastroenterol Rep</w:t>
      </w:r>
      <w:r w:rsidRPr="00995972">
        <w:rPr>
          <w:rFonts w:ascii="Book Antiqua" w:hAnsi="Book Antiqua"/>
        </w:rPr>
        <w:t> 2018; </w:t>
      </w:r>
      <w:r w:rsidRPr="00995972">
        <w:rPr>
          <w:rFonts w:ascii="Book Antiqua" w:hAnsi="Book Antiqua"/>
          <w:b/>
          <w:bCs/>
        </w:rPr>
        <w:t>20</w:t>
      </w:r>
      <w:r w:rsidRPr="00995972">
        <w:rPr>
          <w:rFonts w:ascii="Book Antiqua" w:hAnsi="Book Antiqua"/>
        </w:rPr>
        <w:t>: 52 [PMID: 30259210 DOI: 10.1007/s11894-018-0659-0]</w:t>
      </w:r>
    </w:p>
    <w:p w14:paraId="1FFCCE36"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30 </w:t>
      </w:r>
      <w:r w:rsidRPr="00995972">
        <w:rPr>
          <w:rFonts w:ascii="Book Antiqua" w:hAnsi="Book Antiqua"/>
          <w:b/>
          <w:bCs/>
        </w:rPr>
        <w:t>Frazzoni M</w:t>
      </w:r>
      <w:r w:rsidRPr="00995972">
        <w:rPr>
          <w:rFonts w:ascii="Book Antiqua" w:hAnsi="Book Antiqua"/>
        </w:rPr>
        <w:t>, de Bortoli N, Frazzoni L, Tolone S, Savarino V, Savarino E. Impedance-pH Monitoring for Diagnosis of Reflux Disease: New Perspectives. </w:t>
      </w:r>
      <w:r w:rsidRPr="00995972">
        <w:rPr>
          <w:rFonts w:ascii="Book Antiqua" w:hAnsi="Book Antiqua"/>
          <w:i/>
          <w:iCs/>
        </w:rPr>
        <w:t>Dig Dis Sci</w:t>
      </w:r>
      <w:r w:rsidRPr="00995972">
        <w:rPr>
          <w:rFonts w:ascii="Book Antiqua" w:hAnsi="Book Antiqua"/>
        </w:rPr>
        <w:t> 2017; </w:t>
      </w:r>
      <w:r w:rsidRPr="00995972">
        <w:rPr>
          <w:rFonts w:ascii="Book Antiqua" w:hAnsi="Book Antiqua"/>
          <w:b/>
          <w:bCs/>
        </w:rPr>
        <w:t>62</w:t>
      </w:r>
      <w:r w:rsidRPr="00995972">
        <w:rPr>
          <w:rFonts w:ascii="Book Antiqua" w:hAnsi="Book Antiqua"/>
        </w:rPr>
        <w:t>: 1881-1889 [PMID: 28550489 DOI: 10.1007/s10620-017-4625-8]</w:t>
      </w:r>
    </w:p>
    <w:p w14:paraId="407FA8BC"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31 </w:t>
      </w:r>
      <w:r w:rsidRPr="00995972">
        <w:rPr>
          <w:rFonts w:ascii="Book Antiqua" w:hAnsi="Book Antiqua"/>
          <w:b/>
          <w:bCs/>
        </w:rPr>
        <w:t>Zerbib F</w:t>
      </w:r>
      <w:r w:rsidRPr="00995972">
        <w:rPr>
          <w:rFonts w:ascii="Book Antiqua" w:hAnsi="Book Antiqua"/>
        </w:rPr>
        <w:t>, Roman S, Ropert A, des Varannes SB, Pouderoux P, Chaput U, Mion F, Vérin E, Galmiche JP, Sifrim D. Esophageal pH-impedance monitoring and symptom analysis in GERD: a study in patients off and on therapy. </w:t>
      </w:r>
      <w:r w:rsidRPr="00995972">
        <w:rPr>
          <w:rFonts w:ascii="Book Antiqua" w:hAnsi="Book Antiqua"/>
          <w:i/>
          <w:iCs/>
        </w:rPr>
        <w:t>Am J Gastroenterol</w:t>
      </w:r>
      <w:r w:rsidRPr="00995972">
        <w:rPr>
          <w:rFonts w:ascii="Book Antiqua" w:hAnsi="Book Antiqua"/>
        </w:rPr>
        <w:t> 2006; </w:t>
      </w:r>
      <w:r w:rsidRPr="00995972">
        <w:rPr>
          <w:rFonts w:ascii="Book Antiqua" w:hAnsi="Book Antiqua"/>
          <w:b/>
          <w:bCs/>
        </w:rPr>
        <w:t>101</w:t>
      </w:r>
      <w:r w:rsidRPr="00995972">
        <w:rPr>
          <w:rFonts w:ascii="Book Antiqua" w:hAnsi="Book Antiqua"/>
        </w:rPr>
        <w:t>: 1956-1963 [PMID: 16848801 DOI: 10.1111/j.1572-0241.2006.00711.x]</w:t>
      </w:r>
    </w:p>
    <w:p w14:paraId="7C791A32"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32 </w:t>
      </w:r>
      <w:r w:rsidRPr="00995972">
        <w:rPr>
          <w:rFonts w:ascii="Book Antiqua" w:hAnsi="Book Antiqua"/>
          <w:b/>
          <w:bCs/>
        </w:rPr>
        <w:t>Sifrim D</w:t>
      </w:r>
      <w:r w:rsidRPr="00995972">
        <w:rPr>
          <w:rFonts w:ascii="Book Antiqua" w:hAnsi="Book Antiqua"/>
        </w:rPr>
        <w:t>, Zerbib F. Diagnosis and management of patients with reflux symptoms refractory to proton pump inhibitors. </w:t>
      </w:r>
      <w:r w:rsidRPr="00995972">
        <w:rPr>
          <w:rFonts w:ascii="Book Antiqua" w:hAnsi="Book Antiqua"/>
          <w:i/>
          <w:iCs/>
        </w:rPr>
        <w:t>Gut</w:t>
      </w:r>
      <w:r w:rsidRPr="00995972">
        <w:rPr>
          <w:rFonts w:ascii="Book Antiqua" w:hAnsi="Book Antiqua"/>
        </w:rPr>
        <w:t> 2012; </w:t>
      </w:r>
      <w:r w:rsidRPr="00995972">
        <w:rPr>
          <w:rFonts w:ascii="Book Antiqua" w:hAnsi="Book Antiqua"/>
          <w:b/>
          <w:bCs/>
        </w:rPr>
        <w:t>61</w:t>
      </w:r>
      <w:r w:rsidRPr="00995972">
        <w:rPr>
          <w:rFonts w:ascii="Book Antiqua" w:hAnsi="Book Antiqua"/>
        </w:rPr>
        <w:t>: 1340-1354 [PMID: 22684483 DOI: 10.1136/gutjnl-2011-301897]</w:t>
      </w:r>
    </w:p>
    <w:p w14:paraId="4CEEF191"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33 </w:t>
      </w:r>
      <w:r w:rsidRPr="00995972">
        <w:rPr>
          <w:rFonts w:ascii="Book Antiqua" w:hAnsi="Book Antiqua"/>
          <w:b/>
          <w:bCs/>
        </w:rPr>
        <w:t>Scarpellini E</w:t>
      </w:r>
      <w:r w:rsidRPr="00995972">
        <w:rPr>
          <w:rFonts w:ascii="Book Antiqua" w:hAnsi="Book Antiqua"/>
        </w:rPr>
        <w:t>, Ang D, Pauwels A, De Santis A, Vanuytsel T, Tack J. Management of refractory typical GERD symptoms. </w:t>
      </w:r>
      <w:r w:rsidRPr="00995972">
        <w:rPr>
          <w:rFonts w:ascii="Book Antiqua" w:hAnsi="Book Antiqua"/>
          <w:i/>
          <w:iCs/>
        </w:rPr>
        <w:t>Nat Rev Gastroenterol Hepatol</w:t>
      </w:r>
      <w:r w:rsidRPr="00995972">
        <w:rPr>
          <w:rFonts w:ascii="Book Antiqua" w:hAnsi="Book Antiqua"/>
        </w:rPr>
        <w:t> 2016; </w:t>
      </w:r>
      <w:r w:rsidRPr="00995972">
        <w:rPr>
          <w:rFonts w:ascii="Book Antiqua" w:hAnsi="Book Antiqua"/>
          <w:b/>
          <w:bCs/>
        </w:rPr>
        <w:t>13</w:t>
      </w:r>
      <w:r w:rsidRPr="00995972">
        <w:rPr>
          <w:rFonts w:ascii="Book Antiqua" w:hAnsi="Book Antiqua"/>
        </w:rPr>
        <w:t>: 281-294 [PMID: 27075264 DOI: 10.1038/nrgastro.2016.50]</w:t>
      </w:r>
    </w:p>
    <w:p w14:paraId="05B615D4"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34 </w:t>
      </w:r>
      <w:r w:rsidRPr="00995972">
        <w:rPr>
          <w:rFonts w:ascii="Book Antiqua" w:hAnsi="Book Antiqua"/>
          <w:b/>
          <w:bCs/>
        </w:rPr>
        <w:t>Koop AH</w:t>
      </w:r>
      <w:r w:rsidRPr="00995972">
        <w:rPr>
          <w:rFonts w:ascii="Book Antiqua" w:hAnsi="Book Antiqua"/>
        </w:rPr>
        <w:t>, Francis DL, DeVault KR. Visual and Automated Computer Analysis Differ Substantially in Detection of Acidic Reflux in Multichannel Intraluminal Impedance-pH Monitoring. </w:t>
      </w:r>
      <w:r w:rsidRPr="00995972">
        <w:rPr>
          <w:rFonts w:ascii="Book Antiqua" w:hAnsi="Book Antiqua"/>
          <w:i/>
          <w:iCs/>
        </w:rPr>
        <w:t>Clin Gastroenterol Hepatol</w:t>
      </w:r>
      <w:r w:rsidRPr="00995972">
        <w:rPr>
          <w:rFonts w:ascii="Book Antiqua" w:hAnsi="Book Antiqua"/>
        </w:rPr>
        <w:t> 2018; </w:t>
      </w:r>
      <w:r w:rsidRPr="00995972">
        <w:rPr>
          <w:rFonts w:ascii="Book Antiqua" w:hAnsi="Book Antiqua"/>
          <w:b/>
          <w:bCs/>
        </w:rPr>
        <w:t>16</w:t>
      </w:r>
      <w:r w:rsidRPr="00995972">
        <w:rPr>
          <w:rFonts w:ascii="Book Antiqua" w:hAnsi="Book Antiqua"/>
        </w:rPr>
        <w:t>: 979-980 [PMID: 29108959 DOI: 10.1016/j.cgh.2017.10.039]</w:t>
      </w:r>
    </w:p>
    <w:p w14:paraId="35702ACD"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35 </w:t>
      </w:r>
      <w:r w:rsidRPr="00995972">
        <w:rPr>
          <w:rFonts w:ascii="Book Antiqua" w:hAnsi="Book Antiqua"/>
          <w:b/>
          <w:bCs/>
        </w:rPr>
        <w:t>Tucker E</w:t>
      </w:r>
      <w:r w:rsidRPr="00995972">
        <w:rPr>
          <w:rFonts w:ascii="Book Antiqua" w:hAnsi="Book Antiqua"/>
        </w:rPr>
        <w:t>, Knowles K, Wright J, Fox MR. Rumination variations: aetiology and classification of abnormal behavioural responses to digestive symptoms based on high-resolution manometry studies. </w:t>
      </w:r>
      <w:r w:rsidRPr="00995972">
        <w:rPr>
          <w:rFonts w:ascii="Book Antiqua" w:hAnsi="Book Antiqua"/>
          <w:i/>
          <w:iCs/>
        </w:rPr>
        <w:t>Aliment Pharmacol Ther</w:t>
      </w:r>
      <w:r w:rsidRPr="00995972">
        <w:rPr>
          <w:rFonts w:ascii="Book Antiqua" w:hAnsi="Book Antiqua"/>
        </w:rPr>
        <w:t> 2013; </w:t>
      </w:r>
      <w:r w:rsidRPr="00995972">
        <w:rPr>
          <w:rFonts w:ascii="Book Antiqua" w:hAnsi="Book Antiqua"/>
          <w:b/>
          <w:bCs/>
        </w:rPr>
        <w:t>37</w:t>
      </w:r>
      <w:r w:rsidRPr="00995972">
        <w:rPr>
          <w:rFonts w:ascii="Book Antiqua" w:hAnsi="Book Antiqua"/>
        </w:rPr>
        <w:t>: 263-274 [PMID: 23173868 DOI: 10.1111/apt.12148]</w:t>
      </w:r>
    </w:p>
    <w:p w14:paraId="2B26CA93"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36 </w:t>
      </w:r>
      <w:r w:rsidRPr="00995972">
        <w:rPr>
          <w:rFonts w:ascii="Book Antiqua" w:hAnsi="Book Antiqua"/>
          <w:b/>
          <w:bCs/>
        </w:rPr>
        <w:t>Kamal AN</w:t>
      </w:r>
      <w:r w:rsidRPr="00995972">
        <w:rPr>
          <w:rFonts w:ascii="Book Antiqua" w:hAnsi="Book Antiqua"/>
        </w:rPr>
        <w:t>, Clarke JO, Oors JM, Smout AJ, Bredenoord AJ. The Role of Symptom Association Analysis in Gastroesophageal Reflux Testing. </w:t>
      </w:r>
      <w:r w:rsidRPr="00995972">
        <w:rPr>
          <w:rFonts w:ascii="Book Antiqua" w:hAnsi="Book Antiqua"/>
          <w:i/>
          <w:iCs/>
        </w:rPr>
        <w:t>Am J Gastroenterol</w:t>
      </w:r>
      <w:r w:rsidRPr="00995972">
        <w:rPr>
          <w:rFonts w:ascii="Book Antiqua" w:hAnsi="Book Antiqua"/>
        </w:rPr>
        <w:t> 2020; </w:t>
      </w:r>
      <w:r w:rsidRPr="00995972">
        <w:rPr>
          <w:rFonts w:ascii="Book Antiqua" w:hAnsi="Book Antiqua"/>
          <w:b/>
          <w:bCs/>
        </w:rPr>
        <w:t>115</w:t>
      </w:r>
      <w:r w:rsidRPr="00995972">
        <w:rPr>
          <w:rFonts w:ascii="Book Antiqua" w:hAnsi="Book Antiqua"/>
        </w:rPr>
        <w:t>: 1950-1959 [PMID: 32740077 DOI: 10.14309/ajg.0000000000000754]</w:t>
      </w:r>
    </w:p>
    <w:p w14:paraId="0A36238D"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37 </w:t>
      </w:r>
      <w:r w:rsidRPr="00995972">
        <w:rPr>
          <w:rFonts w:ascii="Book Antiqua" w:hAnsi="Book Antiqua"/>
          <w:b/>
          <w:bCs/>
        </w:rPr>
        <w:t>Weusten BL</w:t>
      </w:r>
      <w:r w:rsidRPr="00995972">
        <w:rPr>
          <w:rFonts w:ascii="Book Antiqua" w:hAnsi="Book Antiqua"/>
        </w:rPr>
        <w:t>, Roelofs JM, Akkermans LM, Van Berge-Henegouwen GP, Smout AJ. The symptom-association probability: an improved method for symptom analysis of 24-hour esophageal pH data. </w:t>
      </w:r>
      <w:r w:rsidRPr="00995972">
        <w:rPr>
          <w:rFonts w:ascii="Book Antiqua" w:hAnsi="Book Antiqua"/>
          <w:i/>
          <w:iCs/>
        </w:rPr>
        <w:t>Gastroenterology</w:t>
      </w:r>
      <w:r w:rsidRPr="00995972">
        <w:rPr>
          <w:rFonts w:ascii="Book Antiqua" w:hAnsi="Book Antiqua"/>
        </w:rPr>
        <w:t> 1994; </w:t>
      </w:r>
      <w:r w:rsidRPr="00995972">
        <w:rPr>
          <w:rFonts w:ascii="Book Antiqua" w:hAnsi="Book Antiqua"/>
          <w:b/>
          <w:bCs/>
        </w:rPr>
        <w:t>107</w:t>
      </w:r>
      <w:r w:rsidRPr="00995972">
        <w:rPr>
          <w:rFonts w:ascii="Book Antiqua" w:hAnsi="Book Antiqua"/>
        </w:rPr>
        <w:t>: 1741-1745 [PMID: 7958686 DOI: 10.1016/0016-5085(94)90815-x]</w:t>
      </w:r>
    </w:p>
    <w:p w14:paraId="59FE89E6"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38 </w:t>
      </w:r>
      <w:r w:rsidRPr="00995972">
        <w:rPr>
          <w:rFonts w:ascii="Book Antiqua" w:hAnsi="Book Antiqua"/>
          <w:b/>
          <w:bCs/>
        </w:rPr>
        <w:t>Pandolfino JE</w:t>
      </w:r>
      <w:r w:rsidRPr="00995972">
        <w:rPr>
          <w:rFonts w:ascii="Book Antiqua" w:hAnsi="Book Antiqua"/>
        </w:rPr>
        <w:t>, Roman S. High-resolution manometry: an atlas of esophageal motility disorders and findings of GERD using esophageal pressure topography. </w:t>
      </w:r>
      <w:r w:rsidRPr="00995972">
        <w:rPr>
          <w:rFonts w:ascii="Book Antiqua" w:hAnsi="Book Antiqua"/>
          <w:i/>
          <w:iCs/>
        </w:rPr>
        <w:t>Thorac Surg Clin</w:t>
      </w:r>
      <w:r w:rsidRPr="00995972">
        <w:rPr>
          <w:rFonts w:ascii="Book Antiqua" w:hAnsi="Book Antiqua"/>
        </w:rPr>
        <w:t> 2011; </w:t>
      </w:r>
      <w:r w:rsidRPr="00995972">
        <w:rPr>
          <w:rFonts w:ascii="Book Antiqua" w:hAnsi="Book Antiqua"/>
          <w:b/>
          <w:bCs/>
        </w:rPr>
        <w:t>21</w:t>
      </w:r>
      <w:r w:rsidRPr="00995972">
        <w:rPr>
          <w:rFonts w:ascii="Book Antiqua" w:hAnsi="Book Antiqua"/>
        </w:rPr>
        <w:t>: 465-475 [PMID: 22040629 DOI: 10.1016/j.thorsurg.2011.08.007]</w:t>
      </w:r>
    </w:p>
    <w:p w14:paraId="14FD26CE"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39 </w:t>
      </w:r>
      <w:r w:rsidRPr="00995972">
        <w:rPr>
          <w:rFonts w:ascii="Book Antiqua" w:hAnsi="Book Antiqua"/>
          <w:b/>
          <w:bCs/>
        </w:rPr>
        <w:t>Pandolfino JE</w:t>
      </w:r>
      <w:r w:rsidRPr="00995972">
        <w:rPr>
          <w:rFonts w:ascii="Book Antiqua" w:hAnsi="Book Antiqua"/>
        </w:rPr>
        <w:t>, Kim H, Ghosh SK, Clarke JO, Zhang Q, Kahrilas PJ. High-resolution manometry of the EGJ: an analysis of crural diaphragm function in GERD. </w:t>
      </w:r>
      <w:r w:rsidRPr="00995972">
        <w:rPr>
          <w:rFonts w:ascii="Book Antiqua" w:hAnsi="Book Antiqua"/>
          <w:i/>
          <w:iCs/>
        </w:rPr>
        <w:t>Am J Gastroenterol</w:t>
      </w:r>
      <w:r w:rsidRPr="00995972">
        <w:rPr>
          <w:rFonts w:ascii="Book Antiqua" w:hAnsi="Book Antiqua"/>
        </w:rPr>
        <w:t> 2007; </w:t>
      </w:r>
      <w:r w:rsidRPr="00995972">
        <w:rPr>
          <w:rFonts w:ascii="Book Antiqua" w:hAnsi="Book Antiqua"/>
          <w:b/>
          <w:bCs/>
        </w:rPr>
        <w:t>102</w:t>
      </w:r>
      <w:r w:rsidRPr="00995972">
        <w:rPr>
          <w:rFonts w:ascii="Book Antiqua" w:hAnsi="Book Antiqua"/>
        </w:rPr>
        <w:t>: 1056-1063 [PMID: 17319930 DOI: 10.1111/j.1572-0241.2007.01138.x]</w:t>
      </w:r>
    </w:p>
    <w:p w14:paraId="4EC6760A"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40 </w:t>
      </w:r>
      <w:r w:rsidRPr="00995972">
        <w:rPr>
          <w:rFonts w:ascii="Book Antiqua" w:hAnsi="Book Antiqua"/>
          <w:b/>
          <w:bCs/>
        </w:rPr>
        <w:t>Tolone S</w:t>
      </w:r>
      <w:r w:rsidRPr="00995972">
        <w:rPr>
          <w:rFonts w:ascii="Book Antiqua" w:hAnsi="Book Antiqua"/>
        </w:rPr>
        <w:t>, Savarino E, Zaninotto G, Gyawali CP, Frazzoni M, de Bortoli N, Frazzoni L, Del Genio G, Bodini G, Furnari M, Savarino V, Docimo L. High-resolution manometry is superior to endoscopy and radiology in assessing and grading sliding hiatal hernia: A comparison with surgical in vivo evaluation. </w:t>
      </w:r>
      <w:r w:rsidRPr="00995972">
        <w:rPr>
          <w:rFonts w:ascii="Book Antiqua" w:hAnsi="Book Antiqua"/>
          <w:i/>
          <w:iCs/>
        </w:rPr>
        <w:t>United European Gastroenterol J</w:t>
      </w:r>
      <w:r w:rsidRPr="00995972">
        <w:rPr>
          <w:rFonts w:ascii="Book Antiqua" w:hAnsi="Book Antiqua"/>
        </w:rPr>
        <w:t> 2018; </w:t>
      </w:r>
      <w:r w:rsidRPr="00995972">
        <w:rPr>
          <w:rFonts w:ascii="Book Antiqua" w:hAnsi="Book Antiqua"/>
          <w:b/>
          <w:bCs/>
        </w:rPr>
        <w:t>6</w:t>
      </w:r>
      <w:r w:rsidRPr="00995972">
        <w:rPr>
          <w:rFonts w:ascii="Book Antiqua" w:hAnsi="Book Antiqua"/>
        </w:rPr>
        <w:t>: 981-989 [PMID: 30228885 DOI: 10.1177/2050640618769160]</w:t>
      </w:r>
    </w:p>
    <w:p w14:paraId="2EAB493B"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41 </w:t>
      </w:r>
      <w:r w:rsidRPr="00995972">
        <w:rPr>
          <w:rFonts w:ascii="Book Antiqua" w:hAnsi="Book Antiqua"/>
          <w:b/>
          <w:bCs/>
        </w:rPr>
        <w:t>Mittal R</w:t>
      </w:r>
      <w:r w:rsidRPr="00995972">
        <w:rPr>
          <w:rFonts w:ascii="Book Antiqua" w:hAnsi="Book Antiqua"/>
        </w:rPr>
        <w:t>, Vaezi MF. Esophageal Motility Disorders and Gastroesophageal Reflux Disease. </w:t>
      </w:r>
      <w:r w:rsidRPr="00995972">
        <w:rPr>
          <w:rFonts w:ascii="Book Antiqua" w:hAnsi="Book Antiqua"/>
          <w:i/>
          <w:iCs/>
        </w:rPr>
        <w:t>N Engl J Med</w:t>
      </w:r>
      <w:r w:rsidRPr="00995972">
        <w:rPr>
          <w:rFonts w:ascii="Book Antiqua" w:hAnsi="Book Antiqua"/>
        </w:rPr>
        <w:t> 2020; </w:t>
      </w:r>
      <w:r w:rsidRPr="00995972">
        <w:rPr>
          <w:rFonts w:ascii="Book Antiqua" w:hAnsi="Book Antiqua"/>
          <w:b/>
          <w:bCs/>
        </w:rPr>
        <w:t>383</w:t>
      </w:r>
      <w:r w:rsidRPr="00995972">
        <w:rPr>
          <w:rFonts w:ascii="Book Antiqua" w:hAnsi="Book Antiqua"/>
        </w:rPr>
        <w:t>: 1961-1972 [PMID: 33176086 DOI: 10.1056/NEJMra2000328]</w:t>
      </w:r>
    </w:p>
    <w:p w14:paraId="7C252FFA"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42 </w:t>
      </w:r>
      <w:r w:rsidRPr="00995972">
        <w:rPr>
          <w:rFonts w:ascii="Book Antiqua" w:hAnsi="Book Antiqua"/>
          <w:b/>
          <w:bCs/>
        </w:rPr>
        <w:t>Pauwels A</w:t>
      </w:r>
      <w:r w:rsidRPr="00995972">
        <w:rPr>
          <w:rFonts w:ascii="Book Antiqua" w:hAnsi="Book Antiqua"/>
        </w:rPr>
        <w:t>, Boecxstaens V, Andrews CN, Attwood SE, Berrisford R, Bisschops R, Boeckxstaens GE, Bor S, Bredenoord AJ, Cicala M, Corsetti M, Fornari F, Gyawali CP, Hatlebakk J, Johnson SB, Lerut T, Lundell L, Mattioli S, Miwa H, Nafteux P, Omari T, Pandolfino J, Penagini R, Rice TW, Roelandt P, Rommel N, Savarino V, Sifrim D, Suzuki H, Tutuian R, Vanuytsel T, Vela MF, Watson DI, Zerbib F, Tack J. How to select patients for antireflux surgery? The ICARUS guidelines (international consensus regarding preoperative examinations and clinical characteristics assessment to select adult patients for antireflux surgery). </w:t>
      </w:r>
      <w:r w:rsidRPr="00995972">
        <w:rPr>
          <w:rFonts w:ascii="Book Antiqua" w:hAnsi="Book Antiqua"/>
          <w:i/>
          <w:iCs/>
        </w:rPr>
        <w:t>Gut</w:t>
      </w:r>
      <w:r w:rsidRPr="00995972">
        <w:rPr>
          <w:rFonts w:ascii="Book Antiqua" w:hAnsi="Book Antiqua"/>
        </w:rPr>
        <w:t> 2019; </w:t>
      </w:r>
      <w:r w:rsidRPr="00995972">
        <w:rPr>
          <w:rFonts w:ascii="Book Antiqua" w:hAnsi="Book Antiqua"/>
          <w:b/>
          <w:bCs/>
        </w:rPr>
        <w:t>68</w:t>
      </w:r>
      <w:r w:rsidRPr="00995972">
        <w:rPr>
          <w:rFonts w:ascii="Book Antiqua" w:hAnsi="Book Antiqua"/>
        </w:rPr>
        <w:t>: 1928-1941 [PMID: 31375601 DOI: 10.1136/gutjnl-2019-318260]</w:t>
      </w:r>
    </w:p>
    <w:p w14:paraId="39AE77F7"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43 </w:t>
      </w:r>
      <w:r w:rsidRPr="00995972">
        <w:rPr>
          <w:rFonts w:ascii="Book Antiqua" w:hAnsi="Book Antiqua"/>
          <w:b/>
          <w:bCs/>
        </w:rPr>
        <w:t>Ghosh SK</w:t>
      </w:r>
      <w:r w:rsidRPr="00995972">
        <w:rPr>
          <w:rFonts w:ascii="Book Antiqua" w:hAnsi="Book Antiqua"/>
        </w:rPr>
        <w:t>, Pandolfino JE, Rice J, Clarke JO, Kwiatek M, Kahrilas PJ. Impaired deglutitive EGJ relaxation in clinical esophageal manometry: a quantitative analysis of 400 patients and 75 controls. </w:t>
      </w:r>
      <w:r w:rsidRPr="00995972">
        <w:rPr>
          <w:rFonts w:ascii="Book Antiqua" w:hAnsi="Book Antiqua"/>
          <w:i/>
          <w:iCs/>
        </w:rPr>
        <w:t>Am J Physiol Gastrointest Liver Physiol</w:t>
      </w:r>
      <w:r w:rsidRPr="00995972">
        <w:rPr>
          <w:rFonts w:ascii="Book Antiqua" w:hAnsi="Book Antiqua"/>
        </w:rPr>
        <w:t> 2007; </w:t>
      </w:r>
      <w:r w:rsidRPr="00995972">
        <w:rPr>
          <w:rFonts w:ascii="Book Antiqua" w:hAnsi="Book Antiqua"/>
          <w:b/>
          <w:bCs/>
        </w:rPr>
        <w:t>293</w:t>
      </w:r>
      <w:r w:rsidRPr="00995972">
        <w:rPr>
          <w:rFonts w:ascii="Book Antiqua" w:hAnsi="Book Antiqua"/>
        </w:rPr>
        <w:t>: G878-G885 [PMID: 17690172 DOI: 10.1152/ajpgi.00252.2007]</w:t>
      </w:r>
    </w:p>
    <w:p w14:paraId="753D192A"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44 </w:t>
      </w:r>
      <w:r w:rsidRPr="00995972">
        <w:rPr>
          <w:rFonts w:ascii="Book Antiqua" w:hAnsi="Book Antiqua"/>
          <w:b/>
          <w:bCs/>
        </w:rPr>
        <w:t>Kahrilas PJ</w:t>
      </w:r>
      <w:r w:rsidRPr="00995972">
        <w:rPr>
          <w:rFonts w:ascii="Book Antiqua" w:hAnsi="Book Antiqua"/>
        </w:rPr>
        <w:t>, Bredenoord AJ, Fox M, Gyawali CP, Roman S, Smout AJ, Pandolfino JE; International High Resolution Manometry Working Group. The Chicago Classification of esophageal motility disorders, v3.0. </w:t>
      </w:r>
      <w:r w:rsidRPr="00995972">
        <w:rPr>
          <w:rFonts w:ascii="Book Antiqua" w:hAnsi="Book Antiqua"/>
          <w:i/>
          <w:iCs/>
        </w:rPr>
        <w:t>Neurogastroenterol Motil</w:t>
      </w:r>
      <w:r w:rsidRPr="00995972">
        <w:rPr>
          <w:rFonts w:ascii="Book Antiqua" w:hAnsi="Book Antiqua"/>
        </w:rPr>
        <w:t> 2015; </w:t>
      </w:r>
      <w:r w:rsidRPr="00995972">
        <w:rPr>
          <w:rFonts w:ascii="Book Antiqua" w:hAnsi="Book Antiqua"/>
          <w:b/>
          <w:bCs/>
        </w:rPr>
        <w:t>27</w:t>
      </w:r>
      <w:r w:rsidRPr="00995972">
        <w:rPr>
          <w:rFonts w:ascii="Book Antiqua" w:hAnsi="Book Antiqua"/>
        </w:rPr>
        <w:t>: 160-174 [PMID: 25469569 DOI: 10.1111/nmo.12477]</w:t>
      </w:r>
    </w:p>
    <w:p w14:paraId="43FB69AD"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45 </w:t>
      </w:r>
      <w:r w:rsidRPr="00995972">
        <w:rPr>
          <w:rFonts w:ascii="Book Antiqua" w:hAnsi="Book Antiqua"/>
          <w:b/>
          <w:bCs/>
        </w:rPr>
        <w:t>Stefanidis D</w:t>
      </w:r>
      <w:r w:rsidRPr="00995972">
        <w:rPr>
          <w:rFonts w:ascii="Book Antiqua" w:hAnsi="Book Antiqua"/>
        </w:rPr>
        <w:t>, Richardson W, Farrell TM, Kohn GP, Augenstein V, Fanelli RD; Society of American Gastrointestinal and Endoscopic Surgeons. SAGES guidelines for the surgical treatment of esophageal achalasia. </w:t>
      </w:r>
      <w:r w:rsidRPr="00995972">
        <w:rPr>
          <w:rFonts w:ascii="Book Antiqua" w:hAnsi="Book Antiqua"/>
          <w:i/>
          <w:iCs/>
        </w:rPr>
        <w:t>Surg Endosc</w:t>
      </w:r>
      <w:r w:rsidRPr="00995972">
        <w:rPr>
          <w:rFonts w:ascii="Book Antiqua" w:hAnsi="Book Antiqua"/>
        </w:rPr>
        <w:t> 2012; </w:t>
      </w:r>
      <w:r w:rsidRPr="00995972">
        <w:rPr>
          <w:rFonts w:ascii="Book Antiqua" w:hAnsi="Book Antiqua"/>
          <w:b/>
          <w:bCs/>
        </w:rPr>
        <w:t>26</w:t>
      </w:r>
      <w:r w:rsidRPr="00995972">
        <w:rPr>
          <w:rFonts w:ascii="Book Antiqua" w:hAnsi="Book Antiqua"/>
        </w:rPr>
        <w:t>: 296-311 [PMID: 22044977 DOI: 10.1007/s00464-011-2017-2]</w:t>
      </w:r>
    </w:p>
    <w:p w14:paraId="1F11F0C9"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46 </w:t>
      </w:r>
      <w:r w:rsidRPr="00995972">
        <w:rPr>
          <w:rFonts w:ascii="Book Antiqua" w:hAnsi="Book Antiqua"/>
          <w:b/>
          <w:bCs/>
        </w:rPr>
        <w:t>Vaezi MF</w:t>
      </w:r>
      <w:r w:rsidRPr="00995972">
        <w:rPr>
          <w:rFonts w:ascii="Book Antiqua" w:hAnsi="Book Antiqua"/>
        </w:rPr>
        <w:t>, Pandolfino JE, Yadlapati RH, Greer KB, Kavitt RT. ACG Clinical Guidelines: Diagnosis and Management of Achalasia. </w:t>
      </w:r>
      <w:r w:rsidRPr="00995972">
        <w:rPr>
          <w:rFonts w:ascii="Book Antiqua" w:hAnsi="Book Antiqua"/>
          <w:i/>
          <w:iCs/>
        </w:rPr>
        <w:t>Am J Gastroenterol</w:t>
      </w:r>
      <w:r w:rsidRPr="00995972">
        <w:rPr>
          <w:rFonts w:ascii="Book Antiqua" w:hAnsi="Book Antiqua"/>
        </w:rPr>
        <w:t> 2020; </w:t>
      </w:r>
      <w:r w:rsidRPr="00995972">
        <w:rPr>
          <w:rFonts w:ascii="Book Antiqua" w:hAnsi="Book Antiqua"/>
          <w:b/>
          <w:bCs/>
        </w:rPr>
        <w:t>115</w:t>
      </w:r>
      <w:r w:rsidRPr="00995972">
        <w:rPr>
          <w:rFonts w:ascii="Book Antiqua" w:hAnsi="Book Antiqua"/>
        </w:rPr>
        <w:t>: 1393-1411 [PMID: 32773454 DOI: 10.14309/ajg.0000000000000731]</w:t>
      </w:r>
    </w:p>
    <w:p w14:paraId="0E4F07D2"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47 </w:t>
      </w:r>
      <w:r w:rsidRPr="00995972">
        <w:rPr>
          <w:rFonts w:ascii="Book Antiqua" w:hAnsi="Book Antiqua"/>
          <w:b/>
          <w:bCs/>
        </w:rPr>
        <w:t>Richards WO</w:t>
      </w:r>
      <w:r w:rsidRPr="00995972">
        <w:rPr>
          <w:rFonts w:ascii="Book Antiqua" w:hAnsi="Book Antiqua"/>
        </w:rPr>
        <w:t>, Torquati A, Holzman MD, Khaitan L, Byrne D, Lutfi R, Sharp KW. Heller myotomy versus Heller myotomy with Dor fundoplication for achalasia: a prospective randomized double-blind clinical trial. </w:t>
      </w:r>
      <w:r w:rsidRPr="00995972">
        <w:rPr>
          <w:rFonts w:ascii="Book Antiqua" w:hAnsi="Book Antiqua"/>
          <w:i/>
          <w:iCs/>
        </w:rPr>
        <w:t>Ann Surg</w:t>
      </w:r>
      <w:r w:rsidRPr="00995972">
        <w:rPr>
          <w:rFonts w:ascii="Book Antiqua" w:hAnsi="Book Antiqua"/>
        </w:rPr>
        <w:t> 2004; </w:t>
      </w:r>
      <w:r w:rsidRPr="00995972">
        <w:rPr>
          <w:rFonts w:ascii="Book Antiqua" w:hAnsi="Book Antiqua"/>
          <w:b/>
          <w:bCs/>
        </w:rPr>
        <w:t>240</w:t>
      </w:r>
      <w:r w:rsidRPr="00995972">
        <w:rPr>
          <w:rFonts w:ascii="Book Antiqua" w:hAnsi="Book Antiqua"/>
        </w:rPr>
        <w:t>: 405-12; discussion 412-5 [PMID: 15319712 DOI: 10.1097/01.sla.0000136940.32255.51]</w:t>
      </w:r>
    </w:p>
    <w:p w14:paraId="08EBAAA1"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48 </w:t>
      </w:r>
      <w:r w:rsidRPr="00995972">
        <w:rPr>
          <w:rFonts w:ascii="Book Antiqua" w:hAnsi="Book Antiqua"/>
          <w:b/>
          <w:bCs/>
        </w:rPr>
        <w:t>Kummerow Broman K</w:t>
      </w:r>
      <w:r w:rsidRPr="00995972">
        <w:rPr>
          <w:rFonts w:ascii="Book Antiqua" w:hAnsi="Book Antiqua"/>
        </w:rPr>
        <w:t>, Phillips SE, Faqih A, Kaiser J, Pierce RA, Poulose BK, Richards WO, Sharp KW, Holzman MD. Heller myotomy versus Heller myotomy with Dor fundoplication for achalasia: long-term symptomatic follow-up of a prospective randomized controlled trial. </w:t>
      </w:r>
      <w:r w:rsidRPr="00995972">
        <w:rPr>
          <w:rFonts w:ascii="Book Antiqua" w:hAnsi="Book Antiqua"/>
          <w:i/>
          <w:iCs/>
        </w:rPr>
        <w:t>Surg Endosc</w:t>
      </w:r>
      <w:r w:rsidRPr="00995972">
        <w:rPr>
          <w:rFonts w:ascii="Book Antiqua" w:hAnsi="Book Antiqua"/>
        </w:rPr>
        <w:t> 2018; </w:t>
      </w:r>
      <w:r w:rsidRPr="00995972">
        <w:rPr>
          <w:rFonts w:ascii="Book Antiqua" w:hAnsi="Book Antiqua"/>
          <w:b/>
          <w:bCs/>
        </w:rPr>
        <w:t>32</w:t>
      </w:r>
      <w:r w:rsidRPr="00995972">
        <w:rPr>
          <w:rFonts w:ascii="Book Antiqua" w:hAnsi="Book Antiqua"/>
        </w:rPr>
        <w:t>: 1668-1674 [PMID: 29046957 DOI: 10.1007/s00464-017-5845-x]</w:t>
      </w:r>
    </w:p>
    <w:p w14:paraId="53FDA3D3"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49 </w:t>
      </w:r>
      <w:r w:rsidRPr="00995972">
        <w:rPr>
          <w:rFonts w:ascii="Book Antiqua" w:hAnsi="Book Antiqua"/>
          <w:b/>
          <w:bCs/>
        </w:rPr>
        <w:t>Bakhos CT</w:t>
      </w:r>
      <w:r w:rsidRPr="00995972">
        <w:rPr>
          <w:rFonts w:ascii="Book Antiqua" w:hAnsi="Book Antiqua"/>
        </w:rPr>
        <w:t>, Petrov RV, Parkman HP, Malik Z, Abbas AE. Role and safety of fundoplication in esophageal disease and dysmotility syndromes. </w:t>
      </w:r>
      <w:r w:rsidRPr="00995972">
        <w:rPr>
          <w:rFonts w:ascii="Book Antiqua" w:hAnsi="Book Antiqua"/>
          <w:i/>
          <w:iCs/>
        </w:rPr>
        <w:t>J Thorac Dis</w:t>
      </w:r>
      <w:r w:rsidRPr="00995972">
        <w:rPr>
          <w:rFonts w:ascii="Book Antiqua" w:hAnsi="Book Antiqua"/>
        </w:rPr>
        <w:t> 2019; </w:t>
      </w:r>
      <w:r w:rsidRPr="00995972">
        <w:rPr>
          <w:rFonts w:ascii="Book Antiqua" w:hAnsi="Book Antiqua"/>
          <w:b/>
          <w:bCs/>
        </w:rPr>
        <w:t>11</w:t>
      </w:r>
      <w:r w:rsidRPr="00995972">
        <w:rPr>
          <w:rFonts w:ascii="Book Antiqua" w:hAnsi="Book Antiqua"/>
        </w:rPr>
        <w:t>: S1610-S1617 [PMID: 31489228 DOI: 10.21037/jtd.2019.06.62]</w:t>
      </w:r>
    </w:p>
    <w:p w14:paraId="4482BE7A"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50 </w:t>
      </w:r>
      <w:r w:rsidRPr="00995972">
        <w:rPr>
          <w:rFonts w:ascii="Book Antiqua" w:hAnsi="Book Antiqua"/>
          <w:b/>
          <w:bCs/>
        </w:rPr>
        <w:t>Poirier NC</w:t>
      </w:r>
      <w:r w:rsidRPr="00995972">
        <w:rPr>
          <w:rFonts w:ascii="Book Antiqua" w:hAnsi="Book Antiqua"/>
        </w:rPr>
        <w:t>, Taillefer R, Topart P, Duranceau A. Antireflux operations in patients with scleroderma. </w:t>
      </w:r>
      <w:r w:rsidRPr="00995972">
        <w:rPr>
          <w:rFonts w:ascii="Book Antiqua" w:hAnsi="Book Antiqua"/>
          <w:i/>
          <w:iCs/>
        </w:rPr>
        <w:t>Ann Thorac Surg</w:t>
      </w:r>
      <w:r w:rsidRPr="00995972">
        <w:rPr>
          <w:rFonts w:ascii="Book Antiqua" w:hAnsi="Book Antiqua"/>
        </w:rPr>
        <w:t> 1994; </w:t>
      </w:r>
      <w:r w:rsidRPr="00995972">
        <w:rPr>
          <w:rFonts w:ascii="Book Antiqua" w:hAnsi="Book Antiqua"/>
          <w:b/>
          <w:bCs/>
        </w:rPr>
        <w:t>58</w:t>
      </w:r>
      <w:r w:rsidRPr="00995972">
        <w:rPr>
          <w:rFonts w:ascii="Book Antiqua" w:hAnsi="Book Antiqua"/>
        </w:rPr>
        <w:t>: 66-72; discussion 72-3 [PMID: 8037562 DOI: 10.1016/0003-4975(94)91073-1]</w:t>
      </w:r>
    </w:p>
    <w:p w14:paraId="66D22C94"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51 </w:t>
      </w:r>
      <w:r w:rsidRPr="00995972">
        <w:rPr>
          <w:rFonts w:ascii="Book Antiqua" w:hAnsi="Book Antiqua"/>
          <w:b/>
          <w:bCs/>
        </w:rPr>
        <w:t>Yan J</w:t>
      </w:r>
      <w:r w:rsidRPr="00995972">
        <w:rPr>
          <w:rFonts w:ascii="Book Antiqua" w:hAnsi="Book Antiqua"/>
        </w:rPr>
        <w:t>, Strong AT, Sharma G, Gabbard S, Thota P, Rodriguez J, Kroh M. Surgical management of gastroesophageal reflux disease in patients with systemic sclerosis. </w:t>
      </w:r>
      <w:r w:rsidRPr="00995972">
        <w:rPr>
          <w:rFonts w:ascii="Book Antiqua" w:hAnsi="Book Antiqua"/>
          <w:i/>
          <w:iCs/>
        </w:rPr>
        <w:t>Surg Endosc</w:t>
      </w:r>
      <w:r w:rsidRPr="00995972">
        <w:rPr>
          <w:rFonts w:ascii="Book Antiqua" w:hAnsi="Book Antiqua"/>
        </w:rPr>
        <w:t> 2018; </w:t>
      </w:r>
      <w:r w:rsidRPr="00995972">
        <w:rPr>
          <w:rFonts w:ascii="Book Antiqua" w:hAnsi="Book Antiqua"/>
          <w:b/>
          <w:bCs/>
        </w:rPr>
        <w:t>32</w:t>
      </w:r>
      <w:r w:rsidRPr="00995972">
        <w:rPr>
          <w:rFonts w:ascii="Book Antiqua" w:hAnsi="Book Antiqua"/>
        </w:rPr>
        <w:t>: 3855-3860 [PMID: 29435755 DOI: 10.1007/s00464-018-6115-2]</w:t>
      </w:r>
    </w:p>
    <w:p w14:paraId="280516F0"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52 </w:t>
      </w:r>
      <w:r w:rsidRPr="00995972">
        <w:rPr>
          <w:rFonts w:ascii="Book Antiqua" w:hAnsi="Book Antiqua"/>
          <w:b/>
          <w:bCs/>
        </w:rPr>
        <w:t>Roman S</w:t>
      </w:r>
      <w:r w:rsidRPr="00995972">
        <w:rPr>
          <w:rFonts w:ascii="Book Antiqua" w:hAnsi="Book Antiqua"/>
        </w:rPr>
        <w:t>, Kahrilas PJ, Kia L, Luger D, Soper N, Pandolfino JE. Effects of large hiatal hernias on esophageal peristalsis. </w:t>
      </w:r>
      <w:r w:rsidRPr="00995972">
        <w:rPr>
          <w:rFonts w:ascii="Book Antiqua" w:hAnsi="Book Antiqua"/>
          <w:i/>
          <w:iCs/>
        </w:rPr>
        <w:t>Arch Surg</w:t>
      </w:r>
      <w:r w:rsidRPr="00995972">
        <w:rPr>
          <w:rFonts w:ascii="Book Antiqua" w:hAnsi="Book Antiqua"/>
        </w:rPr>
        <w:t> 2012; </w:t>
      </w:r>
      <w:r w:rsidRPr="00995972">
        <w:rPr>
          <w:rFonts w:ascii="Book Antiqua" w:hAnsi="Book Antiqua"/>
          <w:b/>
          <w:bCs/>
        </w:rPr>
        <w:t>147</w:t>
      </w:r>
      <w:r w:rsidRPr="00995972">
        <w:rPr>
          <w:rFonts w:ascii="Book Antiqua" w:hAnsi="Book Antiqua"/>
        </w:rPr>
        <w:t>: 352-357 [PMID: 22508779 DOI: 10.1001/archsurg.2012.17]</w:t>
      </w:r>
    </w:p>
    <w:p w14:paraId="664DC19D"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53 </w:t>
      </w:r>
      <w:r w:rsidRPr="00995972">
        <w:rPr>
          <w:rFonts w:ascii="Book Antiqua" w:hAnsi="Book Antiqua"/>
          <w:b/>
          <w:bCs/>
        </w:rPr>
        <w:t>Triggs JR</w:t>
      </w:r>
      <w:r w:rsidRPr="00995972">
        <w:rPr>
          <w:rFonts w:ascii="Book Antiqua" w:hAnsi="Book Antiqua"/>
        </w:rPr>
        <w:t>, Carlson DA, Beveridge C, Jain A, Tye MY, Kahrilas PJ, Pandolfino JE. Upright Integrated Relaxation Pressure Facilitates Characterization of Esophagogastric Junction Outflow Obstruction. </w:t>
      </w:r>
      <w:r w:rsidRPr="00995972">
        <w:rPr>
          <w:rFonts w:ascii="Book Antiqua" w:hAnsi="Book Antiqua"/>
          <w:i/>
          <w:iCs/>
        </w:rPr>
        <w:t>Clin Gastroenterol Hepatol</w:t>
      </w:r>
      <w:r w:rsidRPr="00995972">
        <w:rPr>
          <w:rFonts w:ascii="Book Antiqua" w:hAnsi="Book Antiqua"/>
        </w:rPr>
        <w:t> 2019; </w:t>
      </w:r>
      <w:r w:rsidRPr="00995972">
        <w:rPr>
          <w:rFonts w:ascii="Book Antiqua" w:hAnsi="Book Antiqua"/>
          <w:b/>
          <w:bCs/>
        </w:rPr>
        <w:t>17</w:t>
      </w:r>
      <w:r w:rsidRPr="00995972">
        <w:rPr>
          <w:rFonts w:ascii="Book Antiqua" w:hAnsi="Book Antiqua"/>
        </w:rPr>
        <w:t>: 2218-2226.e2 [PMID: 30708108 DOI: 10.1016/j.cgh.2019.01.024]</w:t>
      </w:r>
    </w:p>
    <w:p w14:paraId="5009885D"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54 </w:t>
      </w:r>
      <w:r w:rsidRPr="00995972">
        <w:rPr>
          <w:rFonts w:ascii="Book Antiqua" w:hAnsi="Book Antiqua"/>
          <w:b/>
          <w:bCs/>
        </w:rPr>
        <w:t>Müller M</w:t>
      </w:r>
      <w:r w:rsidRPr="00995972">
        <w:rPr>
          <w:rFonts w:ascii="Book Antiqua" w:hAnsi="Book Antiqua"/>
        </w:rPr>
        <w:t>, Gockel I, Hedwig P, Eckardt AJ, Kuhr K, König J, Eckardt VF. Is the Schatzki ring a unique esophageal entity? </w:t>
      </w:r>
      <w:r w:rsidRPr="00995972">
        <w:rPr>
          <w:rFonts w:ascii="Book Antiqua" w:hAnsi="Book Antiqua"/>
          <w:i/>
          <w:iCs/>
        </w:rPr>
        <w:t>World J Gastroenterol</w:t>
      </w:r>
      <w:r w:rsidRPr="00995972">
        <w:rPr>
          <w:rFonts w:ascii="Book Antiqua" w:hAnsi="Book Antiqua"/>
        </w:rPr>
        <w:t> 2011; </w:t>
      </w:r>
      <w:r w:rsidRPr="00995972">
        <w:rPr>
          <w:rFonts w:ascii="Book Antiqua" w:hAnsi="Book Antiqua"/>
          <w:b/>
          <w:bCs/>
        </w:rPr>
        <w:t>17</w:t>
      </w:r>
      <w:r w:rsidRPr="00995972">
        <w:rPr>
          <w:rFonts w:ascii="Book Antiqua" w:hAnsi="Book Antiqua"/>
        </w:rPr>
        <w:t>: 2838-2843 [</w:t>
      </w:r>
      <w:bookmarkStart w:id="55" w:name="OLE_LINK182"/>
      <w:r w:rsidRPr="00995972">
        <w:rPr>
          <w:rFonts w:ascii="Book Antiqua" w:hAnsi="Book Antiqua"/>
        </w:rPr>
        <w:t xml:space="preserve">PMID: </w:t>
      </w:r>
      <w:bookmarkStart w:id="56" w:name="OLE_LINK2706"/>
      <w:bookmarkStart w:id="57" w:name="OLE_LINK2707"/>
      <w:r w:rsidRPr="00995972">
        <w:rPr>
          <w:rFonts w:ascii="Book Antiqua" w:hAnsi="Book Antiqua"/>
        </w:rPr>
        <w:t>21734791</w:t>
      </w:r>
      <w:bookmarkEnd w:id="55"/>
      <w:bookmarkEnd w:id="56"/>
      <w:bookmarkEnd w:id="57"/>
      <w:r w:rsidRPr="00995972">
        <w:rPr>
          <w:rFonts w:ascii="Book Antiqua" w:hAnsi="Book Antiqua"/>
        </w:rPr>
        <w:t xml:space="preserve"> </w:t>
      </w:r>
      <w:r w:rsidR="00EE5437" w:rsidRPr="00995972">
        <w:rPr>
          <w:rFonts w:ascii="Book Antiqua" w:hAnsi="Book Antiqua"/>
        </w:rPr>
        <w:t>DOI: 10.3748/wjg.v17.i23.2838</w:t>
      </w:r>
      <w:r w:rsidRPr="00995972">
        <w:rPr>
          <w:rFonts w:ascii="Book Antiqua" w:hAnsi="Book Antiqua"/>
        </w:rPr>
        <w:t>]</w:t>
      </w:r>
    </w:p>
    <w:p w14:paraId="18C139F2"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55 </w:t>
      </w:r>
      <w:r w:rsidRPr="00995972">
        <w:rPr>
          <w:rFonts w:ascii="Book Antiqua" w:hAnsi="Book Antiqua"/>
          <w:b/>
          <w:bCs/>
        </w:rPr>
        <w:t>Snyder DL</w:t>
      </w:r>
      <w:r w:rsidRPr="00995972">
        <w:rPr>
          <w:rFonts w:ascii="Book Antiqua" w:hAnsi="Book Antiqua"/>
        </w:rPr>
        <w:t>, Vela MF. Opioid-induced esophageal dysfunction. </w:t>
      </w:r>
      <w:r w:rsidRPr="00995972">
        <w:rPr>
          <w:rFonts w:ascii="Book Antiqua" w:hAnsi="Book Antiqua"/>
          <w:i/>
          <w:iCs/>
        </w:rPr>
        <w:t>Curr Opin Gastroenterol</w:t>
      </w:r>
      <w:r w:rsidRPr="00995972">
        <w:rPr>
          <w:rFonts w:ascii="Book Antiqua" w:hAnsi="Book Antiqua"/>
        </w:rPr>
        <w:t> 2020; </w:t>
      </w:r>
      <w:r w:rsidRPr="00995972">
        <w:rPr>
          <w:rFonts w:ascii="Book Antiqua" w:hAnsi="Book Antiqua"/>
          <w:b/>
          <w:bCs/>
        </w:rPr>
        <w:t>36</w:t>
      </w:r>
      <w:r w:rsidRPr="00995972">
        <w:rPr>
          <w:rFonts w:ascii="Book Antiqua" w:hAnsi="Book Antiqua"/>
        </w:rPr>
        <w:t>: 344-350 [PMID: 32427604 DOI: 10.1097/MOG.0000000000000648]</w:t>
      </w:r>
    </w:p>
    <w:p w14:paraId="47D8AA71"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56 </w:t>
      </w:r>
      <w:r w:rsidRPr="00995972">
        <w:rPr>
          <w:rFonts w:ascii="Book Antiqua" w:hAnsi="Book Antiqua"/>
          <w:b/>
          <w:bCs/>
        </w:rPr>
        <w:t>Snyder DL</w:t>
      </w:r>
      <w:r w:rsidRPr="00995972">
        <w:rPr>
          <w:rFonts w:ascii="Book Antiqua" w:hAnsi="Book Antiqua"/>
        </w:rPr>
        <w:t>, Crowell MD, Horsley-Silva J, Ravi K, Lacy BE, Vela MF. Opioid-Induced Esophageal Dysfunction: Differential Effects of Type and Dose. </w:t>
      </w:r>
      <w:r w:rsidRPr="00995972">
        <w:rPr>
          <w:rFonts w:ascii="Book Antiqua" w:hAnsi="Book Antiqua"/>
          <w:i/>
          <w:iCs/>
        </w:rPr>
        <w:t>Am J Gastroenterol</w:t>
      </w:r>
      <w:r w:rsidRPr="00995972">
        <w:rPr>
          <w:rFonts w:ascii="Book Antiqua" w:hAnsi="Book Antiqua"/>
        </w:rPr>
        <w:t> 2019; </w:t>
      </w:r>
      <w:r w:rsidRPr="00995972">
        <w:rPr>
          <w:rFonts w:ascii="Book Antiqua" w:hAnsi="Book Antiqua"/>
          <w:b/>
          <w:bCs/>
        </w:rPr>
        <w:t>114</w:t>
      </w:r>
      <w:r w:rsidRPr="00995972">
        <w:rPr>
          <w:rFonts w:ascii="Book Antiqua" w:hAnsi="Book Antiqua"/>
        </w:rPr>
        <w:t>: 1464-1469 [PMID: 31403963 DOI: 10.14309/ajg.0000000000000369]</w:t>
      </w:r>
    </w:p>
    <w:p w14:paraId="5E0F8D5C"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57 </w:t>
      </w:r>
      <w:r w:rsidRPr="00995972">
        <w:rPr>
          <w:rFonts w:ascii="Book Antiqua" w:hAnsi="Book Antiqua"/>
          <w:b/>
          <w:bCs/>
        </w:rPr>
        <w:t>Jung HY</w:t>
      </w:r>
      <w:r w:rsidRPr="00995972">
        <w:rPr>
          <w:rFonts w:ascii="Book Antiqua" w:hAnsi="Book Antiqua"/>
        </w:rPr>
        <w:t>, Puckett JL, Bhalla V, Rojas-Feria M, Bhargava V, Liu J, Mittal RK. Asynchrony between the circular and the longitudinal muscle contraction in patients with nutcracker esophagus. </w:t>
      </w:r>
      <w:r w:rsidRPr="00995972">
        <w:rPr>
          <w:rFonts w:ascii="Book Antiqua" w:hAnsi="Book Antiqua"/>
          <w:i/>
          <w:iCs/>
        </w:rPr>
        <w:t>Gastroenterology</w:t>
      </w:r>
      <w:r w:rsidRPr="00995972">
        <w:rPr>
          <w:rFonts w:ascii="Book Antiqua" w:hAnsi="Book Antiqua"/>
        </w:rPr>
        <w:t> 2005; </w:t>
      </w:r>
      <w:r w:rsidRPr="00995972">
        <w:rPr>
          <w:rFonts w:ascii="Book Antiqua" w:hAnsi="Book Antiqua"/>
          <w:b/>
          <w:bCs/>
        </w:rPr>
        <w:t>128</w:t>
      </w:r>
      <w:r w:rsidRPr="00995972">
        <w:rPr>
          <w:rFonts w:ascii="Book Antiqua" w:hAnsi="Book Antiqua"/>
        </w:rPr>
        <w:t>: 1179-1186 [PMID: 15887102 DOI: 10.1053/j.gastro.2005.02.002]</w:t>
      </w:r>
    </w:p>
    <w:p w14:paraId="15AEFA3C"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58 </w:t>
      </w:r>
      <w:r w:rsidRPr="00995972">
        <w:rPr>
          <w:rFonts w:ascii="Book Antiqua" w:hAnsi="Book Antiqua"/>
          <w:b/>
          <w:bCs/>
        </w:rPr>
        <w:t>Rohof WOA</w:t>
      </w:r>
      <w:r w:rsidRPr="00995972">
        <w:rPr>
          <w:rFonts w:ascii="Book Antiqua" w:hAnsi="Book Antiqua"/>
        </w:rPr>
        <w:t>, Bredenoord AJ. Chicago Classification of Esophageal Motility Disorders: Lessons Learned. </w:t>
      </w:r>
      <w:r w:rsidRPr="00995972">
        <w:rPr>
          <w:rFonts w:ascii="Book Antiqua" w:hAnsi="Book Antiqua"/>
          <w:i/>
          <w:iCs/>
        </w:rPr>
        <w:t>Curr Gastroenterol Rep</w:t>
      </w:r>
      <w:r w:rsidRPr="00995972">
        <w:rPr>
          <w:rFonts w:ascii="Book Antiqua" w:hAnsi="Book Antiqua"/>
        </w:rPr>
        <w:t> 2017; </w:t>
      </w:r>
      <w:r w:rsidRPr="00995972">
        <w:rPr>
          <w:rFonts w:ascii="Book Antiqua" w:hAnsi="Book Antiqua"/>
          <w:b/>
          <w:bCs/>
        </w:rPr>
        <w:t>19</w:t>
      </w:r>
      <w:r w:rsidRPr="00995972">
        <w:rPr>
          <w:rFonts w:ascii="Book Antiqua" w:hAnsi="Book Antiqua"/>
        </w:rPr>
        <w:t>: 37 [PMID: 28730503 DOI: 10.1007/s11894-017-0576-7]</w:t>
      </w:r>
    </w:p>
    <w:p w14:paraId="74C29447"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59 </w:t>
      </w:r>
      <w:r w:rsidRPr="00995972">
        <w:rPr>
          <w:rFonts w:ascii="Book Antiqua" w:hAnsi="Book Antiqua"/>
          <w:b/>
          <w:bCs/>
        </w:rPr>
        <w:t>Dell'Acqua-Cassão B</w:t>
      </w:r>
      <w:r w:rsidRPr="00995972">
        <w:rPr>
          <w:rFonts w:ascii="Book Antiqua" w:hAnsi="Book Antiqua"/>
        </w:rPr>
        <w:t>, Mardiros-Herbella FA, Farah JF, Bonadiman A, Silva LC, Patti MG. Outcomes of laparoscopic Nissen fundoplication in patients with manometric patterns of esophageal motility disorders. </w:t>
      </w:r>
      <w:r w:rsidRPr="00995972">
        <w:rPr>
          <w:rFonts w:ascii="Book Antiqua" w:hAnsi="Book Antiqua"/>
          <w:i/>
          <w:iCs/>
        </w:rPr>
        <w:t>Am Surg</w:t>
      </w:r>
      <w:r w:rsidRPr="00995972">
        <w:rPr>
          <w:rFonts w:ascii="Book Antiqua" w:hAnsi="Book Antiqua"/>
        </w:rPr>
        <w:t> 2013; </w:t>
      </w:r>
      <w:r w:rsidRPr="00995972">
        <w:rPr>
          <w:rFonts w:ascii="Book Antiqua" w:hAnsi="Book Antiqua"/>
          <w:b/>
          <w:bCs/>
        </w:rPr>
        <w:t>79</w:t>
      </w:r>
      <w:r w:rsidRPr="00995972">
        <w:rPr>
          <w:rFonts w:ascii="Book Antiqua" w:hAnsi="Book Antiqua"/>
        </w:rPr>
        <w:t>: 361-365 [</w:t>
      </w:r>
      <w:bookmarkStart w:id="58" w:name="OLE_LINK183"/>
      <w:r w:rsidRPr="00995972">
        <w:rPr>
          <w:rFonts w:ascii="Book Antiqua" w:hAnsi="Book Antiqua"/>
        </w:rPr>
        <w:t>PMID: 23574844</w:t>
      </w:r>
      <w:bookmarkEnd w:id="58"/>
      <w:r w:rsidRPr="00995972">
        <w:rPr>
          <w:rFonts w:ascii="Book Antiqua" w:hAnsi="Book Antiqua"/>
        </w:rPr>
        <w:t>]</w:t>
      </w:r>
    </w:p>
    <w:p w14:paraId="67BF68BE"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60 </w:t>
      </w:r>
      <w:r w:rsidRPr="00995972">
        <w:rPr>
          <w:rFonts w:ascii="Book Antiqua" w:hAnsi="Book Antiqua"/>
          <w:b/>
          <w:bCs/>
        </w:rPr>
        <w:t>Leopold A</w:t>
      </w:r>
      <w:r w:rsidRPr="00995972">
        <w:rPr>
          <w:rFonts w:ascii="Book Antiqua" w:hAnsi="Book Antiqua"/>
        </w:rPr>
        <w:t>, Yu D, Bhuta R, Kataria R, Lu X, Jehangir A, Harrison M, Friedenberg F, Malik Z, Schey R, Parkman HP. Multiple Rapid Swallows (MRS) Complements Single-Swallow (SS) Analysis for High-Resolution Esophageal Manometry (HREM). </w:t>
      </w:r>
      <w:r w:rsidRPr="00995972">
        <w:rPr>
          <w:rFonts w:ascii="Book Antiqua" w:hAnsi="Book Antiqua"/>
          <w:i/>
          <w:iCs/>
        </w:rPr>
        <w:t>Dig Dis Sci</w:t>
      </w:r>
      <w:r w:rsidRPr="00995972">
        <w:rPr>
          <w:rFonts w:ascii="Book Antiqua" w:hAnsi="Book Antiqua"/>
        </w:rPr>
        <w:t> 2019; </w:t>
      </w:r>
      <w:r w:rsidRPr="00995972">
        <w:rPr>
          <w:rFonts w:ascii="Book Antiqua" w:hAnsi="Book Antiqua"/>
          <w:b/>
          <w:bCs/>
        </w:rPr>
        <w:t>64</w:t>
      </w:r>
      <w:r w:rsidRPr="00995972">
        <w:rPr>
          <w:rFonts w:ascii="Book Antiqua" w:hAnsi="Book Antiqua"/>
        </w:rPr>
        <w:t>: 2206-2213 [PMID: 30805798 DOI: 10.1007/s10620-019-05545-2]</w:t>
      </w:r>
    </w:p>
    <w:p w14:paraId="35223217"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61 </w:t>
      </w:r>
      <w:r w:rsidRPr="00995972">
        <w:rPr>
          <w:rFonts w:ascii="Book Antiqua" w:hAnsi="Book Antiqua"/>
          <w:b/>
          <w:bCs/>
        </w:rPr>
        <w:t>Tadros M</w:t>
      </w:r>
      <w:r w:rsidRPr="00995972">
        <w:rPr>
          <w:rFonts w:ascii="Book Antiqua" w:hAnsi="Book Antiqua"/>
        </w:rPr>
        <w:t>, Tran V, Shah V, Yodice M. Patterns of esophageal dysmotility elicited by multiple rapid swallows. </w:t>
      </w:r>
      <w:r w:rsidRPr="00995972">
        <w:rPr>
          <w:rFonts w:ascii="Book Antiqua" w:hAnsi="Book Antiqua"/>
          <w:i/>
          <w:iCs/>
        </w:rPr>
        <w:t>Esophagus</w:t>
      </w:r>
      <w:r w:rsidRPr="00995972">
        <w:rPr>
          <w:rFonts w:ascii="Book Antiqua" w:hAnsi="Book Antiqua"/>
        </w:rPr>
        <w:t> 2021; </w:t>
      </w:r>
      <w:r w:rsidRPr="00995972">
        <w:rPr>
          <w:rFonts w:ascii="Book Antiqua" w:hAnsi="Book Antiqua"/>
          <w:b/>
          <w:bCs/>
        </w:rPr>
        <w:t>18</w:t>
      </w:r>
      <w:r w:rsidRPr="00995972">
        <w:rPr>
          <w:rFonts w:ascii="Book Antiqua" w:hAnsi="Book Antiqua"/>
        </w:rPr>
        <w:t>: 353-361 [PMID: 33011871 DOI: 10.1007/s10388-020-00784-z]</w:t>
      </w:r>
    </w:p>
    <w:p w14:paraId="7BE879DD"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62 </w:t>
      </w:r>
      <w:r w:rsidRPr="00995972">
        <w:rPr>
          <w:rFonts w:ascii="Book Antiqua" w:hAnsi="Book Antiqua"/>
          <w:b/>
          <w:bCs/>
        </w:rPr>
        <w:t>Marin I</w:t>
      </w:r>
      <w:r w:rsidRPr="00995972">
        <w:rPr>
          <w:rFonts w:ascii="Book Antiqua" w:hAnsi="Book Antiqua"/>
        </w:rPr>
        <w:t>, Serra J. Patterns of esophageal pressure responses to a rapid drink challenge test in patients with esophageal motility disorders. </w:t>
      </w:r>
      <w:r w:rsidRPr="00995972">
        <w:rPr>
          <w:rFonts w:ascii="Book Antiqua" w:hAnsi="Book Antiqua"/>
          <w:i/>
          <w:iCs/>
        </w:rPr>
        <w:t>Neurogastroenterol Motil</w:t>
      </w:r>
      <w:r w:rsidRPr="00995972">
        <w:rPr>
          <w:rFonts w:ascii="Book Antiqua" w:hAnsi="Book Antiqua"/>
        </w:rPr>
        <w:t> 2016; </w:t>
      </w:r>
      <w:r w:rsidRPr="00995972">
        <w:rPr>
          <w:rFonts w:ascii="Book Antiqua" w:hAnsi="Book Antiqua"/>
          <w:b/>
          <w:bCs/>
        </w:rPr>
        <w:t>28</w:t>
      </w:r>
      <w:r w:rsidRPr="00995972">
        <w:rPr>
          <w:rFonts w:ascii="Book Antiqua" w:hAnsi="Book Antiqua"/>
        </w:rPr>
        <w:t>: 543-553 [PMID: 26686375 DOI: 10.1111/nmo.12749]</w:t>
      </w:r>
    </w:p>
    <w:p w14:paraId="20980780"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63 </w:t>
      </w:r>
      <w:r w:rsidRPr="00995972">
        <w:rPr>
          <w:rFonts w:ascii="Book Antiqua" w:hAnsi="Book Antiqua"/>
          <w:b/>
          <w:bCs/>
        </w:rPr>
        <w:t>Tadros M</w:t>
      </w:r>
      <w:r w:rsidRPr="00995972">
        <w:rPr>
          <w:rFonts w:ascii="Book Antiqua" w:hAnsi="Book Antiqua"/>
        </w:rPr>
        <w:t>, Yodice M. The Challenges of Esaphagogastric Junction Outflow Obstruction, Is It Really a Diagnosis? Creating a Systematic Clinical Approach for EGJOO. </w:t>
      </w:r>
      <w:r w:rsidRPr="00995972">
        <w:rPr>
          <w:rFonts w:ascii="Book Antiqua" w:hAnsi="Book Antiqua"/>
          <w:i/>
          <w:iCs/>
        </w:rPr>
        <w:t>Dysphagia</w:t>
      </w:r>
      <w:r w:rsidRPr="00995972">
        <w:rPr>
          <w:rFonts w:ascii="Book Antiqua" w:hAnsi="Book Antiqua"/>
        </w:rPr>
        <w:t> 2020 [PMID: 32676750 DOI: 10.1007/s00455-020-10156-5]</w:t>
      </w:r>
    </w:p>
    <w:p w14:paraId="036488DA"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64 </w:t>
      </w:r>
      <w:r w:rsidRPr="00995972">
        <w:rPr>
          <w:rFonts w:ascii="Book Antiqua" w:hAnsi="Book Antiqua"/>
          <w:b/>
          <w:bCs/>
        </w:rPr>
        <w:t>Ang D</w:t>
      </w:r>
      <w:r w:rsidRPr="00995972">
        <w:rPr>
          <w:rFonts w:ascii="Book Antiqua" w:hAnsi="Book Antiqua"/>
        </w:rPr>
        <w:t>, Hollenstein M, Misselwitz B, Knowles K, Wright J, Tucker E, Sweis R, Fox M. Rapid Drink Challenge in high-resolution manometry: an adjunctive test for detection of esophageal motility disorders. </w:t>
      </w:r>
      <w:r w:rsidRPr="00995972">
        <w:rPr>
          <w:rFonts w:ascii="Book Antiqua" w:hAnsi="Book Antiqua"/>
          <w:i/>
          <w:iCs/>
        </w:rPr>
        <w:t>Neurogastroenterol Motil</w:t>
      </w:r>
      <w:r w:rsidRPr="00995972">
        <w:rPr>
          <w:rFonts w:ascii="Book Antiqua" w:hAnsi="Book Antiqua"/>
        </w:rPr>
        <w:t> 2017; </w:t>
      </w:r>
      <w:r w:rsidRPr="00995972">
        <w:rPr>
          <w:rFonts w:ascii="Book Antiqua" w:hAnsi="Book Antiqua"/>
          <w:b/>
          <w:bCs/>
        </w:rPr>
        <w:t>29</w:t>
      </w:r>
      <w:r w:rsidRPr="00995972">
        <w:rPr>
          <w:rFonts w:ascii="Book Antiqua" w:hAnsi="Book Antiqua"/>
        </w:rPr>
        <w:t> [PMID: 27420913 DOI: 10.1111/nmo.12902]</w:t>
      </w:r>
    </w:p>
    <w:p w14:paraId="42E2D462"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65 </w:t>
      </w:r>
      <w:r w:rsidRPr="00995972">
        <w:rPr>
          <w:rFonts w:ascii="Book Antiqua" w:hAnsi="Book Antiqua"/>
          <w:b/>
          <w:bCs/>
        </w:rPr>
        <w:t>Basseri B</w:t>
      </w:r>
      <w:r w:rsidRPr="00995972">
        <w:rPr>
          <w:rFonts w:ascii="Book Antiqua" w:hAnsi="Book Antiqua"/>
        </w:rPr>
        <w:t>, Pimentel M, Shaye OA, Low K, Soffer EE, Conklin JL. Apple sauce improves detection of esophageal motor dysfunction during high-resolution manometry evaluation of dysphagia. </w:t>
      </w:r>
      <w:r w:rsidRPr="00995972">
        <w:rPr>
          <w:rFonts w:ascii="Book Antiqua" w:hAnsi="Book Antiqua"/>
          <w:i/>
          <w:iCs/>
        </w:rPr>
        <w:t>Dig Dis Sci</w:t>
      </w:r>
      <w:r w:rsidRPr="00995972">
        <w:rPr>
          <w:rFonts w:ascii="Book Antiqua" w:hAnsi="Book Antiqua"/>
        </w:rPr>
        <w:t> 2011; </w:t>
      </w:r>
      <w:r w:rsidRPr="00995972">
        <w:rPr>
          <w:rFonts w:ascii="Book Antiqua" w:hAnsi="Book Antiqua"/>
          <w:b/>
          <w:bCs/>
        </w:rPr>
        <w:t>56</w:t>
      </w:r>
      <w:r w:rsidRPr="00995972">
        <w:rPr>
          <w:rFonts w:ascii="Book Antiqua" w:hAnsi="Book Antiqua"/>
        </w:rPr>
        <w:t>: 1723-1728 [PMID: 21181443 DOI: 10.1007/s10620-010-1513-x]</w:t>
      </w:r>
    </w:p>
    <w:p w14:paraId="12FA8E7E"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66 </w:t>
      </w:r>
      <w:r w:rsidRPr="00995972">
        <w:rPr>
          <w:rFonts w:ascii="Book Antiqua" w:hAnsi="Book Antiqua"/>
          <w:b/>
          <w:bCs/>
        </w:rPr>
        <w:t>Shaker A</w:t>
      </w:r>
      <w:r w:rsidRPr="00995972">
        <w:rPr>
          <w:rFonts w:ascii="Book Antiqua" w:hAnsi="Book Antiqua"/>
        </w:rPr>
        <w:t>, Stoikes N, Drapekin J, Kushnir V, Brunt LM, Gyawali CP. Multiple rapid swallow responses during esophageal high-resolution manometry reflect esophageal body peristaltic reserve. </w:t>
      </w:r>
      <w:r w:rsidRPr="00995972">
        <w:rPr>
          <w:rFonts w:ascii="Book Antiqua" w:hAnsi="Book Antiqua"/>
          <w:i/>
          <w:iCs/>
        </w:rPr>
        <w:t>Am J Gastroenterol</w:t>
      </w:r>
      <w:r w:rsidRPr="00995972">
        <w:rPr>
          <w:rFonts w:ascii="Book Antiqua" w:hAnsi="Book Antiqua"/>
        </w:rPr>
        <w:t> 2013; </w:t>
      </w:r>
      <w:r w:rsidRPr="00995972">
        <w:rPr>
          <w:rFonts w:ascii="Book Antiqua" w:hAnsi="Book Antiqua"/>
          <w:b/>
          <w:bCs/>
        </w:rPr>
        <w:t>108</w:t>
      </w:r>
      <w:r w:rsidRPr="00995972">
        <w:rPr>
          <w:rFonts w:ascii="Book Antiqua" w:hAnsi="Book Antiqua"/>
        </w:rPr>
        <w:t>: 1706-1712 [PMID: 24019081 DOI: 10.1038/ajg.2013.289]</w:t>
      </w:r>
    </w:p>
    <w:p w14:paraId="313937EA"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67 </w:t>
      </w:r>
      <w:r w:rsidRPr="00995972">
        <w:rPr>
          <w:rFonts w:ascii="Book Antiqua" w:hAnsi="Book Antiqua"/>
          <w:b/>
          <w:bCs/>
        </w:rPr>
        <w:t>Stoikes N</w:t>
      </w:r>
      <w:r w:rsidRPr="00995972">
        <w:rPr>
          <w:rFonts w:ascii="Book Antiqua" w:hAnsi="Book Antiqua"/>
        </w:rPr>
        <w:t>, Drapekin J, Kushnir V, Shaker A, Brunt LM, Gyawali CP. The value of multiple rapid swallows during preoperative esophageal manometry before laparoscopic antireflux surgery. </w:t>
      </w:r>
      <w:r w:rsidRPr="00995972">
        <w:rPr>
          <w:rFonts w:ascii="Book Antiqua" w:hAnsi="Book Antiqua"/>
          <w:i/>
          <w:iCs/>
        </w:rPr>
        <w:t>Surg Endosc</w:t>
      </w:r>
      <w:r w:rsidRPr="00995972">
        <w:rPr>
          <w:rFonts w:ascii="Book Antiqua" w:hAnsi="Book Antiqua"/>
        </w:rPr>
        <w:t> 2012; </w:t>
      </w:r>
      <w:r w:rsidRPr="00995972">
        <w:rPr>
          <w:rFonts w:ascii="Book Antiqua" w:hAnsi="Book Antiqua"/>
          <w:b/>
          <w:bCs/>
        </w:rPr>
        <w:t>26</w:t>
      </w:r>
      <w:r w:rsidRPr="00995972">
        <w:rPr>
          <w:rFonts w:ascii="Book Antiqua" w:hAnsi="Book Antiqua"/>
        </w:rPr>
        <w:t>: 3401-3407 [PMID: 22648115 DOI: 10.1007/s00464-012-2350-0]</w:t>
      </w:r>
    </w:p>
    <w:p w14:paraId="7B22D210"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68 </w:t>
      </w:r>
      <w:r w:rsidRPr="00995972">
        <w:rPr>
          <w:rFonts w:ascii="Book Antiqua" w:hAnsi="Book Antiqua"/>
          <w:b/>
          <w:bCs/>
        </w:rPr>
        <w:t>Carlson DA</w:t>
      </w:r>
      <w:r w:rsidRPr="00995972">
        <w:rPr>
          <w:rFonts w:ascii="Book Antiqua" w:hAnsi="Book Antiqua"/>
        </w:rPr>
        <w:t>, Crowell MD, Kimmel JN, Patel A, Gyawali CP, Hinchcliff M, Griffing WL, Pandolfino JE, Vela MF. Loss of Peristaltic Reserve, Determined by Multiple Rapid Swallows, Is the Most Frequent Esophageal Motility Abnormality in Patients With Systemic Sclerosis. </w:t>
      </w:r>
      <w:r w:rsidRPr="00995972">
        <w:rPr>
          <w:rFonts w:ascii="Book Antiqua" w:hAnsi="Book Antiqua"/>
          <w:i/>
          <w:iCs/>
        </w:rPr>
        <w:t>Clin Gastroenterol Hepatol</w:t>
      </w:r>
      <w:r w:rsidRPr="00995972">
        <w:rPr>
          <w:rFonts w:ascii="Book Antiqua" w:hAnsi="Book Antiqua"/>
        </w:rPr>
        <w:t> 2016; </w:t>
      </w:r>
      <w:r w:rsidRPr="00995972">
        <w:rPr>
          <w:rFonts w:ascii="Book Antiqua" w:hAnsi="Book Antiqua"/>
          <w:b/>
          <w:bCs/>
        </w:rPr>
        <w:t>14</w:t>
      </w:r>
      <w:r w:rsidRPr="00995972">
        <w:rPr>
          <w:rFonts w:ascii="Book Antiqua" w:hAnsi="Book Antiqua"/>
        </w:rPr>
        <w:t>: 1502-1506 [PMID: 27062902 DOI: 10.1016/j.cgh.2016.03.039]</w:t>
      </w:r>
    </w:p>
    <w:p w14:paraId="01E1A9A6"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69 </w:t>
      </w:r>
      <w:r w:rsidRPr="00995972">
        <w:rPr>
          <w:rFonts w:ascii="Book Antiqua" w:hAnsi="Book Antiqua"/>
          <w:b/>
          <w:bCs/>
        </w:rPr>
        <w:t>Zaninotto G</w:t>
      </w:r>
      <w:r w:rsidRPr="00995972">
        <w:rPr>
          <w:rFonts w:ascii="Book Antiqua" w:hAnsi="Book Antiqua"/>
        </w:rPr>
        <w:t>, DeMeester TR, Schwizer W, Johansson KE, Cheng SC. The lower esophageal sphincter in health and disease. </w:t>
      </w:r>
      <w:r w:rsidRPr="00995972">
        <w:rPr>
          <w:rFonts w:ascii="Book Antiqua" w:hAnsi="Book Antiqua"/>
          <w:i/>
          <w:iCs/>
        </w:rPr>
        <w:t>Am J Surg</w:t>
      </w:r>
      <w:r w:rsidRPr="00995972">
        <w:rPr>
          <w:rFonts w:ascii="Book Antiqua" w:hAnsi="Book Antiqua"/>
        </w:rPr>
        <w:t> 1988; </w:t>
      </w:r>
      <w:r w:rsidRPr="00995972">
        <w:rPr>
          <w:rFonts w:ascii="Book Antiqua" w:hAnsi="Book Antiqua"/>
          <w:b/>
          <w:bCs/>
        </w:rPr>
        <w:t>155</w:t>
      </w:r>
      <w:r w:rsidRPr="00995972">
        <w:rPr>
          <w:rFonts w:ascii="Book Antiqua" w:hAnsi="Book Antiqua"/>
        </w:rPr>
        <w:t>: 104-111 [PMID: 3341525 DOI: 10.1016/s0002-9610(88)80266-6]</w:t>
      </w:r>
    </w:p>
    <w:p w14:paraId="49360644"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70 </w:t>
      </w:r>
      <w:r w:rsidRPr="00995972">
        <w:rPr>
          <w:rFonts w:ascii="Book Antiqua" w:hAnsi="Book Antiqua"/>
          <w:b/>
          <w:bCs/>
        </w:rPr>
        <w:t>Tsuboi K</w:t>
      </w:r>
      <w:r w:rsidRPr="00995972">
        <w:rPr>
          <w:rFonts w:ascii="Book Antiqua" w:hAnsi="Book Antiqua"/>
        </w:rPr>
        <w:t>, Hoshino M, Sundaram A, Yano F, Mittal SK. Role of the lower esophageal sphincter on esophageal acid exposure - a review of over 2000 patients. </w:t>
      </w:r>
      <w:r w:rsidRPr="00995972">
        <w:rPr>
          <w:rFonts w:ascii="Book Antiqua" w:hAnsi="Book Antiqua"/>
          <w:i/>
          <w:iCs/>
        </w:rPr>
        <w:t>Trop Gastroenterol</w:t>
      </w:r>
      <w:r w:rsidRPr="00995972">
        <w:rPr>
          <w:rFonts w:ascii="Book Antiqua" w:hAnsi="Book Antiqua"/>
        </w:rPr>
        <w:t> 2012; </w:t>
      </w:r>
      <w:r w:rsidRPr="00995972">
        <w:rPr>
          <w:rFonts w:ascii="Book Antiqua" w:hAnsi="Book Antiqua"/>
          <w:b/>
          <w:bCs/>
        </w:rPr>
        <w:t>33</w:t>
      </w:r>
      <w:r w:rsidRPr="00995972">
        <w:rPr>
          <w:rFonts w:ascii="Book Antiqua" w:hAnsi="Book Antiqua"/>
        </w:rPr>
        <w:t>: 107-111 [PMID: 23025056 DOI: 10.7869/tg.2012.26]</w:t>
      </w:r>
    </w:p>
    <w:p w14:paraId="389B4B0D"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71 </w:t>
      </w:r>
      <w:r w:rsidRPr="00995972">
        <w:rPr>
          <w:rFonts w:ascii="Book Antiqua" w:hAnsi="Book Antiqua"/>
          <w:b/>
          <w:bCs/>
        </w:rPr>
        <w:t>Tolone S</w:t>
      </w:r>
      <w:r w:rsidRPr="00995972">
        <w:rPr>
          <w:rFonts w:ascii="Book Antiqua" w:hAnsi="Book Antiqua"/>
        </w:rPr>
        <w:t>, Gualtieri G, Savarino E, Frazzoni M, de Bortoli N, Furnari M, Casalino G, Parisi S, Savarino V, Docimo L. Pre-operative clinical and instrumental factors as antireflux surgery outcome predictors. </w:t>
      </w:r>
      <w:r w:rsidRPr="00995972">
        <w:rPr>
          <w:rFonts w:ascii="Book Antiqua" w:hAnsi="Book Antiqua"/>
          <w:i/>
          <w:iCs/>
        </w:rPr>
        <w:t>World J Gastrointest Surg</w:t>
      </w:r>
      <w:r w:rsidRPr="00995972">
        <w:rPr>
          <w:rFonts w:ascii="Book Antiqua" w:hAnsi="Book Antiqua"/>
        </w:rPr>
        <w:t> 2016; </w:t>
      </w:r>
      <w:r w:rsidRPr="00995972">
        <w:rPr>
          <w:rFonts w:ascii="Book Antiqua" w:hAnsi="Book Antiqua"/>
          <w:b/>
          <w:bCs/>
        </w:rPr>
        <w:t>8</w:t>
      </w:r>
      <w:r w:rsidRPr="00995972">
        <w:rPr>
          <w:rFonts w:ascii="Book Antiqua" w:hAnsi="Book Antiqua"/>
        </w:rPr>
        <w:t>: 719-728 [PMID: 27933133 DOI: 10.4240/wjgs.v8.i11.719]</w:t>
      </w:r>
    </w:p>
    <w:p w14:paraId="389B153A"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72 </w:t>
      </w:r>
      <w:r w:rsidRPr="00995972">
        <w:rPr>
          <w:rFonts w:ascii="Book Antiqua" w:hAnsi="Book Antiqua"/>
          <w:b/>
          <w:bCs/>
        </w:rPr>
        <w:t>Jones MP</w:t>
      </w:r>
      <w:r w:rsidRPr="00995972">
        <w:rPr>
          <w:rFonts w:ascii="Book Antiqua" w:hAnsi="Book Antiqua"/>
        </w:rPr>
        <w:t>, Sloan SS, Rabine JC, Ebert CC, Huang CF, Kahrilas PJ. Hiatal hernia size is the dominant determinant of esophagitis presence and severity in gastroesophageal reflux disease. </w:t>
      </w:r>
      <w:r w:rsidRPr="00995972">
        <w:rPr>
          <w:rFonts w:ascii="Book Antiqua" w:hAnsi="Book Antiqua"/>
          <w:i/>
          <w:iCs/>
        </w:rPr>
        <w:t>Am J Gastroenterol</w:t>
      </w:r>
      <w:r w:rsidRPr="00995972">
        <w:rPr>
          <w:rFonts w:ascii="Book Antiqua" w:hAnsi="Book Antiqua"/>
        </w:rPr>
        <w:t> 2001; </w:t>
      </w:r>
      <w:r w:rsidRPr="00995972">
        <w:rPr>
          <w:rFonts w:ascii="Book Antiqua" w:hAnsi="Book Antiqua"/>
          <w:b/>
          <w:bCs/>
        </w:rPr>
        <w:t>96</w:t>
      </w:r>
      <w:r w:rsidRPr="00995972">
        <w:rPr>
          <w:rFonts w:ascii="Book Antiqua" w:hAnsi="Book Antiqua"/>
        </w:rPr>
        <w:t>: 1711-1717 [PMID: 11419819 DOI: 10.1111/j.1572-0241.2001.03926.x]</w:t>
      </w:r>
    </w:p>
    <w:p w14:paraId="308A344D"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73 </w:t>
      </w:r>
      <w:r w:rsidRPr="00995972">
        <w:rPr>
          <w:rFonts w:ascii="Book Antiqua" w:hAnsi="Book Antiqua"/>
          <w:b/>
          <w:bCs/>
        </w:rPr>
        <w:t>Rogers B</w:t>
      </w:r>
      <w:r w:rsidRPr="00995972">
        <w:rPr>
          <w:rFonts w:ascii="Book Antiqua" w:hAnsi="Book Antiqua"/>
        </w:rPr>
        <w:t>, Hasak S, Hansalia V, Gyawali CP. Trans-esophagogastric junction pressure gradients during straight leg raise maneuver on high-resolution manometry associate with large hiatus hernias. </w:t>
      </w:r>
      <w:r w:rsidRPr="00995972">
        <w:rPr>
          <w:rFonts w:ascii="Book Antiqua" w:hAnsi="Book Antiqua"/>
          <w:i/>
          <w:iCs/>
        </w:rPr>
        <w:t>Neurogastroenterol Motil</w:t>
      </w:r>
      <w:r w:rsidRPr="00995972">
        <w:rPr>
          <w:rFonts w:ascii="Book Antiqua" w:hAnsi="Book Antiqua"/>
        </w:rPr>
        <w:t> 2020; </w:t>
      </w:r>
      <w:r w:rsidRPr="00995972">
        <w:rPr>
          <w:rFonts w:ascii="Book Antiqua" w:hAnsi="Book Antiqua"/>
          <w:b/>
          <w:bCs/>
        </w:rPr>
        <w:t>32</w:t>
      </w:r>
      <w:r w:rsidRPr="00995972">
        <w:rPr>
          <w:rFonts w:ascii="Book Antiqua" w:hAnsi="Book Antiqua"/>
        </w:rPr>
        <w:t>: e13836 [PMID: 32163648 DOI: 10.1111/nmo.13836]</w:t>
      </w:r>
    </w:p>
    <w:p w14:paraId="41054CD5"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74 </w:t>
      </w:r>
      <w:r w:rsidRPr="00995972">
        <w:rPr>
          <w:rFonts w:ascii="Book Antiqua" w:hAnsi="Book Antiqua"/>
          <w:b/>
          <w:bCs/>
        </w:rPr>
        <w:t>Lei Y</w:t>
      </w:r>
      <w:r w:rsidRPr="00995972">
        <w:rPr>
          <w:rFonts w:ascii="Book Antiqua" w:hAnsi="Book Antiqua"/>
        </w:rPr>
        <w:t>, Li JY, Jiang J, Wang J, Zhang QY, Wang TY, Krasna MJ. Outcome of floppy Nissen fundoplication with intraoperative manometry to treat sliding hiatal hernia. </w:t>
      </w:r>
      <w:r w:rsidRPr="00995972">
        <w:rPr>
          <w:rFonts w:ascii="Book Antiqua" w:hAnsi="Book Antiqua"/>
          <w:i/>
          <w:iCs/>
        </w:rPr>
        <w:t>Dis Esophagus</w:t>
      </w:r>
      <w:r w:rsidRPr="00995972">
        <w:rPr>
          <w:rFonts w:ascii="Book Antiqua" w:hAnsi="Book Antiqua"/>
        </w:rPr>
        <w:t> 2008; </w:t>
      </w:r>
      <w:r w:rsidRPr="00995972">
        <w:rPr>
          <w:rFonts w:ascii="Book Antiqua" w:hAnsi="Book Antiqua"/>
          <w:b/>
          <w:bCs/>
        </w:rPr>
        <w:t>21</w:t>
      </w:r>
      <w:r w:rsidRPr="00995972">
        <w:rPr>
          <w:rFonts w:ascii="Book Antiqua" w:hAnsi="Book Antiqua"/>
        </w:rPr>
        <w:t>: 364-369 [PMID: 18477260 DOI: 10.1111/j.1442-2050.2007.00777.x]</w:t>
      </w:r>
    </w:p>
    <w:p w14:paraId="03615F93"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75 </w:t>
      </w:r>
      <w:r w:rsidRPr="00995972">
        <w:rPr>
          <w:rFonts w:ascii="Book Antiqua" w:hAnsi="Book Antiqua"/>
          <w:b/>
          <w:bCs/>
        </w:rPr>
        <w:t>Lin M</w:t>
      </w:r>
      <w:r w:rsidRPr="00995972">
        <w:rPr>
          <w:rFonts w:ascii="Book Antiqua" w:hAnsi="Book Antiqua"/>
        </w:rPr>
        <w:t>, Triadafilopoulos G. Belching: dyspepsia or gastroesophageal reflux disease? </w:t>
      </w:r>
      <w:r w:rsidRPr="00995972">
        <w:rPr>
          <w:rFonts w:ascii="Book Antiqua" w:hAnsi="Book Antiqua"/>
          <w:i/>
          <w:iCs/>
        </w:rPr>
        <w:t>Am J Gastroenterol</w:t>
      </w:r>
      <w:r w:rsidRPr="00995972">
        <w:rPr>
          <w:rFonts w:ascii="Book Antiqua" w:hAnsi="Book Antiqua"/>
        </w:rPr>
        <w:t> 2003; </w:t>
      </w:r>
      <w:r w:rsidRPr="00995972">
        <w:rPr>
          <w:rFonts w:ascii="Book Antiqua" w:hAnsi="Book Antiqua"/>
          <w:b/>
          <w:bCs/>
        </w:rPr>
        <w:t>98</w:t>
      </w:r>
      <w:r w:rsidRPr="00995972">
        <w:rPr>
          <w:rFonts w:ascii="Book Antiqua" w:hAnsi="Book Antiqua"/>
        </w:rPr>
        <w:t>: 2139-2145 [PMID: 14572558 DOI: 10.1111/j.1572-0241.2003.07627.x]</w:t>
      </w:r>
    </w:p>
    <w:p w14:paraId="499C35DC"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76 </w:t>
      </w:r>
      <w:r w:rsidRPr="00995972">
        <w:rPr>
          <w:rFonts w:ascii="Book Antiqua" w:hAnsi="Book Antiqua"/>
          <w:b/>
          <w:bCs/>
        </w:rPr>
        <w:t>Conchillo JM</w:t>
      </w:r>
      <w:r w:rsidRPr="00995972">
        <w:rPr>
          <w:rFonts w:ascii="Book Antiqua" w:hAnsi="Book Antiqua"/>
        </w:rPr>
        <w:t>, Selimah M, Bredenoord AJ, Samsom M, Smout AJ. Air swallowing, belching, acid and non-acid reflux in patients with functional dyspepsia. </w:t>
      </w:r>
      <w:r w:rsidRPr="00995972">
        <w:rPr>
          <w:rFonts w:ascii="Book Antiqua" w:hAnsi="Book Antiqua"/>
          <w:i/>
          <w:iCs/>
        </w:rPr>
        <w:t>Aliment Pharmacol Ther</w:t>
      </w:r>
      <w:r w:rsidRPr="00995972">
        <w:rPr>
          <w:rFonts w:ascii="Book Antiqua" w:hAnsi="Book Antiqua"/>
        </w:rPr>
        <w:t> 2007; </w:t>
      </w:r>
      <w:r w:rsidRPr="00995972">
        <w:rPr>
          <w:rFonts w:ascii="Book Antiqua" w:hAnsi="Book Antiqua"/>
          <w:b/>
          <w:bCs/>
        </w:rPr>
        <w:t>25</w:t>
      </w:r>
      <w:r w:rsidRPr="00995972">
        <w:rPr>
          <w:rFonts w:ascii="Book Antiqua" w:hAnsi="Book Antiqua"/>
        </w:rPr>
        <w:t>: 965-971 [PMID: 17403001 DOI: 10.1111/j.1365-2036.2007.03279.x]</w:t>
      </w:r>
    </w:p>
    <w:p w14:paraId="08CB2040"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77 </w:t>
      </w:r>
      <w:r w:rsidRPr="00995972">
        <w:rPr>
          <w:rFonts w:ascii="Book Antiqua" w:hAnsi="Book Antiqua"/>
          <w:b/>
          <w:bCs/>
        </w:rPr>
        <w:t>Sawada A</w:t>
      </w:r>
      <w:r w:rsidRPr="00995972">
        <w:rPr>
          <w:rFonts w:ascii="Book Antiqua" w:hAnsi="Book Antiqua"/>
        </w:rPr>
        <w:t>, Guzman M, Nikaki K, Sonmez S, Yazaki E, Aziz Q, Woodland P, Rogers B, Gyawali CP, Sifrim D. Identification of Different Phenotypes of Esophageal Reflux Hypersensitivity and Implications for Treatment. </w:t>
      </w:r>
      <w:r w:rsidRPr="00995972">
        <w:rPr>
          <w:rFonts w:ascii="Book Antiqua" w:hAnsi="Book Antiqua"/>
          <w:i/>
          <w:iCs/>
        </w:rPr>
        <w:t>Clin Gastroenterol Hepatol</w:t>
      </w:r>
      <w:r w:rsidRPr="00995972">
        <w:rPr>
          <w:rFonts w:ascii="Book Antiqua" w:hAnsi="Book Antiqua"/>
        </w:rPr>
        <w:t> 2020 [PMID: 32272249 DOI: 10.1016/j.cgh.2020.03.063]</w:t>
      </w:r>
    </w:p>
    <w:p w14:paraId="73A0FD3B"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78 </w:t>
      </w:r>
      <w:r w:rsidRPr="00995972">
        <w:rPr>
          <w:rFonts w:ascii="Book Antiqua" w:hAnsi="Book Antiqua"/>
          <w:b/>
          <w:bCs/>
        </w:rPr>
        <w:t>Bredenoord AJ</w:t>
      </w:r>
      <w:r w:rsidRPr="00995972">
        <w:rPr>
          <w:rFonts w:ascii="Book Antiqua" w:hAnsi="Book Antiqua"/>
        </w:rPr>
        <w:t>. Excessive belching and aerophagia: two different disorders. </w:t>
      </w:r>
      <w:r w:rsidRPr="00995972">
        <w:rPr>
          <w:rFonts w:ascii="Book Antiqua" w:hAnsi="Book Antiqua"/>
          <w:i/>
          <w:iCs/>
        </w:rPr>
        <w:t>Dis Esophagus</w:t>
      </w:r>
      <w:r w:rsidRPr="00995972">
        <w:rPr>
          <w:rFonts w:ascii="Book Antiqua" w:hAnsi="Book Antiqua"/>
        </w:rPr>
        <w:t> 2010; </w:t>
      </w:r>
      <w:r w:rsidRPr="00995972">
        <w:rPr>
          <w:rFonts w:ascii="Book Antiqua" w:hAnsi="Book Antiqua"/>
          <w:b/>
          <w:bCs/>
        </w:rPr>
        <w:t>23</w:t>
      </w:r>
      <w:r w:rsidRPr="00995972">
        <w:rPr>
          <w:rFonts w:ascii="Book Antiqua" w:hAnsi="Book Antiqua"/>
        </w:rPr>
        <w:t>: 347-352 [PMID: 20095992 DOI: 10.1111/j.1442-2050.2009.01038.x]</w:t>
      </w:r>
    </w:p>
    <w:p w14:paraId="021FB34E"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79 </w:t>
      </w:r>
      <w:r w:rsidRPr="00995972">
        <w:rPr>
          <w:rFonts w:ascii="Book Antiqua" w:hAnsi="Book Antiqua"/>
          <w:b/>
          <w:bCs/>
        </w:rPr>
        <w:t>Holloway RH</w:t>
      </w:r>
      <w:r w:rsidRPr="00995972">
        <w:rPr>
          <w:rFonts w:ascii="Book Antiqua" w:hAnsi="Book Antiqua"/>
        </w:rPr>
        <w:t>. Combined impedance-manometry for the evaluation of esophageal disorders. </w:t>
      </w:r>
      <w:r w:rsidRPr="00995972">
        <w:rPr>
          <w:rFonts w:ascii="Book Antiqua" w:hAnsi="Book Antiqua"/>
          <w:i/>
          <w:iCs/>
        </w:rPr>
        <w:t>Curr Opin Gastroenterol</w:t>
      </w:r>
      <w:r w:rsidRPr="00995972">
        <w:rPr>
          <w:rFonts w:ascii="Book Antiqua" w:hAnsi="Book Antiqua"/>
        </w:rPr>
        <w:t> 2014; </w:t>
      </w:r>
      <w:r w:rsidRPr="00995972">
        <w:rPr>
          <w:rFonts w:ascii="Book Antiqua" w:hAnsi="Book Antiqua"/>
          <w:b/>
          <w:bCs/>
        </w:rPr>
        <w:t>30</w:t>
      </w:r>
      <w:r w:rsidRPr="00995972">
        <w:rPr>
          <w:rFonts w:ascii="Book Antiqua" w:hAnsi="Book Antiqua"/>
        </w:rPr>
        <w:t>: 422-427 [PMID: 24859805 DOI: 10.1097/MOG.0000000000000079]</w:t>
      </w:r>
    </w:p>
    <w:p w14:paraId="152E55FC"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80 </w:t>
      </w:r>
      <w:r w:rsidRPr="00995972">
        <w:rPr>
          <w:rFonts w:ascii="Book Antiqua" w:hAnsi="Book Antiqua"/>
          <w:b/>
          <w:bCs/>
        </w:rPr>
        <w:t>Kessing BF</w:t>
      </w:r>
      <w:r w:rsidRPr="00995972">
        <w:rPr>
          <w:rFonts w:ascii="Book Antiqua" w:hAnsi="Book Antiqua"/>
        </w:rPr>
        <w:t>, Bredenoord AJ, Smout AJ. The pathophysiology, diagnosis and treatment of excessive belching symptoms. </w:t>
      </w:r>
      <w:r w:rsidRPr="00995972">
        <w:rPr>
          <w:rFonts w:ascii="Book Antiqua" w:hAnsi="Book Antiqua"/>
          <w:i/>
          <w:iCs/>
        </w:rPr>
        <w:t>Am J Gastroenterol</w:t>
      </w:r>
      <w:r w:rsidRPr="00995972">
        <w:rPr>
          <w:rFonts w:ascii="Book Antiqua" w:hAnsi="Book Antiqua"/>
        </w:rPr>
        <w:t> 2014; </w:t>
      </w:r>
      <w:r w:rsidRPr="00995972">
        <w:rPr>
          <w:rFonts w:ascii="Book Antiqua" w:hAnsi="Book Antiqua"/>
          <w:b/>
          <w:bCs/>
        </w:rPr>
        <w:t>109</w:t>
      </w:r>
      <w:r w:rsidRPr="00995972">
        <w:rPr>
          <w:rFonts w:ascii="Book Antiqua" w:hAnsi="Book Antiqua"/>
        </w:rPr>
        <w:t>: 1196-203); (Quiz) 1204 [PMID: 25001253 DOI: 10.1038/ajg.2014.165]</w:t>
      </w:r>
    </w:p>
    <w:p w14:paraId="2DA56331"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81 </w:t>
      </w:r>
      <w:r w:rsidRPr="00995972">
        <w:rPr>
          <w:rFonts w:ascii="Book Antiqua" w:hAnsi="Book Antiqua"/>
          <w:b/>
          <w:bCs/>
        </w:rPr>
        <w:t>Dellon ES</w:t>
      </w:r>
      <w:r w:rsidRPr="00995972">
        <w:rPr>
          <w:rFonts w:ascii="Book Antiqua" w:hAnsi="Book Antiqua"/>
        </w:rPr>
        <w:t>, Liacouras CA, Molina-Infante J, Furuta GT, Spergel JM, Zevit N, Spechler SJ, Attwood SE, Straumann A, Aceves SS, Alexander JA, Atkins D, Arva NC, Blanchard C, Bonis PA, Book WM, Capocelli KE, Chehade M, Cheng E, Collins MH, Davis CM, Dias JA, Di Lorenzo C, Dohil R, Dupont C, Falk GW, Ferreira CT, Fox A, Gonsalves NP, Gupta SK, Katzka DA, Kinoshita Y, Menard-Katcher C, Kodroff E, Metz DC, Miehlke S, Muir AB, Mukkada VA, Murch S, Nurko S, Ohtsuka Y, Orel R, Papadopoulou A, Peterson KA, Philpott H, Putnam PE, Richter JE, Rosen R, Rothenberg ME, Schoepfer A, Scott MM, Shah N, Sheikh J, Souza RF, Strobel MJ, Talley NJ, Vaezi MF, Vandenplas Y, Vieira MC, Walker MM, Wechsler JB, Wershil BK, Wen T, Yang GY, Hirano I, Bredenoord AJ. Updated International Consensus Diagnostic Criteria for Eosinophilic Esophagitis: Proceedings of the AGREE Conference. </w:t>
      </w:r>
      <w:r w:rsidRPr="00995972">
        <w:rPr>
          <w:rFonts w:ascii="Book Antiqua" w:hAnsi="Book Antiqua"/>
          <w:i/>
          <w:iCs/>
        </w:rPr>
        <w:t>Gastroenterology</w:t>
      </w:r>
      <w:r w:rsidRPr="00995972">
        <w:rPr>
          <w:rFonts w:ascii="Book Antiqua" w:hAnsi="Book Antiqua"/>
        </w:rPr>
        <w:t> 2018; </w:t>
      </w:r>
      <w:r w:rsidRPr="00995972">
        <w:rPr>
          <w:rFonts w:ascii="Book Antiqua" w:hAnsi="Book Antiqua"/>
          <w:b/>
          <w:bCs/>
        </w:rPr>
        <w:t>155</w:t>
      </w:r>
      <w:r w:rsidRPr="00995972">
        <w:rPr>
          <w:rFonts w:ascii="Book Antiqua" w:hAnsi="Book Antiqua"/>
        </w:rPr>
        <w:t>: 1022-1033.e10 [PMID: 30009819 DOI: 10.1053/j.gastro.2018.07.009]</w:t>
      </w:r>
    </w:p>
    <w:p w14:paraId="3CDB1396" w14:textId="77777777" w:rsidR="00314B24" w:rsidRPr="00995972" w:rsidRDefault="00314B24"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82 </w:t>
      </w:r>
      <w:r w:rsidRPr="00995972">
        <w:rPr>
          <w:rFonts w:ascii="Book Antiqua" w:hAnsi="Book Antiqua"/>
          <w:b/>
          <w:bCs/>
        </w:rPr>
        <w:t>Camilleri M</w:t>
      </w:r>
      <w:r w:rsidRPr="00995972">
        <w:rPr>
          <w:rFonts w:ascii="Book Antiqua" w:hAnsi="Book Antiqua"/>
        </w:rPr>
        <w:t>, Chedid V, Ford AC, Haruma K, Horowitz M, Jones KL, Low PA, Park SY, Parkman HP, Stanghellini V. Gastroparesis. </w:t>
      </w:r>
      <w:r w:rsidRPr="00995972">
        <w:rPr>
          <w:rFonts w:ascii="Book Antiqua" w:hAnsi="Book Antiqua"/>
          <w:i/>
          <w:iCs/>
        </w:rPr>
        <w:t>Nat Rev Dis Primers</w:t>
      </w:r>
      <w:r w:rsidRPr="00995972">
        <w:rPr>
          <w:rFonts w:ascii="Book Antiqua" w:hAnsi="Book Antiqua"/>
        </w:rPr>
        <w:t> 2018; </w:t>
      </w:r>
      <w:r w:rsidRPr="00995972">
        <w:rPr>
          <w:rFonts w:ascii="Book Antiqua" w:hAnsi="Book Antiqua"/>
          <w:b/>
          <w:bCs/>
        </w:rPr>
        <w:t>4</w:t>
      </w:r>
      <w:r w:rsidRPr="00995972">
        <w:rPr>
          <w:rFonts w:ascii="Book Antiqua" w:hAnsi="Book Antiqua"/>
        </w:rPr>
        <w:t>: 41 [PMID: 30385743 DOI: 10.1038/s41572-018-0038-z]</w:t>
      </w:r>
    </w:p>
    <w:p w14:paraId="3B8B3197" w14:textId="77777777" w:rsidR="00314B24" w:rsidRPr="00995972" w:rsidRDefault="007E68A0" w:rsidP="00314B24">
      <w:pPr>
        <w:pStyle w:val="a3"/>
        <w:shd w:val="clear" w:color="auto" w:fill="FFFFFF"/>
        <w:adjustRightInd w:val="0"/>
        <w:snapToGrid w:val="0"/>
        <w:spacing w:before="0" w:beforeAutospacing="0" w:after="0" w:afterAutospacing="0" w:line="360" w:lineRule="auto"/>
        <w:jc w:val="both"/>
        <w:rPr>
          <w:rFonts w:ascii="Book Antiqua" w:hAnsi="Book Antiqua"/>
        </w:rPr>
      </w:pPr>
      <w:r w:rsidRPr="00995972">
        <w:rPr>
          <w:rFonts w:ascii="Book Antiqua" w:hAnsi="Book Antiqua"/>
        </w:rPr>
        <w:t>83</w:t>
      </w:r>
      <w:r w:rsidR="00314B24" w:rsidRPr="00995972">
        <w:rPr>
          <w:rFonts w:ascii="Book Antiqua" w:hAnsi="Book Antiqua"/>
        </w:rPr>
        <w:t xml:space="preserve"> </w:t>
      </w:r>
      <w:bookmarkStart w:id="59" w:name="OLE_LINK228"/>
      <w:bookmarkStart w:id="60" w:name="OLE_LINK229"/>
      <w:r w:rsidR="00314B24" w:rsidRPr="00995972">
        <w:rPr>
          <w:rFonts w:ascii="Book Antiqua" w:hAnsi="Book Antiqua"/>
          <w:b/>
          <w:bCs/>
        </w:rPr>
        <w:t xml:space="preserve">Rome IV </w:t>
      </w:r>
      <w:r w:rsidRPr="00995972">
        <w:rPr>
          <w:rFonts w:ascii="Book Antiqua" w:hAnsi="Book Antiqua"/>
          <w:b/>
          <w:bCs/>
        </w:rPr>
        <w:t>Criteria</w:t>
      </w:r>
      <w:r w:rsidRPr="00995972">
        <w:rPr>
          <w:rFonts w:ascii="Book Antiqua" w:hAnsi="Book Antiqua"/>
        </w:rPr>
        <w:t xml:space="preserve">. Rome Foundation. </w:t>
      </w:r>
      <w:bookmarkEnd w:id="59"/>
      <w:bookmarkEnd w:id="60"/>
      <w:r w:rsidR="004137D2" w:rsidRPr="00995972">
        <w:rPr>
          <w:rFonts w:ascii="Book Antiqua" w:hAnsi="Book Antiqua"/>
        </w:rPr>
        <w:t>2016</w:t>
      </w:r>
      <w:r w:rsidR="00835FF9" w:rsidRPr="00995972">
        <w:rPr>
          <w:rFonts w:ascii="Book Antiqua" w:hAnsi="Book Antiqua" w:hint="eastAsia"/>
        </w:rPr>
        <w:t>.</w:t>
      </w:r>
      <w:r w:rsidR="004137D2" w:rsidRPr="00995972">
        <w:rPr>
          <w:rFonts w:ascii="Book Antiqua" w:hAnsi="Book Antiqua" w:hint="eastAsia"/>
        </w:rPr>
        <w:t xml:space="preserve"> </w:t>
      </w:r>
      <w:r w:rsidR="005C0622" w:rsidRPr="00995972">
        <w:rPr>
          <w:rFonts w:ascii="Book Antiqua" w:hAnsi="Book Antiqua" w:hint="eastAsia"/>
        </w:rPr>
        <w:t xml:space="preserve">[cited 20 January 2021]. </w:t>
      </w:r>
      <w:r w:rsidR="004137D2" w:rsidRPr="00995972">
        <w:rPr>
          <w:rFonts w:ascii="Book Antiqua" w:hAnsi="Book Antiqua" w:hint="eastAsia"/>
        </w:rPr>
        <w:t xml:space="preserve">Available from: </w:t>
      </w:r>
      <w:r w:rsidR="004137D2" w:rsidRPr="00995972">
        <w:rPr>
          <w:rFonts w:ascii="Book Antiqua" w:hAnsi="Book Antiqua"/>
        </w:rPr>
        <w:t>https://theromefoundation.org/rome-iv/rome-iv-criteria/</w:t>
      </w:r>
    </w:p>
    <w:bookmarkEnd w:id="53"/>
    <w:bookmarkEnd w:id="54"/>
    <w:p w14:paraId="65FA4E5C" w14:textId="77777777" w:rsidR="0051093F" w:rsidRPr="00995972" w:rsidRDefault="0051093F">
      <w:pPr>
        <w:spacing w:line="360" w:lineRule="auto"/>
        <w:jc w:val="both"/>
        <w:rPr>
          <w:lang w:eastAsia="zh-CN"/>
        </w:rPr>
        <w:sectPr w:rsidR="0051093F" w:rsidRPr="00995972">
          <w:pgSz w:w="12240" w:h="15840"/>
          <w:pgMar w:top="1440" w:right="1440" w:bottom="1440" w:left="1440" w:header="720" w:footer="720" w:gutter="0"/>
          <w:cols w:space="720"/>
          <w:docGrid w:linePitch="360"/>
        </w:sectPr>
      </w:pPr>
    </w:p>
    <w:p w14:paraId="4E9D1DD3" w14:textId="77777777" w:rsidR="00A77B3E" w:rsidRPr="00995972" w:rsidRDefault="006C4286">
      <w:pPr>
        <w:spacing w:line="360" w:lineRule="auto"/>
        <w:jc w:val="both"/>
      </w:pPr>
      <w:r w:rsidRPr="00995972">
        <w:rPr>
          <w:rFonts w:ascii="Book Antiqua" w:eastAsia="Book Antiqua" w:hAnsi="Book Antiqua" w:cs="Book Antiqua"/>
          <w:b/>
          <w:color w:val="000000"/>
        </w:rPr>
        <w:t>Footnotes</w:t>
      </w:r>
    </w:p>
    <w:p w14:paraId="7C8E11E6" w14:textId="77777777" w:rsidR="00A77B3E" w:rsidRPr="00995972" w:rsidRDefault="006C4286">
      <w:pPr>
        <w:spacing w:line="360" w:lineRule="auto"/>
        <w:jc w:val="both"/>
      </w:pPr>
      <w:r w:rsidRPr="00995972">
        <w:rPr>
          <w:rFonts w:ascii="Book Antiqua" w:eastAsia="Book Antiqua" w:hAnsi="Book Antiqua" w:cs="Book Antiqua"/>
          <w:b/>
          <w:bCs/>
          <w:color w:val="000000"/>
        </w:rPr>
        <w:t xml:space="preserve">Conflict-of-interest statement: </w:t>
      </w:r>
      <w:r w:rsidRPr="00995972">
        <w:rPr>
          <w:rFonts w:ascii="Book Antiqua" w:eastAsia="Book Antiqua" w:hAnsi="Book Antiqua" w:cs="Book Antiqua"/>
          <w:color w:val="000000"/>
        </w:rPr>
        <w:t>The authors disclose no conflicts of interest or external funding for this publication.</w:t>
      </w:r>
    </w:p>
    <w:p w14:paraId="7151941F" w14:textId="77777777" w:rsidR="00A77B3E" w:rsidRPr="00995972" w:rsidRDefault="00A77B3E">
      <w:pPr>
        <w:spacing w:line="360" w:lineRule="auto"/>
        <w:jc w:val="both"/>
      </w:pPr>
    </w:p>
    <w:p w14:paraId="61AC54EF" w14:textId="77777777" w:rsidR="00A77B3E" w:rsidRPr="00995972" w:rsidRDefault="006C4286">
      <w:pPr>
        <w:spacing w:line="360" w:lineRule="auto"/>
        <w:jc w:val="both"/>
      </w:pPr>
      <w:r w:rsidRPr="00995972">
        <w:rPr>
          <w:rFonts w:ascii="Book Antiqua" w:eastAsia="Book Antiqua" w:hAnsi="Book Antiqua" w:cs="Book Antiqua"/>
          <w:b/>
          <w:bCs/>
          <w:color w:val="000000"/>
        </w:rPr>
        <w:t xml:space="preserve">Open-Access: </w:t>
      </w:r>
      <w:r w:rsidRPr="00995972">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B432F6A" w14:textId="77777777" w:rsidR="00A77B3E" w:rsidRPr="00995972" w:rsidRDefault="00A77B3E">
      <w:pPr>
        <w:spacing w:line="360" w:lineRule="auto"/>
        <w:jc w:val="both"/>
      </w:pPr>
    </w:p>
    <w:p w14:paraId="4B7EC023" w14:textId="77777777" w:rsidR="00A77B3E" w:rsidRPr="00995972" w:rsidRDefault="006C4286">
      <w:pPr>
        <w:spacing w:line="360" w:lineRule="auto"/>
        <w:jc w:val="both"/>
      </w:pPr>
      <w:r w:rsidRPr="00995972">
        <w:rPr>
          <w:rFonts w:ascii="Book Antiqua" w:eastAsia="Book Antiqua" w:hAnsi="Book Antiqua" w:cs="Book Antiqua"/>
          <w:b/>
          <w:color w:val="000000"/>
        </w:rPr>
        <w:t xml:space="preserve">Manuscript source: </w:t>
      </w:r>
      <w:r w:rsidRPr="00995972">
        <w:rPr>
          <w:rFonts w:ascii="Book Antiqua" w:eastAsia="Book Antiqua" w:hAnsi="Book Antiqua" w:cs="Book Antiqua"/>
          <w:color w:val="000000"/>
        </w:rPr>
        <w:t xml:space="preserve">Invited </w:t>
      </w:r>
      <w:bookmarkStart w:id="61" w:name="OLE_LINK184"/>
      <w:bookmarkStart w:id="62" w:name="OLE_LINK185"/>
      <w:bookmarkStart w:id="63" w:name="OLE_LINK186"/>
      <w:bookmarkStart w:id="64" w:name="OLE_LINK187"/>
      <w:r w:rsidR="00276FA6" w:rsidRPr="00995972">
        <w:rPr>
          <w:rFonts w:ascii="Book Antiqua" w:eastAsia="Book Antiqua" w:hAnsi="Book Antiqua" w:cs="Book Antiqua"/>
          <w:color w:val="000000"/>
        </w:rPr>
        <w:t>manuscript</w:t>
      </w:r>
      <w:bookmarkEnd w:id="61"/>
      <w:bookmarkEnd w:id="62"/>
      <w:bookmarkEnd w:id="63"/>
      <w:bookmarkEnd w:id="64"/>
    </w:p>
    <w:p w14:paraId="589DD541" w14:textId="77777777" w:rsidR="00A77B3E" w:rsidRPr="00995972" w:rsidRDefault="00A77B3E">
      <w:pPr>
        <w:spacing w:line="360" w:lineRule="auto"/>
        <w:jc w:val="both"/>
      </w:pPr>
    </w:p>
    <w:p w14:paraId="3A0B16F3" w14:textId="77777777" w:rsidR="00A77B3E" w:rsidRPr="00995972" w:rsidRDefault="006C4286">
      <w:pPr>
        <w:spacing w:line="360" w:lineRule="auto"/>
        <w:jc w:val="both"/>
      </w:pPr>
      <w:r w:rsidRPr="00995972">
        <w:rPr>
          <w:rFonts w:ascii="Book Antiqua" w:eastAsia="Book Antiqua" w:hAnsi="Book Antiqua" w:cs="Book Antiqua"/>
          <w:b/>
          <w:color w:val="000000"/>
        </w:rPr>
        <w:t xml:space="preserve">Peer-review started: </w:t>
      </w:r>
      <w:r w:rsidRPr="00995972">
        <w:rPr>
          <w:rFonts w:ascii="Book Antiqua" w:eastAsia="Book Antiqua" w:hAnsi="Book Antiqua" w:cs="Book Antiqua"/>
          <w:color w:val="000000"/>
        </w:rPr>
        <w:t>January 23, 2021</w:t>
      </w:r>
    </w:p>
    <w:p w14:paraId="567C372D" w14:textId="77777777" w:rsidR="00A77B3E" w:rsidRPr="00995972" w:rsidRDefault="006C4286">
      <w:pPr>
        <w:spacing w:line="360" w:lineRule="auto"/>
        <w:jc w:val="both"/>
      </w:pPr>
      <w:r w:rsidRPr="00995972">
        <w:rPr>
          <w:rFonts w:ascii="Book Antiqua" w:eastAsia="Book Antiqua" w:hAnsi="Book Antiqua" w:cs="Book Antiqua"/>
          <w:b/>
          <w:color w:val="000000"/>
        </w:rPr>
        <w:t xml:space="preserve">First decision: </w:t>
      </w:r>
      <w:r w:rsidRPr="00995972">
        <w:rPr>
          <w:rFonts w:ascii="Book Antiqua" w:eastAsia="Book Antiqua" w:hAnsi="Book Antiqua" w:cs="Book Antiqua"/>
          <w:color w:val="000000"/>
        </w:rPr>
        <w:t>February 10, 2021</w:t>
      </w:r>
    </w:p>
    <w:p w14:paraId="765D9D73" w14:textId="5C10A422" w:rsidR="00A77B3E" w:rsidRPr="00995972" w:rsidRDefault="006C4286">
      <w:pPr>
        <w:spacing w:line="360" w:lineRule="auto"/>
        <w:jc w:val="both"/>
      </w:pPr>
      <w:r w:rsidRPr="00995972">
        <w:rPr>
          <w:rFonts w:ascii="Book Antiqua" w:eastAsia="Book Antiqua" w:hAnsi="Book Antiqua" w:cs="Book Antiqua"/>
          <w:b/>
          <w:color w:val="000000"/>
        </w:rPr>
        <w:t xml:space="preserve">Article in press: </w:t>
      </w:r>
      <w:r w:rsidR="00657E44" w:rsidRPr="00995972">
        <w:rPr>
          <w:rFonts w:ascii="Book Antiqua" w:eastAsia="Book Antiqua" w:hAnsi="Book Antiqua" w:cs="Book Antiqua"/>
          <w:color w:val="000000"/>
        </w:rPr>
        <w:t>March 25, 2021</w:t>
      </w:r>
    </w:p>
    <w:p w14:paraId="006E3865" w14:textId="77777777" w:rsidR="00A77B3E" w:rsidRPr="00995972" w:rsidRDefault="00A77B3E">
      <w:pPr>
        <w:spacing w:line="360" w:lineRule="auto"/>
        <w:jc w:val="both"/>
      </w:pPr>
    </w:p>
    <w:p w14:paraId="1F7638A9" w14:textId="77777777" w:rsidR="00A77B3E" w:rsidRPr="00995972" w:rsidRDefault="006C4286">
      <w:pPr>
        <w:spacing w:line="360" w:lineRule="auto"/>
        <w:jc w:val="both"/>
      </w:pPr>
      <w:r w:rsidRPr="00995972">
        <w:rPr>
          <w:rFonts w:ascii="Book Antiqua" w:eastAsia="Book Antiqua" w:hAnsi="Book Antiqua" w:cs="Book Antiqua"/>
          <w:b/>
          <w:color w:val="000000"/>
        </w:rPr>
        <w:t xml:space="preserve">Specialty type: </w:t>
      </w:r>
      <w:r w:rsidRPr="00995972">
        <w:rPr>
          <w:rFonts w:ascii="Book Antiqua" w:eastAsia="Book Antiqua" w:hAnsi="Book Antiqua" w:cs="Book Antiqua"/>
          <w:color w:val="000000"/>
        </w:rPr>
        <w:t xml:space="preserve">Gastroenterology and </w:t>
      </w:r>
      <w:r w:rsidR="00276FA6" w:rsidRPr="00995972">
        <w:rPr>
          <w:rFonts w:ascii="Book Antiqua" w:eastAsia="Book Antiqua" w:hAnsi="Book Antiqua" w:cs="Book Antiqua"/>
          <w:color w:val="000000"/>
        </w:rPr>
        <w:t>hepatology</w:t>
      </w:r>
    </w:p>
    <w:p w14:paraId="15686731" w14:textId="77777777" w:rsidR="00A77B3E" w:rsidRPr="00995972" w:rsidRDefault="006C4286">
      <w:pPr>
        <w:spacing w:line="360" w:lineRule="auto"/>
        <w:jc w:val="both"/>
      </w:pPr>
      <w:r w:rsidRPr="00995972">
        <w:rPr>
          <w:rFonts w:ascii="Book Antiqua" w:eastAsia="Book Antiqua" w:hAnsi="Book Antiqua" w:cs="Book Antiqua"/>
          <w:b/>
          <w:color w:val="000000"/>
        </w:rPr>
        <w:t xml:space="preserve">Country/Territory of origin: </w:t>
      </w:r>
      <w:r w:rsidRPr="00995972">
        <w:rPr>
          <w:rFonts w:ascii="Book Antiqua" w:eastAsia="Book Antiqua" w:hAnsi="Book Antiqua" w:cs="Book Antiqua"/>
          <w:color w:val="000000"/>
        </w:rPr>
        <w:t>United States</w:t>
      </w:r>
    </w:p>
    <w:p w14:paraId="614B7FD4" w14:textId="77777777" w:rsidR="00A77B3E" w:rsidRPr="00995972" w:rsidRDefault="006C4286">
      <w:pPr>
        <w:spacing w:line="360" w:lineRule="auto"/>
        <w:jc w:val="both"/>
      </w:pPr>
      <w:r w:rsidRPr="00995972">
        <w:rPr>
          <w:rFonts w:ascii="Book Antiqua" w:eastAsia="Book Antiqua" w:hAnsi="Book Antiqua" w:cs="Book Antiqua"/>
          <w:b/>
          <w:color w:val="000000"/>
        </w:rPr>
        <w:t>Peer-review report’s scientific quality classification</w:t>
      </w:r>
    </w:p>
    <w:p w14:paraId="2873D2FA" w14:textId="77777777" w:rsidR="00A77B3E" w:rsidRPr="00995972" w:rsidRDefault="006C4286">
      <w:pPr>
        <w:spacing w:line="360" w:lineRule="auto"/>
        <w:jc w:val="both"/>
      </w:pPr>
      <w:r w:rsidRPr="00995972">
        <w:rPr>
          <w:rFonts w:ascii="Book Antiqua" w:eastAsia="Book Antiqua" w:hAnsi="Book Antiqua" w:cs="Book Antiqua"/>
          <w:color w:val="000000"/>
        </w:rPr>
        <w:t>Grade A (Excellent): A, A</w:t>
      </w:r>
    </w:p>
    <w:p w14:paraId="7E7192A3" w14:textId="77777777" w:rsidR="00A77B3E" w:rsidRPr="00995972" w:rsidRDefault="006C4286">
      <w:pPr>
        <w:spacing w:line="360" w:lineRule="auto"/>
        <w:jc w:val="both"/>
      </w:pPr>
      <w:r w:rsidRPr="00995972">
        <w:rPr>
          <w:rFonts w:ascii="Book Antiqua" w:eastAsia="Book Antiqua" w:hAnsi="Book Antiqua" w:cs="Book Antiqua"/>
          <w:color w:val="000000"/>
        </w:rPr>
        <w:t>Grade B (Very good): B, B</w:t>
      </w:r>
    </w:p>
    <w:p w14:paraId="661384E7" w14:textId="77777777" w:rsidR="00A77B3E" w:rsidRPr="00995972" w:rsidRDefault="006C4286">
      <w:pPr>
        <w:spacing w:line="360" w:lineRule="auto"/>
        <w:jc w:val="both"/>
      </w:pPr>
      <w:r w:rsidRPr="00995972">
        <w:rPr>
          <w:rFonts w:ascii="Book Antiqua" w:eastAsia="Book Antiqua" w:hAnsi="Book Antiqua" w:cs="Book Antiqua"/>
          <w:color w:val="000000"/>
        </w:rPr>
        <w:t>Grade C (Good): C</w:t>
      </w:r>
    </w:p>
    <w:p w14:paraId="15DE7E58" w14:textId="77777777" w:rsidR="00A77B3E" w:rsidRPr="00995972" w:rsidRDefault="006C4286">
      <w:pPr>
        <w:spacing w:line="360" w:lineRule="auto"/>
        <w:jc w:val="both"/>
      </w:pPr>
      <w:r w:rsidRPr="00995972">
        <w:rPr>
          <w:rFonts w:ascii="Book Antiqua" w:eastAsia="Book Antiqua" w:hAnsi="Book Antiqua" w:cs="Book Antiqua"/>
          <w:color w:val="000000"/>
        </w:rPr>
        <w:t>Grade D (Fair): 0</w:t>
      </w:r>
    </w:p>
    <w:p w14:paraId="13A1A314" w14:textId="77777777" w:rsidR="00A77B3E" w:rsidRPr="00995972" w:rsidRDefault="006C4286">
      <w:pPr>
        <w:spacing w:line="360" w:lineRule="auto"/>
        <w:jc w:val="both"/>
      </w:pPr>
      <w:r w:rsidRPr="00995972">
        <w:rPr>
          <w:rFonts w:ascii="Book Antiqua" w:eastAsia="Book Antiqua" w:hAnsi="Book Antiqua" w:cs="Book Antiqua"/>
          <w:color w:val="000000"/>
        </w:rPr>
        <w:t>Grade E (Poor): 0</w:t>
      </w:r>
    </w:p>
    <w:p w14:paraId="3AF9F714" w14:textId="77777777" w:rsidR="00A77B3E" w:rsidRPr="00995972" w:rsidRDefault="00A77B3E">
      <w:pPr>
        <w:spacing w:line="360" w:lineRule="auto"/>
        <w:jc w:val="both"/>
      </w:pPr>
    </w:p>
    <w:p w14:paraId="228898AD" w14:textId="77777777" w:rsidR="00A77B3E" w:rsidRPr="00995972" w:rsidRDefault="006C4286">
      <w:pPr>
        <w:spacing w:line="360" w:lineRule="auto"/>
        <w:jc w:val="both"/>
        <w:sectPr w:rsidR="00A77B3E" w:rsidRPr="00995972">
          <w:pgSz w:w="12240" w:h="15840"/>
          <w:pgMar w:top="1440" w:right="1440" w:bottom="1440" w:left="1440" w:header="720" w:footer="720" w:gutter="0"/>
          <w:cols w:space="720"/>
          <w:docGrid w:linePitch="360"/>
        </w:sectPr>
      </w:pPr>
      <w:r w:rsidRPr="00995972">
        <w:rPr>
          <w:rFonts w:ascii="Book Antiqua" w:eastAsia="Book Antiqua" w:hAnsi="Book Antiqua" w:cs="Book Antiqua"/>
          <w:b/>
          <w:color w:val="000000"/>
        </w:rPr>
        <w:t xml:space="preserve">P-Reviewer: </w:t>
      </w:r>
      <w:r w:rsidRPr="00995972">
        <w:rPr>
          <w:rFonts w:ascii="Book Antiqua" w:eastAsia="Book Antiqua" w:hAnsi="Book Antiqua" w:cs="Book Antiqua"/>
          <w:color w:val="000000"/>
        </w:rPr>
        <w:t>Liu Y, Sawada A, Uygun I, Wang D</w:t>
      </w:r>
      <w:r w:rsidRPr="00995972">
        <w:rPr>
          <w:rFonts w:ascii="Book Antiqua" w:eastAsia="Book Antiqua" w:hAnsi="Book Antiqua" w:cs="Book Antiqua"/>
          <w:b/>
          <w:color w:val="000000"/>
        </w:rPr>
        <w:t xml:space="preserve"> S-Editor: </w:t>
      </w:r>
      <w:r w:rsidRPr="00995972">
        <w:rPr>
          <w:rFonts w:ascii="Book Antiqua" w:eastAsia="Book Antiqua" w:hAnsi="Book Antiqua" w:cs="Book Antiqua"/>
          <w:color w:val="000000"/>
        </w:rPr>
        <w:t>Zhang H</w:t>
      </w:r>
      <w:r w:rsidR="00276FA6" w:rsidRPr="00995972">
        <w:rPr>
          <w:rFonts w:ascii="Book Antiqua" w:eastAsia="Book Antiqua" w:hAnsi="Book Antiqua" w:cs="Book Antiqua"/>
          <w:b/>
          <w:color w:val="000000"/>
        </w:rPr>
        <w:t xml:space="preserve"> L-Editor: </w:t>
      </w:r>
      <w:r w:rsidRPr="00995972">
        <w:rPr>
          <w:rFonts w:ascii="Book Antiqua" w:eastAsia="Book Antiqua" w:hAnsi="Book Antiqua" w:cs="Book Antiqua"/>
          <w:b/>
          <w:color w:val="000000"/>
        </w:rPr>
        <w:t xml:space="preserve">P-Editor: </w:t>
      </w:r>
    </w:p>
    <w:p w14:paraId="6D55F997" w14:textId="1C916B09" w:rsidR="00A77B3E" w:rsidRPr="00995972" w:rsidRDefault="006C4286">
      <w:pPr>
        <w:spacing w:line="360" w:lineRule="auto"/>
        <w:jc w:val="both"/>
        <w:rPr>
          <w:rFonts w:ascii="Book Antiqua" w:eastAsia="Book Antiqua" w:hAnsi="Book Antiqua" w:cs="Book Antiqua"/>
          <w:b/>
          <w:color w:val="000000"/>
        </w:rPr>
      </w:pPr>
      <w:r w:rsidRPr="00995972">
        <w:rPr>
          <w:rFonts w:ascii="Book Antiqua" w:eastAsia="Book Antiqua" w:hAnsi="Book Antiqua" w:cs="Book Antiqua"/>
          <w:b/>
          <w:color w:val="000000"/>
        </w:rPr>
        <w:t>Figure Legends</w:t>
      </w:r>
    </w:p>
    <w:p w14:paraId="11C3F317" w14:textId="64120436" w:rsidR="009B75AC" w:rsidRPr="00995972" w:rsidRDefault="009B75AC">
      <w:pPr>
        <w:spacing w:line="360" w:lineRule="auto"/>
        <w:jc w:val="both"/>
        <w:rPr>
          <w:lang w:eastAsia="zh-CN"/>
        </w:rPr>
      </w:pPr>
      <w:r w:rsidRPr="00995972">
        <w:rPr>
          <w:rFonts w:ascii="Book Antiqua" w:hAnsi="Book Antiqua" w:cs="Book Antiqua" w:hint="eastAsia"/>
          <w:b/>
          <w:color w:val="000000"/>
          <w:lang w:eastAsia="zh-CN"/>
        </w:rPr>
        <w:t>A</w:t>
      </w:r>
    </w:p>
    <w:p w14:paraId="16550068" w14:textId="22387472" w:rsidR="00F84771" w:rsidRPr="00995972" w:rsidRDefault="00F84771">
      <w:pPr>
        <w:spacing w:line="360" w:lineRule="auto"/>
        <w:jc w:val="both"/>
        <w:rPr>
          <w:rFonts w:ascii="Book Antiqua" w:hAnsi="Book Antiqua" w:cs="Book Antiqua"/>
          <w:b/>
          <w:bCs/>
          <w:color w:val="000000"/>
          <w:lang w:eastAsia="zh-CN"/>
        </w:rPr>
      </w:pPr>
      <w:r w:rsidRPr="00995972">
        <w:rPr>
          <w:rFonts w:ascii="Book Antiqua" w:hAnsi="Book Antiqua" w:cs="Book Antiqua"/>
          <w:b/>
          <w:bCs/>
          <w:noProof/>
          <w:color w:val="000000"/>
          <w:lang w:eastAsia="zh-CN"/>
        </w:rPr>
        <w:drawing>
          <wp:inline distT="0" distB="0" distL="0" distR="0" wp14:anchorId="48F34787" wp14:editId="53311221">
            <wp:extent cx="5888855" cy="28203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b="50616"/>
                    <a:stretch/>
                  </pic:blipFill>
                  <pic:spPr bwMode="auto">
                    <a:xfrm>
                      <a:off x="0" y="0"/>
                      <a:ext cx="5892697" cy="2822230"/>
                    </a:xfrm>
                    <a:prstGeom prst="rect">
                      <a:avLst/>
                    </a:prstGeom>
                    <a:noFill/>
                    <a:ln>
                      <a:noFill/>
                    </a:ln>
                    <a:extLst>
                      <a:ext uri="{53640926-AAD7-44D8-BBD7-CCE9431645EC}">
                        <a14:shadowObscured xmlns:a14="http://schemas.microsoft.com/office/drawing/2010/main"/>
                      </a:ext>
                    </a:extLst>
                  </pic:spPr>
                </pic:pic>
              </a:graphicData>
            </a:graphic>
          </wp:inline>
        </w:drawing>
      </w:r>
    </w:p>
    <w:p w14:paraId="4FFC57F6" w14:textId="358BDB32" w:rsidR="009B75AC" w:rsidRPr="00995972" w:rsidRDefault="009B75AC">
      <w:pPr>
        <w:spacing w:line="360" w:lineRule="auto"/>
        <w:jc w:val="both"/>
        <w:rPr>
          <w:rFonts w:ascii="Book Antiqua" w:hAnsi="Book Antiqua" w:cs="Book Antiqua"/>
          <w:b/>
          <w:bCs/>
          <w:color w:val="000000"/>
          <w:lang w:eastAsia="zh-CN"/>
        </w:rPr>
      </w:pPr>
      <w:r w:rsidRPr="00995972">
        <w:rPr>
          <w:rFonts w:ascii="Book Antiqua" w:hAnsi="Book Antiqua" w:cs="Book Antiqua" w:hint="eastAsia"/>
          <w:b/>
          <w:bCs/>
          <w:color w:val="000000"/>
          <w:lang w:eastAsia="zh-CN"/>
        </w:rPr>
        <w:t>B</w:t>
      </w:r>
    </w:p>
    <w:p w14:paraId="5967735B" w14:textId="4333B21A" w:rsidR="009B75AC" w:rsidRPr="00995972" w:rsidRDefault="009B75AC">
      <w:pPr>
        <w:spacing w:line="360" w:lineRule="auto"/>
        <w:jc w:val="both"/>
        <w:rPr>
          <w:rFonts w:ascii="Book Antiqua" w:hAnsi="Book Antiqua" w:cs="Book Antiqua"/>
          <w:b/>
          <w:bCs/>
          <w:color w:val="000000"/>
          <w:lang w:eastAsia="zh-CN"/>
        </w:rPr>
      </w:pPr>
      <w:r w:rsidRPr="00995972">
        <w:rPr>
          <w:rFonts w:ascii="Book Antiqua" w:hAnsi="Book Antiqua" w:cs="Book Antiqua"/>
          <w:b/>
          <w:bCs/>
          <w:noProof/>
          <w:color w:val="000000"/>
          <w:lang w:eastAsia="zh-CN"/>
        </w:rPr>
        <w:drawing>
          <wp:inline distT="0" distB="0" distL="0" distR="0" wp14:anchorId="31446E75" wp14:editId="6155D9A8">
            <wp:extent cx="5888855" cy="2855174"/>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t="50007"/>
                    <a:stretch/>
                  </pic:blipFill>
                  <pic:spPr bwMode="auto">
                    <a:xfrm>
                      <a:off x="0" y="0"/>
                      <a:ext cx="5892697" cy="2857037"/>
                    </a:xfrm>
                    <a:prstGeom prst="rect">
                      <a:avLst/>
                    </a:prstGeom>
                    <a:noFill/>
                    <a:ln>
                      <a:noFill/>
                    </a:ln>
                    <a:extLst>
                      <a:ext uri="{53640926-AAD7-44D8-BBD7-CCE9431645EC}">
                        <a14:shadowObscured xmlns:a14="http://schemas.microsoft.com/office/drawing/2010/main"/>
                      </a:ext>
                    </a:extLst>
                  </pic:spPr>
                </pic:pic>
              </a:graphicData>
            </a:graphic>
          </wp:inline>
        </w:drawing>
      </w:r>
    </w:p>
    <w:p w14:paraId="55FD54A5" w14:textId="27DF18F3" w:rsidR="00A77B3E" w:rsidRPr="00995972" w:rsidRDefault="006E19F4">
      <w:pPr>
        <w:spacing w:line="360" w:lineRule="auto"/>
        <w:jc w:val="both"/>
      </w:pPr>
      <w:bookmarkStart w:id="65" w:name="OLE_LINK33"/>
      <w:r w:rsidRPr="00995972">
        <w:rPr>
          <w:rFonts w:ascii="Book Antiqua" w:eastAsia="Book Antiqua" w:hAnsi="Book Antiqua" w:cs="Book Antiqua"/>
          <w:b/>
          <w:bCs/>
          <w:color w:val="000000"/>
        </w:rPr>
        <w:t xml:space="preserve">Figure 1 </w:t>
      </w:r>
      <w:r w:rsidRPr="00995972">
        <w:rPr>
          <w:rFonts w:ascii="Book Antiqua" w:hAnsi="Book Antiqua" w:cs="Book Antiqua" w:hint="eastAsia"/>
          <w:b/>
          <w:bCs/>
          <w:color w:val="000000"/>
          <w:lang w:eastAsia="zh-CN"/>
        </w:rPr>
        <w:t>Twenty-four</w:t>
      </w:r>
      <w:r w:rsidRPr="00995972">
        <w:rPr>
          <w:rFonts w:ascii="Book Antiqua" w:eastAsia="Book Antiqua" w:hAnsi="Book Antiqua" w:cs="Book Antiqua"/>
          <w:b/>
          <w:bCs/>
          <w:color w:val="000000"/>
        </w:rPr>
        <w:t xml:space="preserve"> h</w:t>
      </w:r>
      <w:r w:rsidRPr="00995972">
        <w:rPr>
          <w:rFonts w:ascii="Book Antiqua" w:hAnsi="Book Antiqua" w:cs="Book Antiqua" w:hint="eastAsia"/>
          <w:b/>
          <w:bCs/>
          <w:color w:val="000000"/>
          <w:lang w:eastAsia="zh-CN"/>
        </w:rPr>
        <w:t>ours</w:t>
      </w:r>
      <w:r w:rsidRPr="00995972">
        <w:rPr>
          <w:rFonts w:ascii="Book Antiqua" w:eastAsia="Book Antiqua" w:hAnsi="Book Antiqua" w:cs="Book Antiqua"/>
          <w:b/>
          <w:bCs/>
          <w:color w:val="000000"/>
        </w:rPr>
        <w:t xml:space="preserve"> pH studies</w:t>
      </w:r>
      <w:r w:rsidRPr="00995972">
        <w:rPr>
          <w:rFonts w:ascii="Book Antiqua" w:hAnsi="Book Antiqua" w:cs="Book Antiqua" w:hint="eastAsia"/>
          <w:b/>
          <w:bCs/>
          <w:color w:val="000000"/>
          <w:lang w:eastAsia="zh-CN"/>
        </w:rPr>
        <w:t>.</w:t>
      </w:r>
      <w:r w:rsidR="006C4286" w:rsidRPr="00995972">
        <w:rPr>
          <w:rFonts w:ascii="Book Antiqua" w:eastAsia="Book Antiqua" w:hAnsi="Book Antiqua" w:cs="Book Antiqua"/>
          <w:b/>
          <w:bCs/>
          <w:color w:val="000000"/>
        </w:rPr>
        <w:t xml:space="preserve"> </w:t>
      </w:r>
      <w:r w:rsidR="006C4286" w:rsidRPr="00995972">
        <w:rPr>
          <w:rFonts w:ascii="Book Antiqua" w:eastAsia="Book Antiqua" w:hAnsi="Book Antiqua" w:cs="Book Antiqua"/>
          <w:bCs/>
          <w:color w:val="000000"/>
        </w:rPr>
        <w:t>A:</w:t>
      </w:r>
      <w:r w:rsidR="009B75AC" w:rsidRPr="00995972">
        <w:rPr>
          <w:rFonts w:ascii="Book Antiqua" w:eastAsia="Book Antiqua" w:hAnsi="Book Antiqua" w:cs="Book Antiqua"/>
          <w:bCs/>
          <w:color w:val="000000"/>
        </w:rPr>
        <w:t xml:space="preserve"> </w:t>
      </w:r>
      <w:r w:rsidR="006C4286" w:rsidRPr="00995972">
        <w:rPr>
          <w:rFonts w:ascii="Book Antiqua" w:eastAsia="Book Antiqua" w:hAnsi="Book Antiqua" w:cs="Book Antiqua"/>
          <w:color w:val="000000"/>
        </w:rPr>
        <w:t>Normal 24 h pH study showing acid in the stomach without acid</w:t>
      </w:r>
      <w:r w:rsidRPr="00995972">
        <w:rPr>
          <w:rFonts w:ascii="Book Antiqua" w:eastAsia="Book Antiqua" w:hAnsi="Book Antiqua" w:cs="Book Antiqua"/>
          <w:color w:val="000000"/>
        </w:rPr>
        <w:t xml:space="preserve"> reflux events in the esophagus</w:t>
      </w:r>
      <w:r w:rsidRPr="00995972">
        <w:rPr>
          <w:rFonts w:ascii="Book Antiqua" w:hAnsi="Book Antiqua" w:cs="Book Antiqua" w:hint="eastAsia"/>
          <w:color w:val="000000"/>
          <w:lang w:eastAsia="zh-CN"/>
        </w:rPr>
        <w:t>;</w:t>
      </w:r>
      <w:r w:rsidR="006C4286" w:rsidRPr="00995972">
        <w:rPr>
          <w:rFonts w:ascii="Book Antiqua" w:eastAsia="Book Antiqua" w:hAnsi="Book Antiqua" w:cs="Book Antiqua"/>
          <w:color w:val="000000"/>
        </w:rPr>
        <w:t> </w:t>
      </w:r>
      <w:r w:rsidR="006C4286" w:rsidRPr="00995972">
        <w:rPr>
          <w:rFonts w:ascii="Book Antiqua" w:eastAsia="Book Antiqua" w:hAnsi="Book Antiqua" w:cs="Book Antiqua"/>
          <w:bCs/>
          <w:color w:val="000000"/>
        </w:rPr>
        <w:t>B:</w:t>
      </w:r>
      <w:r w:rsidR="006C4286" w:rsidRPr="00995972">
        <w:rPr>
          <w:rFonts w:ascii="Book Antiqua" w:eastAsia="Book Antiqua" w:hAnsi="Book Antiqua" w:cs="Book Antiqua"/>
          <w:color w:val="000000"/>
        </w:rPr>
        <w:t> Abnormal 24 h pH monitoring test with multiple acid reflux events in the esophagus (</w:t>
      </w:r>
      <w:r w:rsidR="009B75AC" w:rsidRPr="00995972">
        <w:rPr>
          <w:rFonts w:ascii="Book Antiqua" w:eastAsia="Book Antiqua" w:hAnsi="Book Antiqua" w:cs="Book Antiqua"/>
          <w:color w:val="000000"/>
        </w:rPr>
        <w:t>s</w:t>
      </w:r>
      <w:r w:rsidR="006C4286" w:rsidRPr="00995972">
        <w:rPr>
          <w:rFonts w:ascii="Book Antiqua" w:eastAsia="Book Antiqua" w:hAnsi="Book Antiqua" w:cs="Book Antiqua"/>
          <w:color w:val="000000"/>
        </w:rPr>
        <w:t>tar indicating reflux events).</w:t>
      </w:r>
    </w:p>
    <w:bookmarkEnd w:id="65"/>
    <w:p w14:paraId="72A526FD" w14:textId="77777777" w:rsidR="00F84771" w:rsidRPr="00995972" w:rsidRDefault="006E19F4">
      <w:pPr>
        <w:spacing w:line="360" w:lineRule="auto"/>
        <w:jc w:val="both"/>
        <w:rPr>
          <w:rFonts w:ascii="Book Antiqua" w:hAnsi="Book Antiqua" w:cs="Book Antiqua"/>
          <w:b/>
          <w:bCs/>
          <w:color w:val="000000"/>
          <w:lang w:eastAsia="zh-CN"/>
        </w:rPr>
      </w:pPr>
      <w:r w:rsidRPr="00995972">
        <w:rPr>
          <w:rFonts w:ascii="Book Antiqua" w:eastAsia="Book Antiqua" w:hAnsi="Book Antiqua" w:cs="Book Antiqua"/>
          <w:b/>
          <w:bCs/>
          <w:color w:val="000000"/>
        </w:rPr>
        <w:br w:type="page"/>
      </w:r>
      <w:r w:rsidR="00F84771" w:rsidRPr="00995972">
        <w:rPr>
          <w:rFonts w:ascii="Book Antiqua" w:eastAsia="Book Antiqua" w:hAnsi="Book Antiqua" w:cs="Book Antiqua"/>
          <w:b/>
          <w:bCs/>
          <w:noProof/>
          <w:color w:val="000000"/>
          <w:lang w:eastAsia="zh-CN"/>
        </w:rPr>
        <w:drawing>
          <wp:inline distT="0" distB="0" distL="0" distR="0" wp14:anchorId="39C6DC37" wp14:editId="1CFAFD4E">
            <wp:extent cx="5962650" cy="325454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73168" cy="3260286"/>
                    </a:xfrm>
                    <a:prstGeom prst="rect">
                      <a:avLst/>
                    </a:prstGeom>
                    <a:noFill/>
                  </pic:spPr>
                </pic:pic>
              </a:graphicData>
            </a:graphic>
          </wp:inline>
        </w:drawing>
      </w:r>
    </w:p>
    <w:p w14:paraId="44D5AB13" w14:textId="77777777" w:rsidR="00A77B3E" w:rsidRPr="00995972" w:rsidRDefault="006E19F4">
      <w:pPr>
        <w:spacing w:line="360" w:lineRule="auto"/>
        <w:jc w:val="both"/>
        <w:rPr>
          <w:lang w:eastAsia="zh-CN"/>
        </w:rPr>
      </w:pPr>
      <w:bookmarkStart w:id="66" w:name="OLE_LINK34"/>
      <w:bookmarkStart w:id="67" w:name="OLE_LINK35"/>
      <w:r w:rsidRPr="00995972">
        <w:rPr>
          <w:rFonts w:ascii="Book Antiqua" w:eastAsia="Book Antiqua" w:hAnsi="Book Antiqua" w:cs="Book Antiqua"/>
          <w:b/>
          <w:bCs/>
          <w:color w:val="000000"/>
        </w:rPr>
        <w:t>Figure 2</w:t>
      </w:r>
      <w:r w:rsidR="006C4286" w:rsidRPr="00995972">
        <w:rPr>
          <w:rFonts w:ascii="Book Antiqua" w:eastAsia="Book Antiqua" w:hAnsi="Book Antiqua" w:cs="Book Antiqua"/>
          <w:b/>
          <w:bCs/>
          <w:color w:val="000000"/>
        </w:rPr>
        <w:t xml:space="preserve"> Abnormal wireless capsule pH study (arrows indicating prolonged reflux events)</w:t>
      </w:r>
      <w:r w:rsidRPr="00995972">
        <w:rPr>
          <w:rFonts w:ascii="Book Antiqua" w:hAnsi="Book Antiqua" w:cs="Book Antiqua" w:hint="eastAsia"/>
          <w:b/>
          <w:bCs/>
          <w:color w:val="000000"/>
          <w:lang w:eastAsia="zh-CN"/>
        </w:rPr>
        <w:t>.</w:t>
      </w:r>
    </w:p>
    <w:bookmarkEnd w:id="66"/>
    <w:bookmarkEnd w:id="67"/>
    <w:p w14:paraId="54542466" w14:textId="2CB7A432" w:rsidR="009B75AC" w:rsidRPr="00995972" w:rsidRDefault="006E19F4" w:rsidP="00E37CA1">
      <w:pPr>
        <w:spacing w:line="360" w:lineRule="auto"/>
        <w:ind w:firstLineChars="1600" w:firstLine="3855"/>
        <w:jc w:val="both"/>
        <w:rPr>
          <w:rFonts w:ascii="Book Antiqua" w:eastAsia="Book Antiqua" w:hAnsi="Book Antiqua" w:cs="Book Antiqua"/>
          <w:b/>
          <w:bCs/>
          <w:noProof/>
          <w:color w:val="000000"/>
          <w:lang w:eastAsia="zh-CN"/>
        </w:rPr>
      </w:pPr>
      <w:r w:rsidRPr="00995972">
        <w:rPr>
          <w:rFonts w:ascii="Book Antiqua" w:eastAsia="Book Antiqua" w:hAnsi="Book Antiqua" w:cs="Book Antiqua"/>
          <w:b/>
          <w:bCs/>
          <w:color w:val="000000"/>
        </w:rPr>
        <w:br w:type="page"/>
      </w:r>
      <w:r w:rsidR="009B75AC" w:rsidRPr="00995972">
        <w:rPr>
          <w:rFonts w:ascii="Book Antiqua" w:hAnsi="Book Antiqua" w:cs="Book Antiqua" w:hint="eastAsia"/>
          <w:b/>
          <w:bCs/>
          <w:noProof/>
          <w:color w:val="000000"/>
          <w:lang w:eastAsia="zh-CN"/>
        </w:rPr>
        <w:t>A</w:t>
      </w:r>
      <w:r w:rsidR="009B75AC" w:rsidRPr="00995972">
        <w:rPr>
          <w:rFonts w:ascii="Book Antiqua" w:hAnsi="Book Antiqua" w:cs="Book Antiqua"/>
          <w:b/>
          <w:bCs/>
          <w:noProof/>
          <w:color w:val="000000"/>
          <w:lang w:eastAsia="zh-CN"/>
        </w:rPr>
        <w:t xml:space="preserve">                                                           B</w:t>
      </w:r>
    </w:p>
    <w:p w14:paraId="5E561B42" w14:textId="1427CCE5" w:rsidR="009B75AC" w:rsidRPr="00995972" w:rsidRDefault="009B75AC">
      <w:pPr>
        <w:spacing w:line="360" w:lineRule="auto"/>
        <w:jc w:val="both"/>
        <w:rPr>
          <w:rFonts w:ascii="Book Antiqua" w:hAnsi="Book Antiqua" w:cs="Book Antiqua"/>
          <w:b/>
          <w:bCs/>
          <w:color w:val="000000"/>
          <w:lang w:eastAsia="zh-CN"/>
        </w:rPr>
      </w:pPr>
      <w:r w:rsidRPr="00995972">
        <w:rPr>
          <w:rFonts w:ascii="Book Antiqua" w:eastAsia="Book Antiqua" w:hAnsi="Book Antiqua" w:cs="Book Antiqua"/>
          <w:b/>
          <w:bCs/>
          <w:noProof/>
          <w:color w:val="000000"/>
          <w:lang w:eastAsia="zh-CN"/>
        </w:rPr>
        <w:drawing>
          <wp:inline distT="0" distB="0" distL="0" distR="0" wp14:anchorId="55EC2A8F" wp14:editId="1DF73D56">
            <wp:extent cx="5943600" cy="445135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451350"/>
                    </a:xfrm>
                    <a:prstGeom prst="rect">
                      <a:avLst/>
                    </a:prstGeom>
                    <a:noFill/>
                  </pic:spPr>
                </pic:pic>
              </a:graphicData>
            </a:graphic>
          </wp:inline>
        </w:drawing>
      </w:r>
    </w:p>
    <w:p w14:paraId="25596B8A" w14:textId="00EFE3C2" w:rsidR="00A77B3E" w:rsidRPr="00995972" w:rsidRDefault="006E19F4">
      <w:pPr>
        <w:spacing w:line="360" w:lineRule="auto"/>
        <w:jc w:val="both"/>
        <w:rPr>
          <w:lang w:eastAsia="zh-CN"/>
        </w:rPr>
      </w:pPr>
      <w:bookmarkStart w:id="68" w:name="OLE_LINK36"/>
      <w:bookmarkStart w:id="69" w:name="OLE_LINK37"/>
      <w:r w:rsidRPr="00995972">
        <w:rPr>
          <w:rFonts w:ascii="Book Antiqua" w:eastAsia="Book Antiqua" w:hAnsi="Book Antiqua" w:cs="Book Antiqua"/>
          <w:b/>
          <w:bCs/>
          <w:color w:val="000000"/>
        </w:rPr>
        <w:t>Figure 3</w:t>
      </w:r>
      <w:r w:rsidR="006C4286" w:rsidRPr="00995972">
        <w:rPr>
          <w:rFonts w:ascii="Book Antiqua" w:eastAsia="Book Antiqua" w:hAnsi="Book Antiqua" w:cs="Book Antiqua"/>
          <w:b/>
          <w:bCs/>
          <w:color w:val="000000"/>
        </w:rPr>
        <w:t xml:space="preserve"> Exampl</w:t>
      </w:r>
      <w:r w:rsidRPr="00995972">
        <w:rPr>
          <w:rFonts w:ascii="Book Antiqua" w:eastAsia="Book Antiqua" w:hAnsi="Book Antiqua" w:cs="Book Antiqua"/>
          <w:b/>
          <w:bCs/>
          <w:color w:val="000000"/>
        </w:rPr>
        <w:t>es of pH-</w:t>
      </w:r>
      <w:r w:rsidR="00E37CA1" w:rsidRPr="00995972">
        <w:rPr>
          <w:rFonts w:ascii="Book Antiqua" w:eastAsia="Book Antiqua" w:hAnsi="Book Antiqua" w:cs="Book Antiqua"/>
          <w:b/>
          <w:bCs/>
          <w:color w:val="000000"/>
        </w:rPr>
        <w:t>i</w:t>
      </w:r>
      <w:r w:rsidRPr="00995972">
        <w:rPr>
          <w:rFonts w:ascii="Book Antiqua" w:eastAsia="Book Antiqua" w:hAnsi="Book Antiqua" w:cs="Book Antiqua"/>
          <w:b/>
          <w:bCs/>
          <w:color w:val="000000"/>
        </w:rPr>
        <w:t>mpedance measurements</w:t>
      </w:r>
      <w:r w:rsidRPr="00995972">
        <w:rPr>
          <w:rFonts w:ascii="Book Antiqua" w:hAnsi="Book Antiqua" w:cs="Book Antiqua" w:hint="eastAsia"/>
          <w:b/>
          <w:bCs/>
          <w:color w:val="000000"/>
          <w:lang w:eastAsia="zh-CN"/>
        </w:rPr>
        <w:t>.</w:t>
      </w:r>
      <w:r w:rsidR="006C4286" w:rsidRPr="00995972">
        <w:rPr>
          <w:rFonts w:ascii="Book Antiqua" w:eastAsia="Book Antiqua" w:hAnsi="Book Antiqua" w:cs="Book Antiqua"/>
          <w:b/>
          <w:bCs/>
          <w:color w:val="000000"/>
        </w:rPr>
        <w:t xml:space="preserve"> </w:t>
      </w:r>
      <w:r w:rsidR="006C4286" w:rsidRPr="00995972">
        <w:rPr>
          <w:rFonts w:ascii="Book Antiqua" w:eastAsia="Book Antiqua" w:hAnsi="Book Antiqua" w:cs="Book Antiqua"/>
          <w:bCs/>
          <w:color w:val="000000"/>
        </w:rPr>
        <w:t>A: </w:t>
      </w:r>
      <w:r w:rsidR="006C4286" w:rsidRPr="00995972">
        <w:rPr>
          <w:rFonts w:ascii="Book Antiqua" w:eastAsia="Book Antiqua" w:hAnsi="Book Antiqua" w:cs="Book Antiqua"/>
          <w:color w:val="000000"/>
        </w:rPr>
        <w:t>Reflux event recorded during 48 h pH-impedance study</w:t>
      </w:r>
      <w:r w:rsidRPr="00995972">
        <w:rPr>
          <w:rFonts w:ascii="Book Antiqua" w:hAnsi="Book Antiqua" w:cs="Book Antiqua" w:hint="eastAsia"/>
          <w:color w:val="000000"/>
          <w:lang w:eastAsia="zh-CN"/>
        </w:rPr>
        <w:t>;</w:t>
      </w:r>
      <w:r w:rsidR="006C4286" w:rsidRPr="00995972">
        <w:rPr>
          <w:rFonts w:ascii="Book Antiqua" w:eastAsia="Book Antiqua" w:hAnsi="Book Antiqua" w:cs="Book Antiqua"/>
          <w:color w:val="000000"/>
        </w:rPr>
        <w:t> </w:t>
      </w:r>
      <w:r w:rsidR="006C4286" w:rsidRPr="00995972">
        <w:rPr>
          <w:rFonts w:ascii="Book Antiqua" w:eastAsia="Book Antiqua" w:hAnsi="Book Antiqua" w:cs="Book Antiqua"/>
          <w:bCs/>
          <w:color w:val="000000"/>
        </w:rPr>
        <w:t>B:</w:t>
      </w:r>
      <w:r w:rsidR="006C4286" w:rsidRPr="00995972">
        <w:rPr>
          <w:rFonts w:ascii="Book Antiqua" w:eastAsia="Book Antiqua" w:hAnsi="Book Antiqua" w:cs="Book Antiqua"/>
          <w:color w:val="000000"/>
        </w:rPr>
        <w:t> Weak acid reflux event in the esophagus without acid exposure in the stomach detected on pH-impedance study (arrows indicating impedance events, star indicating pH drop and acid event)</w:t>
      </w:r>
      <w:r w:rsidRPr="00995972">
        <w:rPr>
          <w:rFonts w:ascii="Book Antiqua" w:hAnsi="Book Antiqua" w:cs="Book Antiqua" w:hint="eastAsia"/>
          <w:color w:val="000000"/>
          <w:lang w:eastAsia="zh-CN"/>
        </w:rPr>
        <w:t>.</w:t>
      </w:r>
    </w:p>
    <w:bookmarkEnd w:id="68"/>
    <w:bookmarkEnd w:id="69"/>
    <w:p w14:paraId="727F62C6" w14:textId="77777777" w:rsidR="00F84771" w:rsidRPr="00995972" w:rsidRDefault="006E19F4">
      <w:pPr>
        <w:spacing w:line="360" w:lineRule="auto"/>
        <w:jc w:val="both"/>
        <w:rPr>
          <w:rFonts w:ascii="Book Antiqua" w:hAnsi="Book Antiqua" w:cs="Book Antiqua"/>
          <w:b/>
          <w:bCs/>
          <w:color w:val="000000"/>
          <w:lang w:eastAsia="zh-CN"/>
        </w:rPr>
      </w:pPr>
      <w:r w:rsidRPr="00995972">
        <w:rPr>
          <w:rFonts w:ascii="Book Antiqua" w:eastAsia="Book Antiqua" w:hAnsi="Book Antiqua" w:cs="Book Antiqua"/>
          <w:b/>
          <w:bCs/>
          <w:color w:val="000000"/>
        </w:rPr>
        <w:br w:type="page"/>
      </w:r>
      <w:r w:rsidR="00F84771" w:rsidRPr="00995972">
        <w:rPr>
          <w:rFonts w:ascii="Book Antiqua" w:eastAsia="Book Antiqua" w:hAnsi="Book Antiqua" w:cs="Book Antiqua"/>
          <w:b/>
          <w:bCs/>
          <w:noProof/>
          <w:color w:val="000000"/>
          <w:lang w:eastAsia="zh-CN"/>
        </w:rPr>
        <w:drawing>
          <wp:inline distT="0" distB="0" distL="0" distR="0" wp14:anchorId="61371D0F" wp14:editId="1A62BA0B">
            <wp:extent cx="5924550" cy="3501014"/>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3780" cy="3506468"/>
                    </a:xfrm>
                    <a:prstGeom prst="rect">
                      <a:avLst/>
                    </a:prstGeom>
                    <a:noFill/>
                  </pic:spPr>
                </pic:pic>
              </a:graphicData>
            </a:graphic>
          </wp:inline>
        </w:drawing>
      </w:r>
    </w:p>
    <w:p w14:paraId="1BFD3760" w14:textId="4EDD1C8A" w:rsidR="00A77B3E" w:rsidRPr="00995972" w:rsidRDefault="006C4286">
      <w:pPr>
        <w:spacing w:line="360" w:lineRule="auto"/>
        <w:jc w:val="both"/>
        <w:rPr>
          <w:lang w:eastAsia="zh-CN"/>
        </w:rPr>
      </w:pPr>
      <w:r w:rsidRPr="00995972">
        <w:rPr>
          <w:rFonts w:ascii="Book Antiqua" w:eastAsia="Book Antiqua" w:hAnsi="Book Antiqua" w:cs="Book Antiqua"/>
          <w:b/>
          <w:bCs/>
          <w:color w:val="000000"/>
        </w:rPr>
        <w:t>Figure 4</w:t>
      </w:r>
      <w:r w:rsidRPr="00995972">
        <w:rPr>
          <w:rFonts w:ascii="Book Antiqua" w:eastAsia="Book Antiqua" w:hAnsi="Book Antiqua" w:cs="Book Antiqua"/>
          <w:color w:val="000000"/>
        </w:rPr>
        <w:t> </w:t>
      </w:r>
      <w:r w:rsidR="006E19F4" w:rsidRPr="00995972">
        <w:rPr>
          <w:rFonts w:ascii="Book Antiqua" w:eastAsia="Book Antiqua" w:hAnsi="Book Antiqua" w:cs="Book Antiqua"/>
          <w:b/>
          <w:bCs/>
          <w:color w:val="000000"/>
        </w:rPr>
        <w:t xml:space="preserve">Utility of pH and </w:t>
      </w:r>
      <w:r w:rsidR="00E37CA1" w:rsidRPr="00995972">
        <w:rPr>
          <w:rFonts w:ascii="Book Antiqua" w:eastAsia="Book Antiqua" w:hAnsi="Book Antiqua" w:cs="Book Antiqua"/>
          <w:b/>
          <w:bCs/>
          <w:color w:val="000000"/>
        </w:rPr>
        <w:t>m</w:t>
      </w:r>
      <w:r w:rsidR="006E19F4" w:rsidRPr="00995972">
        <w:rPr>
          <w:rFonts w:ascii="Book Antiqua" w:eastAsia="Book Antiqua" w:hAnsi="Book Antiqua" w:cs="Book Antiqua"/>
          <w:b/>
          <w:bCs/>
          <w:color w:val="000000"/>
        </w:rPr>
        <w:t xml:space="preserve">ultichannel intraluminal impendence pH </w:t>
      </w:r>
      <w:r w:rsidR="006E19F4" w:rsidRPr="00995972">
        <w:rPr>
          <w:rFonts w:ascii="Book Antiqua" w:hAnsi="Book Antiqua" w:cs="Book Antiqua" w:hint="eastAsia"/>
          <w:b/>
          <w:bCs/>
          <w:color w:val="000000"/>
          <w:lang w:eastAsia="zh-CN"/>
        </w:rPr>
        <w:t>t</w:t>
      </w:r>
      <w:r w:rsidRPr="00995972">
        <w:rPr>
          <w:rFonts w:ascii="Book Antiqua" w:eastAsia="Book Antiqua" w:hAnsi="Book Antiqua" w:cs="Book Antiqua"/>
          <w:b/>
          <w:bCs/>
          <w:color w:val="000000"/>
        </w:rPr>
        <w:t xml:space="preserve">esting for </w:t>
      </w:r>
      <w:r w:rsidR="006E19F4" w:rsidRPr="00995972">
        <w:rPr>
          <w:rFonts w:ascii="Book Antiqua" w:eastAsia="Book Antiqua" w:hAnsi="Book Antiqua" w:cs="Book Antiqua"/>
          <w:b/>
          <w:bCs/>
          <w:color w:val="000000"/>
        </w:rPr>
        <w:t>pre-operative assessment</w:t>
      </w:r>
      <w:r w:rsidR="006E19F4" w:rsidRPr="00995972">
        <w:rPr>
          <w:rFonts w:ascii="Book Antiqua" w:hAnsi="Book Antiqua" w:cs="Book Antiqua" w:hint="eastAsia"/>
          <w:b/>
          <w:bCs/>
          <w:color w:val="000000"/>
          <w:lang w:eastAsia="zh-CN"/>
        </w:rPr>
        <w:t>.</w:t>
      </w:r>
      <w:r w:rsidR="00E37CA1" w:rsidRPr="00995972">
        <w:rPr>
          <w:rFonts w:ascii="Book Antiqua" w:hAnsi="Book Antiqua" w:cs="Book Antiqua"/>
          <w:color w:val="000000"/>
          <w:lang w:eastAsia="zh-CN"/>
        </w:rPr>
        <w:t xml:space="preserve"> GERD: Gastroesophageal reflux disease; NERD: </w:t>
      </w:r>
      <w:r w:rsidR="00E37CA1" w:rsidRPr="00995972">
        <w:rPr>
          <w:rFonts w:ascii="Book Antiqua" w:eastAsia="Book Antiqua" w:hAnsi="Book Antiqua" w:cs="Book Antiqua"/>
          <w:color w:val="000000"/>
        </w:rPr>
        <w:t>Non-erosive reflux disease;</w:t>
      </w:r>
      <w:r w:rsidR="00E37CA1" w:rsidRPr="00995972">
        <w:rPr>
          <w:rFonts w:ascii="Book Antiqua" w:hAnsi="Book Antiqua" w:cs="Book Antiqua"/>
          <w:color w:val="000000"/>
          <w:lang w:eastAsia="zh-CN"/>
        </w:rPr>
        <w:t xml:space="preserve"> PPI: </w:t>
      </w:r>
      <w:r w:rsidR="00E37CA1" w:rsidRPr="00995972">
        <w:rPr>
          <w:rFonts w:ascii="Book Antiqua" w:eastAsia="Book Antiqua" w:hAnsi="Book Antiqua" w:cs="Book Antiqua"/>
          <w:color w:val="000000"/>
        </w:rPr>
        <w:t>Proton pump inhibitor</w:t>
      </w:r>
      <w:r w:rsidR="00E37CA1" w:rsidRPr="00995972">
        <w:rPr>
          <w:rFonts w:ascii="Book Antiqua" w:hAnsi="Book Antiqua" w:cs="Book Antiqua"/>
          <w:color w:val="000000"/>
          <w:lang w:eastAsia="zh-CN"/>
        </w:rPr>
        <w:t xml:space="preserve">; AET: </w:t>
      </w:r>
      <w:r w:rsidR="00E37CA1" w:rsidRPr="00995972">
        <w:rPr>
          <w:rFonts w:ascii="Book Antiqua" w:eastAsia="Book Antiqua" w:hAnsi="Book Antiqua" w:cs="Book Antiqua"/>
          <w:color w:val="000000"/>
        </w:rPr>
        <w:t>Acid exposure time;</w:t>
      </w:r>
      <w:r w:rsidR="00E37CA1" w:rsidRPr="00995972">
        <w:rPr>
          <w:rFonts w:ascii="Book Antiqua" w:hAnsi="Book Antiqua" w:cs="Book Antiqua"/>
          <w:color w:val="000000"/>
          <w:lang w:eastAsia="zh-CN"/>
        </w:rPr>
        <w:t xml:space="preserve"> MII-pH:</w:t>
      </w:r>
      <w:r w:rsidR="00E37CA1" w:rsidRPr="00995972">
        <w:rPr>
          <w:rFonts w:ascii="Book Antiqua" w:eastAsia="Book Antiqua" w:hAnsi="Book Antiqua" w:cs="Book Antiqua"/>
          <w:color w:val="000000"/>
        </w:rPr>
        <w:t xml:space="preserve"> Multichannel intraluminal impendence pH monitoring.</w:t>
      </w:r>
    </w:p>
    <w:p w14:paraId="5C4211A6" w14:textId="77777777" w:rsidR="00F84771" w:rsidRPr="00995972" w:rsidRDefault="006E19F4">
      <w:pPr>
        <w:spacing w:line="360" w:lineRule="auto"/>
        <w:jc w:val="both"/>
        <w:rPr>
          <w:rFonts w:ascii="Book Antiqua" w:hAnsi="Book Antiqua" w:cs="Book Antiqua"/>
          <w:b/>
          <w:bCs/>
          <w:color w:val="000000"/>
          <w:lang w:eastAsia="zh-CN"/>
        </w:rPr>
      </w:pPr>
      <w:r w:rsidRPr="00995972">
        <w:rPr>
          <w:rFonts w:ascii="Book Antiqua" w:eastAsia="Book Antiqua" w:hAnsi="Book Antiqua" w:cs="Book Antiqua"/>
          <w:b/>
          <w:bCs/>
          <w:color w:val="000000"/>
        </w:rPr>
        <w:br w:type="page"/>
      </w:r>
      <w:r w:rsidR="00F84771" w:rsidRPr="00995972">
        <w:rPr>
          <w:rFonts w:ascii="Book Antiqua" w:eastAsia="Book Antiqua" w:hAnsi="Book Antiqua" w:cs="Book Antiqua"/>
          <w:b/>
          <w:bCs/>
          <w:noProof/>
          <w:color w:val="000000"/>
          <w:lang w:eastAsia="zh-CN"/>
        </w:rPr>
        <w:drawing>
          <wp:inline distT="0" distB="0" distL="0" distR="0" wp14:anchorId="5887F98F" wp14:editId="737DBA50">
            <wp:extent cx="5934075" cy="3287506"/>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5715" cy="3288415"/>
                    </a:xfrm>
                    <a:prstGeom prst="rect">
                      <a:avLst/>
                    </a:prstGeom>
                    <a:noFill/>
                  </pic:spPr>
                </pic:pic>
              </a:graphicData>
            </a:graphic>
          </wp:inline>
        </w:drawing>
      </w:r>
    </w:p>
    <w:p w14:paraId="6DABFAD9" w14:textId="0FBD6263" w:rsidR="00A77B3E" w:rsidRPr="00995972" w:rsidRDefault="006E19F4">
      <w:pPr>
        <w:spacing w:line="360" w:lineRule="auto"/>
        <w:jc w:val="both"/>
        <w:rPr>
          <w:lang w:eastAsia="zh-CN"/>
        </w:rPr>
      </w:pPr>
      <w:bookmarkStart w:id="70" w:name="OLE_LINK38"/>
      <w:r w:rsidRPr="00995972">
        <w:rPr>
          <w:rFonts w:ascii="Book Antiqua" w:eastAsia="Book Antiqua" w:hAnsi="Book Antiqua" w:cs="Book Antiqua"/>
          <w:b/>
          <w:bCs/>
          <w:color w:val="000000"/>
        </w:rPr>
        <w:t>Figure 5</w:t>
      </w:r>
      <w:r w:rsidR="006C4286" w:rsidRPr="00995972">
        <w:rPr>
          <w:rFonts w:ascii="Book Antiqua" w:eastAsia="Book Antiqua" w:hAnsi="Book Antiqua" w:cs="Book Antiqua"/>
          <w:b/>
          <w:bCs/>
          <w:color w:val="000000"/>
        </w:rPr>
        <w:t xml:space="preserve"> Utility of </w:t>
      </w:r>
      <w:r w:rsidRPr="00995972">
        <w:rPr>
          <w:rFonts w:ascii="Book Antiqua" w:eastAsia="Book Antiqua" w:hAnsi="Book Antiqua" w:cs="Book Antiqua"/>
          <w:b/>
          <w:bCs/>
          <w:color w:val="000000"/>
        </w:rPr>
        <w:t>high</w:t>
      </w:r>
      <w:r w:rsidR="00E37CA1" w:rsidRPr="00995972">
        <w:rPr>
          <w:rFonts w:ascii="Book Antiqua" w:eastAsia="Book Antiqua" w:hAnsi="Book Antiqua" w:cs="Book Antiqua"/>
          <w:b/>
          <w:bCs/>
          <w:color w:val="000000"/>
        </w:rPr>
        <w:t>-</w:t>
      </w:r>
      <w:r w:rsidRPr="00995972">
        <w:rPr>
          <w:rFonts w:ascii="Book Antiqua" w:eastAsia="Book Antiqua" w:hAnsi="Book Antiqua" w:cs="Book Antiqua"/>
          <w:b/>
          <w:bCs/>
          <w:color w:val="000000"/>
        </w:rPr>
        <w:t>resolution manometry for pre-operative ass</w:t>
      </w:r>
      <w:r w:rsidR="006C4286" w:rsidRPr="00995972">
        <w:rPr>
          <w:rFonts w:ascii="Book Antiqua" w:eastAsia="Book Antiqua" w:hAnsi="Book Antiqua" w:cs="Book Antiqua"/>
          <w:b/>
          <w:bCs/>
          <w:color w:val="000000"/>
        </w:rPr>
        <w:t>essment</w:t>
      </w:r>
      <w:r w:rsidRPr="00995972">
        <w:rPr>
          <w:rFonts w:ascii="Book Antiqua" w:hAnsi="Book Antiqua" w:cs="Book Antiqua" w:hint="eastAsia"/>
          <w:b/>
          <w:bCs/>
          <w:color w:val="000000"/>
          <w:lang w:eastAsia="zh-CN"/>
        </w:rPr>
        <w:t>.</w:t>
      </w:r>
      <w:r w:rsidR="00E37CA1" w:rsidRPr="00995972">
        <w:rPr>
          <w:rFonts w:ascii="Book Antiqua" w:hAnsi="Book Antiqua" w:cs="Book Antiqua"/>
          <w:b/>
          <w:bCs/>
          <w:color w:val="000000"/>
          <w:lang w:eastAsia="zh-CN"/>
        </w:rPr>
        <w:t xml:space="preserve"> </w:t>
      </w:r>
      <w:r w:rsidR="00E37CA1" w:rsidRPr="00995972">
        <w:rPr>
          <w:rFonts w:ascii="Book Antiqua" w:hAnsi="Book Antiqua" w:cs="Book Antiqua"/>
          <w:color w:val="000000"/>
          <w:lang w:eastAsia="zh-CN"/>
        </w:rPr>
        <w:t xml:space="preserve">LES: </w:t>
      </w:r>
      <w:r w:rsidR="00E37CA1" w:rsidRPr="00995972">
        <w:rPr>
          <w:rFonts w:ascii="Book Antiqua" w:eastAsia="Book Antiqua" w:hAnsi="Book Antiqua" w:cs="Book Antiqua"/>
          <w:color w:val="000000"/>
        </w:rPr>
        <w:t>Lower esophageal sphincter.</w:t>
      </w:r>
    </w:p>
    <w:bookmarkEnd w:id="70"/>
    <w:p w14:paraId="79C34619" w14:textId="77777777" w:rsidR="00F84771" w:rsidRPr="00995972" w:rsidRDefault="006E19F4">
      <w:pPr>
        <w:spacing w:line="360" w:lineRule="auto"/>
        <w:jc w:val="both"/>
        <w:rPr>
          <w:rFonts w:ascii="Book Antiqua" w:hAnsi="Book Antiqua" w:cs="Book Antiqua"/>
          <w:b/>
          <w:bCs/>
          <w:color w:val="000000"/>
          <w:lang w:eastAsia="zh-CN"/>
        </w:rPr>
      </w:pPr>
      <w:r w:rsidRPr="00995972">
        <w:rPr>
          <w:rFonts w:ascii="Book Antiqua" w:eastAsia="Book Antiqua" w:hAnsi="Book Antiqua" w:cs="Book Antiqua"/>
          <w:b/>
          <w:bCs/>
          <w:color w:val="000000"/>
        </w:rPr>
        <w:br w:type="page"/>
      </w:r>
      <w:r w:rsidR="00F84771" w:rsidRPr="00995972">
        <w:rPr>
          <w:rFonts w:ascii="Book Antiqua" w:eastAsia="Book Antiqua" w:hAnsi="Book Antiqua" w:cs="Book Antiqua"/>
          <w:b/>
          <w:bCs/>
          <w:noProof/>
          <w:color w:val="000000"/>
          <w:lang w:eastAsia="zh-CN"/>
        </w:rPr>
        <w:drawing>
          <wp:inline distT="0" distB="0" distL="0" distR="0" wp14:anchorId="39618753" wp14:editId="6D914328">
            <wp:extent cx="5953658" cy="317182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61080" cy="3175779"/>
                    </a:xfrm>
                    <a:prstGeom prst="rect">
                      <a:avLst/>
                    </a:prstGeom>
                    <a:noFill/>
                  </pic:spPr>
                </pic:pic>
              </a:graphicData>
            </a:graphic>
          </wp:inline>
        </w:drawing>
      </w:r>
    </w:p>
    <w:p w14:paraId="5365233E" w14:textId="77777777" w:rsidR="00A77B3E" w:rsidRPr="00995972" w:rsidRDefault="003D5072">
      <w:pPr>
        <w:spacing w:line="360" w:lineRule="auto"/>
        <w:jc w:val="both"/>
        <w:rPr>
          <w:lang w:eastAsia="zh-CN"/>
        </w:rPr>
      </w:pPr>
      <w:bookmarkStart w:id="71" w:name="OLE_LINK39"/>
      <w:bookmarkStart w:id="72" w:name="OLE_LINK40"/>
      <w:r w:rsidRPr="00995972">
        <w:rPr>
          <w:rFonts w:ascii="Book Antiqua" w:eastAsia="Book Antiqua" w:hAnsi="Book Antiqua" w:cs="Book Antiqua"/>
          <w:b/>
          <w:bCs/>
          <w:color w:val="000000"/>
        </w:rPr>
        <w:t>Figure 6</w:t>
      </w:r>
      <w:r w:rsidR="006C4286" w:rsidRPr="00995972">
        <w:rPr>
          <w:rFonts w:ascii="Book Antiqua" w:eastAsia="Book Antiqua" w:hAnsi="Book Antiqua" w:cs="Book Antiqua"/>
          <w:b/>
          <w:bCs/>
          <w:color w:val="000000"/>
        </w:rPr>
        <w:t xml:space="preserve"> Normal peristalsis and </w:t>
      </w:r>
      <w:r w:rsidR="006E19F4" w:rsidRPr="00995972">
        <w:rPr>
          <w:rFonts w:ascii="Book Antiqua" w:eastAsia="Book Antiqua" w:hAnsi="Book Antiqua" w:cs="Book Antiqua"/>
          <w:b/>
          <w:bCs/>
          <w:color w:val="000000"/>
        </w:rPr>
        <w:t xml:space="preserve">lower esophageal sphincter </w:t>
      </w:r>
      <w:r w:rsidR="006C4286" w:rsidRPr="00995972">
        <w:rPr>
          <w:rFonts w:ascii="Book Antiqua" w:eastAsia="Book Antiqua" w:hAnsi="Book Antiqua" w:cs="Book Antiqua"/>
          <w:b/>
          <w:bCs/>
          <w:color w:val="000000"/>
        </w:rPr>
        <w:t xml:space="preserve">relaxation on </w:t>
      </w:r>
      <w:r w:rsidR="006E19F4" w:rsidRPr="00995972">
        <w:rPr>
          <w:rFonts w:ascii="Book Antiqua" w:eastAsia="Book Antiqua" w:hAnsi="Book Antiqua" w:cs="Book Antiqua"/>
          <w:b/>
          <w:bCs/>
          <w:color w:val="000000"/>
        </w:rPr>
        <w:t>high-resolution manometry</w:t>
      </w:r>
      <w:r w:rsidR="006C4286" w:rsidRPr="00995972">
        <w:rPr>
          <w:rFonts w:ascii="Book Antiqua" w:eastAsia="Book Antiqua" w:hAnsi="Book Antiqua" w:cs="Book Antiqua"/>
          <w:b/>
          <w:bCs/>
          <w:color w:val="000000"/>
        </w:rPr>
        <w:t xml:space="preserve">. </w:t>
      </w:r>
      <w:r w:rsidR="006C4286" w:rsidRPr="00995972">
        <w:rPr>
          <w:rFonts w:ascii="Book Antiqua" w:eastAsia="Book Antiqua" w:hAnsi="Book Antiqua" w:cs="Book Antiqua"/>
          <w:bCs/>
          <w:color w:val="000000"/>
        </w:rPr>
        <w:t>A: </w:t>
      </w:r>
      <w:r w:rsidR="006C4286" w:rsidRPr="00995972">
        <w:rPr>
          <w:rFonts w:ascii="Book Antiqua" w:eastAsia="Book Antiqua" w:hAnsi="Book Antiqua" w:cs="Book Antiqua"/>
          <w:color w:val="000000"/>
        </w:rPr>
        <w:t>Ex</w:t>
      </w:r>
      <w:r w:rsidR="006E19F4" w:rsidRPr="00995972">
        <w:rPr>
          <w:rFonts w:ascii="Book Antiqua" w:eastAsia="Book Antiqua" w:hAnsi="Book Antiqua" w:cs="Book Antiqua"/>
          <w:color w:val="000000"/>
        </w:rPr>
        <w:t>ample of normal swallow on high-resolution manometry</w:t>
      </w:r>
      <w:r w:rsidR="006E19F4" w:rsidRPr="00995972">
        <w:rPr>
          <w:rFonts w:ascii="Book Antiqua" w:hAnsi="Book Antiqua" w:cs="Book Antiqua" w:hint="eastAsia"/>
          <w:color w:val="000000"/>
          <w:lang w:eastAsia="zh-CN"/>
        </w:rPr>
        <w:t xml:space="preserve">; </w:t>
      </w:r>
      <w:r w:rsidR="006C4286" w:rsidRPr="00995972">
        <w:rPr>
          <w:rFonts w:ascii="Book Antiqua" w:eastAsia="Book Antiqua" w:hAnsi="Book Antiqua" w:cs="Book Antiqua"/>
          <w:bCs/>
          <w:color w:val="000000"/>
        </w:rPr>
        <w:t>B:</w:t>
      </w:r>
      <w:r w:rsidR="006E19F4" w:rsidRPr="00995972">
        <w:rPr>
          <w:rFonts w:ascii="Book Antiqua" w:hAnsi="Book Antiqua" w:cs="Book Antiqua" w:hint="eastAsia"/>
          <w:bCs/>
          <w:color w:val="000000"/>
          <w:lang w:eastAsia="zh-CN"/>
        </w:rPr>
        <w:t xml:space="preserve"> </w:t>
      </w:r>
      <w:r w:rsidR="006C4286" w:rsidRPr="00995972">
        <w:rPr>
          <w:rFonts w:ascii="Book Antiqua" w:eastAsia="Book Antiqua" w:hAnsi="Book Antiqua" w:cs="Book Antiqua"/>
          <w:color w:val="000000"/>
        </w:rPr>
        <w:t>Normal swallow with complete esophageal clearance by impedance</w:t>
      </w:r>
      <w:r w:rsidR="006E19F4" w:rsidRPr="00995972">
        <w:rPr>
          <w:rFonts w:ascii="Book Antiqua" w:hAnsi="Book Antiqua" w:cs="Book Antiqua" w:hint="eastAsia"/>
          <w:color w:val="000000"/>
          <w:lang w:eastAsia="zh-CN"/>
        </w:rPr>
        <w:t>.</w:t>
      </w:r>
    </w:p>
    <w:bookmarkEnd w:id="71"/>
    <w:bookmarkEnd w:id="72"/>
    <w:p w14:paraId="6A05EC98" w14:textId="77777777" w:rsidR="00F84771" w:rsidRPr="00995972" w:rsidRDefault="003D5072">
      <w:pPr>
        <w:spacing w:line="360" w:lineRule="auto"/>
        <w:jc w:val="both"/>
        <w:rPr>
          <w:rFonts w:ascii="Book Antiqua" w:hAnsi="Book Antiqua" w:cs="Book Antiqua"/>
          <w:b/>
          <w:bCs/>
          <w:color w:val="000000"/>
          <w:lang w:eastAsia="zh-CN"/>
        </w:rPr>
      </w:pPr>
      <w:r w:rsidRPr="00995972">
        <w:rPr>
          <w:rFonts w:ascii="Book Antiqua" w:eastAsia="Book Antiqua" w:hAnsi="Book Antiqua" w:cs="Book Antiqua"/>
          <w:b/>
          <w:bCs/>
          <w:color w:val="000000"/>
        </w:rPr>
        <w:br w:type="page"/>
      </w:r>
      <w:r w:rsidR="00F84771" w:rsidRPr="00995972">
        <w:rPr>
          <w:rFonts w:ascii="Book Antiqua" w:eastAsia="Book Antiqua" w:hAnsi="Book Antiqua" w:cs="Book Antiqua"/>
          <w:b/>
          <w:bCs/>
          <w:noProof/>
          <w:color w:val="000000"/>
          <w:lang w:eastAsia="zh-CN"/>
        </w:rPr>
        <w:drawing>
          <wp:inline distT="0" distB="0" distL="0" distR="0" wp14:anchorId="78CA44B9" wp14:editId="02BB5C54">
            <wp:extent cx="5914902" cy="22383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28797" cy="2243633"/>
                    </a:xfrm>
                    <a:prstGeom prst="rect">
                      <a:avLst/>
                    </a:prstGeom>
                    <a:noFill/>
                  </pic:spPr>
                </pic:pic>
              </a:graphicData>
            </a:graphic>
          </wp:inline>
        </w:drawing>
      </w:r>
    </w:p>
    <w:p w14:paraId="005272B7" w14:textId="77777777" w:rsidR="00A77B3E" w:rsidRPr="00995972" w:rsidRDefault="003D5072">
      <w:pPr>
        <w:spacing w:line="360" w:lineRule="auto"/>
        <w:jc w:val="both"/>
        <w:rPr>
          <w:lang w:eastAsia="zh-CN"/>
        </w:rPr>
      </w:pPr>
      <w:bookmarkStart w:id="73" w:name="OLE_LINK41"/>
      <w:bookmarkStart w:id="74" w:name="OLE_LINK42"/>
      <w:r w:rsidRPr="00995972">
        <w:rPr>
          <w:rFonts w:ascii="Book Antiqua" w:eastAsia="Book Antiqua" w:hAnsi="Book Antiqua" w:cs="Book Antiqua"/>
          <w:b/>
          <w:bCs/>
          <w:color w:val="000000"/>
        </w:rPr>
        <w:t>Figure 7</w:t>
      </w:r>
      <w:r w:rsidR="006C4286" w:rsidRPr="00995972">
        <w:rPr>
          <w:rFonts w:ascii="Book Antiqua" w:eastAsia="Book Antiqua" w:hAnsi="Book Antiqua" w:cs="Book Antiqua"/>
          <w:b/>
          <w:bCs/>
          <w:color w:val="000000"/>
        </w:rPr>
        <w:t xml:space="preserve"> Examples of achalasia diagnosed on </w:t>
      </w:r>
      <w:r w:rsidR="006E19F4" w:rsidRPr="00995972">
        <w:rPr>
          <w:rFonts w:ascii="Book Antiqua" w:eastAsia="Book Antiqua" w:hAnsi="Book Antiqua" w:cs="Book Antiqua"/>
          <w:b/>
          <w:bCs/>
          <w:color w:val="000000"/>
        </w:rPr>
        <w:t>high-resolution manometry</w:t>
      </w:r>
      <w:r w:rsidRPr="00995972">
        <w:rPr>
          <w:rFonts w:ascii="Book Antiqua" w:hAnsi="Book Antiqua" w:cs="Book Antiqua" w:hint="eastAsia"/>
          <w:b/>
          <w:bCs/>
          <w:color w:val="000000"/>
          <w:lang w:eastAsia="zh-CN"/>
        </w:rPr>
        <w:t>.</w:t>
      </w:r>
      <w:r w:rsidR="006C4286" w:rsidRPr="00995972">
        <w:rPr>
          <w:rFonts w:ascii="Book Antiqua" w:eastAsia="Book Antiqua" w:hAnsi="Book Antiqua" w:cs="Book Antiqua"/>
          <w:b/>
          <w:bCs/>
          <w:color w:val="000000"/>
        </w:rPr>
        <w:t xml:space="preserve"> </w:t>
      </w:r>
      <w:r w:rsidR="006C4286" w:rsidRPr="00995972">
        <w:rPr>
          <w:rFonts w:ascii="Book Antiqua" w:eastAsia="Book Antiqua" w:hAnsi="Book Antiqua" w:cs="Book Antiqua"/>
          <w:bCs/>
          <w:color w:val="000000"/>
        </w:rPr>
        <w:t>A</w:t>
      </w:r>
      <w:r w:rsidR="006C4286" w:rsidRPr="00995972">
        <w:rPr>
          <w:rFonts w:ascii="Book Antiqua" w:eastAsia="Book Antiqua" w:hAnsi="Book Antiqua" w:cs="Book Antiqua"/>
          <w:color w:val="000000"/>
        </w:rPr>
        <w:t xml:space="preserve">: Type I achalasia with failure of </w:t>
      </w:r>
      <w:r w:rsidR="006E19F4" w:rsidRPr="00995972">
        <w:rPr>
          <w:rFonts w:ascii="Book Antiqua" w:eastAsia="Book Antiqua" w:hAnsi="Book Antiqua" w:cs="Book Antiqua"/>
          <w:color w:val="000000"/>
        </w:rPr>
        <w:t>lower esophageal sphincter</w:t>
      </w:r>
      <w:r w:rsidR="006C4286" w:rsidRPr="00995972">
        <w:rPr>
          <w:rFonts w:ascii="Book Antiqua" w:eastAsia="Book Antiqua" w:hAnsi="Book Antiqua" w:cs="Book Antiqua"/>
          <w:color w:val="000000"/>
        </w:rPr>
        <w:t xml:space="preserve"> relaxation and absence of peristalsis</w:t>
      </w:r>
      <w:r w:rsidRPr="00995972">
        <w:rPr>
          <w:rFonts w:ascii="Book Antiqua" w:hAnsi="Book Antiqua" w:cs="Book Antiqua" w:hint="eastAsia"/>
          <w:color w:val="000000"/>
          <w:lang w:eastAsia="zh-CN"/>
        </w:rPr>
        <w:t xml:space="preserve">; </w:t>
      </w:r>
      <w:r w:rsidR="006C4286" w:rsidRPr="00995972">
        <w:rPr>
          <w:rFonts w:ascii="Book Antiqua" w:eastAsia="Book Antiqua" w:hAnsi="Book Antiqua" w:cs="Book Antiqua"/>
          <w:bCs/>
          <w:color w:val="000000"/>
        </w:rPr>
        <w:t>B:</w:t>
      </w:r>
      <w:r w:rsidRPr="00995972">
        <w:rPr>
          <w:rFonts w:ascii="Book Antiqua" w:hAnsi="Book Antiqua" w:cs="Book Antiqua" w:hint="eastAsia"/>
          <w:color w:val="000000"/>
          <w:lang w:eastAsia="zh-CN"/>
        </w:rPr>
        <w:t xml:space="preserve"> </w:t>
      </w:r>
      <w:r w:rsidR="006C4286" w:rsidRPr="00995972">
        <w:rPr>
          <w:rFonts w:ascii="Book Antiqua" w:eastAsia="Book Antiqua" w:hAnsi="Book Antiqua" w:cs="Book Antiqua"/>
          <w:color w:val="000000"/>
        </w:rPr>
        <w:t>Type II achalasia with panes</w:t>
      </w:r>
      <w:r w:rsidRPr="00995972">
        <w:rPr>
          <w:rFonts w:ascii="Book Antiqua" w:eastAsia="Book Antiqua" w:hAnsi="Book Antiqua" w:cs="Book Antiqua"/>
          <w:color w:val="000000"/>
        </w:rPr>
        <w:t>ophageal pressurization</w:t>
      </w:r>
      <w:r w:rsidRPr="00995972">
        <w:rPr>
          <w:rFonts w:ascii="Book Antiqua" w:hAnsi="Book Antiqua" w:cs="Book Antiqua" w:hint="eastAsia"/>
          <w:color w:val="000000"/>
          <w:lang w:eastAsia="zh-CN"/>
        </w:rPr>
        <w:t xml:space="preserve">; </w:t>
      </w:r>
      <w:r w:rsidR="006C4286" w:rsidRPr="00995972">
        <w:rPr>
          <w:rFonts w:ascii="Book Antiqua" w:eastAsia="Book Antiqua" w:hAnsi="Book Antiqua" w:cs="Book Antiqua"/>
          <w:bCs/>
          <w:color w:val="000000"/>
        </w:rPr>
        <w:t>C:</w:t>
      </w:r>
      <w:r w:rsidRPr="00995972">
        <w:rPr>
          <w:rFonts w:ascii="Book Antiqua" w:hAnsi="Book Antiqua" w:cs="Book Antiqua" w:hint="eastAsia"/>
          <w:color w:val="000000"/>
          <w:lang w:eastAsia="zh-CN"/>
        </w:rPr>
        <w:t xml:space="preserve"> </w:t>
      </w:r>
      <w:r w:rsidR="006C4286" w:rsidRPr="00995972">
        <w:rPr>
          <w:rFonts w:ascii="Book Antiqua" w:eastAsia="Book Antiqua" w:hAnsi="Book Antiqua" w:cs="Book Antiqua"/>
          <w:color w:val="000000"/>
        </w:rPr>
        <w:t>Type III achalasia with abnormal peristalsis (spastic/premature contractions)</w:t>
      </w:r>
      <w:r w:rsidRPr="00995972">
        <w:rPr>
          <w:rFonts w:ascii="Book Antiqua" w:hAnsi="Book Antiqua" w:cs="Book Antiqua" w:hint="eastAsia"/>
          <w:color w:val="000000"/>
          <w:lang w:eastAsia="zh-CN"/>
        </w:rPr>
        <w:t>.</w:t>
      </w:r>
    </w:p>
    <w:bookmarkEnd w:id="73"/>
    <w:bookmarkEnd w:id="74"/>
    <w:p w14:paraId="760794BE" w14:textId="77777777" w:rsidR="00975CBF" w:rsidRPr="00995972" w:rsidRDefault="003D5072">
      <w:pPr>
        <w:spacing w:line="360" w:lineRule="auto"/>
        <w:jc w:val="both"/>
        <w:rPr>
          <w:rFonts w:ascii="Book Antiqua" w:hAnsi="Book Antiqua" w:cs="Book Antiqua"/>
          <w:b/>
          <w:bCs/>
          <w:color w:val="000000"/>
          <w:lang w:eastAsia="zh-CN"/>
        </w:rPr>
      </w:pPr>
      <w:r w:rsidRPr="00995972">
        <w:rPr>
          <w:rFonts w:ascii="Book Antiqua" w:eastAsia="Book Antiqua" w:hAnsi="Book Antiqua" w:cs="Book Antiqua"/>
          <w:b/>
          <w:bCs/>
          <w:color w:val="000000"/>
        </w:rPr>
        <w:br w:type="page"/>
      </w:r>
      <w:r w:rsidR="00975CBF" w:rsidRPr="00995972">
        <w:rPr>
          <w:rFonts w:ascii="Book Antiqua" w:eastAsia="Book Antiqua" w:hAnsi="Book Antiqua" w:cs="Book Antiqua"/>
          <w:b/>
          <w:bCs/>
          <w:noProof/>
          <w:color w:val="000000"/>
          <w:lang w:eastAsia="zh-CN"/>
        </w:rPr>
        <w:drawing>
          <wp:inline distT="0" distB="0" distL="0" distR="0" wp14:anchorId="68D1C460" wp14:editId="7FECBDB8">
            <wp:extent cx="4809029" cy="60960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12183" cy="6099998"/>
                    </a:xfrm>
                    <a:prstGeom prst="rect">
                      <a:avLst/>
                    </a:prstGeom>
                    <a:noFill/>
                  </pic:spPr>
                </pic:pic>
              </a:graphicData>
            </a:graphic>
          </wp:inline>
        </w:drawing>
      </w:r>
    </w:p>
    <w:p w14:paraId="1BE23B0F" w14:textId="77777777" w:rsidR="00A77B3E" w:rsidRPr="00995972" w:rsidRDefault="003D5072">
      <w:pPr>
        <w:spacing w:line="360" w:lineRule="auto"/>
        <w:jc w:val="both"/>
      </w:pPr>
      <w:bookmarkStart w:id="75" w:name="OLE_LINK43"/>
      <w:bookmarkStart w:id="76" w:name="OLE_LINK44"/>
      <w:r w:rsidRPr="00995972">
        <w:rPr>
          <w:rFonts w:ascii="Book Antiqua" w:eastAsia="Book Antiqua" w:hAnsi="Book Antiqua" w:cs="Book Antiqua"/>
          <w:b/>
          <w:bCs/>
          <w:color w:val="000000"/>
        </w:rPr>
        <w:t>Figure 8</w:t>
      </w:r>
      <w:r w:rsidRPr="00995972">
        <w:rPr>
          <w:rFonts w:ascii="Book Antiqua" w:hAnsi="Book Antiqua" w:cs="Book Antiqua" w:hint="eastAsia"/>
          <w:b/>
          <w:bCs/>
          <w:color w:val="000000"/>
          <w:lang w:eastAsia="zh-CN"/>
        </w:rPr>
        <w:t xml:space="preserve"> </w:t>
      </w:r>
      <w:r w:rsidR="006C4286" w:rsidRPr="00995972">
        <w:rPr>
          <w:rFonts w:ascii="Book Antiqua" w:eastAsia="Book Antiqua" w:hAnsi="Book Antiqua" w:cs="Book Antiqua"/>
          <w:b/>
          <w:bCs/>
          <w:color w:val="000000"/>
        </w:rPr>
        <w:t>Scleroderma esophagus with absent peristalsis and hypotensive lower esophageal sphincter.</w:t>
      </w:r>
    </w:p>
    <w:bookmarkEnd w:id="75"/>
    <w:bookmarkEnd w:id="76"/>
    <w:p w14:paraId="51005DE1" w14:textId="77777777" w:rsidR="00975CBF" w:rsidRPr="00995972" w:rsidRDefault="003D5072">
      <w:pPr>
        <w:spacing w:line="360" w:lineRule="auto"/>
        <w:jc w:val="both"/>
        <w:rPr>
          <w:rFonts w:ascii="Book Antiqua" w:hAnsi="Book Antiqua" w:cs="Book Antiqua"/>
          <w:b/>
          <w:bCs/>
          <w:color w:val="000000"/>
          <w:lang w:eastAsia="zh-CN"/>
        </w:rPr>
      </w:pPr>
      <w:r w:rsidRPr="00995972">
        <w:rPr>
          <w:rFonts w:ascii="Book Antiqua" w:eastAsia="Book Antiqua" w:hAnsi="Book Antiqua" w:cs="Book Antiqua"/>
          <w:b/>
          <w:bCs/>
          <w:color w:val="000000"/>
        </w:rPr>
        <w:br w:type="page"/>
      </w:r>
      <w:r w:rsidR="00975CBF" w:rsidRPr="00995972">
        <w:rPr>
          <w:rFonts w:ascii="Book Antiqua" w:eastAsia="Book Antiqua" w:hAnsi="Book Antiqua" w:cs="Book Antiqua"/>
          <w:b/>
          <w:bCs/>
          <w:noProof/>
          <w:color w:val="000000"/>
          <w:lang w:eastAsia="zh-CN"/>
        </w:rPr>
        <w:drawing>
          <wp:inline distT="0" distB="0" distL="0" distR="0" wp14:anchorId="692A7950" wp14:editId="25162785">
            <wp:extent cx="4943316" cy="48768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45335" cy="4878792"/>
                    </a:xfrm>
                    <a:prstGeom prst="rect">
                      <a:avLst/>
                    </a:prstGeom>
                    <a:noFill/>
                  </pic:spPr>
                </pic:pic>
              </a:graphicData>
            </a:graphic>
          </wp:inline>
        </w:drawing>
      </w:r>
    </w:p>
    <w:p w14:paraId="161E59C2" w14:textId="77777777" w:rsidR="00A77B3E" w:rsidRPr="00995972" w:rsidRDefault="003D5072">
      <w:pPr>
        <w:spacing w:line="360" w:lineRule="auto"/>
        <w:jc w:val="both"/>
        <w:rPr>
          <w:lang w:eastAsia="zh-CN"/>
        </w:rPr>
      </w:pPr>
      <w:bookmarkStart w:id="77" w:name="OLE_LINK45"/>
      <w:bookmarkStart w:id="78" w:name="OLE_LINK46"/>
      <w:r w:rsidRPr="00995972">
        <w:rPr>
          <w:rFonts w:ascii="Book Antiqua" w:eastAsia="Book Antiqua" w:hAnsi="Book Antiqua" w:cs="Book Antiqua"/>
          <w:b/>
          <w:bCs/>
          <w:color w:val="000000"/>
        </w:rPr>
        <w:t>Figure 9</w:t>
      </w:r>
      <w:r w:rsidR="006C4286" w:rsidRPr="00995972">
        <w:rPr>
          <w:rFonts w:ascii="Book Antiqua" w:eastAsia="Book Antiqua" w:hAnsi="Book Antiqua" w:cs="Book Antiqua"/>
          <w:b/>
          <w:bCs/>
          <w:color w:val="000000"/>
        </w:rPr>
        <w:t xml:space="preserve"> Outflow obstruction with elevated residual pressure and distal pressurization from chronic opioid use</w:t>
      </w:r>
      <w:r w:rsidRPr="00995972">
        <w:rPr>
          <w:rFonts w:ascii="Book Antiqua" w:hAnsi="Book Antiqua" w:cs="Book Antiqua" w:hint="eastAsia"/>
          <w:b/>
          <w:bCs/>
          <w:color w:val="000000"/>
          <w:lang w:eastAsia="zh-CN"/>
        </w:rPr>
        <w:t>.</w:t>
      </w:r>
    </w:p>
    <w:bookmarkEnd w:id="77"/>
    <w:bookmarkEnd w:id="78"/>
    <w:p w14:paraId="256612DD" w14:textId="77777777" w:rsidR="00975CBF" w:rsidRPr="00995972" w:rsidRDefault="003D5072">
      <w:pPr>
        <w:spacing w:line="360" w:lineRule="auto"/>
        <w:jc w:val="both"/>
        <w:rPr>
          <w:rFonts w:ascii="Book Antiqua" w:hAnsi="Book Antiqua" w:cs="Book Antiqua"/>
          <w:b/>
          <w:bCs/>
          <w:color w:val="000000"/>
          <w:lang w:eastAsia="zh-CN"/>
        </w:rPr>
      </w:pPr>
      <w:r w:rsidRPr="00995972">
        <w:rPr>
          <w:rFonts w:ascii="Book Antiqua" w:eastAsia="Book Antiqua" w:hAnsi="Book Antiqua" w:cs="Book Antiqua"/>
          <w:b/>
          <w:bCs/>
          <w:color w:val="000000"/>
        </w:rPr>
        <w:br w:type="page"/>
      </w:r>
      <w:r w:rsidR="00975CBF" w:rsidRPr="00995972">
        <w:rPr>
          <w:rFonts w:ascii="Book Antiqua" w:eastAsia="Book Antiqua" w:hAnsi="Book Antiqua" w:cs="Book Antiqua"/>
          <w:b/>
          <w:bCs/>
          <w:noProof/>
          <w:color w:val="000000"/>
          <w:lang w:eastAsia="zh-CN"/>
        </w:rPr>
        <w:drawing>
          <wp:inline distT="0" distB="0" distL="0" distR="0" wp14:anchorId="59959858" wp14:editId="3C8353EB">
            <wp:extent cx="5129144" cy="43688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38777" cy="4377005"/>
                    </a:xfrm>
                    <a:prstGeom prst="rect">
                      <a:avLst/>
                    </a:prstGeom>
                    <a:noFill/>
                  </pic:spPr>
                </pic:pic>
              </a:graphicData>
            </a:graphic>
          </wp:inline>
        </w:drawing>
      </w:r>
    </w:p>
    <w:p w14:paraId="57EE6247" w14:textId="77777777" w:rsidR="00A77B3E" w:rsidRPr="00995972" w:rsidRDefault="003D5072">
      <w:pPr>
        <w:spacing w:line="360" w:lineRule="auto"/>
        <w:jc w:val="both"/>
        <w:rPr>
          <w:lang w:eastAsia="zh-CN"/>
        </w:rPr>
      </w:pPr>
      <w:bookmarkStart w:id="79" w:name="OLE_LINK47"/>
      <w:bookmarkStart w:id="80" w:name="OLE_LINK48"/>
      <w:r w:rsidRPr="00995972">
        <w:rPr>
          <w:rFonts w:ascii="Book Antiqua" w:eastAsia="Book Antiqua" w:hAnsi="Book Antiqua" w:cs="Book Antiqua"/>
          <w:b/>
          <w:bCs/>
          <w:color w:val="000000"/>
        </w:rPr>
        <w:t>Figure 10</w:t>
      </w:r>
      <w:r w:rsidR="006C4286" w:rsidRPr="00995972">
        <w:rPr>
          <w:rFonts w:ascii="Book Antiqua" w:eastAsia="Book Antiqua" w:hAnsi="Book Antiqua" w:cs="Book Antiqua"/>
          <w:b/>
          <w:bCs/>
          <w:color w:val="000000"/>
        </w:rPr>
        <w:t xml:space="preserve"> Example of </w:t>
      </w:r>
      <w:r w:rsidRPr="00995972">
        <w:rPr>
          <w:rFonts w:ascii="Book Antiqua" w:eastAsia="Book Antiqua" w:hAnsi="Book Antiqua" w:cs="Book Antiqua"/>
          <w:b/>
          <w:bCs/>
          <w:color w:val="000000"/>
        </w:rPr>
        <w:t xml:space="preserve">hypercontractile </w:t>
      </w:r>
      <w:r w:rsidR="006C4286" w:rsidRPr="00995972">
        <w:rPr>
          <w:rFonts w:ascii="Book Antiqua" w:eastAsia="Book Antiqua" w:hAnsi="Book Antiqua" w:cs="Book Antiqua"/>
          <w:b/>
          <w:bCs/>
          <w:color w:val="000000"/>
        </w:rPr>
        <w:t xml:space="preserve">esophagus with </w:t>
      </w:r>
      <w:r w:rsidRPr="00995972">
        <w:rPr>
          <w:rFonts w:ascii="Book Antiqua" w:eastAsia="Book Antiqua" w:hAnsi="Book Antiqua" w:cs="Book Antiqua"/>
          <w:b/>
          <w:bCs/>
          <w:color w:val="000000"/>
        </w:rPr>
        <w:t>distal contractile integral</w:t>
      </w:r>
      <w:r w:rsidR="006C4286" w:rsidRPr="00995972">
        <w:rPr>
          <w:rFonts w:ascii="Book Antiqua" w:eastAsia="Book Antiqua" w:hAnsi="Book Antiqua" w:cs="Book Antiqua"/>
          <w:b/>
          <w:bCs/>
          <w:color w:val="000000"/>
        </w:rPr>
        <w:t xml:space="preserve"> &gt;</w:t>
      </w:r>
      <w:r w:rsidRPr="00995972">
        <w:rPr>
          <w:rFonts w:ascii="Book Antiqua" w:hAnsi="Book Antiqua" w:cs="Book Antiqua" w:hint="eastAsia"/>
          <w:b/>
          <w:bCs/>
          <w:color w:val="000000"/>
          <w:lang w:eastAsia="zh-CN"/>
        </w:rPr>
        <w:t xml:space="preserve"> </w:t>
      </w:r>
      <w:r w:rsidR="006C4286" w:rsidRPr="00995972">
        <w:rPr>
          <w:rFonts w:ascii="Book Antiqua" w:eastAsia="Book Antiqua" w:hAnsi="Book Antiqua" w:cs="Book Antiqua"/>
          <w:b/>
          <w:bCs/>
          <w:color w:val="000000"/>
        </w:rPr>
        <w:t>8000 mmHg</w:t>
      </w:r>
      <w:r w:rsidRPr="00995972">
        <w:rPr>
          <w:rFonts w:ascii="Book Antiqua" w:hAnsi="Book Antiqua" w:cs="Book Antiqua" w:hint="eastAsia"/>
          <w:b/>
          <w:bCs/>
          <w:color w:val="000000"/>
          <w:lang w:eastAsia="zh-CN"/>
        </w:rPr>
        <w:t>.</w:t>
      </w:r>
    </w:p>
    <w:bookmarkEnd w:id="79"/>
    <w:bookmarkEnd w:id="80"/>
    <w:p w14:paraId="6F3D2E42" w14:textId="77777777" w:rsidR="00975CBF" w:rsidRPr="00995972" w:rsidRDefault="003D5072">
      <w:pPr>
        <w:spacing w:line="360" w:lineRule="auto"/>
        <w:jc w:val="both"/>
        <w:rPr>
          <w:rFonts w:ascii="Book Antiqua" w:hAnsi="Book Antiqua" w:cs="Book Antiqua"/>
          <w:b/>
          <w:bCs/>
          <w:color w:val="000000"/>
          <w:lang w:eastAsia="zh-CN"/>
        </w:rPr>
      </w:pPr>
      <w:r w:rsidRPr="00995972">
        <w:rPr>
          <w:rFonts w:ascii="Book Antiqua" w:eastAsia="Book Antiqua" w:hAnsi="Book Antiqua" w:cs="Book Antiqua"/>
          <w:b/>
          <w:bCs/>
          <w:color w:val="000000"/>
        </w:rPr>
        <w:br w:type="page"/>
      </w:r>
      <w:r w:rsidR="00975CBF" w:rsidRPr="00995972">
        <w:rPr>
          <w:rFonts w:ascii="Book Antiqua" w:eastAsia="Book Antiqua" w:hAnsi="Book Antiqua" w:cs="Book Antiqua"/>
          <w:b/>
          <w:bCs/>
          <w:noProof/>
          <w:color w:val="000000"/>
          <w:lang w:eastAsia="zh-CN"/>
        </w:rPr>
        <w:drawing>
          <wp:inline distT="0" distB="0" distL="0" distR="0" wp14:anchorId="039491FE" wp14:editId="75B16AC1">
            <wp:extent cx="5984632" cy="1836904"/>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91510" cy="1839015"/>
                    </a:xfrm>
                    <a:prstGeom prst="rect">
                      <a:avLst/>
                    </a:prstGeom>
                    <a:noFill/>
                  </pic:spPr>
                </pic:pic>
              </a:graphicData>
            </a:graphic>
          </wp:inline>
        </w:drawing>
      </w:r>
    </w:p>
    <w:p w14:paraId="19248C78" w14:textId="77777777" w:rsidR="00A77B3E" w:rsidRPr="00995972" w:rsidRDefault="003D5072">
      <w:pPr>
        <w:spacing w:line="360" w:lineRule="auto"/>
        <w:jc w:val="both"/>
        <w:rPr>
          <w:lang w:eastAsia="zh-CN"/>
        </w:rPr>
      </w:pPr>
      <w:bookmarkStart w:id="81" w:name="OLE_LINK49"/>
      <w:bookmarkStart w:id="82" w:name="OLE_LINK50"/>
      <w:r w:rsidRPr="00995972">
        <w:rPr>
          <w:rFonts w:ascii="Book Antiqua" w:eastAsia="Book Antiqua" w:hAnsi="Book Antiqua" w:cs="Book Antiqua"/>
          <w:b/>
          <w:bCs/>
          <w:color w:val="000000"/>
        </w:rPr>
        <w:t>Figure 11</w:t>
      </w:r>
      <w:r w:rsidR="006C4286" w:rsidRPr="00995972">
        <w:rPr>
          <w:rFonts w:ascii="Book Antiqua" w:eastAsia="Book Antiqua" w:hAnsi="Book Antiqua" w:cs="Book Antiqua"/>
          <w:b/>
          <w:bCs/>
          <w:color w:val="000000"/>
        </w:rPr>
        <w:t xml:space="preserve"> Findings on </w:t>
      </w:r>
      <w:r w:rsidR="006E19F4" w:rsidRPr="00995972">
        <w:rPr>
          <w:rFonts w:ascii="Book Antiqua" w:eastAsia="Book Antiqua" w:hAnsi="Book Antiqua" w:cs="Book Antiqua"/>
          <w:b/>
          <w:bCs/>
          <w:color w:val="000000"/>
        </w:rPr>
        <w:t>high-resolution manometry</w:t>
      </w:r>
      <w:r w:rsidR="006C4286" w:rsidRPr="00995972">
        <w:rPr>
          <w:rFonts w:ascii="Book Antiqua" w:eastAsia="Book Antiqua" w:hAnsi="Book Antiqua" w:cs="Book Antiqua"/>
          <w:b/>
          <w:bCs/>
          <w:color w:val="000000"/>
        </w:rPr>
        <w:t xml:space="preserve"> with </w:t>
      </w:r>
      <w:r w:rsidRPr="00995972">
        <w:rPr>
          <w:rFonts w:ascii="Book Antiqua" w:eastAsia="Book Antiqua" w:hAnsi="Book Antiqua" w:cs="Book Antiqua"/>
          <w:b/>
          <w:bCs/>
          <w:color w:val="000000"/>
        </w:rPr>
        <w:t>multiple rapid swallow</w:t>
      </w:r>
      <w:r w:rsidR="006C4286" w:rsidRPr="00995972">
        <w:rPr>
          <w:rFonts w:ascii="Book Antiqua" w:eastAsia="Book Antiqua" w:hAnsi="Book Antiqua" w:cs="Book Antiqua"/>
          <w:b/>
          <w:bCs/>
          <w:color w:val="000000"/>
        </w:rPr>
        <w:t xml:space="preserve">. </w:t>
      </w:r>
      <w:r w:rsidR="006C4286" w:rsidRPr="00995972">
        <w:rPr>
          <w:rFonts w:ascii="Book Antiqua" w:eastAsia="Book Antiqua" w:hAnsi="Book Antiqua" w:cs="Book Antiqua"/>
          <w:bCs/>
          <w:color w:val="000000"/>
        </w:rPr>
        <w:t>A: </w:t>
      </w:r>
      <w:r w:rsidR="006C4286" w:rsidRPr="00995972">
        <w:rPr>
          <w:rFonts w:ascii="Book Antiqua" w:eastAsia="Book Antiqua" w:hAnsi="Book Antiqua" w:cs="Book Antiqua"/>
          <w:color w:val="000000"/>
        </w:rPr>
        <w:t xml:space="preserve">Normal </w:t>
      </w:r>
      <w:r w:rsidRPr="00995972">
        <w:rPr>
          <w:rFonts w:ascii="Book Antiqua" w:eastAsia="Book Antiqua" w:hAnsi="Book Antiqua" w:cs="Book Antiqua"/>
          <w:color w:val="000000"/>
        </w:rPr>
        <w:t xml:space="preserve">multiple rapid swallow </w:t>
      </w:r>
      <w:r w:rsidRPr="00995972">
        <w:rPr>
          <w:rFonts w:ascii="Book Antiqua" w:hAnsi="Book Antiqua" w:cs="Book Antiqua" w:hint="eastAsia"/>
          <w:color w:val="000000"/>
          <w:lang w:eastAsia="zh-CN"/>
        </w:rPr>
        <w:t>(</w:t>
      </w:r>
      <w:r w:rsidR="006C4286" w:rsidRPr="00995972">
        <w:rPr>
          <w:rFonts w:ascii="Book Antiqua" w:eastAsia="Book Antiqua" w:hAnsi="Book Antiqua" w:cs="Book Antiqua"/>
          <w:color w:val="000000"/>
        </w:rPr>
        <w:t>MRS</w:t>
      </w:r>
      <w:r w:rsidRPr="00995972">
        <w:rPr>
          <w:rFonts w:ascii="Book Antiqua" w:hAnsi="Book Antiqua" w:cs="Book Antiqua" w:hint="eastAsia"/>
          <w:color w:val="000000"/>
          <w:lang w:eastAsia="zh-CN"/>
        </w:rPr>
        <w:t>)</w:t>
      </w:r>
      <w:r w:rsidR="006C4286" w:rsidRPr="00995972">
        <w:rPr>
          <w:rFonts w:ascii="Book Antiqua" w:eastAsia="Book Antiqua" w:hAnsi="Book Antiqua" w:cs="Book Antiqua"/>
          <w:color w:val="000000"/>
        </w:rPr>
        <w:t xml:space="preserve"> with good contraction </w:t>
      </w:r>
      <w:r w:rsidRPr="00995972">
        <w:rPr>
          <w:rFonts w:ascii="Book Antiqua" w:eastAsia="Book Antiqua" w:hAnsi="Book Antiqua" w:cs="Book Antiqua"/>
          <w:color w:val="000000"/>
        </w:rPr>
        <w:t>distal contractile integral</w:t>
      </w:r>
      <w:r w:rsidRPr="00995972">
        <w:rPr>
          <w:rFonts w:ascii="Book Antiqua" w:hAnsi="Book Antiqua" w:cs="Book Antiqua" w:hint="eastAsia"/>
          <w:color w:val="000000"/>
          <w:lang w:eastAsia="zh-CN"/>
        </w:rPr>
        <w:t>;</w:t>
      </w:r>
      <w:r w:rsidRPr="00995972">
        <w:rPr>
          <w:rFonts w:ascii="Book Antiqua" w:eastAsia="Book Antiqua" w:hAnsi="Book Antiqua" w:cs="Book Antiqua"/>
          <w:color w:val="000000"/>
        </w:rPr>
        <w:t xml:space="preserve"> </w:t>
      </w:r>
      <w:r w:rsidR="006C4286" w:rsidRPr="00995972">
        <w:rPr>
          <w:rFonts w:ascii="Book Antiqua" w:eastAsia="Book Antiqua" w:hAnsi="Book Antiqua" w:cs="Book Antiqua"/>
          <w:bCs/>
          <w:color w:val="000000"/>
        </w:rPr>
        <w:t>B:</w:t>
      </w:r>
      <w:r w:rsidR="006C4286" w:rsidRPr="00995972">
        <w:rPr>
          <w:rFonts w:ascii="Book Antiqua" w:eastAsia="Book Antiqua" w:hAnsi="Book Antiqua" w:cs="Book Antiqua"/>
          <w:color w:val="000000"/>
        </w:rPr>
        <w:t> Weak e</w:t>
      </w:r>
      <w:r w:rsidRPr="00995972">
        <w:rPr>
          <w:rFonts w:ascii="Book Antiqua" w:eastAsia="Book Antiqua" w:hAnsi="Book Antiqua" w:cs="Book Antiqua"/>
          <w:color w:val="000000"/>
        </w:rPr>
        <w:t>sophageal contractions with MRS</w:t>
      </w:r>
      <w:r w:rsidRPr="00995972">
        <w:rPr>
          <w:rFonts w:ascii="Book Antiqua" w:hAnsi="Book Antiqua" w:cs="Book Antiqua" w:hint="eastAsia"/>
          <w:color w:val="000000"/>
          <w:lang w:eastAsia="zh-CN"/>
        </w:rPr>
        <w:t xml:space="preserve">; </w:t>
      </w:r>
      <w:r w:rsidR="006C4286" w:rsidRPr="00995972">
        <w:rPr>
          <w:rFonts w:ascii="Book Antiqua" w:eastAsia="Book Antiqua" w:hAnsi="Book Antiqua" w:cs="Book Antiqua"/>
          <w:bCs/>
          <w:color w:val="000000"/>
        </w:rPr>
        <w:t>C: </w:t>
      </w:r>
      <w:r w:rsidR="006C4286" w:rsidRPr="00995972">
        <w:rPr>
          <w:rFonts w:ascii="Book Antiqua" w:eastAsia="Book Antiqua" w:hAnsi="Book Antiqua" w:cs="Book Antiqua"/>
          <w:color w:val="000000"/>
        </w:rPr>
        <w:t>Failed esophageal contractions with MRS</w:t>
      </w:r>
      <w:r w:rsidRPr="00995972">
        <w:rPr>
          <w:rFonts w:ascii="Book Antiqua" w:hAnsi="Book Antiqua" w:cs="Book Antiqua" w:hint="eastAsia"/>
          <w:color w:val="000000"/>
          <w:lang w:eastAsia="zh-CN"/>
        </w:rPr>
        <w:t>.</w:t>
      </w:r>
    </w:p>
    <w:bookmarkEnd w:id="81"/>
    <w:bookmarkEnd w:id="82"/>
    <w:p w14:paraId="2A2DA00D" w14:textId="77777777" w:rsidR="00975CBF" w:rsidRPr="00995972" w:rsidRDefault="00D90A45">
      <w:pPr>
        <w:spacing w:line="360" w:lineRule="auto"/>
        <w:jc w:val="both"/>
        <w:rPr>
          <w:rFonts w:ascii="Book Antiqua" w:hAnsi="Book Antiqua" w:cs="Book Antiqua"/>
          <w:b/>
          <w:bCs/>
          <w:color w:val="000000"/>
          <w:lang w:eastAsia="zh-CN"/>
        </w:rPr>
      </w:pPr>
      <w:r w:rsidRPr="00995972">
        <w:rPr>
          <w:rFonts w:ascii="Book Antiqua" w:eastAsia="Book Antiqua" w:hAnsi="Book Antiqua" w:cs="Book Antiqua"/>
          <w:b/>
          <w:bCs/>
          <w:color w:val="000000"/>
        </w:rPr>
        <w:br w:type="page"/>
      </w:r>
      <w:r w:rsidR="00975CBF" w:rsidRPr="00995972">
        <w:rPr>
          <w:rFonts w:ascii="Book Antiqua" w:eastAsia="Book Antiqua" w:hAnsi="Book Antiqua" w:cs="Book Antiqua"/>
          <w:b/>
          <w:bCs/>
          <w:noProof/>
          <w:color w:val="000000"/>
          <w:lang w:eastAsia="zh-CN"/>
        </w:rPr>
        <w:drawing>
          <wp:inline distT="0" distB="0" distL="0" distR="0" wp14:anchorId="325951C5" wp14:editId="27A2BC86">
            <wp:extent cx="3829050" cy="529207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29405" cy="5292565"/>
                    </a:xfrm>
                    <a:prstGeom prst="rect">
                      <a:avLst/>
                    </a:prstGeom>
                    <a:noFill/>
                  </pic:spPr>
                </pic:pic>
              </a:graphicData>
            </a:graphic>
          </wp:inline>
        </w:drawing>
      </w:r>
    </w:p>
    <w:p w14:paraId="3361DF00" w14:textId="77777777" w:rsidR="00A77B3E" w:rsidRPr="00995972" w:rsidRDefault="00D90A45">
      <w:pPr>
        <w:spacing w:line="360" w:lineRule="auto"/>
        <w:jc w:val="both"/>
        <w:rPr>
          <w:lang w:eastAsia="zh-CN"/>
        </w:rPr>
      </w:pPr>
      <w:r w:rsidRPr="00995972">
        <w:rPr>
          <w:rFonts w:ascii="Book Antiqua" w:eastAsia="Book Antiqua" w:hAnsi="Book Antiqua" w:cs="Book Antiqua"/>
          <w:b/>
          <w:bCs/>
          <w:color w:val="000000"/>
        </w:rPr>
        <w:t>Figure 12</w:t>
      </w:r>
      <w:r w:rsidR="006C4286" w:rsidRPr="00995972">
        <w:rPr>
          <w:rFonts w:ascii="Book Antiqua" w:eastAsia="Book Antiqua" w:hAnsi="Book Antiqua" w:cs="Book Antiqua"/>
          <w:b/>
          <w:bCs/>
          <w:color w:val="000000"/>
        </w:rPr>
        <w:t xml:space="preserve"> Examples of straight leg raise testing during </w:t>
      </w:r>
      <w:r w:rsidR="006E19F4" w:rsidRPr="00995972">
        <w:rPr>
          <w:rFonts w:ascii="Book Antiqua" w:eastAsia="Book Antiqua" w:hAnsi="Book Antiqua" w:cs="Book Antiqua"/>
          <w:b/>
          <w:bCs/>
          <w:color w:val="000000"/>
        </w:rPr>
        <w:t>high-resolution manometry</w:t>
      </w:r>
      <w:r w:rsidRPr="00995972">
        <w:rPr>
          <w:rFonts w:ascii="Book Antiqua" w:hAnsi="Book Antiqua" w:cs="Book Antiqua" w:hint="eastAsia"/>
          <w:b/>
          <w:bCs/>
          <w:color w:val="000000"/>
          <w:lang w:eastAsia="zh-CN"/>
        </w:rPr>
        <w:t>.</w:t>
      </w:r>
      <w:r w:rsidR="006C4286" w:rsidRPr="00995972">
        <w:rPr>
          <w:rFonts w:ascii="Book Antiqua" w:eastAsia="Book Antiqua" w:hAnsi="Book Antiqua" w:cs="Book Antiqua"/>
          <w:b/>
          <w:bCs/>
          <w:color w:val="000000"/>
        </w:rPr>
        <w:t xml:space="preserve"> </w:t>
      </w:r>
      <w:r w:rsidR="006C4286" w:rsidRPr="00995972">
        <w:rPr>
          <w:rFonts w:ascii="Book Antiqua" w:eastAsia="Book Antiqua" w:hAnsi="Book Antiqua" w:cs="Book Antiqua"/>
          <w:bCs/>
          <w:color w:val="000000"/>
        </w:rPr>
        <w:t>A: </w:t>
      </w:r>
      <w:r w:rsidR="006C4286" w:rsidRPr="00995972">
        <w:rPr>
          <w:rFonts w:ascii="Book Antiqua" w:eastAsia="Book Antiqua" w:hAnsi="Book Antiqua" w:cs="Book Antiqua"/>
          <w:color w:val="000000"/>
        </w:rPr>
        <w:t xml:space="preserve">Normal straight leg raise test </w:t>
      </w:r>
      <w:r w:rsidRPr="00995972">
        <w:rPr>
          <w:rFonts w:ascii="Book Antiqua" w:eastAsia="Book Antiqua" w:hAnsi="Book Antiqua" w:cs="Book Antiqua"/>
          <w:color w:val="000000"/>
        </w:rPr>
        <w:t>with single pressurization zone</w:t>
      </w:r>
      <w:r w:rsidRPr="00995972">
        <w:rPr>
          <w:rFonts w:ascii="Book Antiqua" w:hAnsi="Book Antiqua" w:cs="Book Antiqua" w:hint="eastAsia"/>
          <w:color w:val="000000"/>
          <w:lang w:eastAsia="zh-CN"/>
        </w:rPr>
        <w:t xml:space="preserve">; </w:t>
      </w:r>
      <w:r w:rsidR="006C4286" w:rsidRPr="00995972">
        <w:rPr>
          <w:rFonts w:ascii="Book Antiqua" w:eastAsia="Book Antiqua" w:hAnsi="Book Antiqua" w:cs="Book Antiqua"/>
          <w:bCs/>
          <w:color w:val="000000"/>
        </w:rPr>
        <w:t>B:</w:t>
      </w:r>
      <w:r w:rsidR="006C4286" w:rsidRPr="00995972">
        <w:rPr>
          <w:rFonts w:ascii="Book Antiqua" w:eastAsia="Book Antiqua" w:hAnsi="Book Antiqua" w:cs="Book Antiqua"/>
          <w:color w:val="000000"/>
        </w:rPr>
        <w:t> Two pressurization zones after straight leg raise indicating presence of small hiatal he</w:t>
      </w:r>
      <w:r w:rsidRPr="00995972">
        <w:rPr>
          <w:rFonts w:ascii="Book Antiqua" w:eastAsia="Book Antiqua" w:hAnsi="Book Antiqua" w:cs="Book Antiqua"/>
          <w:color w:val="000000"/>
        </w:rPr>
        <w:t>rnia</w:t>
      </w:r>
      <w:r w:rsidRPr="00995972">
        <w:rPr>
          <w:rFonts w:ascii="Book Antiqua" w:hAnsi="Book Antiqua" w:cs="Book Antiqua" w:hint="eastAsia"/>
          <w:color w:val="000000"/>
          <w:lang w:eastAsia="zh-CN"/>
        </w:rPr>
        <w:t xml:space="preserve">; </w:t>
      </w:r>
      <w:r w:rsidR="006C4286" w:rsidRPr="00995972">
        <w:rPr>
          <w:rFonts w:ascii="Book Antiqua" w:eastAsia="Book Antiqua" w:hAnsi="Book Antiqua" w:cs="Book Antiqua"/>
          <w:bCs/>
          <w:color w:val="000000"/>
        </w:rPr>
        <w:t>C: </w:t>
      </w:r>
      <w:r w:rsidR="006C4286" w:rsidRPr="00995972">
        <w:rPr>
          <w:rFonts w:ascii="Book Antiqua" w:eastAsia="Book Antiqua" w:hAnsi="Book Antiqua" w:cs="Book Antiqua"/>
          <w:color w:val="000000"/>
        </w:rPr>
        <w:t>Example of two pressurization zones after straight leg raise in patient with large hiatal hernia (Arrows indicate pressurization zones)</w:t>
      </w:r>
      <w:r w:rsidRPr="00995972">
        <w:rPr>
          <w:rFonts w:ascii="Book Antiqua" w:hAnsi="Book Antiqua" w:cs="Book Antiqua" w:hint="eastAsia"/>
          <w:color w:val="000000"/>
          <w:lang w:eastAsia="zh-CN"/>
        </w:rPr>
        <w:t>.</w:t>
      </w:r>
    </w:p>
    <w:p w14:paraId="4CB4D964" w14:textId="77777777" w:rsidR="00A77B3E" w:rsidRPr="00995972" w:rsidRDefault="00D90A45">
      <w:pPr>
        <w:spacing w:line="360" w:lineRule="auto"/>
        <w:jc w:val="both"/>
      </w:pPr>
      <w:r w:rsidRPr="00995972">
        <w:rPr>
          <w:rFonts w:ascii="Book Antiqua" w:eastAsia="Book Antiqua" w:hAnsi="Book Antiqua" w:cs="Book Antiqua"/>
          <w:b/>
          <w:bCs/>
          <w:color w:val="000000"/>
        </w:rPr>
        <w:br w:type="page"/>
        <w:t>Table 1</w:t>
      </w:r>
      <w:r w:rsidR="006C4286" w:rsidRPr="00995972">
        <w:rPr>
          <w:rFonts w:ascii="Book Antiqua" w:eastAsia="Book Antiqua" w:hAnsi="Book Antiqua" w:cs="Book Antiqua"/>
          <w:b/>
          <w:bCs/>
          <w:color w:val="000000"/>
        </w:rPr>
        <w:t xml:space="preserve"> Esophageal </w:t>
      </w:r>
      <w:r w:rsidRPr="00995972">
        <w:rPr>
          <w:rFonts w:ascii="Book Antiqua" w:eastAsia="Book Antiqua" w:hAnsi="Book Antiqua" w:cs="Book Antiqua"/>
          <w:b/>
          <w:bCs/>
          <w:color w:val="000000"/>
        </w:rPr>
        <w:t xml:space="preserve">disorders </w:t>
      </w:r>
      <w:r w:rsidR="006C4286" w:rsidRPr="00995972">
        <w:rPr>
          <w:rFonts w:ascii="Book Antiqua" w:eastAsia="Book Antiqua" w:hAnsi="Book Antiqua" w:cs="Book Antiqua"/>
          <w:b/>
          <w:bCs/>
          <w:color w:val="000000"/>
        </w:rPr>
        <w:t xml:space="preserve">with </w:t>
      </w:r>
      <w:r w:rsidRPr="00995972">
        <w:rPr>
          <w:rFonts w:ascii="Book Antiqua" w:hAnsi="Book Antiqua" w:cs="Book Antiqua" w:hint="eastAsia"/>
          <w:b/>
          <w:bCs/>
          <w:color w:val="000000"/>
          <w:lang w:eastAsia="zh-CN"/>
        </w:rPr>
        <w:t>g</w:t>
      </w:r>
      <w:r w:rsidRPr="00995972">
        <w:rPr>
          <w:rFonts w:ascii="Book Antiqua" w:eastAsia="Book Antiqua" w:hAnsi="Book Antiqua" w:cs="Book Antiqua"/>
          <w:b/>
          <w:bCs/>
          <w:color w:val="000000"/>
        </w:rPr>
        <w:t>astroesophageal reflux disease</w:t>
      </w:r>
      <w:r w:rsidR="006C4286" w:rsidRPr="00995972">
        <w:rPr>
          <w:rFonts w:ascii="Book Antiqua" w:eastAsia="Book Antiqua" w:hAnsi="Book Antiqua" w:cs="Book Antiqua"/>
          <w:b/>
          <w:bCs/>
          <w:color w:val="000000"/>
        </w:rPr>
        <w:t xml:space="preserve">-like </w:t>
      </w:r>
      <w:r w:rsidRPr="00995972">
        <w:rPr>
          <w:rFonts w:ascii="Book Antiqua" w:eastAsia="Book Antiqua" w:hAnsi="Book Antiqua" w:cs="Book Antiqua"/>
          <w:b/>
          <w:bCs/>
          <w:color w:val="000000"/>
        </w:rPr>
        <w:t>symptoms</w:t>
      </w:r>
    </w:p>
    <w:tbl>
      <w:tblPr>
        <w:tblStyle w:val="11"/>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014"/>
        <w:gridCol w:w="1934"/>
        <w:gridCol w:w="1806"/>
        <w:gridCol w:w="2239"/>
        <w:gridCol w:w="1583"/>
      </w:tblGrid>
      <w:tr w:rsidR="002A42EC" w:rsidRPr="00995972" w14:paraId="0EE3C224" w14:textId="77777777" w:rsidTr="002A42EC">
        <w:trPr>
          <w:cnfStyle w:val="100000000000" w:firstRow="1" w:lastRow="0" w:firstColumn="0" w:lastColumn="0" w:oddVBand="0" w:evenVBand="0" w:oddHBand="0"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952" w:type="dxa"/>
            <w:tcBorders>
              <w:top w:val="single" w:sz="4" w:space="0" w:color="auto"/>
              <w:bottom w:val="single" w:sz="4" w:space="0" w:color="auto"/>
            </w:tcBorders>
            <w:shd w:val="clear" w:color="auto" w:fill="auto"/>
          </w:tcPr>
          <w:p w14:paraId="5104BBBA" w14:textId="77777777" w:rsidR="002A42EC" w:rsidRPr="00995972" w:rsidRDefault="002A42EC" w:rsidP="00B36DDC">
            <w:pPr>
              <w:pStyle w:val="a5"/>
              <w:adjustRightInd w:val="0"/>
              <w:snapToGrid w:val="0"/>
              <w:spacing w:line="360" w:lineRule="auto"/>
              <w:jc w:val="both"/>
              <w:rPr>
                <w:rFonts w:ascii="Book Antiqua" w:hAnsi="Book Antiqua" w:cs="Times New Roman"/>
              </w:rPr>
            </w:pPr>
            <w:r w:rsidRPr="00995972">
              <w:rPr>
                <w:rFonts w:ascii="Book Antiqua" w:hAnsi="Book Antiqua" w:cs="Times New Roman"/>
              </w:rPr>
              <w:t>Diagnosis</w:t>
            </w:r>
          </w:p>
        </w:tc>
        <w:tc>
          <w:tcPr>
            <w:tcW w:w="1957" w:type="dxa"/>
            <w:tcBorders>
              <w:top w:val="single" w:sz="4" w:space="0" w:color="auto"/>
              <w:bottom w:val="single" w:sz="4" w:space="0" w:color="auto"/>
            </w:tcBorders>
            <w:shd w:val="clear" w:color="auto" w:fill="auto"/>
          </w:tcPr>
          <w:p w14:paraId="3DA2A5B6" w14:textId="77777777" w:rsidR="002A42EC" w:rsidRPr="00995972" w:rsidRDefault="002A42EC" w:rsidP="00B36DDC">
            <w:pPr>
              <w:pStyle w:val="a5"/>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Definition</w:t>
            </w:r>
          </w:p>
        </w:tc>
        <w:tc>
          <w:tcPr>
            <w:tcW w:w="1868" w:type="dxa"/>
            <w:tcBorders>
              <w:top w:val="single" w:sz="4" w:space="0" w:color="auto"/>
              <w:bottom w:val="single" w:sz="4" w:space="0" w:color="auto"/>
            </w:tcBorders>
            <w:shd w:val="clear" w:color="auto" w:fill="auto"/>
          </w:tcPr>
          <w:p w14:paraId="23BC1A79" w14:textId="77777777" w:rsidR="002A42EC" w:rsidRPr="00995972" w:rsidRDefault="002A42EC" w:rsidP="00B36DDC">
            <w:pPr>
              <w:pStyle w:val="a5"/>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 xml:space="preserve">Clinical </w:t>
            </w:r>
            <w:r w:rsidR="006B3907" w:rsidRPr="00995972">
              <w:rPr>
                <w:rFonts w:ascii="Book Antiqua" w:hAnsi="Book Antiqua" w:cs="Times New Roman"/>
              </w:rPr>
              <w:t>symptoms</w:t>
            </w:r>
          </w:p>
        </w:tc>
        <w:tc>
          <w:tcPr>
            <w:tcW w:w="1957" w:type="dxa"/>
            <w:tcBorders>
              <w:top w:val="single" w:sz="4" w:space="0" w:color="auto"/>
              <w:bottom w:val="single" w:sz="4" w:space="0" w:color="auto"/>
            </w:tcBorders>
            <w:shd w:val="clear" w:color="auto" w:fill="auto"/>
          </w:tcPr>
          <w:p w14:paraId="02506841" w14:textId="77777777" w:rsidR="002A42EC" w:rsidRPr="00995972" w:rsidRDefault="002A42EC" w:rsidP="00B36DDC">
            <w:pPr>
              <w:pStyle w:val="a5"/>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Pathophysiology</w:t>
            </w:r>
          </w:p>
        </w:tc>
        <w:tc>
          <w:tcPr>
            <w:tcW w:w="1507" w:type="dxa"/>
            <w:tcBorders>
              <w:top w:val="single" w:sz="4" w:space="0" w:color="auto"/>
              <w:bottom w:val="single" w:sz="4" w:space="0" w:color="auto"/>
            </w:tcBorders>
            <w:shd w:val="clear" w:color="auto" w:fill="auto"/>
          </w:tcPr>
          <w:p w14:paraId="61BC4659" w14:textId="77777777" w:rsidR="002A42EC" w:rsidRPr="00995972" w:rsidRDefault="002A42EC" w:rsidP="00B36DDC">
            <w:pPr>
              <w:pStyle w:val="a5"/>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 xml:space="preserve">Diagnostic </w:t>
            </w:r>
            <w:r w:rsidR="006B3907" w:rsidRPr="00995972">
              <w:rPr>
                <w:rFonts w:ascii="Book Antiqua" w:hAnsi="Book Antiqua" w:cs="Times New Roman"/>
              </w:rPr>
              <w:t>evaluation</w:t>
            </w:r>
          </w:p>
        </w:tc>
      </w:tr>
      <w:tr w:rsidR="002A42EC" w:rsidRPr="00995972" w14:paraId="389F3D3D" w14:textId="77777777" w:rsidTr="002A42EC">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9241" w:type="dxa"/>
            <w:gridSpan w:val="5"/>
            <w:tcBorders>
              <w:top w:val="single" w:sz="4" w:space="0" w:color="auto"/>
            </w:tcBorders>
            <w:shd w:val="clear" w:color="auto" w:fill="auto"/>
            <w:vAlign w:val="center"/>
          </w:tcPr>
          <w:p w14:paraId="529BA895" w14:textId="77777777" w:rsidR="002A42EC" w:rsidRPr="00995972" w:rsidRDefault="002A42EC" w:rsidP="00B36DDC">
            <w:pPr>
              <w:pStyle w:val="a5"/>
              <w:adjustRightInd w:val="0"/>
              <w:snapToGrid w:val="0"/>
              <w:spacing w:line="360" w:lineRule="auto"/>
              <w:jc w:val="both"/>
              <w:rPr>
                <w:rFonts w:ascii="Book Antiqua" w:hAnsi="Book Antiqua" w:cs="Times New Roman"/>
                <w:b w:val="0"/>
              </w:rPr>
            </w:pPr>
            <w:r w:rsidRPr="00995972">
              <w:rPr>
                <w:rFonts w:ascii="Book Antiqua" w:hAnsi="Book Antiqua" w:cs="Times New Roman"/>
                <w:b w:val="0"/>
              </w:rPr>
              <w:t xml:space="preserve">Structural </w:t>
            </w:r>
            <w:r w:rsidR="006B3907" w:rsidRPr="00995972">
              <w:rPr>
                <w:rFonts w:ascii="Book Antiqua" w:hAnsi="Book Antiqua" w:cs="Times New Roman"/>
                <w:b w:val="0"/>
              </w:rPr>
              <w:t>disorders</w:t>
            </w:r>
          </w:p>
        </w:tc>
      </w:tr>
      <w:tr w:rsidR="002A42EC" w:rsidRPr="00995972" w14:paraId="5BED9C72" w14:textId="77777777" w:rsidTr="00783D08">
        <w:trPr>
          <w:trHeight w:val="1879"/>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4FFD1038" w14:textId="77777777" w:rsidR="002A42EC" w:rsidRPr="00995972" w:rsidRDefault="002A42EC" w:rsidP="00783D08">
            <w:pPr>
              <w:pStyle w:val="a5"/>
              <w:adjustRightInd w:val="0"/>
              <w:snapToGrid w:val="0"/>
              <w:spacing w:line="360" w:lineRule="auto"/>
              <w:jc w:val="both"/>
              <w:rPr>
                <w:rFonts w:ascii="Book Antiqua" w:hAnsi="Book Antiqua" w:cs="Times New Roman"/>
                <w:b w:val="0"/>
                <w:bCs w:val="0"/>
              </w:rPr>
            </w:pPr>
            <w:bookmarkStart w:id="83" w:name="OLE_LINK208"/>
            <w:bookmarkStart w:id="84" w:name="OLE_LINK209"/>
            <w:r w:rsidRPr="00995972">
              <w:rPr>
                <w:rFonts w:ascii="Book Antiqua" w:hAnsi="Book Antiqua" w:cs="Times New Roman"/>
                <w:b w:val="0"/>
                <w:bCs w:val="0"/>
              </w:rPr>
              <w:t>GERD</w:t>
            </w:r>
            <w:bookmarkEnd w:id="83"/>
            <w:bookmarkEnd w:id="84"/>
          </w:p>
        </w:tc>
        <w:tc>
          <w:tcPr>
            <w:tcW w:w="1957" w:type="dxa"/>
            <w:shd w:val="clear" w:color="auto" w:fill="auto"/>
          </w:tcPr>
          <w:p w14:paraId="3A6423FD" w14:textId="77777777" w:rsidR="002A42EC" w:rsidRPr="00995972" w:rsidRDefault="002A42EC" w:rsidP="00783D08">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Symptoms and complications secondary to the reflux of gastic contents above the lower esophageal sphincter</w:t>
            </w:r>
            <w:r w:rsidRPr="00995972">
              <w:rPr>
                <w:rFonts w:ascii="Book Antiqua" w:hAnsi="Book Antiqua" w:cs="Times New Roman"/>
                <w:vertAlign w:val="superscript"/>
              </w:rPr>
              <w:fldChar w:fldCharType="begin"/>
            </w:r>
            <w:r w:rsidRPr="00995972">
              <w:rPr>
                <w:rFonts w:ascii="Book Antiqua" w:hAnsi="Book Antiqua" w:cs="Times New Roman"/>
                <w:vertAlign w:val="superscript"/>
              </w:rPr>
              <w:instrText xml:space="preserve"> ADDIN EN.CITE &lt;EndNote&gt;&lt;Cite&gt;&lt;Author&gt;Katz&lt;/Author&gt;&lt;Year&gt;2013&lt;/Year&gt;&lt;RecNum&gt;1183&lt;/RecNum&gt;&lt;DisplayText&gt;[5]&lt;/DisplayText&gt;&lt;record&gt;&lt;rec-number&gt;1183&lt;/rec-number&gt;&lt;foreign-keys&gt;&lt;key app="EN" db-id="ta9rpzs9ufw9xneddpu5rwvazztr9pa5r0v2" timestamp="1607607100"&gt;1183&lt;/key&gt;&lt;/foreign-keys&gt;&lt;ref-type name="Journal Article"&gt;17&lt;/ref-type&gt;&lt;contributors&gt;&lt;authors&gt;&lt;author&gt;Katz, P. O.&lt;/author&gt;&lt;author&gt;Gerson, L. B.&lt;/author&gt;&lt;author&gt;Vela, M. F.&lt;/author&gt;&lt;/authors&gt;&lt;/contributors&gt;&lt;auth-address&gt;Division of Gastroenterology, Einstein Medical Center, Philadelphia, Pennsylvania, USA.&lt;/auth-address&gt;&lt;titles&gt;&lt;title&gt;Guidelines for the diagnosis and management of gastroesophageal reflux disease&lt;/title&gt;&lt;secondary-title&gt;Am J Gastroenterol&lt;/secondary-title&gt;&lt;/titles&gt;&lt;periodical&gt;&lt;full-title&gt;Am J Gastroenterol&lt;/full-title&gt;&lt;/periodical&gt;&lt;pages&gt;308-28; quiz 329&lt;/pages&gt;&lt;volume&gt;108&lt;/volume&gt;&lt;number&gt;3&lt;/number&gt;&lt;edition&gt;2013/02/20&lt;/edition&gt;&lt;keywords&gt;&lt;keyword&gt;Gastroesophageal Reflux/*diagnosis/*therapy&lt;/keyword&gt;&lt;keyword&gt;Histamine Antagonists/*therapeutic use&lt;/keyword&gt;&lt;keyword&gt;Humans&lt;/keyword&gt;&lt;keyword&gt;Manometry&lt;/keyword&gt;&lt;keyword&gt;Practice Guidelines as Topic&lt;/keyword&gt;&lt;keyword&gt;Proton Pump Inhibitors/*therapeutic use&lt;/keyword&gt;&lt;/keywords&gt;&lt;dates&gt;&lt;year&gt;2013&lt;/year&gt;&lt;pub-dates&gt;&lt;date&gt;Mar&lt;/date&gt;&lt;/pub-dates&gt;&lt;/dates&gt;&lt;isbn&gt;1572-0241 (Electronic)&amp;#xD;0002-9270 (Linking)&lt;/isbn&gt;&lt;accession-num&gt;23419381&lt;/accession-num&gt;&lt;urls&gt;&lt;related-urls&gt;&lt;url&gt;https://www.ncbi.nlm.nih.gov/pubmed/23419381&lt;/url&gt;&lt;/related-urls&gt;&lt;/urls&gt;&lt;electronic-resource-num&gt;10.1038/ajg.2012.444&lt;/electronic-resource-num&gt;&lt;/record&gt;&lt;/Cite&gt;&lt;/EndNote&gt;</w:instrText>
            </w:r>
            <w:r w:rsidRPr="00995972">
              <w:rPr>
                <w:rFonts w:ascii="Book Antiqua" w:hAnsi="Book Antiqua" w:cs="Times New Roman"/>
                <w:vertAlign w:val="superscript"/>
              </w:rPr>
              <w:fldChar w:fldCharType="separate"/>
            </w:r>
            <w:r w:rsidRPr="00995972">
              <w:rPr>
                <w:rFonts w:ascii="Book Antiqua" w:hAnsi="Book Antiqua" w:cs="Times New Roman"/>
                <w:noProof/>
                <w:vertAlign w:val="superscript"/>
              </w:rPr>
              <w:t>[5]</w:t>
            </w:r>
            <w:r w:rsidRPr="00995972">
              <w:rPr>
                <w:rFonts w:ascii="Book Antiqua" w:hAnsi="Book Antiqua" w:cs="Times New Roman"/>
                <w:vertAlign w:val="superscript"/>
              </w:rPr>
              <w:fldChar w:fldCharType="end"/>
            </w:r>
          </w:p>
        </w:tc>
        <w:tc>
          <w:tcPr>
            <w:tcW w:w="1868" w:type="dxa"/>
            <w:shd w:val="clear" w:color="auto" w:fill="auto"/>
          </w:tcPr>
          <w:p w14:paraId="2EC56D1D" w14:textId="77777777" w:rsidR="002A42EC" w:rsidRPr="00995972" w:rsidRDefault="002A42EC" w:rsidP="00783D08">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Regurgitation, reflux, dysphagia, retrosternal non-cardiac chest pain, globus sensation, extra esophageal symptoms</w:t>
            </w:r>
          </w:p>
        </w:tc>
        <w:tc>
          <w:tcPr>
            <w:tcW w:w="1957" w:type="dxa"/>
            <w:shd w:val="clear" w:color="auto" w:fill="auto"/>
          </w:tcPr>
          <w:p w14:paraId="66F7C0F5" w14:textId="77777777" w:rsidR="002A42EC" w:rsidRPr="00995972" w:rsidRDefault="002A42EC" w:rsidP="00D417C7">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 xml:space="preserve">Abnormal transient </w:t>
            </w:r>
            <w:r w:rsidR="00D417C7" w:rsidRPr="00995972">
              <w:rPr>
                <w:rFonts w:ascii="Book Antiqua" w:hAnsi="Book Antiqua" w:cs="Times New Roman"/>
              </w:rPr>
              <w:t>LES</w:t>
            </w:r>
            <w:r w:rsidRPr="00995972">
              <w:rPr>
                <w:rFonts w:ascii="Book Antiqua" w:hAnsi="Book Antiqua" w:cs="Times New Roman"/>
              </w:rPr>
              <w:t xml:space="preserve"> relaxation, LES dysfunction secondary to anatomic abnormality such as hiatal hernia</w:t>
            </w:r>
          </w:p>
        </w:tc>
        <w:tc>
          <w:tcPr>
            <w:tcW w:w="1507" w:type="dxa"/>
            <w:shd w:val="clear" w:color="auto" w:fill="auto"/>
          </w:tcPr>
          <w:p w14:paraId="49B26586" w14:textId="77777777" w:rsidR="002A42EC" w:rsidRPr="00995972" w:rsidRDefault="002A42EC" w:rsidP="00783D08">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Upper endoscopy, high resolution manometry, ambulatory pH testing, ambulatory impedance testing</w:t>
            </w:r>
          </w:p>
        </w:tc>
      </w:tr>
      <w:tr w:rsidR="002A42EC" w:rsidRPr="00995972" w14:paraId="5D6FA5A4" w14:textId="77777777" w:rsidTr="00316259">
        <w:trPr>
          <w:cnfStyle w:val="000000100000" w:firstRow="0" w:lastRow="0" w:firstColumn="0" w:lastColumn="0" w:oddVBand="0" w:evenVBand="0" w:oddHBand="1" w:evenHBand="0" w:firstRowFirstColumn="0" w:firstRowLastColumn="0" w:lastRowFirstColumn="0" w:lastRowLastColumn="0"/>
          <w:trHeight w:val="1050"/>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4597A84A" w14:textId="77777777" w:rsidR="002A42EC" w:rsidRPr="00995972" w:rsidRDefault="002A42EC" w:rsidP="00316259">
            <w:pPr>
              <w:pStyle w:val="a5"/>
              <w:adjustRightInd w:val="0"/>
              <w:snapToGrid w:val="0"/>
              <w:spacing w:line="360" w:lineRule="auto"/>
              <w:jc w:val="both"/>
              <w:rPr>
                <w:rFonts w:ascii="Book Antiqua" w:hAnsi="Book Antiqua" w:cs="Times New Roman"/>
              </w:rPr>
            </w:pPr>
            <w:r w:rsidRPr="00995972">
              <w:rPr>
                <w:rFonts w:ascii="Book Antiqua" w:hAnsi="Book Antiqua" w:cs="Times New Roman"/>
                <w:b w:val="0"/>
                <w:bCs w:val="0"/>
              </w:rPr>
              <w:t xml:space="preserve">Weak </w:t>
            </w:r>
            <w:r w:rsidR="00C97120" w:rsidRPr="00995972">
              <w:rPr>
                <w:rFonts w:ascii="Book Antiqua" w:hAnsi="Book Antiqua" w:cs="Times New Roman"/>
                <w:b w:val="0"/>
                <w:bCs w:val="0"/>
              </w:rPr>
              <w:t>acid reflux</w:t>
            </w:r>
          </w:p>
        </w:tc>
        <w:tc>
          <w:tcPr>
            <w:tcW w:w="1957" w:type="dxa"/>
            <w:shd w:val="clear" w:color="auto" w:fill="auto"/>
          </w:tcPr>
          <w:p w14:paraId="662007C8"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Symptoms secondary to reflux of gastric contents above the LES with pH ranging from 4-7</w:t>
            </w:r>
            <w:r w:rsidRPr="00995972">
              <w:rPr>
                <w:rFonts w:ascii="Book Antiqua" w:hAnsi="Book Antiqua" w:cs="Times New Roman"/>
                <w:vertAlign w:val="superscript"/>
              </w:rPr>
              <w:fldChar w:fldCharType="begin"/>
            </w:r>
            <w:r w:rsidRPr="00995972">
              <w:rPr>
                <w:rFonts w:ascii="Book Antiqua" w:hAnsi="Book Antiqua" w:cs="Times New Roman"/>
                <w:vertAlign w:val="superscript"/>
              </w:rPr>
              <w:instrText xml:space="preserve"> ADDIN EN.CITE &lt;EndNote&gt;&lt;Cite&gt;&lt;Author&gt;Sifrim&lt;/Author&gt;&lt;Year&gt;2012&lt;/Year&gt;&lt;RecNum&gt;1952&lt;/RecNum&gt;&lt;DisplayText&gt;[32]&lt;/DisplayText&gt;&lt;record&gt;&lt;rec-number&gt;1952&lt;/rec-number&gt;&lt;foreign-keys&gt;&lt;key app="EN" db-id="ta9rpzs9ufw9xneddpu5rwvazztr9pa5r0v2" timestamp="1607704531"&gt;1952&lt;/key&gt;&lt;/foreign-keys&gt;&lt;ref-type name="Journal Article"&gt;17&lt;/ref-type&gt;&lt;contributors&gt;&lt;authors&gt;&lt;author&gt;Sifrim, D.&lt;/author&gt;&lt;author&gt;Zerbib, F.&lt;/author&gt;&lt;/authors&gt;&lt;/contributors&gt;&lt;auth-address&gt;Wingate Institute of Neurogastroenterology, Blizard Institute of Cell and Molecular Science, Barts and The London School of Medicine and Dentistry, Queen Mary University of London, London, UK. d.sifrim@qmul.ac.uk&lt;/auth-address&gt;&lt;titles&gt;&lt;title&gt;Diagnosis and management of patients with reflux symptoms refractory to proton pump inhibitors&lt;/title&gt;&lt;secondary-title&gt;Gut&lt;/secondary-title&gt;&lt;/titles&gt;&lt;periodical&gt;&lt;full-title&gt;Gut&lt;/full-title&gt;&lt;/periodical&gt;&lt;pages&gt;1340-54&lt;/pages&gt;&lt;volume&gt;61&lt;/volume&gt;&lt;number&gt;9&lt;/number&gt;&lt;edition&gt;2012/06/12&lt;/edition&gt;&lt;keywords&gt;&lt;keyword&gt;Drug Resistance/physiology&lt;/keyword&gt;&lt;keyword&gt;Gastroesophageal Reflux/*diagnosis/physiopathology/*therapy&lt;/keyword&gt;&lt;keyword&gt;Humans&lt;/keyword&gt;&lt;keyword&gt;Proton Pump Inhibitors/*therapeutic use&lt;/keyword&gt;&lt;/keywords&gt;&lt;dates&gt;&lt;year&gt;2012&lt;/year&gt;&lt;pub-dates&gt;&lt;date&gt;Sep&lt;/date&gt;&lt;/pub-dates&gt;&lt;/dates&gt;&lt;isbn&gt;1468-3288 (Electronic)&amp;#xD;0017-5749 (Linking)&lt;/isbn&gt;&lt;accession-num&gt;22684483&lt;/accession-num&gt;&lt;urls&gt;&lt;related-urls&gt;&lt;url&gt;https://www.ncbi.nlm.nih.gov/pubmed/22684483&lt;/url&gt;&lt;/related-urls&gt;&lt;/urls&gt;&lt;electronic-resource-num&gt;10.1136/gutjnl-2011-301897&lt;/electronic-resource-num&gt;&lt;/record&gt;&lt;/Cite&gt;&lt;/EndNote&gt;</w:instrText>
            </w:r>
            <w:r w:rsidRPr="00995972">
              <w:rPr>
                <w:rFonts w:ascii="Book Antiqua" w:hAnsi="Book Antiqua" w:cs="Times New Roman"/>
                <w:vertAlign w:val="superscript"/>
              </w:rPr>
              <w:fldChar w:fldCharType="separate"/>
            </w:r>
            <w:r w:rsidRPr="00995972">
              <w:rPr>
                <w:rFonts w:ascii="Book Antiqua" w:hAnsi="Book Antiqua" w:cs="Times New Roman"/>
                <w:noProof/>
                <w:vertAlign w:val="superscript"/>
              </w:rPr>
              <w:t>[32]</w:t>
            </w:r>
            <w:r w:rsidRPr="00995972">
              <w:rPr>
                <w:rFonts w:ascii="Book Antiqua" w:hAnsi="Book Antiqua" w:cs="Times New Roman"/>
                <w:vertAlign w:val="superscript"/>
              </w:rPr>
              <w:fldChar w:fldCharType="end"/>
            </w:r>
          </w:p>
        </w:tc>
        <w:tc>
          <w:tcPr>
            <w:tcW w:w="1868" w:type="dxa"/>
            <w:shd w:val="clear" w:color="auto" w:fill="auto"/>
          </w:tcPr>
          <w:p w14:paraId="75D768E2"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Reflux, regurgitation, non-cardiac chest pain</w:t>
            </w:r>
          </w:p>
        </w:tc>
        <w:tc>
          <w:tcPr>
            <w:tcW w:w="1957" w:type="dxa"/>
            <w:shd w:val="clear" w:color="auto" w:fill="auto"/>
          </w:tcPr>
          <w:p w14:paraId="63DF8F26"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Persistent reflux with pH from 4-7 due to transient LES relaxation</w:t>
            </w:r>
          </w:p>
        </w:tc>
        <w:tc>
          <w:tcPr>
            <w:tcW w:w="1507" w:type="dxa"/>
            <w:shd w:val="clear" w:color="auto" w:fill="auto"/>
          </w:tcPr>
          <w:p w14:paraId="1283981F"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 xml:space="preserve"> pH studies - on maximum PPI therapy</w:t>
            </w:r>
          </w:p>
        </w:tc>
      </w:tr>
      <w:tr w:rsidR="002A42EC" w:rsidRPr="00995972" w14:paraId="51668FB0" w14:textId="77777777" w:rsidTr="00316259">
        <w:trPr>
          <w:trHeight w:val="2929"/>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1F327041" w14:textId="77777777" w:rsidR="002A42EC" w:rsidRPr="00995972" w:rsidRDefault="002A42EC" w:rsidP="00316259">
            <w:pPr>
              <w:pStyle w:val="a5"/>
              <w:adjustRightInd w:val="0"/>
              <w:snapToGrid w:val="0"/>
              <w:spacing w:line="360" w:lineRule="auto"/>
              <w:jc w:val="both"/>
              <w:rPr>
                <w:rFonts w:ascii="Book Antiqua" w:hAnsi="Book Antiqua" w:cs="Times New Roman"/>
                <w:b w:val="0"/>
                <w:bCs w:val="0"/>
              </w:rPr>
            </w:pPr>
            <w:r w:rsidRPr="00995972">
              <w:rPr>
                <w:rFonts w:ascii="Book Antiqua" w:hAnsi="Book Antiqua" w:cs="Times New Roman"/>
                <w:b w:val="0"/>
                <w:bCs w:val="0"/>
              </w:rPr>
              <w:t xml:space="preserve">Eosinophilic </w:t>
            </w:r>
            <w:r w:rsidR="00C97120" w:rsidRPr="00995972">
              <w:rPr>
                <w:rFonts w:ascii="Book Antiqua" w:hAnsi="Book Antiqua" w:cs="Times New Roman"/>
                <w:b w:val="0"/>
                <w:bCs w:val="0"/>
              </w:rPr>
              <w:t>esophagitis</w:t>
            </w:r>
          </w:p>
        </w:tc>
        <w:tc>
          <w:tcPr>
            <w:tcW w:w="1957" w:type="dxa"/>
            <w:shd w:val="clear" w:color="auto" w:fill="auto"/>
          </w:tcPr>
          <w:p w14:paraId="6D0921C3"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Presence of symptoms of esophageal dysfunction such as reflux or dysphagia, eosinophilic inflammation on esophageal biopsy with ≥ 15 eosinophils per high power field, and exclusion of other disorders with similar presentations</w:t>
            </w:r>
            <w:r w:rsidRPr="00995972">
              <w:rPr>
                <w:rFonts w:ascii="Book Antiqua" w:hAnsi="Book Antiqua" w:cs="Times New Roman"/>
                <w:vertAlign w:val="superscript"/>
              </w:rPr>
              <w:fldChar w:fldCharType="begin">
                <w:fldData xml:space="preserve">PEVuZE5vdGU+PENpdGU+PEF1dGhvcj5EZWxsb248L0F1dGhvcj48WWVhcj4yMDE4PC9ZZWFyPjxS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</w:fldData>
              </w:fldChar>
            </w:r>
            <w:r w:rsidRPr="00995972">
              <w:rPr>
                <w:rFonts w:ascii="Book Antiqua" w:hAnsi="Book Antiqua" w:cs="Times New Roman"/>
                <w:vertAlign w:val="superscript"/>
              </w:rPr>
              <w:instrText xml:space="preserve"> ADDIN EN.CITE </w:instrText>
            </w:r>
            <w:r w:rsidRPr="00995972">
              <w:rPr>
                <w:rFonts w:ascii="Book Antiqua" w:hAnsi="Book Antiqua" w:cs="Times New Roman"/>
                <w:vertAlign w:val="superscript"/>
              </w:rPr>
              <w:fldChar w:fldCharType="begin">
                <w:fldData xml:space="preserve">PEVuZE5vdGU+PENpdGU+PEF1dGhvcj5EZWxsb248L0F1dGhvcj48WWVhcj4yMDE4PC9ZZWFyPjxS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</w:fldData>
              </w:fldChar>
            </w:r>
            <w:r w:rsidRPr="00995972">
              <w:rPr>
                <w:rFonts w:ascii="Book Antiqua" w:hAnsi="Book Antiqua" w:cs="Times New Roman"/>
                <w:vertAlign w:val="superscript"/>
              </w:rPr>
              <w:instrText xml:space="preserve"> ADDIN EN.CITE.DATA </w:instrText>
            </w:r>
            <w:r w:rsidRPr="00995972">
              <w:rPr>
                <w:rFonts w:ascii="Book Antiqua" w:hAnsi="Book Antiqua" w:cs="Times New Roman"/>
                <w:vertAlign w:val="superscript"/>
              </w:rPr>
            </w:r>
            <w:r w:rsidRPr="00995972">
              <w:rPr>
                <w:rFonts w:ascii="Book Antiqua" w:hAnsi="Book Antiqua" w:cs="Times New Roman"/>
                <w:vertAlign w:val="superscript"/>
              </w:rPr>
              <w:fldChar w:fldCharType="end"/>
            </w:r>
            <w:r w:rsidRPr="00995972">
              <w:rPr>
                <w:rFonts w:ascii="Book Antiqua" w:hAnsi="Book Antiqua" w:cs="Times New Roman"/>
                <w:vertAlign w:val="superscript"/>
              </w:rPr>
            </w:r>
            <w:r w:rsidRPr="00995972">
              <w:rPr>
                <w:rFonts w:ascii="Book Antiqua" w:hAnsi="Book Antiqua" w:cs="Times New Roman"/>
                <w:vertAlign w:val="superscript"/>
              </w:rPr>
              <w:fldChar w:fldCharType="separate"/>
            </w:r>
            <w:r w:rsidRPr="00995972">
              <w:rPr>
                <w:rFonts w:ascii="Book Antiqua" w:hAnsi="Book Antiqua" w:cs="Times New Roman"/>
                <w:noProof/>
                <w:vertAlign w:val="superscript"/>
              </w:rPr>
              <w:t>[81]</w:t>
            </w:r>
            <w:r w:rsidRPr="00995972">
              <w:rPr>
                <w:rFonts w:ascii="Book Antiqua" w:hAnsi="Book Antiqua" w:cs="Times New Roman"/>
                <w:vertAlign w:val="superscript"/>
              </w:rPr>
              <w:fldChar w:fldCharType="end"/>
            </w:r>
          </w:p>
        </w:tc>
        <w:tc>
          <w:tcPr>
            <w:tcW w:w="1868" w:type="dxa"/>
            <w:shd w:val="clear" w:color="auto" w:fill="auto"/>
          </w:tcPr>
          <w:p w14:paraId="12611FDE"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Dysphagia, reflux, non-cardiac chest pain</w:t>
            </w:r>
          </w:p>
        </w:tc>
        <w:tc>
          <w:tcPr>
            <w:tcW w:w="1957" w:type="dxa"/>
            <w:shd w:val="clear" w:color="auto" w:fill="auto"/>
          </w:tcPr>
          <w:p w14:paraId="33103C06"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Eosinophil mediated inflammatory response in the esophagus secondary to allergenic antigens</w:t>
            </w:r>
          </w:p>
        </w:tc>
        <w:tc>
          <w:tcPr>
            <w:tcW w:w="1507" w:type="dxa"/>
            <w:shd w:val="clear" w:color="auto" w:fill="auto"/>
          </w:tcPr>
          <w:p w14:paraId="10DB8AC0"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Upper endoscopy with biopsy</w:t>
            </w:r>
          </w:p>
        </w:tc>
      </w:tr>
      <w:tr w:rsidR="002A42EC" w:rsidRPr="00995972" w14:paraId="1BE88C41" w14:textId="77777777" w:rsidTr="00316259">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9241" w:type="dxa"/>
            <w:gridSpan w:val="5"/>
            <w:shd w:val="clear" w:color="auto" w:fill="auto"/>
          </w:tcPr>
          <w:p w14:paraId="66A325A8" w14:textId="77777777" w:rsidR="002A42EC" w:rsidRPr="00995972" w:rsidRDefault="002A42EC" w:rsidP="00316259">
            <w:pPr>
              <w:pStyle w:val="a5"/>
              <w:adjustRightInd w:val="0"/>
              <w:snapToGrid w:val="0"/>
              <w:spacing w:line="360" w:lineRule="auto"/>
              <w:jc w:val="both"/>
              <w:rPr>
                <w:rFonts w:ascii="Book Antiqua" w:hAnsi="Book Antiqua" w:cs="Times New Roman"/>
                <w:b w:val="0"/>
                <w:bCs w:val="0"/>
              </w:rPr>
            </w:pPr>
            <w:r w:rsidRPr="00995972">
              <w:rPr>
                <w:rFonts w:ascii="Book Antiqua" w:hAnsi="Book Antiqua" w:cs="Times New Roman"/>
                <w:b w:val="0"/>
                <w:bCs w:val="0"/>
              </w:rPr>
              <w:t xml:space="preserve">Motility </w:t>
            </w:r>
            <w:r w:rsidR="001028BD" w:rsidRPr="00995972">
              <w:rPr>
                <w:rFonts w:ascii="Book Antiqua" w:hAnsi="Book Antiqua" w:cs="Times New Roman"/>
                <w:b w:val="0"/>
                <w:bCs w:val="0"/>
              </w:rPr>
              <w:t>disorders</w:t>
            </w:r>
          </w:p>
        </w:tc>
      </w:tr>
      <w:tr w:rsidR="002A42EC" w:rsidRPr="00995972" w14:paraId="07D3170A" w14:textId="77777777" w:rsidTr="00316259">
        <w:trPr>
          <w:trHeight w:val="1036"/>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43595482" w14:textId="77777777" w:rsidR="002A42EC" w:rsidRPr="00995972" w:rsidRDefault="002A42EC" w:rsidP="00316259">
            <w:pPr>
              <w:pStyle w:val="a5"/>
              <w:adjustRightInd w:val="0"/>
              <w:snapToGrid w:val="0"/>
              <w:spacing w:line="360" w:lineRule="auto"/>
              <w:jc w:val="both"/>
              <w:rPr>
                <w:rFonts w:ascii="Book Antiqua" w:hAnsi="Book Antiqua" w:cs="Times New Roman"/>
                <w:b w:val="0"/>
                <w:bCs w:val="0"/>
              </w:rPr>
            </w:pPr>
            <w:r w:rsidRPr="00995972">
              <w:rPr>
                <w:rFonts w:ascii="Book Antiqua" w:hAnsi="Book Antiqua" w:cs="Times New Roman"/>
                <w:b w:val="0"/>
                <w:bCs w:val="0"/>
              </w:rPr>
              <w:t>Achalasia</w:t>
            </w:r>
          </w:p>
        </w:tc>
        <w:tc>
          <w:tcPr>
            <w:tcW w:w="1957" w:type="dxa"/>
            <w:shd w:val="clear" w:color="auto" w:fill="auto"/>
          </w:tcPr>
          <w:p w14:paraId="550BD039"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Elevated IRP &gt;</w:t>
            </w:r>
            <w:r w:rsidR="00595179" w:rsidRPr="00995972">
              <w:rPr>
                <w:rFonts w:ascii="Book Antiqua" w:hAnsi="Book Antiqua" w:cs="Times New Roman" w:hint="eastAsia"/>
              </w:rPr>
              <w:t xml:space="preserve"> </w:t>
            </w:r>
            <w:r w:rsidRPr="00995972">
              <w:rPr>
                <w:rFonts w:ascii="Book Antiqua" w:hAnsi="Book Antiqua" w:cs="Times New Roman"/>
              </w:rPr>
              <w:t>15 mmHg and absence of normal peristalsis</w:t>
            </w:r>
            <w:r w:rsidRPr="00995972">
              <w:rPr>
                <w:rFonts w:ascii="Book Antiqua" w:hAnsi="Book Antiqua" w:cs="Times New Roman"/>
                <w:vertAlign w:val="superscript"/>
              </w:rPr>
              <w:fldChar w:fldCharType="begin"/>
            </w:r>
            <w:r w:rsidRPr="00995972">
              <w:rPr>
                <w:rFonts w:ascii="Book Antiqua" w:hAnsi="Book Antiqua" w:cs="Times New Roman"/>
                <w:vertAlign w:val="superscript"/>
              </w:rPr>
              <w:instrText xml:space="preserve"> ADDIN EN.CITE &lt;EndNote&gt;&lt;Cite&gt;&lt;Author&gt;Kahrilas&lt;/Author&gt;&lt;Year&gt;2015&lt;/Year&gt;&lt;RecNum&gt;2078&lt;/RecNum&gt;&lt;DisplayText&gt;[44]&lt;/DisplayText&gt;&lt;record&gt;&lt;rec-number&gt;2078&lt;/rec-number&gt;&lt;foreign-keys&gt;&lt;key app="EN" db-id="ta9rpzs9ufw9xneddpu5rwvazztr9pa5r0v2" timestamp="1607715848"&gt;2078&lt;/key&gt;&lt;/foreign-keys&gt;&lt;ref-type name="Journal Article"&gt;17&lt;/ref-type&gt;&lt;contributors&gt;&lt;authors&gt;&lt;author&gt;Kahrilas, P. J.&lt;/author&gt;&lt;author&gt;Bredenoord, A. J.&lt;/author&gt;&lt;author&gt;Fox, M.&lt;/author&gt;&lt;author&gt;Gyawali, C. P.&lt;/author&gt;&lt;author&gt;Roman, S.&lt;/author&gt;&lt;author&gt;Smout, A. J.&lt;/author&gt;&lt;author&gt;Pandolfino, J. E.&lt;/author&gt;&lt;author&gt;International High Resolution Manometry Working, Group&lt;/author&gt;&lt;/authors&gt;&lt;/contributors&gt;&lt;auth-address&gt;Department of Medicine, Feinberg School of Medicine, Northwestern University, Chicago, IL, USA.&lt;/auth-address&gt;&lt;titles&gt;&lt;title&gt;The Chicago Classification of esophageal motility disorders, v3.0&lt;/title&gt;&lt;secondary-title&gt;Neurogastroenterol Motil&lt;/secondary-title&gt;&lt;/titles&gt;&lt;periodical&gt;&lt;full-title&gt;Neurogastroenterol Motil&lt;/full-title&gt;&lt;/periodical&gt;&lt;pages&gt;160-74&lt;/pages&gt;&lt;volume&gt;27&lt;/volume&gt;&lt;number&gt;2&lt;/number&gt;&lt;edition&gt;2014/12/04&lt;/edition&gt;&lt;keywords&gt;&lt;keyword&gt;Esophageal Achalasia/classification/diagnosis/physiopathology&lt;/keyword&gt;&lt;keyword&gt;Esophageal Motility Disorders/classification/*diagnosis/physiopathology&lt;/keyword&gt;&lt;keyword&gt;Humans&lt;/keyword&gt;&lt;keyword&gt;*Image Interpretation, Computer-Assisted&lt;/keyword&gt;&lt;keyword&gt;Manometry/*methods/*standards&lt;/keyword&gt;&lt;keyword&gt;achalasia&lt;/keyword&gt;&lt;keyword&gt;dysphagia&lt;/keyword&gt;&lt;keyword&gt;esophageal motility disorders&lt;/keyword&gt;&lt;keyword&gt;high-resolution manometry&lt;/keyword&gt;&lt;keyword&gt;ineffective esophageal motility&lt;/keyword&gt;&lt;/keywords&gt;&lt;dates&gt;&lt;year&gt;2015&lt;/year&gt;&lt;pub-dates&gt;&lt;date&gt;Feb&lt;/date&gt;&lt;/pub-dates&gt;&lt;/dates&gt;&lt;isbn&gt;1365-2982 (Electronic)&amp;#xD;1350-1925 (Linking)&lt;/isbn&gt;&lt;accession-num&gt;25469569&lt;/accession-num&gt;&lt;urls&gt;&lt;related-urls&gt;&lt;url&gt;https://www.ncbi.nlm.nih.gov/pubmed/25469569&lt;/url&gt;&lt;/related-urls&gt;&lt;/urls&gt;&lt;custom2&gt;PMC4308501&lt;/custom2&gt;&lt;electronic-resource-num&gt;10.1111/nmo.12477&lt;/electronic-resource-num&gt;&lt;/record&gt;&lt;/Cite&gt;&lt;/EndNote&gt;</w:instrText>
            </w:r>
            <w:r w:rsidRPr="00995972">
              <w:rPr>
                <w:rFonts w:ascii="Book Antiqua" w:hAnsi="Book Antiqua" w:cs="Times New Roman"/>
                <w:vertAlign w:val="superscript"/>
              </w:rPr>
              <w:fldChar w:fldCharType="separate"/>
            </w:r>
            <w:r w:rsidRPr="00995972">
              <w:rPr>
                <w:rFonts w:ascii="Book Antiqua" w:hAnsi="Book Antiqua" w:cs="Times New Roman"/>
                <w:noProof/>
                <w:vertAlign w:val="superscript"/>
              </w:rPr>
              <w:t>[44]</w:t>
            </w:r>
            <w:r w:rsidRPr="00995972">
              <w:rPr>
                <w:rFonts w:ascii="Book Antiqua" w:hAnsi="Book Antiqua" w:cs="Times New Roman"/>
                <w:vertAlign w:val="superscript"/>
              </w:rPr>
              <w:fldChar w:fldCharType="end"/>
            </w:r>
          </w:p>
        </w:tc>
        <w:tc>
          <w:tcPr>
            <w:tcW w:w="1868" w:type="dxa"/>
            <w:shd w:val="clear" w:color="auto" w:fill="auto"/>
          </w:tcPr>
          <w:p w14:paraId="4140021C"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Dysphagia, regurgitation, non-cardiac chest pain</w:t>
            </w:r>
          </w:p>
        </w:tc>
        <w:tc>
          <w:tcPr>
            <w:tcW w:w="1957" w:type="dxa"/>
            <w:shd w:val="clear" w:color="auto" w:fill="auto"/>
          </w:tcPr>
          <w:p w14:paraId="4F9DB91F"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Failure of LES relaxation and absence of normal peristalsis</w:t>
            </w:r>
          </w:p>
        </w:tc>
        <w:tc>
          <w:tcPr>
            <w:tcW w:w="1507" w:type="dxa"/>
            <w:shd w:val="clear" w:color="auto" w:fill="auto"/>
          </w:tcPr>
          <w:p w14:paraId="70D3C901"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High resolution manometry, upper endoscopy, barium studies</w:t>
            </w:r>
          </w:p>
        </w:tc>
      </w:tr>
      <w:tr w:rsidR="002A42EC" w:rsidRPr="00995972" w14:paraId="3D5DB1FE" w14:textId="77777777" w:rsidTr="00316259">
        <w:trPr>
          <w:cnfStyle w:val="000000100000" w:firstRow="0" w:lastRow="0" w:firstColumn="0" w:lastColumn="0" w:oddVBand="0" w:evenVBand="0" w:oddHBand="1" w:evenHBand="0" w:firstRowFirstColumn="0" w:firstRowLastColumn="0" w:lastRowFirstColumn="0" w:lastRowLastColumn="0"/>
          <w:trHeight w:val="1050"/>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48278EDC" w14:textId="77777777" w:rsidR="002A42EC" w:rsidRPr="00995972" w:rsidRDefault="002A42EC" w:rsidP="00316259">
            <w:pPr>
              <w:pStyle w:val="a5"/>
              <w:adjustRightInd w:val="0"/>
              <w:snapToGrid w:val="0"/>
              <w:spacing w:line="360" w:lineRule="auto"/>
              <w:jc w:val="both"/>
              <w:rPr>
                <w:rFonts w:ascii="Book Antiqua" w:hAnsi="Book Antiqua" w:cs="Times New Roman"/>
                <w:b w:val="0"/>
                <w:bCs w:val="0"/>
              </w:rPr>
            </w:pPr>
            <w:r w:rsidRPr="00995972">
              <w:rPr>
                <w:rFonts w:ascii="Book Antiqua" w:hAnsi="Book Antiqua" w:cs="Times New Roman"/>
                <w:b w:val="0"/>
                <w:bCs w:val="0"/>
              </w:rPr>
              <w:t>Scleroderma</w:t>
            </w:r>
          </w:p>
        </w:tc>
        <w:tc>
          <w:tcPr>
            <w:tcW w:w="1957" w:type="dxa"/>
            <w:shd w:val="clear" w:color="auto" w:fill="auto"/>
          </w:tcPr>
          <w:p w14:paraId="30A0588D"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Systemic symptoms with aperistalsis with failed peristalsis on 100% of swallows</w:t>
            </w:r>
            <w:r w:rsidRPr="00995972">
              <w:rPr>
                <w:rFonts w:ascii="Book Antiqua" w:hAnsi="Book Antiqua" w:cs="Times New Roman"/>
                <w:vertAlign w:val="superscript"/>
              </w:rPr>
              <w:fldChar w:fldCharType="begin"/>
            </w:r>
            <w:r w:rsidRPr="00995972">
              <w:rPr>
                <w:rFonts w:ascii="Book Antiqua" w:hAnsi="Book Antiqua" w:cs="Times New Roman"/>
                <w:vertAlign w:val="superscript"/>
              </w:rPr>
              <w:instrText xml:space="preserve"> ADDIN EN.CITE &lt;EndNote&gt;&lt;Cite&gt;&lt;Author&gt;Bakhos&lt;/Author&gt;&lt;Year&gt;2019&lt;/Year&gt;&lt;RecNum&gt;2484&lt;/RecNum&gt;&lt;DisplayText&gt;[49]&lt;/DisplayText&gt;&lt;record&gt;&lt;rec-number&gt;2484&lt;/rec-number&gt;&lt;foreign-keys&gt;&lt;key app="EN" db-id="ta9rpzs9ufw9xneddpu5rwvazztr9pa5r0v2" timestamp="1608045269"&gt;2484&lt;/key&gt;&lt;/foreign-keys&gt;&lt;ref-type name="Journal Article"&gt;17&lt;/ref-type&gt;&lt;contributors&gt;&lt;authors&gt;&lt;author&gt;Bakhos, C. T.&lt;/author&gt;&lt;author&gt;Petrov, R. V.&lt;/author&gt;&lt;author&gt;Parkman, H. P.&lt;/author&gt;&lt;author&gt;Malik, Z.&lt;/author&gt;&lt;author&gt;Abbas, A. E.&lt;/author&gt;&lt;/authors&gt;&lt;/contributors&gt;&lt;auth-address&gt;Department of Thoracic Medicine and Surgery, Section of Gastroenterology, Temple University Hospital, Philadelphia, PA, USA.&amp;#xD;Department of Medicine, Section of Gastroenterology, Temple University Hospital, Philadelphia, PA, USA.&lt;/auth-address&gt;&lt;titles&gt;&lt;title&gt;Role and safety of fundoplication in esophageal disease and dysmotility syndromes&lt;/title&gt;&lt;secondary-title&gt;J Thorac Dis&lt;/secondary-title&gt;&lt;/titles&gt;&lt;periodical&gt;&lt;full-title&gt;J Thorac Dis&lt;/full-title&gt;&lt;/periodical&gt;&lt;pages&gt;S1610-S1617&lt;/pages&gt;&lt;volume&gt;11&lt;/volume&gt;&lt;number&gt;Suppl 12&lt;/number&gt;&lt;edition&gt;2019/09/07&lt;/edition&gt;&lt;keywords&gt;&lt;keyword&gt;Manometry&lt;/keyword&gt;&lt;keyword&gt;dysphagia&lt;/keyword&gt;&lt;keyword&gt;esophagus&lt;/keyword&gt;&lt;keyword&gt;reflux&lt;/keyword&gt;&lt;keyword&gt;surgery&lt;/keyword&gt;&lt;/keywords&gt;&lt;dates&gt;&lt;year&gt;2019&lt;/year&gt;&lt;pub-dates&gt;&lt;date&gt;Aug&lt;/date&gt;&lt;/pub-dates&gt;&lt;/dates&gt;&lt;isbn&gt;2072-1439 (Print)&amp;#xD;2072-1439 (Linking)&lt;/isbn&gt;&lt;accession-num&gt;31489228&lt;/accession-num&gt;&lt;urls&gt;&lt;related-urls&gt;&lt;url&gt;https://www.ncbi.nlm.nih.gov/pubmed/31489228&lt;/url&gt;&lt;/related-urls&gt;&lt;/urls&gt;&lt;custom2&gt;PMC6702396&lt;/custom2&gt;&lt;electronic-resource-num&gt;10.21037/jtd.2019.06.62&lt;/electronic-resource-num&gt;&lt;/record&gt;&lt;/Cite&gt;&lt;/EndNote&gt;</w:instrText>
            </w:r>
            <w:r w:rsidRPr="00995972">
              <w:rPr>
                <w:rFonts w:ascii="Book Antiqua" w:hAnsi="Book Antiqua" w:cs="Times New Roman"/>
                <w:vertAlign w:val="superscript"/>
              </w:rPr>
              <w:fldChar w:fldCharType="separate"/>
            </w:r>
            <w:r w:rsidRPr="00995972">
              <w:rPr>
                <w:rFonts w:ascii="Book Antiqua" w:hAnsi="Book Antiqua" w:cs="Times New Roman"/>
                <w:noProof/>
                <w:vertAlign w:val="superscript"/>
              </w:rPr>
              <w:t>[49]</w:t>
            </w:r>
            <w:r w:rsidRPr="00995972">
              <w:rPr>
                <w:rFonts w:ascii="Book Antiqua" w:hAnsi="Book Antiqua" w:cs="Times New Roman"/>
                <w:vertAlign w:val="superscript"/>
              </w:rPr>
              <w:fldChar w:fldCharType="end"/>
            </w:r>
          </w:p>
        </w:tc>
        <w:tc>
          <w:tcPr>
            <w:tcW w:w="1868" w:type="dxa"/>
            <w:shd w:val="clear" w:color="auto" w:fill="auto"/>
          </w:tcPr>
          <w:p w14:paraId="1271EFC5"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Reflux, dysphagia, non-cardiac chest pain</w:t>
            </w:r>
          </w:p>
        </w:tc>
        <w:tc>
          <w:tcPr>
            <w:tcW w:w="1957" w:type="dxa"/>
            <w:shd w:val="clear" w:color="auto" w:fill="auto"/>
          </w:tcPr>
          <w:p w14:paraId="3808042D"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Lower esophageal collagen deposition leading to LES dysfunction</w:t>
            </w:r>
          </w:p>
        </w:tc>
        <w:tc>
          <w:tcPr>
            <w:tcW w:w="1507" w:type="dxa"/>
            <w:shd w:val="clear" w:color="auto" w:fill="auto"/>
          </w:tcPr>
          <w:p w14:paraId="26950140"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High resolution manometry, autoimmune antibody workup</w:t>
            </w:r>
          </w:p>
        </w:tc>
      </w:tr>
      <w:tr w:rsidR="002A42EC" w:rsidRPr="00995972" w14:paraId="6A45A854" w14:textId="77777777" w:rsidTr="00316259">
        <w:trPr>
          <w:trHeight w:val="1257"/>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4E822A86" w14:textId="77777777" w:rsidR="002A42EC" w:rsidRPr="00995972" w:rsidRDefault="002A42EC" w:rsidP="00316259">
            <w:pPr>
              <w:pStyle w:val="a5"/>
              <w:adjustRightInd w:val="0"/>
              <w:snapToGrid w:val="0"/>
              <w:spacing w:line="360" w:lineRule="auto"/>
              <w:jc w:val="both"/>
              <w:rPr>
                <w:rFonts w:ascii="Book Antiqua" w:hAnsi="Book Antiqua" w:cs="Times New Roman"/>
                <w:b w:val="0"/>
                <w:bCs w:val="0"/>
              </w:rPr>
            </w:pPr>
            <w:r w:rsidRPr="00995972">
              <w:rPr>
                <w:rFonts w:ascii="Book Antiqua" w:hAnsi="Book Antiqua" w:cs="Times New Roman"/>
                <w:b w:val="0"/>
                <w:bCs w:val="0"/>
              </w:rPr>
              <w:t xml:space="preserve">Distal </w:t>
            </w:r>
            <w:r w:rsidR="00595179" w:rsidRPr="00995972">
              <w:rPr>
                <w:rFonts w:ascii="Book Antiqua" w:hAnsi="Book Antiqua" w:cs="Times New Roman"/>
                <w:b w:val="0"/>
                <w:bCs w:val="0"/>
              </w:rPr>
              <w:t>esophageal spasm</w:t>
            </w:r>
          </w:p>
        </w:tc>
        <w:tc>
          <w:tcPr>
            <w:tcW w:w="1957" w:type="dxa"/>
            <w:shd w:val="clear" w:color="auto" w:fill="auto"/>
          </w:tcPr>
          <w:p w14:paraId="72A63AEE"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Normal IRP and ≥</w:t>
            </w:r>
            <w:r w:rsidR="00595179" w:rsidRPr="00995972">
              <w:rPr>
                <w:rFonts w:ascii="Book Antiqua" w:hAnsi="Book Antiqua" w:cs="Times New Roman" w:hint="eastAsia"/>
              </w:rPr>
              <w:t xml:space="preserve"> </w:t>
            </w:r>
            <w:r w:rsidRPr="00995972">
              <w:rPr>
                <w:rFonts w:ascii="Book Antiqua" w:hAnsi="Book Antiqua" w:cs="Times New Roman"/>
              </w:rPr>
              <w:t>20% premature contractions with DCI &gt;</w:t>
            </w:r>
            <w:r w:rsidR="00595179" w:rsidRPr="00995972">
              <w:rPr>
                <w:rFonts w:ascii="Book Antiqua" w:hAnsi="Book Antiqua" w:cs="Times New Roman" w:hint="eastAsia"/>
              </w:rPr>
              <w:t xml:space="preserve"> </w:t>
            </w:r>
            <w:r w:rsidRPr="00995972">
              <w:rPr>
                <w:rFonts w:ascii="Book Antiqua" w:hAnsi="Book Antiqua" w:cs="Times New Roman"/>
              </w:rPr>
              <w:t>450 mmHg</w:t>
            </w:r>
            <w:r w:rsidRPr="00995972">
              <w:rPr>
                <w:rFonts w:ascii="Book Antiqua" w:hAnsi="Book Antiqua" w:cs="Times New Roman"/>
                <w:vertAlign w:val="superscript"/>
              </w:rPr>
              <w:fldChar w:fldCharType="begin"/>
            </w:r>
            <w:r w:rsidRPr="00995972">
              <w:rPr>
                <w:rFonts w:ascii="Book Antiqua" w:hAnsi="Book Antiqua" w:cs="Times New Roman"/>
                <w:vertAlign w:val="superscript"/>
              </w:rPr>
              <w:instrText xml:space="preserve"> ADDIN EN.CITE &lt;EndNote&gt;&lt;Cite&gt;&lt;Author&gt;Kahrilas&lt;/Author&gt;&lt;Year&gt;2015&lt;/Year&gt;&lt;RecNum&gt;2078&lt;/RecNum&gt;&lt;DisplayText&gt;[44]&lt;/DisplayText&gt;&lt;record&gt;&lt;rec-number&gt;2078&lt;/rec-number&gt;&lt;foreign-keys&gt;&lt;key app="EN" db-id="ta9rpzs9ufw9xneddpu5rwvazztr9pa5r0v2" timestamp="1607715848"&gt;2078&lt;/key&gt;&lt;/foreign-keys&gt;&lt;ref-type name="Journal Article"&gt;17&lt;/ref-type&gt;&lt;contributors&gt;&lt;authors&gt;&lt;author&gt;Kahrilas, P. J.&lt;/author&gt;&lt;author&gt;Bredenoord, A. J.&lt;/author&gt;&lt;author&gt;Fox, M.&lt;/author&gt;&lt;author&gt;Gyawali, C. P.&lt;/author&gt;&lt;author&gt;Roman, S.&lt;/author&gt;&lt;author&gt;Smout, A. J.&lt;/author&gt;&lt;author&gt;Pandolfino, J. E.&lt;/author&gt;&lt;author&gt;International High Resolution Manometry Working, Group&lt;/author&gt;&lt;/authors&gt;&lt;/contributors&gt;&lt;auth-address&gt;Department of Medicine, Feinberg School of Medicine, Northwestern University, Chicago, IL, USA.&lt;/auth-address&gt;&lt;titles&gt;&lt;title&gt;The Chicago Classification of esophageal motility disorders, v3.0&lt;/title&gt;&lt;secondary-title&gt;Neurogastroenterol Motil&lt;/secondary-title&gt;&lt;/titles&gt;&lt;periodical&gt;&lt;full-title&gt;Neurogastroenterol Motil&lt;/full-title&gt;&lt;/periodical&gt;&lt;pages&gt;160-74&lt;/pages&gt;&lt;volume&gt;27&lt;/volume&gt;&lt;number&gt;2&lt;/number&gt;&lt;edition&gt;2014/12/04&lt;/edition&gt;&lt;keywords&gt;&lt;keyword&gt;Esophageal Achalasia/classification/diagnosis/physiopathology&lt;/keyword&gt;&lt;keyword&gt;Esophageal Motility Disorders/classification/*diagnosis/physiopathology&lt;/keyword&gt;&lt;keyword&gt;Humans&lt;/keyword&gt;&lt;keyword&gt;*Image Interpretation, Computer-Assisted&lt;/keyword&gt;&lt;keyword&gt;Manometry/*methods/*standards&lt;/keyword&gt;&lt;keyword&gt;achalasia&lt;/keyword&gt;&lt;keyword&gt;dysphagia&lt;/keyword&gt;&lt;keyword&gt;esophageal motility disorders&lt;/keyword&gt;&lt;keyword&gt;high-resolution manometry&lt;/keyword&gt;&lt;keyword&gt;ineffective esophageal motility&lt;/keyword&gt;&lt;/keywords&gt;&lt;dates&gt;&lt;year&gt;2015&lt;/year&gt;&lt;pub-dates&gt;&lt;date&gt;Feb&lt;/date&gt;&lt;/pub-dates&gt;&lt;/dates&gt;&lt;isbn&gt;1365-2982 (Electronic)&amp;#xD;1350-1925 (Linking)&lt;/isbn&gt;&lt;accession-num&gt;25469569&lt;/accession-num&gt;&lt;urls&gt;&lt;related-urls&gt;&lt;url&gt;https://www.ncbi.nlm.nih.gov/pubmed/25469569&lt;/url&gt;&lt;/related-urls&gt;&lt;/urls&gt;&lt;custom2&gt;PMC4308501&lt;/custom2&gt;&lt;electronic-resource-num&gt;10.1111/nmo.12477&lt;/electronic-resource-num&gt;&lt;/record&gt;&lt;/Cite&gt;&lt;/EndNote&gt;</w:instrText>
            </w:r>
            <w:r w:rsidRPr="00995972">
              <w:rPr>
                <w:rFonts w:ascii="Book Antiqua" w:hAnsi="Book Antiqua" w:cs="Times New Roman"/>
                <w:vertAlign w:val="superscript"/>
              </w:rPr>
              <w:fldChar w:fldCharType="separate"/>
            </w:r>
            <w:r w:rsidRPr="00995972">
              <w:rPr>
                <w:rFonts w:ascii="Book Antiqua" w:hAnsi="Book Antiqua" w:cs="Times New Roman"/>
                <w:noProof/>
                <w:vertAlign w:val="superscript"/>
              </w:rPr>
              <w:t>[44]</w:t>
            </w:r>
            <w:r w:rsidRPr="00995972">
              <w:rPr>
                <w:rFonts w:ascii="Book Antiqua" w:hAnsi="Book Antiqua" w:cs="Times New Roman"/>
                <w:vertAlign w:val="superscript"/>
              </w:rPr>
              <w:fldChar w:fldCharType="end"/>
            </w:r>
          </w:p>
        </w:tc>
        <w:tc>
          <w:tcPr>
            <w:tcW w:w="1868" w:type="dxa"/>
            <w:shd w:val="clear" w:color="auto" w:fill="auto"/>
          </w:tcPr>
          <w:p w14:paraId="6E2FBE02"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Dysphagia, regurgitation, reflux, non-cardiac chest pain</w:t>
            </w:r>
          </w:p>
        </w:tc>
        <w:tc>
          <w:tcPr>
            <w:tcW w:w="1957" w:type="dxa"/>
            <w:shd w:val="clear" w:color="auto" w:fill="auto"/>
          </w:tcPr>
          <w:p w14:paraId="3899552D"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Impaired inhibition and coordination of esophageal muscle contraction</w:t>
            </w:r>
          </w:p>
        </w:tc>
        <w:tc>
          <w:tcPr>
            <w:tcW w:w="1507" w:type="dxa"/>
            <w:shd w:val="clear" w:color="auto" w:fill="auto"/>
          </w:tcPr>
          <w:p w14:paraId="6D658253"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High resolution manometry, Barium swallow “corkscrew esophagus”</w:t>
            </w:r>
          </w:p>
        </w:tc>
      </w:tr>
      <w:tr w:rsidR="002A42EC" w:rsidRPr="00995972" w14:paraId="1F67C0DB" w14:textId="77777777" w:rsidTr="00316259">
        <w:trPr>
          <w:cnfStyle w:val="000000100000" w:firstRow="0" w:lastRow="0" w:firstColumn="0" w:lastColumn="0" w:oddVBand="0" w:evenVBand="0" w:oddHBand="1" w:evenHBand="0" w:firstRowFirstColumn="0" w:firstRowLastColumn="0" w:lastRowFirstColumn="0" w:lastRowLastColumn="0"/>
          <w:trHeight w:val="1036"/>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0D579A3A" w14:textId="77777777" w:rsidR="002A42EC" w:rsidRPr="00995972" w:rsidRDefault="002A42EC" w:rsidP="00316259">
            <w:pPr>
              <w:pStyle w:val="a5"/>
              <w:adjustRightInd w:val="0"/>
              <w:snapToGrid w:val="0"/>
              <w:spacing w:line="360" w:lineRule="auto"/>
              <w:jc w:val="both"/>
              <w:rPr>
                <w:rFonts w:ascii="Book Antiqua" w:hAnsi="Book Antiqua" w:cs="Times New Roman"/>
                <w:b w:val="0"/>
                <w:bCs w:val="0"/>
              </w:rPr>
            </w:pPr>
            <w:r w:rsidRPr="00995972">
              <w:rPr>
                <w:rFonts w:ascii="Book Antiqua" w:hAnsi="Book Antiqua" w:cs="Times New Roman"/>
                <w:b w:val="0"/>
                <w:bCs w:val="0"/>
              </w:rPr>
              <w:t xml:space="preserve">Hypercontractile </w:t>
            </w:r>
            <w:r w:rsidR="00595179" w:rsidRPr="00995972">
              <w:rPr>
                <w:rFonts w:ascii="Book Antiqua" w:hAnsi="Book Antiqua" w:cs="Times New Roman"/>
                <w:b w:val="0"/>
                <w:bCs w:val="0"/>
              </w:rPr>
              <w:t>esophagus</w:t>
            </w:r>
          </w:p>
        </w:tc>
        <w:tc>
          <w:tcPr>
            <w:tcW w:w="1957" w:type="dxa"/>
            <w:shd w:val="clear" w:color="auto" w:fill="auto"/>
          </w:tcPr>
          <w:p w14:paraId="74C45246"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Minimum of 2 swallows with DCI &gt; 8000 mmHg</w:t>
            </w:r>
            <w:r w:rsidRPr="00995972">
              <w:rPr>
                <w:rFonts w:ascii="Book Antiqua" w:hAnsi="Book Antiqua" w:cs="Times New Roman"/>
                <w:vertAlign w:val="superscript"/>
              </w:rPr>
              <w:fldChar w:fldCharType="begin"/>
            </w:r>
            <w:r w:rsidRPr="00995972">
              <w:rPr>
                <w:rFonts w:ascii="Book Antiqua" w:hAnsi="Book Antiqua" w:cs="Times New Roman"/>
                <w:vertAlign w:val="superscript"/>
              </w:rPr>
              <w:instrText xml:space="preserve"> ADDIN EN.CITE &lt;EndNote&gt;&lt;Cite&gt;&lt;Author&gt;Kahrilas&lt;/Author&gt;&lt;Year&gt;2015&lt;/Year&gt;&lt;RecNum&gt;2078&lt;/RecNum&gt;&lt;DisplayText&gt;[44]&lt;/DisplayText&gt;&lt;record&gt;&lt;rec-number&gt;2078&lt;/rec-number&gt;&lt;foreign-keys&gt;&lt;key app="EN" db-id="ta9rpzs9ufw9xneddpu5rwvazztr9pa5r0v2" timestamp="1607715848"&gt;2078&lt;/key&gt;&lt;/foreign-keys&gt;&lt;ref-type name="Journal Article"&gt;17&lt;/ref-type&gt;&lt;contributors&gt;&lt;authors&gt;&lt;author&gt;Kahrilas, P. J.&lt;/author&gt;&lt;author&gt;Bredenoord, A. J.&lt;/author&gt;&lt;author&gt;Fox, M.&lt;/author&gt;&lt;author&gt;Gyawali, C. P.&lt;/author&gt;&lt;author&gt;Roman, S.&lt;/author&gt;&lt;author&gt;Smout, A. J.&lt;/author&gt;&lt;author&gt;Pandolfino, J. E.&lt;/author&gt;&lt;author&gt;International High Resolution Manometry Working, Group&lt;/author&gt;&lt;/authors&gt;&lt;/contributors&gt;&lt;auth-address&gt;Department of Medicine, Feinberg School of Medicine, Northwestern University, Chicago, IL, USA.&lt;/auth-address&gt;&lt;titles&gt;&lt;title&gt;The Chicago Classification of esophageal motility disorders, v3.0&lt;/title&gt;&lt;secondary-title&gt;Neurogastroenterol Motil&lt;/secondary-title&gt;&lt;/titles&gt;&lt;periodical&gt;&lt;full-title&gt;Neurogastroenterol Motil&lt;/full-title&gt;&lt;/periodical&gt;&lt;pages&gt;160-74&lt;/pages&gt;&lt;volume&gt;27&lt;/volume&gt;&lt;number&gt;2&lt;/number&gt;&lt;edition&gt;2014/12/04&lt;/edition&gt;&lt;keywords&gt;&lt;keyword&gt;Esophageal Achalasia/classification/diagnosis/physiopathology&lt;/keyword&gt;&lt;keyword&gt;Esophageal Motility Disorders/classification/*diagnosis/physiopathology&lt;/keyword&gt;&lt;keyword&gt;Humans&lt;/keyword&gt;&lt;keyword&gt;*Image Interpretation, Computer-Assisted&lt;/keyword&gt;&lt;keyword&gt;Manometry/*methods/*standards&lt;/keyword&gt;&lt;keyword&gt;achalasia&lt;/keyword&gt;&lt;keyword&gt;dysphagia&lt;/keyword&gt;&lt;keyword&gt;esophageal motility disorders&lt;/keyword&gt;&lt;keyword&gt;high-resolution manometry&lt;/keyword&gt;&lt;keyword&gt;ineffective esophageal motility&lt;/keyword&gt;&lt;/keywords&gt;&lt;dates&gt;&lt;year&gt;2015&lt;/year&gt;&lt;pub-dates&gt;&lt;date&gt;Feb&lt;/date&gt;&lt;/pub-dates&gt;&lt;/dates&gt;&lt;isbn&gt;1365-2982 (Electronic)&amp;#xD;1350-1925 (Linking)&lt;/isbn&gt;&lt;accession-num&gt;25469569&lt;/accession-num&gt;&lt;urls&gt;&lt;related-urls&gt;&lt;url&gt;https://www.ncbi.nlm.nih.gov/pubmed/25469569&lt;/url&gt;&lt;/related-urls&gt;&lt;/urls&gt;&lt;custom2&gt;PMC4308501&lt;/custom2&gt;&lt;electronic-resource-num&gt;10.1111/nmo.12477&lt;/electronic-resource-num&gt;&lt;/record&gt;&lt;/Cite&gt;&lt;/EndNote&gt;</w:instrText>
            </w:r>
            <w:r w:rsidRPr="00995972">
              <w:rPr>
                <w:rFonts w:ascii="Book Antiqua" w:hAnsi="Book Antiqua" w:cs="Times New Roman"/>
                <w:vertAlign w:val="superscript"/>
              </w:rPr>
              <w:fldChar w:fldCharType="separate"/>
            </w:r>
            <w:r w:rsidRPr="00995972">
              <w:rPr>
                <w:rFonts w:ascii="Book Antiqua" w:hAnsi="Book Antiqua" w:cs="Times New Roman"/>
                <w:noProof/>
                <w:vertAlign w:val="superscript"/>
              </w:rPr>
              <w:t>[44]</w:t>
            </w:r>
            <w:r w:rsidRPr="00995972">
              <w:rPr>
                <w:rFonts w:ascii="Book Antiqua" w:hAnsi="Book Antiqua" w:cs="Times New Roman"/>
                <w:vertAlign w:val="superscript"/>
              </w:rPr>
              <w:fldChar w:fldCharType="end"/>
            </w:r>
          </w:p>
        </w:tc>
        <w:tc>
          <w:tcPr>
            <w:tcW w:w="1868" w:type="dxa"/>
            <w:shd w:val="clear" w:color="auto" w:fill="auto"/>
          </w:tcPr>
          <w:p w14:paraId="2A9531E8"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Retrosternal non-cardiac chest pain, dysphagia, regurgitation</w:t>
            </w:r>
          </w:p>
        </w:tc>
        <w:tc>
          <w:tcPr>
            <w:tcW w:w="1957" w:type="dxa"/>
            <w:shd w:val="clear" w:color="auto" w:fill="auto"/>
          </w:tcPr>
          <w:p w14:paraId="38A8491B"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Increased contraction of esophageal smooth muscle</w:t>
            </w:r>
          </w:p>
        </w:tc>
        <w:tc>
          <w:tcPr>
            <w:tcW w:w="1507" w:type="dxa"/>
            <w:shd w:val="clear" w:color="auto" w:fill="auto"/>
          </w:tcPr>
          <w:p w14:paraId="2B0950A6"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Upper endoscopy, barium studies, high resolution manometry</w:t>
            </w:r>
          </w:p>
        </w:tc>
      </w:tr>
      <w:tr w:rsidR="002A42EC" w:rsidRPr="00995972" w14:paraId="745FC2B4" w14:textId="77777777" w:rsidTr="00316259">
        <w:trPr>
          <w:trHeight w:val="2515"/>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6A5E4F26" w14:textId="77777777" w:rsidR="002A42EC" w:rsidRPr="00995972" w:rsidRDefault="002A42EC" w:rsidP="00316259">
            <w:pPr>
              <w:pStyle w:val="a5"/>
              <w:adjustRightInd w:val="0"/>
              <w:snapToGrid w:val="0"/>
              <w:spacing w:line="360" w:lineRule="auto"/>
              <w:jc w:val="both"/>
              <w:rPr>
                <w:rFonts w:ascii="Book Antiqua" w:hAnsi="Book Antiqua" w:cs="Times New Roman"/>
              </w:rPr>
            </w:pPr>
            <w:r w:rsidRPr="00995972">
              <w:rPr>
                <w:rFonts w:ascii="Book Antiqua" w:hAnsi="Book Antiqua" w:cs="Times New Roman"/>
                <w:b w:val="0"/>
                <w:bCs w:val="0"/>
              </w:rPr>
              <w:t xml:space="preserve">Esophagogastric </w:t>
            </w:r>
            <w:r w:rsidR="00595179" w:rsidRPr="00995972">
              <w:rPr>
                <w:rFonts w:ascii="Book Antiqua" w:hAnsi="Book Antiqua" w:cs="Times New Roman"/>
                <w:b w:val="0"/>
                <w:bCs w:val="0"/>
              </w:rPr>
              <w:t>junction outflow obstruction</w:t>
            </w:r>
          </w:p>
        </w:tc>
        <w:tc>
          <w:tcPr>
            <w:tcW w:w="1957" w:type="dxa"/>
            <w:shd w:val="clear" w:color="auto" w:fill="auto"/>
          </w:tcPr>
          <w:p w14:paraId="3F0F4A7C"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Elevated median IRP &gt; 15</w:t>
            </w:r>
            <w:r w:rsidR="00595179" w:rsidRPr="00995972">
              <w:rPr>
                <w:rFonts w:ascii="Book Antiqua" w:hAnsi="Book Antiqua" w:cs="Times New Roman" w:hint="eastAsia"/>
              </w:rPr>
              <w:t xml:space="preserve"> </w:t>
            </w:r>
            <w:r w:rsidRPr="00995972">
              <w:rPr>
                <w:rFonts w:ascii="Book Antiqua" w:hAnsi="Book Antiqua" w:cs="Times New Roman"/>
              </w:rPr>
              <w:t>mmHg with evidence of peristalsis on swallows</w:t>
            </w:r>
            <w:r w:rsidRPr="00995972">
              <w:rPr>
                <w:rFonts w:ascii="Book Antiqua" w:hAnsi="Book Antiqua" w:cs="Times New Roman"/>
                <w:vertAlign w:val="superscript"/>
              </w:rPr>
              <w:fldChar w:fldCharType="begin"/>
            </w:r>
            <w:r w:rsidRPr="00995972">
              <w:rPr>
                <w:rFonts w:ascii="Book Antiqua" w:hAnsi="Book Antiqua" w:cs="Times New Roman"/>
                <w:vertAlign w:val="superscript"/>
              </w:rPr>
              <w:instrText xml:space="preserve"> ADDIN EN.CITE &lt;EndNote&gt;&lt;Cite&gt;&lt;Author&gt;Kahrilas&lt;/Author&gt;&lt;Year&gt;2015&lt;/Year&gt;&lt;RecNum&gt;2078&lt;/RecNum&gt;&lt;DisplayText&gt;[44]&lt;/DisplayText&gt;&lt;record&gt;&lt;rec-number&gt;2078&lt;/rec-number&gt;&lt;foreign-keys&gt;&lt;key app="EN" db-id="ta9rpzs9ufw9xneddpu5rwvazztr9pa5r0v2" timestamp="1607715848"&gt;2078&lt;/key&gt;&lt;/foreign-keys&gt;&lt;ref-type name="Journal Article"&gt;17&lt;/ref-type&gt;&lt;contributors&gt;&lt;authors&gt;&lt;author&gt;Kahrilas, P. J.&lt;/author&gt;&lt;author&gt;Bredenoord, A. J.&lt;/author&gt;&lt;author&gt;Fox, M.&lt;/author&gt;&lt;author&gt;Gyawali, C. P.&lt;/author&gt;&lt;author&gt;Roman, S.&lt;/author&gt;&lt;author&gt;Smout, A. J.&lt;/author&gt;&lt;author&gt;Pandolfino, J. E.&lt;/author&gt;&lt;author&gt;International High Resolution Manometry Working, Group&lt;/author&gt;&lt;/authors&gt;&lt;/contributors&gt;&lt;auth-address&gt;Department of Medicine, Feinberg School of Medicine, Northwestern University, Chicago, IL, USA.&lt;/auth-address&gt;&lt;titles&gt;&lt;title&gt;The Chicago Classification of esophageal motility disorders, v3.0&lt;/title&gt;&lt;secondary-title&gt;Neurogastroenterol Motil&lt;/secondary-title&gt;&lt;/titles&gt;&lt;periodical&gt;&lt;full-title&gt;Neurogastroenterol Motil&lt;/full-title&gt;&lt;/periodical&gt;&lt;pages&gt;160-74&lt;/pages&gt;&lt;volume&gt;27&lt;/volume&gt;&lt;number&gt;2&lt;/number&gt;&lt;edition&gt;2014/12/04&lt;/edition&gt;&lt;keywords&gt;&lt;keyword&gt;Esophageal Achalasia/classification/diagnosis/physiopathology&lt;/keyword&gt;&lt;keyword&gt;Esophageal Motility Disorders/classification/*diagnosis/physiopathology&lt;/keyword&gt;&lt;keyword&gt;Humans&lt;/keyword&gt;&lt;keyword&gt;*Image Interpretation, Computer-Assisted&lt;/keyword&gt;&lt;keyword&gt;Manometry/*methods/*standards&lt;/keyword&gt;&lt;keyword&gt;achalasia&lt;/keyword&gt;&lt;keyword&gt;dysphagia&lt;/keyword&gt;&lt;keyword&gt;esophageal motility disorders&lt;/keyword&gt;&lt;keyword&gt;high-resolution manometry&lt;/keyword&gt;&lt;keyword&gt;ineffective esophageal motility&lt;/keyword&gt;&lt;/keywords&gt;&lt;dates&gt;&lt;year&gt;2015&lt;/year&gt;&lt;pub-dates&gt;&lt;date&gt;Feb&lt;/date&gt;&lt;/pub-dates&gt;&lt;/dates&gt;&lt;isbn&gt;1365-2982 (Electronic)&amp;#xD;1350-1925 (Linking)&lt;/isbn&gt;&lt;accession-num&gt;25469569&lt;/accession-num&gt;&lt;urls&gt;&lt;related-urls&gt;&lt;url&gt;https://www.ncbi.nlm.nih.gov/pubmed/25469569&lt;/url&gt;&lt;/related-urls&gt;&lt;/urls&gt;&lt;custom2&gt;PMC4308501&lt;/custom2&gt;&lt;electronic-resource-num&gt;10.1111/nmo.12477&lt;/electronic-resource-num&gt;&lt;/record&gt;&lt;/Cite&gt;&lt;/EndNote&gt;</w:instrText>
            </w:r>
            <w:r w:rsidRPr="00995972">
              <w:rPr>
                <w:rFonts w:ascii="Book Antiqua" w:hAnsi="Book Antiqua" w:cs="Times New Roman"/>
                <w:vertAlign w:val="superscript"/>
              </w:rPr>
              <w:fldChar w:fldCharType="separate"/>
            </w:r>
            <w:r w:rsidRPr="00995972">
              <w:rPr>
                <w:rFonts w:ascii="Book Antiqua" w:hAnsi="Book Antiqua" w:cs="Times New Roman"/>
                <w:noProof/>
                <w:vertAlign w:val="superscript"/>
              </w:rPr>
              <w:t>[44]</w:t>
            </w:r>
            <w:r w:rsidRPr="00995972">
              <w:rPr>
                <w:rFonts w:ascii="Book Antiqua" w:hAnsi="Book Antiqua" w:cs="Times New Roman"/>
                <w:vertAlign w:val="superscript"/>
              </w:rPr>
              <w:fldChar w:fldCharType="end"/>
            </w:r>
          </w:p>
        </w:tc>
        <w:tc>
          <w:tcPr>
            <w:tcW w:w="1868" w:type="dxa"/>
            <w:shd w:val="clear" w:color="auto" w:fill="auto"/>
          </w:tcPr>
          <w:p w14:paraId="48A93D2E"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Dysphagia, reflux, regurgitation</w:t>
            </w:r>
          </w:p>
        </w:tc>
        <w:tc>
          <w:tcPr>
            <w:tcW w:w="1957" w:type="dxa"/>
            <w:shd w:val="clear" w:color="auto" w:fill="auto"/>
          </w:tcPr>
          <w:p w14:paraId="1F9CE827"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Impairment of esophagogastric junction relaxation with normal or weakened esophageal peristalsis</w:t>
            </w:r>
          </w:p>
        </w:tc>
        <w:tc>
          <w:tcPr>
            <w:tcW w:w="1507" w:type="dxa"/>
            <w:shd w:val="clear" w:color="auto" w:fill="auto"/>
          </w:tcPr>
          <w:p w14:paraId="6182DCDC"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 xml:space="preserve">High resolution manometry, needs to be confirmed with further studies such as barium swallow or </w:t>
            </w:r>
            <w:r w:rsidR="00595179" w:rsidRPr="00995972">
              <w:rPr>
                <w:rFonts w:ascii="Book Antiqua" w:hAnsi="Book Antiqua" w:cs="Times New Roman"/>
              </w:rPr>
              <w:t>endoflip</w:t>
            </w:r>
            <w:r w:rsidRPr="00995972">
              <w:rPr>
                <w:rFonts w:ascii="Book Antiqua" w:hAnsi="Book Antiqua" w:cs="Times New Roman"/>
              </w:rPr>
              <w:t>, must rule out artifact that can be seen with a hiatal hernia</w:t>
            </w:r>
          </w:p>
        </w:tc>
      </w:tr>
      <w:tr w:rsidR="002A42EC" w:rsidRPr="00995972" w14:paraId="09038A7D" w14:textId="77777777" w:rsidTr="00316259">
        <w:trPr>
          <w:cnfStyle w:val="000000100000" w:firstRow="0" w:lastRow="0" w:firstColumn="0" w:lastColumn="0" w:oddVBand="0" w:evenVBand="0" w:oddHBand="1" w:evenHBand="0" w:firstRowFirstColumn="0" w:firstRowLastColumn="0" w:lastRowFirstColumn="0" w:lastRowLastColumn="0"/>
          <w:trHeight w:val="1879"/>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18BD6AFB" w14:textId="77777777" w:rsidR="002A42EC" w:rsidRPr="00995972" w:rsidRDefault="002A42EC" w:rsidP="00316259">
            <w:pPr>
              <w:pStyle w:val="a5"/>
              <w:adjustRightInd w:val="0"/>
              <w:snapToGrid w:val="0"/>
              <w:spacing w:line="360" w:lineRule="auto"/>
              <w:jc w:val="both"/>
              <w:rPr>
                <w:rFonts w:ascii="Book Antiqua" w:hAnsi="Book Antiqua" w:cs="Times New Roman"/>
                <w:b w:val="0"/>
                <w:bCs w:val="0"/>
              </w:rPr>
            </w:pPr>
            <w:r w:rsidRPr="00995972">
              <w:rPr>
                <w:rFonts w:ascii="Book Antiqua" w:hAnsi="Book Antiqua" w:cs="Times New Roman"/>
                <w:b w:val="0"/>
                <w:bCs w:val="0"/>
              </w:rPr>
              <w:t xml:space="preserve">Opioid </w:t>
            </w:r>
            <w:r w:rsidR="00595179" w:rsidRPr="00995972">
              <w:rPr>
                <w:rFonts w:ascii="Book Antiqua" w:hAnsi="Book Antiqua" w:cs="Times New Roman"/>
                <w:b w:val="0"/>
                <w:bCs w:val="0"/>
              </w:rPr>
              <w:t>induced esophageal dysfunction</w:t>
            </w:r>
          </w:p>
        </w:tc>
        <w:tc>
          <w:tcPr>
            <w:tcW w:w="1957" w:type="dxa"/>
            <w:shd w:val="clear" w:color="auto" w:fill="auto"/>
          </w:tcPr>
          <w:p w14:paraId="35BDCEC4"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Presence of symptoms of esophageal dysfunction with manometric evidence of esophageal dysmotility in the presence of chronic opioid use</w:t>
            </w:r>
            <w:r w:rsidRPr="00995972">
              <w:rPr>
                <w:rFonts w:ascii="Book Antiqua" w:hAnsi="Book Antiqua" w:cs="Times New Roman"/>
                <w:vertAlign w:val="superscript"/>
              </w:rPr>
              <w:fldChar w:fldCharType="begin"/>
            </w:r>
            <w:r w:rsidRPr="00995972">
              <w:rPr>
                <w:rFonts w:ascii="Book Antiqua" w:hAnsi="Book Antiqua" w:cs="Times New Roman"/>
                <w:vertAlign w:val="superscript"/>
              </w:rPr>
              <w:instrText xml:space="preserve"> ADDIN EN.CITE &lt;EndNote&gt;&lt;Cite&gt;&lt;Author&gt;Snyder&lt;/Author&gt;&lt;Year&gt;2020&lt;/Year&gt;&lt;RecNum&gt;2592&lt;/RecNum&gt;&lt;DisplayText&gt;[55]&lt;/DisplayText&gt;&lt;record&gt;&lt;rec-number&gt;2592&lt;/rec-number&gt;&lt;foreign-keys&gt;&lt;key app="EN" db-id="ta9rpzs9ufw9xneddpu5rwvazztr9pa5r0v2" timestamp="1609352573"&gt;2592&lt;/key&gt;&lt;/foreign-keys&gt;&lt;ref-type name="Journal Article"&gt;17&lt;/ref-type&gt;&lt;contributors&gt;&lt;authors&gt;&lt;author&gt;Snyder, D. L.&lt;/author&gt;&lt;author&gt;Vela, M. F.&lt;/author&gt;&lt;/authors&gt;&lt;/contributors&gt;&lt;auth-address&gt;Division of Gastroenterology and Hepatology, Mayo Clinic, Scottsdale, Arizona, USA.&lt;/auth-address&gt;&lt;titles&gt;&lt;title&gt;Opioid-induced esophageal dysfunction&lt;/title&gt;&lt;secondary-title&gt;Curr Opin Gastroenterol&lt;/secondary-title&gt;&lt;/titles&gt;&lt;periodical&gt;&lt;full-title&gt;Curr Opin Gastroenterol&lt;/full-title&gt;&lt;/periodical&gt;&lt;pages&gt;344-350&lt;/pages&gt;&lt;volume&gt;36&lt;/volume&gt;&lt;number&gt;4&lt;/number&gt;&lt;edition&gt;2020/05/20&lt;/edition&gt;&lt;dates&gt;&lt;year&gt;2020&lt;/year&gt;&lt;pub-dates&gt;&lt;date&gt;Jul&lt;/date&gt;&lt;/pub-dates&gt;&lt;/dates&gt;&lt;isbn&gt;1531-7056 (Electronic)&amp;#xD;0267-1379 (Linking)&lt;/isbn&gt;&lt;accession-num&gt;32427604&lt;/accession-num&gt;&lt;urls&gt;&lt;related-urls&gt;&lt;url&gt;https://www.ncbi.nlm.nih.gov/pubmed/32427604&lt;/url&gt;&lt;/related-urls&gt;&lt;/urls&gt;&lt;electronic-resource-num&gt;10.1097/MOG.0000000000000648&lt;/electronic-resource-num&gt;&lt;/record&gt;&lt;/Cite&gt;&lt;/EndNote&gt;</w:instrText>
            </w:r>
            <w:r w:rsidRPr="00995972">
              <w:rPr>
                <w:rFonts w:ascii="Book Antiqua" w:hAnsi="Book Antiqua" w:cs="Times New Roman"/>
                <w:vertAlign w:val="superscript"/>
              </w:rPr>
              <w:fldChar w:fldCharType="separate"/>
            </w:r>
            <w:r w:rsidRPr="00995972">
              <w:rPr>
                <w:rFonts w:ascii="Book Antiqua" w:hAnsi="Book Antiqua" w:cs="Times New Roman"/>
                <w:noProof/>
                <w:vertAlign w:val="superscript"/>
              </w:rPr>
              <w:t>[55]</w:t>
            </w:r>
            <w:r w:rsidRPr="00995972">
              <w:rPr>
                <w:rFonts w:ascii="Book Antiqua" w:hAnsi="Book Antiqua" w:cs="Times New Roman"/>
                <w:vertAlign w:val="superscript"/>
              </w:rPr>
              <w:fldChar w:fldCharType="end"/>
            </w:r>
          </w:p>
        </w:tc>
        <w:tc>
          <w:tcPr>
            <w:tcW w:w="1868" w:type="dxa"/>
            <w:shd w:val="clear" w:color="auto" w:fill="auto"/>
          </w:tcPr>
          <w:p w14:paraId="4DB1F5CA"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Regurgitation, dysphagia, reflux</w:t>
            </w:r>
          </w:p>
        </w:tc>
        <w:tc>
          <w:tcPr>
            <w:tcW w:w="1957" w:type="dxa"/>
            <w:shd w:val="clear" w:color="auto" w:fill="auto"/>
          </w:tcPr>
          <w:p w14:paraId="3F2F3640"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Opioid induced blocking of esophageal inhibitory signals leading to increased spastic contraction and decreased LES relaxation</w:t>
            </w:r>
          </w:p>
        </w:tc>
        <w:tc>
          <w:tcPr>
            <w:tcW w:w="1507" w:type="dxa"/>
            <w:shd w:val="clear" w:color="auto" w:fill="auto"/>
          </w:tcPr>
          <w:p w14:paraId="1141165C"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Clinical history, high resolution manometry</w:t>
            </w:r>
          </w:p>
        </w:tc>
      </w:tr>
      <w:tr w:rsidR="002A42EC" w:rsidRPr="00995972" w14:paraId="0361E8B5" w14:textId="77777777" w:rsidTr="00316259">
        <w:trPr>
          <w:trHeight w:val="2100"/>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67E48053" w14:textId="77777777" w:rsidR="002A42EC" w:rsidRPr="00995972" w:rsidRDefault="002A42EC" w:rsidP="00316259">
            <w:pPr>
              <w:pStyle w:val="a5"/>
              <w:adjustRightInd w:val="0"/>
              <w:snapToGrid w:val="0"/>
              <w:spacing w:line="360" w:lineRule="auto"/>
              <w:jc w:val="both"/>
              <w:rPr>
                <w:rFonts w:ascii="Book Antiqua" w:hAnsi="Book Antiqua" w:cs="Times New Roman"/>
              </w:rPr>
            </w:pPr>
            <w:r w:rsidRPr="00995972">
              <w:rPr>
                <w:rFonts w:ascii="Book Antiqua" w:hAnsi="Book Antiqua" w:cs="Times New Roman"/>
                <w:b w:val="0"/>
                <w:bCs w:val="0"/>
              </w:rPr>
              <w:t xml:space="preserve">Gastroparesis </w:t>
            </w:r>
          </w:p>
        </w:tc>
        <w:tc>
          <w:tcPr>
            <w:tcW w:w="1957" w:type="dxa"/>
            <w:shd w:val="clear" w:color="auto" w:fill="auto"/>
          </w:tcPr>
          <w:p w14:paraId="441BE2B8"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Presence of symptoms such as nausea, vomiting, and early satiety with mechanical obstruction ruled out and evidence of delayed gastric emptying on testing</w:t>
            </w:r>
            <w:r w:rsidRPr="00995972">
              <w:rPr>
                <w:rFonts w:ascii="Book Antiqua" w:hAnsi="Book Antiqua" w:cs="Times New Roman"/>
                <w:vertAlign w:val="superscript"/>
              </w:rPr>
              <w:fldChar w:fldCharType="begin">
                <w:fldData xml:space="preserve">PEVuZE5vdGU+PENpdGU+PEF1dGhvcj5DYW1pbGxlcmk8L0F1dGhvcj48WWVhcj4yMDE4PC9ZZWFy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</w:fldData>
              </w:fldChar>
            </w:r>
            <w:r w:rsidRPr="00995972">
              <w:rPr>
                <w:rFonts w:ascii="Book Antiqua" w:hAnsi="Book Antiqua" w:cs="Times New Roman"/>
                <w:vertAlign w:val="superscript"/>
              </w:rPr>
              <w:instrText xml:space="preserve"> ADDIN EN.CITE </w:instrText>
            </w:r>
            <w:r w:rsidRPr="00995972">
              <w:rPr>
                <w:rFonts w:ascii="Book Antiqua" w:hAnsi="Book Antiqua" w:cs="Times New Roman"/>
                <w:vertAlign w:val="superscript"/>
              </w:rPr>
              <w:fldChar w:fldCharType="begin">
                <w:fldData xml:space="preserve">PEVuZE5vdGU+PENpdGU+PEF1dGhvcj5DYW1pbGxlcmk8L0F1dGhvcj48WWVhcj4yMDE4PC9ZZWFy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</w:fldData>
              </w:fldChar>
            </w:r>
            <w:r w:rsidRPr="00995972">
              <w:rPr>
                <w:rFonts w:ascii="Book Antiqua" w:hAnsi="Book Antiqua" w:cs="Times New Roman"/>
                <w:vertAlign w:val="superscript"/>
              </w:rPr>
              <w:instrText xml:space="preserve"> ADDIN EN.CITE.DATA </w:instrText>
            </w:r>
            <w:r w:rsidRPr="00995972">
              <w:rPr>
                <w:rFonts w:ascii="Book Antiqua" w:hAnsi="Book Antiqua" w:cs="Times New Roman"/>
                <w:vertAlign w:val="superscript"/>
              </w:rPr>
            </w:r>
            <w:r w:rsidRPr="00995972">
              <w:rPr>
                <w:rFonts w:ascii="Book Antiqua" w:hAnsi="Book Antiqua" w:cs="Times New Roman"/>
                <w:vertAlign w:val="superscript"/>
              </w:rPr>
              <w:fldChar w:fldCharType="end"/>
            </w:r>
            <w:r w:rsidRPr="00995972">
              <w:rPr>
                <w:rFonts w:ascii="Book Antiqua" w:hAnsi="Book Antiqua" w:cs="Times New Roman"/>
                <w:vertAlign w:val="superscript"/>
              </w:rPr>
            </w:r>
            <w:r w:rsidRPr="00995972">
              <w:rPr>
                <w:rFonts w:ascii="Book Antiqua" w:hAnsi="Book Antiqua" w:cs="Times New Roman"/>
                <w:vertAlign w:val="superscript"/>
              </w:rPr>
              <w:fldChar w:fldCharType="separate"/>
            </w:r>
            <w:r w:rsidRPr="00995972">
              <w:rPr>
                <w:rFonts w:ascii="Book Antiqua" w:hAnsi="Book Antiqua" w:cs="Times New Roman"/>
                <w:noProof/>
                <w:vertAlign w:val="superscript"/>
              </w:rPr>
              <w:t>[82]</w:t>
            </w:r>
            <w:r w:rsidRPr="00995972">
              <w:rPr>
                <w:rFonts w:ascii="Book Antiqua" w:hAnsi="Book Antiqua" w:cs="Times New Roman"/>
                <w:vertAlign w:val="superscript"/>
              </w:rPr>
              <w:fldChar w:fldCharType="end"/>
            </w:r>
          </w:p>
        </w:tc>
        <w:tc>
          <w:tcPr>
            <w:tcW w:w="1868" w:type="dxa"/>
            <w:shd w:val="clear" w:color="auto" w:fill="auto"/>
          </w:tcPr>
          <w:p w14:paraId="7CD57C44"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Nausea, reflux, regurgitation, early satiety, abdominal pain and bloating</w:t>
            </w:r>
          </w:p>
        </w:tc>
        <w:tc>
          <w:tcPr>
            <w:tcW w:w="1957" w:type="dxa"/>
            <w:shd w:val="clear" w:color="auto" w:fill="auto"/>
          </w:tcPr>
          <w:p w14:paraId="250D2B39"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Multiple etiologies caused slowed peristalsis and delayed gastric emptying</w:t>
            </w:r>
          </w:p>
        </w:tc>
        <w:tc>
          <w:tcPr>
            <w:tcW w:w="1507" w:type="dxa"/>
            <w:shd w:val="clear" w:color="auto" w:fill="auto"/>
          </w:tcPr>
          <w:p w14:paraId="0540008E"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Gastric emptying study</w:t>
            </w:r>
          </w:p>
        </w:tc>
      </w:tr>
      <w:tr w:rsidR="002A42EC" w:rsidRPr="00995972" w14:paraId="6BAA2539" w14:textId="77777777" w:rsidTr="00316259">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9241" w:type="dxa"/>
            <w:gridSpan w:val="5"/>
            <w:shd w:val="clear" w:color="auto" w:fill="auto"/>
          </w:tcPr>
          <w:p w14:paraId="5E29262B" w14:textId="77777777" w:rsidR="002A42EC" w:rsidRPr="00995972" w:rsidRDefault="002A42EC" w:rsidP="00316259">
            <w:pPr>
              <w:pStyle w:val="a5"/>
              <w:adjustRightInd w:val="0"/>
              <w:snapToGrid w:val="0"/>
              <w:spacing w:line="360" w:lineRule="auto"/>
              <w:jc w:val="both"/>
              <w:rPr>
                <w:rFonts w:ascii="Book Antiqua" w:hAnsi="Book Antiqua" w:cs="Times New Roman"/>
                <w:b w:val="0"/>
              </w:rPr>
            </w:pPr>
            <w:r w:rsidRPr="00995972">
              <w:rPr>
                <w:rFonts w:ascii="Book Antiqua" w:hAnsi="Book Antiqua" w:cs="Times New Roman"/>
                <w:b w:val="0"/>
              </w:rPr>
              <w:t xml:space="preserve">Functional </w:t>
            </w:r>
            <w:r w:rsidR="00B964C7" w:rsidRPr="00995972">
              <w:rPr>
                <w:rFonts w:ascii="Book Antiqua" w:hAnsi="Book Antiqua" w:cs="Times New Roman"/>
                <w:b w:val="0"/>
              </w:rPr>
              <w:t>disorders</w:t>
            </w:r>
          </w:p>
        </w:tc>
      </w:tr>
      <w:tr w:rsidR="002A42EC" w:rsidRPr="00995972" w14:paraId="2C1464AB" w14:textId="77777777" w:rsidTr="00316259">
        <w:trPr>
          <w:trHeight w:val="2087"/>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7962E13B" w14:textId="77777777" w:rsidR="002A42EC" w:rsidRPr="00995972" w:rsidRDefault="002A42EC" w:rsidP="00316259">
            <w:pPr>
              <w:pStyle w:val="a5"/>
              <w:adjustRightInd w:val="0"/>
              <w:snapToGrid w:val="0"/>
              <w:spacing w:line="360" w:lineRule="auto"/>
              <w:jc w:val="both"/>
              <w:rPr>
                <w:rFonts w:ascii="Book Antiqua" w:hAnsi="Book Antiqua" w:cs="Times New Roman"/>
              </w:rPr>
            </w:pPr>
            <w:r w:rsidRPr="00995972">
              <w:rPr>
                <w:rFonts w:ascii="Book Antiqua" w:hAnsi="Book Antiqua" w:cs="Times New Roman"/>
                <w:b w:val="0"/>
                <w:bCs w:val="0"/>
              </w:rPr>
              <w:t xml:space="preserve">Functional </w:t>
            </w:r>
            <w:r w:rsidR="00A10742" w:rsidRPr="00995972">
              <w:rPr>
                <w:rFonts w:ascii="Book Antiqua" w:hAnsi="Book Antiqua" w:cs="Times New Roman"/>
                <w:b w:val="0"/>
                <w:bCs w:val="0"/>
              </w:rPr>
              <w:t>heartburn</w:t>
            </w:r>
          </w:p>
        </w:tc>
        <w:tc>
          <w:tcPr>
            <w:tcW w:w="1957" w:type="dxa"/>
            <w:shd w:val="clear" w:color="auto" w:fill="auto"/>
          </w:tcPr>
          <w:p w14:paraId="6167996E"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Presence of burning retrosternal discomfort, no symptoms relief on optimal therapy, absence of GERD or EOE as cause of symptoms, and absence of major motility disorder</w:t>
            </w:r>
            <w:r w:rsidRPr="00995972">
              <w:rPr>
                <w:rFonts w:ascii="Book Antiqua" w:hAnsi="Book Antiqua" w:cs="Times New Roman"/>
                <w:vertAlign w:val="superscript"/>
              </w:rPr>
              <w:fldChar w:fldCharType="begin"/>
            </w:r>
            <w:r w:rsidRPr="00995972">
              <w:rPr>
                <w:rFonts w:ascii="Book Antiqua" w:hAnsi="Book Antiqua" w:cs="Times New Roman"/>
                <w:vertAlign w:val="superscript"/>
              </w:rPr>
              <w:instrText xml:space="preserve"> ADDIN EN.CITE &lt;EndNote&gt;&lt;Cite&gt;&lt;Year&gt;2016&lt;/Year&gt;&lt;RecNum&gt;2551&lt;/RecNum&gt;&lt;DisplayText&gt;[83]&lt;/DisplayText&gt;&lt;record&gt;&lt;rec-number&gt;2551&lt;/rec-number&gt;&lt;foreign-keys&gt;&lt;key app="EN" db-id="ta9rpzs9ufw9xneddpu5rwvazztr9pa5r0v2" timestamp="1609350388"&gt;2551&lt;/key&gt;&lt;/foreign-keys&gt;&lt;ref-type name="Journal Article"&gt;17&lt;/ref-type&gt;&lt;contributors&gt;&lt;/contributors&gt;&lt;titles&gt;&lt;title&gt;Rome IV Criteria&lt;/title&gt;&lt;secondary-title&gt;Rome Foundation&lt;/secondary-title&gt;&lt;/titles&gt;&lt;periodical&gt;&lt;full-title&gt;Rome Foundation&lt;/full-title&gt;&lt;/periodical&gt;&lt;dates&gt;&lt;year&gt;2016&lt;/year&gt;&lt;/dates&gt;&lt;urls&gt;&lt;/urls&gt;&lt;/record&gt;&lt;/Cite&gt;&lt;/EndNote&gt;</w:instrText>
            </w:r>
            <w:r w:rsidRPr="00995972">
              <w:rPr>
                <w:rFonts w:ascii="Book Antiqua" w:hAnsi="Book Antiqua" w:cs="Times New Roman"/>
                <w:vertAlign w:val="superscript"/>
              </w:rPr>
              <w:fldChar w:fldCharType="separate"/>
            </w:r>
            <w:r w:rsidRPr="00995972">
              <w:rPr>
                <w:rFonts w:ascii="Book Antiqua" w:hAnsi="Book Antiqua" w:cs="Times New Roman"/>
                <w:noProof/>
                <w:vertAlign w:val="superscript"/>
              </w:rPr>
              <w:t>[83]</w:t>
            </w:r>
            <w:r w:rsidRPr="00995972">
              <w:rPr>
                <w:rFonts w:ascii="Book Antiqua" w:hAnsi="Book Antiqua" w:cs="Times New Roman"/>
                <w:vertAlign w:val="superscript"/>
              </w:rPr>
              <w:fldChar w:fldCharType="end"/>
            </w:r>
          </w:p>
        </w:tc>
        <w:tc>
          <w:tcPr>
            <w:tcW w:w="1868" w:type="dxa"/>
            <w:shd w:val="clear" w:color="auto" w:fill="auto"/>
          </w:tcPr>
          <w:p w14:paraId="5E75FAAF"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Reflux, regurgitation, globus sensation</w:t>
            </w:r>
          </w:p>
        </w:tc>
        <w:tc>
          <w:tcPr>
            <w:tcW w:w="1957" w:type="dxa"/>
            <w:shd w:val="clear" w:color="auto" w:fill="auto"/>
          </w:tcPr>
          <w:p w14:paraId="6F1EF0BA"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Potentially secondary to increased esophageal sensitivity</w:t>
            </w:r>
          </w:p>
        </w:tc>
        <w:tc>
          <w:tcPr>
            <w:tcW w:w="1507" w:type="dxa"/>
            <w:shd w:val="clear" w:color="auto" w:fill="auto"/>
          </w:tcPr>
          <w:p w14:paraId="1105F1A8"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Upper endoscopy, high resolution manometry, pH-impedance studies</w:t>
            </w:r>
          </w:p>
        </w:tc>
      </w:tr>
      <w:tr w:rsidR="002A42EC" w:rsidRPr="00995972" w14:paraId="30547B5E" w14:textId="77777777" w:rsidTr="00316259">
        <w:trPr>
          <w:cnfStyle w:val="000000100000" w:firstRow="0" w:lastRow="0" w:firstColumn="0" w:lastColumn="0" w:oddVBand="0" w:evenVBand="0" w:oddHBand="1"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2566B529" w14:textId="77777777" w:rsidR="002A42EC" w:rsidRPr="00995972" w:rsidRDefault="002A42EC" w:rsidP="00316259">
            <w:pPr>
              <w:pStyle w:val="a5"/>
              <w:adjustRightInd w:val="0"/>
              <w:snapToGrid w:val="0"/>
              <w:spacing w:line="360" w:lineRule="auto"/>
              <w:jc w:val="both"/>
              <w:rPr>
                <w:rFonts w:ascii="Book Antiqua" w:hAnsi="Book Antiqua" w:cs="Times New Roman"/>
              </w:rPr>
            </w:pPr>
            <w:r w:rsidRPr="00995972">
              <w:rPr>
                <w:rFonts w:ascii="Book Antiqua" w:hAnsi="Book Antiqua" w:cs="Times New Roman"/>
                <w:b w:val="0"/>
                <w:bCs w:val="0"/>
              </w:rPr>
              <w:t xml:space="preserve">Reflux </w:t>
            </w:r>
            <w:r w:rsidR="00916BB6" w:rsidRPr="00995972">
              <w:rPr>
                <w:rFonts w:ascii="Book Antiqua" w:hAnsi="Book Antiqua" w:cs="Times New Roman"/>
                <w:b w:val="0"/>
                <w:bCs w:val="0"/>
              </w:rPr>
              <w:t>hypersensitivity</w:t>
            </w:r>
          </w:p>
        </w:tc>
        <w:tc>
          <w:tcPr>
            <w:tcW w:w="1957" w:type="dxa"/>
            <w:shd w:val="clear" w:color="auto" w:fill="auto"/>
          </w:tcPr>
          <w:p w14:paraId="7040B2D8"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Presence of retrosternal chest pain, normal endoscopy and absence of EOE, absence of major motility disorder, and symptom association with reflux events with normal acid exposure on pH-impedance tests</w:t>
            </w:r>
            <w:r w:rsidRPr="00995972">
              <w:rPr>
                <w:rFonts w:ascii="Book Antiqua" w:hAnsi="Book Antiqua" w:cs="Times New Roman"/>
                <w:vertAlign w:val="superscript"/>
              </w:rPr>
              <w:fldChar w:fldCharType="begin"/>
            </w:r>
            <w:r w:rsidRPr="00995972">
              <w:rPr>
                <w:rFonts w:ascii="Book Antiqua" w:hAnsi="Book Antiqua" w:cs="Times New Roman"/>
                <w:vertAlign w:val="superscript"/>
              </w:rPr>
              <w:instrText xml:space="preserve"> ADDIN EN.CITE &lt;EndNote&gt;&lt;Cite&gt;&lt;Year&gt;2016&lt;/Year&gt;&lt;RecNum&gt;2551&lt;/RecNum&gt;&lt;DisplayText&gt;[83]&lt;/DisplayText&gt;&lt;record&gt;&lt;rec-number&gt;2551&lt;/rec-number&gt;&lt;foreign-keys&gt;&lt;key app="EN" db-id="ta9rpzs9ufw9xneddpu5rwvazztr9pa5r0v2" timestamp="1609350388"&gt;2551&lt;/key&gt;&lt;/foreign-keys&gt;&lt;ref-type name="Journal Article"&gt;17&lt;/ref-type&gt;&lt;contributors&gt;&lt;/contributors&gt;&lt;titles&gt;&lt;title&gt;Rome IV Criteria&lt;/title&gt;&lt;secondary-title&gt;Rome Foundation&lt;/secondary-title&gt;&lt;/titles&gt;&lt;periodical&gt;&lt;full-title&gt;Rome Foundation&lt;/full-title&gt;&lt;/periodical&gt;&lt;dates&gt;&lt;year&gt;2016&lt;/year&gt;&lt;/dates&gt;&lt;urls&gt;&lt;/urls&gt;&lt;/record&gt;&lt;/Cite&gt;&lt;/EndNote&gt;</w:instrText>
            </w:r>
            <w:r w:rsidRPr="00995972">
              <w:rPr>
                <w:rFonts w:ascii="Book Antiqua" w:hAnsi="Book Antiqua" w:cs="Times New Roman"/>
                <w:vertAlign w:val="superscript"/>
              </w:rPr>
              <w:fldChar w:fldCharType="separate"/>
            </w:r>
            <w:r w:rsidRPr="00995972">
              <w:rPr>
                <w:rFonts w:ascii="Book Antiqua" w:hAnsi="Book Antiqua" w:cs="Times New Roman"/>
                <w:noProof/>
                <w:vertAlign w:val="superscript"/>
              </w:rPr>
              <w:t>[83]</w:t>
            </w:r>
            <w:r w:rsidRPr="00995972">
              <w:rPr>
                <w:rFonts w:ascii="Book Antiqua" w:hAnsi="Book Antiqua" w:cs="Times New Roman"/>
                <w:vertAlign w:val="superscript"/>
              </w:rPr>
              <w:fldChar w:fldCharType="end"/>
            </w:r>
          </w:p>
        </w:tc>
        <w:tc>
          <w:tcPr>
            <w:tcW w:w="1868" w:type="dxa"/>
            <w:shd w:val="clear" w:color="auto" w:fill="auto"/>
          </w:tcPr>
          <w:p w14:paraId="7D19F736"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Reflux</w:t>
            </w:r>
          </w:p>
        </w:tc>
        <w:tc>
          <w:tcPr>
            <w:tcW w:w="1957" w:type="dxa"/>
            <w:shd w:val="clear" w:color="auto" w:fill="auto"/>
          </w:tcPr>
          <w:p w14:paraId="682DBE70"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Hypersensitization of esophageal nerve endings leading to pain secondary to physiologic esophageal stimuli</w:t>
            </w:r>
          </w:p>
        </w:tc>
        <w:tc>
          <w:tcPr>
            <w:tcW w:w="1507" w:type="dxa"/>
            <w:shd w:val="clear" w:color="auto" w:fill="auto"/>
          </w:tcPr>
          <w:p w14:paraId="3DEFB737"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Upper endoscopy, high resolution manometry, pH-impedance studies</w:t>
            </w:r>
          </w:p>
        </w:tc>
      </w:tr>
      <w:tr w:rsidR="002A42EC" w:rsidRPr="00995972" w14:paraId="3E1B0E7C" w14:textId="77777777" w:rsidTr="00316259">
        <w:trPr>
          <w:trHeight w:val="2087"/>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340D9C71" w14:textId="77777777" w:rsidR="002A42EC" w:rsidRPr="00995972" w:rsidRDefault="002A42EC" w:rsidP="00316259">
            <w:pPr>
              <w:pStyle w:val="a5"/>
              <w:adjustRightInd w:val="0"/>
              <w:snapToGrid w:val="0"/>
              <w:spacing w:line="360" w:lineRule="auto"/>
              <w:jc w:val="both"/>
              <w:rPr>
                <w:rFonts w:ascii="Book Antiqua" w:hAnsi="Book Antiqua" w:cs="Times New Roman"/>
                <w:b w:val="0"/>
                <w:bCs w:val="0"/>
              </w:rPr>
            </w:pPr>
            <w:r w:rsidRPr="00995972">
              <w:rPr>
                <w:rFonts w:ascii="Book Antiqua" w:hAnsi="Book Antiqua" w:cs="Times New Roman"/>
                <w:b w:val="0"/>
                <w:bCs w:val="0"/>
              </w:rPr>
              <w:t>Rumination</w:t>
            </w:r>
          </w:p>
        </w:tc>
        <w:tc>
          <w:tcPr>
            <w:tcW w:w="1957" w:type="dxa"/>
            <w:shd w:val="clear" w:color="auto" w:fill="auto"/>
          </w:tcPr>
          <w:p w14:paraId="093765FC"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Must include both persistent regurgitation of recently ingested food with subsequent spitting or re-mastication, and regurgitation that is not preceded by retching</w:t>
            </w:r>
            <w:r w:rsidRPr="00995972">
              <w:rPr>
                <w:rFonts w:ascii="Book Antiqua" w:hAnsi="Book Antiqua" w:cs="Times New Roman"/>
                <w:vertAlign w:val="superscript"/>
              </w:rPr>
              <w:fldChar w:fldCharType="begin"/>
            </w:r>
            <w:r w:rsidRPr="00995972">
              <w:rPr>
                <w:rFonts w:ascii="Book Antiqua" w:hAnsi="Book Antiqua" w:cs="Times New Roman"/>
                <w:vertAlign w:val="superscript"/>
              </w:rPr>
              <w:instrText xml:space="preserve"> ADDIN EN.CITE &lt;EndNote&gt;&lt;Cite&gt;&lt;Year&gt;2016&lt;/Year&gt;&lt;RecNum&gt;2551&lt;/RecNum&gt;&lt;DisplayText&gt;[83]&lt;/DisplayText&gt;&lt;record&gt;&lt;rec-number&gt;2551&lt;/rec-number&gt;&lt;foreign-keys&gt;&lt;key app="EN" db-id="ta9rpzs9ufw9xneddpu5rwvazztr9pa5r0v2" timestamp="1609350388"&gt;2551&lt;/key&gt;&lt;/foreign-keys&gt;&lt;ref-type name="Journal Article"&gt;17&lt;/ref-type&gt;&lt;contributors&gt;&lt;/contributors&gt;&lt;titles&gt;&lt;title&gt;Rome IV Criteria&lt;/title&gt;&lt;secondary-title&gt;Rome Foundation&lt;/secondary-title&gt;&lt;/titles&gt;&lt;periodical&gt;&lt;full-title&gt;Rome Foundation&lt;/full-title&gt;&lt;/periodical&gt;&lt;dates&gt;&lt;year&gt;2016&lt;/year&gt;&lt;/dates&gt;&lt;urls&gt;&lt;/urls&gt;&lt;/record&gt;&lt;/Cite&gt;&lt;/EndNote&gt;</w:instrText>
            </w:r>
            <w:r w:rsidRPr="00995972">
              <w:rPr>
                <w:rFonts w:ascii="Book Antiqua" w:hAnsi="Book Antiqua" w:cs="Times New Roman"/>
                <w:vertAlign w:val="superscript"/>
              </w:rPr>
              <w:fldChar w:fldCharType="separate"/>
            </w:r>
            <w:r w:rsidRPr="00995972">
              <w:rPr>
                <w:rFonts w:ascii="Book Antiqua" w:hAnsi="Book Antiqua" w:cs="Times New Roman"/>
                <w:noProof/>
                <w:vertAlign w:val="superscript"/>
              </w:rPr>
              <w:t>[83]</w:t>
            </w:r>
            <w:r w:rsidRPr="00995972">
              <w:rPr>
                <w:rFonts w:ascii="Book Antiqua" w:hAnsi="Book Antiqua" w:cs="Times New Roman"/>
                <w:vertAlign w:val="superscript"/>
              </w:rPr>
              <w:fldChar w:fldCharType="end"/>
            </w:r>
          </w:p>
        </w:tc>
        <w:tc>
          <w:tcPr>
            <w:tcW w:w="1868" w:type="dxa"/>
            <w:shd w:val="clear" w:color="auto" w:fill="auto"/>
          </w:tcPr>
          <w:p w14:paraId="2D501A3D"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Regurgitation (frequently after meals), reflux</w:t>
            </w:r>
          </w:p>
        </w:tc>
        <w:tc>
          <w:tcPr>
            <w:tcW w:w="1957" w:type="dxa"/>
            <w:shd w:val="clear" w:color="auto" w:fill="auto"/>
          </w:tcPr>
          <w:p w14:paraId="750B57A5"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Behavioral contraction of abdominal muscles leading to increased intragastric pressure and reflux</w:t>
            </w:r>
          </w:p>
        </w:tc>
        <w:tc>
          <w:tcPr>
            <w:tcW w:w="1507" w:type="dxa"/>
            <w:shd w:val="clear" w:color="auto" w:fill="auto"/>
          </w:tcPr>
          <w:p w14:paraId="4F2E4BB4" w14:textId="77777777" w:rsidR="002A42EC" w:rsidRPr="00995972" w:rsidRDefault="002A42EC" w:rsidP="00316259">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Clinical history, high resolution manometry, pH-impedance studies</w:t>
            </w:r>
          </w:p>
        </w:tc>
      </w:tr>
      <w:tr w:rsidR="002A42EC" w:rsidRPr="00995972" w14:paraId="2DE13849" w14:textId="77777777" w:rsidTr="00316259">
        <w:trPr>
          <w:cnfStyle w:val="000000100000" w:firstRow="0" w:lastRow="0" w:firstColumn="0" w:lastColumn="0" w:oddVBand="0" w:evenVBand="0" w:oddHBand="1" w:evenHBand="0" w:firstRowFirstColumn="0" w:firstRowLastColumn="0" w:lastRowFirstColumn="0" w:lastRowLastColumn="0"/>
          <w:trHeight w:val="1879"/>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2F077993" w14:textId="77777777" w:rsidR="002A42EC" w:rsidRPr="00995972" w:rsidRDefault="002A42EC" w:rsidP="00316259">
            <w:pPr>
              <w:pStyle w:val="a5"/>
              <w:adjustRightInd w:val="0"/>
              <w:snapToGrid w:val="0"/>
              <w:spacing w:line="360" w:lineRule="auto"/>
              <w:jc w:val="both"/>
              <w:rPr>
                <w:rFonts w:ascii="Book Antiqua" w:hAnsi="Book Antiqua" w:cs="Times New Roman"/>
                <w:b w:val="0"/>
                <w:bCs w:val="0"/>
              </w:rPr>
            </w:pPr>
            <w:r w:rsidRPr="00995972">
              <w:rPr>
                <w:rFonts w:ascii="Book Antiqua" w:hAnsi="Book Antiqua" w:cs="Times New Roman"/>
                <w:b w:val="0"/>
                <w:bCs w:val="0"/>
              </w:rPr>
              <w:t xml:space="preserve">Supragastric </w:t>
            </w:r>
            <w:r w:rsidR="00804367" w:rsidRPr="00995972">
              <w:rPr>
                <w:rFonts w:ascii="Book Antiqua" w:hAnsi="Book Antiqua" w:cs="Times New Roman"/>
                <w:b w:val="0"/>
                <w:bCs w:val="0"/>
              </w:rPr>
              <w:t>belching</w:t>
            </w:r>
          </w:p>
        </w:tc>
        <w:tc>
          <w:tcPr>
            <w:tcW w:w="1957" w:type="dxa"/>
            <w:shd w:val="clear" w:color="auto" w:fill="auto"/>
          </w:tcPr>
          <w:p w14:paraId="4CCFBDAA"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Presence of frequent repetitive belching, no established clinical correlate for gastric belching, and evidence of supragastric origin on impedance testing</w:t>
            </w:r>
            <w:r w:rsidRPr="00995972">
              <w:rPr>
                <w:rFonts w:ascii="Book Antiqua" w:hAnsi="Book Antiqua" w:cs="Times New Roman"/>
                <w:vertAlign w:val="superscript"/>
              </w:rPr>
              <w:fldChar w:fldCharType="begin"/>
            </w:r>
            <w:r w:rsidRPr="00995972">
              <w:rPr>
                <w:rFonts w:ascii="Book Antiqua" w:hAnsi="Book Antiqua" w:cs="Times New Roman"/>
                <w:vertAlign w:val="superscript"/>
              </w:rPr>
              <w:instrText xml:space="preserve"> ADDIN EN.CITE &lt;EndNote&gt;&lt;Cite&gt;&lt;Year&gt;2016&lt;/Year&gt;&lt;RecNum&gt;2551&lt;/RecNum&gt;&lt;DisplayText&gt;[83]&lt;/DisplayText&gt;&lt;record&gt;&lt;rec-number&gt;2551&lt;/rec-number&gt;&lt;foreign-keys&gt;&lt;key app="EN" db-id="ta9rpzs9ufw9xneddpu5rwvazztr9pa5r0v2" timestamp="1609350388"&gt;2551&lt;/key&gt;&lt;/foreign-keys&gt;&lt;ref-type name="Journal Article"&gt;17&lt;/ref-type&gt;&lt;contributors&gt;&lt;/contributors&gt;&lt;titles&gt;&lt;title&gt;Rome IV Criteria&lt;/title&gt;&lt;secondary-title&gt;Rome Foundation&lt;/secondary-title&gt;&lt;/titles&gt;&lt;periodical&gt;&lt;full-title&gt;Rome Foundation&lt;/full-title&gt;&lt;/periodical&gt;&lt;dates&gt;&lt;year&gt;2016&lt;/year&gt;&lt;/dates&gt;&lt;urls&gt;&lt;/urls&gt;&lt;/record&gt;&lt;/Cite&gt;&lt;/EndNote&gt;</w:instrText>
            </w:r>
            <w:r w:rsidRPr="00995972">
              <w:rPr>
                <w:rFonts w:ascii="Book Antiqua" w:hAnsi="Book Antiqua" w:cs="Times New Roman"/>
                <w:vertAlign w:val="superscript"/>
              </w:rPr>
              <w:fldChar w:fldCharType="separate"/>
            </w:r>
            <w:r w:rsidRPr="00995972">
              <w:rPr>
                <w:rFonts w:ascii="Book Antiqua" w:hAnsi="Book Antiqua" w:cs="Times New Roman"/>
                <w:noProof/>
                <w:vertAlign w:val="superscript"/>
              </w:rPr>
              <w:t>[83]</w:t>
            </w:r>
            <w:r w:rsidRPr="00995972">
              <w:rPr>
                <w:rFonts w:ascii="Book Antiqua" w:hAnsi="Book Antiqua" w:cs="Times New Roman"/>
                <w:vertAlign w:val="superscript"/>
              </w:rPr>
              <w:fldChar w:fldCharType="end"/>
            </w:r>
          </w:p>
        </w:tc>
        <w:tc>
          <w:tcPr>
            <w:tcW w:w="1868" w:type="dxa"/>
            <w:shd w:val="clear" w:color="auto" w:fill="auto"/>
          </w:tcPr>
          <w:p w14:paraId="58AC049D"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Frequent belching, reflux, regurgitation, globus sensation</w:t>
            </w:r>
          </w:p>
        </w:tc>
        <w:tc>
          <w:tcPr>
            <w:tcW w:w="1957" w:type="dxa"/>
            <w:shd w:val="clear" w:color="auto" w:fill="auto"/>
          </w:tcPr>
          <w:p w14:paraId="5A39DD6A"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Behavioral swallowing of air without LES relaxation</w:t>
            </w:r>
          </w:p>
        </w:tc>
        <w:tc>
          <w:tcPr>
            <w:tcW w:w="1507" w:type="dxa"/>
            <w:shd w:val="clear" w:color="auto" w:fill="auto"/>
          </w:tcPr>
          <w:p w14:paraId="78F0184D" w14:textId="77777777" w:rsidR="002A42EC" w:rsidRPr="00995972" w:rsidRDefault="002A42EC" w:rsidP="00316259">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Clinical history, high resolution manometry, pH-impedance studies</w:t>
            </w:r>
          </w:p>
        </w:tc>
      </w:tr>
    </w:tbl>
    <w:p w14:paraId="34391B2B" w14:textId="77777777" w:rsidR="00D417C7" w:rsidRPr="00995972" w:rsidRDefault="00D417C7">
      <w:pPr>
        <w:spacing w:line="360" w:lineRule="auto"/>
        <w:jc w:val="both"/>
        <w:rPr>
          <w:rFonts w:ascii="Book Antiqua" w:hAnsi="Book Antiqua" w:cs="Book Antiqua"/>
          <w:b/>
          <w:bCs/>
          <w:color w:val="000000"/>
          <w:lang w:eastAsia="zh-CN"/>
        </w:rPr>
      </w:pPr>
      <w:bookmarkStart w:id="85" w:name="OLE_LINK217"/>
      <w:bookmarkStart w:id="86" w:name="OLE_LINK218"/>
      <w:r w:rsidRPr="00995972">
        <w:rPr>
          <w:rFonts w:ascii="Book Antiqua" w:hAnsi="Book Antiqua" w:cs="Book Antiqua" w:hint="eastAsia"/>
          <w:bCs/>
          <w:color w:val="000000"/>
          <w:lang w:eastAsia="zh-CN"/>
        </w:rPr>
        <w:t xml:space="preserve">LES: </w:t>
      </w:r>
      <w:r w:rsidRPr="00995972">
        <w:rPr>
          <w:rFonts w:ascii="Book Antiqua" w:hAnsi="Book Antiqua" w:hint="eastAsia"/>
          <w:lang w:eastAsia="zh-CN"/>
        </w:rPr>
        <w:t>L</w:t>
      </w:r>
      <w:r w:rsidRPr="00995972">
        <w:rPr>
          <w:rFonts w:ascii="Book Antiqua" w:hAnsi="Book Antiqua"/>
        </w:rPr>
        <w:t>ower esophageal sphincter</w:t>
      </w:r>
      <w:r w:rsidRPr="00995972">
        <w:rPr>
          <w:rFonts w:ascii="Book Antiqua" w:hAnsi="Book Antiqua" w:cs="Book Antiqua" w:hint="eastAsia"/>
          <w:bCs/>
          <w:color w:val="000000"/>
          <w:lang w:eastAsia="zh-CN"/>
        </w:rPr>
        <w:t>;</w:t>
      </w:r>
      <w:bookmarkEnd w:id="85"/>
      <w:bookmarkEnd w:id="86"/>
      <w:r w:rsidR="00E7430B" w:rsidRPr="00995972">
        <w:rPr>
          <w:rFonts w:ascii="Book Antiqua" w:hAnsi="Book Antiqua"/>
        </w:rPr>
        <w:t xml:space="preserve"> GERD</w:t>
      </w:r>
      <w:r w:rsidR="00E7430B" w:rsidRPr="00995972">
        <w:rPr>
          <w:rFonts w:ascii="Book Antiqua" w:hAnsi="Book Antiqua" w:hint="eastAsia"/>
          <w:lang w:eastAsia="zh-CN"/>
        </w:rPr>
        <w:t xml:space="preserve">: </w:t>
      </w:r>
      <w:r w:rsidR="00E7430B" w:rsidRPr="00995972">
        <w:rPr>
          <w:rFonts w:ascii="Book Antiqua" w:eastAsia="Book Antiqua" w:hAnsi="Book Antiqua" w:cs="Book Antiqua"/>
          <w:color w:val="000000"/>
        </w:rPr>
        <w:t>Gastroesophageal reflux disease</w:t>
      </w:r>
      <w:r w:rsidR="00E7430B" w:rsidRPr="00995972">
        <w:rPr>
          <w:rFonts w:ascii="Book Antiqua" w:hAnsi="Book Antiqua" w:hint="eastAsia"/>
          <w:lang w:eastAsia="zh-CN"/>
        </w:rPr>
        <w:t xml:space="preserve">; IRP: </w:t>
      </w:r>
      <w:r w:rsidR="00E7430B" w:rsidRPr="00995972">
        <w:rPr>
          <w:rFonts w:ascii="Book Antiqua" w:hAnsi="Book Antiqua" w:cs="Book Antiqua" w:hint="eastAsia"/>
          <w:color w:val="000000"/>
          <w:lang w:eastAsia="zh-CN"/>
        </w:rPr>
        <w:t>I</w:t>
      </w:r>
      <w:r w:rsidR="00E7430B" w:rsidRPr="00995972">
        <w:rPr>
          <w:rFonts w:ascii="Book Antiqua" w:eastAsia="Book Antiqua" w:hAnsi="Book Antiqua" w:cs="Book Antiqua"/>
          <w:color w:val="000000"/>
        </w:rPr>
        <w:t>ntegrated relaxation pressure</w:t>
      </w:r>
      <w:r w:rsidR="00E7430B" w:rsidRPr="00995972">
        <w:rPr>
          <w:rFonts w:ascii="Book Antiqua" w:hAnsi="Book Antiqua" w:hint="eastAsia"/>
          <w:lang w:eastAsia="zh-CN"/>
        </w:rPr>
        <w:t xml:space="preserve">; </w:t>
      </w:r>
      <w:bookmarkStart w:id="87" w:name="OLE_LINK221"/>
      <w:bookmarkStart w:id="88" w:name="OLE_LINK222"/>
      <w:r w:rsidR="00E7430B" w:rsidRPr="00995972">
        <w:rPr>
          <w:rFonts w:ascii="Book Antiqua" w:hAnsi="Book Antiqua" w:hint="eastAsia"/>
          <w:lang w:eastAsia="zh-CN"/>
        </w:rPr>
        <w:t xml:space="preserve">DCI: </w:t>
      </w:r>
      <w:r w:rsidR="00E7430B" w:rsidRPr="00995972">
        <w:rPr>
          <w:rFonts w:ascii="Book Antiqua" w:hAnsi="Book Antiqua" w:cs="Book Antiqua" w:hint="eastAsia"/>
          <w:color w:val="000000"/>
          <w:lang w:eastAsia="zh-CN"/>
        </w:rPr>
        <w:t>D</w:t>
      </w:r>
      <w:r w:rsidR="00E7430B" w:rsidRPr="00995972">
        <w:rPr>
          <w:rFonts w:ascii="Book Antiqua" w:eastAsia="Book Antiqua" w:hAnsi="Book Antiqua" w:cs="Book Antiqua"/>
          <w:color w:val="000000"/>
        </w:rPr>
        <w:t>istal contractile integral</w:t>
      </w:r>
      <w:bookmarkEnd w:id="87"/>
      <w:bookmarkEnd w:id="88"/>
      <w:r w:rsidR="00E7430B" w:rsidRPr="00995972">
        <w:rPr>
          <w:rFonts w:ascii="Book Antiqua" w:hAnsi="Book Antiqua" w:hint="eastAsia"/>
          <w:lang w:eastAsia="zh-CN"/>
        </w:rPr>
        <w:t xml:space="preserve">; EOE: </w:t>
      </w:r>
      <w:r w:rsidR="00E7430B" w:rsidRPr="00995972">
        <w:rPr>
          <w:rFonts w:ascii="Book Antiqua" w:hAnsi="Book Antiqua"/>
          <w:lang w:eastAsia="zh-CN"/>
        </w:rPr>
        <w:t>Eosinophilic esophagitis</w:t>
      </w:r>
      <w:r w:rsidR="00E7430B" w:rsidRPr="00995972">
        <w:rPr>
          <w:rFonts w:ascii="Book Antiqua" w:hAnsi="Book Antiqua" w:hint="eastAsia"/>
          <w:lang w:eastAsia="zh-CN"/>
        </w:rPr>
        <w:t>.</w:t>
      </w:r>
    </w:p>
    <w:p w14:paraId="0DD40183" w14:textId="77777777" w:rsidR="00A77B3E" w:rsidRPr="00995972" w:rsidRDefault="00C82061">
      <w:pPr>
        <w:spacing w:line="360" w:lineRule="auto"/>
        <w:jc w:val="both"/>
        <w:rPr>
          <w:rFonts w:ascii="Book Antiqua" w:hAnsi="Book Antiqua" w:cs="Book Antiqua"/>
          <w:b/>
          <w:bCs/>
          <w:color w:val="000000"/>
          <w:lang w:eastAsia="zh-CN"/>
        </w:rPr>
      </w:pPr>
      <w:r w:rsidRPr="00995972">
        <w:rPr>
          <w:rFonts w:ascii="Book Antiqua" w:eastAsia="Book Antiqua" w:hAnsi="Book Antiqua" w:cs="Book Antiqua"/>
          <w:b/>
          <w:bCs/>
          <w:color w:val="000000"/>
        </w:rPr>
        <w:br w:type="page"/>
      </w:r>
      <w:r w:rsidR="00D90A45" w:rsidRPr="00995972">
        <w:rPr>
          <w:rFonts w:ascii="Book Antiqua" w:eastAsia="Book Antiqua" w:hAnsi="Book Antiqua" w:cs="Book Antiqua"/>
          <w:b/>
          <w:bCs/>
          <w:color w:val="000000"/>
        </w:rPr>
        <w:t>Table 2</w:t>
      </w:r>
      <w:r w:rsidR="006C4286" w:rsidRPr="00995972">
        <w:rPr>
          <w:rFonts w:ascii="Book Antiqua" w:eastAsia="Book Antiqua" w:hAnsi="Book Antiqua" w:cs="Book Antiqua"/>
          <w:b/>
          <w:bCs/>
          <w:color w:val="000000"/>
        </w:rPr>
        <w:t xml:space="preserve"> Esophageal pH </w:t>
      </w:r>
      <w:r w:rsidR="00D90A45" w:rsidRPr="00995972">
        <w:rPr>
          <w:rFonts w:ascii="Book Antiqua" w:eastAsia="Book Antiqua" w:hAnsi="Book Antiqua" w:cs="Book Antiqua"/>
          <w:b/>
          <w:bCs/>
          <w:color w:val="000000"/>
        </w:rPr>
        <w:t>measurement opti</w:t>
      </w:r>
      <w:r w:rsidR="006C4286" w:rsidRPr="00995972">
        <w:rPr>
          <w:rFonts w:ascii="Book Antiqua" w:eastAsia="Book Antiqua" w:hAnsi="Book Antiqua" w:cs="Book Antiqua"/>
          <w:b/>
          <w:bCs/>
          <w:color w:val="000000"/>
        </w:rPr>
        <w:t>ons</w:t>
      </w:r>
    </w:p>
    <w:tbl>
      <w:tblPr>
        <w:tblStyle w:val="11"/>
        <w:tblW w:w="9610"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402"/>
        <w:gridCol w:w="2402"/>
        <w:gridCol w:w="2402"/>
        <w:gridCol w:w="2404"/>
      </w:tblGrid>
      <w:tr w:rsidR="00764065" w:rsidRPr="00995972" w14:paraId="33561467" w14:textId="77777777" w:rsidTr="005309F1">
        <w:trPr>
          <w:cnfStyle w:val="100000000000" w:firstRow="1" w:lastRow="0" w:firstColumn="0" w:lastColumn="0" w:oddVBand="0" w:evenVBand="0" w:oddHBand="0"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2402" w:type="dxa"/>
            <w:tcBorders>
              <w:top w:val="single" w:sz="4" w:space="0" w:color="auto"/>
              <w:bottom w:val="single" w:sz="4" w:space="0" w:color="auto"/>
            </w:tcBorders>
            <w:shd w:val="clear" w:color="auto" w:fill="auto"/>
            <w:vAlign w:val="center"/>
          </w:tcPr>
          <w:p w14:paraId="194ABD9B" w14:textId="77777777" w:rsidR="00764065" w:rsidRPr="00995972" w:rsidRDefault="00764065" w:rsidP="00B36DDC">
            <w:pPr>
              <w:pStyle w:val="a5"/>
              <w:adjustRightInd w:val="0"/>
              <w:snapToGrid w:val="0"/>
              <w:spacing w:line="360" w:lineRule="auto"/>
              <w:jc w:val="both"/>
              <w:rPr>
                <w:rFonts w:ascii="Book Antiqua" w:hAnsi="Book Antiqua" w:cs="Times New Roman"/>
              </w:rPr>
            </w:pPr>
          </w:p>
        </w:tc>
        <w:tc>
          <w:tcPr>
            <w:tcW w:w="2402" w:type="dxa"/>
            <w:tcBorders>
              <w:top w:val="single" w:sz="4" w:space="0" w:color="auto"/>
              <w:bottom w:val="single" w:sz="4" w:space="0" w:color="auto"/>
            </w:tcBorders>
            <w:shd w:val="clear" w:color="auto" w:fill="auto"/>
          </w:tcPr>
          <w:p w14:paraId="6358B3EE" w14:textId="77777777" w:rsidR="00764065" w:rsidRPr="00995972" w:rsidRDefault="00764065" w:rsidP="00B36DDC">
            <w:pPr>
              <w:pStyle w:val="a5"/>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Overview</w:t>
            </w:r>
          </w:p>
        </w:tc>
        <w:tc>
          <w:tcPr>
            <w:tcW w:w="2402" w:type="dxa"/>
            <w:tcBorders>
              <w:top w:val="single" w:sz="4" w:space="0" w:color="auto"/>
              <w:bottom w:val="single" w:sz="4" w:space="0" w:color="auto"/>
            </w:tcBorders>
            <w:shd w:val="clear" w:color="auto" w:fill="auto"/>
            <w:vAlign w:val="center"/>
          </w:tcPr>
          <w:p w14:paraId="5CFB9C62" w14:textId="77777777" w:rsidR="00764065" w:rsidRPr="00995972" w:rsidRDefault="00764065" w:rsidP="00B36DDC">
            <w:pPr>
              <w:pStyle w:val="a5"/>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Benefits</w:t>
            </w:r>
          </w:p>
        </w:tc>
        <w:tc>
          <w:tcPr>
            <w:tcW w:w="2404" w:type="dxa"/>
            <w:tcBorders>
              <w:top w:val="single" w:sz="4" w:space="0" w:color="auto"/>
              <w:bottom w:val="single" w:sz="4" w:space="0" w:color="auto"/>
            </w:tcBorders>
            <w:shd w:val="clear" w:color="auto" w:fill="auto"/>
            <w:vAlign w:val="center"/>
          </w:tcPr>
          <w:p w14:paraId="3BAB3D29" w14:textId="77777777" w:rsidR="00764065" w:rsidRPr="00995972" w:rsidRDefault="00764065" w:rsidP="00B36DDC">
            <w:pPr>
              <w:pStyle w:val="a5"/>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Limitations</w:t>
            </w:r>
          </w:p>
        </w:tc>
      </w:tr>
      <w:tr w:rsidR="0053392F" w:rsidRPr="00995972" w14:paraId="700B1FEE" w14:textId="77777777" w:rsidTr="00555399">
        <w:trPr>
          <w:cnfStyle w:val="000000100000" w:firstRow="0" w:lastRow="0" w:firstColumn="0" w:lastColumn="0" w:oddVBand="0" w:evenVBand="0" w:oddHBand="1" w:evenHBand="0" w:firstRowFirstColumn="0" w:firstRowLastColumn="0" w:lastRowFirstColumn="0" w:lastRowLastColumn="0"/>
          <w:trHeight w:val="6350"/>
        </w:trPr>
        <w:tc>
          <w:tcPr>
            <w:cnfStyle w:val="001000000000" w:firstRow="0" w:lastRow="0" w:firstColumn="1" w:lastColumn="0" w:oddVBand="0" w:evenVBand="0" w:oddHBand="0" w:evenHBand="0" w:firstRowFirstColumn="0" w:firstRowLastColumn="0" w:lastRowFirstColumn="0" w:lastRowLastColumn="0"/>
            <w:tcW w:w="2402" w:type="dxa"/>
            <w:tcBorders>
              <w:top w:val="single" w:sz="4" w:space="0" w:color="auto"/>
            </w:tcBorders>
            <w:shd w:val="clear" w:color="auto" w:fill="auto"/>
          </w:tcPr>
          <w:p w14:paraId="08598A57" w14:textId="77777777" w:rsidR="0053392F" w:rsidRPr="00995972" w:rsidRDefault="001F657B" w:rsidP="00107381">
            <w:pPr>
              <w:pStyle w:val="a5"/>
              <w:adjustRightInd w:val="0"/>
              <w:snapToGrid w:val="0"/>
              <w:spacing w:line="360" w:lineRule="auto"/>
              <w:jc w:val="both"/>
              <w:rPr>
                <w:rFonts w:ascii="Book Antiqua" w:hAnsi="Book Antiqua" w:cs="Times New Roman"/>
                <w:b w:val="0"/>
              </w:rPr>
            </w:pPr>
            <w:r w:rsidRPr="00995972">
              <w:rPr>
                <w:rFonts w:ascii="Book Antiqua" w:hAnsi="Book Antiqua" w:cs="Times New Roman"/>
                <w:b w:val="0"/>
              </w:rPr>
              <w:t>Twenty</w:t>
            </w:r>
            <w:r w:rsidRPr="00995972">
              <w:rPr>
                <w:rFonts w:ascii="Book Antiqua" w:hAnsi="Book Antiqua" w:cs="Times New Roman" w:hint="eastAsia"/>
                <w:b w:val="0"/>
              </w:rPr>
              <w:t>-four</w:t>
            </w:r>
            <w:r w:rsidR="0053392F" w:rsidRPr="00995972">
              <w:rPr>
                <w:rFonts w:ascii="Book Antiqua" w:hAnsi="Book Antiqua" w:cs="Times New Roman" w:hint="eastAsia"/>
                <w:b w:val="0"/>
              </w:rPr>
              <w:t xml:space="preserve"> </w:t>
            </w:r>
            <w:r w:rsidR="0053392F" w:rsidRPr="00995972">
              <w:rPr>
                <w:rFonts w:ascii="Book Antiqua" w:hAnsi="Book Antiqua" w:cs="Times New Roman"/>
                <w:b w:val="0"/>
              </w:rPr>
              <w:t>h</w:t>
            </w:r>
            <w:r w:rsidRPr="00995972">
              <w:rPr>
                <w:rFonts w:ascii="Book Antiqua" w:hAnsi="Book Antiqua" w:cs="Times New Roman" w:hint="eastAsia"/>
                <w:b w:val="0"/>
              </w:rPr>
              <w:t>ours</w:t>
            </w:r>
            <w:r w:rsidR="0053392F" w:rsidRPr="00995972">
              <w:rPr>
                <w:rFonts w:ascii="Book Antiqua" w:hAnsi="Book Antiqua" w:cs="Times New Roman"/>
                <w:b w:val="0"/>
              </w:rPr>
              <w:t xml:space="preserve"> ambulatory catheter</w:t>
            </w:r>
          </w:p>
        </w:tc>
        <w:tc>
          <w:tcPr>
            <w:tcW w:w="2402" w:type="dxa"/>
            <w:tcBorders>
              <w:top w:val="single" w:sz="4" w:space="0" w:color="auto"/>
            </w:tcBorders>
            <w:shd w:val="clear" w:color="auto" w:fill="auto"/>
          </w:tcPr>
          <w:p w14:paraId="6E1CD3B1" w14:textId="77777777" w:rsidR="0053392F" w:rsidRPr="00995972" w:rsidRDefault="0053392F" w:rsidP="00107381">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Trans-nasal catheter placed 5 cm above the LES. Measures time of pH &lt;</w:t>
            </w:r>
            <w:r w:rsidRPr="00995972">
              <w:rPr>
                <w:rFonts w:ascii="Book Antiqua" w:hAnsi="Book Antiqua" w:cs="Times New Roman" w:hint="eastAsia"/>
              </w:rPr>
              <w:t xml:space="preserve"> </w:t>
            </w:r>
            <w:r w:rsidRPr="00995972">
              <w:rPr>
                <w:rFonts w:ascii="Book Antiqua" w:hAnsi="Book Antiqua" w:cs="Times New Roman"/>
              </w:rPr>
              <w:t>4</w:t>
            </w:r>
          </w:p>
        </w:tc>
        <w:tc>
          <w:tcPr>
            <w:tcW w:w="2402" w:type="dxa"/>
            <w:tcBorders>
              <w:top w:val="single" w:sz="4" w:space="0" w:color="auto"/>
            </w:tcBorders>
            <w:shd w:val="clear" w:color="auto" w:fill="auto"/>
          </w:tcPr>
          <w:p w14:paraId="62F20DF5" w14:textId="77777777" w:rsidR="0053392F" w:rsidRPr="00995972" w:rsidRDefault="0053392F" w:rsidP="00107381">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Can be placed in office</w:t>
            </w:r>
          </w:p>
        </w:tc>
        <w:tc>
          <w:tcPr>
            <w:tcW w:w="2404" w:type="dxa"/>
            <w:tcBorders>
              <w:top w:val="single" w:sz="4" w:space="0" w:color="auto"/>
            </w:tcBorders>
            <w:shd w:val="clear" w:color="auto" w:fill="auto"/>
          </w:tcPr>
          <w:p w14:paraId="7B0E5621" w14:textId="77777777" w:rsidR="0053392F" w:rsidRPr="00995972" w:rsidRDefault="0053392F" w:rsidP="00107381">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Catheter may cause discomfort</w:t>
            </w:r>
            <w:r w:rsidRPr="00995972">
              <w:rPr>
                <w:rFonts w:ascii="Book Antiqua" w:hAnsi="Book Antiqua" w:cs="Times New Roman" w:hint="eastAsia"/>
              </w:rPr>
              <w:t xml:space="preserve">; </w:t>
            </w:r>
            <w:r w:rsidRPr="00995972">
              <w:rPr>
                <w:rFonts w:ascii="Book Antiqua" w:hAnsi="Book Antiqua" w:cs="Times New Roman"/>
              </w:rPr>
              <w:t>Patients may deviate from daily routine</w:t>
            </w:r>
            <w:r w:rsidRPr="00995972">
              <w:rPr>
                <w:rFonts w:ascii="Book Antiqua" w:hAnsi="Book Antiqua" w:cs="Times New Roman" w:hint="eastAsia"/>
              </w:rPr>
              <w:t xml:space="preserve">; </w:t>
            </w:r>
            <w:r w:rsidRPr="00995972">
              <w:rPr>
                <w:rFonts w:ascii="Book Antiqua" w:hAnsi="Book Antiqua" w:cs="Times New Roman"/>
              </w:rPr>
              <w:t>Patients should refrain from taking PPI therapy during testing</w:t>
            </w:r>
            <w:r w:rsidRPr="00995972">
              <w:rPr>
                <w:rFonts w:ascii="Book Antiqua" w:hAnsi="Book Antiqua" w:cs="Times New Roman" w:hint="eastAsia"/>
              </w:rPr>
              <w:t xml:space="preserve">; </w:t>
            </w:r>
            <w:r w:rsidRPr="00995972">
              <w:rPr>
                <w:rFonts w:ascii="Book Antiqua" w:hAnsi="Book Antiqua" w:cs="Times New Roman"/>
              </w:rPr>
              <w:t>False positives secondary eating/drinking acidic food</w:t>
            </w:r>
          </w:p>
        </w:tc>
      </w:tr>
      <w:tr w:rsidR="00764065" w:rsidRPr="00995972" w14:paraId="218F4BF8" w14:textId="77777777" w:rsidTr="0053392F">
        <w:trPr>
          <w:trHeight w:val="516"/>
        </w:trPr>
        <w:tc>
          <w:tcPr>
            <w:cnfStyle w:val="001000000000" w:firstRow="0" w:lastRow="0" w:firstColumn="1" w:lastColumn="0" w:oddVBand="0" w:evenVBand="0" w:oddHBand="0" w:evenHBand="0" w:firstRowFirstColumn="0" w:firstRowLastColumn="0" w:lastRowFirstColumn="0" w:lastRowLastColumn="0"/>
            <w:tcW w:w="2402" w:type="dxa"/>
            <w:shd w:val="clear" w:color="auto" w:fill="auto"/>
          </w:tcPr>
          <w:p w14:paraId="75D4D5AF" w14:textId="77777777" w:rsidR="00764065" w:rsidRPr="00995972" w:rsidRDefault="00764065" w:rsidP="0053392F">
            <w:pPr>
              <w:pStyle w:val="a5"/>
              <w:adjustRightInd w:val="0"/>
              <w:snapToGrid w:val="0"/>
              <w:spacing w:line="360" w:lineRule="auto"/>
              <w:jc w:val="both"/>
              <w:rPr>
                <w:rFonts w:ascii="Book Antiqua" w:hAnsi="Book Antiqua" w:cs="Times New Roman"/>
                <w:b w:val="0"/>
              </w:rPr>
            </w:pPr>
            <w:r w:rsidRPr="00995972">
              <w:rPr>
                <w:rFonts w:ascii="Book Antiqua" w:hAnsi="Book Antiqua" w:cs="Times New Roman"/>
                <w:b w:val="0"/>
              </w:rPr>
              <w:t xml:space="preserve">Wireless </w:t>
            </w:r>
            <w:r w:rsidR="0053392F" w:rsidRPr="00995972">
              <w:rPr>
                <w:rFonts w:ascii="Book Antiqua" w:hAnsi="Book Antiqua" w:cs="Times New Roman"/>
                <w:b w:val="0"/>
              </w:rPr>
              <w:t>capsule</w:t>
            </w:r>
          </w:p>
        </w:tc>
        <w:tc>
          <w:tcPr>
            <w:tcW w:w="2402" w:type="dxa"/>
            <w:shd w:val="clear" w:color="auto" w:fill="auto"/>
          </w:tcPr>
          <w:p w14:paraId="01168DE5" w14:textId="77777777" w:rsidR="00764065" w:rsidRPr="00995972" w:rsidRDefault="00764065" w:rsidP="0053392F">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Small probe that is placed endoscopically in esophagus 5-6 cm above LES. Measures time of pH &lt;</w:t>
            </w:r>
            <w:r w:rsidR="0053392F" w:rsidRPr="00995972">
              <w:rPr>
                <w:rFonts w:ascii="Book Antiqua" w:hAnsi="Book Antiqua" w:cs="Times New Roman" w:hint="eastAsia"/>
              </w:rPr>
              <w:t xml:space="preserve"> </w:t>
            </w:r>
            <w:r w:rsidRPr="00995972">
              <w:rPr>
                <w:rFonts w:ascii="Book Antiqua" w:hAnsi="Book Antiqua" w:cs="Times New Roman"/>
              </w:rPr>
              <w:t>4</w:t>
            </w:r>
          </w:p>
        </w:tc>
        <w:tc>
          <w:tcPr>
            <w:tcW w:w="2402" w:type="dxa"/>
            <w:shd w:val="clear" w:color="auto" w:fill="auto"/>
          </w:tcPr>
          <w:p w14:paraId="594E2C48" w14:textId="77777777" w:rsidR="00764065" w:rsidRPr="00995972" w:rsidRDefault="00764065" w:rsidP="0053392F">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Little patient discomfort</w:t>
            </w:r>
            <w:r w:rsidR="0053392F" w:rsidRPr="00995972">
              <w:rPr>
                <w:rFonts w:ascii="Book Antiqua" w:hAnsi="Book Antiqua" w:cs="Times New Roman" w:hint="eastAsia"/>
              </w:rPr>
              <w:t xml:space="preserve">; </w:t>
            </w:r>
            <w:r w:rsidR="0053392F" w:rsidRPr="00995972">
              <w:rPr>
                <w:rFonts w:ascii="Book Antiqua" w:hAnsi="Book Antiqua" w:cs="Times New Roman"/>
              </w:rPr>
              <w:t>Battery life of 48-96 h</w:t>
            </w:r>
            <w:r w:rsidRPr="00995972">
              <w:rPr>
                <w:rFonts w:ascii="Book Antiqua" w:hAnsi="Book Antiqua" w:cs="Times New Roman"/>
              </w:rPr>
              <w:t xml:space="preserve"> allows for better measurement of physiologic acid exposure</w:t>
            </w:r>
          </w:p>
        </w:tc>
        <w:tc>
          <w:tcPr>
            <w:tcW w:w="2404" w:type="dxa"/>
            <w:tcBorders>
              <w:top w:val="nil"/>
            </w:tcBorders>
            <w:shd w:val="clear" w:color="auto" w:fill="auto"/>
          </w:tcPr>
          <w:p w14:paraId="2705B8CD" w14:textId="77777777" w:rsidR="00764065" w:rsidRPr="00995972" w:rsidRDefault="00764065" w:rsidP="0053392F">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Must be placed endoscopically</w:t>
            </w:r>
            <w:r w:rsidR="0053392F" w:rsidRPr="00995972">
              <w:rPr>
                <w:rFonts w:ascii="Book Antiqua" w:hAnsi="Book Antiqua" w:cs="Times New Roman" w:hint="eastAsia"/>
              </w:rPr>
              <w:t xml:space="preserve">; </w:t>
            </w:r>
            <w:r w:rsidRPr="00995972">
              <w:rPr>
                <w:rFonts w:ascii="Book Antiqua" w:hAnsi="Book Antiqua" w:cs="Times New Roman"/>
              </w:rPr>
              <w:t>Patients should refrain from taking PPI therapy during testing</w:t>
            </w:r>
            <w:r w:rsidR="0053392F" w:rsidRPr="00995972">
              <w:rPr>
                <w:rFonts w:ascii="Book Antiqua" w:hAnsi="Book Antiqua" w:cs="Times New Roman" w:hint="eastAsia"/>
              </w:rPr>
              <w:t xml:space="preserve">; </w:t>
            </w:r>
            <w:r w:rsidRPr="00995972">
              <w:rPr>
                <w:rFonts w:ascii="Book Antiqua" w:hAnsi="Book Antiqua" w:cs="Times New Roman"/>
              </w:rPr>
              <w:t>False positives secondary eating/drinking acidic food</w:t>
            </w:r>
          </w:p>
        </w:tc>
      </w:tr>
      <w:tr w:rsidR="00764065" w:rsidRPr="00995972" w14:paraId="49CF27D4" w14:textId="77777777" w:rsidTr="00764065">
        <w:trPr>
          <w:cnfStyle w:val="000000100000" w:firstRow="0" w:lastRow="0" w:firstColumn="0" w:lastColumn="0" w:oddVBand="0" w:evenVBand="0" w:oddHBand="1" w:evenHBand="0" w:firstRowFirstColumn="0" w:firstRowLastColumn="0" w:lastRowFirstColumn="0" w:lastRowLastColumn="0"/>
          <w:trHeight w:val="148"/>
        </w:trPr>
        <w:tc>
          <w:tcPr>
            <w:cnfStyle w:val="001000000000" w:firstRow="0" w:lastRow="0" w:firstColumn="1" w:lastColumn="0" w:oddVBand="0" w:evenVBand="0" w:oddHBand="0" w:evenHBand="0" w:firstRowFirstColumn="0" w:firstRowLastColumn="0" w:lastRowFirstColumn="0" w:lastRowLastColumn="0"/>
            <w:tcW w:w="2402" w:type="dxa"/>
            <w:shd w:val="clear" w:color="auto" w:fill="auto"/>
            <w:vAlign w:val="center"/>
          </w:tcPr>
          <w:p w14:paraId="1162251D" w14:textId="77777777" w:rsidR="00764065" w:rsidRPr="00995972" w:rsidRDefault="00764065" w:rsidP="00B36DDC">
            <w:pPr>
              <w:pStyle w:val="a5"/>
              <w:adjustRightInd w:val="0"/>
              <w:snapToGrid w:val="0"/>
              <w:spacing w:line="360" w:lineRule="auto"/>
              <w:jc w:val="both"/>
              <w:rPr>
                <w:rFonts w:ascii="Book Antiqua" w:hAnsi="Book Antiqua" w:cs="Times New Roman"/>
                <w:b w:val="0"/>
              </w:rPr>
            </w:pPr>
            <w:r w:rsidRPr="00995972">
              <w:rPr>
                <w:rFonts w:ascii="Book Antiqua" w:hAnsi="Book Antiqua" w:cs="Times New Roman"/>
                <w:b w:val="0"/>
              </w:rPr>
              <w:t xml:space="preserve">MII-pH </w:t>
            </w:r>
            <w:r w:rsidR="0053392F" w:rsidRPr="00995972">
              <w:rPr>
                <w:rFonts w:ascii="Book Antiqua" w:hAnsi="Book Antiqua" w:cs="Times New Roman"/>
                <w:b w:val="0"/>
              </w:rPr>
              <w:t>catheter</w:t>
            </w:r>
          </w:p>
        </w:tc>
        <w:tc>
          <w:tcPr>
            <w:tcW w:w="2402" w:type="dxa"/>
            <w:shd w:val="clear" w:color="auto" w:fill="auto"/>
          </w:tcPr>
          <w:p w14:paraId="7D368FF7" w14:textId="77777777" w:rsidR="00764065" w:rsidRPr="00995972" w:rsidRDefault="00764065" w:rsidP="00B36DDC">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Trans-nasal catheter placed 5 cm above LES. Contains pH probe along with electrodes to measure reflux episodes</w:t>
            </w:r>
          </w:p>
        </w:tc>
        <w:tc>
          <w:tcPr>
            <w:tcW w:w="2402" w:type="dxa"/>
            <w:shd w:val="clear" w:color="auto" w:fill="auto"/>
            <w:vAlign w:val="center"/>
          </w:tcPr>
          <w:p w14:paraId="313DED0B" w14:textId="77777777" w:rsidR="00764065" w:rsidRPr="00995972" w:rsidRDefault="00764065" w:rsidP="00B36DDC">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Can be done on or off PPI</w:t>
            </w:r>
            <w:r w:rsidR="0053392F" w:rsidRPr="00995972">
              <w:rPr>
                <w:rFonts w:ascii="Book Antiqua" w:hAnsi="Book Antiqua" w:cs="Times New Roman" w:hint="eastAsia"/>
              </w:rPr>
              <w:t xml:space="preserve">; </w:t>
            </w:r>
            <w:r w:rsidRPr="00995972">
              <w:rPr>
                <w:rFonts w:ascii="Book Antiqua" w:hAnsi="Book Antiqua" w:cs="Times New Roman"/>
              </w:rPr>
              <w:t>Measures pH and reflux independently</w:t>
            </w:r>
            <w:r w:rsidR="0053392F" w:rsidRPr="00995972">
              <w:rPr>
                <w:rFonts w:ascii="Book Antiqua" w:hAnsi="Book Antiqua" w:cs="Times New Roman" w:hint="eastAsia"/>
              </w:rPr>
              <w:t xml:space="preserve">; </w:t>
            </w:r>
            <w:r w:rsidRPr="00995972">
              <w:rPr>
                <w:rFonts w:ascii="Book Antiqua" w:hAnsi="Book Antiqua" w:cs="Times New Roman"/>
              </w:rPr>
              <w:t>Patients can continue taking PPIs</w:t>
            </w:r>
            <w:r w:rsidR="0053392F" w:rsidRPr="00995972">
              <w:rPr>
                <w:rFonts w:ascii="Book Antiqua" w:hAnsi="Book Antiqua" w:cs="Times New Roman" w:hint="eastAsia"/>
              </w:rPr>
              <w:t xml:space="preserve">; </w:t>
            </w:r>
            <w:r w:rsidRPr="00995972">
              <w:rPr>
                <w:rFonts w:ascii="Book Antiqua" w:hAnsi="Book Antiqua" w:cs="Times New Roman"/>
              </w:rPr>
              <w:t>Can identify patients with weak acid reflux</w:t>
            </w:r>
          </w:p>
        </w:tc>
        <w:tc>
          <w:tcPr>
            <w:tcW w:w="2404" w:type="dxa"/>
            <w:shd w:val="clear" w:color="auto" w:fill="auto"/>
            <w:vAlign w:val="center"/>
          </w:tcPr>
          <w:p w14:paraId="2FBB91A5" w14:textId="77777777" w:rsidR="00764065" w:rsidRPr="00995972" w:rsidRDefault="00764065" w:rsidP="00B36DDC">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Catheter may cause discomfort</w:t>
            </w:r>
            <w:r w:rsidR="0053392F" w:rsidRPr="00995972">
              <w:rPr>
                <w:rFonts w:ascii="Book Antiqua" w:hAnsi="Book Antiqua" w:cs="Times New Roman" w:hint="eastAsia"/>
              </w:rPr>
              <w:t xml:space="preserve">; </w:t>
            </w:r>
            <w:r w:rsidRPr="00995972">
              <w:rPr>
                <w:rFonts w:ascii="Book Antiqua" w:hAnsi="Book Antiqua" w:cs="Times New Roman"/>
              </w:rPr>
              <w:t>Patients must have prior manometry testing</w:t>
            </w:r>
            <w:r w:rsidR="0053392F" w:rsidRPr="00995972">
              <w:rPr>
                <w:rFonts w:ascii="Book Antiqua" w:hAnsi="Book Antiqua" w:cs="Times New Roman" w:hint="eastAsia"/>
              </w:rPr>
              <w:t xml:space="preserve">; </w:t>
            </w:r>
            <w:r w:rsidRPr="00995972">
              <w:rPr>
                <w:rFonts w:ascii="Book Antiqua" w:hAnsi="Book Antiqua" w:cs="Times New Roman"/>
              </w:rPr>
              <w:t>False positive possible in patients with rumination, achalasia, and scleroderma</w:t>
            </w:r>
          </w:p>
        </w:tc>
      </w:tr>
    </w:tbl>
    <w:p w14:paraId="2B37D565" w14:textId="77777777" w:rsidR="001F657B" w:rsidRPr="00995972" w:rsidRDefault="001F657B">
      <w:pPr>
        <w:spacing w:line="360" w:lineRule="auto"/>
        <w:jc w:val="both"/>
        <w:rPr>
          <w:lang w:eastAsia="zh-CN"/>
        </w:rPr>
      </w:pPr>
      <w:r w:rsidRPr="00995972">
        <w:rPr>
          <w:rFonts w:ascii="Book Antiqua" w:hAnsi="Book Antiqua" w:cs="Book Antiqua" w:hint="eastAsia"/>
          <w:bCs/>
          <w:color w:val="000000"/>
          <w:lang w:eastAsia="zh-CN"/>
        </w:rPr>
        <w:t xml:space="preserve">LES: </w:t>
      </w:r>
      <w:r w:rsidRPr="00995972">
        <w:rPr>
          <w:rFonts w:ascii="Book Antiqua" w:hAnsi="Book Antiqua" w:hint="eastAsia"/>
          <w:lang w:eastAsia="zh-CN"/>
        </w:rPr>
        <w:t>L</w:t>
      </w:r>
      <w:r w:rsidRPr="00995972">
        <w:rPr>
          <w:rFonts w:ascii="Book Antiqua" w:hAnsi="Book Antiqua"/>
        </w:rPr>
        <w:t>ower esophageal sphincter</w:t>
      </w:r>
      <w:r w:rsidRPr="00995972">
        <w:rPr>
          <w:rFonts w:ascii="Book Antiqua" w:hAnsi="Book Antiqua" w:cs="Book Antiqua" w:hint="eastAsia"/>
          <w:bCs/>
          <w:color w:val="000000"/>
          <w:lang w:eastAsia="zh-CN"/>
        </w:rPr>
        <w:t xml:space="preserve">; PPI: </w:t>
      </w:r>
      <w:r w:rsidRPr="00995972">
        <w:rPr>
          <w:rFonts w:ascii="Book Antiqua" w:hAnsi="Book Antiqua" w:cs="Book Antiqua" w:hint="eastAsia"/>
          <w:color w:val="000000"/>
          <w:lang w:eastAsia="zh-CN"/>
        </w:rPr>
        <w:t>P</w:t>
      </w:r>
      <w:r w:rsidRPr="00995972">
        <w:rPr>
          <w:rFonts w:ascii="Book Antiqua" w:eastAsia="Book Antiqua" w:hAnsi="Book Antiqua" w:cs="Book Antiqua"/>
          <w:color w:val="000000"/>
        </w:rPr>
        <w:t>roton pump inhibitor</w:t>
      </w:r>
      <w:r w:rsidRPr="00995972">
        <w:rPr>
          <w:rFonts w:ascii="Book Antiqua" w:hAnsi="Book Antiqua" w:cs="Book Antiqua" w:hint="eastAsia"/>
          <w:color w:val="000000"/>
          <w:lang w:eastAsia="zh-CN"/>
        </w:rPr>
        <w:t>.</w:t>
      </w:r>
    </w:p>
    <w:p w14:paraId="18025451" w14:textId="77777777" w:rsidR="00A77B3E" w:rsidRPr="00995972" w:rsidRDefault="00C82061">
      <w:pPr>
        <w:spacing w:line="360" w:lineRule="auto"/>
        <w:jc w:val="both"/>
        <w:rPr>
          <w:rFonts w:ascii="Book Antiqua" w:hAnsi="Book Antiqua" w:cs="Book Antiqua"/>
          <w:b/>
          <w:bCs/>
          <w:color w:val="000000"/>
          <w:lang w:eastAsia="zh-CN"/>
        </w:rPr>
      </w:pPr>
      <w:r w:rsidRPr="00995972">
        <w:rPr>
          <w:rFonts w:ascii="Book Antiqua" w:eastAsia="Book Antiqua" w:hAnsi="Book Antiqua" w:cs="Book Antiqua"/>
          <w:b/>
          <w:bCs/>
          <w:color w:val="000000"/>
        </w:rPr>
        <w:br w:type="page"/>
      </w:r>
      <w:r w:rsidR="00D90A45" w:rsidRPr="00995972">
        <w:rPr>
          <w:rFonts w:ascii="Book Antiqua" w:eastAsia="Book Antiqua" w:hAnsi="Book Antiqua" w:cs="Book Antiqua"/>
          <w:b/>
          <w:bCs/>
          <w:color w:val="000000"/>
        </w:rPr>
        <w:t>Table 3</w:t>
      </w:r>
      <w:r w:rsidR="006C4286" w:rsidRPr="00995972">
        <w:rPr>
          <w:rFonts w:ascii="Book Antiqua" w:eastAsia="Book Antiqua" w:hAnsi="Book Antiqua" w:cs="Book Antiqua"/>
          <w:b/>
          <w:bCs/>
          <w:color w:val="000000"/>
        </w:rPr>
        <w:t xml:space="preserve"> Key </w:t>
      </w:r>
      <w:r w:rsidR="00D90A45" w:rsidRPr="00995972">
        <w:rPr>
          <w:rFonts w:ascii="Book Antiqua" w:eastAsia="Book Antiqua" w:hAnsi="Book Antiqua" w:cs="Book Antiqua"/>
          <w:b/>
          <w:bCs/>
          <w:color w:val="000000"/>
        </w:rPr>
        <w:t>measurements on high resolution mano</w:t>
      </w:r>
      <w:r w:rsidR="006C4286" w:rsidRPr="00995972">
        <w:rPr>
          <w:rFonts w:ascii="Book Antiqua" w:eastAsia="Book Antiqua" w:hAnsi="Book Antiqua" w:cs="Book Antiqua"/>
          <w:b/>
          <w:bCs/>
          <w:color w:val="000000"/>
        </w:rPr>
        <w:t>metry</w:t>
      </w:r>
    </w:p>
    <w:tbl>
      <w:tblPr>
        <w:tblStyle w:val="11"/>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385FC1" w:rsidRPr="00995972" w14:paraId="08B8C652" w14:textId="77777777" w:rsidTr="00385F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single" w:sz="4" w:space="0" w:color="auto"/>
              <w:bottom w:val="single" w:sz="4" w:space="0" w:color="auto"/>
            </w:tcBorders>
            <w:shd w:val="clear" w:color="auto" w:fill="auto"/>
            <w:vAlign w:val="center"/>
          </w:tcPr>
          <w:p w14:paraId="2C696BFD" w14:textId="77777777" w:rsidR="00385FC1" w:rsidRPr="00995972" w:rsidRDefault="00385FC1" w:rsidP="00B36DDC">
            <w:pPr>
              <w:pStyle w:val="a5"/>
              <w:adjustRightInd w:val="0"/>
              <w:snapToGrid w:val="0"/>
              <w:spacing w:line="360" w:lineRule="auto"/>
              <w:jc w:val="both"/>
              <w:rPr>
                <w:rFonts w:ascii="Book Antiqua" w:hAnsi="Book Antiqua" w:cs="Times New Roman"/>
              </w:rPr>
            </w:pPr>
            <w:r w:rsidRPr="00995972">
              <w:rPr>
                <w:rFonts w:ascii="Book Antiqua" w:hAnsi="Book Antiqua" w:cs="Times New Roman"/>
              </w:rPr>
              <w:t>Measurement</w:t>
            </w:r>
          </w:p>
        </w:tc>
        <w:tc>
          <w:tcPr>
            <w:tcW w:w="4675" w:type="dxa"/>
            <w:tcBorders>
              <w:top w:val="single" w:sz="4" w:space="0" w:color="auto"/>
              <w:bottom w:val="single" w:sz="4" w:space="0" w:color="auto"/>
            </w:tcBorders>
            <w:shd w:val="clear" w:color="auto" w:fill="auto"/>
            <w:vAlign w:val="center"/>
          </w:tcPr>
          <w:p w14:paraId="6360841A" w14:textId="77777777" w:rsidR="00385FC1" w:rsidRPr="00995972" w:rsidRDefault="00385FC1" w:rsidP="00B36DDC">
            <w:pPr>
              <w:pStyle w:val="a5"/>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Utility</w:t>
            </w:r>
          </w:p>
        </w:tc>
      </w:tr>
      <w:tr w:rsidR="00385FC1" w:rsidRPr="00995972" w14:paraId="44BC5787" w14:textId="77777777" w:rsidTr="00385F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single" w:sz="4" w:space="0" w:color="auto"/>
            </w:tcBorders>
            <w:shd w:val="clear" w:color="auto" w:fill="auto"/>
          </w:tcPr>
          <w:p w14:paraId="339CE858" w14:textId="77777777" w:rsidR="00385FC1" w:rsidRPr="00995972" w:rsidRDefault="00385FC1" w:rsidP="00385FC1">
            <w:pPr>
              <w:pStyle w:val="a5"/>
              <w:adjustRightInd w:val="0"/>
              <w:snapToGrid w:val="0"/>
              <w:spacing w:line="360" w:lineRule="auto"/>
              <w:jc w:val="both"/>
              <w:rPr>
                <w:rFonts w:ascii="Book Antiqua" w:hAnsi="Book Antiqua" w:cs="Times New Roman"/>
                <w:b w:val="0"/>
                <w:bCs w:val="0"/>
              </w:rPr>
            </w:pPr>
            <w:r w:rsidRPr="00995972">
              <w:rPr>
                <w:rFonts w:ascii="Book Antiqua" w:hAnsi="Book Antiqua" w:cs="Times New Roman"/>
                <w:b w:val="0"/>
                <w:bCs w:val="0"/>
              </w:rPr>
              <w:t>Integrated relaxation pressure</w:t>
            </w:r>
          </w:p>
        </w:tc>
        <w:tc>
          <w:tcPr>
            <w:tcW w:w="4675" w:type="dxa"/>
            <w:tcBorders>
              <w:top w:val="single" w:sz="4" w:space="0" w:color="auto"/>
            </w:tcBorders>
            <w:shd w:val="clear" w:color="auto" w:fill="auto"/>
          </w:tcPr>
          <w:p w14:paraId="258A466C" w14:textId="77777777" w:rsidR="00385FC1" w:rsidRPr="00995972" w:rsidRDefault="00385FC1" w:rsidP="00385FC1">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Measures esophageal pressures during transit and passage through esophagogastric junction. Can be used to diagnose achalasia and other hypomotility disorders</w:t>
            </w:r>
          </w:p>
        </w:tc>
      </w:tr>
      <w:tr w:rsidR="00385FC1" w:rsidRPr="00995972" w14:paraId="070B819C" w14:textId="77777777" w:rsidTr="00385FC1">
        <w:tc>
          <w:tcPr>
            <w:cnfStyle w:val="001000000000" w:firstRow="0" w:lastRow="0" w:firstColumn="1" w:lastColumn="0" w:oddVBand="0" w:evenVBand="0" w:oddHBand="0" w:evenHBand="0" w:firstRowFirstColumn="0" w:firstRowLastColumn="0" w:lastRowFirstColumn="0" w:lastRowLastColumn="0"/>
            <w:tcW w:w="4675" w:type="dxa"/>
            <w:shd w:val="clear" w:color="auto" w:fill="auto"/>
          </w:tcPr>
          <w:p w14:paraId="0876BC06" w14:textId="77777777" w:rsidR="00385FC1" w:rsidRPr="00995972" w:rsidRDefault="00385FC1" w:rsidP="00385FC1">
            <w:pPr>
              <w:pStyle w:val="a5"/>
              <w:adjustRightInd w:val="0"/>
              <w:snapToGrid w:val="0"/>
              <w:spacing w:line="360" w:lineRule="auto"/>
              <w:jc w:val="both"/>
              <w:rPr>
                <w:rFonts w:ascii="Book Antiqua" w:hAnsi="Book Antiqua" w:cs="Times New Roman"/>
                <w:b w:val="0"/>
                <w:bCs w:val="0"/>
              </w:rPr>
            </w:pPr>
            <w:r w:rsidRPr="00995972">
              <w:rPr>
                <w:rFonts w:ascii="Book Antiqua" w:hAnsi="Book Antiqua" w:cs="Times New Roman"/>
                <w:b w:val="0"/>
                <w:bCs w:val="0"/>
              </w:rPr>
              <w:t>Distal contractile integral</w:t>
            </w:r>
          </w:p>
        </w:tc>
        <w:tc>
          <w:tcPr>
            <w:tcW w:w="4675" w:type="dxa"/>
            <w:shd w:val="clear" w:color="auto" w:fill="auto"/>
          </w:tcPr>
          <w:p w14:paraId="4E17EDD2" w14:textId="77777777" w:rsidR="00385FC1" w:rsidRPr="00995972" w:rsidRDefault="00385FC1" w:rsidP="00385FC1">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Measures strength of esophageal contractions. Can diagnose hypercontractile disorders such as jackhammer esophagus</w:t>
            </w:r>
          </w:p>
        </w:tc>
      </w:tr>
      <w:tr w:rsidR="00385FC1" w:rsidRPr="00995972" w14:paraId="1AB91814" w14:textId="77777777" w:rsidTr="00385F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shd w:val="clear" w:color="auto" w:fill="auto"/>
          </w:tcPr>
          <w:p w14:paraId="5F77FBDC" w14:textId="77777777" w:rsidR="00385FC1" w:rsidRPr="00995972" w:rsidRDefault="00385FC1" w:rsidP="00385FC1">
            <w:pPr>
              <w:pStyle w:val="a5"/>
              <w:adjustRightInd w:val="0"/>
              <w:snapToGrid w:val="0"/>
              <w:spacing w:line="360" w:lineRule="auto"/>
              <w:jc w:val="both"/>
              <w:rPr>
                <w:rFonts w:ascii="Book Antiqua" w:hAnsi="Book Antiqua" w:cs="Times New Roman"/>
                <w:b w:val="0"/>
                <w:bCs w:val="0"/>
              </w:rPr>
            </w:pPr>
            <w:r w:rsidRPr="00995972">
              <w:rPr>
                <w:rFonts w:ascii="Book Antiqua" w:hAnsi="Book Antiqua" w:cs="Times New Roman"/>
                <w:b w:val="0"/>
                <w:bCs w:val="0"/>
              </w:rPr>
              <w:t>Distal latency</w:t>
            </w:r>
          </w:p>
        </w:tc>
        <w:tc>
          <w:tcPr>
            <w:tcW w:w="4675" w:type="dxa"/>
            <w:shd w:val="clear" w:color="auto" w:fill="auto"/>
          </w:tcPr>
          <w:p w14:paraId="19061DFC" w14:textId="77777777" w:rsidR="00385FC1" w:rsidRPr="00995972" w:rsidRDefault="00385FC1" w:rsidP="00385FC1">
            <w:pPr>
              <w:pStyle w:val="a5"/>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995972">
              <w:rPr>
                <w:rFonts w:ascii="Book Antiqua" w:hAnsi="Book Antiqua" w:cs="Times New Roman"/>
              </w:rPr>
              <w:t>Measurement of esophageal transit and contraction time. Can indicate impaired or spastic peristalsis</w:t>
            </w:r>
          </w:p>
        </w:tc>
      </w:tr>
      <w:tr w:rsidR="00385FC1" w:rsidRPr="00995972" w14:paraId="53717CCE" w14:textId="77777777" w:rsidTr="00385FC1">
        <w:tc>
          <w:tcPr>
            <w:cnfStyle w:val="001000000000" w:firstRow="0" w:lastRow="0" w:firstColumn="1" w:lastColumn="0" w:oddVBand="0" w:evenVBand="0" w:oddHBand="0" w:evenHBand="0" w:firstRowFirstColumn="0" w:firstRowLastColumn="0" w:lastRowFirstColumn="0" w:lastRowLastColumn="0"/>
            <w:tcW w:w="4675" w:type="dxa"/>
            <w:shd w:val="clear" w:color="auto" w:fill="auto"/>
          </w:tcPr>
          <w:p w14:paraId="49DD6E56" w14:textId="77777777" w:rsidR="00385FC1" w:rsidRPr="00995972" w:rsidRDefault="00385FC1" w:rsidP="00385FC1">
            <w:pPr>
              <w:pStyle w:val="a5"/>
              <w:adjustRightInd w:val="0"/>
              <w:snapToGrid w:val="0"/>
              <w:spacing w:line="360" w:lineRule="auto"/>
              <w:jc w:val="both"/>
              <w:rPr>
                <w:rFonts w:ascii="Book Antiqua" w:hAnsi="Book Antiqua" w:cs="Times New Roman"/>
                <w:b w:val="0"/>
                <w:bCs w:val="0"/>
              </w:rPr>
            </w:pPr>
            <w:r w:rsidRPr="00995972">
              <w:rPr>
                <w:rFonts w:ascii="Book Antiqua" w:hAnsi="Book Antiqua" w:cs="Times New Roman"/>
                <w:b w:val="0"/>
                <w:bCs w:val="0"/>
              </w:rPr>
              <w:t>DCI ratio</w:t>
            </w:r>
          </w:p>
        </w:tc>
        <w:tc>
          <w:tcPr>
            <w:tcW w:w="4675" w:type="dxa"/>
            <w:shd w:val="clear" w:color="auto" w:fill="auto"/>
          </w:tcPr>
          <w:p w14:paraId="4EDEC67D" w14:textId="77777777" w:rsidR="00385FC1" w:rsidRPr="00995972" w:rsidRDefault="00385FC1" w:rsidP="00385FC1">
            <w:pPr>
              <w:pStyle w:val="a5"/>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995972">
              <w:rPr>
                <w:rFonts w:ascii="Book Antiqua" w:hAnsi="Book Antiqua" w:cs="Times New Roman"/>
              </w:rPr>
              <w:t xml:space="preserve">Ratio of DCI on normal swallows and </w:t>
            </w:r>
            <w:bookmarkStart w:id="89" w:name="OLE_LINK223"/>
            <w:bookmarkStart w:id="90" w:name="OLE_LINK224"/>
            <w:r w:rsidRPr="00995972">
              <w:rPr>
                <w:rFonts w:ascii="Book Antiqua" w:hAnsi="Book Antiqua" w:cs="Times New Roman"/>
              </w:rPr>
              <w:t xml:space="preserve">MRS </w:t>
            </w:r>
            <w:bookmarkEnd w:id="89"/>
            <w:bookmarkEnd w:id="90"/>
            <w:r w:rsidRPr="00995972">
              <w:rPr>
                <w:rFonts w:ascii="Book Antiqua" w:hAnsi="Book Antiqua" w:cs="Times New Roman"/>
              </w:rPr>
              <w:t>testing. Used to assess peristaltic reserve. This can be used to predict risk of post-operative dysphagia</w:t>
            </w:r>
          </w:p>
        </w:tc>
      </w:tr>
    </w:tbl>
    <w:p w14:paraId="43CDCB0B" w14:textId="0A7DD993" w:rsidR="00EA24BD" w:rsidRDefault="00B70340">
      <w:pPr>
        <w:spacing w:line="360" w:lineRule="auto"/>
        <w:jc w:val="both"/>
        <w:rPr>
          <w:rFonts w:ascii="Book Antiqua" w:hAnsi="Book Antiqua" w:cs="Book Antiqua"/>
          <w:color w:val="000000"/>
          <w:lang w:eastAsia="zh-CN"/>
        </w:rPr>
      </w:pPr>
      <w:r w:rsidRPr="00995972">
        <w:rPr>
          <w:rFonts w:ascii="Book Antiqua" w:hAnsi="Book Antiqua" w:hint="eastAsia"/>
          <w:lang w:eastAsia="zh-CN"/>
        </w:rPr>
        <w:t xml:space="preserve">DCI: </w:t>
      </w:r>
      <w:r w:rsidRPr="00995972">
        <w:rPr>
          <w:rFonts w:ascii="Book Antiqua" w:hAnsi="Book Antiqua" w:cs="Book Antiqua" w:hint="eastAsia"/>
          <w:color w:val="000000"/>
          <w:lang w:eastAsia="zh-CN"/>
        </w:rPr>
        <w:t>D</w:t>
      </w:r>
      <w:r w:rsidRPr="00995972">
        <w:rPr>
          <w:rFonts w:ascii="Book Antiqua" w:eastAsia="Book Antiqua" w:hAnsi="Book Antiqua" w:cs="Book Antiqua"/>
          <w:color w:val="000000"/>
        </w:rPr>
        <w:t>istal contractile integral</w:t>
      </w:r>
      <w:r w:rsidRPr="00995972">
        <w:rPr>
          <w:rFonts w:ascii="Book Antiqua" w:hAnsi="Book Antiqua" w:cs="Book Antiqua" w:hint="eastAsia"/>
          <w:color w:val="000000"/>
          <w:lang w:eastAsia="zh-CN"/>
        </w:rPr>
        <w:t xml:space="preserve">; </w:t>
      </w:r>
      <w:r w:rsidRPr="00995972">
        <w:rPr>
          <w:rFonts w:ascii="Book Antiqua" w:hAnsi="Book Antiqua"/>
        </w:rPr>
        <w:t>MRS</w:t>
      </w:r>
      <w:r w:rsidRPr="00995972">
        <w:rPr>
          <w:rFonts w:ascii="Book Antiqua" w:hAnsi="Book Antiqua" w:hint="eastAsia"/>
          <w:lang w:eastAsia="zh-CN"/>
        </w:rPr>
        <w:t xml:space="preserve">: </w:t>
      </w:r>
      <w:r w:rsidRPr="00995972">
        <w:rPr>
          <w:rFonts w:ascii="Book Antiqua" w:hAnsi="Book Antiqua" w:cs="Book Antiqua" w:hint="eastAsia"/>
          <w:color w:val="000000"/>
          <w:lang w:eastAsia="zh-CN"/>
        </w:rPr>
        <w:t>M</w:t>
      </w:r>
      <w:r w:rsidRPr="00995972">
        <w:rPr>
          <w:rFonts w:ascii="Book Antiqua" w:eastAsia="Book Antiqua" w:hAnsi="Book Antiqua" w:cs="Book Antiqua"/>
          <w:color w:val="000000"/>
        </w:rPr>
        <w:t>ultiple rapid swallow</w:t>
      </w:r>
      <w:r w:rsidRPr="00995972">
        <w:rPr>
          <w:rFonts w:ascii="Book Antiqua" w:hAnsi="Book Antiqua" w:cs="Book Antiqua" w:hint="eastAsia"/>
          <w:color w:val="000000"/>
          <w:lang w:eastAsia="zh-CN"/>
        </w:rPr>
        <w:t>.</w:t>
      </w:r>
    </w:p>
    <w:p w14:paraId="1910919B" w14:textId="77777777" w:rsidR="00EA24BD" w:rsidRDefault="00EA24BD">
      <w:pPr>
        <w:rPr>
          <w:rFonts w:ascii="Book Antiqua" w:hAnsi="Book Antiqua" w:cs="Book Antiqua"/>
          <w:color w:val="000000"/>
          <w:lang w:eastAsia="zh-CN"/>
        </w:rPr>
      </w:pPr>
      <w:r>
        <w:rPr>
          <w:rFonts w:ascii="Book Antiqua" w:hAnsi="Book Antiqua" w:cs="Book Antiqua"/>
          <w:color w:val="000000"/>
          <w:lang w:eastAsia="zh-CN"/>
        </w:rPr>
        <w:br w:type="page"/>
      </w:r>
    </w:p>
    <w:p w14:paraId="1D88D0B0" w14:textId="77777777" w:rsidR="00EA24BD" w:rsidRDefault="00EA24BD" w:rsidP="00EA24BD">
      <w:pPr>
        <w:jc w:val="center"/>
        <w:rPr>
          <w:rFonts w:ascii="Book Antiqua" w:hAnsi="Book Antiqua"/>
          <w:lang w:eastAsia="zh-CN"/>
        </w:rPr>
      </w:pPr>
    </w:p>
    <w:p w14:paraId="24BAB9F8" w14:textId="77777777" w:rsidR="00EA24BD" w:rsidRDefault="00EA24BD" w:rsidP="00EA24BD">
      <w:pPr>
        <w:jc w:val="center"/>
        <w:rPr>
          <w:rFonts w:ascii="Book Antiqua" w:hAnsi="Book Antiqua"/>
          <w:lang w:eastAsia="zh-CN"/>
        </w:rPr>
      </w:pPr>
    </w:p>
    <w:p w14:paraId="2A7D2441" w14:textId="77777777" w:rsidR="00EA24BD" w:rsidRDefault="00EA24BD" w:rsidP="00EA24BD">
      <w:pPr>
        <w:jc w:val="center"/>
        <w:rPr>
          <w:rFonts w:ascii="Book Antiqua" w:hAnsi="Book Antiqua"/>
          <w:lang w:eastAsia="zh-CN"/>
        </w:rPr>
      </w:pPr>
    </w:p>
    <w:p w14:paraId="1DE49E31" w14:textId="77777777" w:rsidR="00EA24BD" w:rsidRDefault="00EA24BD" w:rsidP="00EA24BD">
      <w:pPr>
        <w:jc w:val="center"/>
        <w:rPr>
          <w:rFonts w:ascii="Book Antiqua" w:hAnsi="Book Antiqua"/>
          <w:lang w:eastAsia="zh-CN"/>
        </w:rPr>
      </w:pPr>
    </w:p>
    <w:p w14:paraId="669589B3" w14:textId="77777777" w:rsidR="00EA24BD" w:rsidRDefault="00EA24BD" w:rsidP="00EA24BD">
      <w:pPr>
        <w:jc w:val="center"/>
        <w:rPr>
          <w:rFonts w:ascii="Book Antiqua" w:hAnsi="Book Antiqua"/>
          <w:lang w:eastAsia="zh-CN"/>
        </w:rPr>
      </w:pPr>
    </w:p>
    <w:p w14:paraId="11D0984F" w14:textId="77777777" w:rsidR="00EA24BD" w:rsidRDefault="00EA24BD" w:rsidP="00EA24BD">
      <w:pPr>
        <w:jc w:val="center"/>
        <w:rPr>
          <w:rFonts w:ascii="Book Antiqua" w:hAnsi="Book Antiqua"/>
          <w:lang w:eastAsia="zh-CN"/>
        </w:rPr>
      </w:pPr>
      <w:r>
        <w:rPr>
          <w:rFonts w:ascii="Book Antiqua" w:hAnsi="Book Antiqua"/>
          <w:noProof/>
          <w:lang w:eastAsia="zh-CN"/>
        </w:rPr>
        <w:drawing>
          <wp:inline distT="0" distB="0" distL="0" distR="0" wp14:anchorId="48F47A56" wp14:editId="66061EE4">
            <wp:extent cx="2499360" cy="1440180"/>
            <wp:effectExtent l="0" t="0" r="0" b="7620"/>
            <wp:docPr id="14" name="图片 14"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0A6FC0FB" w14:textId="77777777" w:rsidR="00EA24BD" w:rsidRDefault="00EA24BD" w:rsidP="00EA24BD">
      <w:pPr>
        <w:jc w:val="center"/>
        <w:rPr>
          <w:rFonts w:ascii="Book Antiqua" w:hAnsi="Book Antiqua"/>
          <w:lang w:eastAsia="zh-CN"/>
        </w:rPr>
      </w:pPr>
    </w:p>
    <w:p w14:paraId="7C4B0C16" w14:textId="77777777" w:rsidR="00EA24BD" w:rsidRPr="00763D22" w:rsidRDefault="00EA24BD" w:rsidP="00EA24BD">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r w:rsidRPr="00763D22">
        <w:rPr>
          <w:rFonts w:ascii="Book Antiqua" w:eastAsia="Garamond-Bold" w:hAnsi="Book Antiqua" w:cs="Garamond-Bold"/>
          <w:b/>
          <w:bCs/>
          <w:color w:val="000000"/>
          <w:sz w:val="28"/>
          <w:szCs w:val="28"/>
        </w:rPr>
        <w:t>Baishideng Publishing Group Inc</w:t>
      </w:r>
    </w:p>
    <w:p w14:paraId="661B9CF4" w14:textId="77777777" w:rsidR="00EA24BD" w:rsidRPr="00763D22" w:rsidRDefault="00EA24BD" w:rsidP="00EA24BD">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4C612B4F" w14:textId="77777777" w:rsidR="00EA24BD" w:rsidRPr="00763D22" w:rsidRDefault="00EA24BD" w:rsidP="00EA24BD">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46C75A67" w14:textId="77777777" w:rsidR="00EA24BD" w:rsidRPr="00763D22" w:rsidRDefault="00EA24BD" w:rsidP="00EA24BD">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68E4000D" w14:textId="77777777" w:rsidR="00EA24BD" w:rsidRPr="00763D22" w:rsidRDefault="00EA24BD" w:rsidP="00EA24BD">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0DE2DC60" w14:textId="77777777" w:rsidR="00EA24BD" w:rsidRPr="00763D22" w:rsidRDefault="00EA24BD" w:rsidP="00EA24BD">
      <w:pPr>
        <w:jc w:val="center"/>
        <w:rPr>
          <w:rFonts w:ascii="Book Antiqua" w:hAnsi="Book Antiqua"/>
          <w:lang w:eastAsia="zh-CN"/>
        </w:rPr>
      </w:pPr>
      <w:r w:rsidRPr="00763D22">
        <w:rPr>
          <w:rFonts w:ascii="Book Antiqua" w:eastAsia="TimesNewRomanPSMT" w:hAnsi="Book Antiqua" w:cs="Garamond"/>
          <w:color w:val="D56400"/>
          <w:sz w:val="28"/>
          <w:szCs w:val="28"/>
        </w:rPr>
        <w:t>https://www.wjgnet.com</w:t>
      </w:r>
    </w:p>
    <w:p w14:paraId="532D06B2" w14:textId="77777777" w:rsidR="00EA24BD" w:rsidRDefault="00EA24BD" w:rsidP="00EA24BD">
      <w:pPr>
        <w:jc w:val="center"/>
        <w:rPr>
          <w:rFonts w:ascii="Book Antiqua" w:hAnsi="Book Antiqua"/>
          <w:lang w:eastAsia="zh-CN"/>
        </w:rPr>
      </w:pPr>
    </w:p>
    <w:p w14:paraId="0166C0DF" w14:textId="77777777" w:rsidR="00EA24BD" w:rsidRDefault="00EA24BD" w:rsidP="00EA24BD">
      <w:pPr>
        <w:jc w:val="center"/>
        <w:rPr>
          <w:rFonts w:ascii="Book Antiqua" w:hAnsi="Book Antiqua"/>
          <w:lang w:eastAsia="zh-CN"/>
        </w:rPr>
      </w:pPr>
    </w:p>
    <w:p w14:paraId="5E01D532" w14:textId="77777777" w:rsidR="00EA24BD" w:rsidRDefault="00EA24BD" w:rsidP="00EA24BD">
      <w:pPr>
        <w:jc w:val="center"/>
        <w:rPr>
          <w:rFonts w:ascii="Book Antiqua" w:hAnsi="Book Antiqua"/>
          <w:lang w:eastAsia="zh-CN"/>
        </w:rPr>
      </w:pPr>
    </w:p>
    <w:p w14:paraId="075CC320" w14:textId="77777777" w:rsidR="00EA24BD" w:rsidRDefault="00EA24BD" w:rsidP="00EA24BD">
      <w:pPr>
        <w:jc w:val="center"/>
        <w:rPr>
          <w:rFonts w:ascii="Book Antiqua" w:hAnsi="Book Antiqua"/>
          <w:lang w:eastAsia="zh-CN"/>
        </w:rPr>
      </w:pPr>
      <w:r>
        <w:rPr>
          <w:rFonts w:ascii="Book Antiqua" w:hAnsi="Book Antiqua"/>
          <w:noProof/>
          <w:lang w:eastAsia="zh-CN"/>
        </w:rPr>
        <w:drawing>
          <wp:inline distT="0" distB="0" distL="0" distR="0" wp14:anchorId="13DBEF04" wp14:editId="776D2C4A">
            <wp:extent cx="1447800" cy="1440180"/>
            <wp:effectExtent l="0" t="0" r="0" b="7620"/>
            <wp:docPr id="15" name="图片 15"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0CB6470B" w14:textId="77777777" w:rsidR="00EA24BD" w:rsidRDefault="00EA24BD" w:rsidP="00EA24BD">
      <w:pPr>
        <w:jc w:val="center"/>
        <w:rPr>
          <w:rFonts w:ascii="Book Antiqua" w:hAnsi="Book Antiqua"/>
          <w:lang w:eastAsia="zh-CN"/>
        </w:rPr>
      </w:pPr>
    </w:p>
    <w:p w14:paraId="47D02F1D" w14:textId="77777777" w:rsidR="00EA24BD" w:rsidRDefault="00EA24BD" w:rsidP="00EA24BD">
      <w:pPr>
        <w:jc w:val="center"/>
        <w:rPr>
          <w:rFonts w:ascii="Book Antiqua" w:hAnsi="Book Antiqua"/>
          <w:lang w:eastAsia="zh-CN"/>
        </w:rPr>
      </w:pPr>
    </w:p>
    <w:p w14:paraId="18AC3544" w14:textId="77777777" w:rsidR="00EA24BD" w:rsidRDefault="00EA24BD" w:rsidP="00EA24BD">
      <w:pPr>
        <w:jc w:val="center"/>
        <w:rPr>
          <w:rFonts w:ascii="Book Antiqua" w:hAnsi="Book Antiqua"/>
          <w:lang w:eastAsia="zh-CN"/>
        </w:rPr>
      </w:pPr>
    </w:p>
    <w:p w14:paraId="2184415B" w14:textId="77777777" w:rsidR="00EA24BD" w:rsidRDefault="00EA24BD" w:rsidP="00EA24BD">
      <w:pPr>
        <w:jc w:val="center"/>
        <w:rPr>
          <w:rFonts w:ascii="Book Antiqua" w:hAnsi="Book Antiqua"/>
          <w:lang w:eastAsia="zh-CN"/>
        </w:rPr>
      </w:pPr>
    </w:p>
    <w:p w14:paraId="69CBF6C1" w14:textId="77777777" w:rsidR="00EA24BD" w:rsidRDefault="00EA24BD" w:rsidP="00EA24BD">
      <w:pPr>
        <w:jc w:val="center"/>
        <w:rPr>
          <w:rFonts w:ascii="Book Antiqua" w:hAnsi="Book Antiqua"/>
          <w:lang w:eastAsia="zh-CN"/>
        </w:rPr>
      </w:pPr>
    </w:p>
    <w:p w14:paraId="50C63AE1" w14:textId="77777777" w:rsidR="00EA24BD" w:rsidRDefault="00EA24BD" w:rsidP="00EA24BD">
      <w:pPr>
        <w:jc w:val="center"/>
        <w:rPr>
          <w:rFonts w:ascii="Book Antiqua" w:hAnsi="Book Antiqua"/>
          <w:lang w:eastAsia="zh-CN"/>
        </w:rPr>
      </w:pPr>
    </w:p>
    <w:p w14:paraId="5FCDB1BD" w14:textId="77777777" w:rsidR="00EA24BD" w:rsidRDefault="00EA24BD" w:rsidP="00EA24BD">
      <w:pPr>
        <w:jc w:val="center"/>
        <w:rPr>
          <w:rFonts w:ascii="Book Antiqua" w:hAnsi="Book Antiqua"/>
          <w:lang w:eastAsia="zh-CN"/>
        </w:rPr>
      </w:pPr>
    </w:p>
    <w:p w14:paraId="71287DFE" w14:textId="77777777" w:rsidR="00EA24BD" w:rsidRDefault="00EA24BD" w:rsidP="00EA24BD">
      <w:pPr>
        <w:jc w:val="center"/>
        <w:rPr>
          <w:rFonts w:ascii="Book Antiqua" w:hAnsi="Book Antiqua"/>
          <w:lang w:eastAsia="zh-CN"/>
        </w:rPr>
      </w:pPr>
    </w:p>
    <w:p w14:paraId="39766D6A" w14:textId="77777777" w:rsidR="00EA24BD" w:rsidRDefault="00EA24BD" w:rsidP="00EA24BD">
      <w:pPr>
        <w:jc w:val="center"/>
        <w:rPr>
          <w:rFonts w:ascii="Book Antiqua" w:hAnsi="Book Antiqua"/>
          <w:lang w:eastAsia="zh-CN"/>
        </w:rPr>
      </w:pPr>
    </w:p>
    <w:p w14:paraId="0F5043D1" w14:textId="77777777" w:rsidR="00EA24BD" w:rsidRPr="00763D22" w:rsidRDefault="00EA24BD" w:rsidP="00EA24BD">
      <w:pPr>
        <w:jc w:val="right"/>
        <w:rPr>
          <w:rFonts w:ascii="Book Antiqua" w:hAnsi="Book Antiqua"/>
          <w:color w:val="000000" w:themeColor="text1"/>
          <w:lang w:eastAsia="zh-CN"/>
        </w:rPr>
      </w:pPr>
    </w:p>
    <w:p w14:paraId="15466745" w14:textId="77777777" w:rsidR="00EA24BD" w:rsidRPr="00763D22" w:rsidRDefault="00EA24BD" w:rsidP="00EA24BD">
      <w:pPr>
        <w:jc w:val="center"/>
        <w:rPr>
          <w:rFonts w:ascii="Book Antiqua" w:hAnsi="Book Antiqua"/>
          <w:color w:val="000000" w:themeColor="text1"/>
          <w:lang w:eastAsia="zh-CN"/>
        </w:rPr>
      </w:pPr>
      <w:r w:rsidRPr="00763D22">
        <w:rPr>
          <w:rFonts w:ascii="Book Antiqua" w:eastAsia="BookAntiqua-Bold" w:hAnsi="Book Antiqua" w:cs="BookAntiqua-Bold"/>
          <w:b/>
          <w:bCs/>
          <w:color w:val="000000" w:themeColor="text1"/>
        </w:rPr>
        <w:t>© 2021 Baishideng Publishing Group Inc. All rights reserved.</w:t>
      </w:r>
      <w:r w:rsidRPr="00763D22">
        <w:rPr>
          <w:rFonts w:ascii="Book Antiqua" w:hAnsi="Book Antiqua"/>
          <w:color w:val="000000" w:themeColor="text1"/>
          <w:lang w:eastAsia="zh-CN"/>
        </w:rPr>
        <w:fldChar w:fldCharType="begin"/>
      </w:r>
      <w:r w:rsidRPr="00763D22">
        <w:rPr>
          <w:rFonts w:ascii="Book Antiqua" w:hAnsi="Book Antiqua"/>
          <w:color w:val="000000" w:themeColor="text1"/>
          <w:lang w:eastAsia="zh-CN"/>
        </w:rPr>
        <w:instrText xml:space="preserve"> ADDIN EN.REFLIST </w:instrText>
      </w:r>
      <w:r w:rsidRPr="00763D22">
        <w:rPr>
          <w:rFonts w:ascii="Book Antiqua" w:hAnsi="Book Antiqua"/>
          <w:color w:val="000000" w:themeColor="text1"/>
          <w:lang w:eastAsia="zh-CN"/>
        </w:rPr>
        <w:fldChar w:fldCharType="end"/>
      </w:r>
    </w:p>
    <w:p w14:paraId="39E46830" w14:textId="77777777" w:rsidR="00385FC1" w:rsidRPr="00EA24BD" w:rsidRDefault="00385FC1">
      <w:pPr>
        <w:spacing w:line="360" w:lineRule="auto"/>
        <w:jc w:val="both"/>
        <w:rPr>
          <w:lang w:eastAsia="zh-CN"/>
        </w:rPr>
      </w:pPr>
      <w:bookmarkStart w:id="91" w:name="_GoBack"/>
      <w:bookmarkEnd w:id="91"/>
    </w:p>
    <w:sectPr w:rsidR="00385FC1" w:rsidRPr="00EA24B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E76809" w14:textId="77777777" w:rsidR="00CD1913" w:rsidRDefault="00CD1913" w:rsidP="006A54C0">
      <w:r>
        <w:separator/>
      </w:r>
    </w:p>
  </w:endnote>
  <w:endnote w:type="continuationSeparator" w:id="0">
    <w:p w14:paraId="15E3A7D0" w14:textId="77777777" w:rsidR="00CD1913" w:rsidRDefault="00CD1913" w:rsidP="006A54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9042156"/>
      <w:docPartObj>
        <w:docPartGallery w:val="Page Numbers (Bottom of Page)"/>
        <w:docPartUnique/>
      </w:docPartObj>
    </w:sdtPr>
    <w:sdtEndPr/>
    <w:sdtContent>
      <w:sdt>
        <w:sdtPr>
          <w:id w:val="860082579"/>
          <w:docPartObj>
            <w:docPartGallery w:val="Page Numbers (Top of Page)"/>
            <w:docPartUnique/>
          </w:docPartObj>
        </w:sdtPr>
        <w:sdtEndPr/>
        <w:sdtContent>
          <w:p w14:paraId="61854370" w14:textId="77777777" w:rsidR="006A54C0" w:rsidRDefault="006A54C0">
            <w:pPr>
              <w:pStyle w:val="a7"/>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CD1913">
              <w:rPr>
                <w:b/>
                <w:bCs/>
                <w:noProof/>
              </w:rPr>
              <w:t>1</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CD1913">
              <w:rPr>
                <w:b/>
                <w:bCs/>
                <w:noProof/>
              </w:rPr>
              <w:t>1</w:t>
            </w:r>
            <w:r>
              <w:rPr>
                <w:b/>
                <w:bCs/>
                <w:sz w:val="24"/>
                <w:szCs w:val="24"/>
              </w:rPr>
              <w:fldChar w:fldCharType="end"/>
            </w:r>
          </w:p>
        </w:sdtContent>
      </w:sdt>
    </w:sdtContent>
  </w:sdt>
  <w:p w14:paraId="50790537" w14:textId="77777777" w:rsidR="006A54C0" w:rsidRDefault="006A54C0">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3F009D" w14:textId="77777777" w:rsidR="00CD1913" w:rsidRDefault="00CD1913" w:rsidP="006A54C0">
      <w:r>
        <w:separator/>
      </w:r>
    </w:p>
  </w:footnote>
  <w:footnote w:type="continuationSeparator" w:id="0">
    <w:p w14:paraId="68E5FC86" w14:textId="77777777" w:rsidR="00CD1913" w:rsidRDefault="00CD1913" w:rsidP="006A54C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15FEB"/>
    <w:rsid w:val="00053D5E"/>
    <w:rsid w:val="00082E42"/>
    <w:rsid w:val="001028BD"/>
    <w:rsid w:val="00107381"/>
    <w:rsid w:val="001A4D81"/>
    <w:rsid w:val="001B0483"/>
    <w:rsid w:val="001D3C27"/>
    <w:rsid w:val="001F657B"/>
    <w:rsid w:val="00202DBD"/>
    <w:rsid w:val="00232384"/>
    <w:rsid w:val="00234B95"/>
    <w:rsid w:val="0026794C"/>
    <w:rsid w:val="00276FA6"/>
    <w:rsid w:val="002A42EC"/>
    <w:rsid w:val="00300FFB"/>
    <w:rsid w:val="00301B9B"/>
    <w:rsid w:val="00314B24"/>
    <w:rsid w:val="00316259"/>
    <w:rsid w:val="00332F0C"/>
    <w:rsid w:val="003377CD"/>
    <w:rsid w:val="00370CC2"/>
    <w:rsid w:val="00385FC1"/>
    <w:rsid w:val="003A47A8"/>
    <w:rsid w:val="003D5072"/>
    <w:rsid w:val="003E293B"/>
    <w:rsid w:val="00404BE1"/>
    <w:rsid w:val="004137D2"/>
    <w:rsid w:val="00425D2D"/>
    <w:rsid w:val="0043041A"/>
    <w:rsid w:val="004543A6"/>
    <w:rsid w:val="0046031C"/>
    <w:rsid w:val="00482EE2"/>
    <w:rsid w:val="0051093F"/>
    <w:rsid w:val="005309F1"/>
    <w:rsid w:val="0053392F"/>
    <w:rsid w:val="00595179"/>
    <w:rsid w:val="00596377"/>
    <w:rsid w:val="005B1E2D"/>
    <w:rsid w:val="005C0622"/>
    <w:rsid w:val="00616422"/>
    <w:rsid w:val="00657E44"/>
    <w:rsid w:val="0066555C"/>
    <w:rsid w:val="00667BFC"/>
    <w:rsid w:val="006910BF"/>
    <w:rsid w:val="006A54C0"/>
    <w:rsid w:val="006B3907"/>
    <w:rsid w:val="006C4286"/>
    <w:rsid w:val="006E19F4"/>
    <w:rsid w:val="007058B6"/>
    <w:rsid w:val="00734126"/>
    <w:rsid w:val="00764065"/>
    <w:rsid w:val="00783D08"/>
    <w:rsid w:val="007A3C0F"/>
    <w:rsid w:val="007E68A0"/>
    <w:rsid w:val="00804367"/>
    <w:rsid w:val="00835FF9"/>
    <w:rsid w:val="00852402"/>
    <w:rsid w:val="00864E05"/>
    <w:rsid w:val="008702DC"/>
    <w:rsid w:val="00897268"/>
    <w:rsid w:val="008B0996"/>
    <w:rsid w:val="008F426B"/>
    <w:rsid w:val="00916BB6"/>
    <w:rsid w:val="0091767E"/>
    <w:rsid w:val="00922131"/>
    <w:rsid w:val="00975CBF"/>
    <w:rsid w:val="00995972"/>
    <w:rsid w:val="009B75AC"/>
    <w:rsid w:val="00A10742"/>
    <w:rsid w:val="00A77B3E"/>
    <w:rsid w:val="00AD4897"/>
    <w:rsid w:val="00AD5190"/>
    <w:rsid w:val="00AF247A"/>
    <w:rsid w:val="00B441BE"/>
    <w:rsid w:val="00B70340"/>
    <w:rsid w:val="00B8099D"/>
    <w:rsid w:val="00B964C7"/>
    <w:rsid w:val="00BF30F6"/>
    <w:rsid w:val="00C02031"/>
    <w:rsid w:val="00C21DAC"/>
    <w:rsid w:val="00C449C3"/>
    <w:rsid w:val="00C82061"/>
    <w:rsid w:val="00C97120"/>
    <w:rsid w:val="00CA25C0"/>
    <w:rsid w:val="00CA2A55"/>
    <w:rsid w:val="00CB6C4D"/>
    <w:rsid w:val="00CD1913"/>
    <w:rsid w:val="00D417C7"/>
    <w:rsid w:val="00D670E7"/>
    <w:rsid w:val="00D74075"/>
    <w:rsid w:val="00D80830"/>
    <w:rsid w:val="00D82F98"/>
    <w:rsid w:val="00D90A45"/>
    <w:rsid w:val="00DC3FDE"/>
    <w:rsid w:val="00E04C80"/>
    <w:rsid w:val="00E1580E"/>
    <w:rsid w:val="00E37CA1"/>
    <w:rsid w:val="00E46BCF"/>
    <w:rsid w:val="00E7430B"/>
    <w:rsid w:val="00EA24BD"/>
    <w:rsid w:val="00ED1C6D"/>
    <w:rsid w:val="00EE5437"/>
    <w:rsid w:val="00EE7352"/>
    <w:rsid w:val="00F6455A"/>
    <w:rsid w:val="00F84771"/>
    <w:rsid w:val="00FA417A"/>
    <w:rsid w:val="00FB2BC9"/>
    <w:rsid w:val="00FD320F"/>
    <w:rsid w:val="00FF417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5E094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Web)" w:uiPriority="99"/>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1093F"/>
    <w:pPr>
      <w:spacing w:before="100" w:beforeAutospacing="1" w:after="100" w:afterAutospacing="1"/>
    </w:pPr>
    <w:rPr>
      <w:rFonts w:ascii="宋体" w:eastAsia="宋体" w:hAnsi="宋体" w:cs="宋体"/>
      <w:lang w:eastAsia="zh-CN"/>
    </w:rPr>
  </w:style>
  <w:style w:type="paragraph" w:styleId="a4">
    <w:name w:val="Balloon Text"/>
    <w:basedOn w:val="a"/>
    <w:link w:val="Char"/>
    <w:rsid w:val="00F84771"/>
    <w:rPr>
      <w:sz w:val="18"/>
      <w:szCs w:val="18"/>
    </w:rPr>
  </w:style>
  <w:style w:type="character" w:customStyle="1" w:styleId="Char">
    <w:name w:val="批注框文本 Char"/>
    <w:basedOn w:val="a0"/>
    <w:link w:val="a4"/>
    <w:rsid w:val="00F84771"/>
    <w:rPr>
      <w:sz w:val="18"/>
      <w:szCs w:val="18"/>
    </w:rPr>
  </w:style>
  <w:style w:type="paragraph" w:styleId="a5">
    <w:name w:val="No Spacing"/>
    <w:link w:val="Char0"/>
    <w:uiPriority w:val="1"/>
    <w:qFormat/>
    <w:rsid w:val="002A42EC"/>
    <w:rPr>
      <w:rFonts w:asciiTheme="minorHAnsi" w:hAnsiTheme="minorHAnsi" w:cstheme="minorBidi"/>
      <w:sz w:val="24"/>
      <w:szCs w:val="24"/>
      <w:lang w:eastAsia="zh-CN"/>
    </w:rPr>
  </w:style>
  <w:style w:type="character" w:customStyle="1" w:styleId="Char0">
    <w:name w:val="无间隔 Char"/>
    <w:basedOn w:val="a0"/>
    <w:link w:val="a5"/>
    <w:uiPriority w:val="1"/>
    <w:rsid w:val="002A42EC"/>
    <w:rPr>
      <w:rFonts w:asciiTheme="minorHAnsi" w:hAnsiTheme="minorHAnsi" w:cstheme="minorBidi"/>
      <w:sz w:val="24"/>
      <w:szCs w:val="24"/>
      <w:lang w:eastAsia="zh-CN"/>
    </w:rPr>
  </w:style>
  <w:style w:type="table" w:customStyle="1" w:styleId="11">
    <w:name w:val="无格式表格 11"/>
    <w:basedOn w:val="a1"/>
    <w:uiPriority w:val="41"/>
    <w:rsid w:val="002A42EC"/>
    <w:rPr>
      <w:rFonts w:asciiTheme="minorHAnsi" w:hAnsiTheme="minorHAnsi" w:cstheme="minorBidi"/>
      <w:sz w:val="24"/>
      <w:szCs w:val="24"/>
      <w:lang w:eastAsia="zh-CN"/>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6">
    <w:name w:val="header"/>
    <w:basedOn w:val="a"/>
    <w:link w:val="Char1"/>
    <w:rsid w:val="006A54C0"/>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6"/>
    <w:rsid w:val="006A54C0"/>
    <w:rPr>
      <w:sz w:val="18"/>
      <w:szCs w:val="18"/>
    </w:rPr>
  </w:style>
  <w:style w:type="paragraph" w:styleId="a7">
    <w:name w:val="footer"/>
    <w:basedOn w:val="a"/>
    <w:link w:val="Char2"/>
    <w:uiPriority w:val="99"/>
    <w:rsid w:val="006A54C0"/>
    <w:pPr>
      <w:tabs>
        <w:tab w:val="center" w:pos="4153"/>
        <w:tab w:val="right" w:pos="8306"/>
      </w:tabs>
      <w:snapToGrid w:val="0"/>
    </w:pPr>
    <w:rPr>
      <w:sz w:val="18"/>
      <w:szCs w:val="18"/>
    </w:rPr>
  </w:style>
  <w:style w:type="character" w:customStyle="1" w:styleId="Char2">
    <w:name w:val="页脚 Char"/>
    <w:basedOn w:val="a0"/>
    <w:link w:val="a7"/>
    <w:uiPriority w:val="99"/>
    <w:rsid w:val="006A54C0"/>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Web)" w:uiPriority="99"/>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1093F"/>
    <w:pPr>
      <w:spacing w:before="100" w:beforeAutospacing="1" w:after="100" w:afterAutospacing="1"/>
    </w:pPr>
    <w:rPr>
      <w:rFonts w:ascii="宋体" w:eastAsia="宋体" w:hAnsi="宋体" w:cs="宋体"/>
      <w:lang w:eastAsia="zh-CN"/>
    </w:rPr>
  </w:style>
  <w:style w:type="paragraph" w:styleId="a4">
    <w:name w:val="Balloon Text"/>
    <w:basedOn w:val="a"/>
    <w:link w:val="Char"/>
    <w:rsid w:val="00F84771"/>
    <w:rPr>
      <w:sz w:val="18"/>
      <w:szCs w:val="18"/>
    </w:rPr>
  </w:style>
  <w:style w:type="character" w:customStyle="1" w:styleId="Char">
    <w:name w:val="批注框文本 Char"/>
    <w:basedOn w:val="a0"/>
    <w:link w:val="a4"/>
    <w:rsid w:val="00F84771"/>
    <w:rPr>
      <w:sz w:val="18"/>
      <w:szCs w:val="18"/>
    </w:rPr>
  </w:style>
  <w:style w:type="paragraph" w:styleId="a5">
    <w:name w:val="No Spacing"/>
    <w:link w:val="Char0"/>
    <w:uiPriority w:val="1"/>
    <w:qFormat/>
    <w:rsid w:val="002A42EC"/>
    <w:rPr>
      <w:rFonts w:asciiTheme="minorHAnsi" w:hAnsiTheme="minorHAnsi" w:cstheme="minorBidi"/>
      <w:sz w:val="24"/>
      <w:szCs w:val="24"/>
      <w:lang w:eastAsia="zh-CN"/>
    </w:rPr>
  </w:style>
  <w:style w:type="character" w:customStyle="1" w:styleId="Char0">
    <w:name w:val="无间隔 Char"/>
    <w:basedOn w:val="a0"/>
    <w:link w:val="a5"/>
    <w:uiPriority w:val="1"/>
    <w:rsid w:val="002A42EC"/>
    <w:rPr>
      <w:rFonts w:asciiTheme="minorHAnsi" w:hAnsiTheme="minorHAnsi" w:cstheme="minorBidi"/>
      <w:sz w:val="24"/>
      <w:szCs w:val="24"/>
      <w:lang w:eastAsia="zh-CN"/>
    </w:rPr>
  </w:style>
  <w:style w:type="table" w:customStyle="1" w:styleId="11">
    <w:name w:val="无格式表格 11"/>
    <w:basedOn w:val="a1"/>
    <w:uiPriority w:val="41"/>
    <w:rsid w:val="002A42EC"/>
    <w:rPr>
      <w:rFonts w:asciiTheme="minorHAnsi" w:hAnsiTheme="minorHAnsi" w:cstheme="minorBidi"/>
      <w:sz w:val="24"/>
      <w:szCs w:val="24"/>
      <w:lang w:eastAsia="zh-CN"/>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6">
    <w:name w:val="header"/>
    <w:basedOn w:val="a"/>
    <w:link w:val="Char1"/>
    <w:rsid w:val="006A54C0"/>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6"/>
    <w:rsid w:val="006A54C0"/>
    <w:rPr>
      <w:sz w:val="18"/>
      <w:szCs w:val="18"/>
    </w:rPr>
  </w:style>
  <w:style w:type="paragraph" w:styleId="a7">
    <w:name w:val="footer"/>
    <w:basedOn w:val="a"/>
    <w:link w:val="Char2"/>
    <w:uiPriority w:val="99"/>
    <w:rsid w:val="006A54C0"/>
    <w:pPr>
      <w:tabs>
        <w:tab w:val="center" w:pos="4153"/>
        <w:tab w:val="right" w:pos="8306"/>
      </w:tabs>
      <w:snapToGrid w:val="0"/>
    </w:pPr>
    <w:rPr>
      <w:sz w:val="18"/>
      <w:szCs w:val="18"/>
    </w:rPr>
  </w:style>
  <w:style w:type="character" w:customStyle="1" w:styleId="Char2">
    <w:name w:val="页脚 Char"/>
    <w:basedOn w:val="a0"/>
    <w:link w:val="a7"/>
    <w:uiPriority w:val="99"/>
    <w:rsid w:val="006A54C0"/>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1550314">
      <w:bodyDiv w:val="1"/>
      <w:marLeft w:val="0"/>
      <w:marRight w:val="0"/>
      <w:marTop w:val="0"/>
      <w:marBottom w:val="0"/>
      <w:divBdr>
        <w:top w:val="none" w:sz="0" w:space="0" w:color="auto"/>
        <w:left w:val="none" w:sz="0" w:space="0" w:color="auto"/>
        <w:bottom w:val="none" w:sz="0" w:space="0" w:color="auto"/>
        <w:right w:val="none" w:sz="0" w:space="0" w:color="auto"/>
      </w:divBdr>
    </w:div>
    <w:div w:id="13640203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2" Type="http://schemas.microsoft.com/office/2007/relationships/stylesWithEffects" Target="stylesWithEffect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54</Pages>
  <Words>12825</Words>
  <Characters>73105</Characters>
  <Application>Microsoft Office Word</Application>
  <DocSecurity>0</DocSecurity>
  <Lines>609</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85759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liujihong2008@qq.con</cp:lastModifiedBy>
  <cp:revision>12</cp:revision>
  <dcterms:created xsi:type="dcterms:W3CDTF">2021-03-25T18:48:00Z</dcterms:created>
  <dcterms:modified xsi:type="dcterms:W3CDTF">2021-04-20T06:51:00Z</dcterms:modified>
</cp:coreProperties>
</file>