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557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75AB1D2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63135</w:t>
      </w:r>
    </w:p>
    <w:p w14:paraId="40895A9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706570BA" w14:textId="77777777" w:rsidR="003F2138" w:rsidRDefault="003F2138">
      <w:pPr>
        <w:adjustRightInd w:val="0"/>
        <w:snapToGrid w:val="0"/>
        <w:spacing w:line="360" w:lineRule="auto"/>
        <w:jc w:val="both"/>
        <w:rPr>
          <w:rFonts w:ascii="Book Antiqua" w:hAnsi="Book Antiqua"/>
          <w:color w:val="000000" w:themeColor="text1"/>
        </w:rPr>
      </w:pPr>
    </w:p>
    <w:p w14:paraId="7EA284E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3BD1A38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Onodera’s Prognostic Nutritional Index is a novel and useful prognostic marker for gastrointestinal stromal tumors</w:t>
      </w:r>
    </w:p>
    <w:p w14:paraId="747A6301" w14:textId="77777777" w:rsidR="003F2138" w:rsidRDefault="003F2138">
      <w:pPr>
        <w:adjustRightInd w:val="0"/>
        <w:snapToGrid w:val="0"/>
        <w:spacing w:line="360" w:lineRule="auto"/>
        <w:jc w:val="both"/>
        <w:rPr>
          <w:rFonts w:ascii="Book Antiqua" w:hAnsi="Book Antiqua"/>
          <w:color w:val="000000" w:themeColor="text1"/>
        </w:rPr>
      </w:pPr>
    </w:p>
    <w:p w14:paraId="163500B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Wang 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Prognostic marker</w:t>
      </w:r>
      <w:r>
        <w:rPr>
          <w:rFonts w:ascii="Book Antiqua" w:eastAsia="Book Antiqua" w:hAnsi="Book Antiqua" w:cs="Book Antiqua"/>
          <w:color w:val="000000" w:themeColor="text1"/>
        </w:rPr>
        <w:t xml:space="preserve"> for GIST</w:t>
      </w:r>
      <w:r>
        <w:rPr>
          <w:rFonts w:ascii="Book Antiqua" w:eastAsia="Book Antiqua" w:hAnsi="Book Antiqua" w:cs="Book Antiqua"/>
          <w:color w:val="000000" w:themeColor="text1"/>
        </w:rPr>
        <w:t>s</w:t>
      </w:r>
    </w:p>
    <w:p w14:paraId="0A69674B" w14:textId="77777777" w:rsidR="003F2138" w:rsidRDefault="003F2138">
      <w:pPr>
        <w:adjustRightInd w:val="0"/>
        <w:snapToGrid w:val="0"/>
        <w:spacing w:line="360" w:lineRule="auto"/>
        <w:jc w:val="both"/>
        <w:rPr>
          <w:rFonts w:ascii="Book Antiqua" w:hAnsi="Book Antiqua"/>
          <w:color w:val="000000" w:themeColor="text1"/>
        </w:rPr>
      </w:pPr>
    </w:p>
    <w:p w14:paraId="08AC509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Hao Wang, Ying-Ying Xu, Jun You, Wen-Qing Hu, Shao-Feng Wang, Ping Chen, Fan Yang, Lei Shi, Wei Zhao, Liang Zong</w:t>
      </w:r>
    </w:p>
    <w:p w14:paraId="559B4D26" w14:textId="77777777" w:rsidR="003F2138" w:rsidRDefault="003F2138">
      <w:pPr>
        <w:adjustRightInd w:val="0"/>
        <w:snapToGrid w:val="0"/>
        <w:spacing w:line="360" w:lineRule="auto"/>
        <w:jc w:val="both"/>
        <w:rPr>
          <w:rFonts w:ascii="Book Antiqua" w:hAnsi="Book Antiqua"/>
          <w:color w:val="000000" w:themeColor="text1"/>
        </w:rPr>
      </w:pPr>
    </w:p>
    <w:p w14:paraId="41EB846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Hao Wang, Ping Chen, Lei Shi, Wei Zhao, </w:t>
      </w:r>
      <w:r>
        <w:rPr>
          <w:rFonts w:ascii="Book Antiqua" w:eastAsia="Book Antiqua" w:hAnsi="Book Antiqua" w:cs="Book Antiqua"/>
          <w:color w:val="000000" w:themeColor="text1"/>
        </w:rPr>
        <w:t xml:space="preserve">Department of Gastrointestinal Surgery, Northern Jiangsu </w:t>
      </w:r>
      <w:r>
        <w:rPr>
          <w:rFonts w:ascii="Book Antiqua" w:eastAsia="Book Antiqua" w:hAnsi="Book Antiqua" w:cs="Book Antiqua"/>
          <w:color w:val="000000" w:themeColor="text1"/>
        </w:rPr>
        <w:t>People’s Hospital, Clinical Medical College, Yangzhou University, Yangzhou 225001, Jiangsu Province, China</w:t>
      </w:r>
    </w:p>
    <w:p w14:paraId="0343E001" w14:textId="77777777" w:rsidR="003F2138" w:rsidRDefault="003F2138">
      <w:pPr>
        <w:adjustRightInd w:val="0"/>
        <w:snapToGrid w:val="0"/>
        <w:spacing w:line="360" w:lineRule="auto"/>
        <w:jc w:val="both"/>
        <w:rPr>
          <w:rFonts w:ascii="Book Antiqua" w:hAnsi="Book Antiqua"/>
          <w:color w:val="000000" w:themeColor="text1"/>
        </w:rPr>
      </w:pPr>
    </w:p>
    <w:p w14:paraId="5DF545C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Ying-Ying Xu, </w:t>
      </w:r>
      <w:r>
        <w:rPr>
          <w:rFonts w:ascii="Book Antiqua" w:eastAsia="Book Antiqua" w:hAnsi="Book Antiqua" w:cs="Book Antiqua"/>
          <w:color w:val="000000" w:themeColor="text1"/>
        </w:rPr>
        <w:t>Department of General Surgery, Yizheng People’s Hospital, Clinical Medical College, Yangzhou University, Yangzhou 211400, Jiangsu Prov</w:t>
      </w:r>
      <w:r>
        <w:rPr>
          <w:rFonts w:ascii="Book Antiqua" w:eastAsia="Book Antiqua" w:hAnsi="Book Antiqua" w:cs="Book Antiqua"/>
          <w:color w:val="000000" w:themeColor="text1"/>
        </w:rPr>
        <w:t>ince, China</w:t>
      </w:r>
    </w:p>
    <w:p w14:paraId="2581CA38" w14:textId="77777777" w:rsidR="003F2138" w:rsidRDefault="003F2138">
      <w:pPr>
        <w:adjustRightInd w:val="0"/>
        <w:snapToGrid w:val="0"/>
        <w:spacing w:line="360" w:lineRule="auto"/>
        <w:jc w:val="both"/>
        <w:rPr>
          <w:rFonts w:ascii="Book Antiqua" w:hAnsi="Book Antiqua"/>
          <w:color w:val="000000" w:themeColor="text1"/>
        </w:rPr>
      </w:pPr>
    </w:p>
    <w:p w14:paraId="7F378D4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Jun You, </w:t>
      </w:r>
      <w:r>
        <w:rPr>
          <w:rFonts w:ascii="Book Antiqua" w:eastAsia="Book Antiqua" w:hAnsi="Book Antiqua" w:cs="Book Antiqua"/>
          <w:color w:val="000000" w:themeColor="text1"/>
        </w:rPr>
        <w:t>Department of Gastrointestinal Surgery, The First Affiliated Hospital of Xiamen University, Teaching Hospital of Fujian Medical University, Xiamen 361005, Fujian Province, China</w:t>
      </w:r>
    </w:p>
    <w:p w14:paraId="11349D57" w14:textId="77777777" w:rsidR="003F2138" w:rsidRDefault="003F2138">
      <w:pPr>
        <w:adjustRightInd w:val="0"/>
        <w:snapToGrid w:val="0"/>
        <w:spacing w:line="360" w:lineRule="auto"/>
        <w:jc w:val="both"/>
        <w:rPr>
          <w:rFonts w:ascii="Book Antiqua" w:hAnsi="Book Antiqua"/>
          <w:color w:val="000000" w:themeColor="text1"/>
        </w:rPr>
      </w:pPr>
    </w:p>
    <w:p w14:paraId="2A84C87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Wen-Qing Hu, Liang Zong, </w:t>
      </w:r>
      <w:r>
        <w:rPr>
          <w:rFonts w:ascii="Book Antiqua" w:eastAsia="Book Antiqua" w:hAnsi="Book Antiqua" w:cs="Book Antiqua"/>
          <w:color w:val="000000" w:themeColor="text1"/>
        </w:rPr>
        <w:t>Department of Gastrointestinal</w:t>
      </w:r>
      <w:r>
        <w:rPr>
          <w:rFonts w:ascii="Book Antiqua" w:eastAsia="Book Antiqua" w:hAnsi="Book Antiqua" w:cs="Book Antiqua"/>
          <w:color w:val="000000" w:themeColor="text1"/>
        </w:rPr>
        <w:t xml:space="preserve"> Surgery, Changzhi People’s Hospital, The Affiliated Hospital of Changzhi Medical College, Changzhi 046000, Shanxi Province, China</w:t>
      </w:r>
    </w:p>
    <w:p w14:paraId="430BE12A" w14:textId="77777777" w:rsidR="003F2138" w:rsidRDefault="003F2138">
      <w:pPr>
        <w:adjustRightInd w:val="0"/>
        <w:snapToGrid w:val="0"/>
        <w:spacing w:line="360" w:lineRule="auto"/>
        <w:jc w:val="both"/>
        <w:rPr>
          <w:rFonts w:ascii="Book Antiqua" w:hAnsi="Book Antiqua"/>
          <w:color w:val="000000" w:themeColor="text1"/>
        </w:rPr>
      </w:pPr>
    </w:p>
    <w:p w14:paraId="39C9D0D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Shao-Feng Wang, </w:t>
      </w:r>
      <w:r>
        <w:rPr>
          <w:rFonts w:ascii="Book Antiqua" w:eastAsia="Book Antiqua" w:hAnsi="Book Antiqua" w:cs="Book Antiqua"/>
          <w:color w:val="000000" w:themeColor="text1"/>
        </w:rPr>
        <w:t>Department of Digestive Internal Medicine, Changzhi People’s Hospital, The Affiliated Hospital of Changzhi M</w:t>
      </w:r>
      <w:r>
        <w:rPr>
          <w:rFonts w:ascii="Book Antiqua" w:eastAsia="Book Antiqua" w:hAnsi="Book Antiqua" w:cs="Book Antiqua"/>
          <w:color w:val="000000" w:themeColor="text1"/>
        </w:rPr>
        <w:t>edical College, Changzhi 046000, Shanxi Province, China</w:t>
      </w:r>
    </w:p>
    <w:p w14:paraId="0E5E8881" w14:textId="77777777" w:rsidR="003F2138" w:rsidRDefault="003F2138">
      <w:pPr>
        <w:adjustRightInd w:val="0"/>
        <w:snapToGrid w:val="0"/>
        <w:spacing w:line="360" w:lineRule="auto"/>
        <w:jc w:val="both"/>
        <w:rPr>
          <w:rFonts w:ascii="Book Antiqua" w:hAnsi="Book Antiqua"/>
          <w:color w:val="000000" w:themeColor="text1"/>
        </w:rPr>
      </w:pPr>
    </w:p>
    <w:p w14:paraId="5BA764A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Fan Yang, </w:t>
      </w:r>
      <w:r>
        <w:rPr>
          <w:rFonts w:ascii="Book Antiqua" w:eastAsia="Book Antiqua" w:hAnsi="Book Antiqua" w:cs="Book Antiqua"/>
          <w:color w:val="000000" w:themeColor="text1"/>
        </w:rPr>
        <w:t>Department of Central Laboratory, Changzhi People’s Hospital, The Affiliated Hospital of Changzhi Medical College, Changzhi 046000, Shanxi Province, China</w:t>
      </w:r>
    </w:p>
    <w:p w14:paraId="3FCD1F74" w14:textId="77777777" w:rsidR="003F2138" w:rsidRDefault="003F2138">
      <w:pPr>
        <w:adjustRightInd w:val="0"/>
        <w:snapToGrid w:val="0"/>
        <w:spacing w:line="360" w:lineRule="auto"/>
        <w:jc w:val="both"/>
        <w:rPr>
          <w:rFonts w:ascii="Book Antiqua" w:hAnsi="Book Antiqua"/>
          <w:color w:val="000000" w:themeColor="text1"/>
        </w:rPr>
      </w:pPr>
    </w:p>
    <w:p w14:paraId="3B3C753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Xu YY, Wan</w:t>
      </w:r>
      <w:r>
        <w:rPr>
          <w:rFonts w:ascii="Book Antiqua" w:eastAsia="Book Antiqua" w:hAnsi="Book Antiqua" w:cs="Book Antiqua"/>
          <w:color w:val="000000" w:themeColor="text1"/>
        </w:rPr>
        <w:t>g</w:t>
      </w:r>
      <w:r>
        <w:rPr>
          <w:rFonts w:ascii="Book Antiqua" w:eastAsia="Book Antiqua" w:hAnsi="Book Antiqua" w:cs="Book Antiqua"/>
          <w:color w:val="000000" w:themeColor="text1"/>
        </w:rPr>
        <w:t xml:space="preserve"> H</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Zong L designed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research; Wang H, You J, Hu WQ, Wang SF</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Chen P performed</w:t>
      </w:r>
      <w:r>
        <w:rPr>
          <w:rFonts w:ascii="Book Antiqua" w:eastAsia="Book Antiqua" w:hAnsi="Book Antiqua" w:cs="Book Antiqua"/>
          <w:color w:val="000000" w:themeColor="text1"/>
        </w:rPr>
        <w:t xml:space="preserve"> the</w:t>
      </w:r>
      <w:r>
        <w:rPr>
          <w:rFonts w:ascii="Book Antiqua" w:eastAsia="Book Antiqua" w:hAnsi="Book Antiqua" w:cs="Book Antiqua"/>
          <w:color w:val="000000" w:themeColor="text1"/>
        </w:rPr>
        <w:t xml:space="preserve"> research; Shi L, Yang F</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Zhao W analyzed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data; Xu YY and Wang H wrote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paper and contributed equally to this study.</w:t>
      </w:r>
    </w:p>
    <w:p w14:paraId="196A85AC" w14:textId="77777777" w:rsidR="003F2138" w:rsidRDefault="003F2138">
      <w:pPr>
        <w:adjustRightInd w:val="0"/>
        <w:snapToGrid w:val="0"/>
        <w:spacing w:line="360" w:lineRule="auto"/>
        <w:jc w:val="both"/>
        <w:rPr>
          <w:rFonts w:ascii="Book Antiqua" w:hAnsi="Book Antiqua"/>
          <w:color w:val="000000" w:themeColor="text1"/>
        </w:rPr>
      </w:pPr>
    </w:p>
    <w:p w14:paraId="2696C92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Health Commission of </w:t>
      </w:r>
      <w:r>
        <w:rPr>
          <w:rFonts w:ascii="Book Antiqua" w:eastAsia="Book Antiqua" w:hAnsi="Book Antiqua" w:cs="Book Antiqua"/>
          <w:color w:val="000000" w:themeColor="text1"/>
        </w:rPr>
        <w:t>Shanxi Province</w:t>
      </w:r>
      <w:r>
        <w:rPr>
          <w:rFonts w:ascii="Book Antiqua" w:eastAsia="宋体" w:hAnsi="Book Antiqua" w:cs="宋体"/>
          <w:color w:val="000000" w:themeColor="text1"/>
          <w:lang w:eastAsia="zh-CN"/>
        </w:rPr>
        <w:t>,</w:t>
      </w:r>
      <w:r>
        <w:rPr>
          <w:rFonts w:ascii="Book Antiqua" w:eastAsia="Book Antiqua" w:hAnsi="Book Antiqua" w:cs="Book Antiqua"/>
          <w:color w:val="000000" w:themeColor="text1"/>
        </w:rPr>
        <w:t xml:space="preserve"> No. 2020130 and No. 2020TD27; and the Science and Technology Planning Project of Yangzhou City, No. YZ2018092.</w:t>
      </w:r>
    </w:p>
    <w:p w14:paraId="01B01426" w14:textId="77777777" w:rsidR="003F2138" w:rsidRDefault="003F2138">
      <w:pPr>
        <w:adjustRightInd w:val="0"/>
        <w:snapToGrid w:val="0"/>
        <w:spacing w:line="360" w:lineRule="auto"/>
        <w:jc w:val="both"/>
        <w:rPr>
          <w:rFonts w:ascii="Book Antiqua" w:hAnsi="Book Antiqua"/>
          <w:color w:val="000000" w:themeColor="text1"/>
        </w:rPr>
      </w:pPr>
    </w:p>
    <w:p w14:paraId="5B0198A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Liang Zong, MD, PhD, Professor, Research Associate, </w:t>
      </w:r>
      <w:r>
        <w:rPr>
          <w:rFonts w:ascii="Book Antiqua" w:eastAsia="Book Antiqua" w:hAnsi="Book Antiqua" w:cs="Book Antiqua"/>
          <w:color w:val="000000" w:themeColor="text1"/>
        </w:rPr>
        <w:t>Department of Gastrointestinal Surgery, Changzhi Peop</w:t>
      </w:r>
      <w:r>
        <w:rPr>
          <w:rFonts w:ascii="Book Antiqua" w:eastAsia="Book Antiqua" w:hAnsi="Book Antiqua" w:cs="Book Antiqua"/>
          <w:color w:val="000000" w:themeColor="text1"/>
        </w:rPr>
        <w:t>le’s Hospital, The Affiliated Hospital of Changzhi Medical College, No. 502 Changxing Middle Road, Luzhou District, Changzhi 046000, Shanxi Province, China. 250537471@qq.com</w:t>
      </w:r>
    </w:p>
    <w:p w14:paraId="6749DD8A" w14:textId="77777777" w:rsidR="003F2138" w:rsidRDefault="003F2138">
      <w:pPr>
        <w:adjustRightInd w:val="0"/>
        <w:snapToGrid w:val="0"/>
        <w:spacing w:line="360" w:lineRule="auto"/>
        <w:jc w:val="both"/>
        <w:rPr>
          <w:rFonts w:ascii="Book Antiqua" w:hAnsi="Book Antiqua"/>
          <w:color w:val="000000" w:themeColor="text1"/>
        </w:rPr>
      </w:pPr>
    </w:p>
    <w:p w14:paraId="17C4E1AF"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March 18, 2021</w:t>
      </w:r>
    </w:p>
    <w:p w14:paraId="7712B54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Revised:</w:t>
      </w:r>
      <w:r>
        <w:rPr>
          <w:rFonts w:ascii="Book Antiqua" w:eastAsia="Book Antiqua" w:hAnsi="Book Antiqua" w:cs="Book Antiqua"/>
          <w:color w:val="000000" w:themeColor="text1"/>
        </w:rPr>
        <w:t xml:space="preserve"> June 17, 2021</w:t>
      </w:r>
    </w:p>
    <w:p w14:paraId="23C1B2FF"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bookmarkStart w:id="0" w:name="OLE_LINK48"/>
      <w:bookmarkStart w:id="1" w:name="OLE_LINK33"/>
      <w:bookmarkStart w:id="2" w:name="OLE_LINK15"/>
      <w:r>
        <w:rPr>
          <w:rFonts w:ascii="Book Antiqua" w:eastAsia="宋体" w:hAnsi="Book Antiqua" w:hint="eastAsia"/>
          <w:color w:val="000000" w:themeColor="text1"/>
        </w:rPr>
        <w:t>Au</w:t>
      </w:r>
      <w:r>
        <w:rPr>
          <w:rFonts w:ascii="Book Antiqua" w:eastAsia="宋体" w:hAnsi="Book Antiqua"/>
          <w:color w:val="000000" w:themeColor="text1"/>
        </w:rPr>
        <w:t>gust 13, 2021</w:t>
      </w:r>
      <w:bookmarkEnd w:id="0"/>
      <w:bookmarkEnd w:id="1"/>
      <w:bookmarkEnd w:id="2"/>
    </w:p>
    <w:p w14:paraId="58FCB5A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0CE055C7" w14:textId="77777777" w:rsidR="003F2138" w:rsidRDefault="003F2138">
      <w:pPr>
        <w:adjustRightInd w:val="0"/>
        <w:snapToGrid w:val="0"/>
        <w:spacing w:line="360" w:lineRule="auto"/>
        <w:jc w:val="both"/>
        <w:rPr>
          <w:rFonts w:ascii="Book Antiqua" w:hAnsi="Book Antiqua"/>
          <w:color w:val="000000" w:themeColor="text1"/>
        </w:rPr>
        <w:sectPr w:rsidR="003F2138">
          <w:footerReference w:type="default" r:id="rId7"/>
          <w:type w:val="continuous"/>
          <w:pgSz w:w="11906" w:h="16838"/>
          <w:pgMar w:top="1440" w:right="1440" w:bottom="1440" w:left="1440" w:header="720" w:footer="720" w:gutter="0"/>
          <w:cols w:space="720"/>
          <w:docGrid w:linePitch="360"/>
        </w:sectPr>
      </w:pPr>
    </w:p>
    <w:p w14:paraId="15476AF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Abstract</w:t>
      </w:r>
    </w:p>
    <w:p w14:paraId="6FDF5DF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6725D86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Immunoinflammatory markers such as the peripheral blood neutrophil-to-lymphocyte ratio (NLR) and the</w:t>
      </w:r>
      <w:r>
        <w:rPr>
          <w:rFonts w:ascii="Book Antiqua" w:eastAsia="Book Antiqua" w:hAnsi="Book Antiqua" w:cs="Book Antiqua"/>
          <w:color w:val="000000" w:themeColor="text1"/>
        </w:rPr>
        <w:t xml:space="preserve"> platelet-to-lymphocyte ratio (PLR) have gained considerable attention as prognostic markers</w:t>
      </w:r>
      <w:r>
        <w:rPr>
          <w:rFonts w:ascii="Book Antiqua" w:eastAsia="Book Antiqua" w:hAnsi="Book Antiqua" w:cs="Book Antiqua"/>
          <w:color w:val="000000" w:themeColor="text1"/>
        </w:rPr>
        <w:t xml:space="preserve"> in gastrointestinal stromal tumor</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w:t>
      </w:r>
    </w:p>
    <w:p w14:paraId="31ECB0E1" w14:textId="77777777" w:rsidR="003F2138" w:rsidRDefault="003F2138">
      <w:pPr>
        <w:adjustRightInd w:val="0"/>
        <w:snapToGrid w:val="0"/>
        <w:spacing w:line="360" w:lineRule="auto"/>
        <w:jc w:val="both"/>
        <w:rPr>
          <w:rFonts w:ascii="Book Antiqua" w:hAnsi="Book Antiqua"/>
          <w:color w:val="000000" w:themeColor="text1"/>
        </w:rPr>
      </w:pPr>
    </w:p>
    <w:p w14:paraId="604A751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2379D20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assess the prognostic value of Onodera’s Prognostic Nutritional Index (OPNI) for GISTs.</w:t>
      </w:r>
    </w:p>
    <w:p w14:paraId="137B7A57" w14:textId="77777777" w:rsidR="003F2138" w:rsidRDefault="003F2138">
      <w:pPr>
        <w:adjustRightInd w:val="0"/>
        <w:snapToGrid w:val="0"/>
        <w:spacing w:line="360" w:lineRule="auto"/>
        <w:jc w:val="both"/>
        <w:rPr>
          <w:rFonts w:ascii="Book Antiqua" w:hAnsi="Book Antiqua"/>
          <w:color w:val="000000" w:themeColor="text1"/>
        </w:rPr>
      </w:pPr>
    </w:p>
    <w:p w14:paraId="031111A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0DE25E7"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All patients </w:t>
      </w:r>
      <w:r>
        <w:rPr>
          <w:rFonts w:ascii="Book Antiqua" w:eastAsia="Book Antiqua" w:hAnsi="Book Antiqua" w:cs="Book Antiqua"/>
          <w:color w:val="000000" w:themeColor="text1"/>
        </w:rPr>
        <w:t>who had undergone surgical resection for a primary, localized GIST from 2009 to 2016 at our cancer center were initially and retrospectively identified. Recurrence-free survival (RFS) was calculated by the Kaplan-Meier method and compared by the log-rank t</w:t>
      </w:r>
      <w:r>
        <w:rPr>
          <w:rFonts w:ascii="Book Antiqua" w:eastAsia="Book Antiqua" w:hAnsi="Book Antiqua" w:cs="Book Antiqua"/>
          <w:color w:val="000000" w:themeColor="text1"/>
        </w:rPr>
        <w:t>est. We used univariate Cox proportional hazard regression models to identify associations with outcome variables.</w:t>
      </w:r>
    </w:p>
    <w:p w14:paraId="2560F5A6" w14:textId="77777777" w:rsidR="003F2138" w:rsidRDefault="003F2138">
      <w:pPr>
        <w:adjustRightInd w:val="0"/>
        <w:snapToGrid w:val="0"/>
        <w:spacing w:line="360" w:lineRule="auto"/>
        <w:jc w:val="both"/>
        <w:rPr>
          <w:rFonts w:ascii="Book Antiqua" w:hAnsi="Book Antiqua"/>
          <w:color w:val="000000" w:themeColor="text1"/>
        </w:rPr>
      </w:pPr>
    </w:p>
    <w:p w14:paraId="13BCACE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484224AF"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235 GISTs were identified and included for analysis under our inclusion criteria. Univariate and multivariate analyses both identified the OPNI as an independent prognostic marker, and the OPNI was associated with the primary site, tumor size, m</w:t>
      </w:r>
      <w:r>
        <w:rPr>
          <w:rFonts w:ascii="Book Antiqua" w:eastAsia="Book Antiqua" w:hAnsi="Book Antiqua" w:cs="Book Antiqua"/>
          <w:color w:val="000000" w:themeColor="text1"/>
        </w:rPr>
        <w:t>itotic index, tumor rupture, necrosis, and modified NIH risk classification. Low OPNI</w:t>
      </w:r>
      <w:r>
        <w:rPr>
          <w:rFonts w:ascii="Book Antiqua" w:eastAsia="Book Antiqua" w:hAnsi="Book Antiqua" w:cs="Book Antiqua"/>
          <w:color w:val="000000" w:themeColor="text1"/>
        </w:rPr>
        <w:t xml:space="preserve"> (&lt; 51.30; </w:t>
      </w:r>
      <w:r>
        <w:rPr>
          <w:rFonts w:ascii="Book Antiqua" w:eastAsia="Book Antiqua" w:hAnsi="Book Antiqua" w:cs="Book Antiqua"/>
          <w:color w:val="000000" w:themeColor="text1"/>
        </w:rPr>
        <w:t xml:space="preserve">hazard ratio = </w:t>
      </w:r>
      <w:r>
        <w:rPr>
          <w:rFonts w:ascii="Book Antiqua" w:eastAsia="Book Antiqua" w:hAnsi="Book Antiqua" w:cs="Book Antiqua"/>
          <w:color w:val="000000" w:themeColor="text1"/>
        </w:rPr>
        <w:t>5.852; 95%</w:t>
      </w:r>
      <w:r>
        <w:rPr>
          <w:rFonts w:ascii="Book Antiqua" w:eastAsia="Book Antiqua" w:hAnsi="Book Antiqua" w:cs="Book Antiqua"/>
          <w:color w:val="000000" w:themeColor="text1"/>
        </w:rPr>
        <w:t xml:space="preserve"> confidence interval</w:t>
      </w:r>
      <w:r>
        <w:rPr>
          <w:rFonts w:ascii="Book Antiqua" w:eastAsia="Book Antiqua" w:hAnsi="Book Antiqua" w:cs="Book Antiqua"/>
          <w:color w:val="000000" w:themeColor="text1"/>
        </w:rPr>
        <w:t>: 1.072–</w:t>
      </w:r>
      <w:r>
        <w:rPr>
          <w:rFonts w:ascii="Book Antiqua" w:eastAsia="Book Antiqua" w:hAnsi="Book Antiqua" w:cs="Book Antiqua"/>
          <w:color w:val="000000" w:themeColor="text1"/>
        </w:rPr>
        <w:t xml:space="preserve">31.964;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0.0414) was associated with worse RFS. The 2- and 5-year RFS rates of the patients with a low OPNI were 92.83% and 76.22%, respectively, whereas 100% and 98.41% were achieved by the patients with a high OPNI.</w:t>
      </w:r>
    </w:p>
    <w:p w14:paraId="2C8636B3" w14:textId="77777777" w:rsidR="003F2138" w:rsidRDefault="003F2138">
      <w:pPr>
        <w:adjustRightInd w:val="0"/>
        <w:snapToGrid w:val="0"/>
        <w:spacing w:line="360" w:lineRule="auto"/>
        <w:jc w:val="both"/>
        <w:rPr>
          <w:rFonts w:ascii="Book Antiqua" w:hAnsi="Book Antiqua"/>
          <w:color w:val="000000" w:themeColor="text1"/>
        </w:rPr>
      </w:pPr>
    </w:p>
    <w:p w14:paraId="33ED44C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07522C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preoperative OPNI is a novel</w:t>
      </w:r>
      <w:r>
        <w:rPr>
          <w:rFonts w:ascii="Book Antiqua" w:eastAsia="Book Antiqua" w:hAnsi="Book Antiqua" w:cs="Book Antiqua"/>
          <w:color w:val="000000" w:themeColor="text1"/>
        </w:rPr>
        <w:t xml:space="preserve"> and useful</w:t>
      </w:r>
      <w:r>
        <w:rPr>
          <w:rFonts w:ascii="Book Antiqua" w:eastAsia="Book Antiqua" w:hAnsi="Book Antiqua" w:cs="Book Antiqua"/>
          <w:color w:val="000000" w:themeColor="text1"/>
        </w:rPr>
        <w:t xml:space="preserve"> prognostic marker for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w:t>
      </w:r>
    </w:p>
    <w:p w14:paraId="18C4BA0A" w14:textId="77777777" w:rsidR="003F2138" w:rsidRDefault="003F2138">
      <w:pPr>
        <w:adjustRightInd w:val="0"/>
        <w:snapToGrid w:val="0"/>
        <w:spacing w:line="360" w:lineRule="auto"/>
        <w:jc w:val="both"/>
        <w:rPr>
          <w:rFonts w:ascii="Book Antiqua" w:hAnsi="Book Antiqua"/>
          <w:color w:val="000000" w:themeColor="text1"/>
        </w:rPr>
      </w:pPr>
    </w:p>
    <w:p w14:paraId="4E21C183"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Key Words: </w:t>
      </w:r>
      <w:r>
        <w:rPr>
          <w:rFonts w:ascii="Book Antiqua" w:eastAsia="Book Antiqua" w:hAnsi="Book Antiqua" w:cs="Book Antiqua"/>
          <w:color w:val="000000" w:themeColor="text1"/>
        </w:rPr>
        <w:t>Gastrointestinal stromal tumor; Neutrophil-to-lymphocyte ratio; Platelet-to-lymphocyte ratio; Onodera’s Prognostic Nutritional Index; Prognostic marker</w:t>
      </w:r>
    </w:p>
    <w:p w14:paraId="00099B0E" w14:textId="77777777" w:rsidR="003F2138" w:rsidRDefault="003F2138">
      <w:pPr>
        <w:adjustRightInd w:val="0"/>
        <w:snapToGrid w:val="0"/>
        <w:spacing w:line="360" w:lineRule="auto"/>
        <w:jc w:val="both"/>
        <w:rPr>
          <w:rFonts w:ascii="Book Antiqua" w:eastAsia="Book Antiqua" w:hAnsi="Book Antiqua" w:cs="Book Antiqua"/>
          <w:color w:val="000000" w:themeColor="text1"/>
        </w:rPr>
      </w:pPr>
    </w:p>
    <w:p w14:paraId="0B8E211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Wang H, Xu YY, You J, Hu WQ, Wang SF Chen P, Yang </w:t>
      </w:r>
      <w:r>
        <w:rPr>
          <w:rFonts w:ascii="Book Antiqua" w:eastAsia="Book Antiqua" w:hAnsi="Book Antiqua" w:cs="Book Antiqua"/>
          <w:color w:val="000000" w:themeColor="text1"/>
        </w:rPr>
        <w:t xml:space="preserve">F, Shi L, Zhao W, Zong L. Onodera’s Prognostic Nutritional Index is a novel and useful prognostic marker for gastrointestinal stromal tumors. </w:t>
      </w:r>
      <w:r>
        <w:rPr>
          <w:rFonts w:ascii="Book Antiqua" w:eastAsia="Book Antiqua" w:hAnsi="Book Antiqua" w:cs="Book Antiqua"/>
          <w:i/>
          <w:iCs/>
          <w:color w:val="000000" w:themeColor="text1"/>
        </w:rPr>
        <w:t>World J Gastrointest Surg</w:t>
      </w:r>
      <w:r>
        <w:rPr>
          <w:rFonts w:ascii="Book Antiqua" w:eastAsia="Book Antiqua" w:hAnsi="Book Antiqua" w:cs="Book Antiqua"/>
          <w:color w:val="000000" w:themeColor="text1"/>
        </w:rPr>
        <w:t xml:space="preserve"> 2021; In press</w:t>
      </w:r>
    </w:p>
    <w:p w14:paraId="6698EB6A" w14:textId="77777777" w:rsidR="003F2138" w:rsidRDefault="003F2138">
      <w:pPr>
        <w:adjustRightInd w:val="0"/>
        <w:snapToGrid w:val="0"/>
        <w:spacing w:line="360" w:lineRule="auto"/>
        <w:jc w:val="both"/>
        <w:rPr>
          <w:rFonts w:ascii="Book Antiqua" w:hAnsi="Book Antiqua"/>
          <w:color w:val="000000" w:themeColor="text1"/>
        </w:rPr>
      </w:pPr>
    </w:p>
    <w:p w14:paraId="138C2A8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Immunoinflammatory markers such as the peripheral blood </w:t>
      </w:r>
      <w:r>
        <w:rPr>
          <w:rFonts w:ascii="Book Antiqua" w:eastAsia="Book Antiqua" w:hAnsi="Book Antiqua" w:cs="Book Antiqua"/>
          <w:color w:val="000000" w:themeColor="text1"/>
        </w:rPr>
        <w:t>neutrophil-to-lymphocyte ratio and the platelet-to-lymphocyte ratio have gained considerable attention as prognostic m</w:t>
      </w:r>
      <w:r>
        <w:rPr>
          <w:rFonts w:ascii="Book Antiqua" w:eastAsia="Book Antiqua" w:hAnsi="Book Antiqua" w:cs="Book Antiqua"/>
          <w:color w:val="000000" w:themeColor="text1"/>
        </w:rPr>
        <w:t>arkers in gastrointestinal stromal tumor</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Here </w:t>
      </w:r>
      <w:r>
        <w:rPr>
          <w:rFonts w:ascii="Book Antiqua" w:eastAsia="Book Antiqua" w:hAnsi="Book Antiqua" w:cs="Book Antiqua"/>
          <w:color w:val="000000" w:themeColor="text1"/>
        </w:rPr>
        <w:t>we conducted the first investigation of the prognostic value of Onodera’s Prognost</w:t>
      </w:r>
      <w:r>
        <w:rPr>
          <w:rFonts w:ascii="Book Antiqua" w:eastAsia="Book Antiqua" w:hAnsi="Book Antiqua" w:cs="Book Antiqua"/>
          <w:color w:val="000000" w:themeColor="text1"/>
        </w:rPr>
        <w:t>ic Nutritional Index (OPNI) for GISTs. A total of 235 GISTs were identified and included for analysis under our inclusion criteria. Our study shown that the 2- and 5-year recurrence-free survival rates of the patients with a low OPNI were 92.83% and 76.22%</w:t>
      </w:r>
      <w:r>
        <w:rPr>
          <w:rFonts w:ascii="Book Antiqua" w:eastAsia="Book Antiqua" w:hAnsi="Book Antiqua" w:cs="Book Antiqua"/>
          <w:color w:val="000000" w:themeColor="text1"/>
        </w:rPr>
        <w:t>, respectively, whereas 100% and 98.41% were achieved by the patients with a high OPNI, which demonstrated that the preoperative OPNI is a novel and useful prognostic marker for</w:t>
      </w:r>
      <w:r>
        <w:rPr>
          <w:rFonts w:ascii="Book Antiqua" w:eastAsia="Book Antiqua" w:hAnsi="Book Antiqua" w:cs="Book Antiqua"/>
          <w:color w:val="000000" w:themeColor="text1"/>
        </w:rPr>
        <w:t xml:space="preserve">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w:t>
      </w:r>
    </w:p>
    <w:p w14:paraId="034754D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Pr>
          <w:rFonts w:ascii="Book Antiqua" w:eastAsia="Book Antiqua" w:hAnsi="Book Antiqua" w:cs="Book Antiqua"/>
          <w:b/>
          <w:caps/>
          <w:color w:val="000000" w:themeColor="text1"/>
          <w:u w:val="single"/>
        </w:rPr>
        <w:lastRenderedPageBreak/>
        <w:t>INTRODUCTION</w:t>
      </w:r>
    </w:p>
    <w:p w14:paraId="628E2B2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Gastrointestinal stromal tumors (GISTs) are the most </w:t>
      </w:r>
      <w:r>
        <w:rPr>
          <w:rFonts w:ascii="Book Antiqua" w:eastAsia="Book Antiqua" w:hAnsi="Book Antiqua" w:cs="Book Antiqua"/>
          <w:color w:val="000000" w:themeColor="text1"/>
        </w:rPr>
        <w:t>common mesenchymal neoplasms of the gastrointestinal (GI) tract; their estimated clinical incidence is nearly 1 per 100000 individuals per year</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The driving force of GISTs is thought to be mutati</w:t>
      </w:r>
      <w:r>
        <w:rPr>
          <w:rFonts w:ascii="Book Antiqua" w:eastAsia="Book Antiqua" w:hAnsi="Book Antiqua" w:cs="Book Antiqua"/>
          <w:color w:val="000000" w:themeColor="text1"/>
        </w:rPr>
        <w:t xml:space="preserve">on in </w:t>
      </w:r>
      <w:r>
        <w:rPr>
          <w:rFonts w:ascii="Book Antiqua" w:eastAsia="Book Antiqua" w:hAnsi="Book Antiqua" w:cs="Book Antiqua"/>
          <w:i/>
          <w:color w:val="000000" w:themeColor="text1"/>
        </w:rPr>
        <w:t>c-</w:t>
      </w:r>
      <w:r>
        <w:rPr>
          <w:rFonts w:ascii="Book Antiqua" w:eastAsia="Book Antiqua" w:hAnsi="Book Antiqua" w:cs="Book Antiqua"/>
          <w:i/>
          <w:color w:val="000000" w:themeColor="text1"/>
        </w:rPr>
        <w:t>K</w:t>
      </w:r>
      <w:r>
        <w:rPr>
          <w:rFonts w:ascii="Book Antiqua" w:eastAsia="Book Antiqua" w:hAnsi="Book Antiqua" w:cs="Book Antiqua"/>
          <w:i/>
          <w:color w:val="000000" w:themeColor="text1"/>
        </w:rPr>
        <w:t>it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and minimally in the </w:t>
      </w:r>
      <w:r>
        <w:rPr>
          <w:rFonts w:ascii="Book Antiqua" w:eastAsia="Book Antiqua" w:hAnsi="Book Antiqua" w:cs="Book Antiqua"/>
          <w:i/>
          <w:iCs/>
          <w:color w:val="000000" w:themeColor="text1"/>
        </w:rPr>
        <w:t>PDGFRA</w:t>
      </w:r>
      <w:r>
        <w:rPr>
          <w:rFonts w:ascii="Book Antiqua" w:eastAsia="Book Antiqua" w:hAnsi="Book Antiqua" w:cs="Book Antiqua"/>
          <w:color w:val="000000" w:themeColor="text1"/>
        </w:rPr>
        <w:t xml:space="preserve"> oncogene (platelet derived growth factor receptor alpha)</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GISTs can be malignant tumors arising anywhere in the GI tract or abdominal cavity</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Surgery remains the standard treatment for primary GISTs, and it has been the only potentially curative </w:t>
      </w:r>
      <w:r>
        <w:rPr>
          <w:rFonts w:ascii="Book Antiqua" w:eastAsia="Book Antiqua" w:hAnsi="Book Antiqua" w:cs="Book Antiqua"/>
          <w:color w:val="000000" w:themeColor="text1"/>
        </w:rPr>
        <w:t>therapy.</w:t>
      </w:r>
    </w:p>
    <w:p w14:paraId="031B0EE2"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GIST relapse is common even when the tumor undergoes R0 resection. The disease-free survival (DFS) of patients with GISTs has been markedly improved by the use of the molecularly-specific oral anticancer agent imatinib mesylate (IM), but </w:t>
      </w:r>
      <w:r>
        <w:rPr>
          <w:rFonts w:ascii="Book Antiqua" w:eastAsia="Book Antiqua" w:hAnsi="Book Antiqua" w:cs="Book Antiqua"/>
          <w:color w:val="000000" w:themeColor="text1"/>
        </w:rPr>
        <w:t xml:space="preserve">its </w:t>
      </w:r>
      <w:r>
        <w:rPr>
          <w:rFonts w:ascii="Book Antiqua" w:eastAsia="Book Antiqua" w:hAnsi="Book Antiqua" w:cs="Book Antiqua"/>
          <w:color w:val="000000" w:themeColor="text1"/>
        </w:rPr>
        <w:t>adv</w:t>
      </w:r>
      <w:r>
        <w:rPr>
          <w:rFonts w:ascii="Book Antiqua" w:eastAsia="Book Antiqua" w:hAnsi="Book Antiqua" w:cs="Book Antiqua"/>
          <w:color w:val="000000" w:themeColor="text1"/>
        </w:rPr>
        <w:t>er</w:t>
      </w:r>
      <w:r>
        <w:rPr>
          <w:rFonts w:ascii="Book Antiqua" w:eastAsia="Book Antiqua" w:hAnsi="Book Antiqua" w:cs="Book Antiqua"/>
          <w:color w:val="000000" w:themeColor="text1"/>
        </w:rPr>
        <w:t>se reaction and resi</w:t>
      </w:r>
      <w:bookmarkStart w:id="3" w:name="_GoBack"/>
      <w:r>
        <w:rPr>
          <w:rFonts w:ascii="Book Antiqua" w:eastAsia="Book Antiqua" w:hAnsi="Book Antiqua" w:cs="Book Antiqua"/>
          <w:color w:val="000000" w:themeColor="text1"/>
        </w:rPr>
        <w:t>stance</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have so</w:t>
      </w:r>
      <w:bookmarkEnd w:id="3"/>
      <w:r>
        <w:rPr>
          <w:rFonts w:ascii="Book Antiqua" w:eastAsia="Book Antiqua" w:hAnsi="Book Antiqua" w:cs="Book Antiqua"/>
          <w:color w:val="000000" w:themeColor="text1"/>
        </w:rPr>
        <w:t>me hindrance in the tre</w:t>
      </w:r>
      <w:r>
        <w:rPr>
          <w:rFonts w:ascii="Book Antiqua" w:eastAsia="Book Antiqua" w:hAnsi="Book Antiqua" w:cs="Book Antiqua"/>
          <w:color w:val="000000" w:themeColor="text1"/>
        </w:rPr>
        <w:t>atment of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Systemic adjuvant IM therapy needs more assurance to be beneficial for target patients. The four most important prognostic factors for GISTs are the tumor location, tumor size, mitot</w:t>
      </w:r>
      <w:r>
        <w:rPr>
          <w:rFonts w:ascii="Book Antiqua" w:eastAsia="Book Antiqua" w:hAnsi="Book Antiqua" w:cs="Book Antiqua"/>
          <w:color w:val="000000" w:themeColor="text1"/>
        </w:rPr>
        <w:t>ic index, and presence/absence of tumor rupture as suggested by the U.S. famous institutes (NIH, AFIP)</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Despite the use of these guidelines, even the latest risk stratification system should be improved</w:t>
      </w:r>
      <w:r>
        <w:rPr>
          <w:rFonts w:ascii="Book Antiqua" w:eastAsia="Book Antiqua" w:hAnsi="Book Antiqua" w:cs="Book Antiqua"/>
          <w:color w:val="000000" w:themeColor="text1"/>
          <w:vertAlign w:val="superscript"/>
        </w:rPr>
        <w:t>[9–11]</w:t>
      </w:r>
      <w:r>
        <w:rPr>
          <w:rFonts w:ascii="Book Antiqua" w:eastAsia="Book Antiqua" w:hAnsi="Book Antiqua" w:cs="Book Antiqua"/>
          <w:color w:val="000000" w:themeColor="text1"/>
        </w:rPr>
        <w:t>.</w:t>
      </w:r>
    </w:p>
    <w:p w14:paraId="40169AB1" w14:textId="0F0A75B2"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One of the </w:t>
      </w:r>
      <w:r w:rsidR="0003653E">
        <w:rPr>
          <w:rFonts w:ascii="Book Antiqua" w:eastAsia="Book Antiqua" w:hAnsi="Book Antiqua" w:cs="Book Antiqua"/>
          <w:color w:val="000000" w:themeColor="text1"/>
        </w:rPr>
        <w:t>components</w:t>
      </w:r>
      <w:r>
        <w:rPr>
          <w:rFonts w:ascii="Book Antiqua" w:eastAsia="Book Antiqua" w:hAnsi="Book Antiqua" w:cs="Book Antiqua"/>
          <w:color w:val="000000" w:themeColor="text1"/>
        </w:rPr>
        <w:t xml:space="preserve"> of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tumor microenvi</w:t>
      </w:r>
      <w:r>
        <w:rPr>
          <w:rFonts w:ascii="Book Antiqua" w:eastAsia="Book Antiqua" w:hAnsi="Book Antiqua" w:cs="Book Antiqua"/>
          <w:color w:val="000000" w:themeColor="text1"/>
        </w:rPr>
        <w:t>ronment is tumor-associat</w:t>
      </w:r>
      <w:r>
        <w:rPr>
          <w:rFonts w:ascii="Book Antiqua" w:eastAsia="Book Antiqua" w:hAnsi="Book Antiqua" w:cs="Book Antiqua"/>
          <w:color w:val="000000" w:themeColor="text1"/>
        </w:rPr>
        <w:t>ed inflammatory cells. These cells have important roles in both tumor development and progression, which can promote the proliferation, invasion, and metastasis of tumor cells</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Immunoinflammatory factors were shown to be associ</w:t>
      </w:r>
      <w:r>
        <w:rPr>
          <w:rFonts w:ascii="Book Antiqua" w:eastAsia="Book Antiqua" w:hAnsi="Book Antiqua" w:cs="Book Antiqua"/>
          <w:color w:val="000000" w:themeColor="text1"/>
        </w:rPr>
        <w:t>ated with the oncogenesis, progression, and prognosis of GISTs. The peripheral blood neutrophil-to-lymphocyte ratio (NLR) and platelet-to-lymphocyte ratio (PLR; an easily measured, reproducible and cost-effective systemic inflammatory marker) have been inv</w:t>
      </w:r>
      <w:r>
        <w:rPr>
          <w:rFonts w:ascii="Book Antiqua" w:eastAsia="Book Antiqua" w:hAnsi="Book Antiqua" w:cs="Book Antiqua"/>
          <w:color w:val="000000" w:themeColor="text1"/>
        </w:rPr>
        <w:t>estigated as prognostic markers in patients with multiple solid tumors such as non-small-cell lung cancer, colorecta</w:t>
      </w:r>
      <w:r>
        <w:rPr>
          <w:rFonts w:ascii="Book Antiqua" w:eastAsia="Book Antiqua" w:hAnsi="Book Antiqua" w:cs="Book Antiqua"/>
          <w:color w:val="000000" w:themeColor="text1"/>
        </w:rPr>
        <w:t>l cancer</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gastric cancer</w:t>
      </w:r>
      <w:r>
        <w:rPr>
          <w:rFonts w:ascii="Book Antiqua" w:eastAsia="Book Antiqua" w:hAnsi="Book Antiqua" w:cs="Book Antiqua"/>
          <w:color w:val="000000" w:themeColor="text1"/>
          <w:vertAlign w:val="superscript"/>
        </w:rPr>
        <w:t>[13–15]</w:t>
      </w:r>
      <w:r>
        <w:rPr>
          <w:rFonts w:ascii="Book Antiqua" w:eastAsia="Book Antiqua" w:hAnsi="Book Antiqua" w:cs="Book Antiqua"/>
          <w:color w:val="000000" w:themeColor="text1"/>
        </w:rPr>
        <w:t>.</w:t>
      </w:r>
    </w:p>
    <w:p w14:paraId="3E3940AF"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Onodera’s Prognostic Nutritional Index (OPNI) was useful for GI surgery patients to evaluate immune </w:t>
      </w:r>
      <w:r>
        <w:rPr>
          <w:rFonts w:ascii="Book Antiqua" w:eastAsia="Book Antiqua" w:hAnsi="Book Antiqua" w:cs="Book Antiqua"/>
          <w:color w:val="000000" w:themeColor="text1"/>
        </w:rPr>
        <w:t>nutritional status</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The OPNI has been reported to be a useful prognostic marker in esophageal cancer</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gastric cancer</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colorectal cancer</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pancreatic cancer</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but the prognostic value of the OPNI for GISTs </w:t>
      </w:r>
      <w:r>
        <w:rPr>
          <w:rFonts w:ascii="Book Antiqua" w:eastAsia="Book Antiqua" w:hAnsi="Book Antiqua" w:cs="Book Antiqua"/>
          <w:color w:val="000000" w:themeColor="text1"/>
        </w:rPr>
        <w:t xml:space="preserve">has not been </w:t>
      </w:r>
      <w:r>
        <w:rPr>
          <w:rFonts w:ascii="Book Antiqua" w:eastAsia="Book Antiqua" w:hAnsi="Book Antiqua" w:cs="Book Antiqua"/>
          <w:color w:val="000000" w:themeColor="text1"/>
        </w:rPr>
        <w:lastRenderedPageBreak/>
        <w:t>determined. We c</w:t>
      </w:r>
      <w:r>
        <w:rPr>
          <w:rFonts w:ascii="Book Antiqua" w:eastAsia="Book Antiqua" w:hAnsi="Book Antiqua" w:cs="Book Antiqua"/>
          <w:color w:val="000000" w:themeColor="text1"/>
        </w:rPr>
        <w:t>onducted the present study to evaluate the prognostic value of the OPNI for GIST.</w:t>
      </w:r>
    </w:p>
    <w:p w14:paraId="357355E3" w14:textId="77777777" w:rsidR="003F2138" w:rsidRDefault="003F2138">
      <w:pPr>
        <w:adjustRightInd w:val="0"/>
        <w:snapToGrid w:val="0"/>
        <w:spacing w:line="360" w:lineRule="auto"/>
        <w:jc w:val="both"/>
        <w:rPr>
          <w:rFonts w:ascii="Book Antiqua" w:hAnsi="Book Antiqua"/>
          <w:color w:val="000000" w:themeColor="text1"/>
        </w:rPr>
      </w:pPr>
    </w:p>
    <w:p w14:paraId="24B2B6E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771FF37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Patients</w:t>
      </w:r>
    </w:p>
    <w:p w14:paraId="1FCD035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retrospectively retrieved the data of the patients with GISTs treated at Northern Jiangsu People’s Hospital (Yangzhou, China) from 2009 to </w:t>
      </w:r>
      <w:r>
        <w:rPr>
          <w:rFonts w:ascii="Book Antiqua" w:eastAsia="Book Antiqua" w:hAnsi="Book Antiqua" w:cs="Book Antiqua"/>
          <w:color w:val="000000" w:themeColor="text1"/>
        </w:rPr>
        <w:t>2016. The inclusion criteria were as follows: (1) R0 resection in GIST; (2) absence of coeval tumors; (3) no treatment or therapies (chemotherap</w:t>
      </w:r>
      <w:r>
        <w:rPr>
          <w:rFonts w:ascii="Book Antiqua" w:eastAsia="Book Antiqua" w:hAnsi="Book Antiqua" w:cs="Book Antiqua"/>
          <w:color w:val="000000" w:themeColor="text1"/>
        </w:rPr>
        <w:t>y, radiotherapy</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or imatinib); and (4) without signs of infection. A final total of 235 GISTs were included. Thi</w:t>
      </w:r>
      <w:r>
        <w:rPr>
          <w:rFonts w:ascii="Book Antiqua" w:eastAsia="Book Antiqua" w:hAnsi="Book Antiqua" w:cs="Book Antiqua"/>
          <w:color w:val="000000" w:themeColor="text1"/>
        </w:rPr>
        <w:t>s study was approved by the Ethics Committee of Northern Jiangsu People’s Hospital, and written informed consent for their data to be used was obtained from all the patients.</w:t>
      </w:r>
    </w:p>
    <w:p w14:paraId="1706D17E" w14:textId="77777777" w:rsidR="003F2138" w:rsidRDefault="003F2138">
      <w:pPr>
        <w:adjustRightInd w:val="0"/>
        <w:snapToGrid w:val="0"/>
        <w:spacing w:line="360" w:lineRule="auto"/>
        <w:jc w:val="both"/>
        <w:rPr>
          <w:rFonts w:ascii="Book Antiqua" w:hAnsi="Book Antiqua"/>
          <w:color w:val="000000" w:themeColor="text1"/>
        </w:rPr>
      </w:pPr>
    </w:p>
    <w:p w14:paraId="7B9F85E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Preoperative peripheral blood routine tests and OPNI evaluation</w:t>
      </w:r>
    </w:p>
    <w:p w14:paraId="31E17C9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the patients</w:t>
      </w:r>
      <w:r>
        <w:rPr>
          <w:rFonts w:ascii="Book Antiqua" w:eastAsia="Book Antiqua" w:hAnsi="Book Antiqua" w:cs="Book Antiqua"/>
          <w:color w:val="000000" w:themeColor="text1"/>
        </w:rPr>
        <w:t xml:space="preserve">’ preoperative peripheral blood routine tests had been performed within 7 </w:t>
      </w:r>
      <w:r>
        <w:rPr>
          <w:rFonts w:ascii="Book Antiqua" w:eastAsia="Book Antiqua" w:hAnsi="Book Antiqua" w:cs="Book Antiqua"/>
          <w:color w:val="000000" w:themeColor="text1"/>
        </w:rPr>
        <w:t xml:space="preserve">d </w:t>
      </w:r>
      <w:r>
        <w:rPr>
          <w:rFonts w:ascii="Book Antiqua" w:eastAsia="Book Antiqua" w:hAnsi="Book Antiqua" w:cs="Book Antiqua"/>
          <w:color w:val="000000" w:themeColor="text1"/>
        </w:rPr>
        <w:t>before surgery. The NLR value was calculated as t</w:t>
      </w:r>
      <w:r>
        <w:rPr>
          <w:rFonts w:ascii="Book Antiqua" w:eastAsia="Book Antiqua" w:hAnsi="Book Antiqua" w:cs="Book Antiqua"/>
          <w:color w:val="000000" w:themeColor="text1"/>
        </w:rPr>
        <w:t>he neutrophil count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divided by the lymphocyte count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/L). The value of the PLR was calculated by the same method as the </w:t>
      </w:r>
      <w:r>
        <w:rPr>
          <w:rFonts w:ascii="Book Antiqua" w:eastAsia="Book Antiqua" w:hAnsi="Book Antiqua" w:cs="Book Antiqua"/>
          <w:color w:val="000000" w:themeColor="text1"/>
        </w:rPr>
        <w:t>NLR. The OPNI was calculated as the serum albumin (g/L) + 5 × total lymphocyte count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w:t>
      </w:r>
    </w:p>
    <w:p w14:paraId="327555D8" w14:textId="77777777" w:rsidR="003F2138" w:rsidRDefault="003F2138">
      <w:pPr>
        <w:adjustRightInd w:val="0"/>
        <w:snapToGrid w:val="0"/>
        <w:spacing w:line="360" w:lineRule="auto"/>
        <w:jc w:val="both"/>
        <w:rPr>
          <w:rFonts w:ascii="Book Antiqua" w:hAnsi="Book Antiqua"/>
          <w:color w:val="000000" w:themeColor="text1"/>
        </w:rPr>
      </w:pPr>
    </w:p>
    <w:p w14:paraId="5A6B00A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Clinicopathological features</w:t>
      </w:r>
    </w:p>
    <w:p w14:paraId="560507EB" w14:textId="7A0EF4EF" w:rsidR="003F2138" w:rsidRDefault="0003653E">
      <w:pPr>
        <w:adjustRightInd w:val="0"/>
        <w:snapToGrid w:val="0"/>
        <w:spacing w:line="360" w:lineRule="auto"/>
        <w:jc w:val="both"/>
        <w:rPr>
          <w:rFonts w:ascii="Book Antiqua" w:hAnsi="Book Antiqua"/>
          <w:color w:val="000000" w:themeColor="text1"/>
        </w:rPr>
      </w:pPr>
      <w:r w:rsidRPr="0003653E">
        <w:rPr>
          <w:rFonts w:ascii="Book Antiqua" w:eastAsia="Book Antiqua" w:hAnsi="Book Antiqua" w:cs="Book Antiqua"/>
          <w:color w:val="000000" w:themeColor="text1"/>
        </w:rPr>
        <w:t>All specimen</w:t>
      </w:r>
      <w:r>
        <w:rPr>
          <w:rFonts w:ascii="Book Antiqua" w:eastAsia="Book Antiqua" w:hAnsi="Book Antiqua" w:cs="Book Antiqua"/>
          <w:color w:val="000000" w:themeColor="text1"/>
        </w:rPr>
        <w:t>s</w:t>
      </w:r>
      <w:r w:rsidRPr="0003653E">
        <w:rPr>
          <w:rFonts w:ascii="Book Antiqua" w:eastAsia="Book Antiqua" w:hAnsi="Book Antiqua" w:cs="Book Antiqua"/>
          <w:color w:val="000000" w:themeColor="text1"/>
        </w:rPr>
        <w:t xml:space="preserve"> were diagnosed as GI mesenchymal (non-epithelial) tumors by </w:t>
      </w:r>
      <w:r>
        <w:rPr>
          <w:rFonts w:ascii="Book Antiqua" w:eastAsia="Book Antiqua" w:hAnsi="Book Antiqua" w:cs="Book Antiqua"/>
          <w:color w:val="000000" w:themeColor="text1"/>
        </w:rPr>
        <w:t>h</w:t>
      </w:r>
      <w:r w:rsidRPr="0003653E">
        <w:rPr>
          <w:rFonts w:ascii="Book Antiqua" w:eastAsia="Book Antiqua" w:hAnsi="Book Antiqua" w:cs="Book Antiqua"/>
          <w:color w:val="000000" w:themeColor="text1"/>
        </w:rPr>
        <w:t xml:space="preserve">ematoxylin and </w:t>
      </w:r>
      <w:r>
        <w:rPr>
          <w:rFonts w:ascii="Book Antiqua" w:eastAsia="Book Antiqua" w:hAnsi="Book Antiqua" w:cs="Book Antiqua"/>
          <w:color w:val="000000" w:themeColor="text1"/>
        </w:rPr>
        <w:t>e</w:t>
      </w:r>
      <w:r w:rsidRPr="0003653E">
        <w:rPr>
          <w:rFonts w:ascii="Book Antiqua" w:eastAsia="Book Antiqua" w:hAnsi="Book Antiqua" w:cs="Book Antiqua"/>
          <w:color w:val="000000" w:themeColor="text1"/>
        </w:rPr>
        <w:t>osin (H&amp;E) stain</w:t>
      </w:r>
      <w:r>
        <w:rPr>
          <w:rFonts w:ascii="Book Antiqua" w:eastAsia="Book Antiqua" w:hAnsi="Book Antiqua" w:cs="Book Antiqua"/>
          <w:color w:val="000000" w:themeColor="text1"/>
        </w:rPr>
        <w:t>ing</w:t>
      </w:r>
      <w:r w:rsidRPr="0003653E">
        <w:rPr>
          <w:rFonts w:ascii="Book Antiqua" w:eastAsia="Book Antiqua" w:hAnsi="Book Antiqua" w:cs="Book Antiqua"/>
          <w:color w:val="000000" w:themeColor="text1"/>
        </w:rPr>
        <w:t xml:space="preserve">, and further confirmed by positive immunohistochemical staining </w:t>
      </w:r>
      <w:r>
        <w:rPr>
          <w:rFonts w:ascii="Book Antiqua" w:eastAsia="Book Antiqua" w:hAnsi="Book Antiqua" w:cs="Book Antiqua"/>
          <w:color w:val="000000" w:themeColor="text1"/>
        </w:rPr>
        <w:t xml:space="preserve">for </w:t>
      </w:r>
      <w:r w:rsidRPr="0003653E">
        <w:rPr>
          <w:rFonts w:ascii="Book Antiqua" w:eastAsia="Book Antiqua" w:hAnsi="Book Antiqua" w:cs="Book Antiqua"/>
          <w:color w:val="000000" w:themeColor="text1"/>
        </w:rPr>
        <w:t xml:space="preserve">CD117 and </w:t>
      </w:r>
      <w:r>
        <w:rPr>
          <w:rFonts w:ascii="Book Antiqua" w:eastAsia="Book Antiqua" w:hAnsi="Book Antiqua" w:cs="Book Antiqua"/>
          <w:color w:val="000000" w:themeColor="text1"/>
        </w:rPr>
        <w:t>d</w:t>
      </w:r>
      <w:r w:rsidRPr="0003653E">
        <w:rPr>
          <w:rFonts w:ascii="Book Antiqua" w:eastAsia="Book Antiqua" w:hAnsi="Book Antiqua" w:cs="Book Antiqua"/>
          <w:color w:val="000000" w:themeColor="text1"/>
        </w:rPr>
        <w:t xml:space="preserve">iscovered </w:t>
      </w:r>
      <w:r>
        <w:rPr>
          <w:rFonts w:ascii="Book Antiqua" w:eastAsia="Book Antiqua" w:hAnsi="Book Antiqua" w:cs="Book Antiqua"/>
          <w:color w:val="000000" w:themeColor="text1"/>
        </w:rPr>
        <w:t>o</w:t>
      </w:r>
      <w:r w:rsidRPr="0003653E">
        <w:rPr>
          <w:rFonts w:ascii="Book Antiqua" w:eastAsia="Book Antiqua" w:hAnsi="Book Antiqua" w:cs="Book Antiqua"/>
          <w:color w:val="000000" w:themeColor="text1"/>
        </w:rPr>
        <w:t>n GIST 1(DOG-1) with or without CD 34, desmin, SMA,</w:t>
      </w:r>
      <w:r>
        <w:rPr>
          <w:rFonts w:ascii="Book Antiqua" w:eastAsia="Book Antiqua" w:hAnsi="Book Antiqua" w:cs="Book Antiqua"/>
          <w:color w:val="000000" w:themeColor="text1"/>
        </w:rPr>
        <w:t xml:space="preserve"> and</w:t>
      </w:r>
      <w:r w:rsidRPr="0003653E">
        <w:rPr>
          <w:rFonts w:ascii="Book Antiqua" w:eastAsia="Book Antiqua" w:hAnsi="Book Antiqua" w:cs="Book Antiqua"/>
          <w:color w:val="000000" w:themeColor="text1"/>
        </w:rPr>
        <w:t xml:space="preserve"> S-100 positive expression.</w:t>
      </w:r>
      <w:r>
        <w:rPr>
          <w:rFonts w:ascii="Book Antiqua" w:eastAsia="Book Antiqua" w:hAnsi="Book Antiqua" w:cs="Book Antiqua"/>
          <w:color w:val="000000" w:themeColor="text1"/>
        </w:rPr>
        <w:t xml:space="preserve"> </w:t>
      </w:r>
      <w:r w:rsidR="00E00B3F">
        <w:rPr>
          <w:rFonts w:ascii="Book Antiqua" w:eastAsia="Book Antiqua" w:hAnsi="Book Antiqua" w:cs="Book Antiqua"/>
          <w:color w:val="000000" w:themeColor="text1"/>
        </w:rPr>
        <w:t>If the result was negative for both s</w:t>
      </w:r>
      <w:r w:rsidR="00E00B3F">
        <w:rPr>
          <w:rFonts w:ascii="Book Antiqua" w:eastAsia="Book Antiqua" w:hAnsi="Book Antiqua" w:cs="Book Antiqua"/>
          <w:color w:val="000000" w:themeColor="text1"/>
        </w:rPr>
        <w:t>taining</w:t>
      </w:r>
      <w:r w:rsidR="00E00B3F">
        <w:rPr>
          <w:rFonts w:ascii="Book Antiqua" w:eastAsia="Book Antiqua" w:hAnsi="Book Antiqua" w:cs="Book Antiqua"/>
          <w:color w:val="000000" w:themeColor="text1"/>
        </w:rPr>
        <w:t>,</w:t>
      </w:r>
      <w:r w:rsidR="00E00B3F">
        <w:rPr>
          <w:rFonts w:ascii="Book Antiqua" w:eastAsia="Book Antiqua" w:hAnsi="Book Antiqua" w:cs="Book Antiqua"/>
          <w:color w:val="000000" w:themeColor="text1"/>
        </w:rPr>
        <w:t xml:space="preserve"> then </w:t>
      </w:r>
      <w:r w:rsidR="00E00B3F">
        <w:rPr>
          <w:rFonts w:ascii="Book Antiqua" w:eastAsia="Book Antiqua" w:hAnsi="Book Antiqua" w:cs="Book Antiqua"/>
          <w:i/>
          <w:iCs/>
          <w:color w:val="000000" w:themeColor="text1"/>
        </w:rPr>
        <w:t>c-</w:t>
      </w:r>
      <w:r w:rsidR="00E00B3F">
        <w:rPr>
          <w:rFonts w:ascii="Book Antiqua" w:eastAsia="Book Antiqua" w:hAnsi="Book Antiqua" w:cs="Book Antiqua"/>
          <w:i/>
          <w:iCs/>
          <w:color w:val="000000" w:themeColor="text1"/>
        </w:rPr>
        <w:t>Kit</w:t>
      </w:r>
      <w:r w:rsidR="00E00B3F">
        <w:rPr>
          <w:rFonts w:ascii="Book Antiqua" w:eastAsia="Book Antiqua" w:hAnsi="Book Antiqua" w:cs="Book Antiqua"/>
          <w:color w:val="000000" w:themeColor="text1"/>
        </w:rPr>
        <w:t xml:space="preserve"> </w:t>
      </w:r>
      <w:r w:rsidR="00E00B3F">
        <w:rPr>
          <w:rFonts w:ascii="Book Antiqua" w:eastAsia="Book Antiqua" w:hAnsi="Book Antiqua" w:cs="Book Antiqua"/>
          <w:color w:val="000000" w:themeColor="text1"/>
        </w:rPr>
        <w:t>gene exons 9, 11, 13</w:t>
      </w:r>
      <w:r w:rsidR="00E00B3F">
        <w:rPr>
          <w:rFonts w:ascii="Book Antiqua" w:eastAsia="Book Antiqua" w:hAnsi="Book Antiqua" w:cs="Book Antiqua"/>
          <w:color w:val="000000" w:themeColor="text1"/>
        </w:rPr>
        <w:t>,</w:t>
      </w:r>
      <w:r w:rsidR="00E00B3F">
        <w:rPr>
          <w:rFonts w:ascii="Book Antiqua" w:eastAsia="Book Antiqua" w:hAnsi="Book Antiqua" w:cs="Book Antiqua"/>
          <w:color w:val="000000" w:themeColor="text1"/>
        </w:rPr>
        <w:t xml:space="preserve"> and 17 or </w:t>
      </w:r>
      <w:r w:rsidR="00E00B3F">
        <w:rPr>
          <w:rFonts w:ascii="Book Antiqua" w:eastAsia="Book Antiqua" w:hAnsi="Book Antiqua" w:cs="Book Antiqua"/>
          <w:i/>
          <w:iCs/>
          <w:color w:val="000000" w:themeColor="text1"/>
        </w:rPr>
        <w:t>PDGFRA</w:t>
      </w:r>
      <w:r w:rsidR="00E00B3F">
        <w:rPr>
          <w:rFonts w:ascii="Book Antiqua" w:eastAsia="Book Antiqua" w:hAnsi="Book Antiqua" w:cs="Book Antiqua"/>
          <w:color w:val="000000" w:themeColor="text1"/>
        </w:rPr>
        <w:t xml:space="preserve"> gene exons 12 and 18 </w:t>
      </w:r>
      <w:r w:rsidR="00E00B3F">
        <w:rPr>
          <w:rFonts w:ascii="Book Antiqua" w:eastAsia="Book Antiqua" w:hAnsi="Book Antiqua" w:cs="Book Antiqua"/>
          <w:color w:val="000000" w:themeColor="text1"/>
        </w:rPr>
        <w:t>were</w:t>
      </w:r>
      <w:r w:rsidR="00E00B3F">
        <w:rPr>
          <w:rFonts w:ascii="Book Antiqua" w:eastAsia="Book Antiqua" w:hAnsi="Book Antiqua" w:cs="Book Antiqua"/>
          <w:color w:val="000000" w:themeColor="text1"/>
        </w:rPr>
        <w:t xml:space="preserve"> analyzed for DNA mutation. </w:t>
      </w:r>
    </w:p>
    <w:p w14:paraId="705E6AEB"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We obtained the patients’ clinical data from their medical records: </w:t>
      </w:r>
      <w:r>
        <w:rPr>
          <w:rFonts w:ascii="Book Antiqua" w:eastAsia="Book Antiqua" w:hAnsi="Book Antiqua" w:cs="Book Antiqua"/>
          <w:color w:val="000000" w:themeColor="text1"/>
        </w:rPr>
        <w:t>Age</w:t>
      </w:r>
      <w:r>
        <w:rPr>
          <w:rFonts w:ascii="Book Antiqua" w:eastAsia="Book Antiqua" w:hAnsi="Book Antiqua" w:cs="Book Antiqua"/>
          <w:color w:val="000000" w:themeColor="text1"/>
        </w:rPr>
        <w:t xml:space="preserve">, gender, </w:t>
      </w:r>
      <w:r>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basic clues</w:t>
      </w:r>
      <w:r>
        <w:rPr>
          <w:rFonts w:ascii="Book Antiqua" w:eastAsia="Book Antiqua" w:hAnsi="Book Antiqua" w:cs="Book Antiqua"/>
          <w:color w:val="000000" w:themeColor="text1"/>
        </w:rPr>
        <w:t xml:space="preserve"> like primary tumor location, tumor diameter</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rupture of tumor (preoperative/intraoperative). Pathologists measure</w:t>
      </w:r>
      <w:r>
        <w:rPr>
          <w:rFonts w:ascii="Book Antiqua" w:eastAsia="Book Antiqua" w:hAnsi="Book Antiqua" w:cs="Book Antiqua"/>
          <w:color w:val="000000" w:themeColor="text1"/>
        </w:rPr>
        <w:t>d</w:t>
      </w:r>
      <w:r>
        <w:rPr>
          <w:rFonts w:ascii="Book Antiqua" w:eastAsia="Book Antiqua" w:hAnsi="Book Antiqua" w:cs="Book Antiqua"/>
          <w:color w:val="000000" w:themeColor="text1"/>
        </w:rPr>
        <w:t xml:space="preserve"> tumor diameter before specimen fixation. The cell type, mitotic index</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necrosis of tumor </w:t>
      </w:r>
      <w:r>
        <w:rPr>
          <w:rFonts w:ascii="Book Antiqua" w:eastAsia="Book Antiqua" w:hAnsi="Book Antiqua" w:cs="Book Antiqua"/>
          <w:color w:val="000000" w:themeColor="text1"/>
        </w:rPr>
        <w:t xml:space="preserve">were </w:t>
      </w:r>
      <w:r>
        <w:rPr>
          <w:rFonts w:ascii="Book Antiqua" w:eastAsia="Book Antiqua" w:hAnsi="Book Antiqua" w:cs="Book Antiqua"/>
          <w:color w:val="000000" w:themeColor="text1"/>
        </w:rPr>
        <w:t>the</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histopathological markers for anal</w:t>
      </w:r>
      <w:r>
        <w:rPr>
          <w:rFonts w:ascii="Book Antiqua" w:eastAsia="Book Antiqua" w:hAnsi="Book Antiqua" w:cs="Book Antiqua"/>
          <w:color w:val="000000" w:themeColor="text1"/>
        </w:rPr>
        <w:t>ysis. Tumor s</w:t>
      </w:r>
      <w:r>
        <w:rPr>
          <w:rFonts w:ascii="Book Antiqua" w:eastAsia="Book Antiqua" w:hAnsi="Book Antiqua" w:cs="Book Antiqua"/>
          <w:color w:val="000000" w:themeColor="text1"/>
        </w:rPr>
        <w:t>hape and size, mitotic index</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tumor location</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rupture of tumor are four risk stratification</w:t>
      </w:r>
      <w:r>
        <w:rPr>
          <w:rFonts w:ascii="Book Antiqua" w:eastAsia="Book Antiqua" w:hAnsi="Book Antiqua" w:cs="Book Antiqua"/>
          <w:color w:val="000000" w:themeColor="text1"/>
        </w:rPr>
        <w:t xml:space="preserve"> factors</w:t>
      </w:r>
      <w:r>
        <w:rPr>
          <w:rFonts w:ascii="Book Antiqua" w:eastAsia="Book Antiqua" w:hAnsi="Book Antiqua" w:cs="Book Antiqua"/>
          <w:color w:val="000000" w:themeColor="text1"/>
        </w:rPr>
        <w:t>. And the mitotic index was counted per 50 randomly selected high-power fields by two pathologists.</w:t>
      </w:r>
    </w:p>
    <w:p w14:paraId="7138BE24" w14:textId="77777777" w:rsidR="003F2138" w:rsidRDefault="003F2138">
      <w:pPr>
        <w:adjustRightInd w:val="0"/>
        <w:snapToGrid w:val="0"/>
        <w:spacing w:line="360" w:lineRule="auto"/>
        <w:jc w:val="both"/>
        <w:rPr>
          <w:rFonts w:ascii="Book Antiqua" w:hAnsi="Book Antiqua"/>
          <w:color w:val="000000" w:themeColor="text1"/>
        </w:rPr>
      </w:pPr>
    </w:p>
    <w:p w14:paraId="28E3663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w:t>
      </w:r>
    </w:p>
    <w:p w14:paraId="36D403B3"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After their surgeries, the </w:t>
      </w:r>
      <w:r>
        <w:rPr>
          <w:rFonts w:ascii="Book Antiqua" w:eastAsia="Book Antiqua" w:hAnsi="Book Antiqua" w:cs="Book Antiqua"/>
          <w:color w:val="000000" w:themeColor="text1"/>
        </w:rPr>
        <w:t>patients were followed</w:t>
      </w:r>
      <w:r>
        <w:rPr>
          <w:rFonts w:ascii="Book Antiqua" w:eastAsia="Book Antiqua" w:hAnsi="Book Antiqua" w:cs="Book Antiqua"/>
          <w:color w:val="000000" w:themeColor="text1"/>
        </w:rPr>
        <w:t xml:space="preserve"> by </w:t>
      </w:r>
      <w:r>
        <w:rPr>
          <w:rFonts w:ascii="Book Antiqua" w:eastAsia="Book Antiqua" w:hAnsi="Book Antiqua" w:cs="Book Antiqua"/>
          <w:color w:val="000000" w:themeColor="text1"/>
        </w:rPr>
        <w:t>endoscopy and computed tomography examinations every 6 mo to evaluate the presence/absence of tumor recurrence and distant metastasis. We obtained the patients’</w:t>
      </w:r>
      <w:r>
        <w:rPr>
          <w:rFonts w:ascii="Book Antiqua" w:eastAsia="Book Antiqua" w:hAnsi="Book Antiqua" w:cs="Book Antiqua"/>
          <w:color w:val="000000" w:themeColor="text1"/>
        </w:rPr>
        <w:t xml:space="preserve"> follow-</w:t>
      </w:r>
      <w:r>
        <w:rPr>
          <w:rFonts w:ascii="Book Antiqua" w:eastAsia="Book Antiqua" w:hAnsi="Book Antiqua" w:cs="Book Antiqua"/>
          <w:color w:val="000000" w:themeColor="text1"/>
        </w:rPr>
        <w:t xml:space="preserve">up </w:t>
      </w:r>
      <w:r>
        <w:rPr>
          <w:rFonts w:ascii="Book Antiqua" w:eastAsia="Book Antiqua" w:hAnsi="Book Antiqua" w:cs="Book Antiqua"/>
          <w:color w:val="000000" w:themeColor="text1"/>
        </w:rPr>
        <w:t xml:space="preserve">information </w:t>
      </w:r>
      <w:r>
        <w:rPr>
          <w:rFonts w:ascii="Book Antiqua" w:eastAsia="Book Antiqua" w:hAnsi="Book Antiqua" w:cs="Book Antiqua"/>
          <w:color w:val="000000" w:themeColor="text1"/>
        </w:rPr>
        <w:t>from the hospital’s records</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t>tumor registry</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or </w:t>
      </w:r>
      <w:r>
        <w:rPr>
          <w:rFonts w:ascii="Book Antiqua" w:eastAsia="Book Antiqua" w:hAnsi="Book Antiqua" w:cs="Book Antiqua"/>
          <w:color w:val="000000" w:themeColor="text1"/>
        </w:rPr>
        <w:t xml:space="preserve">by </w:t>
      </w:r>
      <w:r>
        <w:rPr>
          <w:rFonts w:ascii="Book Antiqua" w:eastAsia="Book Antiqua" w:hAnsi="Book Antiqua" w:cs="Book Antiqua"/>
          <w:color w:val="000000" w:themeColor="text1"/>
        </w:rPr>
        <w:t xml:space="preserve">contacting directly with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patients or their family member.</w:t>
      </w:r>
    </w:p>
    <w:p w14:paraId="7E9EAFB5" w14:textId="273B5915"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GISTs can live with the tumor for a relatively long time even if they recur/metasta</w:t>
      </w:r>
      <w:r w:rsidR="0003653E">
        <w:rPr>
          <w:rFonts w:ascii="Book Antiqua" w:eastAsia="Book Antiqua" w:hAnsi="Book Antiqua" w:cs="Book Antiqua"/>
          <w:color w:val="000000" w:themeColor="text1"/>
        </w:rPr>
        <w:t>s</w:t>
      </w:r>
      <w:r>
        <w:rPr>
          <w:rFonts w:ascii="Book Antiqua" w:eastAsia="Book Antiqua" w:hAnsi="Book Antiqua" w:cs="Book Antiqua"/>
          <w:color w:val="000000" w:themeColor="text1"/>
        </w:rPr>
        <w:t>iz</w:t>
      </w:r>
      <w:r>
        <w:rPr>
          <w:rFonts w:ascii="Book Antiqua" w:eastAsia="Book Antiqua" w:hAnsi="Book Antiqua" w:cs="Book Antiqua"/>
          <w:color w:val="000000" w:themeColor="text1"/>
        </w:rPr>
        <w:t>e. We speculated that the most suitable event for survival analysis was relapse or meta</w:t>
      </w:r>
      <w:r>
        <w:rPr>
          <w:rFonts w:ascii="Book Antiqua" w:eastAsia="Book Antiqua" w:hAnsi="Book Antiqua" w:cs="Book Antiqua"/>
          <w:color w:val="000000" w:themeColor="text1"/>
        </w:rPr>
        <w:t xml:space="preserve">stasis, </w:t>
      </w:r>
      <w:r>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use of IM treatment for relapse and metastasis of GISTs can affect overall survival. We calculated the duration of a patient’s relapse free survival (RFS) from the surgery date </w:t>
      </w:r>
      <w:r>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 xml:space="preserve">GIST, which </w:t>
      </w:r>
      <w:r>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the stu</w:t>
      </w:r>
      <w:r>
        <w:rPr>
          <w:rFonts w:ascii="Book Antiqua" w:eastAsia="Book Antiqua" w:hAnsi="Book Antiqua" w:cs="Book Antiqua"/>
          <w:color w:val="000000" w:themeColor="text1"/>
        </w:rPr>
        <w:t xml:space="preserve">dy’s primary outcome. And the study’s </w:t>
      </w:r>
      <w:r>
        <w:rPr>
          <w:rFonts w:ascii="Book Antiqua" w:eastAsia="Book Antiqua" w:hAnsi="Book Antiqua" w:cs="Book Antiqua"/>
          <w:color w:val="000000" w:themeColor="text1"/>
        </w:rPr>
        <w:t>secondary endpoints were receiver operator characteristic (ROC) analysis of NLR, P</w:t>
      </w:r>
      <w:r>
        <w:rPr>
          <w:rFonts w:ascii="Book Antiqua" w:eastAsia="Book Antiqua" w:hAnsi="Book Antiqua" w:cs="Book Antiqua"/>
          <w:color w:val="000000" w:themeColor="text1"/>
        </w:rPr>
        <w:t>LR, OPNI</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Ki-67 index, and correlation between tumor size and NLR, PLR, OPNI</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Ki-67 index.</w:t>
      </w:r>
    </w:p>
    <w:p w14:paraId="28C7B01C" w14:textId="77777777" w:rsidR="003F2138" w:rsidRDefault="003F2138">
      <w:pPr>
        <w:adjustRightInd w:val="0"/>
        <w:snapToGrid w:val="0"/>
        <w:spacing w:line="360" w:lineRule="auto"/>
        <w:jc w:val="both"/>
        <w:rPr>
          <w:rFonts w:ascii="Book Antiqua" w:hAnsi="Book Antiqua"/>
          <w:color w:val="000000" w:themeColor="text1"/>
        </w:rPr>
      </w:pPr>
    </w:p>
    <w:p w14:paraId="0FBBF7A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Statistical </w:t>
      </w:r>
      <w:r>
        <w:rPr>
          <w:rFonts w:ascii="Book Antiqua" w:eastAsia="Book Antiqua" w:hAnsi="Book Antiqua" w:cs="Book Antiqua"/>
          <w:b/>
          <w:bCs/>
          <w:i/>
          <w:iCs/>
          <w:color w:val="000000" w:themeColor="text1"/>
        </w:rPr>
        <w:t>analysis</w:t>
      </w:r>
    </w:p>
    <w:p w14:paraId="39191843"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IBM SPSS Statistics </w:t>
      </w:r>
      <w:r>
        <w:rPr>
          <w:rFonts w:ascii="Book Antiqua" w:eastAsia="Book Antiqua" w:hAnsi="Book Antiqua" w:cs="Book Antiqua"/>
          <w:color w:val="000000" w:themeColor="text1"/>
        </w:rPr>
        <w:t>were</w:t>
      </w:r>
      <w:r>
        <w:rPr>
          <w:rFonts w:ascii="Book Antiqua" w:eastAsia="Book Antiqua" w:hAnsi="Book Antiqua" w:cs="Book Antiqua"/>
          <w:color w:val="000000" w:themeColor="text1"/>
        </w:rPr>
        <w:t xml:space="preserve"> used to calculate all statistical </w:t>
      </w:r>
      <w:r>
        <w:rPr>
          <w:rFonts w:ascii="Book Antiqua" w:eastAsia="Book Antiqua" w:hAnsi="Book Antiqua" w:cs="Book Antiqua"/>
          <w:color w:val="000000" w:themeColor="text1"/>
        </w:rPr>
        <w:t>analyses</w:t>
      </w:r>
      <w:r>
        <w:rPr>
          <w:rFonts w:ascii="Book Antiqua" w:eastAsia="Book Antiqua" w:hAnsi="Book Antiqua" w:cs="Book Antiqua"/>
          <w:color w:val="000000" w:themeColor="text1"/>
        </w:rPr>
        <w:t>. Continu</w:t>
      </w:r>
      <w:r>
        <w:rPr>
          <w:rFonts w:ascii="Book Antiqua" w:eastAsia="Book Antiqua" w:hAnsi="Book Antiqua" w:cs="Book Antiqua"/>
          <w:color w:val="000000" w:themeColor="text1"/>
        </w:rPr>
        <w:t>ous variables are presented as the mean</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SD, and count data are summarized using frequencies and percentages. We calculated the correlation of continuous variables by obtaining the Pearson correlation co</w:t>
      </w:r>
      <w:r>
        <w:rPr>
          <w:rFonts w:ascii="Book Antiqua" w:eastAsia="Book Antiqua" w:hAnsi="Book Antiqua" w:cs="Book Antiqua"/>
          <w:color w:val="000000" w:themeColor="text1"/>
        </w:rPr>
        <w:t>efficient, and we calculated the correlation of discrete variables by obtaining Spearman’s correlation coef</w:t>
      </w:r>
      <w:r>
        <w:rPr>
          <w:rFonts w:ascii="Book Antiqua" w:eastAsia="Book Antiqua" w:hAnsi="Book Antiqua" w:cs="Book Antiqua"/>
          <w:color w:val="000000" w:themeColor="text1"/>
        </w:rPr>
        <w:t xml:space="preserve">ficient. ROC </w:t>
      </w:r>
      <w:r>
        <w:rPr>
          <w:rFonts w:ascii="Book Antiqua" w:eastAsia="Book Antiqua" w:hAnsi="Book Antiqua" w:cs="Book Antiqua"/>
          <w:color w:val="000000" w:themeColor="text1"/>
        </w:rPr>
        <w:t xml:space="preserve">analysis </w:t>
      </w:r>
      <w:r>
        <w:rPr>
          <w:rFonts w:ascii="Book Antiqua" w:eastAsia="Book Antiqua" w:hAnsi="Book Antiqua" w:cs="Book Antiqua"/>
          <w:color w:val="000000" w:themeColor="text1"/>
        </w:rPr>
        <w:t xml:space="preserve">was used to determine the cut-off points of the NLR, PLR, OPNI, and Ki-67 index. Univariate </w:t>
      </w:r>
      <w:r>
        <w:rPr>
          <w:rFonts w:ascii="Book Antiqua" w:eastAsia="Book Antiqua" w:hAnsi="Book Antiqua" w:cs="Book Antiqua"/>
          <w:color w:val="000000" w:themeColor="text1"/>
        </w:rPr>
        <w:t xml:space="preserve">analysis was </w:t>
      </w:r>
      <w:r>
        <w:rPr>
          <w:rFonts w:ascii="Book Antiqua" w:eastAsia="Book Antiqua" w:hAnsi="Book Antiqua" w:cs="Book Antiqua"/>
          <w:color w:val="000000" w:themeColor="text1"/>
        </w:rPr>
        <w:t xml:space="preserve">performed using the Kaplan-Meier method, and the </w:t>
      </w:r>
      <w:r>
        <w:rPr>
          <w:rFonts w:ascii="Book Antiqua" w:eastAsia="Book Antiqua" w:hAnsi="Book Antiqua" w:cs="Book Antiqua"/>
          <w:color w:val="000000" w:themeColor="text1"/>
        </w:rPr>
        <w:t xml:space="preserve">results were compared by the log-rank test. We conducted a multivariate analysis with the Cox proportional hazards model. A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-value &lt; 0.05 was accepted as significant.</w:t>
      </w:r>
    </w:p>
    <w:p w14:paraId="12C4A493" w14:textId="77777777" w:rsidR="003F2138" w:rsidRDefault="003F2138">
      <w:pPr>
        <w:adjustRightInd w:val="0"/>
        <w:snapToGrid w:val="0"/>
        <w:spacing w:line="360" w:lineRule="auto"/>
        <w:jc w:val="both"/>
        <w:rPr>
          <w:rFonts w:ascii="Book Antiqua" w:hAnsi="Book Antiqua"/>
          <w:color w:val="000000" w:themeColor="text1"/>
        </w:rPr>
      </w:pPr>
    </w:p>
    <w:p w14:paraId="1CEA53E7"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64A176B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lastRenderedPageBreak/>
        <w:t>Clinicopathologi</w:t>
      </w:r>
      <w:r>
        <w:rPr>
          <w:rFonts w:ascii="Book Antiqua" w:eastAsia="Book Antiqua" w:hAnsi="Book Antiqua" w:cs="Book Antiqua"/>
          <w:b/>
          <w:bCs/>
          <w:i/>
          <w:iCs/>
          <w:color w:val="000000" w:themeColor="text1"/>
        </w:rPr>
        <w:t>cal parameters</w:t>
      </w:r>
    </w:p>
    <w:p w14:paraId="21554F3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median age of the 235 patients (118 men and 117 women) was 62 years (range</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30–86 years), along with 125 patients (53%) aged more than 60 years. The basic symptoms of the GIST patients </w:t>
      </w:r>
      <w:r>
        <w:rPr>
          <w:rFonts w:ascii="Book Antiqua" w:eastAsia="Book Antiqua" w:hAnsi="Book Antiqua" w:cs="Book Antiqua"/>
          <w:color w:val="000000" w:themeColor="text1"/>
        </w:rPr>
        <w:t xml:space="preserve">were </w:t>
      </w:r>
      <w:r>
        <w:rPr>
          <w:rFonts w:ascii="Book Antiqua" w:eastAsia="Book Antiqua" w:hAnsi="Book Antiqua" w:cs="Book Antiqua"/>
          <w:color w:val="000000" w:themeColor="text1"/>
        </w:rPr>
        <w:t>abdominal discomfort/pain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104), GI bleeding and obstruction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63 and 8), rupture of tumor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weight loss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7), and </w:t>
      </w:r>
      <w:r>
        <w:rPr>
          <w:rFonts w:ascii="Book Antiqua" w:eastAsia="Book Antiqua" w:hAnsi="Book Antiqua" w:cs="Book Antiqua"/>
          <w:color w:val="000000" w:themeColor="text1"/>
        </w:rPr>
        <w:t xml:space="preserve">being </w:t>
      </w:r>
      <w:r>
        <w:rPr>
          <w:rFonts w:ascii="Book Antiqua" w:eastAsia="Book Antiqua" w:hAnsi="Book Antiqua" w:cs="Book Antiqua"/>
          <w:color w:val="000000" w:themeColor="text1"/>
        </w:rPr>
        <w:t>asymptomatic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51). The GISTs can be found in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stomach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183), small intestine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41), colorectum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10), and intraperitoneum with un</w:t>
      </w:r>
      <w:r>
        <w:rPr>
          <w:rFonts w:ascii="Book Antiqua" w:eastAsia="Book Antiqua" w:hAnsi="Book Antiqua" w:cs="Book Antiqua"/>
          <w:color w:val="000000" w:themeColor="text1"/>
        </w:rPr>
        <w:t>known etiology. The tumor sizes varied from 0.4 to 20 cm (median</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4.3 cm). Histologica</w:t>
      </w:r>
      <w:r>
        <w:rPr>
          <w:rFonts w:ascii="Book Antiqua" w:eastAsia="Book Antiqua" w:hAnsi="Book Antiqua" w:cs="Book Antiqua"/>
          <w:color w:val="000000" w:themeColor="text1"/>
        </w:rPr>
        <w:t>lly, the spindle-cell type was most common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206), followed by the epithelioid-cell type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16) and the mixed type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13). The mitotic index, necrosis, and more de</w:t>
      </w:r>
      <w:r>
        <w:rPr>
          <w:rFonts w:ascii="Book Antiqua" w:eastAsia="Book Antiqua" w:hAnsi="Book Antiqua" w:cs="Book Antiqua"/>
          <w:color w:val="000000" w:themeColor="text1"/>
        </w:rPr>
        <w:t>tailed clinicopathological variables are summarized in Table 1.</w:t>
      </w:r>
    </w:p>
    <w:p w14:paraId="60CC8B94" w14:textId="77777777" w:rsidR="003F2138" w:rsidRDefault="003F2138">
      <w:pPr>
        <w:adjustRightInd w:val="0"/>
        <w:snapToGrid w:val="0"/>
        <w:spacing w:line="360" w:lineRule="auto"/>
        <w:jc w:val="both"/>
        <w:rPr>
          <w:rFonts w:ascii="Book Antiqua" w:hAnsi="Book Antiqua"/>
          <w:color w:val="000000" w:themeColor="text1"/>
        </w:rPr>
      </w:pPr>
    </w:p>
    <w:p w14:paraId="2213991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ROC analysis</w:t>
      </w:r>
    </w:p>
    <w:p w14:paraId="64E5BA0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We used the continuous va</w:t>
      </w:r>
      <w:r>
        <w:rPr>
          <w:rFonts w:ascii="Book Antiqua" w:eastAsia="Book Antiqua" w:hAnsi="Book Antiqua" w:cs="Book Antiqua"/>
          <w:color w:val="000000" w:themeColor="text1"/>
        </w:rPr>
        <w:t>riables of NLR, PLR, OPNI</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the Ki-67 index as test variables, and the RFS as the state variable. The areas under the ROC curve</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cut-off points, </w:t>
      </w:r>
      <w:r>
        <w:rPr>
          <w:rFonts w:ascii="Book Antiqua" w:eastAsia="Book Antiqua" w:hAnsi="Book Antiqua" w:cs="Book Antiqua"/>
          <w:color w:val="000000" w:themeColor="text1"/>
        </w:rPr>
        <w:t>sensitivities, specificities, and Youden indexes of the NLR, PLR, OPNI</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Ki-67 index are provided in Table 2 and Figure 1.</w:t>
      </w:r>
    </w:p>
    <w:p w14:paraId="5C1ED691" w14:textId="77777777" w:rsidR="003F2138" w:rsidRDefault="003F2138">
      <w:pPr>
        <w:adjustRightInd w:val="0"/>
        <w:snapToGrid w:val="0"/>
        <w:spacing w:line="360" w:lineRule="auto"/>
        <w:jc w:val="both"/>
        <w:rPr>
          <w:rFonts w:ascii="Book Antiqua" w:hAnsi="Book Antiqua"/>
          <w:color w:val="000000" w:themeColor="text1"/>
        </w:rPr>
      </w:pPr>
    </w:p>
    <w:p w14:paraId="261A56B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Correlation analyses</w:t>
      </w:r>
    </w:p>
    <w:p w14:paraId="5B7D5C6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lower OPNI was associated with the primary tumor location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0.0004), tumor diameter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0.0001), mitotic index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rupture of tumor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0.0030), necrosis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and risk stratification by the modified NIH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A significant correlation was observed between the NLR and tumor size [Pearson correlation coefficient (</w:t>
      </w:r>
      <w:r>
        <w:rPr>
          <w:rFonts w:ascii="Book Antiqua" w:eastAsia="Book Antiqua" w:hAnsi="Book Antiqua" w:cs="Book Antiqua"/>
          <w:i/>
          <w:iCs/>
          <w:color w:val="000000" w:themeColor="text1"/>
        </w:rPr>
        <w:t>r</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 0.2082,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0.0013]. Similarly, the PLR, OPNI, and Ki-67 index were each correlated strongly with tumor size (Table 3). There was a negative correlation between the OPN</w:t>
      </w:r>
      <w:r>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GIST tumor size, whereas the NLR, PLR</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Ki-67 index were positively correlat</w:t>
      </w:r>
      <w:r>
        <w:rPr>
          <w:rFonts w:ascii="Book Antiqua" w:eastAsia="Book Antiqua" w:hAnsi="Book Antiqua" w:cs="Book Antiqua"/>
          <w:color w:val="000000" w:themeColor="text1"/>
        </w:rPr>
        <w:t>ed with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GIST tumor siz</w:t>
      </w:r>
      <w:r>
        <w:rPr>
          <w:rFonts w:ascii="Book Antiqua" w:eastAsia="Book Antiqua" w:hAnsi="Book Antiqua" w:cs="Book Antiqua"/>
          <w:color w:val="000000" w:themeColor="text1"/>
        </w:rPr>
        <w:t>e (Figure 2). Spearman’s correlation test revealed that the PLR (</w:t>
      </w:r>
      <w:r>
        <w:rPr>
          <w:rFonts w:ascii="Book Antiqua" w:eastAsia="Book Antiqua" w:hAnsi="Book Antiqua" w:cs="Book Antiqua"/>
          <w:i/>
          <w:iCs/>
          <w:color w:val="000000" w:themeColor="text1"/>
        </w:rPr>
        <w:t>Rs</w:t>
      </w:r>
      <w:r>
        <w:rPr>
          <w:rFonts w:ascii="MS Gothic" w:eastAsia="MS Gothic" w:hAnsi="MS Gothic" w:cs="MS Gothic" w:hint="eastAsia"/>
          <w:i/>
          <w:iCs/>
          <w:color w:val="000000" w:themeColor="text1"/>
        </w:rPr>
        <w:t> </w:t>
      </w:r>
      <w:r>
        <w:rPr>
          <w:rFonts w:ascii="Book Antiqua" w:eastAsia="Book Antiqua" w:hAnsi="Book Antiqua" w:cs="Book Antiqua"/>
          <w:color w:val="000000" w:themeColor="text1"/>
        </w:rPr>
        <w:t xml:space="preserve">=0.2045,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0.0016), OPNI (</w:t>
      </w:r>
      <w:r>
        <w:rPr>
          <w:rFonts w:ascii="Book Antiqua" w:eastAsia="Book Antiqua" w:hAnsi="Book Antiqua" w:cs="Book Antiqua"/>
          <w:i/>
          <w:iCs/>
          <w:color w:val="000000" w:themeColor="text1"/>
        </w:rPr>
        <w:t>Rs</w:t>
      </w:r>
      <w:r>
        <w:rPr>
          <w:rFonts w:ascii="MS Gothic" w:eastAsia="MS Gothic" w:hAnsi="MS Gothic" w:cs="MS Gothic" w:hint="eastAsia"/>
          <w:i/>
          <w:iCs/>
          <w:color w:val="000000" w:themeColor="text1"/>
        </w:rPr>
        <w:t> </w:t>
      </w:r>
      <w:r>
        <w:rPr>
          <w:rFonts w:ascii="Book Antiqua" w:eastAsia="Book Antiqua" w:hAnsi="Book Antiqua" w:cs="Book Antiqua"/>
          <w:color w:val="000000" w:themeColor="text1"/>
        </w:rPr>
        <w:t>=</w:t>
      </w:r>
      <w:r>
        <w:rPr>
          <w:rFonts w:ascii="MS Gothic" w:eastAsia="MS Gothic" w:hAnsi="MS Gothic" w:cs="MS Gothic" w:hint="eastAsia"/>
          <w:i/>
          <w:iCs/>
          <w:color w:val="000000" w:themeColor="text1"/>
        </w:rPr>
        <w:t> </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3.048,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and Ki-67 index (</w:t>
      </w:r>
      <w:r>
        <w:rPr>
          <w:rFonts w:ascii="Book Antiqua" w:eastAsia="Book Antiqua" w:hAnsi="Book Antiqua" w:cs="Book Antiqua"/>
          <w:i/>
          <w:iCs/>
          <w:color w:val="000000" w:themeColor="text1"/>
        </w:rPr>
        <w:t>Rs</w:t>
      </w:r>
      <w:r>
        <w:rPr>
          <w:rFonts w:ascii="MS Gothic" w:eastAsia="MS Gothic" w:hAnsi="MS Gothic" w:cs="MS Gothic" w:hint="eastAsia"/>
          <w:i/>
          <w:iCs/>
          <w:color w:val="000000" w:themeColor="text1"/>
        </w:rPr>
        <w:t> </w:t>
      </w:r>
      <w:r>
        <w:rPr>
          <w:rFonts w:ascii="Book Antiqua" w:eastAsia="Book Antiqua" w:hAnsi="Book Antiqua" w:cs="Book Antiqua"/>
          <w:color w:val="000000" w:themeColor="text1"/>
        </w:rPr>
        <w:t xml:space="preserve">=0.2551,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0.0001) were correlated with the mitotic index (Table 3). Correlation analysis of clinicopathologic parameters with OPNI, NLR, </w:t>
      </w:r>
      <w:r>
        <w:rPr>
          <w:rFonts w:ascii="Book Antiqua" w:eastAsia="Book Antiqua" w:hAnsi="Book Antiqua" w:cs="Book Antiqua"/>
          <w:color w:val="000000" w:themeColor="text1"/>
        </w:rPr>
        <w:lastRenderedPageBreak/>
        <w:t>PL</w:t>
      </w:r>
      <w:r>
        <w:rPr>
          <w:rFonts w:ascii="Book Antiqua" w:eastAsia="Book Antiqua" w:hAnsi="Book Antiqua" w:cs="Book Antiqua"/>
          <w:color w:val="000000" w:themeColor="text1"/>
        </w:rPr>
        <w:t>R</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t>Ki-67 inde</w:t>
      </w:r>
      <w:r>
        <w:rPr>
          <w:rFonts w:ascii="Book Antiqua" w:eastAsia="Book Antiqua" w:hAnsi="Book Antiqua" w:cs="Book Antiqua"/>
          <w:color w:val="000000" w:themeColor="text1"/>
        </w:rPr>
        <w:t xml:space="preserve">x </w:t>
      </w:r>
      <w:r>
        <w:rPr>
          <w:rFonts w:ascii="Book Antiqua" w:eastAsia="Book Antiqua" w:hAnsi="Book Antiqua" w:cs="Book Antiqua"/>
          <w:color w:val="000000" w:themeColor="text1"/>
        </w:rPr>
        <w:t xml:space="preserve">are </w:t>
      </w:r>
      <w:r>
        <w:rPr>
          <w:rFonts w:ascii="Book Antiqua" w:eastAsia="Book Antiqua" w:hAnsi="Book Antiqua" w:cs="Book Antiqua"/>
          <w:color w:val="000000" w:themeColor="text1"/>
        </w:rPr>
        <w:t>shown in the Supplementary Tables 1-4, which show</w:t>
      </w:r>
      <w:r>
        <w:rPr>
          <w:rFonts w:ascii="Book Antiqua" w:eastAsia="Book Antiqua" w:hAnsi="Book Antiqua" w:cs="Book Antiqua"/>
          <w:color w:val="000000" w:themeColor="text1"/>
        </w:rPr>
        <w:t>ed</w:t>
      </w:r>
      <w:r>
        <w:rPr>
          <w:rFonts w:ascii="Book Antiqua" w:eastAsia="Book Antiqua" w:hAnsi="Book Antiqua" w:cs="Book Antiqua"/>
          <w:color w:val="000000" w:themeColor="text1"/>
        </w:rPr>
        <w:t xml:space="preserve"> no significance difference.</w:t>
      </w:r>
    </w:p>
    <w:p w14:paraId="734DF464" w14:textId="77777777" w:rsidR="003F2138" w:rsidRDefault="003F2138">
      <w:pPr>
        <w:adjustRightInd w:val="0"/>
        <w:snapToGrid w:val="0"/>
        <w:spacing w:line="360" w:lineRule="auto"/>
        <w:jc w:val="both"/>
        <w:rPr>
          <w:rFonts w:ascii="Book Antiqua" w:hAnsi="Book Antiqua"/>
          <w:color w:val="000000" w:themeColor="text1"/>
        </w:rPr>
      </w:pPr>
    </w:p>
    <w:p w14:paraId="10A5838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w:t>
      </w:r>
    </w:p>
    <w:p w14:paraId="38B3E52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were followed for a median of 35 mo (range 7–90 mo), and 9.79% (23/235) of the patients were lost </w:t>
      </w:r>
      <w:r>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follow-up. T</w:t>
      </w:r>
      <w:r>
        <w:rPr>
          <w:rFonts w:ascii="Book Antiqua" w:eastAsia="Book Antiqua" w:hAnsi="Book Antiqua" w:cs="Book Antiqua"/>
          <w:color w:val="000000" w:themeColor="text1"/>
        </w:rPr>
        <w:t>he n</w:t>
      </w:r>
      <w:r>
        <w:rPr>
          <w:rFonts w:ascii="Book Antiqua" w:eastAsia="Book Antiqua" w:hAnsi="Book Antiqua" w:cs="Book Antiqua"/>
          <w:color w:val="000000" w:themeColor="text1"/>
        </w:rPr>
        <w:t>um</w:t>
      </w:r>
      <w:r>
        <w:rPr>
          <w:rFonts w:ascii="Book Antiqua" w:eastAsia="Book Antiqua" w:hAnsi="Book Antiqua" w:cs="Book Antiqua"/>
          <w:color w:val="000000" w:themeColor="text1"/>
        </w:rPr>
        <w:t>be</w:t>
      </w:r>
      <w:r>
        <w:rPr>
          <w:rFonts w:ascii="Book Antiqua" w:eastAsia="Book Antiqua" w:hAnsi="Book Antiqua" w:cs="Book Antiqua"/>
          <w:color w:val="000000" w:themeColor="text1"/>
        </w:rPr>
        <w:t xml:space="preserve">r </w:t>
      </w:r>
      <w:r>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 xml:space="preserve">relapse patients </w:t>
      </w:r>
      <w:r>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 xml:space="preserve">including 5.96% (14/235) </w:t>
      </w:r>
      <w:r>
        <w:rPr>
          <w:rFonts w:ascii="Book Antiqua" w:eastAsia="Book Antiqua" w:hAnsi="Book Antiqua" w:cs="Book Antiqua"/>
          <w:color w:val="000000" w:themeColor="text1"/>
        </w:rPr>
        <w:t xml:space="preserve">with </w:t>
      </w:r>
      <w:r>
        <w:rPr>
          <w:rFonts w:ascii="Book Antiqua" w:eastAsia="Book Antiqua" w:hAnsi="Book Antiqua" w:cs="Book Antiqua"/>
          <w:color w:val="000000" w:themeColor="text1"/>
        </w:rPr>
        <w:t xml:space="preserve">local recurrence in the abdominopelvic cavity and 3.83% (9/235) </w:t>
      </w:r>
      <w:r>
        <w:rPr>
          <w:rFonts w:ascii="Book Antiqua" w:eastAsia="Book Antiqua" w:hAnsi="Book Antiqua" w:cs="Book Antiqua"/>
          <w:color w:val="000000" w:themeColor="text1"/>
        </w:rPr>
        <w:t xml:space="preserve">with </w:t>
      </w:r>
      <w:r>
        <w:rPr>
          <w:rFonts w:ascii="Book Antiqua" w:eastAsia="Book Antiqua" w:hAnsi="Book Antiqua" w:cs="Book Antiqua"/>
          <w:color w:val="000000" w:themeColor="text1"/>
        </w:rPr>
        <w:t>liver metastasis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9)</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lymph metastasis was not seen. The Kaplan-Meier 1-, 2-, and 5-year RFS rates were</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99.15% (95%CI: 96.64–99.7), 96.61% (95%CI: 92.97–98.38), </w:t>
      </w:r>
      <w:r>
        <w:rPr>
          <w:rFonts w:ascii="Book Antiqua" w:eastAsia="Book Antiqua" w:hAnsi="Book Antiqua" w:cs="Book Antiqua"/>
          <w:color w:val="000000" w:themeColor="text1"/>
        </w:rPr>
        <w:t>and 86.87% (95%CI: 78.73–92.04), respectively.</w:t>
      </w:r>
    </w:p>
    <w:p w14:paraId="6869EBF7" w14:textId="77777777" w:rsidR="003F2138" w:rsidRDefault="003F2138">
      <w:pPr>
        <w:adjustRightInd w:val="0"/>
        <w:snapToGrid w:val="0"/>
        <w:spacing w:line="360" w:lineRule="auto"/>
        <w:jc w:val="both"/>
        <w:rPr>
          <w:rFonts w:ascii="Book Antiqua" w:hAnsi="Book Antiqua"/>
          <w:color w:val="000000" w:themeColor="text1"/>
        </w:rPr>
      </w:pPr>
    </w:p>
    <w:p w14:paraId="428E5FC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Univariate survival analysis</w:t>
      </w:r>
    </w:p>
    <w:p w14:paraId="6AFD81E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results of our univariate survival analysis demonstrated that the primary site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0.0093), tumor size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0.0012), mitotic index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modified NIH risk stratification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0.0007), NLR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0.022</w:t>
      </w:r>
      <w:r>
        <w:rPr>
          <w:rFonts w:ascii="Book Antiqua" w:eastAsia="Book Antiqua" w:hAnsi="Book Antiqua" w:cs="Book Antiqua"/>
          <w:color w:val="000000" w:themeColor="text1"/>
        </w:rPr>
        <w:t xml:space="preserve">4), PLR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0.0069), and OPNI (log-rank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w:t>
      </w:r>
      <w:r>
        <w:rPr>
          <w:rFonts w:ascii="Book Antiqua" w:eastAsia="Book Antiqua" w:hAnsi="Book Antiqua" w:cs="Book Antiqua"/>
          <w:color w:val="000000" w:themeColor="text1"/>
        </w:rPr>
        <w:t xml:space="preserve">.0002) were specific prognostic markers </w:t>
      </w:r>
      <w:r>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 xml:space="preserve">RFS of our GIST patient series. The correlations of clinicopathological factors with the RFS are shown in Table 4 and Figure 3. The univariate survival analysis shows no significance association between recurrence and </w:t>
      </w:r>
      <w:r>
        <w:rPr>
          <w:rFonts w:ascii="Book Antiqua" w:eastAsia="Book Antiqua" w:hAnsi="Book Antiqua" w:cs="Book Antiqua"/>
          <w:color w:val="000000" w:themeColor="text1"/>
        </w:rPr>
        <w:t xml:space="preserve">albumin </w:t>
      </w:r>
      <w:r>
        <w:rPr>
          <w:rFonts w:ascii="Book Antiqua" w:eastAsia="Book Antiqua" w:hAnsi="Book Antiqua" w:cs="Book Antiqua"/>
          <w:color w:val="000000" w:themeColor="text1"/>
        </w:rPr>
        <w:t xml:space="preserve">and lymphocyte count. And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results of</w:t>
      </w:r>
      <w:r>
        <w:rPr>
          <w:rFonts w:ascii="Book Antiqua" w:eastAsia="Book Antiqua" w:hAnsi="Book Antiqua" w:cs="Book Antiqua"/>
          <w:color w:val="000000" w:themeColor="text1"/>
        </w:rPr>
        <w:t xml:space="preserve"> ROC analysis for albumin and lymphocyte count </w:t>
      </w:r>
      <w:r>
        <w:rPr>
          <w:rFonts w:ascii="Book Antiqua" w:eastAsia="Book Antiqua" w:hAnsi="Book Antiqua" w:cs="Book Antiqua"/>
          <w:color w:val="000000" w:themeColor="text1"/>
        </w:rPr>
        <w:t xml:space="preserve">are shown </w:t>
      </w:r>
      <w:r>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Supplementary Table 5.</w:t>
      </w:r>
    </w:p>
    <w:p w14:paraId="1A6E4E1F" w14:textId="77777777" w:rsidR="003F2138" w:rsidRDefault="003F2138">
      <w:pPr>
        <w:adjustRightInd w:val="0"/>
        <w:snapToGrid w:val="0"/>
        <w:spacing w:line="360" w:lineRule="auto"/>
        <w:jc w:val="both"/>
        <w:rPr>
          <w:rFonts w:ascii="Book Antiqua" w:hAnsi="Book Antiqua"/>
          <w:color w:val="000000" w:themeColor="text1"/>
        </w:rPr>
      </w:pPr>
    </w:p>
    <w:p w14:paraId="14B7B9D4"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Multivariate survival analysis</w:t>
      </w:r>
    </w:p>
    <w:p w14:paraId="6760C73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collinearity diagnostics of all the explanatory variables was performed to exclude the internal correlation. We selected only the factors that showed a significant correlation with RFS in the univariate survival analysis for inclusion in the Cox propor</w:t>
      </w:r>
      <w:r>
        <w:rPr>
          <w:rFonts w:ascii="Book Antiqua" w:eastAsia="Book Antiqua" w:hAnsi="Book Antiqua" w:cs="Book Antiqua"/>
          <w:color w:val="000000" w:themeColor="text1"/>
        </w:rPr>
        <w:t>tional hazards model in entry s</w:t>
      </w:r>
      <w:r>
        <w:rPr>
          <w:rFonts w:ascii="Book Antiqua" w:eastAsia="Book Antiqua" w:hAnsi="Book Antiqua" w:cs="Book Antiqua"/>
          <w:color w:val="000000" w:themeColor="text1"/>
        </w:rPr>
        <w:t xml:space="preserve">trategies. The </w:t>
      </w:r>
      <w:r>
        <w:rPr>
          <w:rFonts w:ascii="Book Antiqua" w:eastAsia="Book Antiqua" w:hAnsi="Book Antiqua" w:cs="Book Antiqua"/>
          <w:color w:val="000000" w:themeColor="text1"/>
        </w:rPr>
        <w:t xml:space="preserve">results </w:t>
      </w:r>
      <w:r>
        <w:rPr>
          <w:rFonts w:ascii="Book Antiqua" w:eastAsia="Book Antiqua" w:hAnsi="Book Antiqua" w:cs="Book Antiqua"/>
          <w:color w:val="000000" w:themeColor="text1"/>
        </w:rPr>
        <w:t>of the study are listed in Table 5. The only significant independent negative prognostic indicators for RFS were</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high mitotic index (HR</w:t>
      </w:r>
      <w:r>
        <w:rPr>
          <w:rFonts w:ascii="Book Antiqua" w:eastAsia="Book Antiqua" w:hAnsi="Book Antiqua" w:cs="Book Antiqua"/>
          <w:color w:val="000000" w:themeColor="text1"/>
          <w:vertAlign w:val="subscript"/>
        </w:rPr>
        <w:t xml:space="preserve">6–10/50 HPFs </w:t>
      </w:r>
      <w:r>
        <w:rPr>
          <w:rFonts w:ascii="Book Antiqua" w:eastAsia="Book Antiqua" w:hAnsi="Book Antiqua" w:cs="Book Antiqua"/>
          <w:i/>
          <w:iCs/>
          <w:color w:val="000000" w:themeColor="text1"/>
          <w:vertAlign w:val="subscript"/>
        </w:rPr>
        <w:t>vs</w:t>
      </w:r>
      <w:r>
        <w:rPr>
          <w:rFonts w:ascii="Book Antiqua" w:eastAsia="Book Antiqua" w:hAnsi="Book Antiqua" w:cs="Book Antiqua"/>
          <w:color w:val="000000" w:themeColor="text1"/>
          <w:vertAlign w:val="subscript"/>
        </w:rPr>
        <w:t xml:space="preserve"> 5/50 HPFs</w:t>
      </w:r>
      <w:r>
        <w:rPr>
          <w:rFonts w:ascii="Book Antiqua" w:eastAsia="Book Antiqua" w:hAnsi="Book Antiqua" w:cs="Book Antiqua"/>
          <w:color w:val="000000" w:themeColor="text1"/>
        </w:rPr>
        <w:t xml:space="preserve"> = 1.896, 95%CI: 0.518–6.949; HR</w:t>
      </w:r>
      <w:r>
        <w:rPr>
          <w:rFonts w:ascii="Book Antiqua" w:eastAsia="Book Antiqua" w:hAnsi="Book Antiqua" w:cs="Book Antiqua"/>
          <w:color w:val="000000" w:themeColor="text1"/>
          <w:vertAlign w:val="subscript"/>
        </w:rPr>
        <w:t>&gt;</w:t>
      </w:r>
      <w:r>
        <w:rPr>
          <w:rFonts w:ascii="Book Antiqua" w:eastAsia="Book Antiqua" w:hAnsi="Book Antiqua" w:cs="Book Antiqua"/>
          <w:color w:val="000000" w:themeColor="text1"/>
          <w:vertAlign w:val="subscript"/>
        </w:rPr>
        <w:t xml:space="preserve"> 10/50 HPFs </w:t>
      </w:r>
      <w:r>
        <w:rPr>
          <w:rFonts w:ascii="Book Antiqua" w:eastAsia="Book Antiqua" w:hAnsi="Book Antiqua" w:cs="Book Antiqua"/>
          <w:i/>
          <w:iCs/>
          <w:color w:val="000000" w:themeColor="text1"/>
          <w:vertAlign w:val="subscript"/>
        </w:rPr>
        <w:t>vs</w:t>
      </w:r>
      <w:r>
        <w:rPr>
          <w:rFonts w:ascii="Book Antiqua" w:eastAsia="Book Antiqua" w:hAnsi="Book Antiqua" w:cs="Book Antiqua"/>
          <w:color w:val="000000" w:themeColor="text1"/>
          <w:vertAlign w:val="subscript"/>
        </w:rPr>
        <w:t xml:space="preserve"> 5/50 HPFs</w:t>
      </w:r>
      <w:r>
        <w:rPr>
          <w:rFonts w:ascii="Book Antiqua" w:eastAsia="Book Antiqua" w:hAnsi="Book Antiqua" w:cs="Book Antiqua"/>
          <w:color w:val="000000" w:themeColor="text1"/>
        </w:rPr>
        <w:t xml:space="preserve"> = 6.791, 95%CI: 1.554–29.672</w:t>
      </w:r>
      <w:r>
        <w:rPr>
          <w:rFonts w:ascii="Book Antiqua" w:eastAsia="宋体" w:hAnsi="Book Antiqua" w:cs="宋体"/>
          <w:color w:val="000000" w:themeColor="text1"/>
          <w:lang w:eastAsia="zh-CN"/>
        </w:rPr>
        <w:t xml:space="preserve">; </w:t>
      </w:r>
      <w:r>
        <w:rPr>
          <w:rFonts w:ascii="Book Antiqua" w:eastAsia="Book Antiqua" w:hAnsi="Book Antiqua" w:cs="Book Antiqua"/>
          <w:color w:val="000000" w:themeColor="text1"/>
        </w:rPr>
        <w:t xml:space="preserve">overall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0.0365) and</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low OPNI (HR = 5.852, 95%CI: 1.072–31.964</w:t>
      </w:r>
      <w:r>
        <w:rPr>
          <w:rFonts w:ascii="Book Antiqua" w:eastAsia="宋体" w:hAnsi="Book Antiqua" w:cs="宋体"/>
          <w:color w:val="000000" w:themeColor="text1"/>
          <w:lang w:eastAsia="zh-CN"/>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0.0414) (Figure 4).</w:t>
      </w:r>
    </w:p>
    <w:p w14:paraId="06C68017" w14:textId="77777777" w:rsidR="003F2138" w:rsidRDefault="003F2138">
      <w:pPr>
        <w:adjustRightInd w:val="0"/>
        <w:snapToGrid w:val="0"/>
        <w:spacing w:line="360" w:lineRule="auto"/>
        <w:jc w:val="both"/>
        <w:rPr>
          <w:rFonts w:ascii="Book Antiqua" w:hAnsi="Book Antiqua"/>
          <w:color w:val="000000" w:themeColor="text1"/>
        </w:rPr>
      </w:pPr>
    </w:p>
    <w:p w14:paraId="082CAB4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34B4849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More precise risk classification criteria that can be used to predict the postoperative prognosis of patients with GIST </w:t>
      </w:r>
      <w:r>
        <w:rPr>
          <w:rFonts w:ascii="Book Antiqua" w:hAnsi="Book Antiqua" w:cs="MS Gothic"/>
          <w:color w:val="000000" w:themeColor="text1"/>
          <w:lang w:eastAsia="zh-CN"/>
        </w:rPr>
        <w:t xml:space="preserve">- </w:t>
      </w:r>
      <w:r>
        <w:rPr>
          <w:rFonts w:ascii="Book Antiqua" w:eastAsia="Book Antiqua" w:hAnsi="Book Antiqua" w:cs="Book Antiqua"/>
          <w:color w:val="000000" w:themeColor="text1"/>
        </w:rPr>
        <w:t xml:space="preserve">especially criteria that can be simply and feasibly measured and calculated by using clinicopathological data </w:t>
      </w:r>
      <w:r>
        <w:rPr>
          <w:rFonts w:ascii="Book Antiqua" w:hAnsi="Book Antiqua" w:cs="MS Gothic"/>
          <w:color w:val="000000" w:themeColor="text1"/>
          <w:lang w:eastAsia="zh-CN"/>
        </w:rPr>
        <w:t xml:space="preserve">- </w:t>
      </w:r>
      <w:r>
        <w:rPr>
          <w:rFonts w:ascii="Book Antiqua" w:eastAsia="Book Antiqua" w:hAnsi="Book Antiqua" w:cs="Book Antiqua"/>
          <w:color w:val="000000" w:themeColor="text1"/>
        </w:rPr>
        <w:t>have been required. He</w:t>
      </w:r>
      <w:r>
        <w:rPr>
          <w:rFonts w:ascii="Book Antiqua" w:eastAsia="Book Antiqua" w:hAnsi="Book Antiqua" w:cs="Book Antiqua"/>
          <w:color w:val="000000" w:themeColor="text1"/>
        </w:rPr>
        <w:t xml:space="preserve">rein, we evaluated the prognostic value of the OPNI for patients with GISTs, and our analyses demonstrated that the OPNI </w:t>
      </w:r>
      <w:r>
        <w:rPr>
          <w:rFonts w:ascii="Book Antiqua" w:eastAsia="Book Antiqua" w:hAnsi="Book Antiqua" w:cs="Book Antiqua"/>
          <w:color w:val="000000" w:themeColor="text1"/>
        </w:rPr>
        <w:t xml:space="preserve">was an independent prognostic marker that </w:t>
      </w:r>
      <w:r>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associated with the GIST primary site, tumor size, mitotic index, tumor rupture, necrosis</w:t>
      </w:r>
      <w:r>
        <w:rPr>
          <w:rFonts w:ascii="Book Antiqua" w:eastAsia="Book Antiqua" w:hAnsi="Book Antiqua" w:cs="Book Antiqua"/>
          <w:color w:val="000000" w:themeColor="text1"/>
        </w:rPr>
        <w:t xml:space="preserve">, and modified NIH risk classification in our patient series. </w:t>
      </w:r>
    </w:p>
    <w:p w14:paraId="0C503422"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AFIP criteria</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and the modified NIH consensus criteria</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which encompass the four factors tumor diameter, mitotic index, location, and rupture of tumor</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are the most widely used criteria to evaluate the</w:t>
      </w:r>
      <w:r>
        <w:rPr>
          <w:rFonts w:ascii="Book Antiqua" w:eastAsia="Book Antiqua" w:hAnsi="Book Antiqua" w:cs="Book Antiqua"/>
          <w:color w:val="000000" w:themeColor="text1"/>
        </w:rPr>
        <w:t xml:space="preserve"> post-surgery or intra-surgery</w:t>
      </w:r>
      <w:r>
        <w:rPr>
          <w:rFonts w:ascii="Book Antiqua" w:eastAsia="Book Antiqua" w:hAnsi="Book Antiqua" w:cs="Book Antiqua"/>
          <w:color w:val="000000" w:themeColor="text1"/>
        </w:rPr>
        <w:t xml:space="preserve"> risk</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w:t>
      </w:r>
      <w:r>
        <w:rPr>
          <w:rFonts w:ascii="Book Antiqua" w:eastAsia="Book Antiqua" w:hAnsi="Book Antiqua" w:cs="Book Antiqua"/>
          <w:color w:val="000000" w:themeColor="text1"/>
        </w:rPr>
        <w:t xml:space="preserve"> GIST cases, and the accuracy of these four factors is generally similar for prognosis. A nomogram that can be used to estimate the RFS at 2 and 5 years after surgery f</w:t>
      </w:r>
      <w:r>
        <w:rPr>
          <w:rFonts w:ascii="Book Antiqua" w:eastAsia="Book Antiqua" w:hAnsi="Book Antiqua" w:cs="Book Antiqua"/>
          <w:color w:val="000000" w:themeColor="text1"/>
        </w:rPr>
        <w:t>or a primary GIST was developed by the Memorial Sloan-Kettering Cancer Center sarcoma team</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And more recently, a novel prognostic contour map was generated using the pooled data of 920 GIST patients who received no adjuvant therapy</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w:t>
      </w:r>
    </w:p>
    <w:p w14:paraId="7BECBF8F"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OPNI, as a </w:t>
      </w:r>
      <w:r>
        <w:rPr>
          <w:rFonts w:ascii="Book Antiqua" w:eastAsia="Book Antiqua" w:hAnsi="Book Antiqua" w:cs="Book Antiqua"/>
          <w:color w:val="000000" w:themeColor="text1"/>
        </w:rPr>
        <w:t xml:space="preserve">nutrition index, was initially established by Onodera and his colleagues in 1984. The OPNI has been used to divide patients with higher and lower OPNI values for prognostic evaluation, and it was reported that the prognoses of the patients with lower OPNI </w:t>
      </w:r>
      <w:r>
        <w:rPr>
          <w:rFonts w:ascii="Book Antiqua" w:eastAsia="Book Antiqua" w:hAnsi="Book Antiqua" w:cs="Book Antiqua"/>
          <w:color w:val="000000" w:themeColor="text1"/>
        </w:rPr>
        <w:t>values were significantly worse than those of the patients with higher OPNI values</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Similar results regarding gastric carcinoma have also been reported</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In the present study, howe</w:t>
      </w:r>
      <w:r>
        <w:rPr>
          <w:rFonts w:ascii="Book Antiqua" w:eastAsia="Book Antiqua" w:hAnsi="Book Antiqua" w:cs="Book Antiqua"/>
          <w:color w:val="000000" w:themeColor="text1"/>
        </w:rPr>
        <w:t xml:space="preserve">ver, the </w:t>
      </w:r>
      <w:r>
        <w:rPr>
          <w:rFonts w:ascii="Book Antiqua" w:eastAsia="Book Antiqua" w:hAnsi="Book Antiqua" w:cs="Book Antiqua"/>
          <w:color w:val="000000" w:themeColor="text1"/>
        </w:rPr>
        <w:t>cut</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off </w:t>
      </w:r>
      <w:r>
        <w:rPr>
          <w:rFonts w:ascii="Book Antiqua" w:eastAsia="Book Antiqua" w:hAnsi="Book Antiqua" w:cs="Book Antiqua"/>
          <w:color w:val="000000" w:themeColor="text1"/>
        </w:rPr>
        <w:t xml:space="preserve">value of the PNI was shown to be 51.30 in the ROC </w:t>
      </w:r>
      <w:r>
        <w:rPr>
          <w:rFonts w:ascii="Book Antiqua" w:eastAsia="Book Antiqua" w:hAnsi="Book Antiqua" w:cs="Book Antiqua"/>
          <w:color w:val="000000" w:themeColor="text1"/>
        </w:rPr>
        <w:t>analysis. Our further analysis demonstrated that a lower OPNI was associated with the primary tumor site, tumor size, mitotic index, tumor rupture, necrosis, and the modified NIH risk classification. In the multivariate survival analysis, the OPNI was an i</w:t>
      </w:r>
      <w:r>
        <w:rPr>
          <w:rFonts w:ascii="Book Antiqua" w:eastAsia="Book Antiqua" w:hAnsi="Book Antiqua" w:cs="Book Antiqua"/>
          <w:color w:val="000000" w:themeColor="text1"/>
        </w:rPr>
        <w:t>ndependent prognostic indicator for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w:t>
      </w:r>
    </w:p>
    <w:p w14:paraId="447DCE87"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 low OPNI may be the result of hypoproteinemia and/or lymphopenia, which can be explained by several potential phenomena: (1)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nutritional supplementa</w:t>
      </w:r>
      <w:r>
        <w:rPr>
          <w:rFonts w:ascii="Book Antiqua" w:eastAsia="Book Antiqua" w:hAnsi="Book Antiqua" w:cs="Book Antiqua"/>
          <w:color w:val="000000" w:themeColor="text1"/>
        </w:rPr>
        <w:t xml:space="preserve">tion of branched-chain amino acids can improve a patient’s </w:t>
      </w:r>
      <w:r>
        <w:rPr>
          <w:rFonts w:ascii="Book Antiqua" w:eastAsia="Book Antiqua" w:hAnsi="Book Antiqua" w:cs="Book Antiqua"/>
          <w:color w:val="000000" w:themeColor="text1"/>
        </w:rPr>
        <w:t xml:space="preserve">hypoproteinemia and reduce </w:t>
      </w:r>
      <w:r>
        <w:rPr>
          <w:rFonts w:ascii="Book Antiqua" w:eastAsia="Book Antiqua" w:hAnsi="Book Antiqua" w:cs="Book Antiqua"/>
          <w:color w:val="000000" w:themeColor="text1"/>
        </w:rPr>
        <w:lastRenderedPageBreak/>
        <w:t>tumor recurrence</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and (2) lymphocytes have an important role in the host immune response, counteracting tumor formation and progression</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2968FB5E"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Because OPNI consists of albumin and lymphocyte count levels, low OPNI means hypoalb</w:t>
      </w:r>
      <w:r>
        <w:rPr>
          <w:rFonts w:ascii="Book Antiqua" w:eastAsia="Book Antiqua" w:hAnsi="Book Antiqua" w:cs="Book Antiqua"/>
          <w:color w:val="000000" w:themeColor="text1"/>
        </w:rPr>
        <w:t>uminemia and lymphocytopenia, which may contribute to tumor development and progression</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Lower albumin levels in patients with lower OPNI reflect malnutrition and impaired protein synthesis ability especially those with large tumor size and high mitoti</w:t>
      </w:r>
      <w:r>
        <w:rPr>
          <w:rFonts w:ascii="Book Antiqua" w:eastAsia="Book Antiqua" w:hAnsi="Book Antiqua" w:cs="Book Antiqua"/>
          <w:color w:val="000000" w:themeColor="text1"/>
        </w:rPr>
        <w:t>c index. Lymphocytes have an important role in the host immune response, counteracting tumor formation and progression</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The present study also examined lymphocyte-related markers, such as NLR and PLR, but these markers were </w:t>
      </w:r>
      <w:r>
        <w:rPr>
          <w:rFonts w:ascii="Book Antiqua" w:eastAsia="Book Antiqua" w:hAnsi="Book Antiqua" w:cs="Book Antiqua"/>
          <w:color w:val="000000" w:themeColor="text1"/>
        </w:rPr>
        <w:t xml:space="preserve">not </w:t>
      </w:r>
      <w:r>
        <w:rPr>
          <w:rFonts w:ascii="Book Antiqua" w:eastAsia="Book Antiqua" w:hAnsi="Book Antiqua" w:cs="Book Antiqua"/>
          <w:color w:val="000000" w:themeColor="text1"/>
        </w:rPr>
        <w:t xml:space="preserve">identified </w:t>
      </w:r>
      <w:r>
        <w:rPr>
          <w:rFonts w:ascii="Book Antiqua" w:eastAsia="Book Antiqua" w:hAnsi="Book Antiqua" w:cs="Book Antiqua"/>
          <w:color w:val="000000" w:themeColor="text1"/>
        </w:rPr>
        <w:t xml:space="preserve">as </w:t>
      </w:r>
      <w:r>
        <w:rPr>
          <w:rFonts w:ascii="Book Antiqua" w:eastAsia="Book Antiqua" w:hAnsi="Book Antiqua" w:cs="Book Antiqua"/>
          <w:color w:val="000000" w:themeColor="text1"/>
        </w:rPr>
        <w:t>independent prognostic factor</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in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multivariate analysis. OPNI predicted the prognosis of GIST patient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more pre</w:t>
      </w:r>
      <w:r>
        <w:rPr>
          <w:rFonts w:ascii="Book Antiqua" w:eastAsia="Book Antiqua" w:hAnsi="Book Antiqua" w:cs="Book Antiqua"/>
          <w:color w:val="000000" w:themeColor="text1"/>
        </w:rPr>
        <w:t>cisely than NLR and PLR because the OPNI contains albumin and lymphocyte levels as nutritional and immune factors.</w:t>
      </w:r>
    </w:p>
    <w:p w14:paraId="3B801553" w14:textId="77777777" w:rsidR="003F2138" w:rsidRDefault="00E00B3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Our study has several limi</w:t>
      </w:r>
      <w:r>
        <w:rPr>
          <w:rFonts w:ascii="Book Antiqua" w:eastAsia="Book Antiqua" w:hAnsi="Book Antiqua" w:cs="Book Antiqua"/>
          <w:color w:val="000000" w:themeColor="text1"/>
        </w:rPr>
        <w:t>tations to address. This was a single-center retrospective study, and a multicenter study is needed to expand the sample size to compensate for this deficiency. The best cut-off value was determined by the highest Youden index by plotting the ROC</w:t>
      </w:r>
      <w:r>
        <w:rPr>
          <w:rFonts w:ascii="Book Antiqua" w:eastAsia="Book Antiqua" w:hAnsi="Book Antiqua" w:cs="Book Antiqua"/>
          <w:color w:val="000000" w:themeColor="text1"/>
        </w:rPr>
        <w:t xml:space="preserve"> curve, bu</w:t>
      </w:r>
      <w:r>
        <w:rPr>
          <w:rFonts w:ascii="Book Antiqua" w:eastAsia="Book Antiqua" w:hAnsi="Book Antiqua" w:cs="Book Antiqua"/>
          <w:color w:val="000000" w:themeColor="text1"/>
        </w:rPr>
        <w:t>t it is still unclear what cut-off value is the best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for the clinical diagnosis of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An exploration of the best cut-off value and studies of its intrinsic molecular mechanism are future research topics.</w:t>
      </w:r>
    </w:p>
    <w:p w14:paraId="3BBED244" w14:textId="77777777" w:rsidR="003F2138" w:rsidRDefault="003F2138">
      <w:pPr>
        <w:adjustRightInd w:val="0"/>
        <w:snapToGrid w:val="0"/>
        <w:spacing w:line="360" w:lineRule="auto"/>
        <w:jc w:val="both"/>
        <w:rPr>
          <w:rFonts w:ascii="Book Antiqua" w:hAnsi="Book Antiqua"/>
          <w:color w:val="000000" w:themeColor="text1"/>
        </w:rPr>
      </w:pPr>
    </w:p>
    <w:p w14:paraId="22954EA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4F6146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conclusion, our analyses demonstr</w:t>
      </w:r>
      <w:r>
        <w:rPr>
          <w:rFonts w:ascii="Book Antiqua" w:eastAsia="Book Antiqua" w:hAnsi="Book Antiqua" w:cs="Book Antiqua"/>
          <w:color w:val="000000" w:themeColor="text1"/>
        </w:rPr>
        <w:t>ated an association between immunoinflammatory and nutritional factors and the recurrence-free survival and clinicopathological features of patients with primary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The OPNI was shown to be an independent indicator for progression-free survival in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and it may be a valuable parameter for predicting a tumor’s biological behavior </w:t>
      </w:r>
      <w:r>
        <w:rPr>
          <w:rFonts w:ascii="Book Antiqua" w:eastAsia="Book Antiqua" w:hAnsi="Book Antiqua" w:cs="Book Antiqua"/>
          <w:color w:val="000000" w:themeColor="text1"/>
        </w:rPr>
        <w:t xml:space="preserve">using </w:t>
      </w:r>
      <w:r>
        <w:rPr>
          <w:rFonts w:ascii="Book Antiqua" w:eastAsia="Book Antiqua" w:hAnsi="Book Antiqua" w:cs="Book Antiqua"/>
          <w:color w:val="000000" w:themeColor="text1"/>
        </w:rPr>
        <w:t>peri</w:t>
      </w:r>
      <w:r>
        <w:rPr>
          <w:rFonts w:ascii="Book Antiqua" w:eastAsia="Book Antiqua" w:hAnsi="Book Antiqua" w:cs="Book Antiqua"/>
          <w:color w:val="000000" w:themeColor="text1"/>
        </w:rPr>
        <w:t>pheral blood samples.</w:t>
      </w:r>
    </w:p>
    <w:p w14:paraId="7F78DFA5" w14:textId="77777777" w:rsidR="003F2138" w:rsidRDefault="003F2138">
      <w:pPr>
        <w:adjustRightInd w:val="0"/>
        <w:snapToGrid w:val="0"/>
        <w:spacing w:line="360" w:lineRule="auto"/>
        <w:jc w:val="both"/>
        <w:rPr>
          <w:rFonts w:ascii="Book Antiqua" w:hAnsi="Book Antiqua"/>
          <w:color w:val="000000" w:themeColor="text1"/>
        </w:rPr>
      </w:pPr>
    </w:p>
    <w:p w14:paraId="5B28BA4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447FCB1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759F87F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Prognostic markers have gained conside</w:t>
      </w:r>
      <w:r>
        <w:rPr>
          <w:rFonts w:ascii="Book Antiqua" w:eastAsia="Book Antiqua" w:hAnsi="Book Antiqua" w:cs="Book Antiqua"/>
          <w:color w:val="000000" w:themeColor="text1"/>
        </w:rPr>
        <w:t>rable attention in gastrointestinal stromal tumor</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w:t>
      </w:r>
    </w:p>
    <w:p w14:paraId="042F5783" w14:textId="77777777" w:rsidR="003F2138" w:rsidRDefault="003F2138">
      <w:pPr>
        <w:adjustRightInd w:val="0"/>
        <w:snapToGrid w:val="0"/>
        <w:spacing w:line="360" w:lineRule="auto"/>
        <w:jc w:val="both"/>
        <w:rPr>
          <w:rFonts w:ascii="Book Antiqua" w:hAnsi="Book Antiqua"/>
          <w:color w:val="000000" w:themeColor="text1"/>
        </w:rPr>
      </w:pPr>
    </w:p>
    <w:p w14:paraId="273CF52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6896050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 improve the prognostic </w:t>
      </w:r>
      <w:r>
        <w:rPr>
          <w:rFonts w:ascii="Book Antiqua" w:eastAsia="Book Antiqua" w:hAnsi="Book Antiqua" w:cs="Book Antiqua"/>
          <w:color w:val="000000" w:themeColor="text1"/>
        </w:rPr>
        <w:t>prediction</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GISTs</w:t>
      </w:r>
      <w:r>
        <w:rPr>
          <w:rFonts w:ascii="Book Antiqua" w:eastAsia="Book Antiqua" w:hAnsi="Book Antiqua" w:cs="Book Antiqua"/>
          <w:color w:val="000000" w:themeColor="text1"/>
        </w:rPr>
        <w:t>, we design</w:t>
      </w:r>
      <w:r>
        <w:rPr>
          <w:rFonts w:ascii="Book Antiqua" w:eastAsia="Book Antiqua" w:hAnsi="Book Antiqua" w:cs="Book Antiqua"/>
          <w:color w:val="000000" w:themeColor="text1"/>
        </w:rPr>
        <w:t>ed</w:t>
      </w:r>
      <w:r>
        <w:rPr>
          <w:rFonts w:ascii="Book Antiqua" w:eastAsia="Book Antiqua" w:hAnsi="Book Antiqua" w:cs="Book Antiqua"/>
          <w:color w:val="000000" w:themeColor="text1"/>
        </w:rPr>
        <w:t xml:space="preserve"> this study.</w:t>
      </w:r>
    </w:p>
    <w:p w14:paraId="5E4CB7C9" w14:textId="77777777" w:rsidR="003F2138" w:rsidRDefault="003F2138">
      <w:pPr>
        <w:adjustRightInd w:val="0"/>
        <w:snapToGrid w:val="0"/>
        <w:spacing w:line="360" w:lineRule="auto"/>
        <w:jc w:val="both"/>
        <w:rPr>
          <w:rFonts w:ascii="Book Antiqua" w:hAnsi="Book Antiqua"/>
          <w:color w:val="000000" w:themeColor="text1"/>
        </w:rPr>
      </w:pPr>
    </w:p>
    <w:p w14:paraId="403381B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30458A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conducted the first investigation of the prognostic value of Onodera’s Prognostic Nutritional Index (OPNI) for </w:t>
      </w:r>
      <w:r>
        <w:rPr>
          <w:rFonts w:ascii="Book Antiqua" w:eastAsia="Book Antiqua" w:hAnsi="Book Antiqua" w:cs="Book Antiqua"/>
          <w:color w:val="000000" w:themeColor="text1"/>
        </w:rPr>
        <w:t>GISTs</w:t>
      </w:r>
      <w:r>
        <w:rPr>
          <w:rFonts w:ascii="Book Antiqua" w:eastAsia="Book Antiqua" w:hAnsi="Book Antiqua" w:cs="Book Antiqua"/>
          <w:color w:val="000000" w:themeColor="text1"/>
        </w:rPr>
        <w:t>.</w:t>
      </w:r>
    </w:p>
    <w:p w14:paraId="28CA7662" w14:textId="77777777" w:rsidR="003F2138" w:rsidRDefault="003F2138">
      <w:pPr>
        <w:adjustRightInd w:val="0"/>
        <w:snapToGrid w:val="0"/>
        <w:spacing w:line="360" w:lineRule="auto"/>
        <w:jc w:val="both"/>
        <w:rPr>
          <w:rFonts w:ascii="Book Antiqua" w:hAnsi="Book Antiqua"/>
          <w:color w:val="000000" w:themeColor="text1"/>
        </w:rPr>
      </w:pPr>
    </w:p>
    <w:p w14:paraId="7A2C546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11AF0C93"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this study, the recurrence-free survival, and the receiver operator characteristic analysis of neutrophil-to-lymphocyte ratio (NLR) and the platelet-to-lymphocyte ratio (PLR), OPNI</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Ki-67 index, and </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correlation between tumor size and NLR, PLR, OPNI</w:t>
      </w:r>
      <w:r>
        <w:rPr>
          <w:rFonts w:ascii="Book Antiqua" w:eastAsia="Book Antiqua" w:hAnsi="Book Antiqua" w:cs="Book Antiqua"/>
          <w:color w:val="000000" w:themeColor="text1"/>
        </w:rPr>
        <w:t xml:space="preserve"> and Ki-67 index were detected.</w:t>
      </w:r>
    </w:p>
    <w:p w14:paraId="0382215F" w14:textId="77777777" w:rsidR="003F2138" w:rsidRDefault="003F2138">
      <w:pPr>
        <w:adjustRightInd w:val="0"/>
        <w:snapToGrid w:val="0"/>
        <w:spacing w:line="360" w:lineRule="auto"/>
        <w:jc w:val="both"/>
        <w:rPr>
          <w:rFonts w:ascii="Book Antiqua" w:hAnsi="Book Antiqua"/>
          <w:color w:val="000000" w:themeColor="text1"/>
        </w:rPr>
      </w:pPr>
    </w:p>
    <w:p w14:paraId="3246F54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673D893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Univariate and multivariate analyses both identified the OPNI as an independent prognostic marker.</w:t>
      </w:r>
    </w:p>
    <w:p w14:paraId="3EC65262" w14:textId="77777777" w:rsidR="003F2138" w:rsidRDefault="003F2138">
      <w:pPr>
        <w:adjustRightInd w:val="0"/>
        <w:snapToGrid w:val="0"/>
        <w:spacing w:line="360" w:lineRule="auto"/>
        <w:jc w:val="both"/>
        <w:rPr>
          <w:rFonts w:ascii="Book Antiqua" w:hAnsi="Book Antiqua"/>
          <w:color w:val="000000" w:themeColor="text1"/>
        </w:rPr>
      </w:pPr>
    </w:p>
    <w:p w14:paraId="59534B0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6B72F634"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preoperative OPNI could be a prognostic marker for GIST</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w:t>
      </w:r>
    </w:p>
    <w:p w14:paraId="345C29D8" w14:textId="77777777" w:rsidR="003F2138" w:rsidRDefault="003F2138">
      <w:pPr>
        <w:adjustRightInd w:val="0"/>
        <w:snapToGrid w:val="0"/>
        <w:spacing w:line="360" w:lineRule="auto"/>
        <w:jc w:val="both"/>
        <w:rPr>
          <w:rFonts w:ascii="Book Antiqua" w:hAnsi="Book Antiqua"/>
          <w:color w:val="000000" w:themeColor="text1"/>
        </w:rPr>
      </w:pPr>
    </w:p>
    <w:p w14:paraId="4EBE0E2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6C328B7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We hope that we could find a valuable parameter for predicting</w:t>
      </w:r>
      <w:r>
        <w:rPr>
          <w:rFonts w:ascii="Book Antiqua" w:eastAsia="Book Antiqua" w:hAnsi="Book Antiqua" w:cs="Book Antiqua"/>
          <w:color w:val="000000" w:themeColor="text1"/>
        </w:rPr>
        <w:t xml:space="preserve"> the</w:t>
      </w:r>
      <w:r>
        <w:rPr>
          <w:rFonts w:ascii="Book Antiqua" w:eastAsia="Book Antiqua" w:hAnsi="Book Antiqua" w:cs="Book Antiqua"/>
          <w:color w:val="000000" w:themeColor="text1"/>
        </w:rPr>
        <w:t xml:space="preserve"> prognosis of GISTs </w:t>
      </w:r>
      <w:r>
        <w:rPr>
          <w:rFonts w:ascii="Book Antiqua" w:eastAsia="Book Antiqua" w:hAnsi="Book Antiqua" w:cs="Book Antiqua"/>
          <w:color w:val="000000" w:themeColor="text1"/>
        </w:rPr>
        <w:t xml:space="preserve">using </w:t>
      </w:r>
      <w:r>
        <w:rPr>
          <w:rFonts w:ascii="Book Antiqua" w:eastAsia="Book Antiqua" w:hAnsi="Book Antiqua" w:cs="Book Antiqua"/>
          <w:color w:val="000000" w:themeColor="text1"/>
        </w:rPr>
        <w:t>peripheral blood samples.</w:t>
      </w:r>
    </w:p>
    <w:p w14:paraId="6A1E54FC" w14:textId="77777777" w:rsidR="003F2138" w:rsidRDefault="003F2138">
      <w:pPr>
        <w:adjustRightInd w:val="0"/>
        <w:snapToGrid w:val="0"/>
        <w:spacing w:line="360" w:lineRule="auto"/>
        <w:jc w:val="both"/>
        <w:rPr>
          <w:rFonts w:ascii="Book Antiqua" w:hAnsi="Book Antiqua"/>
          <w:color w:val="000000" w:themeColor="text1"/>
        </w:rPr>
      </w:pPr>
    </w:p>
    <w:p w14:paraId="28AF3D43"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65CDF487" w14:textId="77777777" w:rsidR="003F2138" w:rsidRDefault="00E00B3F">
      <w:pPr>
        <w:adjustRightInd w:val="0"/>
        <w:snapToGrid w:val="0"/>
        <w:spacing w:line="360" w:lineRule="auto"/>
        <w:jc w:val="both"/>
        <w:rPr>
          <w:rFonts w:ascii="Book Antiqua" w:hAnsi="Book Antiqua"/>
          <w:color w:val="000000" w:themeColor="text1"/>
        </w:rPr>
      </w:pPr>
      <w:bookmarkStart w:id="4" w:name="OLE_LINK40"/>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Steigen SE</w:t>
      </w:r>
      <w:r>
        <w:rPr>
          <w:rFonts w:ascii="Book Antiqua" w:eastAsia="Book Antiqua" w:hAnsi="Book Antiqua" w:cs="Book Antiqua"/>
          <w:color w:val="000000" w:themeColor="text1"/>
        </w:rPr>
        <w:t xml:space="preserve">, Eide TJ. Trends in incidence and survival of mesenchymal neoplasm of the digestive tract within a defined population of northern Norway. </w:t>
      </w:r>
      <w:r>
        <w:rPr>
          <w:rFonts w:ascii="Book Antiqua" w:eastAsia="Book Antiqua" w:hAnsi="Book Antiqua" w:cs="Book Antiqua"/>
          <w:i/>
          <w:iCs/>
          <w:color w:val="000000" w:themeColor="text1"/>
        </w:rPr>
        <w:t>APMIS</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114</w:t>
      </w:r>
      <w:r>
        <w:rPr>
          <w:rFonts w:ascii="Book Antiqua" w:eastAsia="Book Antiqua" w:hAnsi="Book Antiqua" w:cs="Book Antiqua"/>
          <w:color w:val="000000" w:themeColor="text1"/>
        </w:rPr>
        <w:t>: 192-200 [PMID: 16643186 DOI: 10.1111/j.1600-0463.2006.apm_261.x]</w:t>
      </w:r>
    </w:p>
    <w:p w14:paraId="292AB9EF"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 </w:t>
      </w:r>
      <w:r>
        <w:rPr>
          <w:rFonts w:ascii="Book Antiqua" w:eastAsia="Book Antiqua" w:hAnsi="Book Antiqua" w:cs="Book Antiqua"/>
          <w:b/>
          <w:bCs/>
          <w:color w:val="000000" w:themeColor="text1"/>
        </w:rPr>
        <w:t>Nishida T</w:t>
      </w:r>
      <w:r>
        <w:rPr>
          <w:rFonts w:ascii="Book Antiqua" w:eastAsia="Book Antiqua" w:hAnsi="Book Antiqua" w:cs="Book Antiqua"/>
          <w:color w:val="000000" w:themeColor="text1"/>
        </w:rPr>
        <w:t>, Goto O, Raut CP, Yahag</w:t>
      </w:r>
      <w:r>
        <w:rPr>
          <w:rFonts w:ascii="Book Antiqua" w:eastAsia="Book Antiqua" w:hAnsi="Book Antiqua" w:cs="Book Antiqua"/>
          <w:color w:val="000000" w:themeColor="text1"/>
        </w:rPr>
        <w:t xml:space="preserve">i N. Diagnostic and treatment strategy for small gastrointestinal stromal tumors.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122</w:t>
      </w:r>
      <w:r>
        <w:rPr>
          <w:rFonts w:ascii="Book Antiqua" w:eastAsia="Book Antiqua" w:hAnsi="Book Antiqua" w:cs="Book Antiqua"/>
          <w:color w:val="000000" w:themeColor="text1"/>
        </w:rPr>
        <w:t>: 3110-3118 [PMID: 27478963 DOI: 10.1002/cncr.30239]</w:t>
      </w:r>
    </w:p>
    <w:p w14:paraId="672BC5F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Hirota S</w:t>
      </w:r>
      <w:r>
        <w:rPr>
          <w:rFonts w:ascii="Book Antiqua" w:eastAsia="Book Antiqua" w:hAnsi="Book Antiqua" w:cs="Book Antiqua"/>
          <w:color w:val="000000" w:themeColor="text1"/>
        </w:rPr>
        <w:t>, Isozaki K, Moriyama Y, Hashimoto K, Nishida T, Ishiguro S, Kawano K, Hanada M, Kurata A, Take</w:t>
      </w:r>
      <w:r>
        <w:rPr>
          <w:rFonts w:ascii="Book Antiqua" w:eastAsia="Book Antiqua" w:hAnsi="Book Antiqua" w:cs="Book Antiqua"/>
          <w:color w:val="000000" w:themeColor="text1"/>
        </w:rPr>
        <w:t xml:space="preserve">da M, Muhammad Tunio G, Matsuzawa Y, Kanakura Y, Shinomura Y, Kitamura Y. Gain-of-function mutations of c-kit in human gastrointestinal stromal tumors. </w:t>
      </w:r>
      <w:r>
        <w:rPr>
          <w:rFonts w:ascii="Book Antiqua" w:eastAsia="Book Antiqua" w:hAnsi="Book Antiqua" w:cs="Book Antiqua"/>
          <w:i/>
          <w:iCs/>
          <w:color w:val="000000" w:themeColor="text1"/>
        </w:rPr>
        <w:t>Science</w:t>
      </w:r>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279</w:t>
      </w:r>
      <w:r>
        <w:rPr>
          <w:rFonts w:ascii="Book Antiqua" w:eastAsia="Book Antiqua" w:hAnsi="Book Antiqua" w:cs="Book Antiqua"/>
          <w:color w:val="000000" w:themeColor="text1"/>
        </w:rPr>
        <w:t>: 577-580 [PMID: 9438854 DOI: 10.1126/science.279.5350.577]</w:t>
      </w:r>
    </w:p>
    <w:p w14:paraId="15565AC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Heinrich MC</w:t>
      </w:r>
      <w:r>
        <w:rPr>
          <w:rFonts w:ascii="Book Antiqua" w:eastAsia="Book Antiqua" w:hAnsi="Book Antiqua" w:cs="Book Antiqua"/>
          <w:color w:val="000000" w:themeColor="text1"/>
        </w:rPr>
        <w:t xml:space="preserve">, Corless CL, </w:t>
      </w:r>
      <w:r>
        <w:rPr>
          <w:rFonts w:ascii="Book Antiqua" w:eastAsia="Book Antiqua" w:hAnsi="Book Antiqua" w:cs="Book Antiqua"/>
          <w:color w:val="000000" w:themeColor="text1"/>
        </w:rPr>
        <w:t xml:space="preserve">Duensing A, McGreevey L, Chen CJ, Joseph N, Singer S, Griffith DJ, Haley A, Town A, Demetri GD, Fletcher CD, Fletcher JA. PDGFRA activating mutations in gastrointestinal stromal tumors. </w:t>
      </w:r>
      <w:r>
        <w:rPr>
          <w:rFonts w:ascii="Book Antiqua" w:eastAsia="Book Antiqua" w:hAnsi="Book Antiqua" w:cs="Book Antiqua"/>
          <w:i/>
          <w:iCs/>
          <w:color w:val="000000" w:themeColor="text1"/>
        </w:rPr>
        <w:t>Science</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299</w:t>
      </w:r>
      <w:r>
        <w:rPr>
          <w:rFonts w:ascii="Book Antiqua" w:eastAsia="Book Antiqua" w:hAnsi="Book Antiqua" w:cs="Book Antiqua"/>
          <w:color w:val="000000" w:themeColor="text1"/>
        </w:rPr>
        <w:t>: 708-710 [PMID: 12522257 DOI: 10.1126/science.107966</w:t>
      </w:r>
      <w:r>
        <w:rPr>
          <w:rFonts w:ascii="Book Antiqua" w:eastAsia="Book Antiqua" w:hAnsi="Book Antiqua" w:cs="Book Antiqua"/>
          <w:color w:val="000000" w:themeColor="text1"/>
        </w:rPr>
        <w:t>6]</w:t>
      </w:r>
    </w:p>
    <w:p w14:paraId="2CE5CAD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Joensuu H</w:t>
      </w:r>
      <w:r>
        <w:rPr>
          <w:rFonts w:ascii="Book Antiqua" w:eastAsia="Book Antiqua" w:hAnsi="Book Antiqua" w:cs="Book Antiqua"/>
          <w:color w:val="000000" w:themeColor="text1"/>
        </w:rPr>
        <w:t xml:space="preserve">, Hohenberger P, Corless CL. Gastrointestinal stromal tumour.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382</w:t>
      </w:r>
      <w:r>
        <w:rPr>
          <w:rFonts w:ascii="Book Antiqua" w:eastAsia="Book Antiqua" w:hAnsi="Book Antiqua" w:cs="Book Antiqua"/>
          <w:color w:val="000000" w:themeColor="text1"/>
        </w:rPr>
        <w:t>: 973-983 [PMID: 23623056 DOI: 10.1016/S0140-6736(13)60106-3]</w:t>
      </w:r>
    </w:p>
    <w:p w14:paraId="06A3F46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Fletcher CD</w:t>
      </w:r>
      <w:r>
        <w:rPr>
          <w:rFonts w:ascii="Book Antiqua" w:eastAsia="Book Antiqua" w:hAnsi="Book Antiqua" w:cs="Book Antiqua"/>
          <w:color w:val="000000" w:themeColor="text1"/>
        </w:rPr>
        <w:t>, Berman JJ, Corless C, Gorstein F, Lasota J, Longley BJ, Miettinen M, O’Leary TJ, Remott</w:t>
      </w:r>
      <w:r>
        <w:rPr>
          <w:rFonts w:ascii="Book Antiqua" w:eastAsia="Book Antiqua" w:hAnsi="Book Antiqua" w:cs="Book Antiqua"/>
          <w:color w:val="000000" w:themeColor="text1"/>
        </w:rPr>
        <w:t xml:space="preserve">i H, Rubin BP, Shmookler B, Sobin LH, Weiss SW. Diagnosis of gastrointestinal stromal tumors: A consensus approach. </w:t>
      </w:r>
      <w:r>
        <w:rPr>
          <w:rFonts w:ascii="Book Antiqua" w:eastAsia="Book Antiqua" w:hAnsi="Book Antiqua" w:cs="Book Antiqua"/>
          <w:i/>
          <w:iCs/>
          <w:color w:val="000000" w:themeColor="text1"/>
        </w:rPr>
        <w:t>Hum Pathol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459-465 [PMID: 12094370 DOI: 10.1053/hupa.2002.123545]</w:t>
      </w:r>
    </w:p>
    <w:p w14:paraId="5AE2BEE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Miettinen M</w:t>
      </w:r>
      <w:r>
        <w:rPr>
          <w:rFonts w:ascii="Book Antiqua" w:eastAsia="Book Antiqua" w:hAnsi="Book Antiqua" w:cs="Book Antiqua"/>
          <w:color w:val="000000" w:themeColor="text1"/>
        </w:rPr>
        <w:t xml:space="preserve">, Lasota J. Gastrointestinal stromal tumors: pathology and prognosis at different sites. </w:t>
      </w:r>
      <w:r>
        <w:rPr>
          <w:rFonts w:ascii="Book Antiqua" w:eastAsia="Book Antiqua" w:hAnsi="Book Antiqua" w:cs="Book Antiqua"/>
          <w:i/>
          <w:iCs/>
          <w:color w:val="000000" w:themeColor="text1"/>
        </w:rPr>
        <w:t>Semin Diagn Pathol</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70-83 [PMID: 17193820 DOI: 10.1053/j.semdp.2006.09.001]</w:t>
      </w:r>
    </w:p>
    <w:p w14:paraId="47C3387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Joensuu H</w:t>
      </w:r>
      <w:r>
        <w:rPr>
          <w:rFonts w:ascii="Book Antiqua" w:eastAsia="Book Antiqua" w:hAnsi="Book Antiqua" w:cs="Book Antiqua"/>
          <w:color w:val="000000" w:themeColor="text1"/>
        </w:rPr>
        <w:t>. Risk stratification of patients diagnosed with gastrointestinal strom</w:t>
      </w:r>
      <w:r>
        <w:rPr>
          <w:rFonts w:ascii="Book Antiqua" w:eastAsia="Book Antiqua" w:hAnsi="Book Antiqua" w:cs="Book Antiqua"/>
          <w:color w:val="000000" w:themeColor="text1"/>
        </w:rPr>
        <w:t xml:space="preserve">al tumor. </w:t>
      </w:r>
      <w:r>
        <w:rPr>
          <w:rFonts w:ascii="Book Antiqua" w:eastAsia="Book Antiqua" w:hAnsi="Book Antiqua" w:cs="Book Antiqua"/>
          <w:i/>
          <w:iCs/>
          <w:color w:val="000000" w:themeColor="text1"/>
        </w:rPr>
        <w:t>Hum Pathol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1411-1419 [PMID: 18774375 DOI: 10.1016/j.humpath.2008.06.025]</w:t>
      </w:r>
    </w:p>
    <w:p w14:paraId="275A8ADF"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Zhou Y</w:t>
      </w:r>
      <w:r>
        <w:rPr>
          <w:rFonts w:ascii="Book Antiqua" w:eastAsia="Book Antiqua" w:hAnsi="Book Antiqua" w:cs="Book Antiqua"/>
          <w:color w:val="000000" w:themeColor="text1"/>
        </w:rPr>
        <w:t>, Hu W, Chen P, Abe M, Shi L, Tan SY, Li Y, Zong L. Ki67 is a biological marker of malignant risk of gastrointestinal stromal tumors: A systematic review a</w:t>
      </w:r>
      <w:r>
        <w:rPr>
          <w:rFonts w:ascii="Book Antiqua" w:eastAsia="Book Antiqua" w:hAnsi="Book Antiqua" w:cs="Book Antiqua"/>
          <w:color w:val="000000" w:themeColor="text1"/>
        </w:rPr>
        <w:t xml:space="preserve">nd meta-analysis.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96</w:t>
      </w:r>
      <w:r>
        <w:rPr>
          <w:rFonts w:ascii="Book Antiqua" w:eastAsia="Book Antiqua" w:hAnsi="Book Antiqua" w:cs="Book Antiqua"/>
          <w:color w:val="000000" w:themeColor="text1"/>
        </w:rPr>
        <w:t>: e7911 [PMID: 28834915 DOI: 10.1097/MD.0000000000007911]</w:t>
      </w:r>
    </w:p>
    <w:p w14:paraId="578E4BB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Zong L</w:t>
      </w:r>
      <w:r>
        <w:rPr>
          <w:rFonts w:ascii="Book Antiqua" w:eastAsia="Book Antiqua" w:hAnsi="Book Antiqua" w:cs="Book Antiqua"/>
          <w:color w:val="000000" w:themeColor="text1"/>
        </w:rPr>
        <w:t>, Chen P, Jiang J, Wang L, Li QG. Predictive value of p53 expression in the risk of malignant gastrointestinal stromal tumors: Evidence from 1</w:t>
      </w:r>
      <w:r>
        <w:rPr>
          <w:rFonts w:ascii="Book Antiqua" w:eastAsia="Book Antiqua" w:hAnsi="Book Antiqua" w:cs="Book Antiqua"/>
          <w:color w:val="000000" w:themeColor="text1"/>
        </w:rPr>
        <w:t xml:space="preserve">9 studies. </w:t>
      </w:r>
      <w:r>
        <w:rPr>
          <w:rFonts w:ascii="Book Antiqua" w:eastAsia="Book Antiqua" w:hAnsi="Book Antiqua" w:cs="Book Antiqua"/>
          <w:i/>
          <w:iCs/>
          <w:color w:val="000000" w:themeColor="text1"/>
        </w:rPr>
        <w:t>Exp Ther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87-92 [PMID: 22969850 DOI: 10.3892/etm.2011.369]</w:t>
      </w:r>
    </w:p>
    <w:p w14:paraId="08FBF9B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11 </w:t>
      </w:r>
      <w:r>
        <w:rPr>
          <w:rFonts w:ascii="Book Antiqua" w:eastAsia="Book Antiqua" w:hAnsi="Book Antiqua" w:cs="Book Antiqua"/>
          <w:b/>
          <w:bCs/>
          <w:color w:val="000000" w:themeColor="text1"/>
        </w:rPr>
        <w:t>Zong L</w:t>
      </w:r>
      <w:r>
        <w:rPr>
          <w:rFonts w:ascii="Book Antiqua" w:eastAsia="Book Antiqua" w:hAnsi="Book Antiqua" w:cs="Book Antiqua"/>
          <w:color w:val="000000" w:themeColor="text1"/>
        </w:rPr>
        <w:t xml:space="preserve">, Chen P, Jiang J, Wang H, Wang L. Correlation between p16 expression and malignant risk of gastrointestinal stromal tumor: evidence from nine studies. </w:t>
      </w:r>
      <w:r>
        <w:rPr>
          <w:rFonts w:ascii="Book Antiqua" w:eastAsia="Book Antiqua" w:hAnsi="Book Antiqua" w:cs="Book Antiqua"/>
          <w:i/>
          <w:iCs/>
          <w:color w:val="000000" w:themeColor="text1"/>
        </w:rPr>
        <w:t>Hepatogastroe</w:t>
      </w:r>
      <w:r>
        <w:rPr>
          <w:rFonts w:ascii="Book Antiqua" w:eastAsia="Book Antiqua" w:hAnsi="Book Antiqua" w:cs="Book Antiqua"/>
          <w:i/>
          <w:iCs/>
          <w:color w:val="000000" w:themeColor="text1"/>
        </w:rPr>
        <w:t>nterology</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1458-1463 [PMID: 22094995 DOI: 10.5754/hge11473]</w:t>
      </w:r>
    </w:p>
    <w:p w14:paraId="45A6839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Mantovani A</w:t>
      </w:r>
      <w:r>
        <w:rPr>
          <w:rFonts w:ascii="Book Antiqua" w:eastAsia="Book Antiqua" w:hAnsi="Book Antiqua" w:cs="Book Antiqua"/>
          <w:color w:val="000000" w:themeColor="text1"/>
        </w:rPr>
        <w:t xml:space="preserve">, Allavena P, Sica A, Balkwill F. Cancer-related inflammation. </w:t>
      </w:r>
      <w:r>
        <w:rPr>
          <w:rFonts w:ascii="Book Antiqua" w:eastAsia="Book Antiqua" w:hAnsi="Book Antiqua" w:cs="Book Antiqua"/>
          <w:i/>
          <w:iCs/>
          <w:color w:val="000000" w:themeColor="text1"/>
        </w:rPr>
        <w:t>Nature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454</w:t>
      </w:r>
      <w:r>
        <w:rPr>
          <w:rFonts w:ascii="Book Antiqua" w:eastAsia="Book Antiqua" w:hAnsi="Book Antiqua" w:cs="Book Antiqua"/>
          <w:color w:val="000000" w:themeColor="text1"/>
        </w:rPr>
        <w:t>: 436-444 [PMID: 18650914 DOI: 10.1038/nature07205]</w:t>
      </w:r>
    </w:p>
    <w:p w14:paraId="2014247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Yamanaka T</w:t>
      </w:r>
      <w:r>
        <w:rPr>
          <w:rFonts w:ascii="Book Antiqua" w:eastAsia="Book Antiqua" w:hAnsi="Book Antiqua" w:cs="Book Antiqua"/>
          <w:color w:val="000000" w:themeColor="text1"/>
        </w:rPr>
        <w:t xml:space="preserve">, Matsumoto S, Teramukai S, Ishiwata R, Nagai Y, Fukushima M. The baseline ratio of neutrophils to lymphocytes is associated with patient prognosis in advanced gastric cancer. </w:t>
      </w:r>
      <w:r>
        <w:rPr>
          <w:rFonts w:ascii="Book Antiqua" w:eastAsia="Book Antiqua" w:hAnsi="Book Antiqua" w:cs="Book Antiqua"/>
          <w:i/>
          <w:iCs/>
          <w:color w:val="000000" w:themeColor="text1"/>
        </w:rPr>
        <w:t>Oncology</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73</w:t>
      </w:r>
      <w:r>
        <w:rPr>
          <w:rFonts w:ascii="Book Antiqua" w:eastAsia="Book Antiqua" w:hAnsi="Book Antiqua" w:cs="Book Antiqua"/>
          <w:color w:val="000000" w:themeColor="text1"/>
        </w:rPr>
        <w:t>: 215-220 [PMID: 18424885 DOI: 10.1159/000127412]</w:t>
      </w:r>
    </w:p>
    <w:p w14:paraId="3FC7711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Ying HQ</w:t>
      </w:r>
      <w:r>
        <w:rPr>
          <w:rFonts w:ascii="Book Antiqua" w:eastAsia="Book Antiqua" w:hAnsi="Book Antiqua" w:cs="Book Antiqua"/>
          <w:color w:val="000000" w:themeColor="text1"/>
        </w:rPr>
        <w:t>, D</w:t>
      </w:r>
      <w:r>
        <w:rPr>
          <w:rFonts w:ascii="Book Antiqua" w:eastAsia="Book Antiqua" w:hAnsi="Book Antiqua" w:cs="Book Antiqua"/>
          <w:color w:val="000000" w:themeColor="text1"/>
        </w:rPr>
        <w:t xml:space="preserve">eng QW, He BS, Pan YQ, Wang F, Sun HL, Chen J, Liu X, Wang SK. The prognostic value of preoperative NLR, d-NLR, PLR and LMR for predicting clinical outcome in surgical colorectal cancer patients. </w:t>
      </w:r>
      <w:r>
        <w:rPr>
          <w:rFonts w:ascii="Book Antiqua" w:eastAsia="Book Antiqua" w:hAnsi="Book Antiqua" w:cs="Book Antiqua"/>
          <w:i/>
          <w:iCs/>
          <w:color w:val="000000" w:themeColor="text1"/>
        </w:rPr>
        <w:t>Med Oncol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305 [PMID: 25355641 DOI: 10.1007/s12032-</w:t>
      </w:r>
      <w:r>
        <w:rPr>
          <w:rFonts w:ascii="Book Antiqua" w:eastAsia="Book Antiqua" w:hAnsi="Book Antiqua" w:cs="Book Antiqua"/>
          <w:color w:val="000000" w:themeColor="text1"/>
        </w:rPr>
        <w:t>014-0305-0]</w:t>
      </w:r>
    </w:p>
    <w:p w14:paraId="614AA8B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Sarraf KM</w:t>
      </w:r>
      <w:r>
        <w:rPr>
          <w:rFonts w:ascii="Book Antiqua" w:eastAsia="Book Antiqua" w:hAnsi="Book Antiqua" w:cs="Book Antiqua"/>
          <w:color w:val="000000" w:themeColor="text1"/>
        </w:rPr>
        <w:t xml:space="preserve">, Belcher E, Raevsky E, Nicholson AG, Goldstraw P, Lim E. Neutrophil/lymphocyte ratio and its association with survival after complete resection in non-small cell lung cancer. </w:t>
      </w:r>
      <w:r>
        <w:rPr>
          <w:rFonts w:ascii="Book Antiqua" w:eastAsia="Book Antiqua" w:hAnsi="Book Antiqua" w:cs="Book Antiqua"/>
          <w:i/>
          <w:iCs/>
          <w:color w:val="000000" w:themeColor="text1"/>
        </w:rPr>
        <w:t>J Thorac Cardiovasc Surg</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137</w:t>
      </w:r>
      <w:r>
        <w:rPr>
          <w:rFonts w:ascii="Book Antiqua" w:eastAsia="Book Antiqua" w:hAnsi="Book Antiqua" w:cs="Book Antiqua"/>
          <w:color w:val="000000" w:themeColor="text1"/>
        </w:rPr>
        <w:t>: 425-428 [PMID: 19185</w:t>
      </w:r>
      <w:r>
        <w:rPr>
          <w:rFonts w:ascii="Book Antiqua" w:eastAsia="Book Antiqua" w:hAnsi="Book Antiqua" w:cs="Book Antiqua"/>
          <w:color w:val="000000" w:themeColor="text1"/>
        </w:rPr>
        <w:t>164 DOI: 10.1016/j.jtcvs.2008.05.046]</w:t>
      </w:r>
    </w:p>
    <w:p w14:paraId="08367BA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Onodera T</w:t>
      </w:r>
      <w:r>
        <w:rPr>
          <w:rFonts w:ascii="Book Antiqua" w:eastAsia="Book Antiqua" w:hAnsi="Book Antiqua" w:cs="Book Antiqua"/>
          <w:color w:val="000000" w:themeColor="text1"/>
        </w:rPr>
        <w:t xml:space="preserve">, Goseki N, Kosaki G. [Prognostic nutritional index in gastrointestinal surgery of malnourished cancer patients]. </w:t>
      </w:r>
      <w:r>
        <w:rPr>
          <w:rFonts w:ascii="Book Antiqua" w:eastAsia="Book Antiqua" w:hAnsi="Book Antiqua" w:cs="Book Antiqua"/>
          <w:i/>
          <w:iCs/>
          <w:color w:val="000000" w:themeColor="text1"/>
        </w:rPr>
        <w:t>Nihon Geka Gakkai Zasshi</w:t>
      </w:r>
      <w:r>
        <w:rPr>
          <w:rFonts w:ascii="Book Antiqua" w:eastAsia="Book Antiqua" w:hAnsi="Book Antiqua" w:cs="Book Antiqua"/>
          <w:color w:val="000000" w:themeColor="text1"/>
        </w:rPr>
        <w:t xml:space="preserve"> 1984; </w:t>
      </w:r>
      <w:r>
        <w:rPr>
          <w:rFonts w:ascii="Book Antiqua" w:eastAsia="Book Antiqua" w:hAnsi="Book Antiqua" w:cs="Book Antiqua"/>
          <w:b/>
          <w:bCs/>
          <w:color w:val="000000" w:themeColor="text1"/>
        </w:rPr>
        <w:t>85</w:t>
      </w:r>
      <w:r>
        <w:rPr>
          <w:rFonts w:ascii="Book Antiqua" w:eastAsia="Book Antiqua" w:hAnsi="Book Antiqua" w:cs="Book Antiqua"/>
          <w:color w:val="000000" w:themeColor="text1"/>
        </w:rPr>
        <w:t>: 1001-1005 [PMID: 6438478]</w:t>
      </w:r>
    </w:p>
    <w:p w14:paraId="2D315D2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Nozoe T</w:t>
      </w:r>
      <w:r>
        <w:rPr>
          <w:rFonts w:ascii="Book Antiqua" w:eastAsia="Book Antiqua" w:hAnsi="Book Antiqua" w:cs="Book Antiqua"/>
          <w:color w:val="000000" w:themeColor="text1"/>
        </w:rPr>
        <w:t>, Kimura Y, Ishida M,</w:t>
      </w:r>
      <w:r>
        <w:rPr>
          <w:rFonts w:ascii="Book Antiqua" w:eastAsia="Book Antiqua" w:hAnsi="Book Antiqua" w:cs="Book Antiqua"/>
          <w:color w:val="000000" w:themeColor="text1"/>
        </w:rPr>
        <w:t xml:space="preserve"> Saeki H, Korenaga D, Sugimachi K. Correlation of pre-operative nutritional condition with post-operative complications in surgical treatment for oesophageal carcinoma. </w:t>
      </w:r>
      <w:r>
        <w:rPr>
          <w:rFonts w:ascii="Book Antiqua" w:eastAsia="Book Antiqua" w:hAnsi="Book Antiqua" w:cs="Book Antiqua"/>
          <w:i/>
          <w:iCs/>
          <w:color w:val="000000" w:themeColor="text1"/>
        </w:rPr>
        <w:t>Eur J Surg Oncol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396-400 [PMID: 12099649 DOI: 10.1053/ejso.2002.1257]</w:t>
      </w:r>
    </w:p>
    <w:p w14:paraId="59CE70B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Migita K</w:t>
      </w:r>
      <w:r>
        <w:rPr>
          <w:rFonts w:ascii="Book Antiqua" w:eastAsia="Book Antiqua" w:hAnsi="Book Antiqua" w:cs="Book Antiqua"/>
          <w:color w:val="000000" w:themeColor="text1"/>
        </w:rPr>
        <w:t xml:space="preserve">, Takayama T, Saeki K, Matsumoto S, Wakatsuki K, Enomoto K, Tanaka T, Ito M, Kurumatani N, Nakajima Y. The prognostic nutritional index predicts long-term outcomes of gastric cancer patients independent of tumor stage. </w:t>
      </w:r>
      <w:r>
        <w:rPr>
          <w:rFonts w:ascii="Book Antiqua" w:eastAsia="Book Antiqua" w:hAnsi="Book Antiqua" w:cs="Book Antiqua"/>
          <w:i/>
          <w:iCs/>
          <w:color w:val="000000" w:themeColor="text1"/>
        </w:rPr>
        <w:t>Ann Surg Oncol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2647</w:t>
      </w:r>
      <w:r>
        <w:rPr>
          <w:rFonts w:ascii="Book Antiqua" w:eastAsia="Book Antiqua" w:hAnsi="Book Antiqua" w:cs="Book Antiqua"/>
          <w:color w:val="000000" w:themeColor="text1"/>
        </w:rPr>
        <w:t>-2654 [PMID: 23463091 DOI: 10.1245/s10434-013-2926-5]</w:t>
      </w:r>
    </w:p>
    <w:p w14:paraId="5FC6D90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Nozoe T</w:t>
      </w:r>
      <w:r>
        <w:rPr>
          <w:rFonts w:ascii="Book Antiqua" w:eastAsia="Book Antiqua" w:hAnsi="Book Antiqua" w:cs="Book Antiqua"/>
          <w:color w:val="000000" w:themeColor="text1"/>
        </w:rPr>
        <w:t xml:space="preserve">, Kohno M, Iguchi T, Mori E, Maeda T, Matsukuma A, Ezaki T. The prognostic nutritional index can be a prognostic indicator in colorectal carcinoma. </w:t>
      </w:r>
      <w:r>
        <w:rPr>
          <w:rFonts w:ascii="Book Antiqua" w:eastAsia="Book Antiqua" w:hAnsi="Book Antiqua" w:cs="Book Antiqua"/>
          <w:i/>
          <w:iCs/>
          <w:color w:val="000000" w:themeColor="text1"/>
        </w:rPr>
        <w:t>Surg Today</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532-535 [PMID: 22139087</w:t>
      </w:r>
      <w:r>
        <w:rPr>
          <w:rFonts w:ascii="Book Antiqua" w:eastAsia="Book Antiqua" w:hAnsi="Book Antiqua" w:cs="Book Antiqua"/>
          <w:color w:val="000000" w:themeColor="text1"/>
        </w:rPr>
        <w:t xml:space="preserve"> DOI: 10.1007/s00595-011-0061-0]</w:t>
      </w:r>
    </w:p>
    <w:p w14:paraId="6A808C0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20 </w:t>
      </w:r>
      <w:r>
        <w:rPr>
          <w:rFonts w:ascii="Book Antiqua" w:eastAsia="Book Antiqua" w:hAnsi="Book Antiqua" w:cs="Book Antiqua"/>
          <w:b/>
          <w:bCs/>
          <w:color w:val="000000" w:themeColor="text1"/>
        </w:rPr>
        <w:t>Hubbard TJ</w:t>
      </w:r>
      <w:r>
        <w:rPr>
          <w:rFonts w:ascii="Book Antiqua" w:eastAsia="Book Antiqua" w:hAnsi="Book Antiqua" w:cs="Book Antiqua"/>
          <w:color w:val="000000" w:themeColor="text1"/>
        </w:rPr>
        <w:t xml:space="preserve">, Lawson-McLean A, Fearon KC. Nutritional predictors of postoperative outcome in pancreatic cancer (Br J Surg 2011; 98: 268-274).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1032; author reply 1032-1032; author reply 1033 [PMID: 21618</w:t>
      </w:r>
      <w:r>
        <w:rPr>
          <w:rFonts w:ascii="Book Antiqua" w:eastAsia="Book Antiqua" w:hAnsi="Book Antiqua" w:cs="Book Antiqua"/>
          <w:color w:val="000000" w:themeColor="text1"/>
        </w:rPr>
        <w:t>489 DOI: 10.1002/bjs.7608]</w:t>
      </w:r>
    </w:p>
    <w:p w14:paraId="6088C201"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Joensuu H</w:t>
      </w:r>
      <w:r>
        <w:rPr>
          <w:rFonts w:ascii="Book Antiqua" w:eastAsia="Book Antiqua" w:hAnsi="Book Antiqua" w:cs="Book Antiqua"/>
          <w:color w:val="000000" w:themeColor="text1"/>
        </w:rPr>
        <w:t>, Vehtari A, Riihimäki J, Nishida T, Steigen SE, Brabec P, Plank L, Nilsson B, Cirilli C, Braconi C, Bordoni A, Magnusson MK, Linke Z, Sufliarsky J, Federico M, Jonasson JG, Dei Tos AP, Rutkowski P. Risk of recurrence</w:t>
      </w:r>
      <w:r>
        <w:rPr>
          <w:rFonts w:ascii="Book Antiqua" w:eastAsia="Book Antiqua" w:hAnsi="Book Antiqua" w:cs="Book Antiqua"/>
          <w:color w:val="000000" w:themeColor="text1"/>
        </w:rPr>
        <w:t xml:space="preserve"> of gastrointestinal stromal tumour after surgery: an analysis of pooled population-based cohorts.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265-274 [PMID: 22153892 DOI: 10.1016/S1470-2045(11)70299-6]</w:t>
      </w:r>
    </w:p>
    <w:p w14:paraId="79879BE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Gold JS</w:t>
      </w:r>
      <w:r>
        <w:rPr>
          <w:rFonts w:ascii="Book Antiqua" w:eastAsia="Book Antiqua" w:hAnsi="Book Antiqua" w:cs="Book Antiqua"/>
          <w:color w:val="000000" w:themeColor="text1"/>
        </w:rPr>
        <w:t>, Gönen M, Gutiérrez A, Broto JM, García-del-Muro X, Smyrk TC, M</w:t>
      </w:r>
      <w:r>
        <w:rPr>
          <w:rFonts w:ascii="Book Antiqua" w:eastAsia="Book Antiqua" w:hAnsi="Book Antiqua" w:cs="Book Antiqua"/>
          <w:color w:val="000000" w:themeColor="text1"/>
        </w:rPr>
        <w:t>aki RG, Singer S, Brennan MF, Antonescu CR, Donohue JH, DeMatteo RP. Development and validation of a prognostic nomogram for recurrence-free survival after complete surgical resection of localised primary gastrointestinal stromal tumour: a retrospective an</w:t>
      </w:r>
      <w:r>
        <w:rPr>
          <w:rFonts w:ascii="Book Antiqua" w:eastAsia="Book Antiqua" w:hAnsi="Book Antiqua" w:cs="Book Antiqua"/>
          <w:color w:val="000000" w:themeColor="text1"/>
        </w:rPr>
        <w:t xml:space="preserve">alysis.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1045-1052 [PMID: 19793678 DOI: 10.1016/S1470-2045(09)70242-6]</w:t>
      </w:r>
    </w:p>
    <w:p w14:paraId="6275745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Nozoe T</w:t>
      </w:r>
      <w:r>
        <w:rPr>
          <w:rFonts w:ascii="Book Antiqua" w:eastAsia="Book Antiqua" w:hAnsi="Book Antiqua" w:cs="Book Antiqua"/>
          <w:color w:val="000000" w:themeColor="text1"/>
        </w:rPr>
        <w:t xml:space="preserve">, Ninomiya M, Maeda T, Matsukuma A, Nakashima H, Ezaki T. Prognostic nutritional index: a tool to predict the biological aggressiveness of gastric carcinoma. </w:t>
      </w:r>
      <w:r>
        <w:rPr>
          <w:rFonts w:ascii="Book Antiqua" w:eastAsia="Book Antiqua" w:hAnsi="Book Antiqua" w:cs="Book Antiqua"/>
          <w:i/>
          <w:iCs/>
          <w:color w:val="000000" w:themeColor="text1"/>
        </w:rPr>
        <w:t>Surg Today</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440-443 [PMID: 20425547 DOI: 10.1007/s00595-009-4065-y]</w:t>
      </w:r>
    </w:p>
    <w:p w14:paraId="4EFE068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Nishikawa H</w:t>
      </w:r>
      <w:r>
        <w:rPr>
          <w:rFonts w:ascii="Book Antiqua" w:eastAsia="Book Antiqua" w:hAnsi="Book Antiqua" w:cs="Book Antiqua"/>
          <w:color w:val="000000" w:themeColor="text1"/>
        </w:rPr>
        <w:t>, Osaki</w:t>
      </w:r>
      <w:r>
        <w:rPr>
          <w:rFonts w:ascii="Book Antiqua" w:eastAsia="Book Antiqua" w:hAnsi="Book Antiqua" w:cs="Book Antiqua"/>
          <w:color w:val="000000" w:themeColor="text1"/>
        </w:rPr>
        <w:t xml:space="preserve"> Y. Clinical significance of therapy using branched-chain amino acid granules in patients with liver cirrhosis and hepatocellular carcinoma. </w:t>
      </w:r>
      <w:r>
        <w:rPr>
          <w:rFonts w:ascii="Book Antiqua" w:eastAsia="Book Antiqua" w:hAnsi="Book Antiqua" w:cs="Book Antiqua"/>
          <w:i/>
          <w:iCs/>
          <w:color w:val="000000" w:themeColor="text1"/>
        </w:rPr>
        <w:t>Hepatol Res</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44</w:t>
      </w:r>
      <w:r>
        <w:rPr>
          <w:rFonts w:ascii="Book Antiqua" w:eastAsia="Book Antiqua" w:hAnsi="Book Antiqua" w:cs="Book Antiqua"/>
          <w:color w:val="000000" w:themeColor="text1"/>
        </w:rPr>
        <w:t>: 149-158 [PMID: 23819582 DOI: 10.1111/hepr.12194]</w:t>
      </w:r>
    </w:p>
    <w:p w14:paraId="024C39D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Hanahan D</w:t>
      </w:r>
      <w:r>
        <w:rPr>
          <w:rFonts w:ascii="Book Antiqua" w:eastAsia="Book Antiqua" w:hAnsi="Book Antiqua" w:cs="Book Antiqua"/>
          <w:color w:val="000000" w:themeColor="text1"/>
        </w:rPr>
        <w:t>, Weinberg RA. Hallmarks of canc</w:t>
      </w:r>
      <w:r>
        <w:rPr>
          <w:rFonts w:ascii="Book Antiqua" w:eastAsia="Book Antiqua" w:hAnsi="Book Antiqua" w:cs="Book Antiqua"/>
          <w:color w:val="000000" w:themeColor="text1"/>
        </w:rPr>
        <w:t xml:space="preserve">er: the next generation. </w:t>
      </w:r>
      <w:r>
        <w:rPr>
          <w:rFonts w:ascii="Book Antiqua" w:eastAsia="Book Antiqua" w:hAnsi="Book Antiqua" w:cs="Book Antiqua"/>
          <w:i/>
          <w:iCs/>
          <w:color w:val="000000" w:themeColor="text1"/>
        </w:rPr>
        <w:t>Cell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144</w:t>
      </w:r>
      <w:r>
        <w:rPr>
          <w:rFonts w:ascii="Book Antiqua" w:eastAsia="Book Antiqua" w:hAnsi="Book Antiqua" w:cs="Book Antiqua"/>
          <w:color w:val="000000" w:themeColor="text1"/>
        </w:rPr>
        <w:t>: 646-674 [PMID: 21376230 DOI: 10.1016/j.cell.2011.02.013]</w:t>
      </w:r>
    </w:p>
    <w:bookmarkEnd w:id="4"/>
    <w:p w14:paraId="41549333" w14:textId="77777777" w:rsidR="003F2138" w:rsidRDefault="003F2138">
      <w:pPr>
        <w:adjustRightInd w:val="0"/>
        <w:snapToGrid w:val="0"/>
        <w:spacing w:line="360" w:lineRule="auto"/>
        <w:jc w:val="both"/>
        <w:rPr>
          <w:rFonts w:ascii="Book Antiqua" w:hAnsi="Book Antiqua"/>
          <w:color w:val="000000" w:themeColor="text1"/>
        </w:rPr>
        <w:sectPr w:rsidR="003F2138">
          <w:type w:val="continuous"/>
          <w:pgSz w:w="11906" w:h="16838"/>
          <w:pgMar w:top="1440" w:right="1440" w:bottom="1440" w:left="1440" w:header="720" w:footer="720" w:gutter="0"/>
          <w:cols w:space="720"/>
          <w:docGrid w:linePitch="360"/>
        </w:sectPr>
      </w:pPr>
    </w:p>
    <w:p w14:paraId="649FE30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Footnotes</w:t>
      </w:r>
    </w:p>
    <w:p w14:paraId="64D613D5"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approved by the Ethics Committee of Northern Jiangsu People’s Hospital.</w:t>
      </w:r>
    </w:p>
    <w:p w14:paraId="03C3AF5E" w14:textId="77777777" w:rsidR="003F2138" w:rsidRDefault="003F2138">
      <w:pPr>
        <w:adjustRightInd w:val="0"/>
        <w:snapToGrid w:val="0"/>
        <w:spacing w:line="360" w:lineRule="auto"/>
        <w:jc w:val="both"/>
        <w:rPr>
          <w:rFonts w:ascii="Book Antiqua" w:hAnsi="Book Antiqua"/>
          <w:color w:val="000000" w:themeColor="text1"/>
        </w:rPr>
      </w:pPr>
    </w:p>
    <w:p w14:paraId="052B6C96" w14:textId="77777777" w:rsidR="003F2138" w:rsidRDefault="00E00B3F">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Informed consent statement: </w:t>
      </w:r>
      <w:r>
        <w:rPr>
          <w:rFonts w:ascii="Book Antiqua" w:hAnsi="Book Antiqua"/>
          <w:color w:val="000000" w:themeColor="text1"/>
        </w:rPr>
        <w:t>All study participants, or their legal guardian, provided informed written consent prior to study enrollment.</w:t>
      </w:r>
    </w:p>
    <w:p w14:paraId="6DF17C3F" w14:textId="77777777" w:rsidR="003F2138" w:rsidRDefault="003F2138">
      <w:pPr>
        <w:adjustRightInd w:val="0"/>
        <w:snapToGrid w:val="0"/>
        <w:spacing w:line="360" w:lineRule="auto"/>
        <w:jc w:val="both"/>
        <w:rPr>
          <w:rFonts w:ascii="Book Antiqua" w:hAnsi="Book Antiqua"/>
          <w:color w:val="000000" w:themeColor="text1"/>
        </w:rPr>
      </w:pPr>
    </w:p>
    <w:p w14:paraId="6438813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We have no financial relationships to disclose</w:t>
      </w:r>
      <w:r>
        <w:rPr>
          <w:rFonts w:ascii="Book Antiqua" w:eastAsia="Book Antiqua" w:hAnsi="Book Antiqua" w:cs="Book Antiqua"/>
          <w:b/>
          <w:bCs/>
          <w:color w:val="000000" w:themeColor="text1"/>
        </w:rPr>
        <w:t>.</w:t>
      </w:r>
    </w:p>
    <w:p w14:paraId="66C1C610" w14:textId="77777777" w:rsidR="003F2138" w:rsidRDefault="003F2138">
      <w:pPr>
        <w:adjustRightInd w:val="0"/>
        <w:snapToGrid w:val="0"/>
        <w:spacing w:line="360" w:lineRule="auto"/>
        <w:jc w:val="both"/>
        <w:rPr>
          <w:rFonts w:ascii="Book Antiqua" w:hAnsi="Book Antiqua"/>
          <w:color w:val="000000" w:themeColor="text1"/>
        </w:rPr>
      </w:pPr>
    </w:p>
    <w:p w14:paraId="32D83EA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No additiona</w:t>
      </w:r>
      <w:r>
        <w:rPr>
          <w:rFonts w:ascii="Book Antiqua" w:eastAsia="Book Antiqua" w:hAnsi="Book Antiqua" w:cs="Book Antiqua"/>
          <w:color w:val="000000" w:themeColor="text1"/>
        </w:rPr>
        <w:t>l data are available.</w:t>
      </w:r>
    </w:p>
    <w:p w14:paraId="2CE8B3FC" w14:textId="77777777" w:rsidR="003F2138" w:rsidRDefault="003F2138">
      <w:pPr>
        <w:adjustRightInd w:val="0"/>
        <w:snapToGrid w:val="0"/>
        <w:spacing w:line="360" w:lineRule="auto"/>
        <w:jc w:val="both"/>
        <w:rPr>
          <w:rFonts w:ascii="Book Antiqua" w:hAnsi="Book Antiqua"/>
          <w:color w:val="000000" w:themeColor="text1"/>
        </w:rPr>
      </w:pPr>
    </w:p>
    <w:p w14:paraId="764D952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NonCommercial (CC BY-NC </w:t>
      </w:r>
      <w:r>
        <w:rPr>
          <w:rFonts w:ascii="Book Antiqua" w:eastAsia="Book Antiqua" w:hAnsi="Book Antiqua" w:cs="Book Antiqua"/>
          <w:color w:val="000000" w:themeColor="text1"/>
        </w:rPr>
        <w:t>4.0) license, which permits others to distribute, remix, adapt, build upon this work non-commercially, and license their derivative works on different terms, provided the original work is properly cited and the use is non-commercial. See: http://creativeco</w:t>
      </w:r>
      <w:r>
        <w:rPr>
          <w:rFonts w:ascii="Book Antiqua" w:eastAsia="Book Antiqua" w:hAnsi="Book Antiqua" w:cs="Book Antiqua"/>
          <w:color w:val="000000" w:themeColor="text1"/>
        </w:rPr>
        <w:t>mmons.org/Licenses/by-nc/4.0/</w:t>
      </w:r>
    </w:p>
    <w:p w14:paraId="1960B5E4" w14:textId="77777777" w:rsidR="003F2138" w:rsidRDefault="003F2138">
      <w:pPr>
        <w:adjustRightInd w:val="0"/>
        <w:snapToGrid w:val="0"/>
        <w:spacing w:line="360" w:lineRule="auto"/>
        <w:jc w:val="both"/>
        <w:rPr>
          <w:rFonts w:ascii="Book Antiqua" w:hAnsi="Book Antiqua"/>
          <w:color w:val="000000" w:themeColor="text1"/>
        </w:rPr>
      </w:pPr>
    </w:p>
    <w:p w14:paraId="2E2EBDE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5237103E" w14:textId="77777777" w:rsidR="003F2138" w:rsidRDefault="003F2138">
      <w:pPr>
        <w:adjustRightInd w:val="0"/>
        <w:snapToGrid w:val="0"/>
        <w:spacing w:line="360" w:lineRule="auto"/>
        <w:jc w:val="both"/>
        <w:rPr>
          <w:rFonts w:ascii="Book Antiqua" w:hAnsi="Book Antiqua"/>
          <w:color w:val="000000" w:themeColor="text1"/>
        </w:rPr>
      </w:pPr>
    </w:p>
    <w:p w14:paraId="2576FA8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March 18, 2021</w:t>
      </w:r>
    </w:p>
    <w:p w14:paraId="60751ADA"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3, 2021</w:t>
      </w:r>
    </w:p>
    <w:p w14:paraId="0793FDE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53815A0B" w14:textId="77777777" w:rsidR="003F2138" w:rsidRDefault="003F2138">
      <w:pPr>
        <w:adjustRightInd w:val="0"/>
        <w:snapToGrid w:val="0"/>
        <w:spacing w:line="360" w:lineRule="auto"/>
        <w:jc w:val="both"/>
        <w:rPr>
          <w:rFonts w:ascii="Book Antiqua" w:hAnsi="Book Antiqua"/>
          <w:color w:val="000000" w:themeColor="text1"/>
        </w:rPr>
      </w:pPr>
    </w:p>
    <w:p w14:paraId="246835E2"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4CE7E96E"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77F301FD"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w:t>
      </w:r>
      <w:r>
        <w:rPr>
          <w:rFonts w:ascii="Book Antiqua" w:eastAsia="Book Antiqua" w:hAnsi="Book Antiqua" w:cs="Book Antiqua"/>
          <w:b/>
          <w:color w:val="000000" w:themeColor="text1"/>
        </w:rPr>
        <w:t>report’s scientific quality classification</w:t>
      </w:r>
    </w:p>
    <w:p w14:paraId="40A04FBB"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11F867C"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11771CD0"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21992245"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D (Fair): D</w:t>
      </w:r>
    </w:p>
    <w:p w14:paraId="0AC46838"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2BDED3D5" w14:textId="77777777" w:rsidR="003F2138" w:rsidRDefault="003F2138">
      <w:pPr>
        <w:adjustRightInd w:val="0"/>
        <w:snapToGrid w:val="0"/>
        <w:spacing w:line="360" w:lineRule="auto"/>
        <w:jc w:val="both"/>
        <w:rPr>
          <w:rFonts w:ascii="Book Antiqua" w:hAnsi="Book Antiqua"/>
          <w:color w:val="000000" w:themeColor="text1"/>
        </w:rPr>
      </w:pPr>
    </w:p>
    <w:p w14:paraId="1E7161A8" w14:textId="77777777" w:rsidR="003F2138" w:rsidRDefault="00E00B3F">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Palacios Huatuco RM, Takata T</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w:t>
      </w:r>
      <w:r>
        <w:rPr>
          <w:rFonts w:ascii="Book Antiqua" w:eastAsia="Book Antiqua" w:hAnsi="Book Antiqua" w:cs="Book Antiqua"/>
          <w:color w:val="000000" w:themeColor="text1"/>
        </w:rPr>
        <w:t>L</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w:t>
      </w:r>
      <w:r>
        <w:rPr>
          <w:rFonts w:ascii="Book Antiqua" w:eastAsia="Book Antiqua" w:hAnsi="Book Antiqua" w:cs="Book Antiqua"/>
          <w:b/>
          <w:color w:val="000000" w:themeColor="text1"/>
        </w:rPr>
        <w:t>P</w:t>
      </w:r>
      <w:r>
        <w:rPr>
          <w:rFonts w:ascii="Book Antiqua" w:eastAsia="Book Antiqua" w:hAnsi="Book Antiqua" w:cs="Book Antiqua"/>
          <w:b/>
          <w:color w:val="000000" w:themeColor="text1"/>
        </w:rPr>
        <w:t xml:space="preserve">-Editor: </w:t>
      </w:r>
    </w:p>
    <w:p w14:paraId="160117D8" w14:textId="77777777" w:rsidR="003F2138" w:rsidRDefault="003F2138">
      <w:pPr>
        <w:adjustRightInd w:val="0"/>
        <w:snapToGrid w:val="0"/>
        <w:spacing w:line="360" w:lineRule="auto"/>
        <w:jc w:val="both"/>
        <w:rPr>
          <w:rFonts w:ascii="Book Antiqua" w:eastAsia="Book Antiqua" w:hAnsi="Book Antiqua" w:cs="Book Antiqua"/>
          <w:b/>
          <w:color w:val="000000" w:themeColor="text1"/>
        </w:rPr>
        <w:sectPr w:rsidR="003F2138">
          <w:footerReference w:type="default" r:id="rId8"/>
          <w:endnotePr>
            <w:numFmt w:val="decimal"/>
          </w:endnotePr>
          <w:type w:val="continuous"/>
          <w:pgSz w:w="11906" w:h="16838"/>
          <w:pgMar w:top="1440" w:right="1416" w:bottom="1440" w:left="1418" w:header="851" w:footer="992" w:gutter="0"/>
          <w:pgNumType w:start="1"/>
          <w:cols w:space="425"/>
          <w:docGrid w:type="lines" w:linePitch="312"/>
        </w:sectPr>
      </w:pPr>
    </w:p>
    <w:p w14:paraId="42FC8226"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6C19CCFC" w14:textId="77777777" w:rsidR="003F2138" w:rsidRDefault="003F2138">
      <w:pPr>
        <w:adjustRightInd w:val="0"/>
        <w:snapToGrid w:val="0"/>
        <w:spacing w:line="360" w:lineRule="auto"/>
        <w:jc w:val="both"/>
        <w:rPr>
          <w:rFonts w:ascii="Book Antiqua" w:eastAsia="Book Antiqua" w:hAnsi="Book Antiqua" w:cs="Book Antiqua"/>
          <w:b/>
          <w:bCs/>
          <w:color w:val="000000" w:themeColor="text1"/>
        </w:rPr>
      </w:pPr>
    </w:p>
    <w:p w14:paraId="34D9CFF1" w14:textId="77777777" w:rsidR="003F2138" w:rsidRDefault="00E00B3F">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drawing>
          <wp:inline distT="0" distB="0" distL="0" distR="0">
            <wp:extent cx="5943600" cy="5100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5100955"/>
                    </a:xfrm>
                    <a:prstGeom prst="rect">
                      <a:avLst/>
                    </a:prstGeom>
                  </pic:spPr>
                </pic:pic>
              </a:graphicData>
            </a:graphic>
          </wp:inline>
        </w:drawing>
      </w:r>
    </w:p>
    <w:p w14:paraId="230B15B6"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1 Receiver operator characteristic analysis of the neutrophil-to-lymphocyte ratio, platelet-to-lymphocyte ratio, Onodera’s Prognostic Nutritional Index, and Ki-67 index. </w:t>
      </w:r>
      <w:r>
        <w:rPr>
          <w:rFonts w:ascii="Book Antiqua" w:eastAsia="Book Antiqua" w:hAnsi="Book Antiqua" w:cs="Book Antiqua"/>
          <w:color w:val="000000" w:themeColor="text1"/>
        </w:rPr>
        <w:t>A:</w:t>
      </w:r>
      <w:r>
        <w:rPr>
          <w:rFonts w:ascii="Book Antiqua" w:eastAsia="Book Antiqua" w:hAnsi="Book Antiqua" w:cs="Book Antiqua"/>
          <w:color w:val="000000" w:themeColor="text1"/>
        </w:rPr>
        <w:t xml:space="preserve"> Neutrophil-to-lymphocyte ratio; B</w:t>
      </w:r>
      <w:r>
        <w:rPr>
          <w:rFonts w:ascii="Book Antiqua" w:eastAsia="宋体" w:hAnsi="Book Antiqua" w:cs="宋体"/>
          <w:color w:val="000000" w:themeColor="text1"/>
          <w:lang w:eastAsia="zh-CN"/>
        </w:rPr>
        <w:t>:</w:t>
      </w:r>
      <w:r>
        <w:rPr>
          <w:rFonts w:ascii="Book Antiqua" w:eastAsia="Book Antiqua" w:hAnsi="Book Antiqua" w:cs="Book Antiqua"/>
          <w:color w:val="000000" w:themeColor="text1"/>
        </w:rPr>
        <w:t xml:space="preserve"> Platelet-to-lymphocyte ratio; C: Onodera’s Prognostic Nutritional Index; D: Ki-67 index.</w:t>
      </w:r>
    </w:p>
    <w:p w14:paraId="7B4CB3B1" w14:textId="77777777" w:rsidR="003F2138" w:rsidRDefault="003F2138">
      <w:pPr>
        <w:adjustRightInd w:val="0"/>
        <w:snapToGrid w:val="0"/>
        <w:spacing w:line="360" w:lineRule="auto"/>
        <w:jc w:val="both"/>
        <w:rPr>
          <w:rFonts w:ascii="Book Antiqua" w:hAnsi="Book Antiqua"/>
          <w:color w:val="000000" w:themeColor="text1"/>
        </w:rPr>
      </w:pPr>
    </w:p>
    <w:p w14:paraId="48967F91" w14:textId="77777777" w:rsidR="003F2138" w:rsidRDefault="00E00B3F">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lastRenderedPageBreak/>
        <w:drawing>
          <wp:inline distT="0" distB="0" distL="0" distR="0">
            <wp:extent cx="5943600" cy="4269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4269740"/>
                    </a:xfrm>
                    <a:prstGeom prst="rect">
                      <a:avLst/>
                    </a:prstGeom>
                  </pic:spPr>
                </pic:pic>
              </a:graphicData>
            </a:graphic>
          </wp:inline>
        </w:drawing>
      </w:r>
    </w:p>
    <w:p w14:paraId="50A8B7AA" w14:textId="77777777" w:rsidR="003F2138" w:rsidRDefault="00E00B3F">
      <w:pPr>
        <w:adjustRightInd w:val="0"/>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themeColor="text1"/>
        </w:rPr>
        <w:t>Figure 2 Correlation b</w:t>
      </w:r>
      <w:r>
        <w:rPr>
          <w:rFonts w:ascii="Book Antiqua" w:eastAsia="Book Antiqua" w:hAnsi="Book Antiqua" w:cs="Book Antiqua"/>
          <w:b/>
          <w:bCs/>
          <w:color w:val="000000" w:themeColor="text1"/>
        </w:rPr>
        <w:t>etween</w:t>
      </w:r>
      <w:r>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gastrointes</w:t>
      </w:r>
      <w:r>
        <w:rPr>
          <w:rFonts w:ascii="Book Antiqua" w:eastAsia="Book Antiqua" w:hAnsi="Book Antiqua" w:cs="Book Antiqua"/>
          <w:b/>
          <w:bCs/>
          <w:color w:val="000000" w:themeColor="text1"/>
        </w:rPr>
        <w:t xml:space="preserve">tinal stromal gastrointestinal stromal tumor size and neutrophil-to-lymphocyte ratio, </w:t>
      </w:r>
      <w:r>
        <w:rPr>
          <w:rFonts w:ascii="Book Antiqua" w:eastAsia="Book Antiqua" w:hAnsi="Book Antiqua" w:cs="Book Antiqua"/>
          <w:b/>
          <w:bCs/>
          <w:color w:val="000000" w:themeColor="text1"/>
        </w:rPr>
        <w:t>platelet-to-lymphocyte ratio, Onodera’s Prognostic Nutritional Index, and Ki-67 index.</w:t>
      </w:r>
      <w:r>
        <w:rPr>
          <w:rFonts w:ascii="Book Antiqua" w:eastAsia="Book Antiqua" w:hAnsi="Book Antiqua" w:cs="Book Antiqua"/>
          <w:color w:val="000000" w:themeColor="text1"/>
        </w:rPr>
        <w:t xml:space="preserve"> A: Neutrophil-to-lymphocyte ratio; B</w:t>
      </w:r>
      <w:r>
        <w:rPr>
          <w:rFonts w:ascii="Book Antiqua" w:eastAsia="宋体" w:hAnsi="Book Antiqua" w:cs="宋体"/>
          <w:color w:val="000000" w:themeColor="text1"/>
          <w:lang w:eastAsia="zh-CN"/>
        </w:rPr>
        <w:t>:</w:t>
      </w:r>
      <w:r>
        <w:rPr>
          <w:rFonts w:ascii="Book Antiqua" w:eastAsia="Book Antiqua" w:hAnsi="Book Antiqua" w:cs="Book Antiqua"/>
          <w:color w:val="000000" w:themeColor="text1"/>
        </w:rPr>
        <w:t xml:space="preserve"> Platelet-to-lymphocyte ratio; C: Onodera’s Prognostic Nutritional Index; D: Ki-67 index.</w:t>
      </w:r>
    </w:p>
    <w:p w14:paraId="739AD45D" w14:textId="77777777" w:rsidR="003F2138" w:rsidRDefault="003F2138">
      <w:pPr>
        <w:adjustRightInd w:val="0"/>
        <w:snapToGrid w:val="0"/>
        <w:spacing w:line="360" w:lineRule="auto"/>
        <w:jc w:val="both"/>
        <w:rPr>
          <w:rFonts w:ascii="Book Antiqua" w:hAnsi="Book Antiqua"/>
          <w:color w:val="000000" w:themeColor="text1"/>
        </w:rPr>
      </w:pPr>
    </w:p>
    <w:p w14:paraId="15D1EB4C" w14:textId="77777777" w:rsidR="003F2138" w:rsidRDefault="00E00B3F">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lastRenderedPageBreak/>
        <w:drawing>
          <wp:inline distT="0" distB="0" distL="0" distR="0">
            <wp:extent cx="5943600" cy="5019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5019040"/>
                    </a:xfrm>
                    <a:prstGeom prst="rect">
                      <a:avLst/>
                    </a:prstGeom>
                  </pic:spPr>
                </pic:pic>
              </a:graphicData>
            </a:graphic>
          </wp:inline>
        </w:drawing>
      </w:r>
    </w:p>
    <w:p w14:paraId="313C91A9" w14:textId="77777777" w:rsidR="003F2138" w:rsidRDefault="00E00B3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3 Recurrence-free survival analysis of 235 patients with primary gastrointestinal stromal tumors. </w:t>
      </w:r>
      <w:r>
        <w:rPr>
          <w:rFonts w:ascii="Book Antiqua" w:eastAsia="Book Antiqua" w:hAnsi="Book Antiqua" w:cs="Book Antiqua"/>
          <w:color w:val="000000" w:themeColor="text1"/>
        </w:rPr>
        <w:t>The Kaplan-Meier curve analysis demonstrated worse recurrence-free survival</w:t>
      </w:r>
      <w:r>
        <w:rPr>
          <w:rFonts w:ascii="Book Antiqua" w:eastAsia="Book Antiqua" w:hAnsi="Book Antiqua" w:cs="Book Antiqua"/>
          <w:color w:val="000000" w:themeColor="text1"/>
        </w:rPr>
        <w:t xml:space="preserve"> rate</w:t>
      </w:r>
      <w:r>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for the patie</w:t>
      </w:r>
      <w:r>
        <w:rPr>
          <w:rFonts w:ascii="Book Antiqua" w:eastAsia="Book Antiqua" w:hAnsi="Book Antiqua" w:cs="Book Antiqua"/>
          <w:color w:val="000000" w:themeColor="text1"/>
        </w:rPr>
        <w:t>nts presenting with (A) non-gastric origin, (B) larger t</w:t>
      </w:r>
      <w:r>
        <w:rPr>
          <w:rFonts w:ascii="Book Antiqua" w:eastAsia="Book Antiqua" w:hAnsi="Book Antiqua" w:cs="Book Antiqua"/>
          <w:color w:val="000000" w:themeColor="text1"/>
        </w:rPr>
        <w:t>umor size, (C) higher mitotic index, or (D) high modified NIH risk.</w:t>
      </w:r>
    </w:p>
    <w:p w14:paraId="7BACCC12" w14:textId="77777777" w:rsidR="003F2138" w:rsidRDefault="003F2138">
      <w:pPr>
        <w:adjustRightInd w:val="0"/>
        <w:snapToGrid w:val="0"/>
        <w:spacing w:line="360" w:lineRule="auto"/>
        <w:jc w:val="both"/>
        <w:rPr>
          <w:rFonts w:ascii="Book Antiqua" w:hAnsi="Book Antiqua"/>
          <w:color w:val="000000" w:themeColor="text1"/>
        </w:rPr>
      </w:pPr>
    </w:p>
    <w:p w14:paraId="2F1DB9EA" w14:textId="77777777" w:rsidR="003F2138" w:rsidRDefault="00E00B3F">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lastRenderedPageBreak/>
        <w:drawing>
          <wp:inline distT="0" distB="0" distL="0" distR="0">
            <wp:extent cx="5943600" cy="5756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43600" cy="5756910"/>
                    </a:xfrm>
                    <a:prstGeom prst="rect">
                      <a:avLst/>
                    </a:prstGeom>
                  </pic:spPr>
                </pic:pic>
              </a:graphicData>
            </a:graphic>
          </wp:inline>
        </w:drawing>
      </w:r>
      <w:r>
        <w:rPr>
          <w:rFonts w:ascii="Book Antiqua" w:eastAsia="Book Antiqua" w:hAnsi="Book Antiqua" w:cs="Book Antiqua"/>
          <w:b/>
          <w:bCs/>
          <w:color w:val="000000" w:themeColor="text1"/>
        </w:rPr>
        <w:t xml:space="preserve"> </w:t>
      </w:r>
    </w:p>
    <w:p w14:paraId="227204BA"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4 Recurrence-free survival analysis of 235 patients with primary gastrointestinal stromal tumors.</w:t>
      </w:r>
      <w:r>
        <w:rPr>
          <w:rFonts w:ascii="Book Antiqua" w:eastAsia="Book Antiqua" w:hAnsi="Book Antiqua" w:cs="Book Antiqua"/>
          <w:color w:val="000000" w:themeColor="text1"/>
        </w:rPr>
        <w:t xml:space="preserve"> The Kaplan-Meier curve analysis demonstrated worse recurrence-free survival rat</w:t>
      </w:r>
      <w:r>
        <w:rPr>
          <w:rFonts w:ascii="Book Antiqua" w:eastAsia="Book Antiqua" w:hAnsi="Book Antiqua" w:cs="Book Antiqua"/>
          <w:color w:val="000000" w:themeColor="text1"/>
        </w:rPr>
        <w:t>es for the patients presenting with (A) a higher neutrophil-to-lymphocyte ratio</w:t>
      </w:r>
      <w:r>
        <w:rPr>
          <w:rFonts w:ascii="Book Antiqua" w:eastAsia="Book Antiqua" w:hAnsi="Book Antiqua" w:cs="Book Antiqua"/>
          <w:color w:val="000000" w:themeColor="text1"/>
        </w:rPr>
        <w:t>, (B)</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higher platelet-to-lymphocyte ratio, or (C) </w:t>
      </w:r>
      <w:r>
        <w:rPr>
          <w:rFonts w:ascii="Book Antiqua" w:eastAsia="Book Antiqua" w:hAnsi="Book Antiqua" w:cs="Book Antiqua"/>
          <w:color w:val="000000" w:themeColor="text1"/>
        </w:rPr>
        <w:t>lower Onodera’s Prognostic Nutritional Index. NLR: Neutrophil-to-lymphocyte ratio; PLR: Platelet-to-lymphocyte ratio; OPNI: Ono</w:t>
      </w:r>
      <w:r>
        <w:rPr>
          <w:rFonts w:ascii="Book Antiqua" w:eastAsia="Book Antiqua" w:hAnsi="Book Antiqua" w:cs="Book Antiqua"/>
          <w:color w:val="000000" w:themeColor="text1"/>
        </w:rPr>
        <w:t>dera’s Prognostic Nutritional Index.</w:t>
      </w:r>
    </w:p>
    <w:p w14:paraId="0B2C0853" w14:textId="77777777" w:rsidR="003F2138" w:rsidRDefault="00E00B3F">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Pr>
          <w:rFonts w:ascii="Book Antiqua" w:hAnsi="Book Antiqua"/>
          <w:b/>
          <w:color w:val="000000" w:themeColor="text1"/>
        </w:rPr>
        <w:lastRenderedPageBreak/>
        <w:t xml:space="preserve">Table 1 Clinicopathological features of 235 patients with primary </w:t>
      </w:r>
      <w:r>
        <w:rPr>
          <w:rFonts w:ascii="Book Antiqua" w:eastAsia="Book Antiqua" w:hAnsi="Book Antiqua" w:cs="Book Antiqua"/>
          <w:b/>
          <w:bCs/>
          <w:color w:val="000000" w:themeColor="text1"/>
        </w:rPr>
        <w:t>gastrointestinal stromal tum</w:t>
      </w:r>
      <w:r>
        <w:rPr>
          <w:rFonts w:ascii="Book Antiqua" w:eastAsia="Book Antiqua" w:hAnsi="Book Antiqua" w:cs="Book Antiqua"/>
          <w:b/>
          <w:bCs/>
          <w:color w:val="000000" w:themeColor="text1"/>
        </w:rPr>
        <w:t>or</w:t>
      </w:r>
      <w:r>
        <w:rPr>
          <w:rFonts w:ascii="Book Antiqua" w:eastAsia="Book Antiqua" w:hAnsi="Book Antiqua" w:cs="Book Antiqua"/>
          <w:b/>
          <w:bCs/>
          <w:color w:val="000000" w:themeColor="text1"/>
        </w:rPr>
        <w:t>s</w:t>
      </w:r>
    </w:p>
    <w:tbl>
      <w:tblPr>
        <w:tblStyle w:val="a8"/>
        <w:tblW w:w="85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885"/>
      </w:tblGrid>
      <w:tr w:rsidR="003F2138" w14:paraId="0A801249" w14:textId="77777777">
        <w:tc>
          <w:tcPr>
            <w:tcW w:w="5637" w:type="dxa"/>
            <w:tcBorders>
              <w:top w:val="single" w:sz="4" w:space="0" w:color="auto"/>
              <w:bottom w:val="single" w:sz="4" w:space="0" w:color="auto"/>
            </w:tcBorders>
          </w:tcPr>
          <w:p w14:paraId="334806D5"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 xml:space="preserve">Characteristic </w:t>
            </w:r>
          </w:p>
        </w:tc>
        <w:tc>
          <w:tcPr>
            <w:tcW w:w="2885" w:type="dxa"/>
            <w:tcBorders>
              <w:top w:val="single" w:sz="4" w:space="0" w:color="auto"/>
              <w:bottom w:val="single" w:sz="4" w:space="0" w:color="auto"/>
            </w:tcBorders>
            <w:vAlign w:val="center"/>
          </w:tcPr>
          <w:p w14:paraId="6D3AF96F"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i/>
                <w:iCs/>
                <w:color w:val="000000" w:themeColor="text1"/>
                <w:lang w:eastAsia="zh-CN"/>
              </w:rPr>
              <w:t>n</w:t>
            </w:r>
            <w:r>
              <w:rPr>
                <w:rFonts w:ascii="Book Antiqua" w:eastAsia="宋体" w:hAnsi="Book Antiqua"/>
                <w:b/>
                <w:color w:val="000000" w:themeColor="text1"/>
                <w:lang w:eastAsia="zh-CN"/>
              </w:rPr>
              <w:t xml:space="preserve"> (%)</w:t>
            </w:r>
          </w:p>
        </w:tc>
      </w:tr>
      <w:tr w:rsidR="003F2138" w14:paraId="5CBCA4EF" w14:textId="77777777">
        <w:tc>
          <w:tcPr>
            <w:tcW w:w="5637" w:type="dxa"/>
            <w:tcBorders>
              <w:top w:val="single" w:sz="4" w:space="0" w:color="auto"/>
            </w:tcBorders>
          </w:tcPr>
          <w:p w14:paraId="6E4A30D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Gender </w:t>
            </w:r>
          </w:p>
        </w:tc>
        <w:tc>
          <w:tcPr>
            <w:tcW w:w="2885" w:type="dxa"/>
            <w:tcBorders>
              <w:top w:val="single" w:sz="4" w:space="0" w:color="auto"/>
            </w:tcBorders>
            <w:vAlign w:val="center"/>
          </w:tcPr>
          <w:p w14:paraId="2F409C65"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334FBC86" w14:textId="77777777">
        <w:tc>
          <w:tcPr>
            <w:tcW w:w="5637" w:type="dxa"/>
          </w:tcPr>
          <w:p w14:paraId="4C10414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Male</w:t>
            </w:r>
          </w:p>
        </w:tc>
        <w:tc>
          <w:tcPr>
            <w:tcW w:w="2885" w:type="dxa"/>
            <w:vAlign w:val="center"/>
          </w:tcPr>
          <w:p w14:paraId="26A56CE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118 (50.2)</w:t>
            </w:r>
          </w:p>
        </w:tc>
      </w:tr>
      <w:tr w:rsidR="003F2138" w14:paraId="5DF1F61D" w14:textId="77777777">
        <w:tc>
          <w:tcPr>
            <w:tcW w:w="5637" w:type="dxa"/>
          </w:tcPr>
          <w:p w14:paraId="15003C0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Female</w:t>
            </w:r>
          </w:p>
        </w:tc>
        <w:tc>
          <w:tcPr>
            <w:tcW w:w="2885" w:type="dxa"/>
            <w:vAlign w:val="center"/>
          </w:tcPr>
          <w:p w14:paraId="450B4F6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117 (49.8)</w:t>
            </w:r>
          </w:p>
        </w:tc>
      </w:tr>
      <w:tr w:rsidR="003F2138" w14:paraId="2CEF0844" w14:textId="77777777">
        <w:tc>
          <w:tcPr>
            <w:tcW w:w="5637" w:type="dxa"/>
          </w:tcPr>
          <w:p w14:paraId="267B8C41"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Age (yr,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6CC06BA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60.09 ± 10.12</w:t>
            </w:r>
          </w:p>
        </w:tc>
      </w:tr>
      <w:tr w:rsidR="003F2138" w14:paraId="0B9B91CF" w14:textId="77777777">
        <w:tc>
          <w:tcPr>
            <w:tcW w:w="5637" w:type="dxa"/>
          </w:tcPr>
          <w:p w14:paraId="691CD27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 60 </w:t>
            </w:r>
          </w:p>
        </w:tc>
        <w:tc>
          <w:tcPr>
            <w:tcW w:w="2885" w:type="dxa"/>
            <w:vAlign w:val="center"/>
          </w:tcPr>
          <w:p w14:paraId="11C3478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110 (46.8)</w:t>
            </w:r>
          </w:p>
        </w:tc>
      </w:tr>
      <w:tr w:rsidR="003F2138" w14:paraId="09C8B7BC" w14:textId="77777777">
        <w:tc>
          <w:tcPr>
            <w:tcW w:w="5637" w:type="dxa"/>
          </w:tcPr>
          <w:p w14:paraId="6A35798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&gt; 60</w:t>
            </w:r>
          </w:p>
        </w:tc>
        <w:tc>
          <w:tcPr>
            <w:tcW w:w="2885" w:type="dxa"/>
            <w:vAlign w:val="center"/>
          </w:tcPr>
          <w:p w14:paraId="20842D4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125 (53.2)</w:t>
            </w:r>
          </w:p>
        </w:tc>
      </w:tr>
      <w:tr w:rsidR="003F2138" w14:paraId="61E7645F" w14:textId="77777777">
        <w:tc>
          <w:tcPr>
            <w:tcW w:w="5637" w:type="dxa"/>
          </w:tcPr>
          <w:p w14:paraId="743D65B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Clinical manifestation</w:t>
            </w:r>
          </w:p>
        </w:tc>
        <w:tc>
          <w:tcPr>
            <w:tcW w:w="2885" w:type="dxa"/>
            <w:vAlign w:val="center"/>
          </w:tcPr>
          <w:p w14:paraId="7273DCB8"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39FEF88B" w14:textId="77777777">
        <w:tc>
          <w:tcPr>
            <w:tcW w:w="5637" w:type="dxa"/>
          </w:tcPr>
          <w:p w14:paraId="05026F2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Abdominal discomfort or pain</w:t>
            </w:r>
          </w:p>
        </w:tc>
        <w:tc>
          <w:tcPr>
            <w:tcW w:w="2885" w:type="dxa"/>
            <w:vAlign w:val="center"/>
          </w:tcPr>
          <w:p w14:paraId="496EC81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104 (44.3)</w:t>
            </w:r>
          </w:p>
        </w:tc>
      </w:tr>
      <w:tr w:rsidR="003F2138" w14:paraId="036F3C57" w14:textId="77777777">
        <w:tc>
          <w:tcPr>
            <w:tcW w:w="5637" w:type="dxa"/>
          </w:tcPr>
          <w:p w14:paraId="0591AC5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Gastrointestinal bleeding</w:t>
            </w:r>
          </w:p>
        </w:tc>
        <w:tc>
          <w:tcPr>
            <w:tcW w:w="2885" w:type="dxa"/>
            <w:vAlign w:val="center"/>
          </w:tcPr>
          <w:p w14:paraId="408D2FC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63 (26.8)</w:t>
            </w:r>
          </w:p>
        </w:tc>
      </w:tr>
      <w:tr w:rsidR="003F2138" w14:paraId="14CF0A17" w14:textId="77777777">
        <w:tc>
          <w:tcPr>
            <w:tcW w:w="5637" w:type="dxa"/>
          </w:tcPr>
          <w:p w14:paraId="5D6A94EB"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Obstruction</w:t>
            </w:r>
          </w:p>
        </w:tc>
        <w:tc>
          <w:tcPr>
            <w:tcW w:w="2885" w:type="dxa"/>
            <w:vAlign w:val="center"/>
          </w:tcPr>
          <w:p w14:paraId="5CDFE7D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8 (3.4)</w:t>
            </w:r>
          </w:p>
        </w:tc>
      </w:tr>
      <w:tr w:rsidR="003F2138" w14:paraId="460B94AA" w14:textId="77777777">
        <w:tc>
          <w:tcPr>
            <w:tcW w:w="5637" w:type="dxa"/>
          </w:tcPr>
          <w:p w14:paraId="65C2D10C"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Perforation or rupture</w:t>
            </w:r>
          </w:p>
        </w:tc>
        <w:tc>
          <w:tcPr>
            <w:tcW w:w="2885" w:type="dxa"/>
            <w:vAlign w:val="center"/>
          </w:tcPr>
          <w:p w14:paraId="7DDA982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 (0.9)</w:t>
            </w:r>
          </w:p>
        </w:tc>
      </w:tr>
      <w:tr w:rsidR="003F2138" w14:paraId="4E5786B0" w14:textId="77777777">
        <w:tc>
          <w:tcPr>
            <w:tcW w:w="5637" w:type="dxa"/>
          </w:tcPr>
          <w:p w14:paraId="455313B3"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Weight loss</w:t>
            </w:r>
          </w:p>
        </w:tc>
        <w:tc>
          <w:tcPr>
            <w:tcW w:w="2885" w:type="dxa"/>
            <w:vAlign w:val="center"/>
          </w:tcPr>
          <w:p w14:paraId="1F27A0F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7 (3.0)</w:t>
            </w:r>
          </w:p>
        </w:tc>
      </w:tr>
      <w:tr w:rsidR="003F2138" w14:paraId="3ED59284" w14:textId="77777777">
        <w:tc>
          <w:tcPr>
            <w:tcW w:w="5637" w:type="dxa"/>
          </w:tcPr>
          <w:p w14:paraId="0ED6EF0C"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Asymptomatic </w:t>
            </w:r>
          </w:p>
        </w:tc>
        <w:tc>
          <w:tcPr>
            <w:tcW w:w="2885" w:type="dxa"/>
            <w:vAlign w:val="center"/>
          </w:tcPr>
          <w:p w14:paraId="669D626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51 (21.7)</w:t>
            </w:r>
          </w:p>
        </w:tc>
      </w:tr>
      <w:tr w:rsidR="003F2138" w14:paraId="6B880628" w14:textId="77777777">
        <w:tc>
          <w:tcPr>
            <w:tcW w:w="5637" w:type="dxa"/>
          </w:tcPr>
          <w:p w14:paraId="22629E2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Preoperative laboratory variables </w:t>
            </w:r>
          </w:p>
        </w:tc>
        <w:tc>
          <w:tcPr>
            <w:tcW w:w="2885" w:type="dxa"/>
            <w:vAlign w:val="center"/>
          </w:tcPr>
          <w:p w14:paraId="3C5A33F5"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7F2A42B4" w14:textId="77777777">
        <w:tc>
          <w:tcPr>
            <w:tcW w:w="5637" w:type="dxa"/>
          </w:tcPr>
          <w:p w14:paraId="5C6129A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Hemoglobin (g/L,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16881F6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122.69 ± 29.94</w:t>
            </w:r>
          </w:p>
        </w:tc>
      </w:tr>
      <w:tr w:rsidR="003F2138" w14:paraId="58D8467F" w14:textId="77777777">
        <w:tc>
          <w:tcPr>
            <w:tcW w:w="5637" w:type="dxa"/>
          </w:tcPr>
          <w:p w14:paraId="134DF6BE"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White blood cell (10</w:t>
            </w:r>
            <w:r>
              <w:rPr>
                <w:rFonts w:ascii="Book Antiqua" w:eastAsia="宋体" w:hAnsi="Book Antiqua"/>
                <w:bCs/>
                <w:color w:val="000000" w:themeColor="text1"/>
                <w:vertAlign w:val="superscript"/>
                <w:lang w:eastAsia="zh-CN"/>
              </w:rPr>
              <w:t>9</w:t>
            </w:r>
            <w:r>
              <w:rPr>
                <w:rFonts w:ascii="Book Antiqua" w:eastAsia="宋体" w:hAnsi="Book Antiqua"/>
                <w:bCs/>
                <w:color w:val="000000" w:themeColor="text1"/>
                <w:lang w:eastAsia="zh-CN"/>
              </w:rPr>
              <w:t xml:space="preserve"> /L,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30FF9A8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6.52 ± 2.70</w:t>
            </w:r>
          </w:p>
        </w:tc>
      </w:tr>
      <w:tr w:rsidR="003F2138" w14:paraId="0C21EA51" w14:textId="77777777">
        <w:tc>
          <w:tcPr>
            <w:tcW w:w="5637" w:type="dxa"/>
          </w:tcPr>
          <w:p w14:paraId="7C154FF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bookmarkStart w:id="5" w:name="OLE_LINK5"/>
            <w:r>
              <w:rPr>
                <w:rFonts w:ascii="Book Antiqua" w:eastAsia="宋体" w:hAnsi="Book Antiqua"/>
                <w:bCs/>
                <w:color w:val="000000" w:themeColor="text1"/>
                <w:lang w:eastAsia="zh-CN"/>
              </w:rPr>
              <w:t>Neutrophil</w:t>
            </w:r>
            <w:bookmarkEnd w:id="5"/>
            <w:r>
              <w:rPr>
                <w:rFonts w:ascii="Book Antiqua" w:eastAsia="宋体" w:hAnsi="Book Antiqua"/>
                <w:bCs/>
                <w:color w:val="000000" w:themeColor="text1"/>
                <w:lang w:eastAsia="zh-CN"/>
              </w:rPr>
              <w:t xml:space="preserve"> count (10</w:t>
            </w:r>
            <w:r>
              <w:rPr>
                <w:rFonts w:ascii="Book Antiqua" w:eastAsia="宋体" w:hAnsi="Book Antiqua"/>
                <w:bCs/>
                <w:color w:val="000000" w:themeColor="text1"/>
                <w:vertAlign w:val="superscript"/>
                <w:lang w:eastAsia="zh-CN"/>
              </w:rPr>
              <w:t>9</w:t>
            </w:r>
            <w:r>
              <w:rPr>
                <w:rFonts w:ascii="Book Antiqua" w:eastAsia="宋体" w:hAnsi="Book Antiqua"/>
                <w:bCs/>
                <w:color w:val="000000" w:themeColor="text1"/>
                <w:lang w:eastAsia="zh-CN"/>
              </w:rPr>
              <w:t xml:space="preserve"> /L,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58A9FB7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4.40 ± 2.35</w:t>
            </w:r>
          </w:p>
        </w:tc>
      </w:tr>
      <w:tr w:rsidR="003F2138" w14:paraId="405737DB" w14:textId="77777777">
        <w:tc>
          <w:tcPr>
            <w:tcW w:w="5637" w:type="dxa"/>
          </w:tcPr>
          <w:p w14:paraId="0C26DB3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bookmarkStart w:id="6" w:name="OLE_LINK6"/>
            <w:r>
              <w:rPr>
                <w:rFonts w:ascii="Book Antiqua" w:eastAsia="宋体" w:hAnsi="Book Antiqua"/>
                <w:bCs/>
                <w:color w:val="000000" w:themeColor="text1"/>
                <w:lang w:eastAsia="zh-CN"/>
              </w:rPr>
              <w:t>Lymphocyte</w:t>
            </w:r>
            <w:bookmarkEnd w:id="6"/>
            <w:r>
              <w:rPr>
                <w:rFonts w:ascii="Book Antiqua" w:eastAsia="宋体" w:hAnsi="Book Antiqua"/>
                <w:bCs/>
                <w:color w:val="000000" w:themeColor="text1"/>
                <w:lang w:eastAsia="zh-CN"/>
              </w:rPr>
              <w:t xml:space="preserve"> count (10</w:t>
            </w:r>
            <w:r>
              <w:rPr>
                <w:rFonts w:ascii="Book Antiqua" w:eastAsia="宋体" w:hAnsi="Book Antiqua"/>
                <w:bCs/>
                <w:color w:val="000000" w:themeColor="text1"/>
                <w:vertAlign w:val="superscript"/>
                <w:lang w:eastAsia="zh-CN"/>
              </w:rPr>
              <w:t>9</w:t>
            </w:r>
            <w:r>
              <w:rPr>
                <w:rFonts w:ascii="Book Antiqua" w:eastAsia="宋体" w:hAnsi="Book Antiqua"/>
                <w:bCs/>
                <w:color w:val="000000" w:themeColor="text1"/>
                <w:lang w:eastAsia="zh-CN"/>
              </w:rPr>
              <w:t xml:space="preserve"> /L,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49B5039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1.42 ± 0.53</w:t>
            </w:r>
          </w:p>
        </w:tc>
      </w:tr>
      <w:tr w:rsidR="003F2138" w14:paraId="7D00811B" w14:textId="77777777">
        <w:tc>
          <w:tcPr>
            <w:tcW w:w="5637" w:type="dxa"/>
          </w:tcPr>
          <w:p w14:paraId="6D06A66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Platelet count (10</w:t>
            </w:r>
            <w:r>
              <w:rPr>
                <w:rFonts w:ascii="Book Antiqua" w:eastAsia="宋体" w:hAnsi="Book Antiqua"/>
                <w:bCs/>
                <w:color w:val="000000" w:themeColor="text1"/>
                <w:vertAlign w:val="superscript"/>
                <w:lang w:eastAsia="zh-CN"/>
              </w:rPr>
              <w:t>9</w:t>
            </w:r>
            <w:r>
              <w:rPr>
                <w:rFonts w:ascii="Book Antiqua" w:eastAsia="宋体" w:hAnsi="Book Antiqua"/>
                <w:bCs/>
                <w:color w:val="000000" w:themeColor="text1"/>
                <w:lang w:eastAsia="zh-CN"/>
              </w:rPr>
              <w:t xml:space="preserve"> /L,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332A68B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230.11 ± 100.76</w:t>
            </w:r>
          </w:p>
        </w:tc>
      </w:tr>
      <w:tr w:rsidR="003F2138" w14:paraId="34A94995" w14:textId="77777777">
        <w:tc>
          <w:tcPr>
            <w:tcW w:w="5637" w:type="dxa"/>
          </w:tcPr>
          <w:p w14:paraId="1765EB5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Albumin (g/L,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3C0205E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44.19 ± 6.66</w:t>
            </w:r>
          </w:p>
        </w:tc>
      </w:tr>
      <w:tr w:rsidR="003F2138" w14:paraId="5280A99E" w14:textId="77777777">
        <w:tc>
          <w:tcPr>
            <w:tcW w:w="5637" w:type="dxa"/>
          </w:tcPr>
          <w:p w14:paraId="5D78AAB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NLR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 </w:t>
            </w:r>
          </w:p>
        </w:tc>
        <w:tc>
          <w:tcPr>
            <w:tcW w:w="2885" w:type="dxa"/>
            <w:vAlign w:val="center"/>
          </w:tcPr>
          <w:p w14:paraId="793A73F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3.80 ± 3.95</w:t>
            </w:r>
          </w:p>
        </w:tc>
      </w:tr>
      <w:tr w:rsidR="003F2138" w14:paraId="786D6EC7" w14:textId="77777777">
        <w:tc>
          <w:tcPr>
            <w:tcW w:w="5637" w:type="dxa"/>
          </w:tcPr>
          <w:p w14:paraId="2CF8043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PLR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41C6887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184.83 ± 109.06</w:t>
            </w:r>
          </w:p>
        </w:tc>
      </w:tr>
      <w:tr w:rsidR="003F2138" w14:paraId="1EA8178A" w14:textId="77777777">
        <w:tc>
          <w:tcPr>
            <w:tcW w:w="5637" w:type="dxa"/>
          </w:tcPr>
          <w:p w14:paraId="193FC1AE"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OPNI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3DF5ED9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51.27 ± 7.12</w:t>
            </w:r>
          </w:p>
        </w:tc>
      </w:tr>
      <w:tr w:rsidR="003F2138" w14:paraId="5D9E0E17" w14:textId="77777777">
        <w:tc>
          <w:tcPr>
            <w:tcW w:w="5637" w:type="dxa"/>
          </w:tcPr>
          <w:p w14:paraId="319BDBA1"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Primary tumor site</w:t>
            </w:r>
          </w:p>
        </w:tc>
        <w:tc>
          <w:tcPr>
            <w:tcW w:w="2885" w:type="dxa"/>
            <w:vAlign w:val="center"/>
          </w:tcPr>
          <w:p w14:paraId="434588CE"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0C7454B2" w14:textId="77777777">
        <w:tc>
          <w:tcPr>
            <w:tcW w:w="5637" w:type="dxa"/>
          </w:tcPr>
          <w:p w14:paraId="138F7E9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Stomach</w:t>
            </w:r>
          </w:p>
        </w:tc>
        <w:tc>
          <w:tcPr>
            <w:tcW w:w="2885" w:type="dxa"/>
            <w:vAlign w:val="center"/>
          </w:tcPr>
          <w:p w14:paraId="02F858D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183 (77.9)</w:t>
            </w:r>
          </w:p>
        </w:tc>
      </w:tr>
      <w:tr w:rsidR="003F2138" w14:paraId="6809BF1E" w14:textId="77777777">
        <w:tc>
          <w:tcPr>
            <w:tcW w:w="5637" w:type="dxa"/>
          </w:tcPr>
          <w:p w14:paraId="65E1F36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Small intestine</w:t>
            </w:r>
          </w:p>
        </w:tc>
        <w:tc>
          <w:tcPr>
            <w:tcW w:w="2885" w:type="dxa"/>
            <w:vAlign w:val="center"/>
          </w:tcPr>
          <w:p w14:paraId="2844875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41 (17.4)</w:t>
            </w:r>
          </w:p>
        </w:tc>
      </w:tr>
      <w:tr w:rsidR="003F2138" w14:paraId="19CD7889" w14:textId="77777777">
        <w:tc>
          <w:tcPr>
            <w:tcW w:w="5637" w:type="dxa"/>
          </w:tcPr>
          <w:p w14:paraId="58F5D4E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Colorectum</w:t>
            </w:r>
          </w:p>
        </w:tc>
        <w:tc>
          <w:tcPr>
            <w:tcW w:w="2885" w:type="dxa"/>
            <w:vAlign w:val="center"/>
          </w:tcPr>
          <w:p w14:paraId="69F5E7E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 (4.3)</w:t>
            </w:r>
          </w:p>
        </w:tc>
      </w:tr>
      <w:tr w:rsidR="003F2138" w14:paraId="4C675F9E" w14:textId="77777777">
        <w:tc>
          <w:tcPr>
            <w:tcW w:w="5637" w:type="dxa"/>
          </w:tcPr>
          <w:p w14:paraId="7A95D26B"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lastRenderedPageBreak/>
              <w:t xml:space="preserve">Intraperitoneally with unknown </w:t>
            </w:r>
            <w:r>
              <w:rPr>
                <w:rFonts w:ascii="Book Antiqua" w:eastAsia="宋体" w:hAnsi="Book Antiqua"/>
                <w:bCs/>
                <w:color w:val="000000" w:themeColor="text1"/>
                <w:lang w:eastAsia="zh-CN"/>
              </w:rPr>
              <w:t>origin</w:t>
            </w:r>
          </w:p>
        </w:tc>
        <w:tc>
          <w:tcPr>
            <w:tcW w:w="2885" w:type="dxa"/>
            <w:vAlign w:val="center"/>
          </w:tcPr>
          <w:p w14:paraId="60B64AF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 (0.4)</w:t>
            </w:r>
          </w:p>
        </w:tc>
      </w:tr>
      <w:tr w:rsidR="003F2138" w14:paraId="5BEC3A8F" w14:textId="77777777">
        <w:tc>
          <w:tcPr>
            <w:tcW w:w="5637" w:type="dxa"/>
          </w:tcPr>
          <w:p w14:paraId="34CC017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Tumor size (cm,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116146F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5.003 ± 3.5458</w:t>
            </w:r>
          </w:p>
        </w:tc>
      </w:tr>
      <w:tr w:rsidR="003F2138" w14:paraId="717FA76C" w14:textId="77777777">
        <w:tc>
          <w:tcPr>
            <w:tcW w:w="5637" w:type="dxa"/>
          </w:tcPr>
          <w:p w14:paraId="108F6F12"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2.0</w:t>
            </w:r>
          </w:p>
        </w:tc>
        <w:tc>
          <w:tcPr>
            <w:tcW w:w="2885" w:type="dxa"/>
            <w:vAlign w:val="center"/>
          </w:tcPr>
          <w:p w14:paraId="69A4C75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55 (23.4)</w:t>
            </w:r>
          </w:p>
        </w:tc>
      </w:tr>
      <w:tr w:rsidR="003F2138" w14:paraId="1AC0A672" w14:textId="77777777">
        <w:tc>
          <w:tcPr>
            <w:tcW w:w="5637" w:type="dxa"/>
          </w:tcPr>
          <w:p w14:paraId="4946C622"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2.1-5.0</w:t>
            </w:r>
          </w:p>
        </w:tc>
        <w:tc>
          <w:tcPr>
            <w:tcW w:w="2885" w:type="dxa"/>
            <w:vAlign w:val="center"/>
          </w:tcPr>
          <w:p w14:paraId="3B2BCF6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93 (39.6)</w:t>
            </w:r>
          </w:p>
        </w:tc>
      </w:tr>
      <w:tr w:rsidR="003F2138" w14:paraId="003D9B0D" w14:textId="77777777">
        <w:tc>
          <w:tcPr>
            <w:tcW w:w="5637" w:type="dxa"/>
          </w:tcPr>
          <w:p w14:paraId="6BBE18D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5.1-10.0</w:t>
            </w:r>
          </w:p>
        </w:tc>
        <w:tc>
          <w:tcPr>
            <w:tcW w:w="2885" w:type="dxa"/>
            <w:vAlign w:val="center"/>
          </w:tcPr>
          <w:p w14:paraId="76CBB72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67 (28.5)</w:t>
            </w:r>
          </w:p>
        </w:tc>
      </w:tr>
      <w:tr w:rsidR="003F2138" w14:paraId="70C7D9ED" w14:textId="77777777">
        <w:tc>
          <w:tcPr>
            <w:tcW w:w="5637" w:type="dxa"/>
          </w:tcPr>
          <w:p w14:paraId="5671F36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&gt; 10.0</w:t>
            </w:r>
          </w:p>
        </w:tc>
        <w:tc>
          <w:tcPr>
            <w:tcW w:w="2885" w:type="dxa"/>
            <w:vAlign w:val="center"/>
          </w:tcPr>
          <w:p w14:paraId="6C937A4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20 (8.5)</w:t>
            </w:r>
          </w:p>
        </w:tc>
      </w:tr>
      <w:tr w:rsidR="003F2138" w14:paraId="4E869428" w14:textId="77777777">
        <w:tc>
          <w:tcPr>
            <w:tcW w:w="5637" w:type="dxa"/>
          </w:tcPr>
          <w:p w14:paraId="3E003FF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Predominant cell type</w:t>
            </w:r>
          </w:p>
        </w:tc>
        <w:tc>
          <w:tcPr>
            <w:tcW w:w="2885" w:type="dxa"/>
            <w:vAlign w:val="center"/>
          </w:tcPr>
          <w:p w14:paraId="2AA31C6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3435AE48" w14:textId="77777777">
        <w:tc>
          <w:tcPr>
            <w:tcW w:w="5637" w:type="dxa"/>
          </w:tcPr>
          <w:p w14:paraId="1BEEA77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Spindle</w:t>
            </w:r>
          </w:p>
        </w:tc>
        <w:tc>
          <w:tcPr>
            <w:tcW w:w="2885" w:type="dxa"/>
            <w:vAlign w:val="center"/>
          </w:tcPr>
          <w:p w14:paraId="2D9B270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206 (87.7)</w:t>
            </w:r>
          </w:p>
        </w:tc>
      </w:tr>
      <w:tr w:rsidR="003F2138" w14:paraId="36C92B1C" w14:textId="77777777">
        <w:tc>
          <w:tcPr>
            <w:tcW w:w="5637" w:type="dxa"/>
          </w:tcPr>
          <w:p w14:paraId="0A6BDF7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Epithelioid</w:t>
            </w:r>
          </w:p>
        </w:tc>
        <w:tc>
          <w:tcPr>
            <w:tcW w:w="2885" w:type="dxa"/>
            <w:vAlign w:val="center"/>
          </w:tcPr>
          <w:p w14:paraId="6768B3D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16 (6.8)</w:t>
            </w:r>
          </w:p>
        </w:tc>
      </w:tr>
      <w:tr w:rsidR="003F2138" w14:paraId="46C71E40" w14:textId="77777777">
        <w:tc>
          <w:tcPr>
            <w:tcW w:w="5637" w:type="dxa"/>
          </w:tcPr>
          <w:p w14:paraId="5E879462"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Mixed </w:t>
            </w:r>
          </w:p>
        </w:tc>
        <w:tc>
          <w:tcPr>
            <w:tcW w:w="2885" w:type="dxa"/>
            <w:vAlign w:val="center"/>
          </w:tcPr>
          <w:p w14:paraId="12544AD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13 (5.5)</w:t>
            </w:r>
          </w:p>
        </w:tc>
      </w:tr>
      <w:tr w:rsidR="003F2138" w14:paraId="18F28D0A" w14:textId="77777777">
        <w:tc>
          <w:tcPr>
            <w:tcW w:w="5637" w:type="dxa"/>
          </w:tcPr>
          <w:p w14:paraId="5FE04D6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Mitotic index (per </w:t>
            </w:r>
            <w:bookmarkStart w:id="7" w:name="OLE_LINK1"/>
            <w:r>
              <w:rPr>
                <w:rFonts w:ascii="Book Antiqua" w:eastAsia="宋体" w:hAnsi="Book Antiqua"/>
                <w:bCs/>
                <w:color w:val="000000" w:themeColor="text1"/>
                <w:lang w:eastAsia="zh-CN"/>
              </w:rPr>
              <w:t>50 HPFs</w:t>
            </w:r>
            <w:bookmarkEnd w:id="7"/>
            <w:r>
              <w:rPr>
                <w:rFonts w:ascii="Book Antiqua" w:eastAsia="宋体" w:hAnsi="Book Antiqua"/>
                <w:bCs/>
                <w:color w:val="000000" w:themeColor="text1"/>
                <w:lang w:eastAsia="zh-CN"/>
              </w:rPr>
              <w:t>)</w:t>
            </w:r>
          </w:p>
        </w:tc>
        <w:tc>
          <w:tcPr>
            <w:tcW w:w="2885" w:type="dxa"/>
            <w:vAlign w:val="center"/>
          </w:tcPr>
          <w:p w14:paraId="3B070FB6"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6D1BC25D" w14:textId="77777777">
        <w:tc>
          <w:tcPr>
            <w:tcW w:w="5637" w:type="dxa"/>
          </w:tcPr>
          <w:p w14:paraId="2C197CE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bookmarkStart w:id="8" w:name="OLE_LINK2"/>
            <w:r>
              <w:rPr>
                <w:rFonts w:ascii="Book Antiqua" w:eastAsia="宋体" w:hAnsi="Book Antiqua"/>
                <w:bCs/>
                <w:color w:val="000000" w:themeColor="text1"/>
                <w:lang w:eastAsia="zh-CN"/>
              </w:rPr>
              <w:t>≤ 5</w:t>
            </w:r>
            <w:bookmarkEnd w:id="8"/>
          </w:p>
        </w:tc>
        <w:tc>
          <w:tcPr>
            <w:tcW w:w="2885" w:type="dxa"/>
            <w:vAlign w:val="center"/>
          </w:tcPr>
          <w:p w14:paraId="68D922D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182 </w:t>
            </w:r>
            <w:r>
              <w:rPr>
                <w:rFonts w:ascii="Book Antiqua" w:eastAsia="宋体" w:hAnsi="Book Antiqua"/>
                <w:bCs/>
                <w:color w:val="000000" w:themeColor="text1"/>
                <w:lang w:eastAsia="zh-CN"/>
              </w:rPr>
              <w:t>(77.4)</w:t>
            </w:r>
          </w:p>
        </w:tc>
      </w:tr>
      <w:tr w:rsidR="003F2138" w14:paraId="4CCC25F8" w14:textId="77777777">
        <w:tc>
          <w:tcPr>
            <w:tcW w:w="5637" w:type="dxa"/>
          </w:tcPr>
          <w:p w14:paraId="5CFC6591"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bookmarkStart w:id="9" w:name="OLE_LINK3"/>
            <w:r>
              <w:rPr>
                <w:rFonts w:ascii="Book Antiqua" w:eastAsia="宋体" w:hAnsi="Book Antiqua"/>
                <w:bCs/>
                <w:color w:val="000000" w:themeColor="text1"/>
                <w:lang w:eastAsia="zh-CN"/>
              </w:rPr>
              <w:t>6-10</w:t>
            </w:r>
            <w:bookmarkEnd w:id="9"/>
          </w:p>
        </w:tc>
        <w:tc>
          <w:tcPr>
            <w:tcW w:w="2885" w:type="dxa"/>
            <w:vAlign w:val="center"/>
          </w:tcPr>
          <w:p w14:paraId="59D1483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43 (18.3)</w:t>
            </w:r>
          </w:p>
        </w:tc>
      </w:tr>
      <w:tr w:rsidR="003F2138" w14:paraId="684474BF" w14:textId="77777777">
        <w:tc>
          <w:tcPr>
            <w:tcW w:w="5637" w:type="dxa"/>
          </w:tcPr>
          <w:p w14:paraId="4ED97994"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bookmarkStart w:id="10" w:name="OLE_LINK4"/>
            <w:r>
              <w:rPr>
                <w:rFonts w:ascii="Book Antiqua" w:eastAsia="宋体" w:hAnsi="Book Antiqua"/>
                <w:bCs/>
                <w:color w:val="000000" w:themeColor="text1"/>
                <w:lang w:eastAsia="zh-CN"/>
              </w:rPr>
              <w:t>&gt; 10</w:t>
            </w:r>
            <w:bookmarkEnd w:id="10"/>
          </w:p>
        </w:tc>
        <w:tc>
          <w:tcPr>
            <w:tcW w:w="2885" w:type="dxa"/>
            <w:vAlign w:val="center"/>
          </w:tcPr>
          <w:p w14:paraId="0819FE7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 (4.3)</w:t>
            </w:r>
          </w:p>
        </w:tc>
      </w:tr>
      <w:tr w:rsidR="003F2138" w14:paraId="40C2EE77" w14:textId="77777777">
        <w:tc>
          <w:tcPr>
            <w:tcW w:w="5637" w:type="dxa"/>
          </w:tcPr>
          <w:p w14:paraId="253FA8D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Necrosis </w:t>
            </w:r>
          </w:p>
        </w:tc>
        <w:tc>
          <w:tcPr>
            <w:tcW w:w="2885" w:type="dxa"/>
            <w:vAlign w:val="center"/>
          </w:tcPr>
          <w:p w14:paraId="163D17B3"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7E0D9E32" w14:textId="77777777">
        <w:tc>
          <w:tcPr>
            <w:tcW w:w="5637" w:type="dxa"/>
          </w:tcPr>
          <w:p w14:paraId="11432D2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Yes </w:t>
            </w:r>
          </w:p>
        </w:tc>
        <w:tc>
          <w:tcPr>
            <w:tcW w:w="2885" w:type="dxa"/>
            <w:vAlign w:val="center"/>
          </w:tcPr>
          <w:p w14:paraId="5928673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66 (28.1)</w:t>
            </w:r>
          </w:p>
        </w:tc>
      </w:tr>
      <w:tr w:rsidR="003F2138" w14:paraId="771EB8A3" w14:textId="77777777">
        <w:tc>
          <w:tcPr>
            <w:tcW w:w="5637" w:type="dxa"/>
          </w:tcPr>
          <w:p w14:paraId="6B7ADAD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No </w:t>
            </w:r>
          </w:p>
        </w:tc>
        <w:tc>
          <w:tcPr>
            <w:tcW w:w="2885" w:type="dxa"/>
            <w:vAlign w:val="center"/>
          </w:tcPr>
          <w:p w14:paraId="632AAC3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169 (71.9)</w:t>
            </w:r>
          </w:p>
        </w:tc>
      </w:tr>
      <w:tr w:rsidR="003F2138" w14:paraId="4C5146EE" w14:textId="77777777">
        <w:tc>
          <w:tcPr>
            <w:tcW w:w="5637" w:type="dxa"/>
          </w:tcPr>
          <w:p w14:paraId="709E378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Tumor rupture </w:t>
            </w:r>
          </w:p>
        </w:tc>
        <w:tc>
          <w:tcPr>
            <w:tcW w:w="2885" w:type="dxa"/>
            <w:vAlign w:val="center"/>
          </w:tcPr>
          <w:p w14:paraId="00C6239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74F63E86" w14:textId="77777777">
        <w:tc>
          <w:tcPr>
            <w:tcW w:w="5637" w:type="dxa"/>
          </w:tcPr>
          <w:p w14:paraId="651AECD4"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Yes </w:t>
            </w:r>
          </w:p>
        </w:tc>
        <w:tc>
          <w:tcPr>
            <w:tcW w:w="2885" w:type="dxa"/>
            <w:vAlign w:val="center"/>
          </w:tcPr>
          <w:p w14:paraId="54FC7A8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11 (4.7)</w:t>
            </w:r>
          </w:p>
        </w:tc>
      </w:tr>
      <w:tr w:rsidR="003F2138" w14:paraId="4F8C7593" w14:textId="77777777">
        <w:tc>
          <w:tcPr>
            <w:tcW w:w="5637" w:type="dxa"/>
          </w:tcPr>
          <w:p w14:paraId="25C98993"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No </w:t>
            </w:r>
          </w:p>
        </w:tc>
        <w:tc>
          <w:tcPr>
            <w:tcW w:w="2885" w:type="dxa"/>
            <w:vAlign w:val="center"/>
          </w:tcPr>
          <w:p w14:paraId="3FAF9FA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224 (95.3)</w:t>
            </w:r>
          </w:p>
        </w:tc>
      </w:tr>
      <w:tr w:rsidR="003F2138" w14:paraId="3A13F0D8" w14:textId="77777777">
        <w:tc>
          <w:tcPr>
            <w:tcW w:w="5637" w:type="dxa"/>
          </w:tcPr>
          <w:p w14:paraId="5A87732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Risk classification </w:t>
            </w:r>
          </w:p>
        </w:tc>
        <w:tc>
          <w:tcPr>
            <w:tcW w:w="2885" w:type="dxa"/>
            <w:vAlign w:val="center"/>
          </w:tcPr>
          <w:p w14:paraId="195A58F8"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07428143" w14:textId="77777777">
        <w:tc>
          <w:tcPr>
            <w:tcW w:w="5637" w:type="dxa"/>
          </w:tcPr>
          <w:p w14:paraId="2A0B64A3"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Very low risk</w:t>
            </w:r>
          </w:p>
        </w:tc>
        <w:tc>
          <w:tcPr>
            <w:tcW w:w="2885" w:type="dxa"/>
            <w:vAlign w:val="center"/>
          </w:tcPr>
          <w:p w14:paraId="122096B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58 (24.7)</w:t>
            </w:r>
          </w:p>
        </w:tc>
      </w:tr>
      <w:tr w:rsidR="003F2138" w14:paraId="43A4BBBA" w14:textId="77777777">
        <w:tc>
          <w:tcPr>
            <w:tcW w:w="5637" w:type="dxa"/>
          </w:tcPr>
          <w:p w14:paraId="1D65A33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Low risk</w:t>
            </w:r>
          </w:p>
        </w:tc>
        <w:tc>
          <w:tcPr>
            <w:tcW w:w="2885" w:type="dxa"/>
            <w:vAlign w:val="center"/>
          </w:tcPr>
          <w:p w14:paraId="5F33071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77 (32.8)</w:t>
            </w:r>
          </w:p>
        </w:tc>
      </w:tr>
      <w:tr w:rsidR="003F2138" w14:paraId="29E90A04" w14:textId="77777777">
        <w:tc>
          <w:tcPr>
            <w:tcW w:w="5637" w:type="dxa"/>
          </w:tcPr>
          <w:p w14:paraId="21C2A06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Intermediate risk</w:t>
            </w:r>
          </w:p>
        </w:tc>
        <w:tc>
          <w:tcPr>
            <w:tcW w:w="2885" w:type="dxa"/>
            <w:vAlign w:val="center"/>
          </w:tcPr>
          <w:p w14:paraId="429003A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41 (17.4)</w:t>
            </w:r>
          </w:p>
        </w:tc>
      </w:tr>
      <w:tr w:rsidR="003F2138" w14:paraId="6FDF0338" w14:textId="77777777">
        <w:tc>
          <w:tcPr>
            <w:tcW w:w="5637" w:type="dxa"/>
          </w:tcPr>
          <w:p w14:paraId="6C3207F4"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High risk</w:t>
            </w:r>
          </w:p>
        </w:tc>
        <w:tc>
          <w:tcPr>
            <w:tcW w:w="2885" w:type="dxa"/>
            <w:vAlign w:val="center"/>
          </w:tcPr>
          <w:p w14:paraId="566806F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59 (25.1)</w:t>
            </w:r>
          </w:p>
        </w:tc>
      </w:tr>
      <w:tr w:rsidR="003F2138" w14:paraId="7C41F9D4" w14:textId="77777777">
        <w:tc>
          <w:tcPr>
            <w:tcW w:w="5637" w:type="dxa"/>
          </w:tcPr>
          <w:p w14:paraId="598B79F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CD117 </w:t>
            </w:r>
          </w:p>
        </w:tc>
        <w:tc>
          <w:tcPr>
            <w:tcW w:w="2885" w:type="dxa"/>
            <w:vAlign w:val="center"/>
          </w:tcPr>
          <w:p w14:paraId="56D31E65"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54413730" w14:textId="77777777">
        <w:tc>
          <w:tcPr>
            <w:tcW w:w="5637" w:type="dxa"/>
          </w:tcPr>
          <w:p w14:paraId="0A1A44D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2CD075B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 (1.7)</w:t>
            </w:r>
          </w:p>
        </w:tc>
      </w:tr>
      <w:tr w:rsidR="003F2138" w14:paraId="73CEEEEE" w14:textId="77777777">
        <w:tc>
          <w:tcPr>
            <w:tcW w:w="5637" w:type="dxa"/>
          </w:tcPr>
          <w:p w14:paraId="64EF0560"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40AE250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169 (71.9)</w:t>
            </w:r>
          </w:p>
        </w:tc>
      </w:tr>
      <w:tr w:rsidR="003F2138" w14:paraId="3DB7C5DC" w14:textId="77777777">
        <w:tc>
          <w:tcPr>
            <w:tcW w:w="5637" w:type="dxa"/>
          </w:tcPr>
          <w:p w14:paraId="64B1108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77D4E73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18 (7.7)</w:t>
            </w:r>
          </w:p>
        </w:tc>
      </w:tr>
      <w:tr w:rsidR="003F2138" w14:paraId="158AAD49" w14:textId="77777777">
        <w:tc>
          <w:tcPr>
            <w:tcW w:w="5637" w:type="dxa"/>
          </w:tcPr>
          <w:p w14:paraId="4E2E537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62453EE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44 (18.7)</w:t>
            </w:r>
          </w:p>
        </w:tc>
      </w:tr>
      <w:tr w:rsidR="003F2138" w14:paraId="40E1469E" w14:textId="77777777">
        <w:tc>
          <w:tcPr>
            <w:tcW w:w="5637" w:type="dxa"/>
          </w:tcPr>
          <w:p w14:paraId="0426980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CD34 </w:t>
            </w:r>
          </w:p>
        </w:tc>
        <w:tc>
          <w:tcPr>
            <w:tcW w:w="2885" w:type="dxa"/>
            <w:vAlign w:val="center"/>
          </w:tcPr>
          <w:p w14:paraId="57A3C59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454F4A4E" w14:textId="77777777">
        <w:tc>
          <w:tcPr>
            <w:tcW w:w="5637" w:type="dxa"/>
          </w:tcPr>
          <w:p w14:paraId="1D5EFDC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lastRenderedPageBreak/>
              <w:t>(–)</w:t>
            </w:r>
          </w:p>
        </w:tc>
        <w:tc>
          <w:tcPr>
            <w:tcW w:w="2885" w:type="dxa"/>
            <w:vAlign w:val="center"/>
          </w:tcPr>
          <w:p w14:paraId="603AA81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11 (4.7)</w:t>
            </w:r>
          </w:p>
        </w:tc>
      </w:tr>
      <w:tr w:rsidR="003F2138" w14:paraId="345D95D0" w14:textId="77777777">
        <w:tc>
          <w:tcPr>
            <w:tcW w:w="5637" w:type="dxa"/>
          </w:tcPr>
          <w:p w14:paraId="0DE264E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4145F89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165 (70.2)</w:t>
            </w:r>
          </w:p>
        </w:tc>
      </w:tr>
      <w:tr w:rsidR="003F2138" w14:paraId="0441CCBE" w14:textId="77777777">
        <w:tc>
          <w:tcPr>
            <w:tcW w:w="5637" w:type="dxa"/>
          </w:tcPr>
          <w:p w14:paraId="05491CD1"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60E31FA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12 (5.1)</w:t>
            </w:r>
          </w:p>
        </w:tc>
      </w:tr>
      <w:tr w:rsidR="003F2138" w14:paraId="0828B26A" w14:textId="77777777">
        <w:tc>
          <w:tcPr>
            <w:tcW w:w="5637" w:type="dxa"/>
          </w:tcPr>
          <w:p w14:paraId="6B5859A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37746A8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47 (20.0)</w:t>
            </w:r>
          </w:p>
        </w:tc>
      </w:tr>
      <w:tr w:rsidR="003F2138" w14:paraId="211B3D49" w14:textId="77777777">
        <w:tc>
          <w:tcPr>
            <w:tcW w:w="5637" w:type="dxa"/>
          </w:tcPr>
          <w:p w14:paraId="1C51446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DOG-1</w:t>
            </w:r>
          </w:p>
        </w:tc>
        <w:tc>
          <w:tcPr>
            <w:tcW w:w="2885" w:type="dxa"/>
            <w:vAlign w:val="center"/>
          </w:tcPr>
          <w:p w14:paraId="74BA1096"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686AACC8" w14:textId="77777777">
        <w:tc>
          <w:tcPr>
            <w:tcW w:w="5637" w:type="dxa"/>
          </w:tcPr>
          <w:p w14:paraId="2D0AD77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13F9923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3 (1.3)</w:t>
            </w:r>
          </w:p>
        </w:tc>
      </w:tr>
      <w:tr w:rsidR="003F2138" w14:paraId="2B2597FB" w14:textId="77777777">
        <w:tc>
          <w:tcPr>
            <w:tcW w:w="5637" w:type="dxa"/>
          </w:tcPr>
          <w:p w14:paraId="5F7350F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65F60B8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211 (89.8)</w:t>
            </w:r>
          </w:p>
        </w:tc>
      </w:tr>
      <w:tr w:rsidR="003F2138" w14:paraId="5741847E" w14:textId="77777777">
        <w:tc>
          <w:tcPr>
            <w:tcW w:w="5637" w:type="dxa"/>
          </w:tcPr>
          <w:p w14:paraId="5C4452C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4428408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12 (5.1)</w:t>
            </w:r>
          </w:p>
        </w:tc>
      </w:tr>
      <w:tr w:rsidR="003F2138" w14:paraId="0EEAE9A1" w14:textId="77777777">
        <w:tc>
          <w:tcPr>
            <w:tcW w:w="5637" w:type="dxa"/>
          </w:tcPr>
          <w:p w14:paraId="0784A7C0"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2885" w:type="dxa"/>
            <w:vAlign w:val="center"/>
          </w:tcPr>
          <w:p w14:paraId="0724194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9 (3.8)</w:t>
            </w:r>
          </w:p>
        </w:tc>
      </w:tr>
      <w:tr w:rsidR="003F2138" w14:paraId="4BEE642D" w14:textId="77777777">
        <w:tc>
          <w:tcPr>
            <w:tcW w:w="5637" w:type="dxa"/>
          </w:tcPr>
          <w:p w14:paraId="65116C6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Ki-67 index (%,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6877832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4.65 ± 6.37</w:t>
            </w:r>
          </w:p>
        </w:tc>
      </w:tr>
      <w:tr w:rsidR="003F2138" w14:paraId="2F246D64" w14:textId="77777777">
        <w:tc>
          <w:tcPr>
            <w:tcW w:w="5637" w:type="dxa"/>
          </w:tcPr>
          <w:p w14:paraId="1385EE5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Follow-up time (months, mean </w:t>
            </w:r>
            <w:r>
              <w:rPr>
                <w:rFonts w:ascii="Book Antiqua" w:eastAsia="宋体" w:hAnsi="Book Antiqua"/>
                <w:bCs/>
                <w:color w:val="000000" w:themeColor="text1"/>
                <w:lang w:eastAsia="zh-CN"/>
              </w:rPr>
              <w:sym w:font="Symbol" w:char="F0B1"/>
            </w:r>
            <w:r>
              <w:rPr>
                <w:rFonts w:ascii="Book Antiqua" w:eastAsia="宋体" w:hAnsi="Book Antiqua"/>
                <w:bCs/>
                <w:color w:val="000000" w:themeColor="text1"/>
                <w:lang w:eastAsia="zh-CN"/>
              </w:rPr>
              <w:t xml:space="preserve"> SD)</w:t>
            </w:r>
          </w:p>
        </w:tc>
        <w:tc>
          <w:tcPr>
            <w:tcW w:w="2885" w:type="dxa"/>
            <w:vAlign w:val="center"/>
          </w:tcPr>
          <w:p w14:paraId="14161B5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40.20 ± 20.18</w:t>
            </w:r>
          </w:p>
        </w:tc>
      </w:tr>
      <w:tr w:rsidR="003F2138" w14:paraId="360071BB" w14:textId="77777777">
        <w:tc>
          <w:tcPr>
            <w:tcW w:w="5637" w:type="dxa"/>
          </w:tcPr>
          <w:p w14:paraId="23856E6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Follow-up status</w:t>
            </w:r>
          </w:p>
        </w:tc>
        <w:tc>
          <w:tcPr>
            <w:tcW w:w="2885" w:type="dxa"/>
            <w:vAlign w:val="center"/>
          </w:tcPr>
          <w:p w14:paraId="50E9D796"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r>
      <w:tr w:rsidR="003F2138" w14:paraId="63C2D6BF" w14:textId="77777777">
        <w:tc>
          <w:tcPr>
            <w:tcW w:w="5637" w:type="dxa"/>
          </w:tcPr>
          <w:p w14:paraId="4A17DD69"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Relapse-free survival</w:t>
            </w:r>
          </w:p>
        </w:tc>
        <w:tc>
          <w:tcPr>
            <w:tcW w:w="2885" w:type="dxa"/>
            <w:vAlign w:val="center"/>
          </w:tcPr>
          <w:p w14:paraId="1095F41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215 (91.5)</w:t>
            </w:r>
          </w:p>
        </w:tc>
      </w:tr>
      <w:tr w:rsidR="003F2138" w14:paraId="4213FC7D" w14:textId="77777777">
        <w:tc>
          <w:tcPr>
            <w:tcW w:w="5637" w:type="dxa"/>
          </w:tcPr>
          <w:p w14:paraId="44B551E6"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Relapse </w:t>
            </w:r>
          </w:p>
        </w:tc>
        <w:tc>
          <w:tcPr>
            <w:tcW w:w="2885" w:type="dxa"/>
            <w:vAlign w:val="center"/>
          </w:tcPr>
          <w:p w14:paraId="7B13CFB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15 (6.4)</w:t>
            </w:r>
          </w:p>
        </w:tc>
      </w:tr>
      <w:tr w:rsidR="003F2138" w14:paraId="6D962248" w14:textId="77777777">
        <w:tc>
          <w:tcPr>
            <w:tcW w:w="5637" w:type="dxa"/>
          </w:tcPr>
          <w:p w14:paraId="13CA27FF"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Metastasis </w:t>
            </w:r>
          </w:p>
        </w:tc>
        <w:tc>
          <w:tcPr>
            <w:tcW w:w="2885" w:type="dxa"/>
            <w:vAlign w:val="center"/>
          </w:tcPr>
          <w:p w14:paraId="4D6D1A4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 (2.1)</w:t>
            </w:r>
          </w:p>
        </w:tc>
      </w:tr>
    </w:tbl>
    <w:p w14:paraId="33AE141A"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NLR: Neutrophil-to-lymphocyte ratio; PLR: Platelet-to-lymphocyte ratio; OPNI: Onodera’s Prognostic Nutritional </w:t>
      </w:r>
      <w:r>
        <w:rPr>
          <w:rFonts w:ascii="Book Antiqua" w:eastAsia="Book Antiqua" w:hAnsi="Book Antiqua" w:cs="Book Antiqua"/>
          <w:color w:val="000000" w:themeColor="text1"/>
        </w:rPr>
        <w:t>Index.</w:t>
      </w:r>
    </w:p>
    <w:p w14:paraId="3845EB4F" w14:textId="77777777" w:rsidR="003F2138" w:rsidRDefault="003F2138">
      <w:pPr>
        <w:adjustRightInd w:val="0"/>
        <w:snapToGrid w:val="0"/>
        <w:spacing w:line="360" w:lineRule="auto"/>
        <w:jc w:val="both"/>
        <w:rPr>
          <w:rFonts w:ascii="Book Antiqua" w:hAnsi="Book Antiqua"/>
          <w:color w:val="000000" w:themeColor="text1"/>
        </w:rPr>
      </w:pPr>
    </w:p>
    <w:p w14:paraId="6D610293" w14:textId="77777777" w:rsidR="003F2138" w:rsidRDefault="003F2138">
      <w:pPr>
        <w:adjustRightInd w:val="0"/>
        <w:snapToGrid w:val="0"/>
        <w:spacing w:line="360" w:lineRule="auto"/>
        <w:jc w:val="both"/>
        <w:rPr>
          <w:rFonts w:ascii="Book Antiqua" w:hAnsi="Book Antiqua"/>
          <w:color w:val="000000" w:themeColor="text1"/>
        </w:rPr>
        <w:sectPr w:rsidR="003F2138">
          <w:endnotePr>
            <w:numFmt w:val="decimal"/>
          </w:endnotePr>
          <w:pgSz w:w="11906" w:h="16838"/>
          <w:pgMar w:top="1440" w:right="1416" w:bottom="1440" w:left="1418" w:header="851" w:footer="992" w:gutter="0"/>
          <w:pgNumType w:start="1"/>
          <w:cols w:space="425"/>
          <w:docGrid w:type="lines" w:linePitch="312"/>
        </w:sectPr>
      </w:pPr>
    </w:p>
    <w:p w14:paraId="3DACA92E"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r>
        <w:rPr>
          <w:rFonts w:ascii="Book Antiqua" w:hAnsi="Book Antiqua"/>
          <w:b/>
          <w:color w:val="000000" w:themeColor="text1"/>
        </w:rPr>
        <w:lastRenderedPageBreak/>
        <w:t>Table 2</w:t>
      </w:r>
      <w:r>
        <w:rPr>
          <w:rFonts w:ascii="Book Antiqua" w:eastAsia="Book Antiqua" w:hAnsi="Book Antiqua" w:cs="Book Antiqua"/>
          <w:b/>
          <w:bCs/>
          <w:color w:val="000000" w:themeColor="text1"/>
        </w:rPr>
        <w:t xml:space="preserve"> Receiver operator characteristic</w:t>
      </w:r>
      <w:r>
        <w:rPr>
          <w:rFonts w:ascii="Book Antiqua" w:hAnsi="Book Antiqua"/>
          <w:b/>
          <w:color w:val="000000" w:themeColor="text1"/>
        </w:rPr>
        <w:t xml:space="preserve"> analyses for </w:t>
      </w:r>
      <w:r>
        <w:rPr>
          <w:rFonts w:ascii="Book Antiqua" w:eastAsia="Book Antiqua" w:hAnsi="Book Antiqua" w:cs="Book Antiqua"/>
          <w:b/>
          <w:color w:val="000000" w:themeColor="text1"/>
        </w:rPr>
        <w:t>neutrophil-to-lymphocyte ratio</w:t>
      </w:r>
      <w:r>
        <w:rPr>
          <w:rFonts w:ascii="Book Antiqua" w:hAnsi="Book Antiqua"/>
          <w:b/>
          <w:color w:val="000000" w:themeColor="text1"/>
        </w:rPr>
        <w:t xml:space="preserve">, </w:t>
      </w:r>
      <w:r>
        <w:rPr>
          <w:rFonts w:ascii="Book Antiqua" w:eastAsia="Book Antiqua" w:hAnsi="Book Antiqua" w:cs="Book Antiqua"/>
          <w:b/>
          <w:color w:val="000000" w:themeColor="text1"/>
        </w:rPr>
        <w:t>platelet-to-lymphocyte ratio</w:t>
      </w:r>
      <w:r>
        <w:rPr>
          <w:rFonts w:ascii="Book Antiqua" w:hAnsi="Book Antiqua"/>
          <w:b/>
          <w:color w:val="000000" w:themeColor="text1"/>
        </w:rPr>
        <w:t xml:space="preserve">, </w:t>
      </w:r>
      <w:r>
        <w:rPr>
          <w:rFonts w:ascii="Book Antiqua" w:eastAsia="Book Antiqua" w:hAnsi="Book Antiqua" w:cs="Book Antiqua"/>
          <w:b/>
          <w:color w:val="000000" w:themeColor="text1"/>
        </w:rPr>
        <w:t>Onodera’s Prognostic Nutritional Index</w:t>
      </w:r>
      <w:r>
        <w:rPr>
          <w:rFonts w:ascii="Book Antiqua" w:hAnsi="Book Antiqua"/>
          <w:b/>
          <w:color w:val="000000" w:themeColor="text1"/>
        </w:rPr>
        <w:t>, and ki-67 index</w:t>
      </w:r>
    </w:p>
    <w:tbl>
      <w:tblPr>
        <w:tblStyle w:val="a8"/>
        <w:tblpPr w:leftFromText="180" w:rightFromText="180" w:vertAnchor="page" w:horzAnchor="margin" w:tblpY="279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663"/>
        <w:gridCol w:w="1662"/>
        <w:gridCol w:w="1662"/>
        <w:gridCol w:w="1662"/>
      </w:tblGrid>
      <w:tr w:rsidR="003F2138" w14:paraId="348070F0" w14:textId="77777777">
        <w:tc>
          <w:tcPr>
            <w:tcW w:w="1000" w:type="pct"/>
            <w:tcBorders>
              <w:top w:val="single" w:sz="4" w:space="0" w:color="auto"/>
              <w:bottom w:val="single" w:sz="4" w:space="0" w:color="auto"/>
            </w:tcBorders>
          </w:tcPr>
          <w:p w14:paraId="23E31338" w14:textId="77777777" w:rsidR="003F2138" w:rsidRDefault="003F2138">
            <w:pPr>
              <w:adjustRightInd w:val="0"/>
              <w:snapToGrid w:val="0"/>
              <w:spacing w:line="360" w:lineRule="auto"/>
              <w:jc w:val="both"/>
              <w:rPr>
                <w:rFonts w:ascii="Book Antiqua" w:eastAsia="宋体" w:hAnsi="Book Antiqua"/>
                <w:color w:val="000000" w:themeColor="text1"/>
                <w:lang w:eastAsia="zh-CN"/>
              </w:rPr>
            </w:pPr>
          </w:p>
        </w:tc>
        <w:tc>
          <w:tcPr>
            <w:tcW w:w="1000" w:type="pct"/>
            <w:tcBorders>
              <w:top w:val="single" w:sz="4" w:space="0" w:color="auto"/>
              <w:bottom w:val="single" w:sz="4" w:space="0" w:color="auto"/>
            </w:tcBorders>
          </w:tcPr>
          <w:p w14:paraId="59650616"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b/>
                <w:color w:val="000000" w:themeColor="text1"/>
                <w:lang w:eastAsia="zh-CN"/>
              </w:rPr>
              <w:t>NLR</w:t>
            </w:r>
          </w:p>
        </w:tc>
        <w:tc>
          <w:tcPr>
            <w:tcW w:w="1000" w:type="pct"/>
            <w:tcBorders>
              <w:top w:val="single" w:sz="4" w:space="0" w:color="auto"/>
              <w:bottom w:val="single" w:sz="4" w:space="0" w:color="auto"/>
            </w:tcBorders>
          </w:tcPr>
          <w:p w14:paraId="13A7636B"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b/>
                <w:color w:val="000000" w:themeColor="text1"/>
                <w:lang w:eastAsia="zh-CN"/>
              </w:rPr>
              <w:t>PLR</w:t>
            </w:r>
          </w:p>
        </w:tc>
        <w:tc>
          <w:tcPr>
            <w:tcW w:w="1000" w:type="pct"/>
            <w:tcBorders>
              <w:top w:val="single" w:sz="4" w:space="0" w:color="auto"/>
              <w:bottom w:val="single" w:sz="4" w:space="0" w:color="auto"/>
            </w:tcBorders>
          </w:tcPr>
          <w:p w14:paraId="179DC927"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OPNI</w:t>
            </w:r>
          </w:p>
        </w:tc>
        <w:tc>
          <w:tcPr>
            <w:tcW w:w="1000" w:type="pct"/>
            <w:tcBorders>
              <w:top w:val="single" w:sz="4" w:space="0" w:color="auto"/>
              <w:bottom w:val="single" w:sz="4" w:space="0" w:color="auto"/>
            </w:tcBorders>
          </w:tcPr>
          <w:p w14:paraId="1B3AA95F"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b/>
                <w:color w:val="000000" w:themeColor="text1"/>
                <w:lang w:eastAsia="zh-CN"/>
              </w:rPr>
              <w:t>Ki-67 index</w:t>
            </w:r>
          </w:p>
        </w:tc>
      </w:tr>
      <w:tr w:rsidR="003F2138" w14:paraId="2A15DE91" w14:textId="77777777">
        <w:tc>
          <w:tcPr>
            <w:tcW w:w="1000" w:type="pct"/>
            <w:tcBorders>
              <w:top w:val="single" w:sz="4" w:space="0" w:color="auto"/>
            </w:tcBorders>
          </w:tcPr>
          <w:p w14:paraId="3E796F5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Cut-off point</w:t>
            </w:r>
          </w:p>
        </w:tc>
        <w:tc>
          <w:tcPr>
            <w:tcW w:w="1000" w:type="pct"/>
            <w:tcBorders>
              <w:top w:val="single" w:sz="4" w:space="0" w:color="auto"/>
            </w:tcBorders>
          </w:tcPr>
          <w:p w14:paraId="53B159B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4.34</w:t>
            </w:r>
          </w:p>
        </w:tc>
        <w:tc>
          <w:tcPr>
            <w:tcW w:w="1000" w:type="pct"/>
            <w:tcBorders>
              <w:top w:val="single" w:sz="4" w:space="0" w:color="auto"/>
            </w:tcBorders>
          </w:tcPr>
          <w:p w14:paraId="55CC682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220.76</w:t>
            </w:r>
          </w:p>
        </w:tc>
        <w:tc>
          <w:tcPr>
            <w:tcW w:w="1000" w:type="pct"/>
            <w:tcBorders>
              <w:top w:val="single" w:sz="4" w:space="0" w:color="auto"/>
            </w:tcBorders>
          </w:tcPr>
          <w:p w14:paraId="1DC548E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51.30</w:t>
            </w:r>
          </w:p>
        </w:tc>
        <w:tc>
          <w:tcPr>
            <w:tcW w:w="1000" w:type="pct"/>
            <w:tcBorders>
              <w:top w:val="single" w:sz="4" w:space="0" w:color="auto"/>
            </w:tcBorders>
          </w:tcPr>
          <w:p w14:paraId="3489EB5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2.5%</w:t>
            </w:r>
          </w:p>
        </w:tc>
      </w:tr>
      <w:tr w:rsidR="003F2138" w14:paraId="582F573A" w14:textId="77777777">
        <w:tc>
          <w:tcPr>
            <w:tcW w:w="1000" w:type="pct"/>
          </w:tcPr>
          <w:p w14:paraId="24082D7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Sensitivity% (95%CI)</w:t>
            </w:r>
          </w:p>
        </w:tc>
        <w:tc>
          <w:tcPr>
            <w:tcW w:w="1000" w:type="pct"/>
          </w:tcPr>
          <w:p w14:paraId="68C5822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35.00 (25.73-45.19)</w:t>
            </w:r>
          </w:p>
        </w:tc>
        <w:tc>
          <w:tcPr>
            <w:tcW w:w="1000" w:type="pct"/>
          </w:tcPr>
          <w:p w14:paraId="7C1DF98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49.00 (38.86-59.20)</w:t>
            </w:r>
          </w:p>
        </w:tc>
        <w:tc>
          <w:tcPr>
            <w:tcW w:w="1000" w:type="pct"/>
          </w:tcPr>
          <w:p w14:paraId="24FAFCE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76.00 (66.43-83.98)</w:t>
            </w:r>
          </w:p>
        </w:tc>
        <w:tc>
          <w:tcPr>
            <w:tcW w:w="1000" w:type="pct"/>
          </w:tcPr>
          <w:p w14:paraId="4BC4CE6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63.00 (52.76-72.44)</w:t>
            </w:r>
          </w:p>
        </w:tc>
      </w:tr>
      <w:tr w:rsidR="003F2138" w14:paraId="0CA96913" w14:textId="77777777">
        <w:tc>
          <w:tcPr>
            <w:tcW w:w="1000" w:type="pct"/>
          </w:tcPr>
          <w:p w14:paraId="2B32380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Specificity% (95%CI)</w:t>
            </w:r>
          </w:p>
        </w:tc>
        <w:tc>
          <w:tcPr>
            <w:tcW w:w="1000" w:type="pct"/>
          </w:tcPr>
          <w:p w14:paraId="409CCE0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88.15 (81.47-93.07)</w:t>
            </w:r>
          </w:p>
        </w:tc>
        <w:tc>
          <w:tcPr>
            <w:tcW w:w="1000" w:type="pct"/>
          </w:tcPr>
          <w:p w14:paraId="5A986F5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88.15 (81.47-93.07)</w:t>
            </w:r>
          </w:p>
        </w:tc>
        <w:tc>
          <w:tcPr>
            <w:tcW w:w="1000" w:type="pct"/>
          </w:tcPr>
          <w:p w14:paraId="24F4D23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77.04 (69.02-83.83)</w:t>
            </w:r>
          </w:p>
        </w:tc>
        <w:tc>
          <w:tcPr>
            <w:tcW w:w="1000" w:type="pct"/>
          </w:tcPr>
          <w:p w14:paraId="5F31983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58.52 (49.73-66.93)</w:t>
            </w:r>
          </w:p>
        </w:tc>
      </w:tr>
      <w:tr w:rsidR="003F2138" w14:paraId="4FA167CE" w14:textId="77777777">
        <w:tc>
          <w:tcPr>
            <w:tcW w:w="1000" w:type="pct"/>
          </w:tcPr>
          <w:p w14:paraId="5A30B16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Youden Index</w:t>
            </w:r>
          </w:p>
        </w:tc>
        <w:tc>
          <w:tcPr>
            <w:tcW w:w="1000" w:type="pct"/>
          </w:tcPr>
          <w:p w14:paraId="1911A7E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0.2315</w:t>
            </w:r>
          </w:p>
        </w:tc>
        <w:tc>
          <w:tcPr>
            <w:tcW w:w="1000" w:type="pct"/>
          </w:tcPr>
          <w:p w14:paraId="55636F0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0.3715</w:t>
            </w:r>
          </w:p>
        </w:tc>
        <w:tc>
          <w:tcPr>
            <w:tcW w:w="1000" w:type="pct"/>
          </w:tcPr>
          <w:p w14:paraId="62A77A7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0.5304</w:t>
            </w:r>
          </w:p>
        </w:tc>
        <w:tc>
          <w:tcPr>
            <w:tcW w:w="1000" w:type="pct"/>
          </w:tcPr>
          <w:p w14:paraId="4E1325E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0.2152</w:t>
            </w:r>
          </w:p>
        </w:tc>
      </w:tr>
      <w:tr w:rsidR="003F2138" w14:paraId="1832808B" w14:textId="77777777">
        <w:tc>
          <w:tcPr>
            <w:tcW w:w="1000" w:type="pct"/>
          </w:tcPr>
          <w:p w14:paraId="7E182AB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AUC (95%CI)</w:t>
            </w:r>
          </w:p>
        </w:tc>
        <w:tc>
          <w:tcPr>
            <w:tcW w:w="1000" w:type="pct"/>
          </w:tcPr>
          <w:p w14:paraId="002BA95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0.6308 (0.5584-0.7031)</w:t>
            </w:r>
          </w:p>
        </w:tc>
        <w:tc>
          <w:tcPr>
            <w:tcW w:w="1000" w:type="pct"/>
          </w:tcPr>
          <w:p w14:paraId="260D2A6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0.6820 (0.6096-0.7545)</w:t>
            </w:r>
          </w:p>
        </w:tc>
        <w:tc>
          <w:tcPr>
            <w:tcW w:w="1000" w:type="pct"/>
          </w:tcPr>
          <w:p w14:paraId="6221890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0.7999 (0.7420-0.8578)</w:t>
            </w:r>
          </w:p>
        </w:tc>
        <w:tc>
          <w:tcPr>
            <w:tcW w:w="1000" w:type="pct"/>
          </w:tcPr>
          <w:p w14:paraId="3B932D0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0.6237 (0.5514-0.6960)</w:t>
            </w:r>
          </w:p>
        </w:tc>
      </w:tr>
      <w:tr w:rsidR="003F2138" w14:paraId="22CA0F6A" w14:textId="77777777">
        <w:tc>
          <w:tcPr>
            <w:tcW w:w="1000" w:type="pct"/>
          </w:tcPr>
          <w:p w14:paraId="647A0DA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i/>
                <w:color w:val="000000" w:themeColor="text1"/>
                <w:lang w:eastAsia="zh-CN"/>
              </w:rPr>
              <w:t xml:space="preserve">P </w:t>
            </w:r>
            <w:r>
              <w:rPr>
                <w:rFonts w:ascii="Book Antiqua" w:eastAsia="宋体" w:hAnsi="Book Antiqua"/>
                <w:bCs/>
                <w:color w:val="000000" w:themeColor="text1"/>
                <w:lang w:eastAsia="zh-CN"/>
              </w:rPr>
              <w:t>value</w:t>
            </w:r>
          </w:p>
        </w:tc>
        <w:tc>
          <w:tcPr>
            <w:tcW w:w="1000" w:type="pct"/>
          </w:tcPr>
          <w:p w14:paraId="396B234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0.0006</w:t>
            </w:r>
          </w:p>
        </w:tc>
        <w:tc>
          <w:tcPr>
            <w:tcW w:w="1000" w:type="pct"/>
          </w:tcPr>
          <w:p w14:paraId="5E361411"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&lt; 0.0001</w:t>
            </w:r>
          </w:p>
        </w:tc>
        <w:tc>
          <w:tcPr>
            <w:tcW w:w="1000" w:type="pct"/>
          </w:tcPr>
          <w:p w14:paraId="5BACBAD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&lt; 0.0001</w:t>
            </w:r>
          </w:p>
        </w:tc>
        <w:tc>
          <w:tcPr>
            <w:tcW w:w="1000" w:type="pct"/>
          </w:tcPr>
          <w:p w14:paraId="0C89F00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0.0012</w:t>
            </w:r>
          </w:p>
        </w:tc>
      </w:tr>
    </w:tbl>
    <w:p w14:paraId="3CBE2B4D"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NLR: Neutrophil-to-lymphocyte ratio; PLR: Platelet-to-lymphocyte ratio; OPNI: Onodera’s Prognostic </w:t>
      </w:r>
      <w:r>
        <w:rPr>
          <w:rFonts w:ascii="Book Antiqua" w:eastAsia="Book Antiqua" w:hAnsi="Book Antiqua" w:cs="Book Antiqua"/>
          <w:color w:val="000000" w:themeColor="text1"/>
        </w:rPr>
        <w:t>Nutritional Index; AUC: Area under the curve.</w:t>
      </w:r>
    </w:p>
    <w:p w14:paraId="669001FC" w14:textId="77777777" w:rsidR="003F2138" w:rsidRDefault="00E00B3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hAnsi="Book Antiqua"/>
          <w:b/>
          <w:color w:val="000000" w:themeColor="text1"/>
        </w:rPr>
        <w:lastRenderedPageBreak/>
        <w:t xml:space="preserve">Table 3 Correlation analysis of tumor size and mitotic index with </w:t>
      </w:r>
      <w:r>
        <w:rPr>
          <w:rFonts w:ascii="Book Antiqua" w:eastAsia="Book Antiqua" w:hAnsi="Book Antiqua" w:cs="Book Antiqua"/>
          <w:b/>
          <w:color w:val="000000" w:themeColor="text1"/>
        </w:rPr>
        <w:t>neutrophil-to-lymphocyte ratio</w:t>
      </w:r>
      <w:r>
        <w:rPr>
          <w:rFonts w:ascii="Book Antiqua" w:hAnsi="Book Antiqua"/>
          <w:b/>
          <w:color w:val="000000" w:themeColor="text1"/>
        </w:rPr>
        <w:t xml:space="preserve">, </w:t>
      </w:r>
      <w:r>
        <w:rPr>
          <w:rFonts w:ascii="Book Antiqua" w:eastAsia="Book Antiqua" w:hAnsi="Book Antiqua" w:cs="Book Antiqua"/>
          <w:b/>
          <w:color w:val="000000" w:themeColor="text1"/>
        </w:rPr>
        <w:t>platelet-to-lymphocyte ratio</w:t>
      </w:r>
      <w:r>
        <w:rPr>
          <w:rFonts w:ascii="Book Antiqua" w:hAnsi="Book Antiqua"/>
          <w:b/>
          <w:color w:val="000000" w:themeColor="text1"/>
        </w:rPr>
        <w:t xml:space="preserve">, </w:t>
      </w:r>
      <w:r>
        <w:rPr>
          <w:rFonts w:ascii="Book Antiqua" w:eastAsia="Book Antiqua" w:hAnsi="Book Antiqua" w:cs="Book Antiqua"/>
          <w:b/>
          <w:color w:val="000000" w:themeColor="text1"/>
        </w:rPr>
        <w:t>Onodera’s Prognostic Nutritional Index</w:t>
      </w:r>
      <w:r>
        <w:rPr>
          <w:rFonts w:ascii="Book Antiqua" w:hAnsi="Book Antiqua"/>
          <w:b/>
          <w:color w:val="000000" w:themeColor="text1"/>
        </w:rPr>
        <w:t>, and ki-67 index</w:t>
      </w:r>
    </w:p>
    <w:tbl>
      <w:tblPr>
        <w:tblStyle w:val="a8"/>
        <w:tblW w:w="9381"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1843"/>
        <w:gridCol w:w="1890"/>
        <w:gridCol w:w="1796"/>
        <w:gridCol w:w="2469"/>
      </w:tblGrid>
      <w:tr w:rsidR="003F2138" w14:paraId="461F0974" w14:textId="77777777">
        <w:tc>
          <w:tcPr>
            <w:tcW w:w="1383" w:type="dxa"/>
            <w:vMerge w:val="restart"/>
            <w:tcBorders>
              <w:top w:val="single" w:sz="4" w:space="0" w:color="auto"/>
              <w:bottom w:val="single" w:sz="4" w:space="0" w:color="auto"/>
            </w:tcBorders>
          </w:tcPr>
          <w:p w14:paraId="3DA918A8" w14:textId="77777777" w:rsidR="003F2138" w:rsidRDefault="003F2138">
            <w:pPr>
              <w:adjustRightInd w:val="0"/>
              <w:snapToGrid w:val="0"/>
              <w:spacing w:line="360" w:lineRule="auto"/>
              <w:jc w:val="both"/>
              <w:rPr>
                <w:rFonts w:ascii="Book Antiqua" w:eastAsia="宋体" w:hAnsi="Book Antiqua"/>
                <w:color w:val="000000" w:themeColor="text1"/>
                <w:lang w:eastAsia="zh-CN"/>
              </w:rPr>
            </w:pPr>
          </w:p>
        </w:tc>
        <w:tc>
          <w:tcPr>
            <w:tcW w:w="3733" w:type="dxa"/>
            <w:gridSpan w:val="2"/>
            <w:tcBorders>
              <w:top w:val="single" w:sz="4" w:space="0" w:color="auto"/>
              <w:bottom w:val="single" w:sz="4" w:space="0" w:color="auto"/>
            </w:tcBorders>
          </w:tcPr>
          <w:p w14:paraId="1B23C564"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Tumor size</w:t>
            </w:r>
          </w:p>
        </w:tc>
        <w:tc>
          <w:tcPr>
            <w:tcW w:w="4265" w:type="dxa"/>
            <w:gridSpan w:val="2"/>
            <w:tcBorders>
              <w:top w:val="single" w:sz="4" w:space="0" w:color="auto"/>
              <w:bottom w:val="single" w:sz="4" w:space="0" w:color="auto"/>
            </w:tcBorders>
          </w:tcPr>
          <w:p w14:paraId="4658576F"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Mitotic index</w:t>
            </w:r>
          </w:p>
        </w:tc>
      </w:tr>
      <w:tr w:rsidR="003F2138" w14:paraId="4CAB0F15" w14:textId="77777777">
        <w:tc>
          <w:tcPr>
            <w:tcW w:w="1383" w:type="dxa"/>
            <w:vMerge/>
            <w:tcBorders>
              <w:top w:val="single" w:sz="4" w:space="0" w:color="auto"/>
              <w:bottom w:val="single" w:sz="4" w:space="0" w:color="auto"/>
            </w:tcBorders>
          </w:tcPr>
          <w:p w14:paraId="2FBA6F99" w14:textId="77777777" w:rsidR="003F2138" w:rsidRDefault="003F2138">
            <w:pPr>
              <w:adjustRightInd w:val="0"/>
              <w:snapToGrid w:val="0"/>
              <w:spacing w:line="360" w:lineRule="auto"/>
              <w:jc w:val="both"/>
              <w:rPr>
                <w:rFonts w:ascii="Book Antiqua" w:eastAsia="宋体" w:hAnsi="Book Antiqua"/>
                <w:color w:val="000000" w:themeColor="text1"/>
                <w:lang w:eastAsia="zh-CN"/>
              </w:rPr>
            </w:pPr>
          </w:p>
        </w:tc>
        <w:tc>
          <w:tcPr>
            <w:tcW w:w="1843" w:type="dxa"/>
            <w:tcBorders>
              <w:top w:val="single" w:sz="4" w:space="0" w:color="auto"/>
              <w:bottom w:val="single" w:sz="4" w:space="0" w:color="auto"/>
            </w:tcBorders>
          </w:tcPr>
          <w:p w14:paraId="1E580CDD"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 xml:space="preserve">Pearson </w:t>
            </w:r>
            <w:r>
              <w:rPr>
                <w:rFonts w:ascii="Book Antiqua" w:eastAsia="宋体" w:hAnsi="Book Antiqua"/>
                <w:b/>
                <w:i/>
                <w:color w:val="000000" w:themeColor="text1"/>
                <w:lang w:eastAsia="zh-CN"/>
              </w:rPr>
              <w:t>r</w:t>
            </w:r>
          </w:p>
        </w:tc>
        <w:tc>
          <w:tcPr>
            <w:tcW w:w="1890" w:type="dxa"/>
            <w:tcBorders>
              <w:top w:val="single" w:sz="4" w:space="0" w:color="auto"/>
              <w:bottom w:val="single" w:sz="4" w:space="0" w:color="auto"/>
            </w:tcBorders>
          </w:tcPr>
          <w:p w14:paraId="32F22A51"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i/>
                <w:color w:val="000000" w:themeColor="text1"/>
                <w:lang w:eastAsia="zh-CN"/>
              </w:rPr>
              <w:t>P</w:t>
            </w:r>
            <w:r>
              <w:rPr>
                <w:rFonts w:ascii="Book Antiqua" w:eastAsia="宋体" w:hAnsi="Book Antiqua"/>
                <w:b/>
                <w:color w:val="000000" w:themeColor="text1"/>
                <w:lang w:eastAsia="zh-CN"/>
              </w:rPr>
              <w:t xml:space="preserve"> value</w:t>
            </w:r>
          </w:p>
        </w:tc>
        <w:tc>
          <w:tcPr>
            <w:tcW w:w="1796" w:type="dxa"/>
            <w:tcBorders>
              <w:top w:val="single" w:sz="4" w:space="0" w:color="auto"/>
              <w:bottom w:val="single" w:sz="4" w:space="0" w:color="auto"/>
            </w:tcBorders>
          </w:tcPr>
          <w:p w14:paraId="0F4E2977" w14:textId="77777777" w:rsidR="003F2138" w:rsidRDefault="00E00B3F">
            <w:pPr>
              <w:adjustRightInd w:val="0"/>
              <w:snapToGrid w:val="0"/>
              <w:spacing w:line="360" w:lineRule="auto"/>
              <w:jc w:val="both"/>
              <w:rPr>
                <w:rFonts w:ascii="Book Antiqua" w:eastAsia="宋体" w:hAnsi="Book Antiqua"/>
                <w:b/>
                <w:i/>
                <w:color w:val="000000" w:themeColor="text1"/>
                <w:lang w:eastAsia="zh-CN"/>
              </w:rPr>
            </w:pPr>
            <w:r>
              <w:rPr>
                <w:rFonts w:ascii="Book Antiqua" w:eastAsia="宋体" w:hAnsi="Book Antiqua"/>
                <w:b/>
                <w:i/>
                <w:color w:val="000000" w:themeColor="text1"/>
                <w:lang w:eastAsia="zh-CN"/>
              </w:rPr>
              <w:t>R</w:t>
            </w:r>
            <w:r>
              <w:rPr>
                <w:rFonts w:ascii="Book Antiqua" w:eastAsia="宋体" w:hAnsi="Book Antiqua"/>
                <w:b/>
                <w:i/>
                <w:color w:val="000000" w:themeColor="text1"/>
                <w:vertAlign w:val="subscript"/>
                <w:lang w:eastAsia="zh-CN"/>
              </w:rPr>
              <w:t>s</w:t>
            </w:r>
          </w:p>
        </w:tc>
        <w:tc>
          <w:tcPr>
            <w:tcW w:w="2469" w:type="dxa"/>
            <w:tcBorders>
              <w:top w:val="single" w:sz="4" w:space="0" w:color="auto"/>
              <w:bottom w:val="single" w:sz="4" w:space="0" w:color="auto"/>
            </w:tcBorders>
          </w:tcPr>
          <w:p w14:paraId="44996B02"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i/>
                <w:color w:val="000000" w:themeColor="text1"/>
                <w:lang w:eastAsia="zh-CN"/>
              </w:rPr>
              <w:t>P</w:t>
            </w:r>
            <w:r>
              <w:rPr>
                <w:rFonts w:ascii="Book Antiqua" w:eastAsia="宋体" w:hAnsi="Book Antiqua"/>
                <w:b/>
                <w:color w:val="000000" w:themeColor="text1"/>
                <w:lang w:eastAsia="zh-CN"/>
              </w:rPr>
              <w:t xml:space="preserve"> value</w:t>
            </w:r>
          </w:p>
        </w:tc>
      </w:tr>
      <w:tr w:rsidR="003F2138" w14:paraId="0AF600C9" w14:textId="77777777">
        <w:tc>
          <w:tcPr>
            <w:tcW w:w="1383" w:type="dxa"/>
            <w:tcBorders>
              <w:top w:val="single" w:sz="4" w:space="0" w:color="auto"/>
            </w:tcBorders>
          </w:tcPr>
          <w:p w14:paraId="596E6CEC"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NLR</w:t>
            </w:r>
          </w:p>
        </w:tc>
        <w:tc>
          <w:tcPr>
            <w:tcW w:w="1843" w:type="dxa"/>
            <w:tcBorders>
              <w:top w:val="single" w:sz="4" w:space="0" w:color="auto"/>
            </w:tcBorders>
          </w:tcPr>
          <w:p w14:paraId="7C5580D5"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0.2082</w:t>
            </w:r>
          </w:p>
        </w:tc>
        <w:tc>
          <w:tcPr>
            <w:tcW w:w="1890" w:type="dxa"/>
            <w:tcBorders>
              <w:top w:val="single" w:sz="4" w:space="0" w:color="auto"/>
            </w:tcBorders>
          </w:tcPr>
          <w:p w14:paraId="773C692E"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0.0013</w:t>
            </w:r>
          </w:p>
        </w:tc>
        <w:tc>
          <w:tcPr>
            <w:tcW w:w="1796" w:type="dxa"/>
            <w:tcBorders>
              <w:top w:val="single" w:sz="4" w:space="0" w:color="auto"/>
            </w:tcBorders>
          </w:tcPr>
          <w:p w14:paraId="639C0903"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0.1021</w:t>
            </w:r>
          </w:p>
        </w:tc>
        <w:tc>
          <w:tcPr>
            <w:tcW w:w="2469" w:type="dxa"/>
            <w:tcBorders>
              <w:top w:val="single" w:sz="4" w:space="0" w:color="auto"/>
            </w:tcBorders>
          </w:tcPr>
          <w:p w14:paraId="7412A94E"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0.1185</w:t>
            </w:r>
          </w:p>
        </w:tc>
      </w:tr>
      <w:tr w:rsidR="003F2138" w14:paraId="3B65DDC0" w14:textId="77777777">
        <w:tc>
          <w:tcPr>
            <w:tcW w:w="1383" w:type="dxa"/>
          </w:tcPr>
          <w:p w14:paraId="1A88E4C8"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PLR</w:t>
            </w:r>
          </w:p>
        </w:tc>
        <w:tc>
          <w:tcPr>
            <w:tcW w:w="1843" w:type="dxa"/>
          </w:tcPr>
          <w:p w14:paraId="10BD8442"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0.4098</w:t>
            </w:r>
          </w:p>
        </w:tc>
        <w:tc>
          <w:tcPr>
            <w:tcW w:w="1890" w:type="dxa"/>
          </w:tcPr>
          <w:p w14:paraId="518782E9"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&lt; 0.0001</w:t>
            </w:r>
          </w:p>
        </w:tc>
        <w:tc>
          <w:tcPr>
            <w:tcW w:w="1796" w:type="dxa"/>
          </w:tcPr>
          <w:p w14:paraId="56B6018E"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0.2045</w:t>
            </w:r>
          </w:p>
        </w:tc>
        <w:tc>
          <w:tcPr>
            <w:tcW w:w="2469" w:type="dxa"/>
          </w:tcPr>
          <w:p w14:paraId="1F66876B"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0.0016</w:t>
            </w:r>
          </w:p>
        </w:tc>
      </w:tr>
      <w:tr w:rsidR="003F2138" w14:paraId="69353E1E" w14:textId="77777777">
        <w:tc>
          <w:tcPr>
            <w:tcW w:w="1383" w:type="dxa"/>
          </w:tcPr>
          <w:p w14:paraId="4DF8EC56"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OPNI</w:t>
            </w:r>
          </w:p>
        </w:tc>
        <w:tc>
          <w:tcPr>
            <w:tcW w:w="1843" w:type="dxa"/>
          </w:tcPr>
          <w:p w14:paraId="618F740F"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-0.4955</w:t>
            </w:r>
          </w:p>
        </w:tc>
        <w:tc>
          <w:tcPr>
            <w:tcW w:w="1890" w:type="dxa"/>
          </w:tcPr>
          <w:p w14:paraId="576454F7" w14:textId="77777777" w:rsidR="003F2138" w:rsidRDefault="00E00B3F">
            <w:pPr>
              <w:adjustRightInd w:val="0"/>
              <w:snapToGrid w:val="0"/>
              <w:spacing w:line="360" w:lineRule="auto"/>
              <w:jc w:val="both"/>
              <w:rPr>
                <w:rFonts w:ascii="Book Antiqua" w:eastAsia="宋体" w:hAnsi="Book Antiqua"/>
                <w:color w:val="000000" w:themeColor="text1"/>
                <w:lang w:eastAsia="zh-CN"/>
              </w:rPr>
            </w:pPr>
            <w:bookmarkStart w:id="11" w:name="OLE_LINK8"/>
            <w:r>
              <w:rPr>
                <w:rFonts w:ascii="Book Antiqua" w:eastAsia="宋体" w:hAnsi="Book Antiqua"/>
                <w:color w:val="000000" w:themeColor="text1"/>
                <w:lang w:eastAsia="zh-CN"/>
              </w:rPr>
              <w:t>&lt; 0.0001</w:t>
            </w:r>
            <w:bookmarkEnd w:id="11"/>
          </w:p>
        </w:tc>
        <w:tc>
          <w:tcPr>
            <w:tcW w:w="1796" w:type="dxa"/>
          </w:tcPr>
          <w:p w14:paraId="3F1C68B0"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-3.048</w:t>
            </w:r>
          </w:p>
        </w:tc>
        <w:tc>
          <w:tcPr>
            <w:tcW w:w="2469" w:type="dxa"/>
          </w:tcPr>
          <w:p w14:paraId="3FE9036D"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&lt; 0.0001</w:t>
            </w:r>
          </w:p>
        </w:tc>
      </w:tr>
      <w:tr w:rsidR="003F2138" w14:paraId="3572980A" w14:textId="77777777">
        <w:tc>
          <w:tcPr>
            <w:tcW w:w="1383" w:type="dxa"/>
          </w:tcPr>
          <w:p w14:paraId="3A9CF6B7"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Ki-67 index</w:t>
            </w:r>
          </w:p>
        </w:tc>
        <w:tc>
          <w:tcPr>
            <w:tcW w:w="1843" w:type="dxa"/>
          </w:tcPr>
          <w:p w14:paraId="32B1A0F3"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0.2727</w:t>
            </w:r>
          </w:p>
        </w:tc>
        <w:tc>
          <w:tcPr>
            <w:tcW w:w="1890" w:type="dxa"/>
          </w:tcPr>
          <w:p w14:paraId="63785547"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&lt; 0.0001</w:t>
            </w:r>
          </w:p>
        </w:tc>
        <w:tc>
          <w:tcPr>
            <w:tcW w:w="1796" w:type="dxa"/>
          </w:tcPr>
          <w:p w14:paraId="1A6C7E2E"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0.2551</w:t>
            </w:r>
          </w:p>
        </w:tc>
        <w:tc>
          <w:tcPr>
            <w:tcW w:w="2469" w:type="dxa"/>
          </w:tcPr>
          <w:p w14:paraId="4F316814" w14:textId="77777777" w:rsidR="003F2138" w:rsidRDefault="00E00B3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&lt; 0.0001</w:t>
            </w:r>
          </w:p>
        </w:tc>
      </w:tr>
    </w:tbl>
    <w:p w14:paraId="083F8A22" w14:textId="77777777" w:rsidR="003F2138" w:rsidRDefault="00E00B3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NLR: Neutrophil-to-lymphocyte ratio; PLR: Platelet-to-lymphocyte ratio;</w:t>
      </w:r>
      <w:r>
        <w:rPr>
          <w:rFonts w:ascii="Book Antiqua" w:eastAsia="Book Antiqua" w:hAnsi="Book Antiqua" w:cs="Book Antiqua"/>
          <w:color w:val="000000" w:themeColor="text1"/>
        </w:rPr>
        <w:t xml:space="preserve"> OPNI: Onodera’s Prognostic Nutritional Index.</w:t>
      </w:r>
    </w:p>
    <w:p w14:paraId="08A2ED4E"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lastRenderedPageBreak/>
        <w:t xml:space="preserve">Table 4 Univariate analysis (Kaplan-Meier) of factors for </w:t>
      </w:r>
      <w:r>
        <w:rPr>
          <w:rFonts w:ascii="Book Antiqua" w:eastAsia="Book Antiqua" w:hAnsi="Book Antiqua" w:cs="Book Antiqua"/>
          <w:b/>
          <w:color w:val="000000" w:themeColor="text1"/>
        </w:rPr>
        <w:t>recurrence-free survival</w:t>
      </w:r>
      <w:r>
        <w:rPr>
          <w:rFonts w:ascii="Book Antiqua" w:hAnsi="Book Antiqua"/>
          <w:b/>
          <w:color w:val="000000" w:themeColor="text1"/>
        </w:rPr>
        <w:t xml:space="preserve"> in </w:t>
      </w:r>
      <w:r>
        <w:rPr>
          <w:rFonts w:ascii="Book Antiqua" w:eastAsia="Book Antiqua" w:hAnsi="Book Antiqua" w:cs="Book Antiqua"/>
          <w:b/>
          <w:color w:val="000000" w:themeColor="text1"/>
        </w:rPr>
        <w:t>gastrointestinal stromal tumors</w:t>
      </w:r>
    </w:p>
    <w:tbl>
      <w:tblPr>
        <w:tblW w:w="5000" w:type="pct"/>
        <w:tblBorders>
          <w:top w:val="single" w:sz="4" w:space="0" w:color="auto"/>
          <w:bottom w:val="single" w:sz="4" w:space="0" w:color="auto"/>
        </w:tblBorders>
        <w:tblLook w:val="04A0" w:firstRow="1" w:lastRow="0" w:firstColumn="1" w:lastColumn="0" w:noHBand="0" w:noVBand="1"/>
      </w:tblPr>
      <w:tblGrid>
        <w:gridCol w:w="1743"/>
        <w:gridCol w:w="1849"/>
        <w:gridCol w:w="1849"/>
        <w:gridCol w:w="1851"/>
        <w:gridCol w:w="1020"/>
      </w:tblGrid>
      <w:tr w:rsidR="003F2138" w14:paraId="7B6A4B29" w14:textId="77777777">
        <w:tc>
          <w:tcPr>
            <w:tcW w:w="1022" w:type="pct"/>
            <w:tcBorders>
              <w:top w:val="single" w:sz="4" w:space="0" w:color="auto"/>
              <w:bottom w:val="single" w:sz="4" w:space="0" w:color="auto"/>
            </w:tcBorders>
          </w:tcPr>
          <w:p w14:paraId="6D769097"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Factor</w:t>
            </w:r>
          </w:p>
        </w:tc>
        <w:tc>
          <w:tcPr>
            <w:tcW w:w="1119" w:type="pct"/>
            <w:tcBorders>
              <w:top w:val="single" w:sz="4" w:space="0" w:color="auto"/>
              <w:bottom w:val="single" w:sz="4" w:space="0" w:color="auto"/>
            </w:tcBorders>
          </w:tcPr>
          <w:p w14:paraId="7895E717"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1-year RFS rate (95%CI)</w:t>
            </w:r>
          </w:p>
        </w:tc>
        <w:tc>
          <w:tcPr>
            <w:tcW w:w="1119" w:type="pct"/>
            <w:tcBorders>
              <w:top w:val="single" w:sz="4" w:space="0" w:color="auto"/>
              <w:bottom w:val="single" w:sz="4" w:space="0" w:color="auto"/>
            </w:tcBorders>
          </w:tcPr>
          <w:p w14:paraId="29CF4F79"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2-year RFS rate (95%CI)</w:t>
            </w:r>
          </w:p>
        </w:tc>
        <w:tc>
          <w:tcPr>
            <w:tcW w:w="1120" w:type="pct"/>
            <w:tcBorders>
              <w:top w:val="single" w:sz="4" w:space="0" w:color="auto"/>
              <w:bottom w:val="single" w:sz="4" w:space="0" w:color="auto"/>
            </w:tcBorders>
            <w:vAlign w:val="center"/>
          </w:tcPr>
          <w:p w14:paraId="1128A103"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5-year RFS rate (95%CI)</w:t>
            </w:r>
          </w:p>
        </w:tc>
        <w:tc>
          <w:tcPr>
            <w:tcW w:w="620" w:type="pct"/>
            <w:tcBorders>
              <w:top w:val="single" w:sz="4" w:space="0" w:color="auto"/>
              <w:bottom w:val="single" w:sz="4" w:space="0" w:color="auto"/>
            </w:tcBorders>
            <w:vAlign w:val="center"/>
          </w:tcPr>
          <w:p w14:paraId="5EB5B193" w14:textId="77777777" w:rsidR="003F2138" w:rsidRDefault="00E00B3F">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 xml:space="preserve">Log-rank </w:t>
            </w:r>
            <w:r>
              <w:rPr>
                <w:rFonts w:ascii="Book Antiqua" w:hAnsi="Book Antiqua"/>
                <w:b/>
                <w:i/>
                <w:color w:val="000000" w:themeColor="text1"/>
              </w:rPr>
              <w:t xml:space="preserve">P </w:t>
            </w:r>
            <w:r>
              <w:rPr>
                <w:rFonts w:ascii="Book Antiqua" w:hAnsi="Book Antiqua"/>
                <w:b/>
                <w:iCs/>
                <w:color w:val="000000" w:themeColor="text1"/>
              </w:rPr>
              <w:t>value</w:t>
            </w:r>
          </w:p>
        </w:tc>
      </w:tr>
      <w:tr w:rsidR="003F2138" w14:paraId="0243A7ED" w14:textId="77777777">
        <w:tc>
          <w:tcPr>
            <w:tcW w:w="1022" w:type="pct"/>
            <w:tcBorders>
              <w:top w:val="single" w:sz="4" w:space="0" w:color="auto"/>
            </w:tcBorders>
          </w:tcPr>
          <w:p w14:paraId="37D26047"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Age (yr)</w:t>
            </w:r>
          </w:p>
        </w:tc>
        <w:tc>
          <w:tcPr>
            <w:tcW w:w="1119" w:type="pct"/>
            <w:tcBorders>
              <w:top w:val="single" w:sz="4" w:space="0" w:color="auto"/>
            </w:tcBorders>
          </w:tcPr>
          <w:p w14:paraId="1CC44B5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Borders>
              <w:top w:val="single" w:sz="4" w:space="0" w:color="auto"/>
            </w:tcBorders>
          </w:tcPr>
          <w:p w14:paraId="318B8115"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Borders>
              <w:top w:val="single" w:sz="4" w:space="0" w:color="auto"/>
            </w:tcBorders>
          </w:tcPr>
          <w:p w14:paraId="4FE3BDBF"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Borders>
              <w:top w:val="single" w:sz="4" w:space="0" w:color="auto"/>
            </w:tcBorders>
          </w:tcPr>
          <w:p w14:paraId="6EF32E4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0.5441</w:t>
            </w:r>
          </w:p>
        </w:tc>
      </w:tr>
      <w:tr w:rsidR="003F2138" w14:paraId="45CDADE7" w14:textId="77777777">
        <w:tc>
          <w:tcPr>
            <w:tcW w:w="1022" w:type="pct"/>
          </w:tcPr>
          <w:p w14:paraId="788DD6E2"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 60</w:t>
            </w:r>
          </w:p>
        </w:tc>
        <w:tc>
          <w:tcPr>
            <w:tcW w:w="1119" w:type="pct"/>
          </w:tcPr>
          <w:p w14:paraId="7479874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99.09% (93.72-99.87)</w:t>
            </w:r>
          </w:p>
        </w:tc>
        <w:tc>
          <w:tcPr>
            <w:tcW w:w="1119" w:type="pct"/>
          </w:tcPr>
          <w:p w14:paraId="7546896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96.92% (90.66-99.01)</w:t>
            </w:r>
          </w:p>
        </w:tc>
        <w:tc>
          <w:tcPr>
            <w:tcW w:w="1120" w:type="pct"/>
          </w:tcPr>
          <w:p w14:paraId="2E12F91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91.20% (80.62-96.14)</w:t>
            </w:r>
          </w:p>
        </w:tc>
        <w:tc>
          <w:tcPr>
            <w:tcW w:w="620" w:type="pct"/>
          </w:tcPr>
          <w:p w14:paraId="28EA766B"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294CF3A8" w14:textId="77777777">
        <w:tc>
          <w:tcPr>
            <w:tcW w:w="1022" w:type="pct"/>
          </w:tcPr>
          <w:p w14:paraId="7E95583F"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hint="eastAsia"/>
                <w:bCs/>
                <w:color w:val="000000" w:themeColor="text1"/>
                <w:lang w:eastAsia="zh-CN"/>
              </w:rPr>
              <w:t>&gt;</w:t>
            </w:r>
            <w:r>
              <w:rPr>
                <w:rFonts w:ascii="Book Antiqua" w:eastAsia="宋体" w:hAnsi="Book Antiqua"/>
                <w:bCs/>
                <w:color w:val="000000" w:themeColor="text1"/>
                <w:lang w:eastAsia="zh-CN"/>
              </w:rPr>
              <w:t xml:space="preserve"> </w:t>
            </w:r>
            <w:r>
              <w:rPr>
                <w:rFonts w:ascii="Book Antiqua" w:eastAsia="宋体" w:hAnsi="Book Antiqua"/>
                <w:bCs/>
                <w:color w:val="000000" w:themeColor="text1"/>
              </w:rPr>
              <w:t>60</w:t>
            </w:r>
          </w:p>
        </w:tc>
        <w:tc>
          <w:tcPr>
            <w:tcW w:w="1119" w:type="pct"/>
          </w:tcPr>
          <w:p w14:paraId="4267673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99.20% (94.46-99.89)</w:t>
            </w:r>
          </w:p>
        </w:tc>
        <w:tc>
          <w:tcPr>
            <w:tcW w:w="1119" w:type="pct"/>
          </w:tcPr>
          <w:p w14:paraId="13EF8C6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96.35% (90.49-98.62)</w:t>
            </w:r>
          </w:p>
        </w:tc>
        <w:tc>
          <w:tcPr>
            <w:tcW w:w="1120" w:type="pct"/>
          </w:tcPr>
          <w:p w14:paraId="67EA736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82.93% (69.26-90.91)</w:t>
            </w:r>
          </w:p>
        </w:tc>
        <w:tc>
          <w:tcPr>
            <w:tcW w:w="620" w:type="pct"/>
          </w:tcPr>
          <w:p w14:paraId="285A3FC3"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0C2A2225" w14:textId="77777777">
        <w:tc>
          <w:tcPr>
            <w:tcW w:w="1022" w:type="pct"/>
          </w:tcPr>
          <w:p w14:paraId="082C4961"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Gender </w:t>
            </w:r>
          </w:p>
        </w:tc>
        <w:tc>
          <w:tcPr>
            <w:tcW w:w="1119" w:type="pct"/>
          </w:tcPr>
          <w:p w14:paraId="2607BD72"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11FB828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78CB2CC9"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2582209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0.2889</w:t>
            </w:r>
          </w:p>
        </w:tc>
      </w:tr>
      <w:tr w:rsidR="003F2138" w14:paraId="690062D9" w14:textId="77777777">
        <w:tc>
          <w:tcPr>
            <w:tcW w:w="1022" w:type="pct"/>
          </w:tcPr>
          <w:p w14:paraId="476CA9A0"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Male</w:t>
            </w:r>
          </w:p>
        </w:tc>
        <w:tc>
          <w:tcPr>
            <w:tcW w:w="1119" w:type="pct"/>
          </w:tcPr>
          <w:p w14:paraId="2EB4443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98.31% (93.39-99.57)</w:t>
            </w:r>
          </w:p>
        </w:tc>
        <w:tc>
          <w:tcPr>
            <w:tcW w:w="1119" w:type="pct"/>
          </w:tcPr>
          <w:p w14:paraId="54A95A01"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95.19% (88.74-97.99)</w:t>
            </w:r>
          </w:p>
        </w:tc>
        <w:tc>
          <w:tcPr>
            <w:tcW w:w="1120" w:type="pct"/>
          </w:tcPr>
          <w:p w14:paraId="7FEEAD6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84.07% (71.68-91.35)</w:t>
            </w:r>
          </w:p>
        </w:tc>
        <w:tc>
          <w:tcPr>
            <w:tcW w:w="620" w:type="pct"/>
          </w:tcPr>
          <w:p w14:paraId="027F4ED8"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5B6B0AA8" w14:textId="77777777">
        <w:tc>
          <w:tcPr>
            <w:tcW w:w="1022" w:type="pct"/>
          </w:tcPr>
          <w:p w14:paraId="4EDD0962"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Female</w:t>
            </w:r>
          </w:p>
        </w:tc>
        <w:tc>
          <w:tcPr>
            <w:tcW w:w="1119" w:type="pct"/>
          </w:tcPr>
          <w:p w14:paraId="10BDCA53"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 xml:space="preserve">100% </w:t>
            </w:r>
          </w:p>
        </w:tc>
        <w:tc>
          <w:tcPr>
            <w:tcW w:w="1119" w:type="pct"/>
          </w:tcPr>
          <w:p w14:paraId="5C077DD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98.03% (92.30-99.51)</w:t>
            </w:r>
          </w:p>
        </w:tc>
        <w:tc>
          <w:tcPr>
            <w:tcW w:w="1120" w:type="pct"/>
          </w:tcPr>
          <w:p w14:paraId="2673509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84.96% (66.88-93.61)</w:t>
            </w:r>
          </w:p>
        </w:tc>
        <w:tc>
          <w:tcPr>
            <w:tcW w:w="620" w:type="pct"/>
          </w:tcPr>
          <w:p w14:paraId="30E850A8"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53821AD8" w14:textId="77777777">
        <w:tc>
          <w:tcPr>
            <w:tcW w:w="1022" w:type="pct"/>
          </w:tcPr>
          <w:p w14:paraId="3484AFC4"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GI bleeding</w:t>
            </w:r>
          </w:p>
        </w:tc>
        <w:tc>
          <w:tcPr>
            <w:tcW w:w="1119" w:type="pct"/>
          </w:tcPr>
          <w:p w14:paraId="6157B8C9"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7D58D4E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53EC929C"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35C14BB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0.1877</w:t>
            </w:r>
          </w:p>
        </w:tc>
      </w:tr>
      <w:tr w:rsidR="003F2138" w14:paraId="495011C5" w14:textId="77777777">
        <w:tc>
          <w:tcPr>
            <w:tcW w:w="1022" w:type="pct"/>
          </w:tcPr>
          <w:p w14:paraId="414CC43C"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Yes</w:t>
            </w:r>
          </w:p>
        </w:tc>
        <w:tc>
          <w:tcPr>
            <w:tcW w:w="1119" w:type="pct"/>
          </w:tcPr>
          <w:p w14:paraId="3910FDA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98.41% (89.26-99.77)</w:t>
            </w:r>
          </w:p>
        </w:tc>
        <w:tc>
          <w:tcPr>
            <w:tcW w:w="1119" w:type="pct"/>
          </w:tcPr>
          <w:p w14:paraId="5BDEB61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98.41% (89.26-99.77)</w:t>
            </w:r>
          </w:p>
        </w:tc>
        <w:tc>
          <w:tcPr>
            <w:tcW w:w="1120" w:type="pct"/>
          </w:tcPr>
          <w:p w14:paraId="09FBAD4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82.02% (63.00-91.85)</w:t>
            </w:r>
          </w:p>
        </w:tc>
        <w:tc>
          <w:tcPr>
            <w:tcW w:w="620" w:type="pct"/>
          </w:tcPr>
          <w:p w14:paraId="173437DF"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3DF2C58B" w14:textId="77777777">
        <w:tc>
          <w:tcPr>
            <w:tcW w:w="1022" w:type="pct"/>
          </w:tcPr>
          <w:p w14:paraId="1FC68F68"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No</w:t>
            </w:r>
          </w:p>
        </w:tc>
        <w:tc>
          <w:tcPr>
            <w:tcW w:w="1119" w:type="pct"/>
          </w:tcPr>
          <w:p w14:paraId="1F783E4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99.42% (95.94-99.92)</w:t>
            </w:r>
          </w:p>
        </w:tc>
        <w:tc>
          <w:tcPr>
            <w:tcW w:w="1119" w:type="pct"/>
          </w:tcPr>
          <w:p w14:paraId="62FA1E2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95.84% (90.90-98.12)</w:t>
            </w:r>
          </w:p>
        </w:tc>
        <w:tc>
          <w:tcPr>
            <w:tcW w:w="1120" w:type="pct"/>
          </w:tcPr>
          <w:p w14:paraId="3063C1B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89.37% (80.44-94.36)</w:t>
            </w:r>
          </w:p>
        </w:tc>
        <w:tc>
          <w:tcPr>
            <w:tcW w:w="620" w:type="pct"/>
          </w:tcPr>
          <w:p w14:paraId="7E0C6E5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0E8D90E4" w14:textId="77777777">
        <w:tc>
          <w:tcPr>
            <w:tcW w:w="1022" w:type="pct"/>
          </w:tcPr>
          <w:p w14:paraId="259144BB"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Primary site</w:t>
            </w:r>
          </w:p>
        </w:tc>
        <w:tc>
          <w:tcPr>
            <w:tcW w:w="1119" w:type="pct"/>
          </w:tcPr>
          <w:p w14:paraId="51068E9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03998D8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34D736E1"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3F61307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0.0093</w:t>
            </w:r>
          </w:p>
        </w:tc>
      </w:tr>
      <w:tr w:rsidR="003F2138" w14:paraId="0D53DBA1" w14:textId="77777777">
        <w:tc>
          <w:tcPr>
            <w:tcW w:w="1022" w:type="pct"/>
          </w:tcPr>
          <w:p w14:paraId="67FC22C3"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Gastric</w:t>
            </w:r>
          </w:p>
        </w:tc>
        <w:tc>
          <w:tcPr>
            <w:tcW w:w="1119" w:type="pct"/>
          </w:tcPr>
          <w:p w14:paraId="4ECE8BE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 xml:space="preserve">99.45% </w:t>
            </w:r>
            <w:r>
              <w:rPr>
                <w:rFonts w:ascii="Book Antiqua" w:eastAsia="宋体" w:hAnsi="Book Antiqua"/>
                <w:bCs/>
                <w:color w:val="000000" w:themeColor="text1"/>
              </w:rPr>
              <w:t>(96.18-99.92)</w:t>
            </w:r>
          </w:p>
        </w:tc>
        <w:tc>
          <w:tcPr>
            <w:tcW w:w="1119" w:type="pct"/>
          </w:tcPr>
          <w:p w14:paraId="64DACAF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97.47% (93.30-99.04)</w:t>
            </w:r>
          </w:p>
        </w:tc>
        <w:tc>
          <w:tcPr>
            <w:tcW w:w="1120" w:type="pct"/>
          </w:tcPr>
          <w:p w14:paraId="38A8D3E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89.62% (79.32-94.94)</w:t>
            </w:r>
          </w:p>
        </w:tc>
        <w:tc>
          <w:tcPr>
            <w:tcW w:w="620" w:type="pct"/>
          </w:tcPr>
          <w:p w14:paraId="3FD5EF8D"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646B03C3" w14:textId="77777777">
        <w:tc>
          <w:tcPr>
            <w:tcW w:w="1022" w:type="pct"/>
          </w:tcPr>
          <w:p w14:paraId="651D5613"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eastAsia="宋体" w:hAnsi="Book Antiqua"/>
                <w:bCs/>
                <w:color w:val="000000" w:themeColor="text1"/>
              </w:rPr>
              <w:t xml:space="preserve">Non-gastric </w:t>
            </w:r>
          </w:p>
        </w:tc>
        <w:tc>
          <w:tcPr>
            <w:tcW w:w="1119" w:type="pct"/>
          </w:tcPr>
          <w:p w14:paraId="317C05A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98.08% (87.12-99.73)</w:t>
            </w:r>
          </w:p>
        </w:tc>
        <w:tc>
          <w:tcPr>
            <w:tcW w:w="1119" w:type="pct"/>
          </w:tcPr>
          <w:p w14:paraId="7DF1769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93.75% (81.78-97.95)</w:t>
            </w:r>
          </w:p>
        </w:tc>
        <w:tc>
          <w:tcPr>
            <w:tcW w:w="1120" w:type="pct"/>
          </w:tcPr>
          <w:p w14:paraId="33603F8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79.12% (61.86-89.21)</w:t>
            </w:r>
          </w:p>
        </w:tc>
        <w:tc>
          <w:tcPr>
            <w:tcW w:w="620" w:type="pct"/>
          </w:tcPr>
          <w:p w14:paraId="0E72C7E3"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9C3637B" w14:textId="77777777">
        <w:tc>
          <w:tcPr>
            <w:tcW w:w="1022" w:type="pct"/>
          </w:tcPr>
          <w:p w14:paraId="787C47CC"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Tumor size </w:t>
            </w:r>
          </w:p>
        </w:tc>
        <w:tc>
          <w:tcPr>
            <w:tcW w:w="1119" w:type="pct"/>
          </w:tcPr>
          <w:p w14:paraId="52DB55E5"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437B048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6169ED82"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37C98A1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0.0012</w:t>
            </w:r>
          </w:p>
        </w:tc>
      </w:tr>
      <w:tr w:rsidR="003F2138" w14:paraId="00D4150C" w14:textId="77777777">
        <w:tc>
          <w:tcPr>
            <w:tcW w:w="1022" w:type="pct"/>
          </w:tcPr>
          <w:p w14:paraId="67CC3854"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2.0 cm</w:t>
            </w:r>
          </w:p>
        </w:tc>
        <w:tc>
          <w:tcPr>
            <w:tcW w:w="1119" w:type="pct"/>
          </w:tcPr>
          <w:p w14:paraId="2099D5C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48AAA59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98.10% (87.12-99.73)</w:t>
            </w:r>
          </w:p>
        </w:tc>
        <w:tc>
          <w:tcPr>
            <w:tcW w:w="1120" w:type="pct"/>
          </w:tcPr>
          <w:p w14:paraId="559F15C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98.10% (87.12-99.73)</w:t>
            </w:r>
          </w:p>
        </w:tc>
        <w:tc>
          <w:tcPr>
            <w:tcW w:w="620" w:type="pct"/>
          </w:tcPr>
          <w:p w14:paraId="531251A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19700449" w14:textId="77777777">
        <w:tc>
          <w:tcPr>
            <w:tcW w:w="1022" w:type="pct"/>
          </w:tcPr>
          <w:p w14:paraId="63380D80"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2.1-5.0 cm</w:t>
            </w:r>
          </w:p>
        </w:tc>
        <w:tc>
          <w:tcPr>
            <w:tcW w:w="1119" w:type="pct"/>
          </w:tcPr>
          <w:p w14:paraId="786AE4C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37D7A69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tcPr>
          <w:p w14:paraId="671E07A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 xml:space="preserve">94.90% </w:t>
            </w:r>
            <w:r>
              <w:rPr>
                <w:rFonts w:ascii="Book Antiqua" w:eastAsia="宋体" w:hAnsi="Book Antiqua"/>
                <w:bCs/>
                <w:color w:val="000000" w:themeColor="text1"/>
              </w:rPr>
              <w:t>(84.98-98.33)</w:t>
            </w:r>
          </w:p>
        </w:tc>
        <w:tc>
          <w:tcPr>
            <w:tcW w:w="620" w:type="pct"/>
          </w:tcPr>
          <w:p w14:paraId="0619737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223255D" w14:textId="77777777">
        <w:tc>
          <w:tcPr>
            <w:tcW w:w="1022" w:type="pct"/>
          </w:tcPr>
          <w:p w14:paraId="79612CBF"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lastRenderedPageBreak/>
              <w:t>5.1-10.0 cm</w:t>
            </w:r>
          </w:p>
        </w:tc>
        <w:tc>
          <w:tcPr>
            <w:tcW w:w="1119" w:type="pct"/>
          </w:tcPr>
          <w:p w14:paraId="1FFE9F7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98.51% (89.87-99.79)</w:t>
            </w:r>
          </w:p>
        </w:tc>
        <w:tc>
          <w:tcPr>
            <w:tcW w:w="1119" w:type="pct"/>
          </w:tcPr>
          <w:p w14:paraId="06393AE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92.93% (82.17-97.30)</w:t>
            </w:r>
          </w:p>
        </w:tc>
        <w:tc>
          <w:tcPr>
            <w:tcW w:w="1120" w:type="pct"/>
          </w:tcPr>
          <w:p w14:paraId="5C94939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81.55% (65.45-90.65)</w:t>
            </w:r>
          </w:p>
        </w:tc>
        <w:tc>
          <w:tcPr>
            <w:tcW w:w="620" w:type="pct"/>
          </w:tcPr>
          <w:p w14:paraId="4AEFF1F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1D5428F0" w14:textId="77777777">
        <w:tc>
          <w:tcPr>
            <w:tcW w:w="1022" w:type="pct"/>
          </w:tcPr>
          <w:p w14:paraId="495D524D"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&gt; 10.0 cm</w:t>
            </w:r>
          </w:p>
        </w:tc>
        <w:tc>
          <w:tcPr>
            <w:tcW w:w="1119" w:type="pct"/>
          </w:tcPr>
          <w:p w14:paraId="1C2B350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95.00% (69.46-99.28)</w:t>
            </w:r>
          </w:p>
        </w:tc>
        <w:tc>
          <w:tcPr>
            <w:tcW w:w="1119" w:type="pct"/>
          </w:tcPr>
          <w:p w14:paraId="409D49D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90.00% (65.59-97.40)</w:t>
            </w:r>
          </w:p>
        </w:tc>
        <w:tc>
          <w:tcPr>
            <w:tcW w:w="1120" w:type="pct"/>
          </w:tcPr>
          <w:p w14:paraId="6D25CAB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56.00% (20.71-80.77)</w:t>
            </w:r>
          </w:p>
        </w:tc>
        <w:tc>
          <w:tcPr>
            <w:tcW w:w="620" w:type="pct"/>
          </w:tcPr>
          <w:p w14:paraId="5DDDB42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D96E5BC" w14:textId="77777777">
        <w:tc>
          <w:tcPr>
            <w:tcW w:w="1022" w:type="pct"/>
          </w:tcPr>
          <w:p w14:paraId="40B33596"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Predominant cell type</w:t>
            </w:r>
          </w:p>
        </w:tc>
        <w:tc>
          <w:tcPr>
            <w:tcW w:w="1119" w:type="pct"/>
          </w:tcPr>
          <w:p w14:paraId="361B9063"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5A7EF816"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540040D4"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28C3E0E1"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0.7759</w:t>
            </w:r>
          </w:p>
        </w:tc>
      </w:tr>
      <w:tr w:rsidR="003F2138" w14:paraId="6B7B1B13" w14:textId="77777777">
        <w:tc>
          <w:tcPr>
            <w:tcW w:w="1022" w:type="pct"/>
          </w:tcPr>
          <w:p w14:paraId="20F860E0"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Spindle</w:t>
            </w:r>
          </w:p>
        </w:tc>
        <w:tc>
          <w:tcPr>
            <w:tcW w:w="1119" w:type="pct"/>
          </w:tcPr>
          <w:p w14:paraId="73A9235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99.51 % (96.60-99.93)</w:t>
            </w:r>
          </w:p>
        </w:tc>
        <w:tc>
          <w:tcPr>
            <w:tcW w:w="1119" w:type="pct"/>
          </w:tcPr>
          <w:p w14:paraId="3ABE137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97.22 % (93.41-98.84)</w:t>
            </w:r>
          </w:p>
        </w:tc>
        <w:tc>
          <w:tcPr>
            <w:tcW w:w="1120" w:type="pct"/>
          </w:tcPr>
          <w:p w14:paraId="28FD286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88.47 % (79.83-93.55)</w:t>
            </w:r>
          </w:p>
        </w:tc>
        <w:tc>
          <w:tcPr>
            <w:tcW w:w="620" w:type="pct"/>
          </w:tcPr>
          <w:p w14:paraId="1302BF8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36717DED" w14:textId="77777777">
        <w:tc>
          <w:tcPr>
            <w:tcW w:w="1022" w:type="pct"/>
          </w:tcPr>
          <w:p w14:paraId="6CCA9119"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Epithelioid</w:t>
            </w:r>
          </w:p>
        </w:tc>
        <w:tc>
          <w:tcPr>
            <w:tcW w:w="1119" w:type="pct"/>
          </w:tcPr>
          <w:p w14:paraId="322D6D2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93.75 % (63.22-99.10)</w:t>
            </w:r>
          </w:p>
        </w:tc>
        <w:tc>
          <w:tcPr>
            <w:tcW w:w="1119" w:type="pct"/>
          </w:tcPr>
          <w:p w14:paraId="13C27CB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93.75 % (63.22-99.10)</w:t>
            </w:r>
          </w:p>
        </w:tc>
        <w:tc>
          <w:tcPr>
            <w:tcW w:w="1120" w:type="pct"/>
          </w:tcPr>
          <w:p w14:paraId="27374DC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84.38 % (49.30-96.00)</w:t>
            </w:r>
          </w:p>
        </w:tc>
        <w:tc>
          <w:tcPr>
            <w:tcW w:w="620" w:type="pct"/>
          </w:tcPr>
          <w:p w14:paraId="0FAE8D5A"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1F06237" w14:textId="77777777">
        <w:tc>
          <w:tcPr>
            <w:tcW w:w="1022" w:type="pct"/>
          </w:tcPr>
          <w:p w14:paraId="3AF8CAD5"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Mixed </w:t>
            </w:r>
          </w:p>
        </w:tc>
        <w:tc>
          <w:tcPr>
            <w:tcW w:w="1119" w:type="pct"/>
          </w:tcPr>
          <w:p w14:paraId="758A302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516571A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tcPr>
          <w:p w14:paraId="3BC4E8E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76.39 % (30.91-94.01)</w:t>
            </w:r>
          </w:p>
        </w:tc>
        <w:tc>
          <w:tcPr>
            <w:tcW w:w="620" w:type="pct"/>
          </w:tcPr>
          <w:p w14:paraId="0C27E7B2"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65447D12" w14:textId="77777777">
        <w:tc>
          <w:tcPr>
            <w:tcW w:w="1022" w:type="pct"/>
          </w:tcPr>
          <w:p w14:paraId="2DF4CDEB"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Mitotic index</w:t>
            </w:r>
          </w:p>
        </w:tc>
        <w:tc>
          <w:tcPr>
            <w:tcW w:w="1119" w:type="pct"/>
          </w:tcPr>
          <w:p w14:paraId="238C869E"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6115117F"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04D1486"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281914E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&lt; 0.0001</w:t>
            </w:r>
          </w:p>
        </w:tc>
      </w:tr>
      <w:tr w:rsidR="003F2138" w14:paraId="759ABAB9" w14:textId="77777777">
        <w:tc>
          <w:tcPr>
            <w:tcW w:w="1022" w:type="pct"/>
          </w:tcPr>
          <w:p w14:paraId="0F7F13E1"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5 per 50 HPFs</w:t>
            </w:r>
          </w:p>
        </w:tc>
        <w:tc>
          <w:tcPr>
            <w:tcW w:w="1119" w:type="pct"/>
          </w:tcPr>
          <w:p w14:paraId="192A474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05FD2C8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98.67% (94.75-99.67)</w:t>
            </w:r>
          </w:p>
        </w:tc>
        <w:tc>
          <w:tcPr>
            <w:tcW w:w="1120" w:type="pct"/>
          </w:tcPr>
          <w:p w14:paraId="5CA2510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93.47% (85.43-97.15)</w:t>
            </w:r>
          </w:p>
        </w:tc>
        <w:tc>
          <w:tcPr>
            <w:tcW w:w="620" w:type="pct"/>
          </w:tcPr>
          <w:p w14:paraId="5A0B1112"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21687580" w14:textId="77777777">
        <w:tc>
          <w:tcPr>
            <w:tcW w:w="1022" w:type="pct"/>
          </w:tcPr>
          <w:p w14:paraId="4BFA4D95"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6-10 per 50 HPFs</w:t>
            </w:r>
          </w:p>
        </w:tc>
        <w:tc>
          <w:tcPr>
            <w:tcW w:w="1119" w:type="pct"/>
          </w:tcPr>
          <w:p w14:paraId="5C7F2911"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97.67% (84.61-99.67)</w:t>
            </w:r>
          </w:p>
        </w:tc>
        <w:tc>
          <w:tcPr>
            <w:tcW w:w="1119" w:type="pct"/>
          </w:tcPr>
          <w:p w14:paraId="1557462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91.93% (76.88-97.34)</w:t>
            </w:r>
          </w:p>
        </w:tc>
        <w:tc>
          <w:tcPr>
            <w:tcW w:w="1120" w:type="pct"/>
          </w:tcPr>
          <w:p w14:paraId="502AD28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77.13% (53.86-89.67)</w:t>
            </w:r>
          </w:p>
        </w:tc>
        <w:tc>
          <w:tcPr>
            <w:tcW w:w="620" w:type="pct"/>
          </w:tcPr>
          <w:p w14:paraId="15DB842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33A56ABA" w14:textId="77777777">
        <w:tc>
          <w:tcPr>
            <w:tcW w:w="1022" w:type="pct"/>
          </w:tcPr>
          <w:p w14:paraId="3F7079FB"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&gt;10 per 50 HPFs</w:t>
            </w:r>
          </w:p>
        </w:tc>
        <w:tc>
          <w:tcPr>
            <w:tcW w:w="1119" w:type="pct"/>
          </w:tcPr>
          <w:p w14:paraId="59045AC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171BD19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80.00% (40.86-94.59)</w:t>
            </w:r>
          </w:p>
        </w:tc>
        <w:tc>
          <w:tcPr>
            <w:tcW w:w="1120" w:type="pct"/>
          </w:tcPr>
          <w:p w14:paraId="2144A8B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50.00% (18.35-75.32)</w:t>
            </w:r>
          </w:p>
        </w:tc>
        <w:tc>
          <w:tcPr>
            <w:tcW w:w="620" w:type="pct"/>
          </w:tcPr>
          <w:p w14:paraId="6209F914"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AB7A416" w14:textId="77777777">
        <w:tc>
          <w:tcPr>
            <w:tcW w:w="1022" w:type="pct"/>
          </w:tcPr>
          <w:p w14:paraId="6BFC4213"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Necrosis </w:t>
            </w:r>
          </w:p>
        </w:tc>
        <w:tc>
          <w:tcPr>
            <w:tcW w:w="1119" w:type="pct"/>
          </w:tcPr>
          <w:p w14:paraId="477FD14E"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0D8D87A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99A2E92"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7AF9582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0.2676</w:t>
            </w:r>
          </w:p>
        </w:tc>
      </w:tr>
      <w:tr w:rsidR="003F2138" w14:paraId="5FFAD29E" w14:textId="77777777">
        <w:tc>
          <w:tcPr>
            <w:tcW w:w="1022" w:type="pct"/>
          </w:tcPr>
          <w:p w14:paraId="021ECA9F"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Yes </w:t>
            </w:r>
          </w:p>
        </w:tc>
        <w:tc>
          <w:tcPr>
            <w:tcW w:w="1119" w:type="pct"/>
          </w:tcPr>
          <w:p w14:paraId="724FD51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98.48% (89.72-99.79)</w:t>
            </w:r>
          </w:p>
        </w:tc>
        <w:tc>
          <w:tcPr>
            <w:tcW w:w="1119" w:type="pct"/>
          </w:tcPr>
          <w:p w14:paraId="7BAE5D9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98.48% (89.72-99.79)</w:t>
            </w:r>
          </w:p>
        </w:tc>
        <w:tc>
          <w:tcPr>
            <w:tcW w:w="1120" w:type="pct"/>
          </w:tcPr>
          <w:p w14:paraId="6B4A892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83.69% (66.12-92.63)</w:t>
            </w:r>
          </w:p>
        </w:tc>
        <w:tc>
          <w:tcPr>
            <w:tcW w:w="620" w:type="pct"/>
          </w:tcPr>
          <w:p w14:paraId="257DA39F"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D9E5636" w14:textId="77777777">
        <w:tc>
          <w:tcPr>
            <w:tcW w:w="1022" w:type="pct"/>
          </w:tcPr>
          <w:p w14:paraId="346ED8A8"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No </w:t>
            </w:r>
          </w:p>
        </w:tc>
        <w:tc>
          <w:tcPr>
            <w:tcW w:w="1119" w:type="pct"/>
          </w:tcPr>
          <w:p w14:paraId="1B7A760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440ED1F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95.79% (90.79-98.10)</w:t>
            </w:r>
          </w:p>
        </w:tc>
        <w:tc>
          <w:tcPr>
            <w:tcW w:w="1120" w:type="pct"/>
          </w:tcPr>
          <w:p w14:paraId="0798FDD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89.58% (81.22-94.34)</w:t>
            </w:r>
          </w:p>
        </w:tc>
        <w:tc>
          <w:tcPr>
            <w:tcW w:w="620" w:type="pct"/>
          </w:tcPr>
          <w:p w14:paraId="134FF608"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140EDA86" w14:textId="77777777">
        <w:tc>
          <w:tcPr>
            <w:tcW w:w="1022" w:type="pct"/>
          </w:tcPr>
          <w:p w14:paraId="3E5E567F"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Tumor rupture </w:t>
            </w:r>
          </w:p>
        </w:tc>
        <w:tc>
          <w:tcPr>
            <w:tcW w:w="1119" w:type="pct"/>
          </w:tcPr>
          <w:p w14:paraId="442909CC"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7569B1C5"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72D5CA86"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EC76F8B"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0.0695</w:t>
            </w:r>
          </w:p>
        </w:tc>
      </w:tr>
      <w:tr w:rsidR="003F2138" w14:paraId="001139A4" w14:textId="77777777">
        <w:tc>
          <w:tcPr>
            <w:tcW w:w="1022" w:type="pct"/>
          </w:tcPr>
          <w:p w14:paraId="18E214E8"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Yes </w:t>
            </w:r>
          </w:p>
        </w:tc>
        <w:tc>
          <w:tcPr>
            <w:tcW w:w="1119" w:type="pct"/>
          </w:tcPr>
          <w:p w14:paraId="3448D40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68FB293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tcPr>
          <w:p w14:paraId="066A36C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63.49% (23.81-86.61)</w:t>
            </w:r>
          </w:p>
        </w:tc>
        <w:tc>
          <w:tcPr>
            <w:tcW w:w="620" w:type="pct"/>
          </w:tcPr>
          <w:p w14:paraId="33C3F816"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71F1E4C" w14:textId="77777777">
        <w:tc>
          <w:tcPr>
            <w:tcW w:w="1022" w:type="pct"/>
          </w:tcPr>
          <w:p w14:paraId="2FDCED4B"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No </w:t>
            </w:r>
          </w:p>
        </w:tc>
        <w:tc>
          <w:tcPr>
            <w:tcW w:w="1119" w:type="pct"/>
          </w:tcPr>
          <w:p w14:paraId="4988303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99.11% (96.48-99.78)</w:t>
            </w:r>
          </w:p>
        </w:tc>
        <w:tc>
          <w:tcPr>
            <w:tcW w:w="1119" w:type="pct"/>
          </w:tcPr>
          <w:p w14:paraId="08AF5B0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96.43% (92.62-98.29)</w:t>
            </w:r>
          </w:p>
        </w:tc>
        <w:tc>
          <w:tcPr>
            <w:tcW w:w="1120" w:type="pct"/>
          </w:tcPr>
          <w:p w14:paraId="4A44886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88.40% (79.94-93.44)</w:t>
            </w:r>
          </w:p>
        </w:tc>
        <w:tc>
          <w:tcPr>
            <w:tcW w:w="620" w:type="pct"/>
          </w:tcPr>
          <w:p w14:paraId="42314489"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5DB25F3A" w14:textId="77777777">
        <w:tc>
          <w:tcPr>
            <w:tcW w:w="1022" w:type="pct"/>
          </w:tcPr>
          <w:p w14:paraId="7FDA4457"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lastRenderedPageBreak/>
              <w:t xml:space="preserve">Risk classification </w:t>
            </w:r>
          </w:p>
        </w:tc>
        <w:tc>
          <w:tcPr>
            <w:tcW w:w="1119" w:type="pct"/>
          </w:tcPr>
          <w:p w14:paraId="737CABD2"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10D89EFD"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61580196"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841C1B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0.0007</w:t>
            </w:r>
          </w:p>
        </w:tc>
      </w:tr>
      <w:tr w:rsidR="003F2138" w14:paraId="4AF5E28A" w14:textId="77777777">
        <w:tc>
          <w:tcPr>
            <w:tcW w:w="1022" w:type="pct"/>
          </w:tcPr>
          <w:p w14:paraId="1EFC1FAB"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Very low risk</w:t>
            </w:r>
          </w:p>
        </w:tc>
        <w:tc>
          <w:tcPr>
            <w:tcW w:w="1119" w:type="pct"/>
          </w:tcPr>
          <w:p w14:paraId="4957B6A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450785E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98.18% (87.78-99.74)</w:t>
            </w:r>
          </w:p>
        </w:tc>
        <w:tc>
          <w:tcPr>
            <w:tcW w:w="1120" w:type="pct"/>
          </w:tcPr>
          <w:p w14:paraId="4CA8C93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98.18% (87.78-99.74)</w:t>
            </w:r>
          </w:p>
        </w:tc>
        <w:tc>
          <w:tcPr>
            <w:tcW w:w="620" w:type="pct"/>
          </w:tcPr>
          <w:p w14:paraId="023BCB6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A5CC964" w14:textId="77777777">
        <w:tc>
          <w:tcPr>
            <w:tcW w:w="1022" w:type="pct"/>
          </w:tcPr>
          <w:p w14:paraId="5600989B"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 xml:space="preserve">Low </w:t>
            </w:r>
            <w:r>
              <w:rPr>
                <w:rFonts w:ascii="Book Antiqua" w:hAnsi="Book Antiqua"/>
                <w:bCs/>
                <w:color w:val="000000" w:themeColor="text1"/>
              </w:rPr>
              <w:t>risk</w:t>
            </w:r>
          </w:p>
        </w:tc>
        <w:tc>
          <w:tcPr>
            <w:tcW w:w="1119" w:type="pct"/>
          </w:tcPr>
          <w:p w14:paraId="6FEB664C"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34C0525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tcPr>
          <w:p w14:paraId="5123C0A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97.92% (86.11-99.70)</w:t>
            </w:r>
          </w:p>
        </w:tc>
        <w:tc>
          <w:tcPr>
            <w:tcW w:w="620" w:type="pct"/>
          </w:tcPr>
          <w:p w14:paraId="63A19EFA"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63E7A925" w14:textId="77777777">
        <w:tc>
          <w:tcPr>
            <w:tcW w:w="1022" w:type="pct"/>
          </w:tcPr>
          <w:p w14:paraId="64A6E2BC"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Intermediate risk</w:t>
            </w:r>
          </w:p>
        </w:tc>
        <w:tc>
          <w:tcPr>
            <w:tcW w:w="1119" w:type="pct"/>
          </w:tcPr>
          <w:p w14:paraId="7155253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6A82279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tcPr>
          <w:p w14:paraId="1E35C01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85.27% (59.66-95.20)</w:t>
            </w:r>
          </w:p>
        </w:tc>
        <w:tc>
          <w:tcPr>
            <w:tcW w:w="620" w:type="pct"/>
          </w:tcPr>
          <w:p w14:paraId="0F1641D1"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5A342234" w14:textId="77777777">
        <w:tc>
          <w:tcPr>
            <w:tcW w:w="1022" w:type="pct"/>
          </w:tcPr>
          <w:p w14:paraId="4950CF73"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High risk</w:t>
            </w:r>
          </w:p>
        </w:tc>
        <w:tc>
          <w:tcPr>
            <w:tcW w:w="1119" w:type="pct"/>
          </w:tcPr>
          <w:p w14:paraId="3C3354E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96.61% (87.11-99.14)</w:t>
            </w:r>
          </w:p>
        </w:tc>
        <w:tc>
          <w:tcPr>
            <w:tcW w:w="1119" w:type="pct"/>
          </w:tcPr>
          <w:p w14:paraId="184D11D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89.10% (77.27-94.97)</w:t>
            </w:r>
          </w:p>
        </w:tc>
        <w:tc>
          <w:tcPr>
            <w:tcW w:w="1120" w:type="pct"/>
          </w:tcPr>
          <w:p w14:paraId="5FB30CF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72.82% (56.21-83.98)</w:t>
            </w:r>
          </w:p>
        </w:tc>
        <w:tc>
          <w:tcPr>
            <w:tcW w:w="620" w:type="pct"/>
          </w:tcPr>
          <w:p w14:paraId="730677F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30B5558E" w14:textId="77777777">
        <w:tc>
          <w:tcPr>
            <w:tcW w:w="1022" w:type="pct"/>
          </w:tcPr>
          <w:p w14:paraId="1D111403"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NLR</w:t>
            </w:r>
          </w:p>
        </w:tc>
        <w:tc>
          <w:tcPr>
            <w:tcW w:w="1119" w:type="pct"/>
          </w:tcPr>
          <w:p w14:paraId="333978E1"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3EDF15A6"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F4E46D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49006F29"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0.0224</w:t>
            </w:r>
          </w:p>
        </w:tc>
      </w:tr>
      <w:tr w:rsidR="003F2138" w14:paraId="0BBF0B7C" w14:textId="77777777">
        <w:tc>
          <w:tcPr>
            <w:tcW w:w="1022" w:type="pct"/>
          </w:tcPr>
          <w:p w14:paraId="37A00460"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&lt; 4.34</w:t>
            </w:r>
          </w:p>
        </w:tc>
        <w:tc>
          <w:tcPr>
            <w:tcW w:w="1119" w:type="pct"/>
          </w:tcPr>
          <w:p w14:paraId="10D49DE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99.46</w:t>
            </w:r>
            <w:r>
              <w:rPr>
                <w:rFonts w:ascii="Book Antiqua" w:eastAsia="宋体" w:hAnsi="Book Antiqua"/>
                <w:bCs/>
                <w:color w:val="000000" w:themeColor="text1"/>
              </w:rPr>
              <w:t xml:space="preserve">% </w:t>
            </w:r>
            <w:r>
              <w:rPr>
                <w:rFonts w:ascii="Book Antiqua" w:hAnsi="Book Antiqua"/>
                <w:bCs/>
                <w:color w:val="000000" w:themeColor="text1"/>
              </w:rPr>
              <w:t>(96.22-99.92)</w:t>
            </w:r>
          </w:p>
        </w:tc>
        <w:tc>
          <w:tcPr>
            <w:tcW w:w="1119" w:type="pct"/>
          </w:tcPr>
          <w:p w14:paraId="47BAAE9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98.89</w:t>
            </w:r>
            <w:r>
              <w:rPr>
                <w:rFonts w:ascii="Book Antiqua" w:eastAsia="宋体" w:hAnsi="Book Antiqua"/>
                <w:bCs/>
                <w:color w:val="000000" w:themeColor="text1"/>
              </w:rPr>
              <w:t>%</w:t>
            </w:r>
            <w:r>
              <w:rPr>
                <w:rFonts w:ascii="Book Antiqua" w:hAnsi="Book Antiqua"/>
                <w:bCs/>
                <w:color w:val="000000" w:themeColor="text1"/>
              </w:rPr>
              <w:t xml:space="preserve"> (95.65-99.72)</w:t>
            </w:r>
          </w:p>
        </w:tc>
        <w:tc>
          <w:tcPr>
            <w:tcW w:w="1120" w:type="pct"/>
          </w:tcPr>
          <w:p w14:paraId="5FC99500"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88.76</w:t>
            </w:r>
            <w:r>
              <w:rPr>
                <w:rFonts w:ascii="Book Antiqua" w:eastAsia="宋体" w:hAnsi="Book Antiqua"/>
                <w:bCs/>
                <w:color w:val="000000" w:themeColor="text1"/>
              </w:rPr>
              <w:t xml:space="preserve">% </w:t>
            </w:r>
            <w:r>
              <w:rPr>
                <w:rFonts w:ascii="Book Antiqua" w:hAnsi="Book Antiqua"/>
                <w:bCs/>
                <w:color w:val="000000" w:themeColor="text1"/>
              </w:rPr>
              <w:t>(78.31-94.35)</w:t>
            </w:r>
          </w:p>
        </w:tc>
        <w:tc>
          <w:tcPr>
            <w:tcW w:w="620" w:type="pct"/>
          </w:tcPr>
          <w:p w14:paraId="53660447"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5ED365A" w14:textId="77777777">
        <w:tc>
          <w:tcPr>
            <w:tcW w:w="1022" w:type="pct"/>
          </w:tcPr>
          <w:p w14:paraId="3B2858E8"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4.34</w:t>
            </w:r>
          </w:p>
        </w:tc>
        <w:tc>
          <w:tcPr>
            <w:tcW w:w="1119" w:type="pct"/>
          </w:tcPr>
          <w:p w14:paraId="15E7935A"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98.00</w:t>
            </w:r>
            <w:r>
              <w:rPr>
                <w:rFonts w:ascii="Book Antiqua" w:eastAsia="宋体" w:hAnsi="Book Antiqua"/>
                <w:bCs/>
                <w:color w:val="000000" w:themeColor="text1"/>
              </w:rPr>
              <w:t xml:space="preserve">% </w:t>
            </w:r>
            <w:r>
              <w:rPr>
                <w:rFonts w:ascii="Book Antiqua" w:hAnsi="Book Antiqua"/>
                <w:bCs/>
                <w:color w:val="000000" w:themeColor="text1"/>
              </w:rPr>
              <w:t>(86.63-99.72)</w:t>
            </w:r>
          </w:p>
        </w:tc>
        <w:tc>
          <w:tcPr>
            <w:tcW w:w="1119" w:type="pct"/>
          </w:tcPr>
          <w:p w14:paraId="700C99B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88.68</w:t>
            </w:r>
            <w:r>
              <w:rPr>
                <w:rFonts w:ascii="Book Antiqua" w:eastAsia="宋体" w:hAnsi="Book Antiqua"/>
                <w:bCs/>
                <w:color w:val="000000" w:themeColor="text1"/>
              </w:rPr>
              <w:t xml:space="preserve">% </w:t>
            </w:r>
            <w:r>
              <w:rPr>
                <w:rFonts w:ascii="Book Antiqua" w:hAnsi="Book Antiqua"/>
                <w:bCs/>
                <w:color w:val="000000" w:themeColor="text1"/>
              </w:rPr>
              <w:t>(74.82-95.15)</w:t>
            </w:r>
          </w:p>
        </w:tc>
        <w:tc>
          <w:tcPr>
            <w:tcW w:w="1120" w:type="pct"/>
            <w:vAlign w:val="center"/>
          </w:tcPr>
          <w:p w14:paraId="2E720043"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80.29</w:t>
            </w:r>
            <w:r>
              <w:rPr>
                <w:rFonts w:ascii="Book Antiqua" w:eastAsia="宋体" w:hAnsi="Book Antiqua"/>
                <w:bCs/>
                <w:color w:val="000000" w:themeColor="text1"/>
              </w:rPr>
              <w:t xml:space="preserve">% </w:t>
            </w:r>
            <w:r>
              <w:rPr>
                <w:rFonts w:ascii="Book Antiqua" w:hAnsi="Book Antiqua"/>
                <w:bCs/>
                <w:color w:val="000000" w:themeColor="text1"/>
              </w:rPr>
              <w:t>(64.11-89.73)</w:t>
            </w:r>
          </w:p>
        </w:tc>
        <w:tc>
          <w:tcPr>
            <w:tcW w:w="620" w:type="pct"/>
            <w:vAlign w:val="center"/>
          </w:tcPr>
          <w:p w14:paraId="6680CAB4"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53BC44D8" w14:textId="77777777">
        <w:tc>
          <w:tcPr>
            <w:tcW w:w="1022" w:type="pct"/>
          </w:tcPr>
          <w:p w14:paraId="284B082B"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PLR</w:t>
            </w:r>
          </w:p>
        </w:tc>
        <w:tc>
          <w:tcPr>
            <w:tcW w:w="1119" w:type="pct"/>
          </w:tcPr>
          <w:p w14:paraId="61851BA2"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4A81F0A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75FA894A"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2771CC6D"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0.0069</w:t>
            </w:r>
          </w:p>
        </w:tc>
      </w:tr>
      <w:tr w:rsidR="003F2138" w14:paraId="7BDBA8CA" w14:textId="77777777">
        <w:tc>
          <w:tcPr>
            <w:tcW w:w="1022" w:type="pct"/>
          </w:tcPr>
          <w:p w14:paraId="78A9E4BD"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&lt; 220.76</w:t>
            </w:r>
          </w:p>
        </w:tc>
        <w:tc>
          <w:tcPr>
            <w:tcW w:w="1119" w:type="pct"/>
          </w:tcPr>
          <w:p w14:paraId="28B9116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5EDEA30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99.39</w:t>
            </w:r>
            <w:r>
              <w:rPr>
                <w:rFonts w:ascii="Book Antiqua" w:eastAsia="宋体" w:hAnsi="Book Antiqua"/>
                <w:bCs/>
                <w:color w:val="000000" w:themeColor="text1"/>
              </w:rPr>
              <w:t xml:space="preserve">% </w:t>
            </w:r>
            <w:r>
              <w:rPr>
                <w:rFonts w:ascii="Book Antiqua" w:hAnsi="Book Antiqua"/>
                <w:bCs/>
                <w:color w:val="000000" w:themeColor="text1"/>
              </w:rPr>
              <w:t>(95.75-99.91)</w:t>
            </w:r>
          </w:p>
        </w:tc>
        <w:tc>
          <w:tcPr>
            <w:tcW w:w="1120" w:type="pct"/>
          </w:tcPr>
          <w:p w14:paraId="1E20CC8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91.24</w:t>
            </w:r>
            <w:r>
              <w:rPr>
                <w:rFonts w:ascii="Book Antiqua" w:eastAsia="宋体" w:hAnsi="Book Antiqua"/>
                <w:bCs/>
                <w:color w:val="000000" w:themeColor="text1"/>
              </w:rPr>
              <w:t xml:space="preserve">% </w:t>
            </w:r>
            <w:r>
              <w:rPr>
                <w:rFonts w:ascii="Book Antiqua" w:hAnsi="Book Antiqua"/>
                <w:bCs/>
                <w:color w:val="000000" w:themeColor="text1"/>
              </w:rPr>
              <w:t>(80.00-96.31)</w:t>
            </w:r>
          </w:p>
        </w:tc>
        <w:tc>
          <w:tcPr>
            <w:tcW w:w="620" w:type="pct"/>
          </w:tcPr>
          <w:p w14:paraId="6B5375D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E9BBC62" w14:textId="77777777">
        <w:tc>
          <w:tcPr>
            <w:tcW w:w="1022" w:type="pct"/>
          </w:tcPr>
          <w:p w14:paraId="34E753E1"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220.76</w:t>
            </w:r>
          </w:p>
        </w:tc>
        <w:tc>
          <w:tcPr>
            <w:tcW w:w="1119" w:type="pct"/>
          </w:tcPr>
          <w:p w14:paraId="2989BA61"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96.92</w:t>
            </w:r>
            <w:r>
              <w:rPr>
                <w:rFonts w:ascii="Book Antiqua" w:eastAsia="宋体" w:hAnsi="Book Antiqua"/>
                <w:bCs/>
                <w:color w:val="000000" w:themeColor="text1"/>
              </w:rPr>
              <w:t xml:space="preserve">% </w:t>
            </w:r>
            <w:r>
              <w:rPr>
                <w:rFonts w:ascii="Book Antiqua" w:hAnsi="Book Antiqua"/>
                <w:bCs/>
                <w:color w:val="000000" w:themeColor="text1"/>
              </w:rPr>
              <w:t>(88.25-99.22)</w:t>
            </w:r>
          </w:p>
        </w:tc>
        <w:tc>
          <w:tcPr>
            <w:tcW w:w="1119" w:type="pct"/>
          </w:tcPr>
          <w:p w14:paraId="23BFD45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89.64</w:t>
            </w:r>
            <w:r>
              <w:rPr>
                <w:rFonts w:ascii="Book Antiqua" w:eastAsia="宋体" w:hAnsi="Book Antiqua"/>
                <w:bCs/>
                <w:color w:val="000000" w:themeColor="text1"/>
              </w:rPr>
              <w:t xml:space="preserve">% </w:t>
            </w:r>
            <w:r>
              <w:rPr>
                <w:rFonts w:ascii="Book Antiqua" w:hAnsi="Book Antiqua"/>
                <w:bCs/>
                <w:color w:val="000000" w:themeColor="text1"/>
              </w:rPr>
              <w:t>(78.27-95.23)</w:t>
            </w:r>
          </w:p>
        </w:tc>
        <w:tc>
          <w:tcPr>
            <w:tcW w:w="1120" w:type="pct"/>
          </w:tcPr>
          <w:p w14:paraId="1141AA7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77.17</w:t>
            </w:r>
            <w:r>
              <w:rPr>
                <w:rFonts w:ascii="Book Antiqua" w:eastAsia="宋体" w:hAnsi="Book Antiqua"/>
                <w:bCs/>
                <w:color w:val="000000" w:themeColor="text1"/>
              </w:rPr>
              <w:t xml:space="preserve">% </w:t>
            </w:r>
            <w:r>
              <w:rPr>
                <w:rFonts w:ascii="Book Antiqua" w:hAnsi="Book Antiqua"/>
                <w:bCs/>
                <w:color w:val="000000" w:themeColor="text1"/>
              </w:rPr>
              <w:t>(61.76-86.99)</w:t>
            </w:r>
          </w:p>
        </w:tc>
        <w:tc>
          <w:tcPr>
            <w:tcW w:w="620" w:type="pct"/>
          </w:tcPr>
          <w:p w14:paraId="1F34FB5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3104D3B0" w14:textId="77777777">
        <w:tc>
          <w:tcPr>
            <w:tcW w:w="1022" w:type="pct"/>
          </w:tcPr>
          <w:p w14:paraId="4796CBC6"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OPNI</w:t>
            </w:r>
          </w:p>
        </w:tc>
        <w:tc>
          <w:tcPr>
            <w:tcW w:w="1119" w:type="pct"/>
          </w:tcPr>
          <w:p w14:paraId="7F14526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49AA33B3"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218E44A7"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69EC8059"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0.0002</w:t>
            </w:r>
          </w:p>
        </w:tc>
      </w:tr>
      <w:tr w:rsidR="003F2138" w14:paraId="3FB3C5C1" w14:textId="77777777">
        <w:tc>
          <w:tcPr>
            <w:tcW w:w="1022" w:type="pct"/>
          </w:tcPr>
          <w:p w14:paraId="2139DC5C"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51.30</w:t>
            </w:r>
          </w:p>
        </w:tc>
        <w:tc>
          <w:tcPr>
            <w:tcW w:w="1119" w:type="pct"/>
          </w:tcPr>
          <w:p w14:paraId="43C76B9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54778C9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20" w:type="pct"/>
            <w:vAlign w:val="center"/>
          </w:tcPr>
          <w:p w14:paraId="09589B8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98.41</w:t>
            </w:r>
            <w:r>
              <w:rPr>
                <w:rFonts w:ascii="Book Antiqua" w:eastAsia="宋体" w:hAnsi="Book Antiqua"/>
                <w:bCs/>
                <w:color w:val="000000" w:themeColor="text1"/>
              </w:rPr>
              <w:t xml:space="preserve">% </w:t>
            </w:r>
            <w:r>
              <w:rPr>
                <w:rFonts w:ascii="Book Antiqua" w:hAnsi="Book Antiqua"/>
                <w:bCs/>
                <w:color w:val="000000" w:themeColor="text1"/>
              </w:rPr>
              <w:t>(89.26-99.77)</w:t>
            </w:r>
          </w:p>
        </w:tc>
        <w:tc>
          <w:tcPr>
            <w:tcW w:w="620" w:type="pct"/>
            <w:vAlign w:val="center"/>
          </w:tcPr>
          <w:p w14:paraId="27533F65"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2B147799" w14:textId="77777777">
        <w:tc>
          <w:tcPr>
            <w:tcW w:w="1022" w:type="pct"/>
          </w:tcPr>
          <w:p w14:paraId="6EB66290"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&lt; 51.30</w:t>
            </w:r>
          </w:p>
        </w:tc>
        <w:tc>
          <w:tcPr>
            <w:tcW w:w="1119" w:type="pct"/>
          </w:tcPr>
          <w:p w14:paraId="65F02C4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98.13</w:t>
            </w:r>
            <w:r>
              <w:rPr>
                <w:rFonts w:ascii="Book Antiqua" w:eastAsia="宋体" w:hAnsi="Book Antiqua"/>
                <w:bCs/>
                <w:color w:val="000000" w:themeColor="text1"/>
              </w:rPr>
              <w:t xml:space="preserve">% </w:t>
            </w:r>
            <w:r>
              <w:rPr>
                <w:rFonts w:ascii="Book Antiqua" w:hAnsi="Book Antiqua"/>
                <w:bCs/>
                <w:color w:val="000000" w:themeColor="text1"/>
              </w:rPr>
              <w:t>(92.73-99.53)</w:t>
            </w:r>
          </w:p>
        </w:tc>
        <w:tc>
          <w:tcPr>
            <w:tcW w:w="1119" w:type="pct"/>
          </w:tcPr>
          <w:p w14:paraId="49DF139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92.83</w:t>
            </w:r>
            <w:r>
              <w:rPr>
                <w:rFonts w:ascii="Book Antiqua" w:eastAsia="宋体" w:hAnsi="Book Antiqua"/>
                <w:bCs/>
                <w:color w:val="000000" w:themeColor="text1"/>
              </w:rPr>
              <w:t xml:space="preserve">% </w:t>
            </w:r>
            <w:r>
              <w:rPr>
                <w:rFonts w:ascii="Book Antiqua" w:hAnsi="Book Antiqua"/>
                <w:bCs/>
                <w:color w:val="000000" w:themeColor="text1"/>
              </w:rPr>
              <w:t>(85.49-96.53)</w:t>
            </w:r>
          </w:p>
        </w:tc>
        <w:tc>
          <w:tcPr>
            <w:tcW w:w="1120" w:type="pct"/>
          </w:tcPr>
          <w:p w14:paraId="0DFEFDAB"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76.22</w:t>
            </w:r>
            <w:r>
              <w:rPr>
                <w:rFonts w:ascii="Book Antiqua" w:eastAsia="宋体" w:hAnsi="Book Antiqua"/>
                <w:bCs/>
                <w:color w:val="000000" w:themeColor="text1"/>
              </w:rPr>
              <w:t xml:space="preserve">% </w:t>
            </w:r>
            <w:r>
              <w:rPr>
                <w:rFonts w:ascii="Book Antiqua" w:hAnsi="Book Antiqua"/>
                <w:bCs/>
                <w:color w:val="000000" w:themeColor="text1"/>
              </w:rPr>
              <w:t>(62.51-85.48)</w:t>
            </w:r>
          </w:p>
        </w:tc>
        <w:tc>
          <w:tcPr>
            <w:tcW w:w="620" w:type="pct"/>
          </w:tcPr>
          <w:p w14:paraId="0A5647FD"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1CCB7329" w14:textId="77777777">
        <w:tc>
          <w:tcPr>
            <w:tcW w:w="1022" w:type="pct"/>
          </w:tcPr>
          <w:p w14:paraId="4B3CF56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Ki-67 index</w:t>
            </w:r>
          </w:p>
        </w:tc>
        <w:tc>
          <w:tcPr>
            <w:tcW w:w="1119" w:type="pct"/>
          </w:tcPr>
          <w:p w14:paraId="7C9E9168"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6A3D36B1"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1120" w:type="pct"/>
            <w:vAlign w:val="center"/>
          </w:tcPr>
          <w:p w14:paraId="49682481" w14:textId="77777777" w:rsidR="003F2138" w:rsidRDefault="003F2138">
            <w:pPr>
              <w:adjustRightInd w:val="0"/>
              <w:snapToGrid w:val="0"/>
              <w:spacing w:line="360" w:lineRule="auto"/>
              <w:jc w:val="both"/>
              <w:rPr>
                <w:rFonts w:ascii="Book Antiqua" w:eastAsia="宋体" w:hAnsi="Book Antiqua"/>
                <w:bCs/>
                <w:color w:val="000000" w:themeColor="text1"/>
              </w:rPr>
            </w:pPr>
          </w:p>
        </w:tc>
        <w:tc>
          <w:tcPr>
            <w:tcW w:w="620" w:type="pct"/>
            <w:vAlign w:val="center"/>
          </w:tcPr>
          <w:p w14:paraId="3B4D3A8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0.0592</w:t>
            </w:r>
          </w:p>
        </w:tc>
      </w:tr>
      <w:tr w:rsidR="003F2138" w14:paraId="472F918E" w14:textId="77777777">
        <w:tc>
          <w:tcPr>
            <w:tcW w:w="1022" w:type="pct"/>
          </w:tcPr>
          <w:p w14:paraId="440DBA1F"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hAnsi="Book Antiqua"/>
                <w:bCs/>
                <w:color w:val="000000" w:themeColor="text1"/>
              </w:rPr>
              <w:t>&lt; 2.5%</w:t>
            </w:r>
          </w:p>
        </w:tc>
        <w:tc>
          <w:tcPr>
            <w:tcW w:w="1119" w:type="pct"/>
          </w:tcPr>
          <w:p w14:paraId="5DAA0303"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100%</w:t>
            </w:r>
          </w:p>
        </w:tc>
        <w:tc>
          <w:tcPr>
            <w:tcW w:w="1119" w:type="pct"/>
          </w:tcPr>
          <w:p w14:paraId="5E427C6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98.88</w:t>
            </w:r>
            <w:r>
              <w:rPr>
                <w:rFonts w:ascii="Book Antiqua" w:eastAsia="宋体" w:hAnsi="Book Antiqua"/>
                <w:bCs/>
                <w:color w:val="000000" w:themeColor="text1"/>
              </w:rPr>
              <w:t xml:space="preserve">% </w:t>
            </w:r>
            <w:r>
              <w:rPr>
                <w:rFonts w:ascii="Book Antiqua" w:hAnsi="Book Antiqua"/>
                <w:bCs/>
                <w:color w:val="000000" w:themeColor="text1"/>
              </w:rPr>
              <w:t>(92.29-99.84)</w:t>
            </w:r>
          </w:p>
        </w:tc>
        <w:tc>
          <w:tcPr>
            <w:tcW w:w="1120" w:type="pct"/>
            <w:vAlign w:val="center"/>
          </w:tcPr>
          <w:p w14:paraId="37AC68D8"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88.03</w:t>
            </w:r>
            <w:r>
              <w:rPr>
                <w:rFonts w:ascii="Book Antiqua" w:eastAsia="宋体" w:hAnsi="Book Antiqua"/>
                <w:bCs/>
                <w:color w:val="000000" w:themeColor="text1"/>
              </w:rPr>
              <w:t xml:space="preserve">% </w:t>
            </w:r>
            <w:r>
              <w:rPr>
                <w:rFonts w:ascii="Book Antiqua" w:hAnsi="Book Antiqua"/>
                <w:bCs/>
                <w:color w:val="000000" w:themeColor="text1"/>
              </w:rPr>
              <w:t>(68.96-95.72)</w:t>
            </w:r>
          </w:p>
        </w:tc>
        <w:tc>
          <w:tcPr>
            <w:tcW w:w="620" w:type="pct"/>
            <w:vAlign w:val="center"/>
          </w:tcPr>
          <w:p w14:paraId="6C3EFAF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71C0E240" w14:textId="77777777">
        <w:tc>
          <w:tcPr>
            <w:tcW w:w="1022" w:type="pct"/>
          </w:tcPr>
          <w:p w14:paraId="06EFBFBE" w14:textId="77777777" w:rsidR="003F2138" w:rsidRDefault="00E00B3F">
            <w:pPr>
              <w:adjustRightInd w:val="0"/>
              <w:snapToGrid w:val="0"/>
              <w:spacing w:line="360" w:lineRule="auto"/>
              <w:ind w:leftChars="94" w:left="226"/>
              <w:jc w:val="both"/>
              <w:rPr>
                <w:rFonts w:ascii="Book Antiqua" w:eastAsia="宋体"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2.5%</w:t>
            </w:r>
          </w:p>
        </w:tc>
        <w:tc>
          <w:tcPr>
            <w:tcW w:w="1119" w:type="pct"/>
          </w:tcPr>
          <w:p w14:paraId="369B969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98.29</w:t>
            </w:r>
            <w:r>
              <w:rPr>
                <w:rFonts w:ascii="Book Antiqua" w:eastAsia="宋体" w:hAnsi="Book Antiqua"/>
                <w:bCs/>
                <w:color w:val="000000" w:themeColor="text1"/>
              </w:rPr>
              <w:t xml:space="preserve">% </w:t>
            </w:r>
            <w:r>
              <w:rPr>
                <w:rFonts w:ascii="Book Antiqua" w:hAnsi="Book Antiqua"/>
                <w:bCs/>
                <w:color w:val="000000" w:themeColor="text1"/>
              </w:rPr>
              <w:t>(93.34-99.57)</w:t>
            </w:r>
          </w:p>
        </w:tc>
        <w:tc>
          <w:tcPr>
            <w:tcW w:w="1119" w:type="pct"/>
          </w:tcPr>
          <w:p w14:paraId="09EE06E4"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94.34</w:t>
            </w:r>
            <w:r>
              <w:rPr>
                <w:rFonts w:ascii="Book Antiqua" w:eastAsia="宋体" w:hAnsi="Book Antiqua"/>
                <w:bCs/>
                <w:color w:val="000000" w:themeColor="text1"/>
              </w:rPr>
              <w:t xml:space="preserve">% </w:t>
            </w:r>
            <w:r>
              <w:rPr>
                <w:rFonts w:ascii="Book Antiqua" w:hAnsi="Book Antiqua"/>
                <w:bCs/>
                <w:color w:val="000000" w:themeColor="text1"/>
              </w:rPr>
              <w:t>(87.79-97.43)</w:t>
            </w:r>
          </w:p>
        </w:tc>
        <w:tc>
          <w:tcPr>
            <w:tcW w:w="1120" w:type="pct"/>
            <w:vAlign w:val="center"/>
          </w:tcPr>
          <w:p w14:paraId="0B8B03F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84.39</w:t>
            </w:r>
            <w:r>
              <w:rPr>
                <w:rFonts w:ascii="Book Antiqua" w:eastAsia="宋体" w:hAnsi="Book Antiqua"/>
                <w:bCs/>
                <w:color w:val="000000" w:themeColor="text1"/>
              </w:rPr>
              <w:t xml:space="preserve">% </w:t>
            </w:r>
            <w:r>
              <w:rPr>
                <w:rFonts w:ascii="Book Antiqua" w:hAnsi="Book Antiqua"/>
                <w:bCs/>
                <w:color w:val="000000" w:themeColor="text1"/>
              </w:rPr>
              <w:t>(74.22-90.79)</w:t>
            </w:r>
          </w:p>
        </w:tc>
        <w:tc>
          <w:tcPr>
            <w:tcW w:w="620" w:type="pct"/>
            <w:vAlign w:val="center"/>
          </w:tcPr>
          <w:p w14:paraId="6F24CC5C"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3230B1A" w14:textId="77777777">
        <w:tc>
          <w:tcPr>
            <w:tcW w:w="1022" w:type="pct"/>
          </w:tcPr>
          <w:p w14:paraId="0FB4A2C5"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Albumin</w:t>
            </w:r>
          </w:p>
        </w:tc>
        <w:tc>
          <w:tcPr>
            <w:tcW w:w="1119" w:type="pct"/>
          </w:tcPr>
          <w:p w14:paraId="1FD51A3D" w14:textId="77777777" w:rsidR="003F2138" w:rsidRDefault="003F2138">
            <w:pPr>
              <w:adjustRightInd w:val="0"/>
              <w:snapToGrid w:val="0"/>
              <w:spacing w:line="360" w:lineRule="auto"/>
              <w:jc w:val="both"/>
              <w:rPr>
                <w:rFonts w:ascii="Book Antiqua" w:hAnsi="Book Antiqua"/>
                <w:bCs/>
                <w:color w:val="000000" w:themeColor="text1"/>
              </w:rPr>
            </w:pPr>
          </w:p>
        </w:tc>
        <w:tc>
          <w:tcPr>
            <w:tcW w:w="1119" w:type="pct"/>
          </w:tcPr>
          <w:p w14:paraId="4D5C5241" w14:textId="77777777" w:rsidR="003F2138" w:rsidRDefault="003F2138">
            <w:pPr>
              <w:adjustRightInd w:val="0"/>
              <w:snapToGrid w:val="0"/>
              <w:spacing w:line="360" w:lineRule="auto"/>
              <w:jc w:val="both"/>
              <w:rPr>
                <w:rFonts w:ascii="Book Antiqua" w:hAnsi="Book Antiqua"/>
                <w:bCs/>
                <w:color w:val="000000" w:themeColor="text1"/>
              </w:rPr>
            </w:pPr>
          </w:p>
        </w:tc>
        <w:tc>
          <w:tcPr>
            <w:tcW w:w="1120" w:type="pct"/>
            <w:vAlign w:val="center"/>
          </w:tcPr>
          <w:p w14:paraId="69CC5503" w14:textId="77777777" w:rsidR="003F2138" w:rsidRDefault="003F2138">
            <w:pPr>
              <w:adjustRightInd w:val="0"/>
              <w:snapToGrid w:val="0"/>
              <w:spacing w:line="360" w:lineRule="auto"/>
              <w:jc w:val="both"/>
              <w:rPr>
                <w:rFonts w:ascii="Book Antiqua" w:hAnsi="Book Antiqua"/>
                <w:bCs/>
                <w:color w:val="000000" w:themeColor="text1"/>
              </w:rPr>
            </w:pPr>
          </w:p>
        </w:tc>
        <w:tc>
          <w:tcPr>
            <w:tcW w:w="620" w:type="pct"/>
            <w:vAlign w:val="center"/>
          </w:tcPr>
          <w:p w14:paraId="5EE64647"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0.0589</w:t>
            </w:r>
          </w:p>
        </w:tc>
      </w:tr>
      <w:tr w:rsidR="003F2138" w14:paraId="0AE4EBF1" w14:textId="77777777">
        <w:tc>
          <w:tcPr>
            <w:tcW w:w="1022" w:type="pct"/>
          </w:tcPr>
          <w:p w14:paraId="326DC135"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lastRenderedPageBreak/>
              <w:t>&lt; 38.95</w:t>
            </w:r>
          </w:p>
        </w:tc>
        <w:tc>
          <w:tcPr>
            <w:tcW w:w="1119" w:type="pct"/>
          </w:tcPr>
          <w:p w14:paraId="3799E32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99.86</w:t>
            </w:r>
            <w:r>
              <w:rPr>
                <w:rFonts w:ascii="Book Antiqua" w:eastAsia="宋体" w:hAnsi="Book Antiqua"/>
                <w:bCs/>
                <w:color w:val="000000" w:themeColor="text1"/>
              </w:rPr>
              <w:t xml:space="preserve">% </w:t>
            </w:r>
            <w:r>
              <w:rPr>
                <w:rFonts w:ascii="Book Antiqua" w:hAnsi="Book Antiqua"/>
                <w:bCs/>
                <w:color w:val="000000" w:themeColor="text1"/>
              </w:rPr>
              <w:t>(96.42-99.91)</w:t>
            </w:r>
          </w:p>
        </w:tc>
        <w:tc>
          <w:tcPr>
            <w:tcW w:w="1119" w:type="pct"/>
          </w:tcPr>
          <w:p w14:paraId="25ABFAE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98.79</w:t>
            </w:r>
            <w:r>
              <w:rPr>
                <w:rFonts w:ascii="Book Antiqua" w:eastAsia="宋体" w:hAnsi="Book Antiqua"/>
                <w:bCs/>
                <w:color w:val="000000" w:themeColor="text1"/>
              </w:rPr>
              <w:t>%</w:t>
            </w:r>
            <w:r>
              <w:rPr>
                <w:rFonts w:ascii="Book Antiqua" w:hAnsi="Book Antiqua"/>
                <w:bCs/>
                <w:color w:val="000000" w:themeColor="text1"/>
              </w:rPr>
              <w:t xml:space="preserve"> (96.65-98.72)</w:t>
            </w:r>
          </w:p>
        </w:tc>
        <w:tc>
          <w:tcPr>
            <w:tcW w:w="1120" w:type="pct"/>
          </w:tcPr>
          <w:p w14:paraId="51C632EF"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89.74</w:t>
            </w:r>
            <w:r>
              <w:rPr>
                <w:rFonts w:ascii="Book Antiqua" w:eastAsia="宋体" w:hAnsi="Book Antiqua"/>
                <w:bCs/>
                <w:color w:val="000000" w:themeColor="text1"/>
              </w:rPr>
              <w:t xml:space="preserve">% </w:t>
            </w:r>
            <w:r>
              <w:rPr>
                <w:rFonts w:ascii="Book Antiqua" w:hAnsi="Book Antiqua"/>
                <w:bCs/>
                <w:color w:val="000000" w:themeColor="text1"/>
              </w:rPr>
              <w:t>(76.31-93.35)</w:t>
            </w:r>
          </w:p>
        </w:tc>
        <w:tc>
          <w:tcPr>
            <w:tcW w:w="620" w:type="pct"/>
            <w:vAlign w:val="center"/>
          </w:tcPr>
          <w:p w14:paraId="3B9CD6B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1D183226" w14:textId="77777777">
        <w:tc>
          <w:tcPr>
            <w:tcW w:w="1022" w:type="pct"/>
          </w:tcPr>
          <w:p w14:paraId="0B3C3367"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38.95</w:t>
            </w:r>
          </w:p>
        </w:tc>
        <w:tc>
          <w:tcPr>
            <w:tcW w:w="1119" w:type="pct"/>
          </w:tcPr>
          <w:p w14:paraId="1F8CA866"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99.01</w:t>
            </w:r>
            <w:r>
              <w:rPr>
                <w:rFonts w:ascii="Book Antiqua" w:eastAsia="宋体" w:hAnsi="Book Antiqua"/>
                <w:bCs/>
                <w:color w:val="000000" w:themeColor="text1"/>
              </w:rPr>
              <w:t xml:space="preserve">% </w:t>
            </w:r>
            <w:r>
              <w:rPr>
                <w:rFonts w:ascii="Book Antiqua" w:hAnsi="Book Antiqua"/>
                <w:bCs/>
                <w:color w:val="000000" w:themeColor="text1"/>
              </w:rPr>
              <w:t>(89.63-99.82)</w:t>
            </w:r>
          </w:p>
        </w:tc>
        <w:tc>
          <w:tcPr>
            <w:tcW w:w="1119" w:type="pct"/>
          </w:tcPr>
          <w:p w14:paraId="72250A72"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90.68</w:t>
            </w:r>
            <w:r>
              <w:rPr>
                <w:rFonts w:ascii="Book Antiqua" w:eastAsia="宋体" w:hAnsi="Book Antiqua"/>
                <w:bCs/>
                <w:color w:val="000000" w:themeColor="text1"/>
              </w:rPr>
              <w:t xml:space="preserve">% </w:t>
            </w:r>
            <w:r>
              <w:rPr>
                <w:rFonts w:ascii="Book Antiqua" w:hAnsi="Book Antiqua"/>
                <w:bCs/>
                <w:color w:val="000000" w:themeColor="text1"/>
              </w:rPr>
              <w:t>(86.52-96.45)</w:t>
            </w:r>
          </w:p>
        </w:tc>
        <w:tc>
          <w:tcPr>
            <w:tcW w:w="1120" w:type="pct"/>
            <w:vAlign w:val="center"/>
          </w:tcPr>
          <w:p w14:paraId="120EBCDD"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87.23</w:t>
            </w:r>
            <w:r>
              <w:rPr>
                <w:rFonts w:ascii="Book Antiqua" w:eastAsia="宋体" w:hAnsi="Book Antiqua"/>
                <w:bCs/>
                <w:color w:val="000000" w:themeColor="text1"/>
              </w:rPr>
              <w:t xml:space="preserve">% </w:t>
            </w:r>
            <w:r>
              <w:rPr>
                <w:rFonts w:ascii="Book Antiqua" w:hAnsi="Book Antiqua"/>
                <w:bCs/>
                <w:color w:val="000000" w:themeColor="text1"/>
              </w:rPr>
              <w:t>(75.11-89.63)</w:t>
            </w:r>
          </w:p>
        </w:tc>
        <w:tc>
          <w:tcPr>
            <w:tcW w:w="620" w:type="pct"/>
            <w:vAlign w:val="center"/>
          </w:tcPr>
          <w:p w14:paraId="5A703117"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209E1191" w14:textId="77777777">
        <w:tc>
          <w:tcPr>
            <w:tcW w:w="1022" w:type="pct"/>
          </w:tcPr>
          <w:p w14:paraId="444899C5" w14:textId="77777777" w:rsidR="003F2138" w:rsidRDefault="00E00B3F">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Lymphocyte count</w:t>
            </w:r>
          </w:p>
        </w:tc>
        <w:tc>
          <w:tcPr>
            <w:tcW w:w="1119" w:type="pct"/>
          </w:tcPr>
          <w:p w14:paraId="303FFCB9" w14:textId="77777777" w:rsidR="003F2138" w:rsidRDefault="003F2138">
            <w:pPr>
              <w:adjustRightInd w:val="0"/>
              <w:snapToGrid w:val="0"/>
              <w:spacing w:line="360" w:lineRule="auto"/>
              <w:jc w:val="both"/>
              <w:rPr>
                <w:rFonts w:ascii="Book Antiqua" w:hAnsi="Book Antiqua"/>
                <w:bCs/>
                <w:color w:val="000000" w:themeColor="text1"/>
              </w:rPr>
            </w:pPr>
          </w:p>
        </w:tc>
        <w:tc>
          <w:tcPr>
            <w:tcW w:w="1119" w:type="pct"/>
          </w:tcPr>
          <w:p w14:paraId="21CF1D1A" w14:textId="77777777" w:rsidR="003F2138" w:rsidRDefault="003F2138">
            <w:pPr>
              <w:adjustRightInd w:val="0"/>
              <w:snapToGrid w:val="0"/>
              <w:spacing w:line="360" w:lineRule="auto"/>
              <w:jc w:val="both"/>
              <w:rPr>
                <w:rFonts w:ascii="Book Antiqua" w:hAnsi="Book Antiqua"/>
                <w:bCs/>
                <w:color w:val="000000" w:themeColor="text1"/>
              </w:rPr>
            </w:pPr>
          </w:p>
        </w:tc>
        <w:tc>
          <w:tcPr>
            <w:tcW w:w="1120" w:type="pct"/>
            <w:vAlign w:val="center"/>
          </w:tcPr>
          <w:p w14:paraId="219C2465" w14:textId="77777777" w:rsidR="003F2138" w:rsidRDefault="003F2138">
            <w:pPr>
              <w:adjustRightInd w:val="0"/>
              <w:snapToGrid w:val="0"/>
              <w:spacing w:line="360" w:lineRule="auto"/>
              <w:jc w:val="both"/>
              <w:rPr>
                <w:rFonts w:ascii="Book Antiqua" w:hAnsi="Book Antiqua"/>
                <w:bCs/>
                <w:color w:val="000000" w:themeColor="text1"/>
              </w:rPr>
            </w:pPr>
          </w:p>
        </w:tc>
        <w:tc>
          <w:tcPr>
            <w:tcW w:w="620" w:type="pct"/>
            <w:vAlign w:val="center"/>
          </w:tcPr>
          <w:p w14:paraId="7E2D0823"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eastAsia="宋体" w:hAnsi="Book Antiqua"/>
                <w:bCs/>
                <w:color w:val="000000" w:themeColor="text1"/>
              </w:rPr>
              <w:t>0.0524</w:t>
            </w:r>
          </w:p>
        </w:tc>
      </w:tr>
      <w:tr w:rsidR="003F2138" w14:paraId="6845FF64" w14:textId="77777777">
        <w:tc>
          <w:tcPr>
            <w:tcW w:w="1022" w:type="pct"/>
          </w:tcPr>
          <w:p w14:paraId="6B149C0C"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t>&lt; 0.975</w:t>
            </w:r>
          </w:p>
        </w:tc>
        <w:tc>
          <w:tcPr>
            <w:tcW w:w="1119" w:type="pct"/>
          </w:tcPr>
          <w:p w14:paraId="10B3774B"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99.46</w:t>
            </w:r>
            <w:r>
              <w:rPr>
                <w:rFonts w:ascii="Book Antiqua" w:eastAsia="宋体" w:hAnsi="Book Antiqua"/>
                <w:bCs/>
                <w:color w:val="000000" w:themeColor="text1"/>
              </w:rPr>
              <w:t xml:space="preserve">% </w:t>
            </w:r>
            <w:r>
              <w:rPr>
                <w:rFonts w:ascii="Book Antiqua" w:hAnsi="Book Antiqua"/>
                <w:bCs/>
                <w:color w:val="000000" w:themeColor="text1"/>
              </w:rPr>
              <w:t>(96.22-99.82)</w:t>
            </w:r>
          </w:p>
        </w:tc>
        <w:tc>
          <w:tcPr>
            <w:tcW w:w="1119" w:type="pct"/>
          </w:tcPr>
          <w:p w14:paraId="4FF4205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96.89</w:t>
            </w:r>
            <w:r>
              <w:rPr>
                <w:rFonts w:ascii="Book Antiqua" w:eastAsia="宋体" w:hAnsi="Book Antiqua"/>
                <w:bCs/>
                <w:color w:val="000000" w:themeColor="text1"/>
              </w:rPr>
              <w:t>%</w:t>
            </w:r>
            <w:r>
              <w:rPr>
                <w:rFonts w:ascii="Book Antiqua" w:hAnsi="Book Antiqua"/>
                <w:bCs/>
                <w:color w:val="000000" w:themeColor="text1"/>
              </w:rPr>
              <w:t xml:space="preserve"> (95.15-99.02)</w:t>
            </w:r>
          </w:p>
        </w:tc>
        <w:tc>
          <w:tcPr>
            <w:tcW w:w="1120" w:type="pct"/>
          </w:tcPr>
          <w:p w14:paraId="63893D89"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88.76</w:t>
            </w:r>
            <w:r>
              <w:rPr>
                <w:rFonts w:ascii="Book Antiqua" w:eastAsia="宋体" w:hAnsi="Book Antiqua"/>
                <w:bCs/>
                <w:color w:val="000000" w:themeColor="text1"/>
              </w:rPr>
              <w:t xml:space="preserve">% </w:t>
            </w:r>
            <w:r>
              <w:rPr>
                <w:rFonts w:ascii="Book Antiqua" w:hAnsi="Book Antiqua"/>
                <w:bCs/>
                <w:color w:val="000000" w:themeColor="text1"/>
              </w:rPr>
              <w:t>(78.11-94.05)</w:t>
            </w:r>
          </w:p>
        </w:tc>
        <w:tc>
          <w:tcPr>
            <w:tcW w:w="620" w:type="pct"/>
            <w:vAlign w:val="center"/>
          </w:tcPr>
          <w:p w14:paraId="230A96C0" w14:textId="77777777" w:rsidR="003F2138" w:rsidRDefault="003F2138">
            <w:pPr>
              <w:adjustRightInd w:val="0"/>
              <w:snapToGrid w:val="0"/>
              <w:spacing w:line="360" w:lineRule="auto"/>
              <w:jc w:val="both"/>
              <w:rPr>
                <w:rFonts w:ascii="Book Antiqua" w:eastAsia="宋体" w:hAnsi="Book Antiqua"/>
                <w:bCs/>
                <w:color w:val="000000" w:themeColor="text1"/>
              </w:rPr>
            </w:pPr>
          </w:p>
        </w:tc>
      </w:tr>
      <w:tr w:rsidR="003F2138" w14:paraId="447F1DBF" w14:textId="77777777">
        <w:tc>
          <w:tcPr>
            <w:tcW w:w="1022" w:type="pct"/>
          </w:tcPr>
          <w:p w14:paraId="60638FA5" w14:textId="77777777" w:rsidR="003F2138" w:rsidRDefault="00E00B3F">
            <w:pPr>
              <w:adjustRightInd w:val="0"/>
              <w:snapToGrid w:val="0"/>
              <w:spacing w:line="360" w:lineRule="auto"/>
              <w:ind w:leftChars="67" w:left="161"/>
              <w:jc w:val="both"/>
              <w:rPr>
                <w:rFonts w:ascii="Book Antiqua" w:hAnsi="Book Antiqua"/>
                <w:bCs/>
                <w:color w:val="000000" w:themeColor="text1"/>
              </w:rPr>
            </w:pPr>
            <w:r>
              <w:rPr>
                <w:rFonts w:ascii="Book Antiqua" w:hAnsi="Book Antiqua"/>
                <w:bCs/>
                <w:color w:val="000000" w:themeColor="text1"/>
              </w:rPr>
              <w:sym w:font="Symbol" w:char="F0B3"/>
            </w:r>
            <w:r>
              <w:rPr>
                <w:rFonts w:ascii="Book Antiqua" w:hAnsi="Book Antiqua"/>
                <w:bCs/>
                <w:color w:val="000000" w:themeColor="text1"/>
              </w:rPr>
              <w:t xml:space="preserve"> 0.975</w:t>
            </w:r>
          </w:p>
        </w:tc>
        <w:tc>
          <w:tcPr>
            <w:tcW w:w="1119" w:type="pct"/>
          </w:tcPr>
          <w:p w14:paraId="668A917E"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98.70</w:t>
            </w:r>
            <w:r>
              <w:rPr>
                <w:rFonts w:ascii="Book Antiqua" w:eastAsia="宋体" w:hAnsi="Book Antiqua"/>
                <w:bCs/>
                <w:color w:val="000000" w:themeColor="text1"/>
              </w:rPr>
              <w:t xml:space="preserve">% </w:t>
            </w:r>
            <w:r>
              <w:rPr>
                <w:rFonts w:ascii="Book Antiqua" w:hAnsi="Book Antiqua"/>
                <w:bCs/>
                <w:color w:val="000000" w:themeColor="text1"/>
              </w:rPr>
              <w:t>(89.93-99.62)</w:t>
            </w:r>
          </w:p>
        </w:tc>
        <w:tc>
          <w:tcPr>
            <w:tcW w:w="1119" w:type="pct"/>
          </w:tcPr>
          <w:p w14:paraId="6CFC85D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90.68</w:t>
            </w:r>
            <w:r>
              <w:rPr>
                <w:rFonts w:ascii="Book Antiqua" w:eastAsia="宋体" w:hAnsi="Book Antiqua"/>
                <w:bCs/>
                <w:color w:val="000000" w:themeColor="text1"/>
              </w:rPr>
              <w:t xml:space="preserve">% </w:t>
            </w:r>
            <w:r>
              <w:rPr>
                <w:rFonts w:ascii="Book Antiqua" w:hAnsi="Book Antiqua"/>
                <w:bCs/>
                <w:color w:val="000000" w:themeColor="text1"/>
              </w:rPr>
              <w:t>(86.82-95.15)</w:t>
            </w:r>
          </w:p>
        </w:tc>
        <w:tc>
          <w:tcPr>
            <w:tcW w:w="1120" w:type="pct"/>
            <w:vAlign w:val="center"/>
          </w:tcPr>
          <w:p w14:paraId="2EA72E45" w14:textId="77777777" w:rsidR="003F2138" w:rsidRDefault="00E00B3F">
            <w:pPr>
              <w:adjustRightInd w:val="0"/>
              <w:snapToGrid w:val="0"/>
              <w:spacing w:line="360" w:lineRule="auto"/>
              <w:jc w:val="both"/>
              <w:rPr>
                <w:rFonts w:ascii="Book Antiqua" w:eastAsia="宋体" w:hAnsi="Book Antiqua"/>
                <w:bCs/>
                <w:color w:val="000000" w:themeColor="text1"/>
              </w:rPr>
            </w:pPr>
            <w:r>
              <w:rPr>
                <w:rFonts w:ascii="Book Antiqua" w:hAnsi="Book Antiqua"/>
                <w:bCs/>
                <w:color w:val="000000" w:themeColor="text1"/>
              </w:rPr>
              <w:t>87.29</w:t>
            </w:r>
            <w:r>
              <w:rPr>
                <w:rFonts w:ascii="Book Antiqua" w:eastAsia="宋体" w:hAnsi="Book Antiqua"/>
                <w:bCs/>
                <w:color w:val="000000" w:themeColor="text1"/>
              </w:rPr>
              <w:t xml:space="preserve">% </w:t>
            </w:r>
            <w:r>
              <w:rPr>
                <w:rFonts w:ascii="Book Antiqua" w:hAnsi="Book Antiqua"/>
                <w:bCs/>
                <w:color w:val="000000" w:themeColor="text1"/>
              </w:rPr>
              <w:t>(74.11-93.53)</w:t>
            </w:r>
          </w:p>
        </w:tc>
        <w:tc>
          <w:tcPr>
            <w:tcW w:w="620" w:type="pct"/>
            <w:vAlign w:val="center"/>
          </w:tcPr>
          <w:p w14:paraId="5EA6EA80" w14:textId="77777777" w:rsidR="003F2138" w:rsidRDefault="003F2138">
            <w:pPr>
              <w:adjustRightInd w:val="0"/>
              <w:snapToGrid w:val="0"/>
              <w:spacing w:line="360" w:lineRule="auto"/>
              <w:jc w:val="both"/>
              <w:rPr>
                <w:rFonts w:ascii="Book Antiqua" w:eastAsia="宋体" w:hAnsi="Book Antiqua"/>
                <w:bCs/>
                <w:color w:val="000000" w:themeColor="text1"/>
              </w:rPr>
            </w:pPr>
          </w:p>
        </w:tc>
      </w:tr>
    </w:tbl>
    <w:p w14:paraId="5BA4FBC8" w14:textId="77777777" w:rsidR="003F2138" w:rsidRDefault="00E00B3F">
      <w:pPr>
        <w:adjustRightInd w:val="0"/>
        <w:snapToGrid w:val="0"/>
        <w:spacing w:line="360" w:lineRule="auto"/>
        <w:jc w:val="both"/>
        <w:rPr>
          <w:rFonts w:ascii="Book Antiqua" w:eastAsia="Book Antiqua" w:hAnsi="Book Antiqua" w:cs="Book Antiqua"/>
          <w:bCs/>
          <w:color w:val="000000" w:themeColor="text1"/>
        </w:rPr>
      </w:pPr>
      <w:r>
        <w:rPr>
          <w:rFonts w:ascii="Book Antiqua" w:hAnsi="Book Antiqua"/>
          <w:bCs/>
          <w:color w:val="000000" w:themeColor="text1"/>
        </w:rPr>
        <w:t>GI</w:t>
      </w:r>
      <w:r>
        <w:rPr>
          <w:rFonts w:ascii="Book Antiqua" w:hAnsi="Book Antiqua"/>
          <w:bCs/>
          <w:color w:val="000000" w:themeColor="text1"/>
          <w:lang w:eastAsia="zh-CN"/>
        </w:rPr>
        <w:t xml:space="preserve">: </w:t>
      </w:r>
      <w:r>
        <w:rPr>
          <w:rFonts w:ascii="Book Antiqua" w:eastAsia="Book Antiqua" w:hAnsi="Book Antiqua" w:cs="Book Antiqua"/>
          <w:bCs/>
          <w:color w:val="000000" w:themeColor="text1"/>
        </w:rPr>
        <w:t>Gastrointestinal;</w:t>
      </w:r>
      <w:r>
        <w:rPr>
          <w:rFonts w:ascii="Book Antiqua" w:hAnsi="Book Antiqua" w:hint="eastAsia"/>
          <w:bCs/>
          <w:color w:val="000000" w:themeColor="text1"/>
          <w:lang w:eastAsia="zh-CN"/>
        </w:rPr>
        <w:t xml:space="preserve"> R</w:t>
      </w:r>
      <w:r>
        <w:rPr>
          <w:rFonts w:ascii="Book Antiqua" w:hAnsi="Book Antiqua"/>
          <w:bCs/>
          <w:color w:val="000000" w:themeColor="text1"/>
          <w:lang w:eastAsia="zh-CN"/>
        </w:rPr>
        <w:t>FS:</w:t>
      </w:r>
      <w:r>
        <w:rPr>
          <w:rFonts w:ascii="Book Antiqua" w:eastAsia="Book Antiqua" w:hAnsi="Book Antiqua" w:cs="Book Antiqua"/>
          <w:bCs/>
          <w:color w:val="000000" w:themeColor="text1"/>
        </w:rPr>
        <w:t xml:space="preserve"> Recurrence-free survival; NLR: Neutrophil-to-lymphocyte ratio; PLR: Platelet-to-lymphocyte ratio; OPNI: Onodera’s Prognostic Nutritional Index.</w:t>
      </w:r>
    </w:p>
    <w:p w14:paraId="635C07DD" w14:textId="77777777" w:rsidR="003F2138" w:rsidRDefault="00E00B3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hAnsi="Book Antiqua"/>
          <w:b/>
          <w:color w:val="000000" w:themeColor="text1"/>
        </w:rPr>
        <w:lastRenderedPageBreak/>
        <w:t xml:space="preserve">Table 5 </w:t>
      </w:r>
      <w:r>
        <w:rPr>
          <w:rFonts w:ascii="Book Antiqua" w:hAnsi="Book Antiqua"/>
          <w:b/>
          <w:color w:val="000000" w:themeColor="text1"/>
        </w:rPr>
        <w:t>Multivariate analysis [Cox regression analysis (Enter method)] for</w:t>
      </w:r>
      <w:r>
        <w:rPr>
          <w:rFonts w:ascii="Book Antiqua" w:hAnsi="Book Antiqua"/>
          <w:b/>
          <w:bCs/>
          <w:color w:val="000000" w:themeColor="text1"/>
        </w:rPr>
        <w:t xml:space="preserve"> </w:t>
      </w:r>
      <w:r>
        <w:rPr>
          <w:rFonts w:ascii="Book Antiqua" w:eastAsia="Book Antiqua" w:hAnsi="Book Antiqua" w:cs="Book Antiqua"/>
          <w:b/>
          <w:bCs/>
          <w:color w:val="000000" w:themeColor="text1"/>
        </w:rPr>
        <w:t>recurrence-free survival</w:t>
      </w:r>
    </w:p>
    <w:p w14:paraId="5CA68BD0" w14:textId="77777777" w:rsidR="003F2138" w:rsidRDefault="003F2138">
      <w:pPr>
        <w:adjustRightInd w:val="0"/>
        <w:snapToGrid w:val="0"/>
        <w:spacing w:line="360" w:lineRule="auto"/>
        <w:jc w:val="both"/>
        <w:rPr>
          <w:rFonts w:ascii="Book Antiqua" w:hAnsi="Book Antiqua"/>
          <w:color w:val="000000" w:themeColor="text1"/>
        </w:rPr>
        <w:sectPr w:rsidR="003F2138">
          <w:endnotePr>
            <w:numFmt w:val="decimal"/>
          </w:endnotePr>
          <w:type w:val="continuous"/>
          <w:pgSz w:w="11906" w:h="16838"/>
          <w:pgMar w:top="1440" w:right="1797" w:bottom="1440" w:left="1797" w:header="851" w:footer="992" w:gutter="0"/>
          <w:cols w:space="425"/>
          <w:docGrid w:type="linesAndChars" w:linePitch="312"/>
        </w:sectPr>
      </w:pP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9"/>
        <w:gridCol w:w="2015"/>
        <w:gridCol w:w="2016"/>
        <w:gridCol w:w="2016"/>
      </w:tblGrid>
      <w:tr w:rsidR="003F2138" w14:paraId="682E7489" w14:textId="77777777">
        <w:tc>
          <w:tcPr>
            <w:tcW w:w="1650" w:type="pct"/>
            <w:tcBorders>
              <w:top w:val="single" w:sz="4" w:space="0" w:color="auto"/>
              <w:bottom w:val="single" w:sz="4" w:space="0" w:color="auto"/>
            </w:tcBorders>
            <w:shd w:val="clear" w:color="auto" w:fill="FFFFFF" w:themeFill="background1"/>
          </w:tcPr>
          <w:p w14:paraId="7C4EA54B"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 xml:space="preserve">Factor </w:t>
            </w:r>
          </w:p>
        </w:tc>
        <w:tc>
          <w:tcPr>
            <w:tcW w:w="1116" w:type="pct"/>
            <w:tcBorders>
              <w:top w:val="single" w:sz="4" w:space="0" w:color="auto"/>
              <w:bottom w:val="single" w:sz="4" w:space="0" w:color="auto"/>
            </w:tcBorders>
            <w:shd w:val="clear" w:color="auto" w:fill="FFFFFF" w:themeFill="background1"/>
          </w:tcPr>
          <w:p w14:paraId="70281C50"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Hazard ratio</w:t>
            </w:r>
          </w:p>
        </w:tc>
        <w:tc>
          <w:tcPr>
            <w:tcW w:w="1117" w:type="pct"/>
            <w:tcBorders>
              <w:top w:val="single" w:sz="4" w:space="0" w:color="auto"/>
              <w:bottom w:val="single" w:sz="4" w:space="0" w:color="auto"/>
            </w:tcBorders>
            <w:shd w:val="clear" w:color="auto" w:fill="FFFFFF" w:themeFill="background1"/>
          </w:tcPr>
          <w:p w14:paraId="4DD322D2"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95%CI</w:t>
            </w:r>
          </w:p>
        </w:tc>
        <w:tc>
          <w:tcPr>
            <w:tcW w:w="1117" w:type="pct"/>
            <w:tcBorders>
              <w:top w:val="single" w:sz="4" w:space="0" w:color="auto"/>
              <w:bottom w:val="single" w:sz="4" w:space="0" w:color="auto"/>
            </w:tcBorders>
            <w:shd w:val="clear" w:color="auto" w:fill="FFFFFF" w:themeFill="background1"/>
          </w:tcPr>
          <w:p w14:paraId="37EBB293" w14:textId="77777777" w:rsidR="003F2138" w:rsidRDefault="00E00B3F">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i/>
                <w:color w:val="000000" w:themeColor="text1"/>
                <w:lang w:eastAsia="zh-CN"/>
              </w:rPr>
              <w:t xml:space="preserve">P </w:t>
            </w:r>
            <w:r>
              <w:rPr>
                <w:rFonts w:ascii="Book Antiqua" w:eastAsia="宋体" w:hAnsi="Book Antiqua"/>
                <w:b/>
                <w:color w:val="000000" w:themeColor="text1"/>
                <w:lang w:eastAsia="zh-CN"/>
              </w:rPr>
              <w:t>value</w:t>
            </w:r>
          </w:p>
        </w:tc>
      </w:tr>
      <w:tr w:rsidR="003F2138" w14:paraId="2FCF34C1" w14:textId="77777777">
        <w:tc>
          <w:tcPr>
            <w:tcW w:w="1650" w:type="pct"/>
            <w:tcBorders>
              <w:top w:val="single" w:sz="4" w:space="0" w:color="auto"/>
            </w:tcBorders>
            <w:shd w:val="clear" w:color="auto" w:fill="FFFFFF" w:themeFill="background1"/>
          </w:tcPr>
          <w:p w14:paraId="5939A261"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Primary tumor site</w:t>
            </w:r>
          </w:p>
        </w:tc>
        <w:tc>
          <w:tcPr>
            <w:tcW w:w="1116" w:type="pct"/>
            <w:tcBorders>
              <w:top w:val="single" w:sz="4" w:space="0" w:color="auto"/>
            </w:tcBorders>
            <w:shd w:val="clear" w:color="auto" w:fill="FFFFFF" w:themeFill="background1"/>
          </w:tcPr>
          <w:p w14:paraId="131751B0"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tcBorders>
              <w:top w:val="single" w:sz="4" w:space="0" w:color="auto"/>
            </w:tcBorders>
            <w:shd w:val="clear" w:color="auto" w:fill="FFFFFF" w:themeFill="background1"/>
          </w:tcPr>
          <w:p w14:paraId="00A57661"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tcBorders>
              <w:top w:val="single" w:sz="4" w:space="0" w:color="auto"/>
            </w:tcBorders>
            <w:shd w:val="clear" w:color="auto" w:fill="FFFFFF" w:themeFill="background1"/>
          </w:tcPr>
          <w:p w14:paraId="66BB058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0.0878</w:t>
            </w:r>
          </w:p>
        </w:tc>
      </w:tr>
      <w:tr w:rsidR="003F2138" w14:paraId="55137FBB" w14:textId="77777777">
        <w:tc>
          <w:tcPr>
            <w:tcW w:w="1650" w:type="pct"/>
            <w:shd w:val="clear" w:color="auto" w:fill="FFFFFF" w:themeFill="background1"/>
          </w:tcPr>
          <w:p w14:paraId="3B279DF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Gastric</w:t>
            </w:r>
          </w:p>
        </w:tc>
        <w:tc>
          <w:tcPr>
            <w:tcW w:w="1116" w:type="pct"/>
            <w:shd w:val="clear" w:color="auto" w:fill="FFFFFF" w:themeFill="background1"/>
          </w:tcPr>
          <w:p w14:paraId="79E3DC0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357BF2F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6F240CF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479904C7" w14:textId="77777777">
        <w:tc>
          <w:tcPr>
            <w:tcW w:w="1650" w:type="pct"/>
            <w:shd w:val="clear" w:color="auto" w:fill="FFFFFF" w:themeFill="background1"/>
          </w:tcPr>
          <w:p w14:paraId="681814C1"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Non-gastric</w:t>
            </w:r>
          </w:p>
        </w:tc>
        <w:tc>
          <w:tcPr>
            <w:tcW w:w="1116" w:type="pct"/>
            <w:shd w:val="clear" w:color="auto" w:fill="FFFFFF" w:themeFill="background1"/>
          </w:tcPr>
          <w:p w14:paraId="7EE1188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2.641</w:t>
            </w:r>
          </w:p>
        </w:tc>
        <w:tc>
          <w:tcPr>
            <w:tcW w:w="1117" w:type="pct"/>
            <w:shd w:val="clear" w:color="auto" w:fill="FFFFFF" w:themeFill="background1"/>
          </w:tcPr>
          <w:p w14:paraId="1C782E1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0.866-8.053</w:t>
            </w:r>
          </w:p>
        </w:tc>
        <w:tc>
          <w:tcPr>
            <w:tcW w:w="1117" w:type="pct"/>
            <w:shd w:val="clear" w:color="auto" w:fill="FFFFFF" w:themeFill="background1"/>
          </w:tcPr>
          <w:p w14:paraId="498D2A3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25A6917B" w14:textId="77777777">
        <w:tc>
          <w:tcPr>
            <w:tcW w:w="1650" w:type="pct"/>
            <w:shd w:val="clear" w:color="auto" w:fill="FFFFFF" w:themeFill="background1"/>
          </w:tcPr>
          <w:p w14:paraId="545911B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Tumor size (cm)</w:t>
            </w:r>
          </w:p>
        </w:tc>
        <w:tc>
          <w:tcPr>
            <w:tcW w:w="1116" w:type="pct"/>
            <w:shd w:val="clear" w:color="auto" w:fill="FFFFFF" w:themeFill="background1"/>
          </w:tcPr>
          <w:p w14:paraId="780AA2DA"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4B167690"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37CF456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0.4749</w:t>
            </w:r>
          </w:p>
        </w:tc>
      </w:tr>
      <w:tr w:rsidR="003F2138" w14:paraId="6F5B1273" w14:textId="77777777">
        <w:tc>
          <w:tcPr>
            <w:tcW w:w="1650" w:type="pct"/>
            <w:shd w:val="clear" w:color="auto" w:fill="FFFFFF" w:themeFill="background1"/>
          </w:tcPr>
          <w:p w14:paraId="0227E85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2.0</w:t>
            </w:r>
          </w:p>
        </w:tc>
        <w:tc>
          <w:tcPr>
            <w:tcW w:w="1116" w:type="pct"/>
            <w:shd w:val="clear" w:color="auto" w:fill="FFFFFF" w:themeFill="background1"/>
          </w:tcPr>
          <w:p w14:paraId="5008FE1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0409745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79C0AA8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7FFEA1CA" w14:textId="77777777">
        <w:tc>
          <w:tcPr>
            <w:tcW w:w="1650" w:type="pct"/>
            <w:shd w:val="clear" w:color="auto" w:fill="FFFFFF" w:themeFill="background1"/>
          </w:tcPr>
          <w:p w14:paraId="13DFA71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2.1-5.0</w:t>
            </w:r>
          </w:p>
        </w:tc>
        <w:tc>
          <w:tcPr>
            <w:tcW w:w="1116" w:type="pct"/>
            <w:shd w:val="clear" w:color="auto" w:fill="FFFFFF" w:themeFill="background1"/>
          </w:tcPr>
          <w:p w14:paraId="061AB53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1.318</w:t>
            </w:r>
          </w:p>
        </w:tc>
        <w:tc>
          <w:tcPr>
            <w:tcW w:w="1117" w:type="pct"/>
            <w:shd w:val="clear" w:color="auto" w:fill="FFFFFF" w:themeFill="background1"/>
          </w:tcPr>
          <w:p w14:paraId="49A6C2DE"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.006</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292.720</w:t>
            </w:r>
          </w:p>
        </w:tc>
        <w:tc>
          <w:tcPr>
            <w:tcW w:w="1117" w:type="pct"/>
            <w:shd w:val="clear" w:color="auto" w:fill="FFFFFF" w:themeFill="background1"/>
          </w:tcPr>
          <w:p w14:paraId="1D8E87D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0.9201</w:t>
            </w:r>
          </w:p>
        </w:tc>
      </w:tr>
      <w:tr w:rsidR="003F2138" w14:paraId="06E9EA1C" w14:textId="77777777">
        <w:tc>
          <w:tcPr>
            <w:tcW w:w="1650" w:type="pct"/>
            <w:shd w:val="clear" w:color="auto" w:fill="FFFFFF" w:themeFill="background1"/>
          </w:tcPr>
          <w:p w14:paraId="6691BC4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5.1-10.0</w:t>
            </w:r>
          </w:p>
        </w:tc>
        <w:tc>
          <w:tcPr>
            <w:tcW w:w="1116" w:type="pct"/>
            <w:shd w:val="clear" w:color="auto" w:fill="FFFFFF" w:themeFill="background1"/>
          </w:tcPr>
          <w:p w14:paraId="7FF1511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1.612</w:t>
            </w:r>
          </w:p>
        </w:tc>
        <w:tc>
          <w:tcPr>
            <w:tcW w:w="1117" w:type="pct"/>
            <w:shd w:val="clear" w:color="auto" w:fill="FFFFFF" w:themeFill="background1"/>
          </w:tcPr>
          <w:p w14:paraId="67C133B3"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.006</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445.888</w:t>
            </w:r>
          </w:p>
        </w:tc>
        <w:tc>
          <w:tcPr>
            <w:tcW w:w="1117" w:type="pct"/>
            <w:shd w:val="clear" w:color="auto" w:fill="FFFFFF" w:themeFill="background1"/>
          </w:tcPr>
          <w:p w14:paraId="79E9518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0.8678</w:t>
            </w:r>
          </w:p>
        </w:tc>
      </w:tr>
      <w:tr w:rsidR="003F2138" w14:paraId="596E64D4" w14:textId="77777777">
        <w:tc>
          <w:tcPr>
            <w:tcW w:w="1650" w:type="pct"/>
            <w:shd w:val="clear" w:color="auto" w:fill="FFFFFF" w:themeFill="background1"/>
          </w:tcPr>
          <w:p w14:paraId="56C6F908"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&gt; 10.0</w:t>
            </w:r>
          </w:p>
        </w:tc>
        <w:tc>
          <w:tcPr>
            <w:tcW w:w="1116" w:type="pct"/>
            <w:shd w:val="clear" w:color="auto" w:fill="FFFFFF" w:themeFill="background1"/>
          </w:tcPr>
          <w:p w14:paraId="2A4C7EF9"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4.765</w:t>
            </w:r>
          </w:p>
        </w:tc>
        <w:tc>
          <w:tcPr>
            <w:tcW w:w="1117" w:type="pct"/>
            <w:shd w:val="clear" w:color="auto" w:fill="FFFFFF" w:themeFill="background1"/>
          </w:tcPr>
          <w:p w14:paraId="53AFF2D8"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.015</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1515.961</w:t>
            </w:r>
          </w:p>
        </w:tc>
        <w:tc>
          <w:tcPr>
            <w:tcW w:w="1117" w:type="pct"/>
            <w:shd w:val="clear" w:color="auto" w:fill="FFFFFF" w:themeFill="background1"/>
          </w:tcPr>
          <w:p w14:paraId="200420E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0.5953</w:t>
            </w:r>
          </w:p>
        </w:tc>
      </w:tr>
      <w:tr w:rsidR="003F2138" w14:paraId="3AE498CA" w14:textId="77777777">
        <w:tc>
          <w:tcPr>
            <w:tcW w:w="1650" w:type="pct"/>
            <w:shd w:val="clear" w:color="auto" w:fill="FFFFFF" w:themeFill="background1"/>
          </w:tcPr>
          <w:p w14:paraId="7B1EF3F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Mitotic index (/50 HPFs)</w:t>
            </w:r>
          </w:p>
        </w:tc>
        <w:tc>
          <w:tcPr>
            <w:tcW w:w="1116" w:type="pct"/>
            <w:shd w:val="clear" w:color="auto" w:fill="FFFFFF" w:themeFill="background1"/>
          </w:tcPr>
          <w:p w14:paraId="6D82AB4A"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48F21E42"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0B7FA4DE"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.036</w:t>
            </w:r>
            <w:r>
              <w:rPr>
                <w:rFonts w:ascii="Book Antiqua" w:eastAsia="宋体" w:hAnsi="Book Antiqua"/>
                <w:bCs/>
                <w:color w:val="000000" w:themeColor="text1"/>
                <w:lang w:eastAsia="zh-CN"/>
              </w:rPr>
              <w:t>5</w:t>
            </w:r>
            <w:r>
              <w:rPr>
                <w:rFonts w:ascii="Book Antiqua" w:eastAsia="宋体" w:hAnsi="Book Antiqua"/>
                <w:bCs/>
                <w:color w:val="000000" w:themeColor="text1"/>
                <w:vertAlign w:val="superscript"/>
                <w:lang w:eastAsia="zh-CN"/>
              </w:rPr>
              <w:t>1</w:t>
            </w:r>
          </w:p>
        </w:tc>
      </w:tr>
      <w:tr w:rsidR="003F2138" w14:paraId="3FA82D9A" w14:textId="77777777">
        <w:tc>
          <w:tcPr>
            <w:tcW w:w="1650" w:type="pct"/>
            <w:shd w:val="clear" w:color="auto" w:fill="FFFFFF" w:themeFill="background1"/>
          </w:tcPr>
          <w:p w14:paraId="6EC64370"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5</w:t>
            </w:r>
          </w:p>
        </w:tc>
        <w:tc>
          <w:tcPr>
            <w:tcW w:w="1116" w:type="pct"/>
            <w:shd w:val="clear" w:color="auto" w:fill="FFFFFF" w:themeFill="background1"/>
          </w:tcPr>
          <w:p w14:paraId="4716198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35DDEAA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1D7F81ED"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w:t>
            </w:r>
          </w:p>
        </w:tc>
      </w:tr>
      <w:tr w:rsidR="003F2138" w14:paraId="7F684B58" w14:textId="77777777">
        <w:tc>
          <w:tcPr>
            <w:tcW w:w="1650" w:type="pct"/>
            <w:shd w:val="clear" w:color="auto" w:fill="FFFFFF" w:themeFill="background1"/>
          </w:tcPr>
          <w:p w14:paraId="31EA31E1"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6-10</w:t>
            </w:r>
          </w:p>
        </w:tc>
        <w:tc>
          <w:tcPr>
            <w:tcW w:w="1116" w:type="pct"/>
            <w:shd w:val="clear" w:color="auto" w:fill="FFFFFF" w:themeFill="background1"/>
          </w:tcPr>
          <w:p w14:paraId="008862C7"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MingLiU" w:hAnsi="Book Antiqua"/>
                <w:bCs/>
                <w:color w:val="000000" w:themeColor="text1"/>
                <w:lang w:eastAsia="zh-CN"/>
              </w:rPr>
              <w:t>1.896</w:t>
            </w:r>
          </w:p>
        </w:tc>
        <w:tc>
          <w:tcPr>
            <w:tcW w:w="1117" w:type="pct"/>
            <w:shd w:val="clear" w:color="auto" w:fill="FFFFFF" w:themeFill="background1"/>
          </w:tcPr>
          <w:p w14:paraId="0B421E33"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.518</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6.949</w:t>
            </w:r>
          </w:p>
        </w:tc>
        <w:tc>
          <w:tcPr>
            <w:tcW w:w="1117" w:type="pct"/>
            <w:shd w:val="clear" w:color="auto" w:fill="FFFFFF" w:themeFill="background1"/>
          </w:tcPr>
          <w:p w14:paraId="028D3CF6"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.334</w:t>
            </w:r>
            <w:r>
              <w:rPr>
                <w:rFonts w:ascii="Book Antiqua" w:eastAsia="宋体" w:hAnsi="Book Antiqua"/>
                <w:bCs/>
                <w:color w:val="000000" w:themeColor="text1"/>
                <w:lang w:eastAsia="zh-CN"/>
              </w:rPr>
              <w:t>1</w:t>
            </w:r>
          </w:p>
        </w:tc>
      </w:tr>
      <w:tr w:rsidR="003F2138" w14:paraId="14DCD8AC" w14:textId="77777777">
        <w:tc>
          <w:tcPr>
            <w:tcW w:w="1650" w:type="pct"/>
            <w:shd w:val="clear" w:color="auto" w:fill="FFFFFF" w:themeFill="background1"/>
          </w:tcPr>
          <w:p w14:paraId="5F1F6A5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&gt;10</w:t>
            </w:r>
          </w:p>
        </w:tc>
        <w:tc>
          <w:tcPr>
            <w:tcW w:w="1116" w:type="pct"/>
            <w:shd w:val="clear" w:color="auto" w:fill="FFFFFF" w:themeFill="background1"/>
          </w:tcPr>
          <w:p w14:paraId="533F6C0A"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MingLiU" w:hAnsi="Book Antiqua"/>
                <w:bCs/>
                <w:color w:val="000000" w:themeColor="text1"/>
                <w:lang w:eastAsia="zh-CN"/>
              </w:rPr>
              <w:t>6.791</w:t>
            </w:r>
          </w:p>
        </w:tc>
        <w:tc>
          <w:tcPr>
            <w:tcW w:w="1117" w:type="pct"/>
            <w:shd w:val="clear" w:color="auto" w:fill="FFFFFF" w:themeFill="background1"/>
          </w:tcPr>
          <w:p w14:paraId="43208CB5"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MingLiU" w:hAnsi="Book Antiqua"/>
                <w:bCs/>
                <w:color w:val="000000" w:themeColor="text1"/>
                <w:lang w:eastAsia="zh-CN"/>
              </w:rPr>
              <w:t>1.554</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29.672</w:t>
            </w:r>
          </w:p>
        </w:tc>
        <w:tc>
          <w:tcPr>
            <w:tcW w:w="1117" w:type="pct"/>
            <w:shd w:val="clear" w:color="auto" w:fill="FFFFFF" w:themeFill="background1"/>
          </w:tcPr>
          <w:p w14:paraId="52C2C3C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.01</w:t>
            </w:r>
            <w:r>
              <w:rPr>
                <w:rFonts w:ascii="Book Antiqua" w:eastAsia="宋体" w:hAnsi="Book Antiqua"/>
                <w:bCs/>
                <w:color w:val="000000" w:themeColor="text1"/>
                <w:lang w:eastAsia="zh-CN"/>
              </w:rPr>
              <w:t>09</w:t>
            </w:r>
            <w:r>
              <w:rPr>
                <w:rFonts w:ascii="Book Antiqua" w:eastAsia="宋体" w:hAnsi="Book Antiqua"/>
                <w:bCs/>
                <w:color w:val="000000" w:themeColor="text1"/>
                <w:vertAlign w:val="superscript"/>
                <w:lang w:eastAsia="zh-CN"/>
              </w:rPr>
              <w:t>1</w:t>
            </w:r>
          </w:p>
        </w:tc>
      </w:tr>
      <w:tr w:rsidR="003F2138" w14:paraId="159F931D" w14:textId="77777777">
        <w:tc>
          <w:tcPr>
            <w:tcW w:w="1650" w:type="pct"/>
            <w:shd w:val="clear" w:color="auto" w:fill="FFFFFF" w:themeFill="background1"/>
          </w:tcPr>
          <w:p w14:paraId="7771073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Tumor rupture </w:t>
            </w:r>
          </w:p>
        </w:tc>
        <w:tc>
          <w:tcPr>
            <w:tcW w:w="1116" w:type="pct"/>
            <w:shd w:val="clear" w:color="auto" w:fill="FFFFFF" w:themeFill="background1"/>
          </w:tcPr>
          <w:p w14:paraId="462F974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2ACC9E1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06DADEB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.520</w:t>
            </w:r>
            <w:r>
              <w:rPr>
                <w:rFonts w:ascii="Book Antiqua" w:eastAsia="宋体" w:hAnsi="Book Antiqua"/>
                <w:bCs/>
                <w:color w:val="000000" w:themeColor="text1"/>
                <w:lang w:eastAsia="zh-CN"/>
              </w:rPr>
              <w:t>2</w:t>
            </w:r>
          </w:p>
        </w:tc>
      </w:tr>
      <w:tr w:rsidR="003F2138" w14:paraId="11FC7A66" w14:textId="77777777">
        <w:tc>
          <w:tcPr>
            <w:tcW w:w="1650" w:type="pct"/>
            <w:shd w:val="clear" w:color="auto" w:fill="FFFFFF" w:themeFill="background1"/>
          </w:tcPr>
          <w:p w14:paraId="25DB779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No</w:t>
            </w:r>
          </w:p>
        </w:tc>
        <w:tc>
          <w:tcPr>
            <w:tcW w:w="1116" w:type="pct"/>
            <w:shd w:val="clear" w:color="auto" w:fill="FFFFFF" w:themeFill="background1"/>
          </w:tcPr>
          <w:p w14:paraId="6F8763D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380F4C9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3DF8EF2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56797E73" w14:textId="77777777">
        <w:tc>
          <w:tcPr>
            <w:tcW w:w="1650" w:type="pct"/>
            <w:shd w:val="clear" w:color="auto" w:fill="FFFFFF" w:themeFill="background1"/>
          </w:tcPr>
          <w:p w14:paraId="1DF067DC"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Yes</w:t>
            </w:r>
          </w:p>
        </w:tc>
        <w:tc>
          <w:tcPr>
            <w:tcW w:w="1116" w:type="pct"/>
            <w:shd w:val="clear" w:color="auto" w:fill="FFFFFF" w:themeFill="background1"/>
          </w:tcPr>
          <w:p w14:paraId="2ACD1D5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.589</w:t>
            </w:r>
          </w:p>
        </w:tc>
        <w:tc>
          <w:tcPr>
            <w:tcW w:w="1117" w:type="pct"/>
            <w:shd w:val="clear" w:color="auto" w:fill="FFFFFF" w:themeFill="background1"/>
          </w:tcPr>
          <w:p w14:paraId="19EC6CB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.117</w:t>
            </w:r>
            <w:r>
              <w:rPr>
                <w:rFonts w:ascii="Book Antiqua" w:eastAsia="宋体" w:hAnsi="Book Antiqua"/>
                <w:bCs/>
                <w:color w:val="000000" w:themeColor="text1"/>
                <w:lang w:eastAsia="zh-CN"/>
              </w:rPr>
              <w:t>-</w:t>
            </w:r>
            <w:r>
              <w:rPr>
                <w:rFonts w:ascii="Book Antiqua" w:eastAsia="MingLiU" w:hAnsi="Book Antiqua"/>
                <w:bCs/>
                <w:color w:val="000000" w:themeColor="text1"/>
                <w:lang w:eastAsia="zh-CN"/>
              </w:rPr>
              <w:t>2.957</w:t>
            </w:r>
          </w:p>
        </w:tc>
        <w:tc>
          <w:tcPr>
            <w:tcW w:w="1117" w:type="pct"/>
            <w:shd w:val="clear" w:color="auto" w:fill="FFFFFF" w:themeFill="background1"/>
          </w:tcPr>
          <w:p w14:paraId="1E12E8C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612165C5" w14:textId="77777777">
        <w:tc>
          <w:tcPr>
            <w:tcW w:w="1650" w:type="pct"/>
            <w:shd w:val="clear" w:color="auto" w:fill="FFFFFF" w:themeFill="background1"/>
          </w:tcPr>
          <w:p w14:paraId="0DF4DF4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NIH risk classification </w:t>
            </w:r>
          </w:p>
        </w:tc>
        <w:tc>
          <w:tcPr>
            <w:tcW w:w="1116" w:type="pct"/>
            <w:shd w:val="clear" w:color="auto" w:fill="FFFFFF" w:themeFill="background1"/>
          </w:tcPr>
          <w:p w14:paraId="0626E7BD"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1D94E693"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745E4F9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.976</w:t>
            </w:r>
            <w:r>
              <w:rPr>
                <w:rFonts w:ascii="Book Antiqua" w:eastAsia="宋体" w:hAnsi="Book Antiqua"/>
                <w:bCs/>
                <w:color w:val="000000" w:themeColor="text1"/>
                <w:lang w:eastAsia="zh-CN"/>
              </w:rPr>
              <w:t>3</w:t>
            </w:r>
          </w:p>
        </w:tc>
      </w:tr>
      <w:tr w:rsidR="003F2138" w14:paraId="126F841F" w14:textId="77777777">
        <w:tc>
          <w:tcPr>
            <w:tcW w:w="1650" w:type="pct"/>
            <w:shd w:val="clear" w:color="auto" w:fill="FFFFFF" w:themeFill="background1"/>
          </w:tcPr>
          <w:p w14:paraId="594A1CB1"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Very low risk</w:t>
            </w:r>
          </w:p>
        </w:tc>
        <w:tc>
          <w:tcPr>
            <w:tcW w:w="1116" w:type="pct"/>
            <w:shd w:val="clear" w:color="auto" w:fill="FFFFFF" w:themeFill="background1"/>
          </w:tcPr>
          <w:p w14:paraId="0B3BA23F"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09CC0C9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740C2EE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6AEDECCB" w14:textId="77777777">
        <w:tc>
          <w:tcPr>
            <w:tcW w:w="1650" w:type="pct"/>
            <w:shd w:val="clear" w:color="auto" w:fill="FFFFFF" w:themeFill="background1"/>
          </w:tcPr>
          <w:p w14:paraId="5B2C6204"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Low risk</w:t>
            </w:r>
          </w:p>
        </w:tc>
        <w:tc>
          <w:tcPr>
            <w:tcW w:w="1116" w:type="pct"/>
            <w:shd w:val="clear" w:color="auto" w:fill="FFFFFF" w:themeFill="background1"/>
          </w:tcPr>
          <w:p w14:paraId="50B91B9A"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.283</w:t>
            </w:r>
          </w:p>
        </w:tc>
        <w:tc>
          <w:tcPr>
            <w:tcW w:w="1117" w:type="pct"/>
            <w:shd w:val="clear" w:color="auto" w:fill="FFFFFF" w:themeFill="background1"/>
          </w:tcPr>
          <w:p w14:paraId="6864CF37"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.001-64.779</w:t>
            </w:r>
          </w:p>
        </w:tc>
        <w:tc>
          <w:tcPr>
            <w:tcW w:w="1117" w:type="pct"/>
            <w:shd w:val="clear" w:color="auto" w:fill="FFFFFF" w:themeFill="background1"/>
          </w:tcPr>
          <w:p w14:paraId="7E6E5CE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.649</w:t>
            </w:r>
            <w:r>
              <w:rPr>
                <w:rFonts w:ascii="Book Antiqua" w:eastAsia="宋体" w:hAnsi="Book Antiqua"/>
                <w:bCs/>
                <w:color w:val="000000" w:themeColor="text1"/>
                <w:lang w:eastAsia="zh-CN"/>
              </w:rPr>
              <w:t>1</w:t>
            </w:r>
          </w:p>
        </w:tc>
      </w:tr>
      <w:tr w:rsidR="003F2138" w14:paraId="40F3038D" w14:textId="77777777">
        <w:tc>
          <w:tcPr>
            <w:tcW w:w="1650" w:type="pct"/>
            <w:shd w:val="clear" w:color="auto" w:fill="FFFFFF" w:themeFill="background1"/>
          </w:tcPr>
          <w:p w14:paraId="44A2057B"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Intermediate risk</w:t>
            </w:r>
          </w:p>
        </w:tc>
        <w:tc>
          <w:tcPr>
            <w:tcW w:w="1116" w:type="pct"/>
            <w:shd w:val="clear" w:color="auto" w:fill="FFFFFF" w:themeFill="background1"/>
          </w:tcPr>
          <w:p w14:paraId="16B92284"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.282</w:t>
            </w:r>
          </w:p>
        </w:tc>
        <w:tc>
          <w:tcPr>
            <w:tcW w:w="1117" w:type="pct"/>
            <w:shd w:val="clear" w:color="auto" w:fill="FFFFFF" w:themeFill="background1"/>
          </w:tcPr>
          <w:p w14:paraId="576DEBD5"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.001-91.515</w:t>
            </w:r>
          </w:p>
        </w:tc>
        <w:tc>
          <w:tcPr>
            <w:tcW w:w="1117" w:type="pct"/>
            <w:shd w:val="clear" w:color="auto" w:fill="FFFFFF" w:themeFill="background1"/>
          </w:tcPr>
          <w:p w14:paraId="2EFD27F7"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.668</w:t>
            </w:r>
            <w:r>
              <w:rPr>
                <w:rFonts w:ascii="Book Antiqua" w:eastAsia="宋体" w:hAnsi="Book Antiqua"/>
                <w:bCs/>
                <w:color w:val="000000" w:themeColor="text1"/>
                <w:lang w:eastAsia="zh-CN"/>
              </w:rPr>
              <w:t>1</w:t>
            </w:r>
          </w:p>
        </w:tc>
      </w:tr>
      <w:tr w:rsidR="003F2138" w14:paraId="6B1E996F" w14:textId="77777777">
        <w:tc>
          <w:tcPr>
            <w:tcW w:w="1650" w:type="pct"/>
            <w:shd w:val="clear" w:color="auto" w:fill="FFFFFF" w:themeFill="background1"/>
          </w:tcPr>
          <w:p w14:paraId="45DC0360"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High risk</w:t>
            </w:r>
          </w:p>
        </w:tc>
        <w:tc>
          <w:tcPr>
            <w:tcW w:w="1116" w:type="pct"/>
            <w:shd w:val="clear" w:color="auto" w:fill="FFFFFF" w:themeFill="background1"/>
          </w:tcPr>
          <w:p w14:paraId="247A5AD6"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.277</w:t>
            </w:r>
          </w:p>
        </w:tc>
        <w:tc>
          <w:tcPr>
            <w:tcW w:w="1117" w:type="pct"/>
            <w:shd w:val="clear" w:color="auto" w:fill="FFFFFF" w:themeFill="background1"/>
          </w:tcPr>
          <w:p w14:paraId="04FB78DF"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.001-101.508</w:t>
            </w:r>
          </w:p>
        </w:tc>
        <w:tc>
          <w:tcPr>
            <w:tcW w:w="1117" w:type="pct"/>
            <w:shd w:val="clear" w:color="auto" w:fill="FFFFFF" w:themeFill="background1"/>
          </w:tcPr>
          <w:p w14:paraId="3E58AE2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.670</w:t>
            </w:r>
            <w:r>
              <w:rPr>
                <w:rFonts w:ascii="Book Antiqua" w:eastAsia="宋体" w:hAnsi="Book Antiqua"/>
                <w:bCs/>
                <w:color w:val="000000" w:themeColor="text1"/>
                <w:lang w:eastAsia="zh-CN"/>
              </w:rPr>
              <w:t>2</w:t>
            </w:r>
          </w:p>
        </w:tc>
      </w:tr>
      <w:tr w:rsidR="003F2138" w14:paraId="6A4CB9B6" w14:textId="77777777">
        <w:tc>
          <w:tcPr>
            <w:tcW w:w="1650" w:type="pct"/>
            <w:shd w:val="clear" w:color="auto" w:fill="FFFFFF" w:themeFill="background1"/>
          </w:tcPr>
          <w:p w14:paraId="0FF13428"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NLR</w:t>
            </w:r>
          </w:p>
        </w:tc>
        <w:tc>
          <w:tcPr>
            <w:tcW w:w="1116" w:type="pct"/>
            <w:shd w:val="clear" w:color="auto" w:fill="FFFFFF" w:themeFill="background1"/>
          </w:tcPr>
          <w:p w14:paraId="336AADAF"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1E95F389"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79AC83E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.761</w:t>
            </w:r>
            <w:r>
              <w:rPr>
                <w:rFonts w:ascii="Book Antiqua" w:eastAsia="宋体" w:hAnsi="Book Antiqua"/>
                <w:bCs/>
                <w:color w:val="000000" w:themeColor="text1"/>
                <w:lang w:eastAsia="zh-CN"/>
              </w:rPr>
              <w:t>3</w:t>
            </w:r>
          </w:p>
        </w:tc>
      </w:tr>
      <w:tr w:rsidR="003F2138" w14:paraId="2A0273CC" w14:textId="77777777">
        <w:tc>
          <w:tcPr>
            <w:tcW w:w="1650" w:type="pct"/>
            <w:shd w:val="clear" w:color="auto" w:fill="FFFFFF" w:themeFill="background1"/>
          </w:tcPr>
          <w:p w14:paraId="1C7D6CF0"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&lt;4.34</w:t>
            </w:r>
          </w:p>
        </w:tc>
        <w:tc>
          <w:tcPr>
            <w:tcW w:w="1116" w:type="pct"/>
            <w:shd w:val="clear" w:color="auto" w:fill="FFFFFF" w:themeFill="background1"/>
          </w:tcPr>
          <w:p w14:paraId="12C8E34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3FC47F40"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70528D4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4669CECF" w14:textId="77777777">
        <w:tc>
          <w:tcPr>
            <w:tcW w:w="1650" w:type="pct"/>
            <w:shd w:val="clear" w:color="auto" w:fill="FFFFFF" w:themeFill="background1"/>
          </w:tcPr>
          <w:p w14:paraId="3B2129F5"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sym w:font="Symbol" w:char="F0B3"/>
            </w:r>
            <w:r>
              <w:rPr>
                <w:rFonts w:ascii="Book Antiqua" w:eastAsia="宋体" w:hAnsi="Book Antiqua"/>
                <w:bCs/>
                <w:color w:val="000000" w:themeColor="text1"/>
                <w:lang w:eastAsia="zh-CN"/>
              </w:rPr>
              <w:t xml:space="preserve"> 4.34</w:t>
            </w:r>
          </w:p>
        </w:tc>
        <w:tc>
          <w:tcPr>
            <w:tcW w:w="1116" w:type="pct"/>
            <w:shd w:val="clear" w:color="auto" w:fill="FFFFFF" w:themeFill="background1"/>
          </w:tcPr>
          <w:p w14:paraId="02537579"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.838</w:t>
            </w:r>
          </w:p>
        </w:tc>
        <w:tc>
          <w:tcPr>
            <w:tcW w:w="1117" w:type="pct"/>
            <w:shd w:val="clear" w:color="auto" w:fill="FFFFFF" w:themeFill="background1"/>
          </w:tcPr>
          <w:p w14:paraId="56CE51C9"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.268-2.620</w:t>
            </w:r>
          </w:p>
        </w:tc>
        <w:tc>
          <w:tcPr>
            <w:tcW w:w="1117" w:type="pct"/>
            <w:shd w:val="clear" w:color="auto" w:fill="FFFFFF" w:themeFill="background1"/>
          </w:tcPr>
          <w:p w14:paraId="44247A04"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宋体" w:hAnsi="Book Antiqua"/>
                <w:bCs/>
                <w:color w:val="000000" w:themeColor="text1"/>
                <w:lang w:eastAsia="zh-CN"/>
              </w:rPr>
              <w:t>-</w:t>
            </w:r>
          </w:p>
        </w:tc>
      </w:tr>
      <w:tr w:rsidR="003F2138" w14:paraId="48DFE08E" w14:textId="77777777">
        <w:tc>
          <w:tcPr>
            <w:tcW w:w="1650" w:type="pct"/>
            <w:shd w:val="clear" w:color="auto" w:fill="FFFFFF" w:themeFill="background1"/>
          </w:tcPr>
          <w:p w14:paraId="642FAF7E"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PLR</w:t>
            </w:r>
          </w:p>
        </w:tc>
        <w:tc>
          <w:tcPr>
            <w:tcW w:w="1116" w:type="pct"/>
            <w:shd w:val="clear" w:color="auto" w:fill="FFFFFF" w:themeFill="background1"/>
          </w:tcPr>
          <w:p w14:paraId="146C5BE1"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1C0D77D2"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4BBA65C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.69</w:t>
            </w:r>
            <w:r>
              <w:rPr>
                <w:rFonts w:ascii="Book Antiqua" w:eastAsia="宋体" w:hAnsi="Book Antiqua"/>
                <w:bCs/>
                <w:color w:val="000000" w:themeColor="text1"/>
                <w:lang w:eastAsia="zh-CN"/>
              </w:rPr>
              <w:t>58</w:t>
            </w:r>
          </w:p>
        </w:tc>
      </w:tr>
      <w:tr w:rsidR="003F2138" w14:paraId="584C8F61" w14:textId="77777777">
        <w:tc>
          <w:tcPr>
            <w:tcW w:w="1650" w:type="pct"/>
            <w:shd w:val="clear" w:color="auto" w:fill="FFFFFF" w:themeFill="background1"/>
          </w:tcPr>
          <w:p w14:paraId="4FB6902F"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&lt; 220.76</w:t>
            </w:r>
          </w:p>
        </w:tc>
        <w:tc>
          <w:tcPr>
            <w:tcW w:w="1116" w:type="pct"/>
            <w:shd w:val="clear" w:color="auto" w:fill="FFFFFF" w:themeFill="background1"/>
          </w:tcPr>
          <w:p w14:paraId="29C64AC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373020EB"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4C6BA2AC"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75A7988D" w14:textId="77777777">
        <w:tc>
          <w:tcPr>
            <w:tcW w:w="1650" w:type="pct"/>
            <w:shd w:val="clear" w:color="auto" w:fill="FFFFFF" w:themeFill="background1"/>
          </w:tcPr>
          <w:p w14:paraId="0C254F7D"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sym w:font="Symbol" w:char="F0B3"/>
            </w:r>
            <w:r>
              <w:rPr>
                <w:rFonts w:ascii="Book Antiqua" w:eastAsia="宋体" w:hAnsi="Book Antiqua"/>
                <w:bCs/>
                <w:color w:val="000000" w:themeColor="text1"/>
                <w:lang w:eastAsia="zh-CN"/>
              </w:rPr>
              <w:t xml:space="preserve"> 220.76</w:t>
            </w:r>
          </w:p>
        </w:tc>
        <w:tc>
          <w:tcPr>
            <w:tcW w:w="1116" w:type="pct"/>
            <w:shd w:val="clear" w:color="auto" w:fill="FFFFFF" w:themeFill="background1"/>
          </w:tcPr>
          <w:p w14:paraId="0E671A5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1.259</w:t>
            </w:r>
          </w:p>
        </w:tc>
        <w:tc>
          <w:tcPr>
            <w:tcW w:w="1117" w:type="pct"/>
            <w:shd w:val="clear" w:color="auto" w:fill="FFFFFF" w:themeFill="background1"/>
          </w:tcPr>
          <w:p w14:paraId="24698033"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0.397-3.995</w:t>
            </w:r>
          </w:p>
        </w:tc>
        <w:tc>
          <w:tcPr>
            <w:tcW w:w="1117" w:type="pct"/>
            <w:shd w:val="clear" w:color="auto" w:fill="FFFFFF" w:themeFill="background1"/>
          </w:tcPr>
          <w:p w14:paraId="7E67F825"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33B01A2E" w14:textId="77777777">
        <w:tc>
          <w:tcPr>
            <w:tcW w:w="1650" w:type="pct"/>
            <w:shd w:val="clear" w:color="auto" w:fill="FFFFFF" w:themeFill="background1"/>
          </w:tcPr>
          <w:p w14:paraId="399455D4"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OPNI</w:t>
            </w:r>
          </w:p>
        </w:tc>
        <w:tc>
          <w:tcPr>
            <w:tcW w:w="1116" w:type="pct"/>
            <w:shd w:val="clear" w:color="auto" w:fill="FFFFFF" w:themeFill="background1"/>
          </w:tcPr>
          <w:p w14:paraId="0AAD828E"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3D764193" w14:textId="77777777" w:rsidR="003F2138" w:rsidRDefault="003F2138">
            <w:pPr>
              <w:adjustRightInd w:val="0"/>
              <w:snapToGrid w:val="0"/>
              <w:spacing w:line="360" w:lineRule="auto"/>
              <w:jc w:val="both"/>
              <w:rPr>
                <w:rFonts w:ascii="Book Antiqua" w:eastAsia="宋体" w:hAnsi="Book Antiqua"/>
                <w:bCs/>
                <w:color w:val="000000" w:themeColor="text1"/>
                <w:lang w:eastAsia="zh-CN"/>
              </w:rPr>
            </w:pPr>
          </w:p>
        </w:tc>
        <w:tc>
          <w:tcPr>
            <w:tcW w:w="1117" w:type="pct"/>
            <w:shd w:val="clear" w:color="auto" w:fill="FFFFFF" w:themeFill="background1"/>
          </w:tcPr>
          <w:p w14:paraId="7CBE82E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0</w:t>
            </w:r>
            <w:r>
              <w:rPr>
                <w:rFonts w:ascii="Book Antiqua" w:eastAsia="MingLiU" w:hAnsi="Book Antiqua"/>
                <w:bCs/>
                <w:color w:val="000000" w:themeColor="text1"/>
                <w:lang w:eastAsia="zh-CN"/>
              </w:rPr>
              <w:t>.041</w:t>
            </w:r>
            <w:r>
              <w:rPr>
                <w:rFonts w:ascii="Book Antiqua" w:eastAsia="宋体" w:hAnsi="Book Antiqua"/>
                <w:bCs/>
                <w:color w:val="000000" w:themeColor="text1"/>
                <w:lang w:eastAsia="zh-CN"/>
              </w:rPr>
              <w:t>4</w:t>
            </w:r>
            <w:r>
              <w:rPr>
                <w:rFonts w:ascii="Book Antiqua" w:eastAsia="宋体" w:hAnsi="Book Antiqua"/>
                <w:bCs/>
                <w:color w:val="000000" w:themeColor="text1"/>
                <w:vertAlign w:val="superscript"/>
                <w:lang w:eastAsia="zh-CN"/>
              </w:rPr>
              <w:t>1</w:t>
            </w:r>
          </w:p>
        </w:tc>
      </w:tr>
      <w:tr w:rsidR="003F2138" w14:paraId="6E3C45E0" w14:textId="77777777">
        <w:tc>
          <w:tcPr>
            <w:tcW w:w="1650" w:type="pct"/>
            <w:shd w:val="clear" w:color="auto" w:fill="FFFFFF" w:themeFill="background1"/>
          </w:tcPr>
          <w:p w14:paraId="05E916C7"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sym w:font="Symbol" w:char="F0B3"/>
            </w:r>
            <w:r>
              <w:rPr>
                <w:rFonts w:ascii="Book Antiqua" w:eastAsia="宋体" w:hAnsi="Book Antiqua"/>
                <w:bCs/>
                <w:color w:val="000000" w:themeColor="text1"/>
                <w:lang w:eastAsia="zh-CN"/>
              </w:rPr>
              <w:t xml:space="preserve"> 51.30</w:t>
            </w:r>
          </w:p>
        </w:tc>
        <w:tc>
          <w:tcPr>
            <w:tcW w:w="1116" w:type="pct"/>
            <w:shd w:val="clear" w:color="auto" w:fill="FFFFFF" w:themeFill="background1"/>
          </w:tcPr>
          <w:p w14:paraId="5A1B8F62"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1.000</w:t>
            </w:r>
          </w:p>
        </w:tc>
        <w:tc>
          <w:tcPr>
            <w:tcW w:w="1117" w:type="pct"/>
            <w:shd w:val="clear" w:color="auto" w:fill="FFFFFF" w:themeFill="background1"/>
          </w:tcPr>
          <w:p w14:paraId="6E587A31"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c>
          <w:tcPr>
            <w:tcW w:w="1117" w:type="pct"/>
            <w:shd w:val="clear" w:color="auto" w:fill="FFFFFF" w:themeFill="background1"/>
          </w:tcPr>
          <w:p w14:paraId="5354909A"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r w:rsidR="003F2138" w14:paraId="41DB9E63" w14:textId="77777777">
        <w:tc>
          <w:tcPr>
            <w:tcW w:w="1650" w:type="pct"/>
            <w:shd w:val="clear" w:color="auto" w:fill="FFFFFF" w:themeFill="background1"/>
          </w:tcPr>
          <w:p w14:paraId="19518BBA" w14:textId="77777777" w:rsidR="003F2138" w:rsidRDefault="00E00B3F">
            <w:pPr>
              <w:adjustRightInd w:val="0"/>
              <w:snapToGrid w:val="0"/>
              <w:spacing w:line="360" w:lineRule="auto"/>
              <w:ind w:leftChars="67" w:left="161"/>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lastRenderedPageBreak/>
              <w:t>&lt; 51.30</w:t>
            </w:r>
          </w:p>
        </w:tc>
        <w:tc>
          <w:tcPr>
            <w:tcW w:w="1116" w:type="pct"/>
            <w:shd w:val="clear" w:color="auto" w:fill="FFFFFF" w:themeFill="background1"/>
          </w:tcPr>
          <w:p w14:paraId="686A2108"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MingLiU" w:hAnsi="Book Antiqua"/>
                <w:bCs/>
                <w:color w:val="000000" w:themeColor="text1"/>
                <w:lang w:eastAsia="zh-CN"/>
              </w:rPr>
              <w:t>5.852</w:t>
            </w:r>
          </w:p>
        </w:tc>
        <w:tc>
          <w:tcPr>
            <w:tcW w:w="1117" w:type="pct"/>
            <w:shd w:val="clear" w:color="auto" w:fill="FFFFFF" w:themeFill="background1"/>
          </w:tcPr>
          <w:p w14:paraId="4A820E2A" w14:textId="77777777" w:rsidR="003F2138" w:rsidRDefault="00E00B3F">
            <w:pPr>
              <w:adjustRightInd w:val="0"/>
              <w:snapToGrid w:val="0"/>
              <w:spacing w:line="360" w:lineRule="auto"/>
              <w:jc w:val="both"/>
              <w:rPr>
                <w:rFonts w:ascii="Book Antiqua" w:eastAsia="MingLiU" w:hAnsi="Book Antiqua"/>
                <w:bCs/>
                <w:color w:val="000000" w:themeColor="text1"/>
                <w:lang w:eastAsia="zh-CN"/>
              </w:rPr>
            </w:pPr>
            <w:r>
              <w:rPr>
                <w:rFonts w:ascii="Book Antiqua" w:eastAsia="MingLiU" w:hAnsi="Book Antiqua"/>
                <w:bCs/>
                <w:color w:val="000000" w:themeColor="text1"/>
                <w:lang w:eastAsia="zh-CN"/>
              </w:rPr>
              <w:t>1.072-31.964</w:t>
            </w:r>
          </w:p>
        </w:tc>
        <w:tc>
          <w:tcPr>
            <w:tcW w:w="1117" w:type="pct"/>
            <w:shd w:val="clear" w:color="auto" w:fill="FFFFFF" w:themeFill="background1"/>
          </w:tcPr>
          <w:p w14:paraId="7A664E6D" w14:textId="77777777" w:rsidR="003F2138" w:rsidRDefault="00E00B3F">
            <w:pPr>
              <w:adjustRightInd w:val="0"/>
              <w:snapToGrid w:val="0"/>
              <w:spacing w:line="360" w:lineRule="auto"/>
              <w:jc w:val="both"/>
              <w:rPr>
                <w:rFonts w:ascii="Book Antiqua" w:eastAsia="宋体" w:hAnsi="Book Antiqua"/>
                <w:bCs/>
                <w:color w:val="000000" w:themeColor="text1"/>
                <w:lang w:eastAsia="zh-CN"/>
              </w:rPr>
            </w:pPr>
            <w:r>
              <w:rPr>
                <w:rFonts w:ascii="Book Antiqua" w:eastAsia="宋体" w:hAnsi="Book Antiqua"/>
                <w:bCs/>
                <w:color w:val="000000" w:themeColor="text1"/>
                <w:lang w:eastAsia="zh-CN"/>
              </w:rPr>
              <w:t>-</w:t>
            </w:r>
          </w:p>
        </w:tc>
      </w:tr>
    </w:tbl>
    <w:p w14:paraId="2158204C" w14:textId="77777777" w:rsidR="003F2138" w:rsidRDefault="00E00B3F">
      <w:pPr>
        <w:adjustRightInd w:val="0"/>
        <w:snapToGrid w:val="0"/>
        <w:spacing w:line="360" w:lineRule="auto"/>
        <w:jc w:val="both"/>
        <w:rPr>
          <w:rFonts w:ascii="Book Antiqua" w:eastAsia="Book Antiqua" w:hAnsi="Book Antiqua" w:cs="Book Antiqua"/>
          <w:bCs/>
          <w:color w:val="000000" w:themeColor="text1"/>
        </w:rPr>
      </w:pPr>
      <w:r>
        <w:rPr>
          <w:rFonts w:ascii="Book Antiqua" w:hAnsi="Book Antiqua"/>
          <w:color w:val="000000" w:themeColor="text1"/>
          <w:vertAlign w:val="superscript"/>
        </w:rPr>
        <w:t>1</w:t>
      </w:r>
      <w:r>
        <w:rPr>
          <w:rFonts w:ascii="Book Antiqua" w:hAnsi="Book Antiqua"/>
          <w:color w:val="000000" w:themeColor="text1"/>
        </w:rPr>
        <w:t>With statistical significance.</w:t>
      </w:r>
      <w:r>
        <w:rPr>
          <w:rFonts w:ascii="Book Antiqua" w:eastAsia="Book Antiqua" w:hAnsi="Book Antiqua" w:cs="Book Antiqua"/>
          <w:bCs/>
          <w:color w:val="000000" w:themeColor="text1"/>
        </w:rPr>
        <w:t xml:space="preserve"> NLR: Neutrophil-to-lymphocyte ratio; PLR: Platelet-to-lymphocyte ratio; OPNI: Onodera’s Prognostic Nutritional Index.</w:t>
      </w:r>
    </w:p>
    <w:p w14:paraId="4CDBBF67" w14:textId="77777777" w:rsidR="003F2138" w:rsidRDefault="003F2138">
      <w:pPr>
        <w:adjustRightInd w:val="0"/>
        <w:snapToGrid w:val="0"/>
        <w:spacing w:line="360" w:lineRule="auto"/>
        <w:jc w:val="both"/>
        <w:rPr>
          <w:rFonts w:ascii="Book Antiqua" w:hAnsi="Book Antiqua"/>
          <w:color w:val="000000" w:themeColor="text1"/>
        </w:rPr>
      </w:pPr>
    </w:p>
    <w:sectPr w:rsidR="003F213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472C" w14:textId="77777777" w:rsidR="00E00B3F" w:rsidRDefault="00E00B3F">
      <w:r>
        <w:separator/>
      </w:r>
    </w:p>
  </w:endnote>
  <w:endnote w:type="continuationSeparator" w:id="0">
    <w:p w14:paraId="3C5165E6" w14:textId="77777777" w:rsidR="00E00B3F" w:rsidRDefault="00E0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15152"/>
      <w:docPartObj>
        <w:docPartGallery w:val="AutoText"/>
      </w:docPartObj>
    </w:sdtPr>
    <w:sdtEndPr/>
    <w:sdtContent>
      <w:sdt>
        <w:sdtPr>
          <w:id w:val="-1769616900"/>
          <w:docPartObj>
            <w:docPartGallery w:val="AutoText"/>
          </w:docPartObj>
        </w:sdtPr>
        <w:sdtEndPr/>
        <w:sdtContent>
          <w:p w14:paraId="3EC48DA1" w14:textId="77777777" w:rsidR="003F2138" w:rsidRDefault="00E00B3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653E">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653E">
              <w:rPr>
                <w:b/>
                <w:bCs/>
                <w:noProof/>
              </w:rPr>
              <w:t>32</w:t>
            </w:r>
            <w:r>
              <w:rPr>
                <w:b/>
                <w:bCs/>
                <w:sz w:val="24"/>
                <w:szCs w:val="24"/>
              </w:rPr>
              <w:fldChar w:fldCharType="end"/>
            </w:r>
          </w:p>
        </w:sdtContent>
      </w:sdt>
    </w:sdtContent>
  </w:sdt>
  <w:p w14:paraId="157A38C3" w14:textId="77777777" w:rsidR="003F2138" w:rsidRDefault="003F21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8A43" w14:textId="77777777" w:rsidR="003F2138" w:rsidRDefault="00E00B3F">
    <w:pPr>
      <w:pStyle w:val="a5"/>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5B7E43EF" w14:textId="77777777" w:rsidR="003F2138" w:rsidRDefault="00E00B3F">
                          <w:pPr>
                            <w:pStyle w:val="a5"/>
                          </w:pPr>
                          <w:r>
                            <w:fldChar w:fldCharType="begin"/>
                          </w:r>
                          <w:r>
                            <w:instrText xml:space="preserve"> PAGE  \* MERGEFORMAT </w:instrText>
                          </w:r>
                          <w:r>
                            <w:fldChar w:fldCharType="separate"/>
                          </w:r>
                          <w:r w:rsidR="0003653E">
                            <w:rPr>
                              <w:noProof/>
                            </w:rPr>
                            <w:t>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" filled="f" stroked="f">
              <v:textbox style="mso-fit-shape-to-text:t" inset="0,0,0,0">
                <w:txbxContent>
                  <w:p w14:paraId="5B7E43EF" w14:textId="77777777" w:rsidR="003F2138" w:rsidRDefault="00E00B3F">
                    <w:pPr>
                      <w:pStyle w:val="a5"/>
                    </w:pPr>
                    <w:r>
                      <w:fldChar w:fldCharType="begin"/>
                    </w:r>
                    <w:r>
                      <w:instrText xml:space="preserve"> PAGE  \* MERGEFORMAT </w:instrText>
                    </w:r>
                    <w:r>
                      <w:fldChar w:fldCharType="separate"/>
                    </w:r>
                    <w:r w:rsidR="0003653E">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090C" w14:textId="77777777" w:rsidR="00E00B3F" w:rsidRDefault="00E00B3F">
      <w:r>
        <w:separator/>
      </w:r>
    </w:p>
  </w:footnote>
  <w:footnote w:type="continuationSeparator" w:id="0">
    <w:p w14:paraId="6DBC6C7A" w14:textId="77777777" w:rsidR="00E00B3F" w:rsidRDefault="00E00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2DB"/>
    <w:rsid w:val="000112EE"/>
    <w:rsid w:val="0003653E"/>
    <w:rsid w:val="000434E3"/>
    <w:rsid w:val="00063638"/>
    <w:rsid w:val="000B52A2"/>
    <w:rsid w:val="000B79AE"/>
    <w:rsid w:val="000E429D"/>
    <w:rsid w:val="001011F6"/>
    <w:rsid w:val="00145A96"/>
    <w:rsid w:val="00176875"/>
    <w:rsid w:val="001A1144"/>
    <w:rsid w:val="001A435B"/>
    <w:rsid w:val="001C3507"/>
    <w:rsid w:val="00212FAE"/>
    <w:rsid w:val="002516B4"/>
    <w:rsid w:val="002571E3"/>
    <w:rsid w:val="00262CE0"/>
    <w:rsid w:val="00282E91"/>
    <w:rsid w:val="0029505B"/>
    <w:rsid w:val="002C41BD"/>
    <w:rsid w:val="00341C66"/>
    <w:rsid w:val="0036605A"/>
    <w:rsid w:val="0038255A"/>
    <w:rsid w:val="003A01DF"/>
    <w:rsid w:val="003B2AEA"/>
    <w:rsid w:val="003F2138"/>
    <w:rsid w:val="0040470B"/>
    <w:rsid w:val="0041314E"/>
    <w:rsid w:val="0042317B"/>
    <w:rsid w:val="00424F60"/>
    <w:rsid w:val="00470F75"/>
    <w:rsid w:val="0048219A"/>
    <w:rsid w:val="004A0BF6"/>
    <w:rsid w:val="004A3C73"/>
    <w:rsid w:val="004C796E"/>
    <w:rsid w:val="004D21E6"/>
    <w:rsid w:val="004E5127"/>
    <w:rsid w:val="004F3D7C"/>
    <w:rsid w:val="0053115F"/>
    <w:rsid w:val="005505E9"/>
    <w:rsid w:val="005C0940"/>
    <w:rsid w:val="005C457D"/>
    <w:rsid w:val="006037E1"/>
    <w:rsid w:val="0064452F"/>
    <w:rsid w:val="006452B8"/>
    <w:rsid w:val="00656965"/>
    <w:rsid w:val="006857DA"/>
    <w:rsid w:val="006C0919"/>
    <w:rsid w:val="006F62C7"/>
    <w:rsid w:val="007473A6"/>
    <w:rsid w:val="0076784C"/>
    <w:rsid w:val="00795C32"/>
    <w:rsid w:val="00805A0D"/>
    <w:rsid w:val="00807C2A"/>
    <w:rsid w:val="0082675C"/>
    <w:rsid w:val="00867860"/>
    <w:rsid w:val="00872D62"/>
    <w:rsid w:val="008B5A4D"/>
    <w:rsid w:val="008D34AF"/>
    <w:rsid w:val="009114AF"/>
    <w:rsid w:val="00955BD3"/>
    <w:rsid w:val="0095789C"/>
    <w:rsid w:val="00981F91"/>
    <w:rsid w:val="009F00FA"/>
    <w:rsid w:val="00A177BB"/>
    <w:rsid w:val="00A376B7"/>
    <w:rsid w:val="00A77B3E"/>
    <w:rsid w:val="00AB5D99"/>
    <w:rsid w:val="00B02203"/>
    <w:rsid w:val="00B23F70"/>
    <w:rsid w:val="00B27068"/>
    <w:rsid w:val="00B5568C"/>
    <w:rsid w:val="00B72828"/>
    <w:rsid w:val="00BF14AD"/>
    <w:rsid w:val="00C01971"/>
    <w:rsid w:val="00C12827"/>
    <w:rsid w:val="00C672B7"/>
    <w:rsid w:val="00C7649E"/>
    <w:rsid w:val="00C97A84"/>
    <w:rsid w:val="00CA0B80"/>
    <w:rsid w:val="00CA2A55"/>
    <w:rsid w:val="00D62421"/>
    <w:rsid w:val="00DD248E"/>
    <w:rsid w:val="00E00B3F"/>
    <w:rsid w:val="00E064A4"/>
    <w:rsid w:val="00E44ED5"/>
    <w:rsid w:val="00E561B2"/>
    <w:rsid w:val="00E879B9"/>
    <w:rsid w:val="00E93B06"/>
    <w:rsid w:val="00ED0CAE"/>
    <w:rsid w:val="00ED6A5C"/>
    <w:rsid w:val="00EE6302"/>
    <w:rsid w:val="00FD4411"/>
    <w:rsid w:val="09FA3DD4"/>
    <w:rsid w:val="74B56C24"/>
    <w:rsid w:val="777C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EC2D4-8B49-4BBD-952D-AE46D83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pPr>
      <w:widowControl w:val="0"/>
      <w:jc w:val="both"/>
    </w:pPr>
    <w:rPr>
      <w:rFonts w:asciiTheme="minorHAnsi" w:hAnsiTheme="minorHAnsi" w:cstheme="minorBidi"/>
      <w:sz w:val="18"/>
      <w:szCs w:val="18"/>
      <w:lang w:eastAsia="zh-CN"/>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qFormat/>
    <w:rPr>
      <w:rFonts w:eastAsia="宋体"/>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line number"/>
    <w:basedOn w:val="a0"/>
  </w:style>
  <w:style w:type="character" w:styleId="aa">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34"/>
    <w:qFormat/>
    <w:pPr>
      <w:widowControl w:val="0"/>
      <w:ind w:firstLineChars="200" w:firstLine="420"/>
      <w:jc w:val="both"/>
    </w:pPr>
    <w:rPr>
      <w:rFonts w:ascii="Calibri" w:eastAsia="宋体" w:hAnsi="Calibri"/>
      <w:sz w:val="21"/>
      <w:szCs w:val="22"/>
      <w:lang w:eastAsia="zh-CN"/>
    </w:rPr>
  </w:style>
  <w:style w:type="character" w:customStyle="1" w:styleId="Char0">
    <w:name w:val="批注框文本 Char"/>
    <w:basedOn w:val="a0"/>
    <w:link w:val="a4"/>
    <w:rPr>
      <w:rFonts w:asciiTheme="minorHAnsi" w:hAnsiTheme="minorHAnsi" w:cstheme="minorBidi"/>
      <w:sz w:val="18"/>
      <w:szCs w:val="18"/>
      <w:lang w:eastAsia="zh-CN"/>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0">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5552</Words>
  <Characters>31651</Characters>
  <Application>Microsoft Office Word</Application>
  <DocSecurity>0</DocSecurity>
  <Lines>263</Lines>
  <Paragraphs>74</Paragraphs>
  <ScaleCrop>false</ScaleCrop>
  <Company/>
  <LinksUpToDate>false</LinksUpToDate>
  <CharactersWithSpaces>37129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2021-08-23T03:15:00Z</dcterms:created>
  <dcterms:modified xsi:type="dcterms:W3CDTF">2021-08-23T03:20:00Z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C5E9661C4EC64A9FBF5D941CF89C51A5</vt:lpwstr>
  </property>
</Properties>
</file>