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4281F8"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b/>
          <w:color w:val="000000"/>
        </w:rPr>
        <w:t xml:space="preserve">Name of Journal: </w:t>
      </w:r>
      <w:r w:rsidRPr="00436841">
        <w:rPr>
          <w:rFonts w:ascii="Book Antiqua" w:eastAsia="Book Antiqua" w:hAnsi="Book Antiqua" w:cs="Book Antiqua"/>
          <w:i/>
          <w:color w:val="000000"/>
        </w:rPr>
        <w:t>World Journal of Gastroenterology</w:t>
      </w:r>
    </w:p>
    <w:p w14:paraId="41810127"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b/>
          <w:color w:val="000000"/>
        </w:rPr>
        <w:t xml:space="preserve">Manuscript NO: </w:t>
      </w:r>
      <w:r w:rsidRPr="00436841">
        <w:rPr>
          <w:rFonts w:ascii="Book Antiqua" w:eastAsia="Book Antiqua" w:hAnsi="Book Antiqua" w:cs="Book Antiqua"/>
          <w:color w:val="000000"/>
        </w:rPr>
        <w:t>63387</w:t>
      </w:r>
    </w:p>
    <w:p w14:paraId="0D160AF7"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b/>
          <w:color w:val="000000"/>
        </w:rPr>
        <w:t xml:space="preserve">Manuscript Type: </w:t>
      </w:r>
      <w:r w:rsidRPr="00436841">
        <w:rPr>
          <w:rFonts w:ascii="Book Antiqua" w:eastAsia="Book Antiqua" w:hAnsi="Book Antiqua" w:cs="Book Antiqua"/>
          <w:color w:val="000000"/>
        </w:rPr>
        <w:t>REVIEW</w:t>
      </w:r>
    </w:p>
    <w:p w14:paraId="21AF5862" w14:textId="77777777" w:rsidR="00A77B3E" w:rsidRPr="00436841" w:rsidRDefault="00A77B3E" w:rsidP="00ED58D3">
      <w:pPr>
        <w:spacing w:line="360" w:lineRule="auto"/>
        <w:jc w:val="both"/>
        <w:rPr>
          <w:rFonts w:ascii="Book Antiqua" w:hAnsi="Book Antiqua"/>
        </w:rPr>
      </w:pPr>
    </w:p>
    <w:p w14:paraId="5EDE7959" w14:textId="267478E8" w:rsidR="00A77B3E" w:rsidRPr="00326C94" w:rsidRDefault="0048774A" w:rsidP="00ED58D3">
      <w:pPr>
        <w:spacing w:line="360" w:lineRule="auto"/>
        <w:jc w:val="both"/>
        <w:rPr>
          <w:rFonts w:ascii="Book Antiqua" w:hAnsi="Book Antiqua"/>
        </w:rPr>
      </w:pPr>
      <w:r w:rsidRPr="00436841">
        <w:rPr>
          <w:rFonts w:ascii="Book Antiqua" w:eastAsia="Book Antiqua" w:hAnsi="Book Antiqua" w:cs="Book Antiqua"/>
          <w:b/>
          <w:color w:val="000000"/>
        </w:rPr>
        <w:t xml:space="preserve">Update on the association of </w:t>
      </w:r>
      <w:r w:rsidR="00C5113C" w:rsidRPr="00436841">
        <w:rPr>
          <w:rFonts w:ascii="Book Antiqua" w:eastAsia="Book Antiqua" w:hAnsi="Book Antiqua" w:cs="Book Antiqua"/>
          <w:b/>
          <w:color w:val="000000"/>
        </w:rPr>
        <w:t>h</w:t>
      </w:r>
      <w:r w:rsidRPr="00436841">
        <w:rPr>
          <w:rFonts w:ascii="Book Antiqua" w:eastAsia="Book Antiqua" w:hAnsi="Book Antiqua" w:cs="Book Antiqua"/>
          <w:b/>
          <w:color w:val="000000"/>
        </w:rPr>
        <w:t xml:space="preserve">epatitis B </w:t>
      </w:r>
      <w:r w:rsidR="00436841" w:rsidRPr="00475777">
        <w:rPr>
          <w:rFonts w:ascii="Book Antiqua" w:eastAsia="Book Antiqua" w:hAnsi="Book Antiqua" w:cs="Book Antiqua"/>
          <w:b/>
          <w:color w:val="000000"/>
        </w:rPr>
        <w:t xml:space="preserve">with </w:t>
      </w:r>
      <w:r w:rsidRPr="002E0D71">
        <w:rPr>
          <w:rFonts w:ascii="Book Antiqua" w:eastAsia="Book Antiqua" w:hAnsi="Book Antiqua" w:cs="Book Antiqua"/>
          <w:b/>
          <w:color w:val="000000"/>
        </w:rPr>
        <w:t xml:space="preserve">intrahepatic cholangiocarcinoma: </w:t>
      </w:r>
      <w:r w:rsidR="00C5113C" w:rsidRPr="002E0D71">
        <w:rPr>
          <w:rFonts w:ascii="Book Antiqua" w:eastAsia="Book Antiqua" w:hAnsi="Book Antiqua" w:cs="Book Antiqua"/>
          <w:b/>
          <w:color w:val="000000"/>
        </w:rPr>
        <w:t>I</w:t>
      </w:r>
      <w:r w:rsidRPr="002E0D71">
        <w:rPr>
          <w:rFonts w:ascii="Book Antiqua" w:eastAsia="Book Antiqua" w:hAnsi="Book Antiqua" w:cs="Book Antiqua"/>
          <w:b/>
          <w:color w:val="000000"/>
        </w:rPr>
        <w:t>s there new evidence?</w:t>
      </w:r>
    </w:p>
    <w:p w14:paraId="17E22BB1" w14:textId="77777777" w:rsidR="00A77B3E" w:rsidRPr="00436841" w:rsidRDefault="00A77B3E" w:rsidP="00ED58D3">
      <w:pPr>
        <w:spacing w:line="360" w:lineRule="auto"/>
        <w:jc w:val="both"/>
        <w:rPr>
          <w:rFonts w:ascii="Book Antiqua" w:hAnsi="Book Antiqua"/>
        </w:rPr>
      </w:pPr>
    </w:p>
    <w:p w14:paraId="5AB2EF67" w14:textId="77777777" w:rsidR="00A77B3E" w:rsidRPr="00436841" w:rsidRDefault="003B3C7B" w:rsidP="00ED58D3">
      <w:pPr>
        <w:spacing w:line="360" w:lineRule="auto"/>
        <w:jc w:val="both"/>
        <w:rPr>
          <w:rFonts w:ascii="Book Antiqua" w:hAnsi="Book Antiqua"/>
        </w:rPr>
      </w:pPr>
      <w:r w:rsidRPr="00436841">
        <w:rPr>
          <w:rFonts w:ascii="Book Antiqua" w:eastAsia="Book Antiqua" w:hAnsi="Book Antiqua" w:cs="Book Antiqua"/>
          <w:color w:val="000000"/>
        </w:rPr>
        <w:t xml:space="preserve">Fragkou N </w:t>
      </w:r>
      <w:r w:rsidRPr="00436841">
        <w:rPr>
          <w:rFonts w:ascii="Book Antiqua" w:eastAsia="Book Antiqua" w:hAnsi="Book Antiqua" w:cs="Book Antiqua"/>
          <w:i/>
          <w:iCs/>
          <w:color w:val="000000"/>
        </w:rPr>
        <w:t>et al</w:t>
      </w:r>
      <w:r w:rsidRPr="00436841">
        <w:rPr>
          <w:rFonts w:ascii="Book Antiqua" w:eastAsia="Book Antiqua" w:hAnsi="Book Antiqua" w:cs="Book Antiqua"/>
          <w:color w:val="000000"/>
        </w:rPr>
        <w:t xml:space="preserve">. </w:t>
      </w:r>
      <w:r w:rsidR="0048774A" w:rsidRPr="00436841">
        <w:rPr>
          <w:rFonts w:ascii="Book Antiqua" w:eastAsia="Book Antiqua" w:hAnsi="Book Antiqua" w:cs="Book Antiqua"/>
          <w:color w:val="000000"/>
        </w:rPr>
        <w:t>Hepatitis B and intrahepatic cholangiocarcinoma</w:t>
      </w:r>
    </w:p>
    <w:p w14:paraId="1D9734E9" w14:textId="77777777" w:rsidR="00A77B3E" w:rsidRPr="00436841" w:rsidRDefault="00A77B3E" w:rsidP="00ED58D3">
      <w:pPr>
        <w:spacing w:line="360" w:lineRule="auto"/>
        <w:jc w:val="both"/>
        <w:rPr>
          <w:rFonts w:ascii="Book Antiqua" w:hAnsi="Book Antiqua"/>
        </w:rPr>
      </w:pPr>
    </w:p>
    <w:p w14:paraId="4CD5971A"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Nikolaos Fragkou, Lazaros Sideras, Panteleimon Panas, Christos Emmanouilides, Emmanouil Sinakos</w:t>
      </w:r>
    </w:p>
    <w:p w14:paraId="39128CB9" w14:textId="77777777" w:rsidR="00A77B3E" w:rsidRPr="00436841" w:rsidRDefault="00A77B3E" w:rsidP="00ED58D3">
      <w:pPr>
        <w:spacing w:line="360" w:lineRule="auto"/>
        <w:jc w:val="both"/>
        <w:rPr>
          <w:rFonts w:ascii="Book Antiqua" w:hAnsi="Book Antiqua"/>
        </w:rPr>
      </w:pPr>
    </w:p>
    <w:p w14:paraId="17AD6B9A"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b/>
          <w:bCs/>
          <w:color w:val="000000"/>
        </w:rPr>
        <w:t>Nikolaos Fragkou,</w:t>
      </w:r>
      <w:r w:rsidR="007935A6" w:rsidRPr="00436841">
        <w:rPr>
          <w:rFonts w:ascii="Book Antiqua" w:eastAsia="Book Antiqua" w:hAnsi="Book Antiqua" w:cs="Book Antiqua"/>
          <w:b/>
          <w:bCs/>
          <w:color w:val="000000"/>
        </w:rPr>
        <w:t xml:space="preserve"> Lazaros Sideras, Panteleimon Panas, </w:t>
      </w:r>
      <w:r w:rsidRPr="00436841">
        <w:rPr>
          <w:rFonts w:ascii="Book Antiqua" w:eastAsia="Book Antiqua" w:hAnsi="Book Antiqua" w:cs="Book Antiqua"/>
          <w:b/>
          <w:bCs/>
          <w:color w:val="000000"/>
        </w:rPr>
        <w:t xml:space="preserve">Emmanouil Sinakos, </w:t>
      </w:r>
      <w:r w:rsidRPr="00436841">
        <w:rPr>
          <w:rFonts w:ascii="Book Antiqua" w:eastAsia="Book Antiqua" w:hAnsi="Book Antiqua" w:cs="Book Antiqua"/>
          <w:color w:val="000000"/>
        </w:rPr>
        <w:t>Fourth Department of Internal Medicine, Aristotle University of Thessaloniki, Thessaloniki 54642, Greece</w:t>
      </w:r>
    </w:p>
    <w:p w14:paraId="7305B6FA" w14:textId="77777777" w:rsidR="00A77B3E" w:rsidRPr="00436841" w:rsidRDefault="00A77B3E" w:rsidP="00ED58D3">
      <w:pPr>
        <w:spacing w:line="360" w:lineRule="auto"/>
        <w:jc w:val="both"/>
        <w:rPr>
          <w:rFonts w:ascii="Book Antiqua" w:hAnsi="Book Antiqua"/>
        </w:rPr>
      </w:pPr>
    </w:p>
    <w:p w14:paraId="3D499253"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b/>
          <w:bCs/>
          <w:color w:val="000000"/>
        </w:rPr>
        <w:t xml:space="preserve">Christos Emmanouilides, </w:t>
      </w:r>
      <w:r w:rsidRPr="00436841">
        <w:rPr>
          <w:rFonts w:ascii="Book Antiqua" w:eastAsia="Book Antiqua" w:hAnsi="Book Antiqua" w:cs="Book Antiqua"/>
          <w:color w:val="000000"/>
        </w:rPr>
        <w:t>Department of Oncology, Interbalkan Medical Center, Thessaloniki 57001, Greece</w:t>
      </w:r>
    </w:p>
    <w:p w14:paraId="4A7F5D95" w14:textId="77777777" w:rsidR="00A77B3E" w:rsidRPr="00436841" w:rsidRDefault="00A77B3E" w:rsidP="00ED58D3">
      <w:pPr>
        <w:spacing w:line="360" w:lineRule="auto"/>
        <w:jc w:val="both"/>
        <w:rPr>
          <w:rFonts w:ascii="Book Antiqua" w:hAnsi="Book Antiqua"/>
        </w:rPr>
      </w:pPr>
    </w:p>
    <w:p w14:paraId="1335F865" w14:textId="5D4F287B"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b/>
          <w:bCs/>
          <w:color w:val="000000"/>
        </w:rPr>
        <w:t xml:space="preserve">Author contributions: </w:t>
      </w:r>
      <w:r w:rsidRPr="00436841">
        <w:rPr>
          <w:rFonts w:ascii="Book Antiqua" w:eastAsia="Book Antiqua" w:hAnsi="Book Antiqua" w:cs="Book Antiqua"/>
          <w:color w:val="000000"/>
        </w:rPr>
        <w:t xml:space="preserve">Fragkou </w:t>
      </w:r>
      <w:r w:rsidR="00E10A9E" w:rsidRPr="00436841">
        <w:rPr>
          <w:rFonts w:ascii="Book Antiqua" w:eastAsia="Book Antiqua" w:hAnsi="Book Antiqua" w:cs="Book Antiqua"/>
          <w:color w:val="000000"/>
        </w:rPr>
        <w:t xml:space="preserve">N </w:t>
      </w:r>
      <w:r w:rsidRPr="00436841">
        <w:rPr>
          <w:rFonts w:ascii="Book Antiqua" w:eastAsia="Book Antiqua" w:hAnsi="Book Antiqua" w:cs="Book Antiqua"/>
          <w:color w:val="000000"/>
        </w:rPr>
        <w:t>and Emmanouilides</w:t>
      </w:r>
      <w:r w:rsidR="00E10A9E" w:rsidRPr="00436841">
        <w:rPr>
          <w:rFonts w:ascii="Book Antiqua" w:eastAsia="Book Antiqua" w:hAnsi="Book Antiqua" w:cs="Book Antiqua"/>
          <w:color w:val="000000"/>
        </w:rPr>
        <w:t xml:space="preserve"> C</w:t>
      </w:r>
      <w:r w:rsidRPr="00436841">
        <w:rPr>
          <w:rFonts w:ascii="Book Antiqua" w:eastAsia="Book Antiqua" w:hAnsi="Book Antiqua" w:cs="Book Antiqua"/>
          <w:color w:val="000000"/>
        </w:rPr>
        <w:t xml:space="preserve"> drafted the article; Sideras </w:t>
      </w:r>
      <w:r w:rsidR="00E10A9E" w:rsidRPr="00436841">
        <w:rPr>
          <w:rFonts w:ascii="Book Antiqua" w:eastAsia="Book Antiqua" w:hAnsi="Book Antiqua" w:cs="Book Antiqua"/>
          <w:color w:val="000000"/>
        </w:rPr>
        <w:t xml:space="preserve">L </w:t>
      </w:r>
      <w:r w:rsidRPr="00436841">
        <w:rPr>
          <w:rFonts w:ascii="Book Antiqua" w:eastAsia="Book Antiqua" w:hAnsi="Book Antiqua" w:cs="Book Antiqua"/>
          <w:color w:val="000000"/>
        </w:rPr>
        <w:t xml:space="preserve">and Panas </w:t>
      </w:r>
      <w:r w:rsidR="00E10A9E" w:rsidRPr="00436841">
        <w:rPr>
          <w:rFonts w:ascii="Book Antiqua" w:eastAsia="Book Antiqua" w:hAnsi="Book Antiqua" w:cs="Book Antiqua"/>
          <w:color w:val="000000"/>
        </w:rPr>
        <w:t xml:space="preserve">P </w:t>
      </w:r>
      <w:r w:rsidRPr="00436841">
        <w:rPr>
          <w:rFonts w:ascii="Book Antiqua" w:eastAsia="Book Antiqua" w:hAnsi="Book Antiqua" w:cs="Book Antiqua"/>
          <w:color w:val="000000"/>
        </w:rPr>
        <w:t>contributed to the acquisition and analys</w:t>
      </w:r>
      <w:r w:rsidR="00436841" w:rsidRPr="00436841">
        <w:rPr>
          <w:rFonts w:ascii="Book Antiqua" w:eastAsia="Book Antiqua" w:hAnsi="Book Antiqua" w:cs="Book Antiqua"/>
          <w:color w:val="000000"/>
        </w:rPr>
        <w:t>e</w:t>
      </w:r>
      <w:r w:rsidRPr="00436841">
        <w:rPr>
          <w:rFonts w:ascii="Book Antiqua" w:eastAsia="Book Antiqua" w:hAnsi="Book Antiqua" w:cs="Book Antiqua"/>
          <w:color w:val="000000"/>
        </w:rPr>
        <w:t>s of data; Sinakos</w:t>
      </w:r>
      <w:r w:rsidR="00E10A9E" w:rsidRPr="00436841">
        <w:rPr>
          <w:rFonts w:ascii="Book Antiqua" w:eastAsia="Book Antiqua" w:hAnsi="Book Antiqua" w:cs="Book Antiqua"/>
          <w:color w:val="000000"/>
        </w:rPr>
        <w:t xml:space="preserve"> E</w:t>
      </w:r>
      <w:r w:rsidRPr="00436841">
        <w:rPr>
          <w:rFonts w:ascii="Book Antiqua" w:eastAsia="Book Antiqua" w:hAnsi="Book Antiqua" w:cs="Book Antiqua"/>
          <w:color w:val="000000"/>
        </w:rPr>
        <w:t xml:space="preserve"> designed the study, made critical revisions related to important intellectual content of the manuscript</w:t>
      </w:r>
      <w:r w:rsidR="00436841" w:rsidRPr="00436841">
        <w:rPr>
          <w:rFonts w:ascii="Book Antiqua" w:eastAsia="Book Antiqua" w:hAnsi="Book Antiqua" w:cs="Book Antiqua"/>
          <w:color w:val="000000"/>
        </w:rPr>
        <w:t>,</w:t>
      </w:r>
      <w:r w:rsidRPr="00436841">
        <w:rPr>
          <w:rFonts w:ascii="Book Antiqua" w:eastAsia="Book Antiqua" w:hAnsi="Book Antiqua" w:cs="Book Antiqua"/>
          <w:color w:val="000000"/>
        </w:rPr>
        <w:t xml:space="preserve"> and approved the final version of the study.</w:t>
      </w:r>
    </w:p>
    <w:p w14:paraId="1886F750" w14:textId="77777777" w:rsidR="00A77B3E" w:rsidRPr="00436841" w:rsidRDefault="00A77B3E" w:rsidP="00ED58D3">
      <w:pPr>
        <w:spacing w:line="360" w:lineRule="auto"/>
        <w:jc w:val="both"/>
        <w:rPr>
          <w:rFonts w:ascii="Book Antiqua" w:hAnsi="Book Antiqua"/>
        </w:rPr>
      </w:pPr>
    </w:p>
    <w:p w14:paraId="0CCA6985"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b/>
          <w:bCs/>
          <w:color w:val="000000"/>
        </w:rPr>
        <w:t xml:space="preserve">Corresponding author: Emmanouil Sinakos, MD, PhD, Assistant Professor, </w:t>
      </w:r>
      <w:r w:rsidRPr="00436841">
        <w:rPr>
          <w:rFonts w:ascii="Book Antiqua" w:eastAsia="Book Antiqua" w:hAnsi="Book Antiqua" w:cs="Book Antiqua"/>
          <w:color w:val="000000"/>
        </w:rPr>
        <w:t>Fourth Department of Internal Medicine, Aristotle University of Thessaloniki, Konstantinopoleos 49, Thessaloniki 54642, Greece. em_sinakos@yahoo.com</w:t>
      </w:r>
    </w:p>
    <w:p w14:paraId="4C3EC24C" w14:textId="77777777" w:rsidR="00A77B3E" w:rsidRPr="00436841" w:rsidRDefault="00A77B3E" w:rsidP="00ED58D3">
      <w:pPr>
        <w:spacing w:line="360" w:lineRule="auto"/>
        <w:jc w:val="both"/>
        <w:rPr>
          <w:rFonts w:ascii="Book Antiqua" w:hAnsi="Book Antiqua"/>
        </w:rPr>
      </w:pPr>
    </w:p>
    <w:p w14:paraId="1EB0B32E"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b/>
          <w:bCs/>
          <w:color w:val="000000"/>
        </w:rPr>
        <w:t xml:space="preserve">Received: </w:t>
      </w:r>
      <w:r w:rsidRPr="00436841">
        <w:rPr>
          <w:rFonts w:ascii="Book Antiqua" w:eastAsia="Book Antiqua" w:hAnsi="Book Antiqua" w:cs="Book Antiqua"/>
          <w:color w:val="000000"/>
        </w:rPr>
        <w:t>January 28, 2021</w:t>
      </w:r>
    </w:p>
    <w:p w14:paraId="7BD6AFD1"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b/>
          <w:bCs/>
          <w:color w:val="000000"/>
        </w:rPr>
        <w:t xml:space="preserve">Revised: </w:t>
      </w:r>
      <w:r w:rsidRPr="00436841">
        <w:rPr>
          <w:rFonts w:ascii="Book Antiqua" w:eastAsia="Book Antiqua" w:hAnsi="Book Antiqua" w:cs="Book Antiqua"/>
          <w:color w:val="000000"/>
        </w:rPr>
        <w:t>April 12, 2021</w:t>
      </w:r>
    </w:p>
    <w:p w14:paraId="7623E965"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b/>
          <w:bCs/>
          <w:color w:val="000000"/>
        </w:rPr>
        <w:lastRenderedPageBreak/>
        <w:t xml:space="preserve">Accepted: </w:t>
      </w:r>
      <w:bookmarkStart w:id="0" w:name="OLE_LINK15"/>
      <w:bookmarkStart w:id="1" w:name="OLE_LINK33"/>
      <w:bookmarkStart w:id="2" w:name="OLE_LINK48"/>
      <w:r w:rsidR="004174CA" w:rsidRPr="00436841">
        <w:rPr>
          <w:rFonts w:ascii="Book Antiqua" w:eastAsia="SimSun" w:hAnsi="Book Antiqua"/>
          <w:color w:val="000000" w:themeColor="text1"/>
        </w:rPr>
        <w:t>June 18, 2021</w:t>
      </w:r>
      <w:bookmarkEnd w:id="0"/>
      <w:bookmarkEnd w:id="1"/>
      <w:bookmarkEnd w:id="2"/>
    </w:p>
    <w:p w14:paraId="5ABDCD4A"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b/>
          <w:bCs/>
          <w:color w:val="000000"/>
        </w:rPr>
        <w:t xml:space="preserve">Published online: </w:t>
      </w:r>
    </w:p>
    <w:p w14:paraId="3E7964A1" w14:textId="77777777" w:rsidR="00A77B3E" w:rsidRPr="00436841" w:rsidRDefault="00A77B3E" w:rsidP="00ED58D3">
      <w:pPr>
        <w:spacing w:line="360" w:lineRule="auto"/>
        <w:jc w:val="both"/>
        <w:rPr>
          <w:rFonts w:ascii="Book Antiqua" w:hAnsi="Book Antiqua"/>
        </w:rPr>
        <w:sectPr w:rsidR="00A77B3E" w:rsidRPr="00436841">
          <w:footerReference w:type="default" r:id="rId7"/>
          <w:pgSz w:w="12240" w:h="15840"/>
          <w:pgMar w:top="1440" w:right="1440" w:bottom="1440" w:left="1440" w:header="720" w:footer="720" w:gutter="0"/>
          <w:cols w:space="720"/>
          <w:docGrid w:linePitch="360"/>
        </w:sectPr>
      </w:pPr>
    </w:p>
    <w:p w14:paraId="521638AC" w14:textId="77777777" w:rsidR="00A77B3E" w:rsidRPr="00326C94" w:rsidRDefault="0048774A" w:rsidP="00ED58D3">
      <w:pPr>
        <w:spacing w:line="360" w:lineRule="auto"/>
        <w:jc w:val="both"/>
        <w:rPr>
          <w:rFonts w:ascii="Book Antiqua" w:hAnsi="Book Antiqua"/>
        </w:rPr>
      </w:pPr>
      <w:r w:rsidRPr="00436841">
        <w:rPr>
          <w:rFonts w:ascii="Book Antiqua" w:eastAsia="Book Antiqua" w:hAnsi="Book Antiqua" w:cs="Book Antiqua"/>
          <w:b/>
          <w:color w:val="000000"/>
        </w:rPr>
        <w:lastRenderedPageBreak/>
        <w:t>Abstract</w:t>
      </w:r>
    </w:p>
    <w:p w14:paraId="39890390" w14:textId="75E2E529" w:rsidR="00A77B3E" w:rsidRPr="00326C94"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Intrahepatic cholangiocarcinoma (iCCA) is a subgroup of cholangiocarcinoma that accounts for about 10</w:t>
      </w:r>
      <w:r w:rsidR="00A10464" w:rsidRPr="00436841">
        <w:rPr>
          <w:rFonts w:ascii="Book Antiqua" w:eastAsia="Book Antiqua" w:hAnsi="Book Antiqua" w:cs="Book Antiqua"/>
          <w:color w:val="000000"/>
        </w:rPr>
        <w:t>%</w:t>
      </w:r>
      <w:r w:rsidRPr="00475777">
        <w:rPr>
          <w:rFonts w:ascii="Book Antiqua" w:eastAsia="Book Antiqua" w:hAnsi="Book Antiqua" w:cs="Book Antiqua"/>
          <w:color w:val="000000"/>
        </w:rPr>
        <w:t xml:space="preserve">-20% of the total cases. Infection with </w:t>
      </w:r>
      <w:r w:rsidR="00A10464" w:rsidRPr="002E0D71">
        <w:rPr>
          <w:rFonts w:ascii="Book Antiqua" w:eastAsia="Book Antiqua" w:hAnsi="Book Antiqua" w:cs="Book Antiqua"/>
          <w:color w:val="000000"/>
        </w:rPr>
        <w:t>h</w:t>
      </w:r>
      <w:r w:rsidRPr="002E0D71">
        <w:rPr>
          <w:rFonts w:ascii="Book Antiqua" w:eastAsia="Book Antiqua" w:hAnsi="Book Antiqua" w:cs="Book Antiqua"/>
          <w:color w:val="000000"/>
        </w:rPr>
        <w:t xml:space="preserve">epatitis B </w:t>
      </w:r>
      <w:r w:rsidR="00A10464" w:rsidRPr="00E110C5">
        <w:rPr>
          <w:rFonts w:ascii="Book Antiqua" w:eastAsia="Book Antiqua" w:hAnsi="Book Antiqua" w:cs="Book Antiqua"/>
          <w:color w:val="000000"/>
        </w:rPr>
        <w:t>v</w:t>
      </w:r>
      <w:r w:rsidRPr="00E110C5">
        <w:rPr>
          <w:rFonts w:ascii="Book Antiqua" w:eastAsia="Book Antiqua" w:hAnsi="Book Antiqua" w:cs="Book Antiqua"/>
          <w:color w:val="000000"/>
        </w:rPr>
        <w:t xml:space="preserve">irus (HBV) is one of the most important predisposing factors </w:t>
      </w:r>
      <w:r w:rsidRPr="00436841">
        <w:rPr>
          <w:rFonts w:ascii="Book Antiqua" w:eastAsia="Book Antiqua" w:hAnsi="Book Antiqua" w:cs="Book Antiqua"/>
          <w:color w:val="000000"/>
        </w:rPr>
        <w:t>lead</w:t>
      </w:r>
      <w:r w:rsidR="00436841">
        <w:rPr>
          <w:rFonts w:ascii="Book Antiqua" w:eastAsia="Book Antiqua" w:hAnsi="Book Antiqua" w:cs="Book Antiqua"/>
          <w:color w:val="000000"/>
        </w:rPr>
        <w:t>ing</w:t>
      </w:r>
      <w:r w:rsidRPr="00436841">
        <w:rPr>
          <w:rFonts w:ascii="Book Antiqua" w:eastAsia="Book Antiqua" w:hAnsi="Book Antiqua" w:cs="Book Antiqua"/>
          <w:color w:val="000000"/>
        </w:rPr>
        <w:t xml:space="preserve"> to the formation of iCCA. It has been recently estimated based on abundant epidemiological data that the association between HBV infection and iCCA is strong with an odds ratio of about 4.5. The HBV-associated mechanisms that lead to iCCA are under intense investigation. The diagnosis of iCCA in the context of chronic liver disease is challenging and often requires histologica</w:t>
      </w:r>
      <w:r w:rsidRPr="00326C94">
        <w:rPr>
          <w:rFonts w:ascii="Book Antiqua" w:eastAsia="Book Antiqua" w:hAnsi="Book Antiqua" w:cs="Book Antiqua"/>
          <w:color w:val="000000"/>
        </w:rPr>
        <w:t>l confirmation to distinguish from hepatocellular carcinoma. It is currently unclear whether antiviral treatment for HBV can decrease the incidence of iCCA. In terms of management, surgical resection remains the mainstay of treatment. There is a need for e</w:t>
      </w:r>
      <w:r w:rsidRPr="00146474">
        <w:rPr>
          <w:rFonts w:ascii="Book Antiqua" w:eastAsia="Book Antiqua" w:hAnsi="Book Antiqua" w:cs="Book Antiqua"/>
          <w:color w:val="000000"/>
        </w:rPr>
        <w:t xml:space="preserve">ffective treatment modalities beyond resection </w:t>
      </w:r>
      <w:r w:rsidR="00436841">
        <w:rPr>
          <w:rFonts w:ascii="Book Antiqua" w:eastAsia="Book Antiqua" w:hAnsi="Book Antiqua" w:cs="Book Antiqua"/>
          <w:color w:val="000000"/>
        </w:rPr>
        <w:t xml:space="preserve">in </w:t>
      </w:r>
      <w:r w:rsidRPr="00436841">
        <w:rPr>
          <w:rFonts w:ascii="Book Antiqua" w:eastAsia="Book Antiqua" w:hAnsi="Book Antiqua" w:cs="Book Antiqua"/>
          <w:color w:val="000000"/>
        </w:rPr>
        <w:t>both first</w:t>
      </w:r>
      <w:r w:rsidR="00436841">
        <w:rPr>
          <w:rFonts w:ascii="Book Antiqua" w:eastAsia="Book Antiqua" w:hAnsi="Book Antiqua" w:cs="Book Antiqua"/>
          <w:color w:val="000000"/>
        </w:rPr>
        <w:t>-</w:t>
      </w:r>
      <w:r w:rsidRPr="00436841">
        <w:rPr>
          <w:rFonts w:ascii="Book Antiqua" w:eastAsia="Book Antiqua" w:hAnsi="Book Antiqua" w:cs="Book Antiqua"/>
          <w:color w:val="000000"/>
        </w:rPr>
        <w:t xml:space="preserve"> and second</w:t>
      </w:r>
      <w:r w:rsidR="00436841">
        <w:rPr>
          <w:rFonts w:ascii="Book Antiqua" w:eastAsia="Book Antiqua" w:hAnsi="Book Antiqua" w:cs="Book Antiqua"/>
          <w:color w:val="000000"/>
        </w:rPr>
        <w:t>-</w:t>
      </w:r>
      <w:r w:rsidRPr="00436841">
        <w:rPr>
          <w:rFonts w:ascii="Book Antiqua" w:eastAsia="Book Antiqua" w:hAnsi="Book Antiqua" w:cs="Book Antiqua"/>
          <w:color w:val="000000"/>
        </w:rPr>
        <w:t>line treatment. In this review</w:t>
      </w:r>
      <w:r w:rsidR="00436841">
        <w:rPr>
          <w:rFonts w:ascii="Book Antiqua" w:eastAsia="Book Antiqua" w:hAnsi="Book Antiqua" w:cs="Book Antiqua"/>
          <w:color w:val="000000"/>
        </w:rPr>
        <w:t>,</w:t>
      </w:r>
      <w:r w:rsidRPr="00436841">
        <w:rPr>
          <w:rFonts w:ascii="Book Antiqua" w:eastAsia="Book Antiqua" w:hAnsi="Book Antiqua" w:cs="Book Antiqua"/>
          <w:color w:val="000000"/>
        </w:rPr>
        <w:t xml:space="preserve"> we summarize the epidemiological evidence that link</w:t>
      </w:r>
      <w:r w:rsidR="00436841">
        <w:rPr>
          <w:rFonts w:ascii="Book Antiqua" w:eastAsia="Book Antiqua" w:hAnsi="Book Antiqua" w:cs="Book Antiqua"/>
          <w:color w:val="000000"/>
        </w:rPr>
        <w:t>s</w:t>
      </w:r>
      <w:r w:rsidRPr="00436841">
        <w:rPr>
          <w:rFonts w:ascii="Book Antiqua" w:eastAsia="Book Antiqua" w:hAnsi="Book Antiqua" w:cs="Book Antiqua"/>
          <w:color w:val="000000"/>
        </w:rPr>
        <w:t xml:space="preserve"> the two entities, discuss the pathogenesis of HBV-associated iCCA</w:t>
      </w:r>
      <w:r w:rsidR="00436841">
        <w:rPr>
          <w:rFonts w:ascii="Book Antiqua" w:eastAsia="Book Antiqua" w:hAnsi="Book Antiqua" w:cs="Book Antiqua"/>
          <w:color w:val="000000"/>
        </w:rPr>
        <w:t>,</w:t>
      </w:r>
      <w:r w:rsidRPr="00436841">
        <w:rPr>
          <w:rFonts w:ascii="Book Antiqua" w:eastAsia="Book Antiqua" w:hAnsi="Book Antiqua" w:cs="Book Antiqua"/>
          <w:color w:val="000000"/>
        </w:rPr>
        <w:t xml:space="preserve"> and present the available data </w:t>
      </w:r>
      <w:r w:rsidR="004A0B84">
        <w:rPr>
          <w:rFonts w:ascii="Book Antiqua" w:eastAsia="Book Antiqua" w:hAnsi="Book Antiqua" w:cs="Book Antiqua"/>
          <w:color w:val="000000"/>
        </w:rPr>
        <w:t>on</w:t>
      </w:r>
      <w:r w:rsidRPr="00436841">
        <w:rPr>
          <w:rFonts w:ascii="Book Antiqua" w:eastAsia="Book Antiqua" w:hAnsi="Book Antiqua" w:cs="Book Antiqua"/>
          <w:color w:val="000000"/>
        </w:rPr>
        <w:t xml:space="preserve"> the diagnosis and management of this cancer.</w:t>
      </w:r>
    </w:p>
    <w:p w14:paraId="585A866D" w14:textId="77777777" w:rsidR="00A77B3E" w:rsidRPr="00436841" w:rsidRDefault="00A77B3E" w:rsidP="00ED58D3">
      <w:pPr>
        <w:spacing w:line="360" w:lineRule="auto"/>
        <w:jc w:val="both"/>
        <w:rPr>
          <w:rFonts w:ascii="Book Antiqua" w:hAnsi="Book Antiqua"/>
        </w:rPr>
      </w:pPr>
    </w:p>
    <w:p w14:paraId="23E3D8A5"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b/>
          <w:bCs/>
          <w:color w:val="000000"/>
        </w:rPr>
        <w:t xml:space="preserve">Key Words: </w:t>
      </w:r>
      <w:r w:rsidRPr="00436841">
        <w:rPr>
          <w:rFonts w:ascii="Book Antiqua" w:eastAsia="Book Antiqua" w:hAnsi="Book Antiqua" w:cs="Book Antiqua"/>
          <w:color w:val="000000"/>
        </w:rPr>
        <w:t>Cholangiocarcinoma; Hepatitis B; Intrahepatic; Hepatocellular carcinoma; Resection; Chemotherapy</w:t>
      </w:r>
    </w:p>
    <w:p w14:paraId="76FAEBA2" w14:textId="77777777" w:rsidR="00A77B3E" w:rsidRPr="00436841" w:rsidRDefault="00A77B3E" w:rsidP="00ED58D3">
      <w:pPr>
        <w:spacing w:line="360" w:lineRule="auto"/>
        <w:jc w:val="both"/>
        <w:rPr>
          <w:rFonts w:ascii="Book Antiqua" w:hAnsi="Book Antiqua"/>
        </w:rPr>
      </w:pPr>
    </w:p>
    <w:p w14:paraId="132EA0D0" w14:textId="1C7E3EF2" w:rsidR="00A77B3E" w:rsidRPr="00146474"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Fragkou N, Sideras L, Panas P, Emmanouilides C, Sinakos E. Update on the association of Hepatitis B </w:t>
      </w:r>
      <w:r w:rsidR="00436841">
        <w:rPr>
          <w:rFonts w:ascii="Book Antiqua" w:eastAsia="Book Antiqua" w:hAnsi="Book Antiqua" w:cs="Book Antiqua"/>
          <w:color w:val="000000"/>
        </w:rPr>
        <w:t>with</w:t>
      </w:r>
      <w:r w:rsidR="00436841" w:rsidRP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t xml:space="preserve">intrahepatic cholangiocarcinoma: </w:t>
      </w:r>
      <w:r w:rsidR="00A10464" w:rsidRPr="00436841">
        <w:rPr>
          <w:rFonts w:ascii="Book Antiqua" w:eastAsia="Book Antiqua" w:hAnsi="Book Antiqua" w:cs="Book Antiqua"/>
          <w:color w:val="000000"/>
        </w:rPr>
        <w:t>I</w:t>
      </w:r>
      <w:r w:rsidRPr="00436841">
        <w:rPr>
          <w:rFonts w:ascii="Book Antiqua" w:eastAsia="Book Antiqua" w:hAnsi="Book Antiqua" w:cs="Book Antiqua"/>
          <w:color w:val="000000"/>
        </w:rPr>
        <w:t xml:space="preserve">s there new evidence? </w:t>
      </w:r>
      <w:r w:rsidRPr="00436841">
        <w:rPr>
          <w:rFonts w:ascii="Book Antiqua" w:eastAsia="Book Antiqua" w:hAnsi="Book Antiqua" w:cs="Book Antiqua"/>
          <w:i/>
          <w:iCs/>
          <w:color w:val="000000"/>
        </w:rPr>
        <w:t>World J Gastroenterol</w:t>
      </w:r>
      <w:r w:rsidRPr="00326C94">
        <w:rPr>
          <w:rFonts w:ascii="Book Antiqua" w:eastAsia="Book Antiqua" w:hAnsi="Book Antiqua" w:cs="Book Antiqua"/>
          <w:color w:val="000000"/>
        </w:rPr>
        <w:t xml:space="preserve"> 2021; In press</w:t>
      </w:r>
    </w:p>
    <w:p w14:paraId="7EDC01E2" w14:textId="77777777" w:rsidR="00A77B3E" w:rsidRPr="00436841" w:rsidRDefault="00A77B3E" w:rsidP="00ED58D3">
      <w:pPr>
        <w:spacing w:line="360" w:lineRule="auto"/>
        <w:jc w:val="both"/>
        <w:rPr>
          <w:rFonts w:ascii="Book Antiqua" w:hAnsi="Book Antiqua"/>
        </w:rPr>
      </w:pPr>
    </w:p>
    <w:p w14:paraId="59412F64" w14:textId="6631537E"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b/>
          <w:bCs/>
          <w:color w:val="000000"/>
        </w:rPr>
        <w:t xml:space="preserve">Core Tip: </w:t>
      </w:r>
      <w:r w:rsidRPr="00436841">
        <w:rPr>
          <w:rFonts w:ascii="Book Antiqua" w:eastAsia="Book Antiqua" w:hAnsi="Book Antiqua" w:cs="Book Antiqua"/>
          <w:color w:val="000000"/>
        </w:rPr>
        <w:t xml:space="preserve">Cholangiocarcinoma (CCA) is the second most </w:t>
      </w:r>
      <w:r w:rsidR="00436841">
        <w:rPr>
          <w:rFonts w:ascii="Book Antiqua" w:eastAsia="Book Antiqua" w:hAnsi="Book Antiqua" w:cs="Book Antiqua"/>
          <w:color w:val="000000"/>
        </w:rPr>
        <w:t>common</w:t>
      </w:r>
      <w:r w:rsidR="00436841" w:rsidRP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t xml:space="preserve">primary liver cancer. Intrahepatic </w:t>
      </w:r>
      <w:r w:rsidR="00A10464" w:rsidRPr="00326C94">
        <w:rPr>
          <w:rFonts w:ascii="Book Antiqua" w:eastAsia="Book Antiqua" w:hAnsi="Book Antiqua" w:cs="Book Antiqua"/>
          <w:color w:val="000000"/>
        </w:rPr>
        <w:t>CCA</w:t>
      </w:r>
      <w:r w:rsidRPr="00146474">
        <w:rPr>
          <w:rFonts w:ascii="Book Antiqua" w:eastAsia="Book Antiqua" w:hAnsi="Book Antiqua" w:cs="Book Antiqua"/>
          <w:color w:val="000000"/>
        </w:rPr>
        <w:t xml:space="preserve"> </w:t>
      </w:r>
      <w:r w:rsidR="00A10464" w:rsidRPr="00146474">
        <w:rPr>
          <w:rFonts w:ascii="Book Antiqua" w:eastAsia="Book Antiqua" w:hAnsi="Book Antiqua" w:cs="Book Antiqua"/>
          <w:color w:val="000000"/>
        </w:rPr>
        <w:t>(</w:t>
      </w:r>
      <w:r w:rsidRPr="00146474">
        <w:rPr>
          <w:rFonts w:ascii="Book Antiqua" w:eastAsia="Book Antiqua" w:hAnsi="Book Antiqua" w:cs="Book Antiqua"/>
          <w:color w:val="000000"/>
        </w:rPr>
        <w:t xml:space="preserve">iCCA), a subgroup of CCA, has a pronounced association with </w:t>
      </w:r>
      <w:r w:rsidR="00F17193" w:rsidRPr="00436841">
        <w:rPr>
          <w:rFonts w:ascii="Book Antiqua" w:eastAsia="Book Antiqua" w:hAnsi="Book Antiqua" w:cs="Book Antiqua"/>
          <w:color w:val="000000"/>
        </w:rPr>
        <w:t>h</w:t>
      </w:r>
      <w:r w:rsidRPr="00436841">
        <w:rPr>
          <w:rFonts w:ascii="Book Antiqua" w:eastAsia="Book Antiqua" w:hAnsi="Book Antiqua" w:cs="Book Antiqua"/>
          <w:color w:val="000000"/>
        </w:rPr>
        <w:t xml:space="preserve">epatitis B virus (HBV) infection. Recent data have strengthened this association both in terms of epidemiology and pathogenesis. Moreover, the potential for the development of the combined hepatocellular-cholangiocarcinoma form poses additional difficulties in the successful management of iCCA. </w:t>
      </w:r>
      <w:r w:rsidR="00436841">
        <w:rPr>
          <w:rFonts w:ascii="Book Antiqua" w:eastAsia="Book Antiqua" w:hAnsi="Book Antiqua" w:cs="Book Antiqua"/>
          <w:color w:val="000000"/>
        </w:rPr>
        <w:t>Herein, w</w:t>
      </w:r>
      <w:r w:rsidRPr="00436841">
        <w:rPr>
          <w:rFonts w:ascii="Book Antiqua" w:eastAsia="Book Antiqua" w:hAnsi="Book Antiqua" w:cs="Book Antiqua"/>
          <w:color w:val="000000"/>
        </w:rPr>
        <w:t>e discuss the available epidemiological data, present the current knowledge on the pathogenesis of HBV-</w:t>
      </w:r>
      <w:r w:rsidRPr="00436841">
        <w:rPr>
          <w:rFonts w:ascii="Book Antiqua" w:eastAsia="Book Antiqua" w:hAnsi="Book Antiqua" w:cs="Book Antiqua"/>
          <w:color w:val="000000"/>
        </w:rPr>
        <w:lastRenderedPageBreak/>
        <w:t>associated iCCA</w:t>
      </w:r>
      <w:r w:rsidR="00436841">
        <w:rPr>
          <w:rFonts w:ascii="Book Antiqua" w:eastAsia="Book Antiqua" w:hAnsi="Book Antiqua" w:cs="Book Antiqua"/>
          <w:color w:val="000000"/>
        </w:rPr>
        <w:t>,</w:t>
      </w:r>
      <w:r w:rsidRPr="00436841">
        <w:rPr>
          <w:rFonts w:ascii="Book Antiqua" w:eastAsia="Book Antiqua" w:hAnsi="Book Antiqua" w:cs="Book Antiqua"/>
          <w:color w:val="000000"/>
        </w:rPr>
        <w:t xml:space="preserve"> and review all </w:t>
      </w:r>
      <w:r w:rsidR="00436841">
        <w:rPr>
          <w:rFonts w:ascii="Book Antiqua" w:eastAsia="Book Antiqua" w:hAnsi="Book Antiqua" w:cs="Book Antiqua"/>
          <w:color w:val="000000"/>
        </w:rPr>
        <w:t xml:space="preserve">of </w:t>
      </w:r>
      <w:r w:rsidRPr="00436841">
        <w:rPr>
          <w:rFonts w:ascii="Book Antiqua" w:eastAsia="Book Antiqua" w:hAnsi="Book Antiqua" w:cs="Book Antiqua"/>
          <w:color w:val="000000"/>
        </w:rPr>
        <w:t xml:space="preserve">the available information </w:t>
      </w:r>
      <w:r w:rsidR="00436841">
        <w:rPr>
          <w:rFonts w:ascii="Book Antiqua" w:eastAsia="Book Antiqua" w:hAnsi="Book Antiqua" w:cs="Book Antiqua"/>
          <w:color w:val="000000"/>
        </w:rPr>
        <w:t>on</w:t>
      </w:r>
      <w:r w:rsidR="00436841" w:rsidRP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t>the diagnosis and management of this aggressive cancer.</w:t>
      </w:r>
    </w:p>
    <w:p w14:paraId="34C3E592" w14:textId="77777777" w:rsidR="00A77B3E" w:rsidRPr="00326C94" w:rsidRDefault="00A77B3E" w:rsidP="00ED58D3">
      <w:pPr>
        <w:spacing w:line="360" w:lineRule="auto"/>
        <w:jc w:val="both"/>
        <w:rPr>
          <w:rFonts w:ascii="Book Antiqua" w:hAnsi="Book Antiqua"/>
        </w:rPr>
      </w:pPr>
    </w:p>
    <w:p w14:paraId="5A4AEE80" w14:textId="77777777" w:rsidR="00A77B3E" w:rsidRPr="00436841" w:rsidRDefault="00316AB4" w:rsidP="00ED58D3">
      <w:pPr>
        <w:spacing w:line="360" w:lineRule="auto"/>
        <w:jc w:val="both"/>
        <w:rPr>
          <w:rFonts w:ascii="Book Antiqua" w:hAnsi="Book Antiqua"/>
        </w:rPr>
      </w:pPr>
      <w:r w:rsidRPr="00436841">
        <w:rPr>
          <w:rFonts w:ascii="Book Antiqua" w:eastAsia="Book Antiqua" w:hAnsi="Book Antiqua" w:cs="Book Antiqua"/>
          <w:b/>
          <w:caps/>
          <w:color w:val="000000"/>
          <w:u w:val="single"/>
        </w:rPr>
        <w:br w:type="page"/>
      </w:r>
      <w:r w:rsidR="0048774A" w:rsidRPr="00436841">
        <w:rPr>
          <w:rFonts w:ascii="Book Antiqua" w:eastAsia="Book Antiqua" w:hAnsi="Book Antiqua" w:cs="Book Antiqua"/>
          <w:b/>
          <w:caps/>
          <w:color w:val="000000"/>
          <w:u w:val="single"/>
        </w:rPr>
        <w:lastRenderedPageBreak/>
        <w:t>INTRODUCTION</w:t>
      </w:r>
    </w:p>
    <w:p w14:paraId="07AC83E3" w14:textId="0EA3855E"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A 61-year-old woman with compensated liver cirrhosis due to chronic hepatitis B (CHB) present</w:t>
      </w:r>
      <w:r w:rsidR="00436841">
        <w:rPr>
          <w:rFonts w:ascii="Book Antiqua" w:eastAsia="Book Antiqua" w:hAnsi="Book Antiqua" w:cs="Book Antiqua"/>
          <w:color w:val="000000"/>
        </w:rPr>
        <w:t>ed</w:t>
      </w:r>
      <w:r w:rsidRPr="00436841">
        <w:rPr>
          <w:rFonts w:ascii="Book Antiqua" w:eastAsia="Book Antiqua" w:hAnsi="Book Antiqua" w:cs="Book Antiqua"/>
          <w:color w:val="000000"/>
        </w:rPr>
        <w:t xml:space="preserve"> to the outpatient clinic of our hospital for her semi-annual evaluation. She had started antiviral treatment with entecavir (0.5 mg </w:t>
      </w:r>
      <w:r w:rsidR="00DA7CC7" w:rsidRPr="00D866CC">
        <w:rPr>
          <w:rFonts w:ascii="Book Antiqua" w:eastAsia="Book Antiqua" w:hAnsi="Book Antiqua" w:cs="Book Antiqua"/>
          <w:color w:val="000000"/>
        </w:rPr>
        <w:t>per</w:t>
      </w:r>
      <w:r w:rsidRPr="00E110C5">
        <w:rPr>
          <w:rFonts w:ascii="Book Antiqua" w:eastAsia="Book Antiqua" w:hAnsi="Book Antiqua" w:cs="Book Antiqua"/>
          <w:color w:val="000000"/>
        </w:rPr>
        <w:t xml:space="preserve"> day) approximately </w:t>
      </w:r>
      <w:r w:rsidR="00436841">
        <w:rPr>
          <w:rFonts w:ascii="Book Antiqua" w:eastAsia="Book Antiqua" w:hAnsi="Book Antiqua" w:cs="Book Antiqua"/>
          <w:color w:val="000000"/>
        </w:rPr>
        <w:t>2</w:t>
      </w:r>
      <w:r w:rsidR="00436841" w:rsidRP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t xml:space="preserve">years </w:t>
      </w:r>
      <w:r w:rsidR="00436841">
        <w:rPr>
          <w:rFonts w:ascii="Book Antiqua" w:eastAsia="Book Antiqua" w:hAnsi="Book Antiqua" w:cs="Book Antiqua"/>
          <w:color w:val="000000"/>
        </w:rPr>
        <w:t>prior</w:t>
      </w:r>
      <w:r w:rsidRPr="00436841">
        <w:rPr>
          <w:rFonts w:ascii="Book Antiqua" w:eastAsia="Book Antiqua" w:hAnsi="Book Antiqua" w:cs="Book Antiqua"/>
          <w:color w:val="000000"/>
        </w:rPr>
        <w:t>. Her family history is significant for hepatocellular carcinoma (HCC)</w:t>
      </w:r>
      <w:r w:rsidR="00436841">
        <w:rPr>
          <w:rFonts w:ascii="Book Antiqua" w:eastAsia="Book Antiqua" w:hAnsi="Book Antiqua" w:cs="Book Antiqua"/>
          <w:color w:val="000000"/>
        </w:rPr>
        <w:t xml:space="preserve">, as </w:t>
      </w:r>
      <w:r w:rsidRPr="00436841">
        <w:rPr>
          <w:rFonts w:ascii="Book Antiqua" w:eastAsia="Book Antiqua" w:hAnsi="Book Antiqua" w:cs="Book Antiqua"/>
          <w:color w:val="000000"/>
        </w:rPr>
        <w:t>her twin brother</w:t>
      </w:r>
      <w:r w:rsid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t xml:space="preserve">also suffered from liver cirrhosis due to CHB. On physical examination, no signs of liver decompensation </w:t>
      </w:r>
      <w:r w:rsidR="00436841">
        <w:rPr>
          <w:rFonts w:ascii="Book Antiqua" w:eastAsia="Book Antiqua" w:hAnsi="Book Antiqua" w:cs="Book Antiqua"/>
          <w:color w:val="000000"/>
        </w:rPr>
        <w:t>were</w:t>
      </w:r>
      <w:r w:rsidR="00436841" w:rsidRP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t xml:space="preserve">detected. Her liver synthetic function and alpha fetoprotein (aFP) value </w:t>
      </w:r>
      <w:r w:rsidR="00436841">
        <w:rPr>
          <w:rFonts w:ascii="Book Antiqua" w:eastAsia="Book Antiqua" w:hAnsi="Book Antiqua" w:cs="Book Antiqua"/>
          <w:color w:val="000000"/>
        </w:rPr>
        <w:t>were</w:t>
      </w:r>
      <w:r w:rsidRPr="00436841">
        <w:rPr>
          <w:rFonts w:ascii="Book Antiqua" w:eastAsia="Book Antiqua" w:hAnsi="Book Antiqua" w:cs="Book Antiqua"/>
          <w:color w:val="000000"/>
        </w:rPr>
        <w:t xml:space="preserve"> completely normal. However, a small (1.8 cm) liver nodule with arterial enhancement </w:t>
      </w:r>
      <w:r w:rsidR="00436841">
        <w:rPr>
          <w:rFonts w:ascii="Book Antiqua" w:eastAsia="Book Antiqua" w:hAnsi="Book Antiqua" w:cs="Book Antiqua"/>
          <w:color w:val="000000"/>
        </w:rPr>
        <w:t>was</w:t>
      </w:r>
      <w:r w:rsidR="00436841" w:rsidRP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t>discovered in the left hepatic lobe during magnetic resonance imaging (MRI) (Figure 1). Hence, the patient underwent left hepatectomy without complications. Surprisingly, histological examination of the surgical specimen revealed a definite intrahepatic cholangiocarcinoma (CCA) (Figure 2).</w:t>
      </w:r>
    </w:p>
    <w:p w14:paraId="004C57B6" w14:textId="3CB5AFF9" w:rsidR="006B6B7F" w:rsidRDefault="0048774A" w:rsidP="00D866CC">
      <w:pPr>
        <w:spacing w:line="360" w:lineRule="auto"/>
        <w:ind w:firstLineChars="112" w:firstLine="269"/>
        <w:jc w:val="both"/>
        <w:rPr>
          <w:rFonts w:ascii="Book Antiqua" w:hAnsi="Book Antiqua"/>
        </w:rPr>
      </w:pPr>
      <w:r w:rsidRPr="004A0B84">
        <w:rPr>
          <w:rFonts w:ascii="Book Antiqua" w:eastAsia="Book Antiqua" w:hAnsi="Book Antiqua" w:cs="Book Antiqua"/>
          <w:color w:val="000000"/>
        </w:rPr>
        <w:t xml:space="preserve">This case vignette highlights the possible association between hepatitis B virus (HBV) infection and </w:t>
      </w:r>
      <w:r w:rsidR="00C24F0F" w:rsidRPr="004A0B84">
        <w:rPr>
          <w:rFonts w:ascii="Book Antiqua" w:eastAsia="Book Antiqua" w:hAnsi="Book Antiqua" w:cs="Book Antiqua"/>
          <w:color w:val="000000"/>
        </w:rPr>
        <w:t>intrahepatic CCA (iCCA)</w:t>
      </w:r>
      <w:r w:rsidRPr="004A0B84">
        <w:rPr>
          <w:rFonts w:ascii="Book Antiqua" w:eastAsia="Book Antiqua" w:hAnsi="Book Antiqua" w:cs="Book Antiqua"/>
          <w:color w:val="000000"/>
        </w:rPr>
        <w:t>. iCCA is a subgroup of CCA that accounts for about 10</w:t>
      </w:r>
      <w:r w:rsidR="00C24F0F" w:rsidRPr="004A0B84">
        <w:rPr>
          <w:rFonts w:ascii="Book Antiqua" w:eastAsia="Book Antiqua" w:hAnsi="Book Antiqua" w:cs="Book Antiqua"/>
          <w:color w:val="000000"/>
        </w:rPr>
        <w:t>%</w:t>
      </w:r>
      <w:r w:rsidRPr="004A0B84">
        <w:rPr>
          <w:rFonts w:ascii="Book Antiqua" w:eastAsia="Book Antiqua" w:hAnsi="Book Antiqua" w:cs="Book Antiqua"/>
          <w:color w:val="000000"/>
        </w:rPr>
        <w:t>-20% of the total cases and classically arise</w:t>
      </w:r>
      <w:r w:rsidR="004A0B84">
        <w:rPr>
          <w:rFonts w:ascii="Book Antiqua" w:eastAsia="Book Antiqua" w:hAnsi="Book Antiqua" w:cs="Book Antiqua"/>
          <w:color w:val="000000"/>
        </w:rPr>
        <w:t>s</w:t>
      </w:r>
      <w:r w:rsidRPr="004A0B84">
        <w:rPr>
          <w:rFonts w:ascii="Book Antiqua" w:eastAsia="Book Antiqua" w:hAnsi="Book Antiqua" w:cs="Book Antiqua"/>
          <w:color w:val="000000"/>
        </w:rPr>
        <w:t xml:space="preserve"> above the second-order bile ducts</w:t>
      </w:r>
      <w:r w:rsidRPr="004A0B84">
        <w:rPr>
          <w:rFonts w:ascii="Book Antiqua" w:eastAsia="Book Antiqua" w:hAnsi="Book Antiqua" w:cs="Book Antiqua"/>
          <w:color w:val="000000"/>
          <w:vertAlign w:val="superscript"/>
        </w:rPr>
        <w:t>[1]</w:t>
      </w:r>
      <w:r w:rsidRPr="004A0B84">
        <w:rPr>
          <w:rFonts w:ascii="Book Antiqua" w:eastAsia="Book Antiqua" w:hAnsi="Book Antiqua" w:cs="Book Antiqua"/>
          <w:color w:val="000000"/>
        </w:rPr>
        <w:t xml:space="preserve">. iCCA </w:t>
      </w:r>
      <w:r w:rsidR="004A0B84">
        <w:rPr>
          <w:rFonts w:ascii="Book Antiqua" w:eastAsia="Book Antiqua" w:hAnsi="Book Antiqua" w:cs="Book Antiqua"/>
          <w:color w:val="000000"/>
        </w:rPr>
        <w:t>was</w:t>
      </w:r>
      <w:r w:rsidR="004A0B84" w:rsidRPr="004A0B84">
        <w:rPr>
          <w:rFonts w:ascii="Book Antiqua" w:eastAsia="Book Antiqua" w:hAnsi="Book Antiqua" w:cs="Book Antiqua"/>
          <w:color w:val="000000"/>
        </w:rPr>
        <w:t xml:space="preserve"> </w:t>
      </w:r>
      <w:r w:rsidRPr="004A0B84">
        <w:rPr>
          <w:rFonts w:ascii="Book Antiqua" w:eastAsia="Book Antiqua" w:hAnsi="Book Antiqua" w:cs="Book Antiqua"/>
          <w:color w:val="000000"/>
        </w:rPr>
        <w:t xml:space="preserve">recently recognized as a distinct entity </w:t>
      </w:r>
      <w:r w:rsidR="004A0B84">
        <w:rPr>
          <w:rFonts w:ascii="Book Antiqua" w:eastAsia="Book Antiqua" w:hAnsi="Book Antiqua" w:cs="Book Antiqua"/>
          <w:color w:val="000000"/>
        </w:rPr>
        <w:t>o</w:t>
      </w:r>
      <w:r w:rsidRPr="004A0B84">
        <w:rPr>
          <w:rFonts w:ascii="Book Antiqua" w:eastAsia="Book Antiqua" w:hAnsi="Book Antiqua" w:cs="Book Antiqua"/>
          <w:color w:val="000000"/>
        </w:rPr>
        <w:t>pposed to the extrahepatic type of CCA (eCCA)</w:t>
      </w:r>
      <w:r w:rsidRPr="004A0B84">
        <w:rPr>
          <w:rFonts w:ascii="Book Antiqua" w:eastAsia="Book Antiqua" w:hAnsi="Book Antiqua" w:cs="Book Antiqua"/>
          <w:color w:val="000000"/>
          <w:vertAlign w:val="superscript"/>
        </w:rPr>
        <w:t>[2]</w:t>
      </w:r>
      <w:r w:rsidRPr="004A0B84">
        <w:rPr>
          <w:rFonts w:ascii="Book Antiqua" w:eastAsia="Book Antiqua" w:hAnsi="Book Antiqua" w:cs="Book Antiqua"/>
          <w:color w:val="000000"/>
        </w:rPr>
        <w:t xml:space="preserve">. Several predisposing factors that contribute to the development of CCA have been described. A recent meta-analysis clearly showed that the degree to which these risk factors are associated with the development of this cancer significantly </w:t>
      </w:r>
      <w:r w:rsidR="004A0B84">
        <w:rPr>
          <w:rFonts w:ascii="Book Antiqua" w:eastAsia="Book Antiqua" w:hAnsi="Book Antiqua" w:cs="Book Antiqua"/>
          <w:color w:val="000000"/>
        </w:rPr>
        <w:t xml:space="preserve">differ </w:t>
      </w:r>
      <w:r w:rsidRPr="004A0B84">
        <w:rPr>
          <w:rFonts w:ascii="Book Antiqua" w:eastAsia="Book Antiqua" w:hAnsi="Book Antiqua" w:cs="Book Antiqua"/>
          <w:color w:val="000000"/>
        </w:rPr>
        <w:t>according to the</w:t>
      </w:r>
      <w:r w:rsidR="004A0B84">
        <w:rPr>
          <w:rFonts w:ascii="Book Antiqua" w:eastAsia="Book Antiqua" w:hAnsi="Book Antiqua" w:cs="Book Antiqua"/>
          <w:color w:val="000000"/>
        </w:rPr>
        <w:t xml:space="preserve"> tumor</w:t>
      </w:r>
      <w:r w:rsidRPr="004A0B84">
        <w:rPr>
          <w:rFonts w:ascii="Book Antiqua" w:eastAsia="Book Antiqua" w:hAnsi="Book Antiqua" w:cs="Book Antiqua"/>
          <w:color w:val="000000"/>
        </w:rPr>
        <w:t xml:space="preserve"> location</w:t>
      </w:r>
      <w:r w:rsidRPr="004A0B84">
        <w:rPr>
          <w:rFonts w:ascii="Book Antiqua" w:eastAsia="Book Antiqua" w:hAnsi="Book Antiqua" w:cs="Book Antiqua"/>
          <w:color w:val="000000"/>
          <w:vertAlign w:val="superscript"/>
        </w:rPr>
        <w:t>[3]</w:t>
      </w:r>
      <w:r w:rsidRPr="004A0B84">
        <w:rPr>
          <w:rFonts w:ascii="Book Antiqua" w:eastAsia="Book Antiqua" w:hAnsi="Book Antiqua" w:cs="Book Antiqua"/>
          <w:color w:val="000000"/>
        </w:rPr>
        <w:t xml:space="preserve">. Specifically for HBV infection, the odds ratio (OR) for the development of CCA </w:t>
      </w:r>
      <w:r w:rsidR="004A0B84">
        <w:rPr>
          <w:rFonts w:ascii="Book Antiqua" w:eastAsia="Book Antiqua" w:hAnsi="Book Antiqua" w:cs="Book Antiqua"/>
          <w:color w:val="000000"/>
        </w:rPr>
        <w:t>i</w:t>
      </w:r>
      <w:r w:rsidR="004A0B84" w:rsidRPr="004A0B84">
        <w:rPr>
          <w:rFonts w:ascii="Book Antiqua" w:eastAsia="Book Antiqua" w:hAnsi="Book Antiqua" w:cs="Book Antiqua"/>
          <w:color w:val="000000"/>
        </w:rPr>
        <w:t xml:space="preserve">s </w:t>
      </w:r>
      <w:r w:rsidRPr="004A0B84">
        <w:rPr>
          <w:rFonts w:ascii="Book Antiqua" w:eastAsia="Book Antiqua" w:hAnsi="Book Antiqua" w:cs="Book Antiqua"/>
          <w:color w:val="000000"/>
        </w:rPr>
        <w:t xml:space="preserve">much greater for iCCA than for eCCA (4.57 </w:t>
      </w:r>
      <w:r w:rsidRPr="004A0B84">
        <w:rPr>
          <w:rFonts w:ascii="Book Antiqua" w:eastAsia="Book Antiqua" w:hAnsi="Book Antiqua" w:cs="Book Antiqua"/>
          <w:i/>
          <w:iCs/>
          <w:color w:val="000000"/>
        </w:rPr>
        <w:t>vs</w:t>
      </w:r>
      <w:r w:rsidRPr="004A0B84">
        <w:rPr>
          <w:rFonts w:ascii="Book Antiqua" w:eastAsia="Book Antiqua" w:hAnsi="Book Antiqua" w:cs="Book Antiqua"/>
          <w:color w:val="000000"/>
        </w:rPr>
        <w:t xml:space="preserve"> 2.11). In view of these findings, several questions regarding this association arise</w:t>
      </w:r>
      <w:r w:rsidR="004A0B84">
        <w:rPr>
          <w:rFonts w:ascii="Book Antiqua" w:eastAsia="Book Antiqua" w:hAnsi="Book Antiqua" w:cs="Book Antiqua"/>
          <w:color w:val="000000"/>
        </w:rPr>
        <w:t xml:space="preserve"> such as</w:t>
      </w:r>
      <w:r w:rsidRPr="004A0B84">
        <w:rPr>
          <w:rFonts w:ascii="Book Antiqua" w:eastAsia="Book Antiqua" w:hAnsi="Book Antiqua" w:cs="Book Antiqua"/>
          <w:color w:val="000000"/>
        </w:rPr>
        <w:t xml:space="preserve"> </w:t>
      </w:r>
      <w:r w:rsidR="004A0B84">
        <w:rPr>
          <w:rFonts w:ascii="Book Antiqua" w:eastAsia="Book Antiqua" w:hAnsi="Book Antiqua" w:cs="Book Antiqua"/>
          <w:color w:val="000000"/>
        </w:rPr>
        <w:t>h</w:t>
      </w:r>
      <w:r w:rsidRPr="004A0B84">
        <w:rPr>
          <w:rFonts w:ascii="Book Antiqua" w:eastAsia="Book Antiqua" w:hAnsi="Book Antiqua" w:cs="Book Antiqua"/>
          <w:color w:val="000000"/>
        </w:rPr>
        <w:t>ow accurately can we distinguish between HCC and iCCA; what are the mechanisms that lead to the formation of iCCA</w:t>
      </w:r>
      <w:r w:rsidR="004A0B84">
        <w:rPr>
          <w:rFonts w:ascii="Book Antiqua" w:eastAsia="Book Antiqua" w:hAnsi="Book Antiqua" w:cs="Book Antiqua"/>
          <w:color w:val="000000"/>
        </w:rPr>
        <w:t>;</w:t>
      </w:r>
      <w:r w:rsidRPr="004A0B84">
        <w:rPr>
          <w:rFonts w:ascii="Book Antiqua" w:eastAsia="Book Antiqua" w:hAnsi="Book Antiqua" w:cs="Book Antiqua"/>
          <w:color w:val="000000"/>
        </w:rPr>
        <w:t xml:space="preserve"> </w:t>
      </w:r>
      <w:r w:rsidR="004A0B84">
        <w:rPr>
          <w:rFonts w:ascii="Book Antiqua" w:eastAsia="Book Antiqua" w:hAnsi="Book Antiqua" w:cs="Book Antiqua"/>
          <w:color w:val="000000"/>
        </w:rPr>
        <w:t xml:space="preserve">is </w:t>
      </w:r>
      <w:r w:rsidRPr="004A0B84">
        <w:rPr>
          <w:rFonts w:ascii="Book Antiqua" w:eastAsia="Book Antiqua" w:hAnsi="Book Antiqua" w:cs="Book Antiqua"/>
          <w:color w:val="000000"/>
        </w:rPr>
        <w:t>there is a specific role for HBV</w:t>
      </w:r>
      <w:r w:rsidR="004A0B84">
        <w:rPr>
          <w:rFonts w:ascii="Book Antiqua" w:eastAsia="Book Antiqua" w:hAnsi="Book Antiqua" w:cs="Book Antiqua"/>
          <w:color w:val="000000"/>
        </w:rPr>
        <w:t xml:space="preserve"> in iCCA;</w:t>
      </w:r>
      <w:r w:rsidRPr="004A0B84">
        <w:rPr>
          <w:rFonts w:ascii="Book Antiqua" w:eastAsia="Book Antiqua" w:hAnsi="Book Antiqua" w:cs="Book Antiqua"/>
          <w:color w:val="000000"/>
        </w:rPr>
        <w:t xml:space="preserve"> and finally</w:t>
      </w:r>
      <w:r w:rsidR="004A0B84">
        <w:rPr>
          <w:rFonts w:ascii="Book Antiqua" w:eastAsia="Book Antiqua" w:hAnsi="Book Antiqua" w:cs="Book Antiqua"/>
          <w:color w:val="000000"/>
        </w:rPr>
        <w:t>,</w:t>
      </w:r>
      <w:r w:rsidRPr="004A0B84">
        <w:rPr>
          <w:rFonts w:ascii="Book Antiqua" w:eastAsia="Book Antiqua" w:hAnsi="Book Antiqua" w:cs="Book Antiqua"/>
          <w:color w:val="000000"/>
        </w:rPr>
        <w:t xml:space="preserve"> </w:t>
      </w:r>
      <w:r w:rsidR="004A0B84">
        <w:rPr>
          <w:rFonts w:ascii="Book Antiqua" w:eastAsia="Book Antiqua" w:hAnsi="Book Antiqua" w:cs="Book Antiqua"/>
          <w:color w:val="000000"/>
        </w:rPr>
        <w:t>can</w:t>
      </w:r>
      <w:r w:rsidRPr="004A0B84">
        <w:rPr>
          <w:rFonts w:ascii="Book Antiqua" w:eastAsia="Book Antiqua" w:hAnsi="Book Antiqua" w:cs="Book Antiqua"/>
          <w:color w:val="000000"/>
        </w:rPr>
        <w:t xml:space="preserve"> antiviral treatment against HBV reduce the incidence of iCCA. In this review</w:t>
      </w:r>
      <w:r w:rsidR="004A0B84">
        <w:rPr>
          <w:rFonts w:ascii="Book Antiqua" w:eastAsia="Book Antiqua" w:hAnsi="Book Antiqua" w:cs="Book Antiqua"/>
          <w:color w:val="000000"/>
        </w:rPr>
        <w:t>,</w:t>
      </w:r>
      <w:r w:rsidRPr="004A0B84">
        <w:rPr>
          <w:rFonts w:ascii="Book Antiqua" w:eastAsia="Book Antiqua" w:hAnsi="Book Antiqua" w:cs="Book Antiqua"/>
          <w:color w:val="000000"/>
        </w:rPr>
        <w:t xml:space="preserve"> we summarize the epidemiological evidence that link</w:t>
      </w:r>
      <w:r w:rsidR="004A0B84">
        <w:rPr>
          <w:rFonts w:ascii="Book Antiqua" w:eastAsia="Book Antiqua" w:hAnsi="Book Antiqua" w:cs="Book Antiqua"/>
          <w:color w:val="000000"/>
        </w:rPr>
        <w:t>s</w:t>
      </w:r>
      <w:r w:rsidRPr="004A0B84">
        <w:rPr>
          <w:rFonts w:ascii="Book Antiqua" w:eastAsia="Book Antiqua" w:hAnsi="Book Antiqua" w:cs="Book Antiqua"/>
          <w:color w:val="000000"/>
        </w:rPr>
        <w:t xml:space="preserve"> the two entities, discuss the pathogenesis of HBV-associated iCCA</w:t>
      </w:r>
      <w:r w:rsidR="004A0B84">
        <w:rPr>
          <w:rFonts w:ascii="Book Antiqua" w:eastAsia="Book Antiqua" w:hAnsi="Book Antiqua" w:cs="Book Antiqua"/>
          <w:color w:val="000000"/>
        </w:rPr>
        <w:t>,</w:t>
      </w:r>
      <w:r w:rsidRPr="004A0B84">
        <w:rPr>
          <w:rFonts w:ascii="Book Antiqua" w:eastAsia="Book Antiqua" w:hAnsi="Book Antiqua" w:cs="Book Antiqua"/>
          <w:color w:val="000000"/>
        </w:rPr>
        <w:t xml:space="preserve"> and present the available data </w:t>
      </w:r>
      <w:r w:rsidR="004A0B84">
        <w:rPr>
          <w:rFonts w:ascii="Book Antiqua" w:eastAsia="Book Antiqua" w:hAnsi="Book Antiqua" w:cs="Book Antiqua"/>
          <w:color w:val="000000"/>
        </w:rPr>
        <w:t>on</w:t>
      </w:r>
      <w:r w:rsidR="004A0B84" w:rsidRPr="004A0B84">
        <w:rPr>
          <w:rFonts w:ascii="Book Antiqua" w:eastAsia="Book Antiqua" w:hAnsi="Book Antiqua" w:cs="Book Antiqua"/>
          <w:color w:val="000000"/>
        </w:rPr>
        <w:t xml:space="preserve"> </w:t>
      </w:r>
      <w:r w:rsidRPr="004A0B84">
        <w:rPr>
          <w:rFonts w:ascii="Book Antiqua" w:eastAsia="Book Antiqua" w:hAnsi="Book Antiqua" w:cs="Book Antiqua"/>
          <w:color w:val="000000"/>
        </w:rPr>
        <w:t>the diagnosis and management of this aggressive cancer.</w:t>
      </w:r>
    </w:p>
    <w:p w14:paraId="0BCD9618" w14:textId="77777777" w:rsidR="00A77B3E" w:rsidRPr="00E110C5" w:rsidRDefault="00A77B3E" w:rsidP="00ED58D3">
      <w:pPr>
        <w:spacing w:line="360" w:lineRule="auto"/>
        <w:jc w:val="both"/>
        <w:rPr>
          <w:rFonts w:ascii="Book Antiqua" w:hAnsi="Book Antiqua"/>
        </w:rPr>
      </w:pPr>
    </w:p>
    <w:p w14:paraId="6903DA4E" w14:textId="77777777" w:rsidR="00A77B3E" w:rsidRPr="00146474" w:rsidRDefault="0048774A" w:rsidP="00ED58D3">
      <w:pPr>
        <w:spacing w:line="360" w:lineRule="auto"/>
        <w:jc w:val="both"/>
        <w:rPr>
          <w:rFonts w:ascii="Book Antiqua" w:hAnsi="Book Antiqua"/>
          <w:u w:val="single"/>
        </w:rPr>
      </w:pPr>
      <w:r w:rsidRPr="00326C94">
        <w:rPr>
          <w:rFonts w:ascii="Book Antiqua" w:eastAsia="Book Antiqua" w:hAnsi="Book Antiqua" w:cs="Book Antiqua"/>
          <w:b/>
          <w:bCs/>
          <w:color w:val="000000"/>
          <w:u w:val="single"/>
        </w:rPr>
        <w:t xml:space="preserve">EPIDEMIOLOGICAL STUDIES OF HBV-ASSOCIATED </w:t>
      </w:r>
      <w:r w:rsidR="005216A8" w:rsidRPr="00146474">
        <w:rPr>
          <w:rFonts w:ascii="Book Antiqua" w:hAnsi="Book Antiqua" w:cs="Book Antiqua"/>
          <w:b/>
          <w:bCs/>
          <w:color w:val="000000"/>
          <w:u w:val="single"/>
          <w:lang w:eastAsia="zh-CN"/>
        </w:rPr>
        <w:t>I</w:t>
      </w:r>
      <w:r w:rsidRPr="00146474">
        <w:rPr>
          <w:rFonts w:ascii="Book Antiqua" w:eastAsia="Book Antiqua" w:hAnsi="Book Antiqua" w:cs="Book Antiqua"/>
          <w:b/>
          <w:bCs/>
          <w:color w:val="000000"/>
          <w:u w:val="single"/>
        </w:rPr>
        <w:t xml:space="preserve">CCA </w:t>
      </w:r>
    </w:p>
    <w:p w14:paraId="53DAC468" w14:textId="075020F2" w:rsidR="00A77B3E" w:rsidRPr="00E110C5"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lastRenderedPageBreak/>
        <w:t xml:space="preserve">To identify relevant epidemiological studies from geographically diverse regions, a comprehensive literature search of PubMed was conducted up to December 2020 without language restrictions. Studies were eligible for inclusion if they met the following criteria: </w:t>
      </w:r>
      <w:r w:rsidR="004A0B84">
        <w:rPr>
          <w:rFonts w:ascii="Book Antiqua" w:eastAsia="Book Antiqua" w:hAnsi="Book Antiqua" w:cs="Book Antiqua"/>
          <w:color w:val="000000"/>
        </w:rPr>
        <w:t xml:space="preserve">were </w:t>
      </w:r>
      <w:r w:rsidRPr="00436841">
        <w:rPr>
          <w:rFonts w:ascii="Book Antiqua" w:eastAsia="Book Antiqua" w:hAnsi="Book Antiqua" w:cs="Book Antiqua"/>
          <w:color w:val="000000"/>
        </w:rPr>
        <w:t>case-control or cohort study design</w:t>
      </w:r>
      <w:r w:rsidR="004A0B84">
        <w:rPr>
          <w:rFonts w:ascii="Book Antiqua" w:eastAsia="Book Antiqua" w:hAnsi="Book Antiqua" w:cs="Book Antiqua"/>
          <w:color w:val="000000"/>
        </w:rPr>
        <w:t>,</w:t>
      </w:r>
      <w:r w:rsidRPr="00436841">
        <w:rPr>
          <w:rFonts w:ascii="Book Antiqua" w:eastAsia="Book Antiqua" w:hAnsi="Book Antiqua" w:cs="Book Antiqua"/>
          <w:color w:val="000000"/>
        </w:rPr>
        <w:t xml:space="preserve"> </w:t>
      </w:r>
      <w:r w:rsidRPr="004A0B84">
        <w:rPr>
          <w:rFonts w:ascii="Book Antiqua" w:eastAsia="Book Antiqua" w:hAnsi="Book Antiqua" w:cs="Book Antiqua"/>
          <w:color w:val="000000"/>
        </w:rPr>
        <w:t>reported outcomes for the association between HBV infection and iCCA</w:t>
      </w:r>
      <w:r w:rsidR="004A0B84">
        <w:rPr>
          <w:rFonts w:ascii="Book Antiqua" w:eastAsia="Book Antiqua" w:hAnsi="Book Antiqua" w:cs="Book Antiqua"/>
          <w:color w:val="000000"/>
        </w:rPr>
        <w:t>,</w:t>
      </w:r>
      <w:r w:rsidRPr="004A0B84">
        <w:rPr>
          <w:rFonts w:ascii="Book Antiqua" w:eastAsia="Book Antiqua" w:hAnsi="Book Antiqua" w:cs="Book Antiqua"/>
          <w:color w:val="000000"/>
        </w:rPr>
        <w:t xml:space="preserve"> and </w:t>
      </w:r>
      <w:r w:rsidRPr="00436841">
        <w:rPr>
          <w:rFonts w:ascii="Book Antiqua" w:eastAsia="Book Antiqua" w:hAnsi="Book Antiqua" w:cs="Book Antiqua"/>
          <w:color w:val="000000"/>
        </w:rPr>
        <w:t>provided risk estimates with 95% confidence intervals (CIs) or sufficient data to calculate them. The following Medical Subject Headings were included: “</w:t>
      </w:r>
      <w:r w:rsidR="004A0B84">
        <w:rPr>
          <w:rFonts w:ascii="Book Antiqua" w:hAnsi="Book Antiqua" w:cs="Book Antiqua"/>
          <w:color w:val="000000"/>
          <w:lang w:eastAsia="zh-CN"/>
        </w:rPr>
        <w:t>i</w:t>
      </w:r>
      <w:r w:rsidRPr="00436841">
        <w:rPr>
          <w:rFonts w:ascii="Book Antiqua" w:eastAsia="Book Antiqua" w:hAnsi="Book Antiqua" w:cs="Book Antiqua"/>
          <w:color w:val="000000"/>
        </w:rPr>
        <w:t>ntrahepatic cholangiocarcinoma” and “</w:t>
      </w:r>
      <w:r w:rsidR="00C24F0F" w:rsidRPr="00436841">
        <w:rPr>
          <w:rFonts w:ascii="Book Antiqua" w:eastAsia="Book Antiqua" w:hAnsi="Book Antiqua" w:cs="Book Antiqua"/>
          <w:color w:val="000000"/>
        </w:rPr>
        <w:t>HBV</w:t>
      </w:r>
      <w:r w:rsidR="004A0B84">
        <w:rPr>
          <w:rFonts w:ascii="Book Antiqua" w:eastAsia="Book Antiqua" w:hAnsi="Book Antiqua" w:cs="Book Antiqua"/>
          <w:color w:val="000000"/>
        </w:rPr>
        <w:t>.</w:t>
      </w:r>
      <w:r w:rsidRPr="004A0B84">
        <w:rPr>
          <w:rFonts w:ascii="Book Antiqua" w:eastAsia="Book Antiqua" w:hAnsi="Book Antiqua" w:cs="Book Antiqua"/>
          <w:color w:val="000000"/>
        </w:rPr>
        <w:t>” Reference lists of the retrieved articles were also manually searched to identify additional studies.</w:t>
      </w:r>
    </w:p>
    <w:p w14:paraId="0AADB1C9" w14:textId="51909644" w:rsidR="006B6B7F" w:rsidRDefault="0048774A" w:rsidP="00D866CC">
      <w:pPr>
        <w:spacing w:line="360" w:lineRule="auto"/>
        <w:ind w:firstLineChars="112" w:firstLine="269"/>
        <w:jc w:val="both"/>
        <w:rPr>
          <w:rFonts w:ascii="Book Antiqua" w:hAnsi="Book Antiqua"/>
        </w:rPr>
      </w:pPr>
      <w:r w:rsidRPr="00E110C5">
        <w:rPr>
          <w:rFonts w:ascii="Book Antiqua" w:eastAsia="Book Antiqua" w:hAnsi="Book Antiqua" w:cs="Book Antiqua"/>
          <w:color w:val="000000"/>
        </w:rPr>
        <w:t>The literature search identified a total of 417 references, of which 20 case-control</w:t>
      </w:r>
      <w:r w:rsidRPr="00E110C5">
        <w:rPr>
          <w:rFonts w:ascii="Book Antiqua" w:eastAsia="Book Antiqua" w:hAnsi="Book Antiqua" w:cs="Book Antiqua"/>
          <w:color w:val="000000"/>
          <w:vertAlign w:val="superscript"/>
        </w:rPr>
        <w:t>[4</w:t>
      </w:r>
      <w:r w:rsidR="000354F0" w:rsidRPr="00E110C5">
        <w:rPr>
          <w:rFonts w:ascii="Book Antiqua" w:eastAsia="Book Antiqua" w:hAnsi="Book Antiqua" w:cs="Book Antiqua"/>
          <w:color w:val="000000"/>
          <w:vertAlign w:val="superscript"/>
        </w:rPr>
        <w:t>-</w:t>
      </w:r>
      <w:r w:rsidRPr="00E110C5">
        <w:rPr>
          <w:rFonts w:ascii="Book Antiqua" w:eastAsia="Book Antiqua" w:hAnsi="Book Antiqua" w:cs="Book Antiqua"/>
          <w:color w:val="000000"/>
          <w:vertAlign w:val="superscript"/>
        </w:rPr>
        <w:t>23]</w:t>
      </w:r>
      <w:r w:rsidRPr="00326C94">
        <w:rPr>
          <w:rFonts w:ascii="Book Antiqua" w:eastAsia="Book Antiqua" w:hAnsi="Book Antiqua" w:cs="Book Antiqua"/>
          <w:color w:val="000000"/>
        </w:rPr>
        <w:t xml:space="preserve"> and 2 cohort studies</w:t>
      </w:r>
      <w:r w:rsidRPr="00326C94">
        <w:rPr>
          <w:rFonts w:ascii="Book Antiqua" w:eastAsia="Book Antiqua" w:hAnsi="Book Antiqua" w:cs="Book Antiqua"/>
          <w:color w:val="000000"/>
          <w:vertAlign w:val="superscript"/>
        </w:rPr>
        <w:t>[24,25]</w:t>
      </w:r>
      <w:r w:rsidRPr="00146474">
        <w:rPr>
          <w:rFonts w:ascii="Book Antiqua" w:eastAsia="Book Antiqua" w:hAnsi="Book Antiqua" w:cs="Book Antiqua"/>
          <w:color w:val="000000"/>
        </w:rPr>
        <w:t xml:space="preserve"> fulfilled the inclusion criteria (Table 1). The population of the included epidemiological studies originated not only from geographical regions of high or intermediate prevalence of cholangiocarcinoma (</w:t>
      </w:r>
      <w:r w:rsidRPr="00146474">
        <w:rPr>
          <w:rFonts w:ascii="Book Antiqua" w:eastAsia="Book Antiqua" w:hAnsi="Book Antiqua" w:cs="Book Antiqua"/>
          <w:i/>
          <w:iCs/>
          <w:color w:val="000000"/>
        </w:rPr>
        <w:t>i.e.</w:t>
      </w:r>
      <w:r w:rsidRPr="00436841">
        <w:rPr>
          <w:rFonts w:ascii="Book Antiqua" w:eastAsia="Book Antiqua" w:hAnsi="Book Antiqua" w:cs="Book Antiqua"/>
          <w:color w:val="000000"/>
        </w:rPr>
        <w:t xml:space="preserve"> Thailand, South Korea, Japan, Mainland China and Taiwan area of China) but also from regions of low prevalence (</w:t>
      </w:r>
      <w:r w:rsidRPr="00436841">
        <w:rPr>
          <w:rFonts w:ascii="Book Antiqua" w:eastAsia="Book Antiqua" w:hAnsi="Book Antiqua" w:cs="Book Antiqua"/>
          <w:i/>
          <w:iCs/>
          <w:color w:val="000000"/>
        </w:rPr>
        <w:t>i.e.</w:t>
      </w:r>
      <w:r w:rsidRPr="00436841">
        <w:rPr>
          <w:rFonts w:ascii="Book Antiqua" w:eastAsia="Book Antiqua" w:hAnsi="Book Antiqua" w:cs="Book Antiqua"/>
          <w:color w:val="000000"/>
        </w:rPr>
        <w:t xml:space="preserve"> the United States, Italy)</w:t>
      </w:r>
      <w:r w:rsidRPr="00436841">
        <w:rPr>
          <w:rFonts w:ascii="Book Antiqua" w:eastAsia="Book Antiqua" w:hAnsi="Book Antiqua" w:cs="Book Antiqua"/>
          <w:color w:val="000000"/>
          <w:vertAlign w:val="superscript"/>
        </w:rPr>
        <w:t>[26,27]</w:t>
      </w:r>
      <w:r w:rsidRPr="00436841">
        <w:rPr>
          <w:rFonts w:ascii="Book Antiqua" w:eastAsia="Book Antiqua" w:hAnsi="Book Antiqua" w:cs="Book Antiqua"/>
          <w:color w:val="000000"/>
        </w:rPr>
        <w:t>; with a predominance of studies performed in Eastern Asian countries. When needed, from these studies we extracted data for analys</w:t>
      </w:r>
      <w:r w:rsidR="004A0B84">
        <w:rPr>
          <w:rFonts w:ascii="Book Antiqua" w:eastAsia="Book Antiqua" w:hAnsi="Book Antiqua" w:cs="Book Antiqua"/>
          <w:color w:val="000000"/>
        </w:rPr>
        <w:t>e</w:t>
      </w:r>
      <w:r w:rsidRPr="00436841">
        <w:rPr>
          <w:rFonts w:ascii="Book Antiqua" w:eastAsia="Book Antiqua" w:hAnsi="Book Antiqua" w:cs="Book Antiqua"/>
          <w:color w:val="000000"/>
        </w:rPr>
        <w:t>s that pertained only to the development of iCCA and not eCCA.</w:t>
      </w:r>
    </w:p>
    <w:p w14:paraId="448A23FE" w14:textId="142630EF" w:rsidR="00A77B3E" w:rsidRPr="00436841" w:rsidRDefault="0048774A" w:rsidP="00ED58D3">
      <w:pPr>
        <w:spacing w:line="360" w:lineRule="auto"/>
        <w:ind w:firstLineChars="200" w:firstLine="480"/>
        <w:jc w:val="both"/>
        <w:rPr>
          <w:rFonts w:ascii="Book Antiqua" w:hAnsi="Book Antiqua"/>
        </w:rPr>
      </w:pPr>
      <w:r w:rsidRPr="00436841">
        <w:rPr>
          <w:rFonts w:ascii="Book Antiqua" w:eastAsia="Book Antiqua" w:hAnsi="Book Antiqua" w:cs="Book Antiqua"/>
          <w:color w:val="000000"/>
        </w:rPr>
        <w:t>Twenty case-control studies were included (seven from Mainland China</w:t>
      </w:r>
      <w:r w:rsidRPr="00436841">
        <w:rPr>
          <w:rFonts w:ascii="Book Antiqua" w:eastAsia="Book Antiqua" w:hAnsi="Book Antiqua" w:cs="Book Antiqua"/>
          <w:color w:val="000000"/>
          <w:vertAlign w:val="superscript"/>
        </w:rPr>
        <w:t>[9</w:t>
      </w:r>
      <w:r w:rsidR="000354F0" w:rsidRPr="00436841">
        <w:rPr>
          <w:rFonts w:ascii="Book Antiqua" w:eastAsia="Book Antiqua" w:hAnsi="Book Antiqua" w:cs="Book Antiqua"/>
          <w:color w:val="000000"/>
          <w:vertAlign w:val="superscript"/>
        </w:rPr>
        <w:t>-</w:t>
      </w:r>
      <w:r w:rsidRPr="00436841">
        <w:rPr>
          <w:rFonts w:ascii="Book Antiqua" w:eastAsia="Book Antiqua" w:hAnsi="Book Antiqua" w:cs="Book Antiqua"/>
          <w:color w:val="000000"/>
          <w:vertAlign w:val="superscript"/>
        </w:rPr>
        <w:t>12,14,15,18]</w:t>
      </w:r>
      <w:r w:rsidRPr="00436841">
        <w:rPr>
          <w:rFonts w:ascii="Book Antiqua" w:eastAsia="Book Antiqua" w:hAnsi="Book Antiqua" w:cs="Book Antiqua"/>
          <w:color w:val="000000"/>
        </w:rPr>
        <w:t xml:space="preserve">, six from the </w:t>
      </w:r>
      <w:r w:rsidR="00166DAE" w:rsidRPr="00436841">
        <w:rPr>
          <w:rFonts w:ascii="Book Antiqua" w:eastAsia="Book Antiqua" w:hAnsi="Book Antiqua" w:cs="Book Antiqua"/>
          <w:color w:val="000000"/>
        </w:rPr>
        <w:t>United States</w:t>
      </w:r>
      <w:r w:rsidRPr="00436841">
        <w:rPr>
          <w:rFonts w:ascii="Book Antiqua" w:eastAsia="Book Antiqua" w:hAnsi="Book Antiqua" w:cs="Book Antiqua"/>
          <w:color w:val="000000"/>
          <w:vertAlign w:val="superscript"/>
        </w:rPr>
        <w:t>[4,5,8,13,19,21]</w:t>
      </w:r>
      <w:r w:rsidRPr="00436841">
        <w:rPr>
          <w:rFonts w:ascii="Book Antiqua" w:eastAsia="Book Antiqua" w:hAnsi="Book Antiqua" w:cs="Book Antiqua"/>
          <w:color w:val="000000"/>
        </w:rPr>
        <w:t>, three from South Korea</w:t>
      </w:r>
      <w:r w:rsidRPr="00436841">
        <w:rPr>
          <w:rFonts w:ascii="Book Antiqua" w:eastAsia="Book Antiqua" w:hAnsi="Book Antiqua" w:cs="Book Antiqua"/>
          <w:color w:val="000000"/>
          <w:vertAlign w:val="superscript"/>
        </w:rPr>
        <w:t>[7,17,20]</w:t>
      </w:r>
      <w:r w:rsidRPr="00436841">
        <w:rPr>
          <w:rFonts w:ascii="Book Antiqua" w:eastAsia="Book Antiqua" w:hAnsi="Book Antiqua" w:cs="Book Antiqua"/>
          <w:color w:val="000000"/>
        </w:rPr>
        <w:t>, two from Taiwan area of China</w:t>
      </w:r>
      <w:r w:rsidRPr="00436841">
        <w:rPr>
          <w:rFonts w:ascii="Book Antiqua" w:eastAsia="Book Antiqua" w:hAnsi="Book Antiqua" w:cs="Book Antiqua"/>
          <w:color w:val="000000"/>
          <w:vertAlign w:val="superscript"/>
        </w:rPr>
        <w:t>[6,16]</w:t>
      </w:r>
      <w:r w:rsidRPr="00436841">
        <w:rPr>
          <w:rFonts w:ascii="Book Antiqua" w:eastAsia="Book Antiqua" w:hAnsi="Book Antiqua" w:cs="Book Antiqua"/>
          <w:color w:val="000000"/>
        </w:rPr>
        <w:t xml:space="preserve"> and one each from Japan</w:t>
      </w:r>
      <w:r w:rsidRPr="00436841">
        <w:rPr>
          <w:rFonts w:ascii="Book Antiqua" w:eastAsia="Book Antiqua" w:hAnsi="Book Antiqua" w:cs="Book Antiqua"/>
          <w:color w:val="000000"/>
          <w:vertAlign w:val="superscript"/>
        </w:rPr>
        <w:t>[22]</w:t>
      </w:r>
      <w:r w:rsidRPr="00436841">
        <w:rPr>
          <w:rFonts w:ascii="Book Antiqua" w:eastAsia="Book Antiqua" w:hAnsi="Book Antiqua" w:cs="Book Antiqua"/>
          <w:color w:val="000000"/>
        </w:rPr>
        <w:t xml:space="preserve"> and Italy</w:t>
      </w:r>
      <w:r w:rsidRPr="00436841">
        <w:rPr>
          <w:rFonts w:ascii="Book Antiqua" w:eastAsia="Book Antiqua" w:hAnsi="Book Antiqua" w:cs="Book Antiqua"/>
          <w:color w:val="000000"/>
          <w:vertAlign w:val="superscript"/>
        </w:rPr>
        <w:t>[23]</w:t>
      </w:r>
      <w:r w:rsidRPr="00436841">
        <w:rPr>
          <w:rFonts w:ascii="Book Antiqua" w:eastAsia="Book Antiqua" w:hAnsi="Book Antiqua" w:cs="Book Antiqua"/>
          <w:color w:val="000000"/>
        </w:rPr>
        <w:t xml:space="preserve">), involving 14899 patients and 681258 cases. Notably, only 4 of the 20 retrieved studies were published in the last 5 years. Population-based controls were employed in </w:t>
      </w:r>
      <w:r w:rsidR="004A0B84">
        <w:rPr>
          <w:rFonts w:ascii="Book Antiqua" w:eastAsia="Book Antiqua" w:hAnsi="Book Antiqua" w:cs="Book Antiqua"/>
          <w:color w:val="000000"/>
        </w:rPr>
        <w:t>3</w:t>
      </w:r>
      <w:r w:rsidR="004A0B84" w:rsidRPr="004A0B84">
        <w:rPr>
          <w:rFonts w:ascii="Book Antiqua" w:eastAsia="Book Antiqua" w:hAnsi="Book Antiqua" w:cs="Book Antiqua"/>
          <w:color w:val="000000"/>
        </w:rPr>
        <w:t xml:space="preserve"> </w:t>
      </w:r>
      <w:r w:rsidRPr="004A0B84">
        <w:rPr>
          <w:rFonts w:ascii="Book Antiqua" w:eastAsia="Book Antiqua" w:hAnsi="Book Antiqua" w:cs="Book Antiqua"/>
          <w:color w:val="000000"/>
        </w:rPr>
        <w:t xml:space="preserve">studies from the </w:t>
      </w:r>
      <w:r w:rsidR="0004511E" w:rsidRPr="004A0B84">
        <w:rPr>
          <w:rFonts w:ascii="Book Antiqua" w:eastAsia="Book Antiqua" w:hAnsi="Book Antiqua" w:cs="Book Antiqua"/>
          <w:color w:val="000000"/>
        </w:rPr>
        <w:t>United States</w:t>
      </w:r>
      <w:r w:rsidRPr="004A0B84">
        <w:rPr>
          <w:rFonts w:ascii="Book Antiqua" w:eastAsia="Book Antiqua" w:hAnsi="Book Antiqua" w:cs="Book Antiqua"/>
          <w:color w:val="000000"/>
          <w:vertAlign w:val="superscript"/>
        </w:rPr>
        <w:t>[4,13,21]</w:t>
      </w:r>
      <w:r w:rsidRPr="004A0B84">
        <w:rPr>
          <w:rFonts w:ascii="Book Antiqua" w:eastAsia="Book Antiqua" w:hAnsi="Book Antiqua" w:cs="Book Antiqua"/>
          <w:color w:val="000000"/>
        </w:rPr>
        <w:t xml:space="preserve"> and </w:t>
      </w:r>
      <w:r w:rsidR="004A0B84">
        <w:rPr>
          <w:rFonts w:ascii="Book Antiqua" w:eastAsia="Book Antiqua" w:hAnsi="Book Antiqua" w:cs="Book Antiqua"/>
          <w:color w:val="000000"/>
        </w:rPr>
        <w:t>1</w:t>
      </w:r>
      <w:r w:rsidR="004A0B84" w:rsidRPr="004A0B84">
        <w:rPr>
          <w:rFonts w:ascii="Book Antiqua" w:eastAsia="Book Antiqua" w:hAnsi="Book Antiqua" w:cs="Book Antiqua"/>
          <w:color w:val="000000"/>
        </w:rPr>
        <w:t xml:space="preserve"> </w:t>
      </w:r>
      <w:r w:rsidRPr="004A0B84">
        <w:rPr>
          <w:rFonts w:ascii="Book Antiqua" w:eastAsia="Book Antiqua" w:hAnsi="Book Antiqua" w:cs="Book Antiqua"/>
          <w:color w:val="000000"/>
        </w:rPr>
        <w:t>from Mainland China</w:t>
      </w:r>
      <w:r w:rsidRPr="004A0B84">
        <w:rPr>
          <w:rFonts w:ascii="Book Antiqua" w:eastAsia="Book Antiqua" w:hAnsi="Book Antiqua" w:cs="Book Antiqua"/>
          <w:color w:val="000000"/>
          <w:vertAlign w:val="superscript"/>
        </w:rPr>
        <w:t>[9]</w:t>
      </w:r>
      <w:r w:rsidRPr="004A0B84">
        <w:rPr>
          <w:rFonts w:ascii="Book Antiqua" w:eastAsia="Book Antiqua" w:hAnsi="Book Antiqua" w:cs="Book Antiqua"/>
          <w:color w:val="000000"/>
        </w:rPr>
        <w:t xml:space="preserve"> and </w:t>
      </w:r>
      <w:r w:rsidR="004A0B84">
        <w:rPr>
          <w:rFonts w:ascii="Book Antiqua" w:eastAsia="Book Antiqua" w:hAnsi="Book Antiqua" w:cs="Book Antiqua"/>
          <w:color w:val="000000"/>
        </w:rPr>
        <w:t xml:space="preserve">the </w:t>
      </w:r>
      <w:r w:rsidRPr="004A0B84">
        <w:rPr>
          <w:rFonts w:ascii="Book Antiqua" w:eastAsia="Book Antiqua" w:hAnsi="Book Antiqua" w:cs="Book Antiqua"/>
          <w:color w:val="000000"/>
        </w:rPr>
        <w:t>Taiwan area of China</w:t>
      </w:r>
      <w:r w:rsidRPr="004A0B84">
        <w:rPr>
          <w:rFonts w:ascii="Book Antiqua" w:eastAsia="Book Antiqua" w:hAnsi="Book Antiqua" w:cs="Book Antiqua"/>
          <w:color w:val="000000"/>
          <w:vertAlign w:val="superscript"/>
        </w:rPr>
        <w:t>[6]</w:t>
      </w:r>
      <w:r w:rsidRPr="004A0B84">
        <w:rPr>
          <w:rFonts w:ascii="Book Antiqua" w:eastAsia="Book Antiqua" w:hAnsi="Book Antiqua" w:cs="Book Antiqua"/>
          <w:color w:val="000000"/>
        </w:rPr>
        <w:t>, whereas the remaining 15 studies were hospital-based. HBV infection status was defined by the presence of hepatitis B surface antigen (HBsAg) in 15 studies</w:t>
      </w:r>
      <w:r w:rsidRPr="00E110C5">
        <w:rPr>
          <w:rFonts w:ascii="Book Antiqua" w:eastAsia="Book Antiqua" w:hAnsi="Book Antiqua" w:cs="Book Antiqua"/>
          <w:color w:val="000000"/>
          <w:vertAlign w:val="superscript"/>
        </w:rPr>
        <w:t>[5,7,8,10</w:t>
      </w:r>
      <w:r w:rsidR="000354F0" w:rsidRPr="00E110C5">
        <w:rPr>
          <w:rFonts w:ascii="Book Antiqua" w:eastAsia="Book Antiqua" w:hAnsi="Book Antiqua" w:cs="Book Antiqua"/>
          <w:color w:val="000000"/>
          <w:vertAlign w:val="superscript"/>
        </w:rPr>
        <w:t>-</w:t>
      </w:r>
      <w:r w:rsidRPr="00E110C5">
        <w:rPr>
          <w:rFonts w:ascii="Book Antiqua" w:eastAsia="Book Antiqua" w:hAnsi="Book Antiqua" w:cs="Book Antiqua"/>
          <w:color w:val="000000"/>
          <w:vertAlign w:val="superscript"/>
        </w:rPr>
        <w:t>12</w:t>
      </w:r>
      <w:r w:rsidR="003B1842" w:rsidRPr="00E110C5">
        <w:rPr>
          <w:rFonts w:ascii="Book Antiqua" w:eastAsia="Book Antiqua" w:hAnsi="Book Antiqua" w:cs="Book Antiqua"/>
          <w:color w:val="000000"/>
          <w:vertAlign w:val="superscript"/>
        </w:rPr>
        <w:t>,</w:t>
      </w:r>
      <w:r w:rsidRPr="00E110C5">
        <w:rPr>
          <w:rFonts w:ascii="Book Antiqua" w:eastAsia="Book Antiqua" w:hAnsi="Book Antiqua" w:cs="Book Antiqua"/>
          <w:color w:val="000000"/>
          <w:vertAlign w:val="superscript"/>
        </w:rPr>
        <w:t>14</w:t>
      </w:r>
      <w:r w:rsidR="000354F0" w:rsidRPr="00326C94">
        <w:rPr>
          <w:rFonts w:ascii="Book Antiqua" w:eastAsia="Book Antiqua" w:hAnsi="Book Antiqua" w:cs="Book Antiqua"/>
          <w:color w:val="000000"/>
          <w:vertAlign w:val="superscript"/>
        </w:rPr>
        <w:t>-</w:t>
      </w:r>
      <w:r w:rsidRPr="00326C94">
        <w:rPr>
          <w:rFonts w:ascii="Book Antiqua" w:eastAsia="Book Antiqua" w:hAnsi="Book Antiqua" w:cs="Book Antiqua"/>
          <w:color w:val="000000"/>
          <w:vertAlign w:val="superscript"/>
        </w:rPr>
        <w:t>20</w:t>
      </w:r>
      <w:r w:rsidR="003B1842" w:rsidRPr="00146474">
        <w:rPr>
          <w:rFonts w:ascii="Book Antiqua" w:eastAsia="Book Antiqua" w:hAnsi="Book Antiqua" w:cs="Book Antiqua"/>
          <w:color w:val="000000"/>
          <w:vertAlign w:val="superscript"/>
        </w:rPr>
        <w:t>,</w:t>
      </w:r>
      <w:r w:rsidRPr="00146474">
        <w:rPr>
          <w:rFonts w:ascii="Book Antiqua" w:eastAsia="Book Antiqua" w:hAnsi="Book Antiqua" w:cs="Book Antiqua"/>
          <w:color w:val="000000"/>
          <w:vertAlign w:val="superscript"/>
        </w:rPr>
        <w:t>22,23]</w:t>
      </w:r>
      <w:r w:rsidRPr="00146474">
        <w:rPr>
          <w:rFonts w:ascii="Book Antiqua" w:eastAsia="Book Antiqua" w:hAnsi="Book Antiqua" w:cs="Book Antiqua"/>
          <w:color w:val="000000"/>
        </w:rPr>
        <w:t xml:space="preserve"> and by </w:t>
      </w:r>
      <w:r w:rsidR="00B47E98" w:rsidRPr="00146474">
        <w:rPr>
          <w:rFonts w:ascii="Book Antiqua" w:eastAsia="Book Antiqua" w:hAnsi="Book Antiqua" w:cs="Book Antiqua"/>
          <w:color w:val="000000"/>
        </w:rPr>
        <w:t>i</w:t>
      </w:r>
      <w:r w:rsidRPr="00146474">
        <w:rPr>
          <w:rFonts w:ascii="Book Antiqua" w:eastAsia="Book Antiqua" w:hAnsi="Book Antiqua" w:cs="Book Antiqua"/>
          <w:color w:val="000000"/>
        </w:rPr>
        <w:t xml:space="preserve">nternational </w:t>
      </w:r>
      <w:r w:rsidR="00B47E98" w:rsidRPr="00436841">
        <w:rPr>
          <w:rFonts w:ascii="Book Antiqua" w:eastAsia="Book Antiqua" w:hAnsi="Book Antiqua" w:cs="Book Antiqua"/>
          <w:color w:val="000000"/>
        </w:rPr>
        <w:t>c</w:t>
      </w:r>
      <w:r w:rsidRPr="00436841">
        <w:rPr>
          <w:rFonts w:ascii="Book Antiqua" w:eastAsia="Book Antiqua" w:hAnsi="Book Antiqua" w:cs="Book Antiqua"/>
          <w:color w:val="000000"/>
        </w:rPr>
        <w:t xml:space="preserve">lassification of </w:t>
      </w:r>
      <w:r w:rsidR="00B47E98" w:rsidRPr="00436841">
        <w:rPr>
          <w:rFonts w:ascii="Book Antiqua" w:eastAsia="Book Antiqua" w:hAnsi="Book Antiqua" w:cs="Book Antiqua"/>
          <w:color w:val="000000"/>
        </w:rPr>
        <w:t>d</w:t>
      </w:r>
      <w:r w:rsidRPr="00436841">
        <w:rPr>
          <w:rFonts w:ascii="Book Antiqua" w:eastAsia="Book Antiqua" w:hAnsi="Book Antiqua" w:cs="Book Antiqua"/>
          <w:color w:val="000000"/>
        </w:rPr>
        <w:t>iseases-9 coding in 5 studies</w:t>
      </w:r>
      <w:r w:rsidRPr="00436841">
        <w:rPr>
          <w:rFonts w:ascii="Book Antiqua" w:eastAsia="Book Antiqua" w:hAnsi="Book Antiqua" w:cs="Book Antiqua"/>
          <w:color w:val="000000"/>
          <w:vertAlign w:val="superscript"/>
        </w:rPr>
        <w:t>[4,6,9,13,21]</w:t>
      </w:r>
      <w:r w:rsidRPr="00436841">
        <w:rPr>
          <w:rFonts w:ascii="Book Antiqua" w:eastAsia="Book Antiqua" w:hAnsi="Book Antiqua" w:cs="Book Antiqua"/>
          <w:color w:val="000000"/>
        </w:rPr>
        <w:t xml:space="preserve">. Seropositivity of hepatitis B core antibody (HBcAb) was assessed in </w:t>
      </w:r>
      <w:r w:rsidR="004A0B84">
        <w:rPr>
          <w:rFonts w:ascii="Book Antiqua" w:eastAsia="Book Antiqua" w:hAnsi="Book Antiqua" w:cs="Book Antiqua"/>
          <w:color w:val="000000"/>
        </w:rPr>
        <w:t>five</w:t>
      </w:r>
      <w:r w:rsidRPr="00436841">
        <w:rPr>
          <w:rFonts w:ascii="Book Antiqua" w:eastAsia="Book Antiqua" w:hAnsi="Book Antiqua" w:cs="Book Antiqua"/>
          <w:color w:val="000000"/>
        </w:rPr>
        <w:t xml:space="preserve"> studies</w:t>
      </w:r>
      <w:r w:rsidRPr="00436841">
        <w:rPr>
          <w:rFonts w:ascii="Book Antiqua" w:eastAsia="Book Antiqua" w:hAnsi="Book Antiqua" w:cs="Book Antiqua"/>
          <w:color w:val="000000"/>
          <w:vertAlign w:val="superscript"/>
        </w:rPr>
        <w:t>[10</w:t>
      </w:r>
      <w:r w:rsidR="000354F0" w:rsidRPr="00436841">
        <w:rPr>
          <w:rFonts w:ascii="Book Antiqua" w:eastAsia="Book Antiqua" w:hAnsi="Book Antiqua" w:cs="Book Antiqua"/>
          <w:color w:val="000000"/>
          <w:vertAlign w:val="superscript"/>
        </w:rPr>
        <w:t>-</w:t>
      </w:r>
      <w:r w:rsidRPr="00436841">
        <w:rPr>
          <w:rFonts w:ascii="Book Antiqua" w:eastAsia="Book Antiqua" w:hAnsi="Book Antiqua" w:cs="Book Antiqua"/>
          <w:color w:val="000000"/>
          <w:vertAlign w:val="superscript"/>
        </w:rPr>
        <w:t>12,14,19]</w:t>
      </w:r>
      <w:r w:rsidRPr="00436841">
        <w:rPr>
          <w:rFonts w:ascii="Book Antiqua" w:eastAsia="Book Antiqua" w:hAnsi="Book Antiqua" w:cs="Book Antiqua"/>
          <w:color w:val="000000"/>
        </w:rPr>
        <w:t xml:space="preserve">. All </w:t>
      </w:r>
      <w:r w:rsidR="004A0B84">
        <w:rPr>
          <w:rFonts w:ascii="Book Antiqua" w:eastAsia="Book Antiqua" w:hAnsi="Book Antiqua" w:cs="Book Antiqua"/>
          <w:color w:val="000000"/>
        </w:rPr>
        <w:t xml:space="preserve">of </w:t>
      </w:r>
      <w:r w:rsidRPr="004A0B84">
        <w:rPr>
          <w:rFonts w:ascii="Book Antiqua" w:eastAsia="Book Antiqua" w:hAnsi="Book Antiqua" w:cs="Book Antiqua"/>
          <w:color w:val="000000"/>
        </w:rPr>
        <w:t xml:space="preserve">the included case-control studies reported adjustments for age and gender. Fourteen studies </w:t>
      </w:r>
      <w:r w:rsidR="004A0B84">
        <w:rPr>
          <w:rFonts w:ascii="Book Antiqua" w:eastAsia="Book Antiqua" w:hAnsi="Book Antiqua" w:cs="Book Antiqua"/>
          <w:color w:val="000000"/>
        </w:rPr>
        <w:t>showed</w:t>
      </w:r>
      <w:r w:rsidR="004A0B84" w:rsidRPr="004A0B84">
        <w:rPr>
          <w:rFonts w:ascii="Book Antiqua" w:eastAsia="Book Antiqua" w:hAnsi="Book Antiqua" w:cs="Book Antiqua"/>
          <w:color w:val="000000"/>
        </w:rPr>
        <w:t xml:space="preserve"> </w:t>
      </w:r>
      <w:r w:rsidRPr="004A0B84">
        <w:rPr>
          <w:rFonts w:ascii="Book Antiqua" w:eastAsia="Book Antiqua" w:hAnsi="Book Antiqua" w:cs="Book Antiqua"/>
          <w:color w:val="000000"/>
        </w:rPr>
        <w:t>a statistically significant association between HBV infection and</w:t>
      </w:r>
      <w:r w:rsidR="004A0B84">
        <w:rPr>
          <w:rFonts w:ascii="Book Antiqua" w:eastAsia="Book Antiqua" w:hAnsi="Book Antiqua" w:cs="Book Antiqua"/>
          <w:color w:val="000000"/>
        </w:rPr>
        <w:t xml:space="preserve"> r</w:t>
      </w:r>
      <w:r w:rsidRPr="004A0B84">
        <w:rPr>
          <w:rFonts w:ascii="Book Antiqua" w:eastAsia="Book Antiqua" w:hAnsi="Book Antiqua" w:cs="Book Antiqua"/>
          <w:color w:val="000000"/>
        </w:rPr>
        <w:t>isk of iCCA (range of individual OR = 2.23-12.9)</w:t>
      </w:r>
      <w:r w:rsidRPr="004A0B84">
        <w:rPr>
          <w:rFonts w:ascii="Book Antiqua" w:eastAsia="Book Antiqua" w:hAnsi="Book Antiqua" w:cs="Book Antiqua"/>
          <w:color w:val="000000"/>
          <w:vertAlign w:val="superscript"/>
        </w:rPr>
        <w:t>[4</w:t>
      </w:r>
      <w:r w:rsidR="000354F0" w:rsidRPr="004A0B84">
        <w:rPr>
          <w:rFonts w:ascii="Book Antiqua" w:eastAsia="Book Antiqua" w:hAnsi="Book Antiqua" w:cs="Book Antiqua"/>
          <w:color w:val="000000"/>
          <w:vertAlign w:val="superscript"/>
        </w:rPr>
        <w:t>-</w:t>
      </w:r>
      <w:r w:rsidRPr="004A0B84">
        <w:rPr>
          <w:rFonts w:ascii="Book Antiqua" w:eastAsia="Book Antiqua" w:hAnsi="Book Antiqua" w:cs="Book Antiqua"/>
          <w:color w:val="000000"/>
          <w:vertAlign w:val="superscript"/>
        </w:rPr>
        <w:t>7</w:t>
      </w:r>
      <w:r w:rsidR="00B47E98" w:rsidRPr="004A0B84">
        <w:rPr>
          <w:rFonts w:ascii="Book Antiqua" w:eastAsia="Book Antiqua" w:hAnsi="Book Antiqua" w:cs="Book Antiqua"/>
          <w:color w:val="000000"/>
          <w:vertAlign w:val="superscript"/>
        </w:rPr>
        <w:t>,</w:t>
      </w:r>
      <w:r w:rsidRPr="00475777">
        <w:rPr>
          <w:rFonts w:ascii="Book Antiqua" w:eastAsia="Book Antiqua" w:hAnsi="Book Antiqua" w:cs="Book Antiqua"/>
          <w:color w:val="000000"/>
          <w:vertAlign w:val="superscript"/>
        </w:rPr>
        <w:t>9</w:t>
      </w:r>
      <w:r w:rsidR="000354F0" w:rsidRPr="00475777">
        <w:rPr>
          <w:rFonts w:ascii="Book Antiqua" w:eastAsia="Book Antiqua" w:hAnsi="Book Antiqua" w:cs="Book Antiqua"/>
          <w:color w:val="000000"/>
          <w:vertAlign w:val="superscript"/>
        </w:rPr>
        <w:t>-</w:t>
      </w:r>
      <w:r w:rsidRPr="00475777">
        <w:rPr>
          <w:rFonts w:ascii="Book Antiqua" w:eastAsia="Book Antiqua" w:hAnsi="Book Antiqua" w:cs="Book Antiqua"/>
          <w:color w:val="000000"/>
          <w:vertAlign w:val="superscript"/>
        </w:rPr>
        <w:t>18]</w:t>
      </w:r>
      <w:r w:rsidRPr="002E0D71">
        <w:rPr>
          <w:rFonts w:ascii="Book Antiqua" w:eastAsia="Book Antiqua" w:hAnsi="Book Antiqua" w:cs="Book Antiqua"/>
          <w:color w:val="000000"/>
        </w:rPr>
        <w:t>, whereas the rest of the studies (</w:t>
      </w:r>
      <w:r w:rsidRPr="002E0D71">
        <w:rPr>
          <w:rFonts w:ascii="Book Antiqua" w:eastAsia="Book Antiqua" w:hAnsi="Book Antiqua" w:cs="Book Antiqua"/>
          <w:i/>
          <w:iCs/>
          <w:color w:val="000000"/>
        </w:rPr>
        <w:t>n</w:t>
      </w:r>
      <w:r w:rsidRPr="002E0D71">
        <w:rPr>
          <w:rFonts w:ascii="Book Antiqua" w:eastAsia="Book Antiqua" w:hAnsi="Book Antiqua" w:cs="Book Antiqua"/>
          <w:color w:val="000000"/>
        </w:rPr>
        <w:t xml:space="preserve"> = 6) </w:t>
      </w:r>
      <w:r w:rsidRPr="002E0D71">
        <w:rPr>
          <w:rFonts w:ascii="Book Antiqua" w:eastAsia="Book Antiqua" w:hAnsi="Book Antiqua" w:cs="Book Antiqua"/>
          <w:color w:val="000000"/>
        </w:rPr>
        <w:lastRenderedPageBreak/>
        <w:t>did not</w:t>
      </w:r>
      <w:r w:rsidRPr="00E110C5">
        <w:rPr>
          <w:rFonts w:ascii="Book Antiqua" w:eastAsia="Book Antiqua" w:hAnsi="Book Antiqua" w:cs="Book Antiqua"/>
          <w:color w:val="000000"/>
          <w:vertAlign w:val="superscript"/>
        </w:rPr>
        <w:t>[8,19</w:t>
      </w:r>
      <w:r w:rsidR="000354F0" w:rsidRPr="00E110C5">
        <w:rPr>
          <w:rFonts w:ascii="Book Antiqua" w:eastAsia="Book Antiqua" w:hAnsi="Book Antiqua" w:cs="Book Antiqua"/>
          <w:color w:val="000000"/>
          <w:vertAlign w:val="superscript"/>
        </w:rPr>
        <w:t>-</w:t>
      </w:r>
      <w:r w:rsidRPr="00E110C5">
        <w:rPr>
          <w:rFonts w:ascii="Book Antiqua" w:eastAsia="Book Antiqua" w:hAnsi="Book Antiqua" w:cs="Book Antiqua"/>
          <w:color w:val="000000"/>
          <w:vertAlign w:val="superscript"/>
        </w:rPr>
        <w:t>23]</w:t>
      </w:r>
      <w:r w:rsidRPr="00E110C5">
        <w:rPr>
          <w:rFonts w:ascii="Book Antiqua" w:eastAsia="Book Antiqua" w:hAnsi="Book Antiqua" w:cs="Book Antiqua"/>
          <w:color w:val="000000"/>
        </w:rPr>
        <w:t>. These s</w:t>
      </w:r>
      <w:r w:rsidR="00F243DB">
        <w:rPr>
          <w:rFonts w:ascii="Book Antiqua" w:eastAsia="Book Antiqua" w:hAnsi="Book Antiqua" w:cs="Book Antiqua"/>
          <w:color w:val="000000"/>
        </w:rPr>
        <w:t>ix</w:t>
      </w:r>
      <w:r w:rsidRPr="00E110C5">
        <w:rPr>
          <w:rFonts w:ascii="Book Antiqua" w:eastAsia="Book Antiqua" w:hAnsi="Book Antiqua" w:cs="Book Antiqua"/>
          <w:color w:val="000000"/>
        </w:rPr>
        <w:t xml:space="preserve"> studies were concluded prior to 2002 in geographically different areas. Geographical variations in iCCA incidence may be explained by differences in environmental and genetic risk factors. Moreover, observational studies are difficult to contro</w:t>
      </w:r>
      <w:r w:rsidRPr="00326C94">
        <w:rPr>
          <w:rFonts w:ascii="Book Antiqua" w:eastAsia="Book Antiqua" w:hAnsi="Book Antiqua" w:cs="Book Antiqua"/>
          <w:color w:val="000000"/>
        </w:rPr>
        <w:t xml:space="preserve">l for confounders, which could present an important risk factor and influence the prognostic value of HBV infection in iCCA. </w:t>
      </w:r>
    </w:p>
    <w:p w14:paraId="0293950E" w14:textId="0AA5AC9C" w:rsidR="006B6B7F" w:rsidRDefault="0048774A" w:rsidP="00D866CC">
      <w:pPr>
        <w:spacing w:line="360" w:lineRule="auto"/>
        <w:ind w:firstLineChars="112" w:firstLine="269"/>
        <w:jc w:val="both"/>
        <w:rPr>
          <w:rFonts w:ascii="Book Antiqua" w:hAnsi="Book Antiqua"/>
        </w:rPr>
      </w:pPr>
      <w:r w:rsidRPr="00436841">
        <w:rPr>
          <w:rFonts w:ascii="Book Antiqua" w:eastAsia="Book Antiqua" w:hAnsi="Book Antiqua" w:cs="Book Antiqua"/>
          <w:color w:val="000000"/>
        </w:rPr>
        <w:t xml:space="preserve">Two large-scale cohort studies with a total of 1937215 participants evaluating the correlation between HBV infection and iCCA were identified (Table 1). A retrospective cohort study from Japan involved 154814 blood donors with a median follow-up period of 7.6 years and reported an iCCA incidence rate of 0.88 </w:t>
      </w:r>
      <w:r w:rsidR="00DA7CC7" w:rsidRPr="00D866CC">
        <w:rPr>
          <w:rFonts w:ascii="Book Antiqua" w:eastAsia="Book Antiqua" w:hAnsi="Book Antiqua" w:cs="Book Antiqua"/>
          <w:color w:val="000000"/>
        </w:rPr>
        <w:t>per</w:t>
      </w:r>
      <w:r w:rsidRPr="00E110C5">
        <w:rPr>
          <w:rFonts w:ascii="Book Antiqua" w:eastAsia="Book Antiqua" w:hAnsi="Book Antiqua" w:cs="Book Antiqua"/>
          <w:color w:val="000000"/>
        </w:rPr>
        <w:t xml:space="preserve"> 100000 person-years</w:t>
      </w:r>
      <w:r w:rsidRPr="00E110C5">
        <w:rPr>
          <w:rFonts w:ascii="Book Antiqua" w:eastAsia="Book Antiqua" w:hAnsi="Book Antiqua" w:cs="Book Antiqua"/>
          <w:color w:val="000000"/>
          <w:vertAlign w:val="superscript"/>
        </w:rPr>
        <w:t>[24]</w:t>
      </w:r>
      <w:r w:rsidRPr="00E110C5">
        <w:rPr>
          <w:rFonts w:ascii="Book Antiqua" w:eastAsia="Book Antiqua" w:hAnsi="Book Antiqua" w:cs="Book Antiqua"/>
          <w:color w:val="000000"/>
        </w:rPr>
        <w:t>. Compared with individuals negative for both HBs</w:t>
      </w:r>
      <w:r w:rsidRPr="00326C94">
        <w:rPr>
          <w:rFonts w:ascii="Book Antiqua" w:eastAsia="Book Antiqua" w:hAnsi="Book Antiqua" w:cs="Book Antiqua"/>
          <w:color w:val="000000"/>
        </w:rPr>
        <w:t xml:space="preserve">Ag and </w:t>
      </w:r>
      <w:r w:rsidR="00B47E98" w:rsidRPr="00146474">
        <w:rPr>
          <w:rFonts w:ascii="Book Antiqua" w:eastAsia="Book Antiqua" w:hAnsi="Book Antiqua" w:cs="Book Antiqua"/>
          <w:color w:val="000000"/>
        </w:rPr>
        <w:t xml:space="preserve">hepatitis C virus </w:t>
      </w:r>
      <w:r w:rsidRPr="00146474">
        <w:rPr>
          <w:rFonts w:ascii="Book Antiqua" w:eastAsia="Book Antiqua" w:hAnsi="Book Antiqua" w:cs="Book Antiqua"/>
          <w:color w:val="000000"/>
        </w:rPr>
        <w:t>antibody (anti-HCV), those who tested positive for HBsAg had a significant</w:t>
      </w:r>
      <w:r w:rsidR="00475777">
        <w:rPr>
          <w:rFonts w:ascii="Book Antiqua" w:eastAsia="Book Antiqua" w:hAnsi="Book Antiqua" w:cs="Book Antiqua"/>
          <w:color w:val="000000"/>
        </w:rPr>
        <w:t>ly</w:t>
      </w:r>
      <w:r w:rsidRPr="00475777">
        <w:rPr>
          <w:rFonts w:ascii="Book Antiqua" w:eastAsia="Book Antiqua" w:hAnsi="Book Antiqua" w:cs="Book Antiqua"/>
          <w:color w:val="000000"/>
        </w:rPr>
        <w:t xml:space="preserve"> higher risk </w:t>
      </w:r>
      <w:r w:rsidR="00475777">
        <w:rPr>
          <w:rFonts w:ascii="Book Antiqua" w:eastAsia="Book Antiqua" w:hAnsi="Book Antiqua" w:cs="Book Antiqua"/>
          <w:color w:val="000000"/>
        </w:rPr>
        <w:t>of</w:t>
      </w:r>
      <w:r w:rsidR="00475777" w:rsidRPr="00475777">
        <w:rPr>
          <w:rFonts w:ascii="Book Antiqua" w:eastAsia="Book Antiqua" w:hAnsi="Book Antiqua" w:cs="Book Antiqua"/>
          <w:color w:val="000000"/>
        </w:rPr>
        <w:t xml:space="preserve"> </w:t>
      </w:r>
      <w:r w:rsidRPr="00475777">
        <w:rPr>
          <w:rFonts w:ascii="Book Antiqua" w:eastAsia="Book Antiqua" w:hAnsi="Book Antiqua" w:cs="Book Antiqua"/>
          <w:color w:val="000000"/>
        </w:rPr>
        <w:t xml:space="preserve">iCCA </w:t>
      </w:r>
      <w:r w:rsidR="00475777">
        <w:rPr>
          <w:rFonts w:ascii="Book Antiqua" w:eastAsia="Book Antiqua" w:hAnsi="Book Antiqua" w:cs="Book Antiqua"/>
          <w:color w:val="000000"/>
        </w:rPr>
        <w:t>(</w:t>
      </w:r>
      <w:r w:rsidR="00B47E98" w:rsidRPr="00436841">
        <w:rPr>
          <w:rFonts w:ascii="Book Antiqua" w:eastAsia="Book Antiqua" w:hAnsi="Book Antiqua" w:cs="Book Antiqua"/>
          <w:color w:val="000000"/>
        </w:rPr>
        <w:t xml:space="preserve">hazard ratio </w:t>
      </w:r>
      <w:r w:rsidR="00475777">
        <w:rPr>
          <w:rFonts w:ascii="Book Antiqua" w:eastAsia="Book Antiqua" w:hAnsi="Book Antiqua" w:cs="Book Antiqua"/>
          <w:color w:val="000000"/>
        </w:rPr>
        <w:t>[</w:t>
      </w:r>
      <w:r w:rsidR="00B47E98" w:rsidRPr="00436841">
        <w:rPr>
          <w:rFonts w:ascii="Book Antiqua" w:eastAsia="Book Antiqua" w:hAnsi="Book Antiqua" w:cs="Book Antiqua"/>
          <w:color w:val="000000"/>
        </w:rPr>
        <w:t>HR</w:t>
      </w:r>
      <w:r w:rsidR="00475777">
        <w:rPr>
          <w:rFonts w:ascii="Book Antiqua" w:eastAsia="Book Antiqua" w:hAnsi="Book Antiqua" w:cs="Book Antiqua"/>
          <w:color w:val="000000"/>
        </w:rPr>
        <w:t>]</w:t>
      </w:r>
      <w:r w:rsidRPr="00436841">
        <w:rPr>
          <w:rFonts w:ascii="Book Antiqua" w:eastAsia="Book Antiqua" w:hAnsi="Book Antiqua" w:cs="Book Antiqua"/>
          <w:color w:val="000000"/>
        </w:rPr>
        <w:t xml:space="preserve"> = 8.56; 95%CI: 1.33-52.20</w:t>
      </w:r>
      <w:r w:rsidR="00475777">
        <w:rPr>
          <w:rFonts w:ascii="Book Antiqua" w:eastAsia="Book Antiqua" w:hAnsi="Book Antiqua" w:cs="Book Antiqua"/>
          <w:color w:val="000000"/>
        </w:rPr>
        <w:t>)</w:t>
      </w:r>
      <w:r w:rsidRPr="00436841">
        <w:rPr>
          <w:rFonts w:ascii="Book Antiqua" w:eastAsia="Book Antiqua" w:hAnsi="Book Antiqua" w:cs="Book Antiqua"/>
          <w:color w:val="000000"/>
        </w:rPr>
        <w:t>. The latter study from Taiwan area of China included a cohort of 1782401 pregnant women with a median follow-up of 6.91 years and reported 18 cases of iCCA</w:t>
      </w:r>
      <w:r w:rsidRPr="00436841">
        <w:rPr>
          <w:rFonts w:ascii="Book Antiqua" w:eastAsia="Book Antiqua" w:hAnsi="Book Antiqua" w:cs="Book Antiqua"/>
          <w:color w:val="000000"/>
          <w:vertAlign w:val="superscript"/>
        </w:rPr>
        <w:t>[25]</w:t>
      </w:r>
      <w:r w:rsidRPr="00436841">
        <w:rPr>
          <w:rFonts w:ascii="Book Antiqua" w:eastAsia="Book Antiqua" w:hAnsi="Book Antiqua" w:cs="Book Antiqua"/>
          <w:color w:val="000000"/>
        </w:rPr>
        <w:t xml:space="preserve">. Women seropositive for HBsAg had significantly increased incidence rates of iCCA (0.43 </w:t>
      </w:r>
      <w:r w:rsidR="00DA7CC7" w:rsidRPr="00D866CC">
        <w:rPr>
          <w:rFonts w:ascii="Book Antiqua" w:eastAsia="Book Antiqua" w:hAnsi="Book Antiqua" w:cs="Book Antiqua"/>
          <w:color w:val="000000"/>
        </w:rPr>
        <w:t>per</w:t>
      </w:r>
      <w:r w:rsidRPr="00E110C5">
        <w:rPr>
          <w:rFonts w:ascii="Book Antiqua" w:eastAsia="Book Antiqua" w:hAnsi="Book Antiqua" w:cs="Book Antiqua"/>
          <w:color w:val="000000"/>
        </w:rPr>
        <w:t xml:space="preserve"> 100000 person-years) than HBsAg-negative women (0.09 </w:t>
      </w:r>
      <w:r w:rsidR="00DA7CC7" w:rsidRPr="00D866CC">
        <w:rPr>
          <w:rFonts w:ascii="Book Antiqua" w:eastAsia="Book Antiqua" w:hAnsi="Book Antiqua" w:cs="Book Antiqua"/>
          <w:color w:val="000000"/>
        </w:rPr>
        <w:t>per</w:t>
      </w:r>
      <w:r w:rsidRPr="00E110C5">
        <w:rPr>
          <w:rFonts w:ascii="Book Antiqua" w:eastAsia="Book Antiqua" w:hAnsi="Book Antiqua" w:cs="Book Antiqua"/>
          <w:i/>
          <w:iCs/>
          <w:color w:val="000000"/>
        </w:rPr>
        <w:t xml:space="preserve"> </w:t>
      </w:r>
      <w:r w:rsidRPr="00E110C5">
        <w:rPr>
          <w:rFonts w:ascii="Book Antiqua" w:eastAsia="Book Antiqua" w:hAnsi="Book Antiqua" w:cs="Book Antiqua"/>
          <w:color w:val="000000"/>
        </w:rPr>
        <w:t>100000 person-years) with an age-adjusted hazard ratio HR = 4.80; 95%CI: 1.88-12.20.</w:t>
      </w:r>
    </w:p>
    <w:p w14:paraId="72C9DC07" w14:textId="77777777" w:rsidR="006B6B7F" w:rsidRDefault="0048774A" w:rsidP="00D866CC">
      <w:pPr>
        <w:spacing w:line="360" w:lineRule="auto"/>
        <w:ind w:firstLineChars="112" w:firstLine="269"/>
        <w:jc w:val="both"/>
        <w:rPr>
          <w:rFonts w:ascii="Book Antiqua" w:hAnsi="Book Antiqua"/>
        </w:rPr>
      </w:pPr>
      <w:r w:rsidRPr="00436841">
        <w:rPr>
          <w:rFonts w:ascii="Book Antiqua" w:eastAsia="Book Antiqua" w:hAnsi="Book Antiqua" w:cs="Book Antiqua"/>
          <w:color w:val="000000"/>
        </w:rPr>
        <w:t>Occult HBV infection (OBI), which is defined by the detection of HBV DNA in the serum and liver tissue of HBsAg-negative individuals with or without serological markers of previous viral exposure</w:t>
      </w:r>
      <w:r w:rsidRPr="00436841">
        <w:rPr>
          <w:rFonts w:ascii="Book Antiqua" w:eastAsia="Book Antiqua" w:hAnsi="Book Antiqua" w:cs="Book Antiqua"/>
          <w:color w:val="000000"/>
          <w:vertAlign w:val="superscript"/>
        </w:rPr>
        <w:t>[28]</w:t>
      </w:r>
      <w:r w:rsidRPr="00436841">
        <w:rPr>
          <w:rFonts w:ascii="Book Antiqua" w:eastAsia="Book Antiqua" w:hAnsi="Book Antiqua" w:cs="Book Antiqua"/>
          <w:color w:val="000000"/>
        </w:rPr>
        <w:t xml:space="preserve">, is an emerging risk factor for iCCA. </w:t>
      </w:r>
      <w:r w:rsidR="00C24F0F" w:rsidRPr="00436841">
        <w:rPr>
          <w:rFonts w:ascii="Book Antiqua" w:eastAsia="Book Antiqua" w:hAnsi="Book Antiqua" w:cs="Book Antiqua"/>
          <w:color w:val="000000"/>
        </w:rPr>
        <w:t>HBV</w:t>
      </w:r>
      <w:r w:rsidRPr="00436841">
        <w:rPr>
          <w:rFonts w:ascii="Book Antiqua" w:eastAsia="Book Antiqua" w:hAnsi="Book Antiqua" w:cs="Book Antiqua"/>
          <w:color w:val="000000"/>
        </w:rPr>
        <w:t xml:space="preserve"> maintains its pro-oncogenic properties in patients with OBI</w:t>
      </w:r>
      <w:r w:rsidRPr="00436841">
        <w:rPr>
          <w:rFonts w:ascii="Book Antiqua" w:eastAsia="Book Antiqua" w:hAnsi="Book Antiqua" w:cs="Book Antiqua"/>
          <w:color w:val="000000"/>
          <w:vertAlign w:val="superscript"/>
        </w:rPr>
        <w:t>[29]</w:t>
      </w:r>
      <w:r w:rsidRPr="00436841">
        <w:rPr>
          <w:rFonts w:ascii="Book Antiqua" w:eastAsia="Book Antiqua" w:hAnsi="Book Antiqua" w:cs="Book Antiqua"/>
          <w:color w:val="000000"/>
        </w:rPr>
        <w:t>. Indeed, epidemiological and molecular studies have indicated that OBI represents an important risk factor for the development of cirrhosis and HCC</w:t>
      </w:r>
      <w:r w:rsidRPr="00436841">
        <w:rPr>
          <w:rFonts w:ascii="Book Antiqua" w:eastAsia="Book Antiqua" w:hAnsi="Book Antiqua" w:cs="Book Antiqua"/>
          <w:color w:val="000000"/>
          <w:vertAlign w:val="superscript"/>
        </w:rPr>
        <w:t>[30,31]</w:t>
      </w:r>
      <w:r w:rsidRPr="00436841">
        <w:rPr>
          <w:rFonts w:ascii="Book Antiqua" w:eastAsia="Book Antiqua" w:hAnsi="Book Antiqua" w:cs="Book Antiqua"/>
          <w:color w:val="000000"/>
        </w:rPr>
        <w:t>. Relevant evidence from pathological studies, investigating the presence of HBV DNA, genes</w:t>
      </w:r>
      <w:r w:rsidR="00475777">
        <w:rPr>
          <w:rFonts w:ascii="Book Antiqua" w:eastAsia="Book Antiqua" w:hAnsi="Book Antiqua" w:cs="Book Antiqua"/>
          <w:color w:val="000000"/>
        </w:rPr>
        <w:t>,</w:t>
      </w:r>
      <w:r w:rsidRPr="00475777">
        <w:rPr>
          <w:rFonts w:ascii="Book Antiqua" w:eastAsia="Book Antiqua" w:hAnsi="Book Antiqua" w:cs="Book Antiqua"/>
          <w:color w:val="000000"/>
        </w:rPr>
        <w:t xml:space="preserve"> and proteins in iCCA tissue specimens, also suggests a possible etiological role of OBI in iCCA</w:t>
      </w:r>
      <w:r w:rsidRPr="00E110C5">
        <w:rPr>
          <w:rFonts w:ascii="Book Antiqua" w:eastAsia="Book Antiqua" w:hAnsi="Book Antiqua" w:cs="Book Antiqua"/>
          <w:color w:val="000000"/>
          <w:vertAlign w:val="superscript"/>
        </w:rPr>
        <w:t>[32</w:t>
      </w:r>
      <w:r w:rsidR="000354F0" w:rsidRPr="00E110C5">
        <w:rPr>
          <w:rFonts w:ascii="Book Antiqua" w:eastAsia="Book Antiqua" w:hAnsi="Book Antiqua" w:cs="Book Antiqua"/>
          <w:color w:val="000000"/>
          <w:vertAlign w:val="superscript"/>
        </w:rPr>
        <w:t>-</w:t>
      </w:r>
      <w:r w:rsidRPr="00E110C5">
        <w:rPr>
          <w:rFonts w:ascii="Book Antiqua" w:eastAsia="Book Antiqua" w:hAnsi="Book Antiqua" w:cs="Book Antiqua"/>
          <w:color w:val="000000"/>
          <w:vertAlign w:val="superscript"/>
        </w:rPr>
        <w:t>34]</w:t>
      </w:r>
      <w:r w:rsidRPr="00E110C5">
        <w:rPr>
          <w:rFonts w:ascii="Book Antiqua" w:eastAsia="Book Antiqua" w:hAnsi="Book Antiqua" w:cs="Book Antiqua"/>
          <w:color w:val="000000"/>
        </w:rPr>
        <w:t>. A case-control study of 183 cryptogenic iCCA patients an</w:t>
      </w:r>
      <w:r w:rsidRPr="00326C94">
        <w:rPr>
          <w:rFonts w:ascii="Book Antiqua" w:eastAsia="Book Antiqua" w:hAnsi="Book Antiqua" w:cs="Book Antiqua"/>
          <w:color w:val="000000"/>
        </w:rPr>
        <w:t>d 549 healthy individuals confirmed that HBsAg seroclearance does not signify eradication of HBV and may not entirely prevent the development of iCCA in Chinese patients</w:t>
      </w:r>
      <w:r w:rsidRPr="00436841">
        <w:rPr>
          <w:rFonts w:ascii="Book Antiqua" w:eastAsia="Book Antiqua" w:hAnsi="Book Antiqua" w:cs="Book Antiqua"/>
          <w:color w:val="000000"/>
          <w:vertAlign w:val="superscript"/>
        </w:rPr>
        <w:t>[32]</w:t>
      </w:r>
      <w:r w:rsidRPr="00436841">
        <w:rPr>
          <w:rFonts w:ascii="Book Antiqua" w:eastAsia="Book Antiqua" w:hAnsi="Book Antiqua" w:cs="Book Antiqua"/>
          <w:color w:val="000000"/>
        </w:rPr>
        <w:t xml:space="preserve">. Pollicino </w:t>
      </w:r>
      <w:r w:rsidRPr="00436841">
        <w:rPr>
          <w:rFonts w:ascii="Book Antiqua" w:eastAsia="Book Antiqua" w:hAnsi="Book Antiqua" w:cs="Book Antiqua"/>
          <w:i/>
          <w:iCs/>
          <w:color w:val="000000"/>
        </w:rPr>
        <w:t>et al</w:t>
      </w:r>
      <w:r w:rsidR="00426783" w:rsidRPr="00436841">
        <w:rPr>
          <w:rFonts w:ascii="Book Antiqua" w:eastAsia="Book Antiqua" w:hAnsi="Book Antiqua" w:cs="Book Antiqua"/>
          <w:color w:val="000000"/>
          <w:vertAlign w:val="superscript"/>
        </w:rPr>
        <w:t>[33]</w:t>
      </w:r>
      <w:r w:rsidRPr="00436841">
        <w:rPr>
          <w:rFonts w:ascii="Book Antiqua" w:eastAsia="Book Antiqua" w:hAnsi="Book Antiqua" w:cs="Book Antiqua"/>
          <w:color w:val="000000"/>
        </w:rPr>
        <w:t xml:space="preserve"> investigated the presence of HBV DNA in liver tissue specimens from 47 HBsAg-negative patients with iCCA and 41 paired non-tumor liver tissues. A high prevalence of OBI in iCCA patients, </w:t>
      </w:r>
      <w:r w:rsidRPr="00436841">
        <w:rPr>
          <w:rFonts w:ascii="Book Antiqua" w:eastAsia="Book Antiqua" w:hAnsi="Book Antiqua" w:cs="Book Antiqua"/>
          <w:color w:val="000000"/>
        </w:rPr>
        <w:lastRenderedPageBreak/>
        <w:t>along with the presence of both free viral genomes and integrated HBV DNA in the tumor tissue, suggested an involvement of HBV in the carcinogenesis of iCCA not only in overt but also in occult infection</w:t>
      </w:r>
      <w:r w:rsidRPr="00436841">
        <w:rPr>
          <w:rFonts w:ascii="Book Antiqua" w:eastAsia="Book Antiqua" w:hAnsi="Book Antiqua" w:cs="Book Antiqua"/>
          <w:color w:val="000000"/>
          <w:vertAlign w:val="superscript"/>
        </w:rPr>
        <w:t>[33]</w:t>
      </w:r>
      <w:r w:rsidRPr="00436841">
        <w:rPr>
          <w:rFonts w:ascii="Book Antiqua" w:eastAsia="Book Antiqua" w:hAnsi="Book Antiqua" w:cs="Book Antiqua"/>
          <w:color w:val="000000"/>
        </w:rPr>
        <w:t>.</w:t>
      </w:r>
    </w:p>
    <w:p w14:paraId="450ADD40" w14:textId="512A7F81" w:rsidR="006B6B7F" w:rsidRDefault="0048774A" w:rsidP="00D866CC">
      <w:pPr>
        <w:spacing w:line="360" w:lineRule="auto"/>
        <w:ind w:firstLineChars="112" w:firstLine="269"/>
        <w:jc w:val="both"/>
        <w:rPr>
          <w:rFonts w:ascii="Book Antiqua" w:hAnsi="Book Antiqua"/>
        </w:rPr>
      </w:pPr>
      <w:r w:rsidRPr="00436841">
        <w:rPr>
          <w:rFonts w:ascii="Book Antiqua" w:eastAsia="Book Antiqua" w:hAnsi="Book Antiqua" w:cs="Book Antiqua"/>
          <w:color w:val="000000"/>
        </w:rPr>
        <w:t xml:space="preserve">To date, there </w:t>
      </w:r>
      <w:r w:rsidR="00717D91">
        <w:rPr>
          <w:rFonts w:ascii="Book Antiqua" w:eastAsia="Book Antiqua" w:hAnsi="Book Antiqua" w:cs="Book Antiqua"/>
          <w:color w:val="000000"/>
        </w:rPr>
        <w:t>are</w:t>
      </w:r>
      <w:r w:rsidRPr="00436841">
        <w:rPr>
          <w:rFonts w:ascii="Book Antiqua" w:eastAsia="Book Antiqua" w:hAnsi="Book Antiqua" w:cs="Book Antiqua"/>
          <w:color w:val="000000"/>
        </w:rPr>
        <w:t xml:space="preserve"> limited data </w:t>
      </w:r>
      <w:r w:rsidR="00717D91">
        <w:rPr>
          <w:rFonts w:ascii="Book Antiqua" w:eastAsia="Book Antiqua" w:hAnsi="Book Antiqua" w:cs="Book Antiqua"/>
          <w:color w:val="000000"/>
        </w:rPr>
        <w:t>on</w:t>
      </w:r>
      <w:r w:rsidR="00717D91" w:rsidRPr="00717D91">
        <w:rPr>
          <w:rFonts w:ascii="Book Antiqua" w:eastAsia="Book Antiqua" w:hAnsi="Book Antiqua" w:cs="Book Antiqua"/>
          <w:color w:val="000000"/>
        </w:rPr>
        <w:t xml:space="preserve"> </w:t>
      </w:r>
      <w:r w:rsidRPr="00717D91">
        <w:rPr>
          <w:rFonts w:ascii="Book Antiqua" w:eastAsia="Book Antiqua" w:hAnsi="Book Antiqua" w:cs="Book Antiqua"/>
          <w:color w:val="000000"/>
        </w:rPr>
        <w:t xml:space="preserve">the relationship between iCCA and HBV genotype. Barusrux </w:t>
      </w:r>
      <w:r w:rsidRPr="00E110C5">
        <w:rPr>
          <w:rFonts w:ascii="Book Antiqua" w:eastAsia="Book Antiqua" w:hAnsi="Book Antiqua" w:cs="Book Antiqua"/>
          <w:i/>
          <w:iCs/>
          <w:color w:val="000000"/>
        </w:rPr>
        <w:t>et al</w:t>
      </w:r>
      <w:r w:rsidR="00426783" w:rsidRPr="00E110C5">
        <w:rPr>
          <w:rFonts w:ascii="Book Antiqua" w:eastAsia="Book Antiqua" w:hAnsi="Book Antiqua" w:cs="Book Antiqua"/>
          <w:color w:val="000000"/>
          <w:vertAlign w:val="superscript"/>
        </w:rPr>
        <w:t>[35]</w:t>
      </w:r>
      <w:r w:rsidRPr="00E110C5">
        <w:rPr>
          <w:rFonts w:ascii="Book Antiqua" w:eastAsia="Book Antiqua" w:hAnsi="Book Antiqua" w:cs="Book Antiqua"/>
          <w:color w:val="000000"/>
        </w:rPr>
        <w:t xml:space="preserve"> investigated the prevalence of HBV and HCV infection among 295 CCA patients in northeast Thailand</w:t>
      </w:r>
      <w:r w:rsidRPr="00326C94">
        <w:rPr>
          <w:rFonts w:ascii="Book Antiqua" w:eastAsia="Book Antiqua" w:hAnsi="Book Antiqua" w:cs="Book Antiqua"/>
          <w:color w:val="000000"/>
          <w:vertAlign w:val="superscript"/>
        </w:rPr>
        <w:t>[35]</w:t>
      </w:r>
      <w:r w:rsidRPr="006B48D6">
        <w:rPr>
          <w:rFonts w:ascii="Book Antiqua" w:eastAsia="Book Antiqua" w:hAnsi="Book Antiqua" w:cs="Book Antiqua"/>
          <w:color w:val="000000"/>
        </w:rPr>
        <w:t>. In this study, HBV genotypes C (73.3%) and B (26.7%) were detected, in line with the HBV genotype distribution in Thailand</w:t>
      </w:r>
      <w:r w:rsidRPr="00436841">
        <w:rPr>
          <w:rFonts w:ascii="Book Antiqua" w:eastAsia="Book Antiqua" w:hAnsi="Book Antiqua" w:cs="Book Antiqua"/>
          <w:color w:val="000000"/>
          <w:vertAlign w:val="superscript"/>
        </w:rPr>
        <w:t>[36]</w:t>
      </w:r>
      <w:r w:rsidRPr="00436841">
        <w:rPr>
          <w:rFonts w:ascii="Book Antiqua" w:eastAsia="Book Antiqua" w:hAnsi="Book Antiqua" w:cs="Book Antiqua"/>
          <w:color w:val="000000"/>
        </w:rPr>
        <w:t>. In a cohort of 11 cases of iCCA in the eastern United States, liver specimens were examined for HBV DNA and HCV RNA and the genotypes observed represented the dominant genotype (genotype A) in this area</w:t>
      </w:r>
      <w:r w:rsidRPr="00436841">
        <w:rPr>
          <w:rFonts w:ascii="Book Antiqua" w:eastAsia="Book Antiqua" w:hAnsi="Book Antiqua" w:cs="Book Antiqua"/>
          <w:color w:val="000000"/>
          <w:vertAlign w:val="superscript"/>
        </w:rPr>
        <w:t>[37]</w:t>
      </w:r>
      <w:r w:rsidRPr="00436841">
        <w:rPr>
          <w:rFonts w:ascii="Book Antiqua" w:eastAsia="Book Antiqua" w:hAnsi="Book Antiqua" w:cs="Book Antiqua"/>
          <w:color w:val="000000"/>
        </w:rPr>
        <w:t xml:space="preserve">. Currently, there is no sufficient evidence to support an etiological association between specific HBV genotypes and iCCA. </w:t>
      </w:r>
    </w:p>
    <w:p w14:paraId="4CD6AF99" w14:textId="77777777" w:rsidR="00A77B3E" w:rsidRPr="00436841" w:rsidRDefault="00A77B3E" w:rsidP="00ED58D3">
      <w:pPr>
        <w:spacing w:line="360" w:lineRule="auto"/>
        <w:jc w:val="both"/>
        <w:rPr>
          <w:rFonts w:ascii="Book Antiqua" w:hAnsi="Book Antiqua"/>
        </w:rPr>
      </w:pPr>
    </w:p>
    <w:p w14:paraId="631B6822" w14:textId="77777777" w:rsidR="00A77B3E" w:rsidRPr="00436841" w:rsidRDefault="0048774A" w:rsidP="00ED58D3">
      <w:pPr>
        <w:spacing w:line="360" w:lineRule="auto"/>
        <w:jc w:val="both"/>
        <w:rPr>
          <w:rFonts w:ascii="Book Antiqua" w:hAnsi="Book Antiqua"/>
          <w:i/>
          <w:iCs/>
        </w:rPr>
      </w:pPr>
      <w:r w:rsidRPr="00436841">
        <w:rPr>
          <w:rFonts w:ascii="Book Antiqua" w:eastAsia="Book Antiqua" w:hAnsi="Book Antiqua" w:cs="Book Antiqua"/>
          <w:b/>
          <w:bCs/>
          <w:i/>
          <w:iCs/>
          <w:color w:val="000000"/>
        </w:rPr>
        <w:t>Meta-analyses of HBV-associated iCCA</w:t>
      </w:r>
    </w:p>
    <w:p w14:paraId="2D76BB3E" w14:textId="79E60A6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To address the inconsistent results reported in previous epidemiological studies, an overview of the most comprehensive meta-analyses exploring the association between HBV infection and iCCA is provided (Table 2). A total of </w:t>
      </w:r>
      <w:r w:rsidR="00717D91">
        <w:rPr>
          <w:rFonts w:ascii="Book Antiqua" w:eastAsia="Book Antiqua" w:hAnsi="Book Antiqua" w:cs="Book Antiqua"/>
          <w:color w:val="000000"/>
        </w:rPr>
        <w:t>six</w:t>
      </w:r>
      <w:r w:rsidRPr="00436841">
        <w:rPr>
          <w:rFonts w:ascii="Book Antiqua" w:eastAsia="Book Antiqua" w:hAnsi="Book Antiqua" w:cs="Book Antiqua"/>
          <w:color w:val="000000"/>
        </w:rPr>
        <w:t xml:space="preserve"> systematic reviews and meta-analyses were retrieved</w:t>
      </w:r>
      <w:r w:rsidRPr="00436841">
        <w:rPr>
          <w:rFonts w:ascii="Book Antiqua" w:eastAsia="Book Antiqua" w:hAnsi="Book Antiqua" w:cs="Book Antiqua"/>
          <w:color w:val="000000"/>
          <w:vertAlign w:val="superscript"/>
        </w:rPr>
        <w:t>[3,38</w:t>
      </w:r>
      <w:r w:rsidR="000354F0" w:rsidRPr="00436841">
        <w:rPr>
          <w:rFonts w:ascii="Book Antiqua" w:eastAsia="Book Antiqua" w:hAnsi="Book Antiqua" w:cs="Book Antiqua"/>
          <w:color w:val="000000"/>
          <w:vertAlign w:val="superscript"/>
        </w:rPr>
        <w:t>-</w:t>
      </w:r>
      <w:r w:rsidRPr="00436841">
        <w:rPr>
          <w:rFonts w:ascii="Book Antiqua" w:eastAsia="Book Antiqua" w:hAnsi="Book Antiqua" w:cs="Book Antiqua"/>
          <w:color w:val="000000"/>
          <w:vertAlign w:val="superscript"/>
        </w:rPr>
        <w:t>42]</w:t>
      </w:r>
      <w:r w:rsidRPr="00436841">
        <w:rPr>
          <w:rFonts w:ascii="Book Antiqua" w:eastAsia="Book Antiqua" w:hAnsi="Book Antiqua" w:cs="Book Antiqua"/>
          <w:color w:val="000000"/>
        </w:rPr>
        <w:t>, two of which focused on</w:t>
      </w:r>
      <w:r w:rsidR="00717D91">
        <w:rPr>
          <w:rFonts w:ascii="Book Antiqua" w:eastAsia="Book Antiqua" w:hAnsi="Book Antiqua" w:cs="Book Antiqua"/>
          <w:color w:val="000000"/>
        </w:rPr>
        <w:t xml:space="preserve"> the</w:t>
      </w:r>
      <w:r w:rsidRPr="00717D91">
        <w:rPr>
          <w:rFonts w:ascii="Book Antiqua" w:eastAsia="Book Antiqua" w:hAnsi="Book Antiqua" w:cs="Book Antiqua"/>
          <w:color w:val="000000"/>
        </w:rPr>
        <w:t xml:space="preserve"> risk factors of iCCA alone</w:t>
      </w:r>
      <w:r w:rsidRPr="00717D91">
        <w:rPr>
          <w:rFonts w:ascii="Book Antiqua" w:eastAsia="Book Antiqua" w:hAnsi="Book Antiqua" w:cs="Book Antiqua"/>
          <w:color w:val="000000"/>
          <w:vertAlign w:val="superscript"/>
        </w:rPr>
        <w:t>[41,42]</w:t>
      </w:r>
      <w:r w:rsidRPr="00717D91">
        <w:rPr>
          <w:rFonts w:ascii="Book Antiqua" w:eastAsia="Book Antiqua" w:hAnsi="Book Antiqua" w:cs="Book Antiqua"/>
          <w:color w:val="000000"/>
        </w:rPr>
        <w:t>. The remaining studies assessed HBV infection as a sole factor or among other risk factors for both iCCA and eCCA</w:t>
      </w:r>
      <w:r w:rsidRPr="002E0D71">
        <w:rPr>
          <w:rFonts w:ascii="Book Antiqua" w:eastAsia="Book Antiqua" w:hAnsi="Book Antiqua" w:cs="Book Antiqua"/>
          <w:color w:val="000000"/>
          <w:vertAlign w:val="superscript"/>
        </w:rPr>
        <w:t>[3,38</w:t>
      </w:r>
      <w:r w:rsidR="000354F0" w:rsidRPr="002E0D71">
        <w:rPr>
          <w:rFonts w:ascii="Book Antiqua" w:eastAsia="Book Antiqua" w:hAnsi="Book Antiqua" w:cs="Book Antiqua"/>
          <w:color w:val="000000"/>
          <w:vertAlign w:val="superscript"/>
        </w:rPr>
        <w:t>-</w:t>
      </w:r>
      <w:r w:rsidRPr="00E110C5">
        <w:rPr>
          <w:rFonts w:ascii="Book Antiqua" w:eastAsia="Book Antiqua" w:hAnsi="Book Antiqua" w:cs="Book Antiqua"/>
          <w:color w:val="000000"/>
          <w:vertAlign w:val="superscript"/>
        </w:rPr>
        <w:t>40]</w:t>
      </w:r>
      <w:r w:rsidRPr="00E110C5">
        <w:rPr>
          <w:rFonts w:ascii="Book Antiqua" w:eastAsia="Book Antiqua" w:hAnsi="Book Antiqua" w:cs="Book Antiqua"/>
          <w:color w:val="000000"/>
        </w:rPr>
        <w:t>. Of these, two meta-analyses were published in 2020 (one from the United Kingdom</w:t>
      </w:r>
      <w:r w:rsidRPr="00326C94">
        <w:rPr>
          <w:rFonts w:ascii="Book Antiqua" w:eastAsia="Book Antiqua" w:hAnsi="Book Antiqua" w:cs="Book Antiqua"/>
          <w:color w:val="000000"/>
          <w:vertAlign w:val="superscript"/>
        </w:rPr>
        <w:t>[3]</w:t>
      </w:r>
      <w:r w:rsidRPr="006B48D6">
        <w:rPr>
          <w:rFonts w:ascii="Book Antiqua" w:eastAsia="Book Antiqua" w:hAnsi="Book Antiqua" w:cs="Book Antiqua"/>
          <w:color w:val="000000"/>
        </w:rPr>
        <w:t xml:space="preserve"> and the other from China</w:t>
      </w:r>
      <w:r w:rsidRPr="00146474">
        <w:rPr>
          <w:rFonts w:ascii="Book Antiqua" w:eastAsia="Book Antiqua" w:hAnsi="Book Antiqua" w:cs="Book Antiqua"/>
          <w:color w:val="000000"/>
          <w:vertAlign w:val="superscript"/>
        </w:rPr>
        <w:t>[38]</w:t>
      </w:r>
      <w:r w:rsidRPr="00146474">
        <w:rPr>
          <w:rFonts w:ascii="Book Antiqua" w:eastAsia="Book Antiqua" w:hAnsi="Book Antiqua" w:cs="Book Antiqua"/>
          <w:color w:val="000000"/>
        </w:rPr>
        <w:t>), one in 2016 from China</w:t>
      </w:r>
      <w:r w:rsidRPr="00436841">
        <w:rPr>
          <w:rFonts w:ascii="Book Antiqua" w:eastAsia="Book Antiqua" w:hAnsi="Book Antiqua" w:cs="Book Antiqua"/>
          <w:color w:val="000000"/>
          <w:vertAlign w:val="superscript"/>
        </w:rPr>
        <w:t>[39]</w:t>
      </w:r>
      <w:r w:rsidRPr="00436841">
        <w:rPr>
          <w:rFonts w:ascii="Book Antiqua" w:eastAsia="Book Antiqua" w:hAnsi="Book Antiqua" w:cs="Book Antiqua"/>
          <w:color w:val="000000"/>
        </w:rPr>
        <w:t xml:space="preserve"> and three in 2012 (two from China</w:t>
      </w:r>
      <w:r w:rsidRPr="00436841">
        <w:rPr>
          <w:rFonts w:ascii="Book Antiqua" w:eastAsia="Book Antiqua" w:hAnsi="Book Antiqua" w:cs="Book Antiqua"/>
          <w:color w:val="000000"/>
          <w:vertAlign w:val="superscript"/>
        </w:rPr>
        <w:t>[40,42]</w:t>
      </w:r>
      <w:r w:rsidRPr="00436841">
        <w:rPr>
          <w:rFonts w:ascii="Book Antiqua" w:eastAsia="Book Antiqua" w:hAnsi="Book Antiqua" w:cs="Book Antiqua"/>
          <w:color w:val="000000"/>
        </w:rPr>
        <w:t xml:space="preserve"> and one from the U</w:t>
      </w:r>
      <w:r w:rsidR="00426783" w:rsidRPr="00436841">
        <w:rPr>
          <w:rFonts w:ascii="Book Antiqua" w:eastAsia="Book Antiqua" w:hAnsi="Book Antiqua" w:cs="Book Antiqua"/>
          <w:color w:val="000000"/>
        </w:rPr>
        <w:t>nited States</w:t>
      </w:r>
      <w:r w:rsidRPr="00436841">
        <w:rPr>
          <w:rFonts w:ascii="Book Antiqua" w:eastAsia="Book Antiqua" w:hAnsi="Book Antiqua" w:cs="Book Antiqua"/>
          <w:color w:val="000000"/>
          <w:vertAlign w:val="superscript"/>
        </w:rPr>
        <w:t>[41]</w:t>
      </w:r>
      <w:r w:rsidRPr="00436841">
        <w:rPr>
          <w:rFonts w:ascii="Book Antiqua" w:eastAsia="Book Antiqua" w:hAnsi="Book Antiqua" w:cs="Book Antiqua"/>
          <w:color w:val="000000"/>
        </w:rPr>
        <w:t xml:space="preserve">). In </w:t>
      </w:r>
      <w:r w:rsidR="00717D91">
        <w:rPr>
          <w:rFonts w:ascii="Book Antiqua" w:eastAsia="Book Antiqua" w:hAnsi="Book Antiqua" w:cs="Book Antiqua"/>
          <w:color w:val="000000"/>
        </w:rPr>
        <w:t>four</w:t>
      </w:r>
      <w:r w:rsidR="00717D91" w:rsidRPr="00717D91">
        <w:rPr>
          <w:rFonts w:ascii="Book Antiqua" w:eastAsia="Book Antiqua" w:hAnsi="Book Antiqua" w:cs="Book Antiqua"/>
          <w:color w:val="000000"/>
        </w:rPr>
        <w:t xml:space="preserve"> </w:t>
      </w:r>
      <w:r w:rsidRPr="00717D91">
        <w:rPr>
          <w:rFonts w:ascii="Book Antiqua" w:eastAsia="Book Antiqua" w:hAnsi="Book Antiqua" w:cs="Book Antiqua"/>
          <w:color w:val="000000"/>
        </w:rPr>
        <w:t>meta-analyses, the population of the primary epidemiological studies originated from both Eastern and Western countries</w:t>
      </w:r>
      <w:r w:rsidRPr="00717D91">
        <w:rPr>
          <w:rFonts w:ascii="Book Antiqua" w:eastAsia="Book Antiqua" w:hAnsi="Book Antiqua" w:cs="Book Antiqua"/>
          <w:color w:val="000000"/>
          <w:vertAlign w:val="superscript"/>
        </w:rPr>
        <w:t>[3,40</w:t>
      </w:r>
      <w:r w:rsidR="000354F0" w:rsidRPr="00717D91">
        <w:rPr>
          <w:rFonts w:ascii="Book Antiqua" w:eastAsia="Book Antiqua" w:hAnsi="Book Antiqua" w:cs="Book Antiqua"/>
          <w:color w:val="000000"/>
          <w:vertAlign w:val="superscript"/>
        </w:rPr>
        <w:t>-</w:t>
      </w:r>
      <w:r w:rsidRPr="00717D91">
        <w:rPr>
          <w:rFonts w:ascii="Book Antiqua" w:eastAsia="Book Antiqua" w:hAnsi="Book Antiqua" w:cs="Book Antiqua"/>
          <w:color w:val="000000"/>
          <w:vertAlign w:val="superscript"/>
        </w:rPr>
        <w:t>42]</w:t>
      </w:r>
      <w:r w:rsidRPr="00717D91">
        <w:rPr>
          <w:rFonts w:ascii="Book Antiqua" w:eastAsia="Book Antiqua" w:hAnsi="Book Antiqua" w:cs="Book Antiqua"/>
          <w:color w:val="000000"/>
        </w:rPr>
        <w:t xml:space="preserve">, whereas the remaining </w:t>
      </w:r>
      <w:r w:rsidR="00717D91">
        <w:rPr>
          <w:rFonts w:ascii="Book Antiqua" w:eastAsia="Book Antiqua" w:hAnsi="Book Antiqua" w:cs="Book Antiqua"/>
          <w:color w:val="000000"/>
        </w:rPr>
        <w:t>two</w:t>
      </w:r>
      <w:r w:rsidRPr="00436841">
        <w:rPr>
          <w:rFonts w:ascii="Book Antiqua" w:eastAsia="Book Antiqua" w:hAnsi="Book Antiqua" w:cs="Book Antiqua"/>
          <w:color w:val="000000"/>
        </w:rPr>
        <w:t xml:space="preserve"> meta-analyses included studies only from Asia</w:t>
      </w:r>
      <w:r w:rsidRPr="00436841">
        <w:rPr>
          <w:rFonts w:ascii="Book Antiqua" w:eastAsia="Book Antiqua" w:hAnsi="Book Antiqua" w:cs="Book Antiqua"/>
          <w:color w:val="000000"/>
          <w:vertAlign w:val="superscript"/>
        </w:rPr>
        <w:t>[38,39]</w:t>
      </w:r>
      <w:r w:rsidRPr="00436841">
        <w:rPr>
          <w:rFonts w:ascii="Book Antiqua" w:eastAsia="Book Antiqua" w:hAnsi="Book Antiqua" w:cs="Book Antiqua"/>
          <w:color w:val="000000"/>
        </w:rPr>
        <w:t xml:space="preserve">. The period of data collection among these primary studies ranged from 1987 to 2014. </w:t>
      </w:r>
    </w:p>
    <w:p w14:paraId="3EF9F9AA" w14:textId="092A01E4" w:rsidR="006B6B7F" w:rsidRDefault="0048774A" w:rsidP="00D866CC">
      <w:pPr>
        <w:spacing w:line="360" w:lineRule="auto"/>
        <w:ind w:firstLineChars="112" w:firstLine="269"/>
        <w:jc w:val="both"/>
        <w:rPr>
          <w:rFonts w:ascii="Book Antiqua" w:hAnsi="Book Antiqua"/>
        </w:rPr>
      </w:pPr>
      <w:r w:rsidRPr="00436841">
        <w:rPr>
          <w:rFonts w:ascii="Book Antiqua" w:eastAsia="Book Antiqua" w:hAnsi="Book Antiqua" w:cs="Book Antiqua"/>
          <w:color w:val="000000"/>
        </w:rPr>
        <w:t xml:space="preserve">All </w:t>
      </w:r>
      <w:r w:rsidR="00717D91">
        <w:rPr>
          <w:rFonts w:ascii="Book Antiqua" w:eastAsia="Book Antiqua" w:hAnsi="Book Antiqua" w:cs="Book Antiqua"/>
          <w:color w:val="000000"/>
        </w:rPr>
        <w:t xml:space="preserve">of </w:t>
      </w:r>
      <w:r w:rsidRPr="00717D91">
        <w:rPr>
          <w:rFonts w:ascii="Book Antiqua" w:eastAsia="Book Antiqua" w:hAnsi="Book Antiqua" w:cs="Book Antiqua"/>
          <w:color w:val="000000"/>
        </w:rPr>
        <w:t xml:space="preserve">the included meta-analyses suggested that HBV infection </w:t>
      </w:r>
      <w:r w:rsidR="00717D91">
        <w:rPr>
          <w:rFonts w:ascii="Book Antiqua" w:eastAsia="Book Antiqua" w:hAnsi="Book Antiqua" w:cs="Book Antiqua"/>
          <w:color w:val="000000"/>
        </w:rPr>
        <w:t>was</w:t>
      </w:r>
      <w:r w:rsidR="00717D91" w:rsidRPr="00717D91">
        <w:rPr>
          <w:rFonts w:ascii="Book Antiqua" w:eastAsia="Book Antiqua" w:hAnsi="Book Antiqua" w:cs="Book Antiqua"/>
          <w:color w:val="000000"/>
        </w:rPr>
        <w:t xml:space="preserve"> </w:t>
      </w:r>
      <w:r w:rsidRPr="00717D91">
        <w:rPr>
          <w:rFonts w:ascii="Book Antiqua" w:eastAsia="Book Antiqua" w:hAnsi="Book Antiqua" w:cs="Book Antiqua"/>
          <w:color w:val="000000"/>
        </w:rPr>
        <w:t>significantly associated with an increased risk of iCCA (range of pooled OR = 3.17</w:t>
      </w:r>
      <w:r w:rsidR="000354F0" w:rsidRPr="002E0D71">
        <w:rPr>
          <w:rFonts w:ascii="Book Antiqua" w:eastAsia="Book Antiqua" w:hAnsi="Book Antiqua" w:cs="Book Antiqua"/>
          <w:color w:val="000000"/>
        </w:rPr>
        <w:t>-</w:t>
      </w:r>
      <w:r w:rsidRPr="002E0D71">
        <w:rPr>
          <w:rFonts w:ascii="Book Antiqua" w:eastAsia="Book Antiqua" w:hAnsi="Book Antiqua" w:cs="Book Antiqua"/>
          <w:color w:val="000000"/>
        </w:rPr>
        <w:t>5.98)</w:t>
      </w:r>
      <w:r w:rsidRPr="00E110C5">
        <w:rPr>
          <w:rFonts w:ascii="Book Antiqua" w:eastAsia="Book Antiqua" w:hAnsi="Book Antiqua" w:cs="Book Antiqua"/>
          <w:color w:val="000000"/>
          <w:vertAlign w:val="superscript"/>
        </w:rPr>
        <w:t>[3,38</w:t>
      </w:r>
      <w:r w:rsidR="000354F0" w:rsidRPr="00E110C5">
        <w:rPr>
          <w:rFonts w:ascii="Book Antiqua" w:eastAsia="Book Antiqua" w:hAnsi="Book Antiqua" w:cs="Book Antiqua"/>
          <w:color w:val="000000"/>
          <w:vertAlign w:val="superscript"/>
        </w:rPr>
        <w:t>-</w:t>
      </w:r>
      <w:r w:rsidRPr="00E110C5">
        <w:rPr>
          <w:rFonts w:ascii="Book Antiqua" w:eastAsia="Book Antiqua" w:hAnsi="Book Antiqua" w:cs="Book Antiqua"/>
          <w:color w:val="000000"/>
          <w:vertAlign w:val="superscript"/>
        </w:rPr>
        <w:t>42]</w:t>
      </w:r>
      <w:r w:rsidRPr="00326C94">
        <w:rPr>
          <w:rFonts w:ascii="Book Antiqua" w:eastAsia="Book Antiqua" w:hAnsi="Book Antiqua" w:cs="Book Antiqua"/>
          <w:color w:val="000000"/>
        </w:rPr>
        <w:t xml:space="preserve">. A moderate to severe degree of statistical heterogeneity was noted across the primary epidemiological studies, as assessed by Cochran’s Q and </w:t>
      </w:r>
      <w:r w:rsidRPr="00326C94">
        <w:rPr>
          <w:rFonts w:ascii="Book Antiqua" w:eastAsia="Book Antiqua" w:hAnsi="Book Antiqua" w:cs="Book Antiqua"/>
          <w:i/>
          <w:color w:val="000000"/>
        </w:rPr>
        <w:t>I</w:t>
      </w:r>
      <w:r w:rsidRPr="006B48D6">
        <w:rPr>
          <w:rFonts w:ascii="Book Antiqua" w:eastAsia="Book Antiqua" w:hAnsi="Book Antiqua" w:cs="Book Antiqua"/>
          <w:i/>
          <w:color w:val="000000"/>
          <w:vertAlign w:val="superscript"/>
        </w:rPr>
        <w:t>2</w:t>
      </w:r>
      <w:r w:rsidRPr="00146474">
        <w:rPr>
          <w:rFonts w:ascii="Book Antiqua" w:eastAsia="Book Antiqua" w:hAnsi="Book Antiqua" w:cs="Book Antiqua"/>
          <w:color w:val="000000"/>
        </w:rPr>
        <w:t xml:space="preserve"> statistic (Table 2). Publication bias was identified in two meta-analyses</w:t>
      </w:r>
      <w:r w:rsidRPr="00436841">
        <w:rPr>
          <w:rFonts w:ascii="Book Antiqua" w:eastAsia="Book Antiqua" w:hAnsi="Book Antiqua" w:cs="Book Antiqua"/>
          <w:color w:val="000000"/>
          <w:vertAlign w:val="superscript"/>
        </w:rPr>
        <w:t>[38,42]</w:t>
      </w:r>
      <w:r w:rsidRPr="00436841">
        <w:rPr>
          <w:rFonts w:ascii="Book Antiqua" w:eastAsia="Book Antiqua" w:hAnsi="Book Antiqua" w:cs="Book Antiqua"/>
          <w:color w:val="000000"/>
        </w:rPr>
        <w:t xml:space="preserve">. </w:t>
      </w:r>
    </w:p>
    <w:p w14:paraId="16EBB4D2" w14:textId="2B972DAB" w:rsidR="006B6B7F" w:rsidRDefault="0048774A" w:rsidP="00D866CC">
      <w:pPr>
        <w:spacing w:line="360" w:lineRule="auto"/>
        <w:ind w:firstLineChars="112" w:firstLine="269"/>
        <w:jc w:val="both"/>
        <w:rPr>
          <w:rFonts w:ascii="Book Antiqua" w:hAnsi="Book Antiqua"/>
        </w:rPr>
      </w:pPr>
      <w:r w:rsidRPr="00436841">
        <w:rPr>
          <w:rFonts w:ascii="Book Antiqua" w:eastAsia="Book Antiqua" w:hAnsi="Book Antiqua" w:cs="Book Antiqua"/>
          <w:color w:val="000000"/>
        </w:rPr>
        <w:lastRenderedPageBreak/>
        <w:t xml:space="preserve">To </w:t>
      </w:r>
      <w:r w:rsidR="002E0D71">
        <w:rPr>
          <w:rFonts w:ascii="Book Antiqua" w:eastAsia="Book Antiqua" w:hAnsi="Book Antiqua" w:cs="Book Antiqua"/>
          <w:color w:val="000000"/>
        </w:rPr>
        <w:t xml:space="preserve">the best of </w:t>
      </w:r>
      <w:r w:rsidRPr="002E0D71">
        <w:rPr>
          <w:rFonts w:ascii="Book Antiqua" w:eastAsia="Book Antiqua" w:hAnsi="Book Antiqua" w:cs="Book Antiqua"/>
          <w:color w:val="000000"/>
        </w:rPr>
        <w:t xml:space="preserve">our knowledge, the most up-to-date systematic review and meta-analysis </w:t>
      </w:r>
      <w:r w:rsidR="002E0D71">
        <w:rPr>
          <w:rFonts w:ascii="Book Antiqua" w:eastAsia="Book Antiqua" w:hAnsi="Book Antiqua" w:cs="Book Antiqua"/>
          <w:color w:val="000000"/>
        </w:rPr>
        <w:t>were</w:t>
      </w:r>
      <w:r w:rsidR="002E0D71" w:rsidRPr="002E0D71">
        <w:rPr>
          <w:rFonts w:ascii="Book Antiqua" w:eastAsia="Book Antiqua" w:hAnsi="Book Antiqua" w:cs="Book Antiqua"/>
          <w:color w:val="000000"/>
        </w:rPr>
        <w:t xml:space="preserve"> </w:t>
      </w:r>
      <w:r w:rsidRPr="002E0D71">
        <w:rPr>
          <w:rFonts w:ascii="Book Antiqua" w:eastAsia="Book Antiqua" w:hAnsi="Book Antiqua" w:cs="Book Antiqua"/>
          <w:color w:val="000000"/>
        </w:rPr>
        <w:t xml:space="preserve">performed by Clements </w:t>
      </w:r>
      <w:r w:rsidRPr="002E0D71">
        <w:rPr>
          <w:rFonts w:ascii="Book Antiqua" w:eastAsia="Book Antiqua" w:hAnsi="Book Antiqua" w:cs="Book Antiqua"/>
          <w:i/>
          <w:iCs/>
          <w:color w:val="000000"/>
        </w:rPr>
        <w:t>et al</w:t>
      </w:r>
      <w:r w:rsidR="00CD047D" w:rsidRPr="002E0D71">
        <w:rPr>
          <w:rFonts w:ascii="Book Antiqua" w:eastAsia="Book Antiqua" w:hAnsi="Book Antiqua" w:cs="Book Antiqua"/>
          <w:color w:val="000000"/>
          <w:vertAlign w:val="superscript"/>
        </w:rPr>
        <w:t>[3]</w:t>
      </w:r>
      <w:r w:rsidRPr="002E0D71">
        <w:rPr>
          <w:rFonts w:ascii="Book Antiqua" w:eastAsia="Book Antiqua" w:hAnsi="Book Antiqua" w:cs="Book Antiqua"/>
          <w:color w:val="000000"/>
        </w:rPr>
        <w:t xml:space="preserve"> in 2020. A total of 13 risk factors, including HBV, were evaluated for iCCA and eCCA. Eighteen case-control studies were included to study the association between HBV and iCCA. The pooled risk estimate (OR = 4.57; 95%CI: 3.43-6.09) showed a statistically significant increased risk of iCCA with HBV infection. Furthermore, meta-regression analysis indicated that in Eastern countries, HBV conferred a greater risk of iCCA than in</w:t>
      </w:r>
      <w:r w:rsidRPr="00E110C5">
        <w:rPr>
          <w:rFonts w:ascii="Book Antiqua" w:eastAsia="Book Antiqua" w:hAnsi="Book Antiqua" w:cs="Book Antiqua"/>
          <w:color w:val="000000"/>
        </w:rPr>
        <w:t xml:space="preserve"> Western countries. Similar geographical differences for the association of HBV with iCCA have been reported by Li </w:t>
      </w:r>
      <w:r w:rsidRPr="00326C94">
        <w:rPr>
          <w:rFonts w:ascii="Book Antiqua" w:eastAsia="Book Antiqua" w:hAnsi="Book Antiqua" w:cs="Book Antiqua"/>
          <w:i/>
          <w:iCs/>
          <w:color w:val="000000"/>
        </w:rPr>
        <w:t>et al</w:t>
      </w:r>
      <w:r w:rsidRPr="00326C94">
        <w:rPr>
          <w:rFonts w:ascii="Book Antiqua" w:eastAsia="Book Antiqua" w:hAnsi="Book Antiqua" w:cs="Book Antiqua"/>
          <w:color w:val="000000"/>
          <w:vertAlign w:val="superscript"/>
        </w:rPr>
        <w:t>[40]</w:t>
      </w:r>
      <w:r w:rsidRPr="00326C94">
        <w:rPr>
          <w:rFonts w:ascii="Book Antiqua" w:eastAsia="Book Antiqua" w:hAnsi="Book Antiqua" w:cs="Book Antiqua"/>
          <w:color w:val="000000"/>
        </w:rPr>
        <w:t xml:space="preserve">, however Palmer </w:t>
      </w:r>
      <w:r w:rsidR="00CD047D" w:rsidRPr="00436841">
        <w:rPr>
          <w:rFonts w:ascii="Book Antiqua" w:eastAsia="Book Antiqua" w:hAnsi="Book Antiqua" w:cs="Book Antiqua"/>
          <w:color w:val="000000"/>
        </w:rPr>
        <w:t>and</w:t>
      </w:r>
      <w:r w:rsidR="00CD047D" w:rsidRPr="00436841">
        <w:rPr>
          <w:rFonts w:ascii="Book Antiqua" w:eastAsia="Book Antiqua" w:hAnsi="Book Antiqua" w:cs="Book Antiqua"/>
          <w:i/>
          <w:iCs/>
          <w:color w:val="000000"/>
        </w:rPr>
        <w:t xml:space="preserve"> </w:t>
      </w:r>
      <w:r w:rsidR="00CD047D" w:rsidRPr="00436841">
        <w:rPr>
          <w:rFonts w:ascii="Book Antiqua" w:eastAsia="Book Antiqua" w:hAnsi="Book Antiqua" w:cs="Book Antiqua"/>
          <w:color w:val="000000"/>
        </w:rPr>
        <w:t>Patel</w:t>
      </w:r>
      <w:r w:rsidRPr="00436841">
        <w:rPr>
          <w:rFonts w:ascii="Book Antiqua" w:eastAsia="Book Antiqua" w:hAnsi="Book Antiqua" w:cs="Book Antiqua"/>
          <w:color w:val="000000"/>
          <w:vertAlign w:val="superscript"/>
        </w:rPr>
        <w:t>[41]</w:t>
      </w:r>
      <w:r w:rsidRPr="00436841">
        <w:rPr>
          <w:rFonts w:ascii="Book Antiqua" w:eastAsia="Book Antiqua" w:hAnsi="Book Antiqua" w:cs="Book Antiqua"/>
          <w:color w:val="000000"/>
        </w:rPr>
        <w:t xml:space="preserve"> did not reveal any significant difference between Eastern and Western populations.</w:t>
      </w:r>
    </w:p>
    <w:p w14:paraId="6B848965" w14:textId="77777777" w:rsidR="00A77B3E" w:rsidRPr="00436841" w:rsidRDefault="00A77B3E" w:rsidP="00ED58D3">
      <w:pPr>
        <w:spacing w:line="360" w:lineRule="auto"/>
        <w:jc w:val="both"/>
        <w:rPr>
          <w:rFonts w:ascii="Book Antiqua" w:hAnsi="Book Antiqua"/>
        </w:rPr>
      </w:pPr>
    </w:p>
    <w:p w14:paraId="5697CEDE" w14:textId="77777777" w:rsidR="00A77B3E" w:rsidRPr="00436841" w:rsidRDefault="0048774A" w:rsidP="00ED58D3">
      <w:pPr>
        <w:spacing w:line="360" w:lineRule="auto"/>
        <w:jc w:val="both"/>
        <w:rPr>
          <w:rFonts w:ascii="Book Antiqua" w:hAnsi="Book Antiqua"/>
          <w:u w:val="single"/>
        </w:rPr>
      </w:pPr>
      <w:r w:rsidRPr="00436841">
        <w:rPr>
          <w:rFonts w:ascii="Book Antiqua" w:eastAsia="Book Antiqua" w:hAnsi="Book Antiqua" w:cs="Book Antiqua"/>
          <w:b/>
          <w:bCs/>
          <w:color w:val="000000"/>
          <w:u w:val="single"/>
        </w:rPr>
        <w:t xml:space="preserve">PATHOGENESIS OF HBV-ASSOCIATED </w:t>
      </w:r>
      <w:r w:rsidR="005216A8" w:rsidRPr="00436841">
        <w:rPr>
          <w:rFonts w:ascii="Book Antiqua" w:hAnsi="Book Antiqua" w:cs="Book Antiqua"/>
          <w:b/>
          <w:bCs/>
          <w:color w:val="000000"/>
          <w:u w:val="single"/>
          <w:lang w:eastAsia="zh-CN"/>
        </w:rPr>
        <w:t>I</w:t>
      </w:r>
      <w:r w:rsidRPr="00436841">
        <w:rPr>
          <w:rFonts w:ascii="Book Antiqua" w:eastAsia="Book Antiqua" w:hAnsi="Book Antiqua" w:cs="Book Antiqua"/>
          <w:b/>
          <w:bCs/>
          <w:color w:val="000000"/>
          <w:u w:val="single"/>
        </w:rPr>
        <w:t xml:space="preserve">CCA </w:t>
      </w:r>
    </w:p>
    <w:p w14:paraId="18E7F923" w14:textId="077F4F39" w:rsidR="00A77B3E" w:rsidRPr="00E110C5"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Cholangiocarcinoma is a multifactorial heterogeneous disease of diverse predisposing factors. However, regardless of underlying etiology, chronic inflammation seems to be a common denominator of most risk factors for CCA as they are usually associated with inflammation or cholestasis. Chronic inflammation leads to increased production of a multitude of inflammatory mediators such as interleukin-6 (IL-6), </w:t>
      </w:r>
      <w:r w:rsidR="006B1A0F" w:rsidRPr="00436841">
        <w:rPr>
          <w:rFonts w:ascii="Book Antiqua" w:eastAsia="Book Antiqua" w:hAnsi="Book Antiqua" w:cs="Book Antiqua"/>
          <w:color w:val="000000"/>
        </w:rPr>
        <w:t>t</w:t>
      </w:r>
      <w:r w:rsidRPr="00436841">
        <w:rPr>
          <w:rFonts w:ascii="Book Antiqua" w:eastAsia="Book Antiqua" w:hAnsi="Book Antiqua" w:cs="Book Antiqua"/>
          <w:color w:val="000000"/>
        </w:rPr>
        <w:t xml:space="preserve">umor </w:t>
      </w:r>
      <w:r w:rsidR="006B1A0F" w:rsidRPr="00436841">
        <w:rPr>
          <w:rFonts w:ascii="Book Antiqua" w:eastAsia="Book Antiqua" w:hAnsi="Book Antiqua" w:cs="Book Antiqua"/>
          <w:color w:val="000000"/>
        </w:rPr>
        <w:t>n</w:t>
      </w:r>
      <w:r w:rsidRPr="00436841">
        <w:rPr>
          <w:rFonts w:ascii="Book Antiqua" w:eastAsia="Book Antiqua" w:hAnsi="Book Antiqua" w:cs="Book Antiqua"/>
          <w:color w:val="000000"/>
        </w:rPr>
        <w:t xml:space="preserve">ecrosis </w:t>
      </w:r>
      <w:r w:rsidR="006B1A0F" w:rsidRPr="00436841">
        <w:rPr>
          <w:rFonts w:ascii="Book Antiqua" w:eastAsia="Book Antiqua" w:hAnsi="Book Antiqua" w:cs="Book Antiqua"/>
          <w:color w:val="000000"/>
        </w:rPr>
        <w:t>f</w:t>
      </w:r>
      <w:r w:rsidRPr="00436841">
        <w:rPr>
          <w:rFonts w:ascii="Book Antiqua" w:eastAsia="Book Antiqua" w:hAnsi="Book Antiqua" w:cs="Book Antiqua"/>
          <w:color w:val="000000"/>
        </w:rPr>
        <w:t xml:space="preserve">actor (TNF), </w:t>
      </w:r>
      <w:r w:rsidR="002E0D71">
        <w:rPr>
          <w:rFonts w:ascii="Book Antiqua" w:eastAsia="Book Antiqua" w:hAnsi="Book Antiqua" w:cs="Book Antiqua"/>
          <w:color w:val="000000"/>
        </w:rPr>
        <w:t>c</w:t>
      </w:r>
      <w:r w:rsidRPr="00436841">
        <w:rPr>
          <w:rFonts w:ascii="Book Antiqua" w:eastAsia="Book Antiqua" w:hAnsi="Book Antiqua" w:cs="Book Antiqua"/>
          <w:color w:val="000000"/>
        </w:rPr>
        <w:t>yclooxygenase-2</w:t>
      </w:r>
      <w:r w:rsidR="002E0D71">
        <w:rPr>
          <w:rFonts w:ascii="Book Antiqua" w:eastAsia="Book Antiqua" w:hAnsi="Book Antiqua" w:cs="Book Antiqua"/>
          <w:color w:val="000000"/>
        </w:rPr>
        <w:t>,</w:t>
      </w:r>
      <w:r w:rsidRPr="002E0D71">
        <w:rPr>
          <w:rFonts w:ascii="Book Antiqua" w:eastAsia="Book Antiqua" w:hAnsi="Book Antiqua" w:cs="Book Antiqua"/>
          <w:color w:val="000000"/>
        </w:rPr>
        <w:t xml:space="preserve"> and Wnt, resulting in an “activated” environment favoring successive mutations of tumor suppressor genes, and other oncogenes. Other mediators found to be upregulated in CCA include </w:t>
      </w:r>
      <w:r w:rsidR="006B1A0F" w:rsidRPr="002E0D71">
        <w:rPr>
          <w:rFonts w:ascii="Book Antiqua" w:eastAsia="Book Antiqua" w:hAnsi="Book Antiqua" w:cs="Book Antiqua"/>
          <w:color w:val="000000"/>
        </w:rPr>
        <w:t>t</w:t>
      </w:r>
      <w:r w:rsidRPr="002E0D71">
        <w:rPr>
          <w:rFonts w:ascii="Book Antiqua" w:eastAsia="Book Antiqua" w:hAnsi="Book Antiqua" w:cs="Book Antiqua"/>
          <w:color w:val="000000"/>
        </w:rPr>
        <w:t xml:space="preserve">ransforming </w:t>
      </w:r>
      <w:r w:rsidR="006B1A0F" w:rsidRPr="002E0D71">
        <w:rPr>
          <w:rFonts w:ascii="Book Antiqua" w:eastAsia="Book Antiqua" w:hAnsi="Book Antiqua" w:cs="Book Antiqua"/>
          <w:color w:val="000000"/>
        </w:rPr>
        <w:t>g</w:t>
      </w:r>
      <w:r w:rsidRPr="002E0D71">
        <w:rPr>
          <w:rFonts w:ascii="Book Antiqua" w:eastAsia="Book Antiqua" w:hAnsi="Book Antiqua" w:cs="Book Antiqua"/>
          <w:color w:val="000000"/>
        </w:rPr>
        <w:t xml:space="preserve">rowth </w:t>
      </w:r>
      <w:r w:rsidR="006B1A0F" w:rsidRPr="002E0D71">
        <w:rPr>
          <w:rFonts w:ascii="Book Antiqua" w:eastAsia="Book Antiqua" w:hAnsi="Book Antiqua" w:cs="Book Antiqua"/>
          <w:color w:val="000000"/>
        </w:rPr>
        <w:t>f</w:t>
      </w:r>
      <w:r w:rsidRPr="002E0D71">
        <w:rPr>
          <w:rFonts w:ascii="Book Antiqua" w:eastAsia="Book Antiqua" w:hAnsi="Book Antiqua" w:cs="Book Antiqua"/>
          <w:color w:val="000000"/>
        </w:rPr>
        <w:t>actor</w:t>
      </w:r>
      <w:r w:rsidR="002E0D71">
        <w:rPr>
          <w:rFonts w:ascii="Book Antiqua" w:eastAsia="Book Antiqua" w:hAnsi="Book Antiqua" w:cs="Book Antiqua"/>
          <w:color w:val="000000"/>
        </w:rPr>
        <w:t xml:space="preserve"> beta</w:t>
      </w:r>
      <w:r w:rsidR="006B1A0F" w:rsidRPr="002E0D71">
        <w:rPr>
          <w:rFonts w:ascii="Book Antiqua" w:eastAsia="Book Antiqua" w:hAnsi="Book Antiqua" w:cs="Book Antiqua"/>
          <w:color w:val="000000"/>
        </w:rPr>
        <w:t xml:space="preserve"> (TGF</w:t>
      </w:r>
      <w:r w:rsidRPr="002E0D71">
        <w:rPr>
          <w:rFonts w:ascii="Book Antiqua" w:eastAsia="Book Antiqua" w:hAnsi="Book Antiqua" w:cs="Book Antiqua"/>
          <w:color w:val="000000"/>
        </w:rPr>
        <w:t>-β</w:t>
      </w:r>
      <w:r w:rsidR="002E0D71">
        <w:rPr>
          <w:rFonts w:ascii="Book Antiqua" w:eastAsia="Book Antiqua" w:hAnsi="Book Antiqua" w:cs="Book Antiqua"/>
          <w:color w:val="000000"/>
        </w:rPr>
        <w:t>)</w:t>
      </w:r>
      <w:r w:rsidRPr="002E0D71">
        <w:rPr>
          <w:rFonts w:ascii="Book Antiqua" w:eastAsia="Book Antiqua" w:hAnsi="Book Antiqua" w:cs="Book Antiqua"/>
          <w:color w:val="000000"/>
        </w:rPr>
        <w:t xml:space="preserve">, </w:t>
      </w:r>
      <w:r w:rsidR="006B1A0F" w:rsidRPr="002E0D71">
        <w:rPr>
          <w:rFonts w:ascii="Book Antiqua" w:eastAsia="Book Antiqua" w:hAnsi="Book Antiqua" w:cs="Book Antiqua"/>
          <w:color w:val="000000"/>
        </w:rPr>
        <w:t>v</w:t>
      </w:r>
      <w:r w:rsidRPr="002E0D71">
        <w:rPr>
          <w:rFonts w:ascii="Book Antiqua" w:eastAsia="Book Antiqua" w:hAnsi="Book Antiqua" w:cs="Book Antiqua"/>
          <w:color w:val="000000"/>
        </w:rPr>
        <w:t xml:space="preserve">ascular </w:t>
      </w:r>
      <w:r w:rsidR="006B1A0F" w:rsidRPr="002E0D71">
        <w:rPr>
          <w:rFonts w:ascii="Book Antiqua" w:eastAsia="Book Antiqua" w:hAnsi="Book Antiqua" w:cs="Book Antiqua"/>
          <w:color w:val="000000"/>
        </w:rPr>
        <w:t>e</w:t>
      </w:r>
      <w:r w:rsidRPr="002E0D71">
        <w:rPr>
          <w:rFonts w:ascii="Book Antiqua" w:eastAsia="Book Antiqua" w:hAnsi="Book Antiqua" w:cs="Book Antiqua"/>
          <w:color w:val="000000"/>
        </w:rPr>
        <w:t xml:space="preserve">ndothelial </w:t>
      </w:r>
      <w:r w:rsidR="006B1A0F" w:rsidRPr="002E0D71">
        <w:rPr>
          <w:rFonts w:ascii="Book Antiqua" w:eastAsia="Book Antiqua" w:hAnsi="Book Antiqua" w:cs="Book Antiqua"/>
          <w:color w:val="000000"/>
        </w:rPr>
        <w:t>g</w:t>
      </w:r>
      <w:r w:rsidRPr="00E110C5">
        <w:rPr>
          <w:rFonts w:ascii="Book Antiqua" w:eastAsia="Book Antiqua" w:hAnsi="Book Antiqua" w:cs="Book Antiqua"/>
          <w:color w:val="000000"/>
        </w:rPr>
        <w:t xml:space="preserve">rowth </w:t>
      </w:r>
      <w:r w:rsidR="006B1A0F" w:rsidRPr="00E110C5">
        <w:rPr>
          <w:rFonts w:ascii="Book Antiqua" w:eastAsia="Book Antiqua" w:hAnsi="Book Antiqua" w:cs="Book Antiqua"/>
          <w:color w:val="000000"/>
        </w:rPr>
        <w:t>f</w:t>
      </w:r>
      <w:r w:rsidRPr="00E110C5">
        <w:rPr>
          <w:rFonts w:ascii="Book Antiqua" w:eastAsia="Book Antiqua" w:hAnsi="Book Antiqua" w:cs="Book Antiqua"/>
          <w:color w:val="000000"/>
        </w:rPr>
        <w:t xml:space="preserve">actor, </w:t>
      </w:r>
      <w:r w:rsidR="006B1A0F" w:rsidRPr="00E110C5">
        <w:rPr>
          <w:rFonts w:ascii="Book Antiqua" w:eastAsia="Book Antiqua" w:hAnsi="Book Antiqua" w:cs="Book Antiqua"/>
          <w:color w:val="000000"/>
        </w:rPr>
        <w:t>h</w:t>
      </w:r>
      <w:r w:rsidRPr="00E110C5">
        <w:rPr>
          <w:rFonts w:ascii="Book Antiqua" w:eastAsia="Book Antiqua" w:hAnsi="Book Antiqua" w:cs="Book Antiqua"/>
          <w:color w:val="000000"/>
        </w:rPr>
        <w:t xml:space="preserve">epatocyte </w:t>
      </w:r>
      <w:r w:rsidR="006B1A0F" w:rsidRPr="00E110C5">
        <w:rPr>
          <w:rFonts w:ascii="Book Antiqua" w:eastAsia="Book Antiqua" w:hAnsi="Book Antiqua" w:cs="Book Antiqua"/>
          <w:color w:val="000000"/>
        </w:rPr>
        <w:t>g</w:t>
      </w:r>
      <w:r w:rsidRPr="00E110C5">
        <w:rPr>
          <w:rFonts w:ascii="Book Antiqua" w:eastAsia="Book Antiqua" w:hAnsi="Book Antiqua" w:cs="Book Antiqua"/>
          <w:color w:val="000000"/>
        </w:rPr>
        <w:t xml:space="preserve">rowth </w:t>
      </w:r>
      <w:r w:rsidR="006B1A0F" w:rsidRPr="00E110C5">
        <w:rPr>
          <w:rFonts w:ascii="Book Antiqua" w:eastAsia="Book Antiqua" w:hAnsi="Book Antiqua" w:cs="Book Antiqua"/>
          <w:color w:val="000000"/>
        </w:rPr>
        <w:t>f</w:t>
      </w:r>
      <w:r w:rsidRPr="00326C94">
        <w:rPr>
          <w:rFonts w:ascii="Book Antiqua" w:eastAsia="Book Antiqua" w:hAnsi="Book Antiqua" w:cs="Book Antiqua"/>
          <w:color w:val="000000"/>
        </w:rPr>
        <w:t>actor</w:t>
      </w:r>
      <w:r w:rsidR="002E0D71">
        <w:rPr>
          <w:rFonts w:ascii="Book Antiqua" w:eastAsia="Book Antiqua" w:hAnsi="Book Antiqua" w:cs="Book Antiqua"/>
          <w:color w:val="000000"/>
        </w:rPr>
        <w:t>,</w:t>
      </w:r>
      <w:r w:rsidRPr="002E0D71">
        <w:rPr>
          <w:rFonts w:ascii="Book Antiqua" w:eastAsia="Book Antiqua" w:hAnsi="Book Antiqua" w:cs="Book Antiqua"/>
          <w:color w:val="000000"/>
        </w:rPr>
        <w:t xml:space="preserve"> and several microRNAs</w:t>
      </w:r>
      <w:r w:rsidRPr="00E110C5">
        <w:rPr>
          <w:rFonts w:ascii="Book Antiqua" w:eastAsia="Book Antiqua" w:hAnsi="Book Antiqua" w:cs="Book Antiqua"/>
          <w:color w:val="000000"/>
          <w:vertAlign w:val="superscript"/>
        </w:rPr>
        <w:t>[43]</w:t>
      </w:r>
      <w:r w:rsidRPr="00E110C5">
        <w:rPr>
          <w:rFonts w:ascii="Book Antiqua" w:eastAsia="Book Antiqua" w:hAnsi="Book Antiqua" w:cs="Book Antiqua"/>
          <w:color w:val="000000"/>
        </w:rPr>
        <w:t xml:space="preserve">. Most of those changes promote angiogenesis and cell proliferation. </w:t>
      </w:r>
    </w:p>
    <w:p w14:paraId="164D6911" w14:textId="341DC718" w:rsidR="006B6B7F" w:rsidRDefault="0048774A" w:rsidP="00D866CC">
      <w:pPr>
        <w:spacing w:line="360" w:lineRule="auto"/>
        <w:ind w:firstLineChars="112" w:firstLine="269"/>
        <w:jc w:val="both"/>
        <w:rPr>
          <w:rFonts w:ascii="Book Antiqua" w:hAnsi="Book Antiqua"/>
        </w:rPr>
      </w:pPr>
      <w:r w:rsidRPr="00E110C5">
        <w:rPr>
          <w:rFonts w:ascii="Book Antiqua" w:eastAsia="Book Antiqua" w:hAnsi="Book Antiqua" w:cs="Book Antiqua"/>
          <w:color w:val="000000"/>
        </w:rPr>
        <w:t xml:space="preserve">In particular, liver cirrhosis regardless of etiology represents an inflammatory process that </w:t>
      </w:r>
      <w:r w:rsidR="002E0D71">
        <w:rPr>
          <w:rFonts w:ascii="Book Antiqua" w:eastAsia="Book Antiqua" w:hAnsi="Book Antiqua" w:cs="Book Antiqua"/>
          <w:color w:val="000000"/>
        </w:rPr>
        <w:t>is</w:t>
      </w:r>
      <w:r w:rsidRPr="002E0D71">
        <w:rPr>
          <w:rFonts w:ascii="Book Antiqua" w:eastAsia="Book Antiqua" w:hAnsi="Book Antiqua" w:cs="Book Antiqua"/>
          <w:color w:val="000000"/>
        </w:rPr>
        <w:t xml:space="preserve"> clearly associated with the development of iCCA. Several population-based studies have confirmed cirrhosis as an important risk factor not only for HCC but also for iCCA</w:t>
      </w:r>
      <w:r w:rsidRPr="002E0D71">
        <w:rPr>
          <w:rFonts w:ascii="Book Antiqua" w:eastAsia="Book Antiqua" w:hAnsi="Book Antiqua" w:cs="Book Antiqua"/>
          <w:color w:val="000000"/>
          <w:vertAlign w:val="superscript"/>
        </w:rPr>
        <w:t>[44]</w:t>
      </w:r>
      <w:r w:rsidRPr="002E0D71">
        <w:rPr>
          <w:rFonts w:ascii="Book Antiqua" w:eastAsia="Book Antiqua" w:hAnsi="Book Antiqua" w:cs="Book Antiqua"/>
          <w:color w:val="000000"/>
        </w:rPr>
        <w:t xml:space="preserve">. A meta-analysis found </w:t>
      </w:r>
      <w:r w:rsidR="002E0D71">
        <w:rPr>
          <w:rFonts w:ascii="Book Antiqua" w:eastAsia="Book Antiqua" w:hAnsi="Book Antiqua" w:cs="Book Antiqua"/>
          <w:color w:val="000000"/>
        </w:rPr>
        <w:t xml:space="preserve">that </w:t>
      </w:r>
      <w:r w:rsidRPr="002E0D71">
        <w:rPr>
          <w:rFonts w:ascii="Book Antiqua" w:eastAsia="Book Antiqua" w:hAnsi="Book Antiqua" w:cs="Book Antiqua"/>
          <w:color w:val="000000"/>
        </w:rPr>
        <w:t>cirrhosis cause</w:t>
      </w:r>
      <w:r w:rsidR="002E0D71">
        <w:rPr>
          <w:rFonts w:ascii="Book Antiqua" w:eastAsia="Book Antiqua" w:hAnsi="Book Antiqua" w:cs="Book Antiqua"/>
          <w:color w:val="000000"/>
        </w:rPr>
        <w:t>s</w:t>
      </w:r>
      <w:r w:rsidRPr="002E0D71">
        <w:rPr>
          <w:rFonts w:ascii="Book Antiqua" w:eastAsia="Book Antiqua" w:hAnsi="Book Antiqua" w:cs="Book Antiqua"/>
          <w:color w:val="000000"/>
        </w:rPr>
        <w:t xml:space="preserve"> iCCA with an OR as high as 22</w:t>
      </w:r>
      <w:r w:rsidRPr="002E0D71">
        <w:rPr>
          <w:rFonts w:ascii="Book Antiqua" w:eastAsia="Book Antiqua" w:hAnsi="Book Antiqua" w:cs="Book Antiqua"/>
          <w:color w:val="000000"/>
          <w:vertAlign w:val="superscript"/>
        </w:rPr>
        <w:t>[41]</w:t>
      </w:r>
      <w:r w:rsidRPr="002E0D71">
        <w:rPr>
          <w:rFonts w:ascii="Book Antiqua" w:eastAsia="Book Antiqua" w:hAnsi="Book Antiqua" w:cs="Book Antiqua"/>
          <w:color w:val="000000"/>
        </w:rPr>
        <w:t xml:space="preserve">. Furthermore, </w:t>
      </w:r>
      <w:r w:rsidR="002E0D71">
        <w:rPr>
          <w:rFonts w:ascii="Book Antiqua" w:eastAsia="Book Antiqua" w:hAnsi="Book Antiqua" w:cs="Book Antiqua"/>
          <w:color w:val="000000"/>
        </w:rPr>
        <w:t xml:space="preserve">a </w:t>
      </w:r>
      <w:r w:rsidRPr="002E0D71">
        <w:rPr>
          <w:rFonts w:ascii="Book Antiqua" w:eastAsia="Book Antiqua" w:hAnsi="Book Antiqua" w:cs="Book Antiqua"/>
          <w:color w:val="000000"/>
        </w:rPr>
        <w:t>retrospective analysis of U</w:t>
      </w:r>
      <w:r w:rsidR="006B1A0F" w:rsidRPr="002E0D71">
        <w:rPr>
          <w:rFonts w:ascii="Book Antiqua" w:eastAsia="Book Antiqua" w:hAnsi="Book Antiqua" w:cs="Book Antiqua"/>
          <w:color w:val="000000"/>
        </w:rPr>
        <w:t xml:space="preserve">nited </w:t>
      </w:r>
      <w:r w:rsidRPr="002E0D71">
        <w:rPr>
          <w:rFonts w:ascii="Book Antiqua" w:eastAsia="Book Antiqua" w:hAnsi="Book Antiqua" w:cs="Book Antiqua"/>
          <w:color w:val="000000"/>
        </w:rPr>
        <w:t>S</w:t>
      </w:r>
      <w:r w:rsidR="006B1A0F" w:rsidRPr="00E110C5">
        <w:rPr>
          <w:rFonts w:ascii="Book Antiqua" w:eastAsia="Book Antiqua" w:hAnsi="Book Antiqua" w:cs="Book Antiqua"/>
          <w:color w:val="000000"/>
        </w:rPr>
        <w:t>tates</w:t>
      </w:r>
      <w:r w:rsidRPr="00E110C5">
        <w:rPr>
          <w:rFonts w:ascii="Book Antiqua" w:eastAsia="Book Antiqua" w:hAnsi="Book Antiqua" w:cs="Book Antiqua"/>
          <w:color w:val="000000"/>
        </w:rPr>
        <w:t xml:space="preserve">-based Surveillance, Epidemiology, and End Results found </w:t>
      </w:r>
      <w:r w:rsidR="002E0D71">
        <w:rPr>
          <w:rFonts w:ascii="Book Antiqua" w:eastAsia="Book Antiqua" w:hAnsi="Book Antiqua" w:cs="Book Antiqua"/>
          <w:color w:val="000000"/>
        </w:rPr>
        <w:t xml:space="preserve">that </w:t>
      </w:r>
      <w:r w:rsidRPr="002E0D71">
        <w:rPr>
          <w:rFonts w:ascii="Book Antiqua" w:eastAsia="Book Antiqua" w:hAnsi="Book Antiqua" w:cs="Book Antiqua"/>
          <w:color w:val="000000"/>
        </w:rPr>
        <w:t xml:space="preserve">cirrhosis </w:t>
      </w:r>
      <w:r w:rsidR="002E0D71">
        <w:rPr>
          <w:rFonts w:ascii="Book Antiqua" w:eastAsia="Book Antiqua" w:hAnsi="Book Antiqua" w:cs="Book Antiqua"/>
          <w:color w:val="000000"/>
        </w:rPr>
        <w:t>is</w:t>
      </w:r>
      <w:r w:rsidRPr="002E0D71">
        <w:rPr>
          <w:rFonts w:ascii="Book Antiqua" w:eastAsia="Book Antiqua" w:hAnsi="Book Antiqua" w:cs="Book Antiqua"/>
          <w:color w:val="000000"/>
        </w:rPr>
        <w:t xml:space="preserve"> associated with both iCCA (OR 8.26) and eCCA (OR 3.83)</w:t>
      </w:r>
      <w:r w:rsidRPr="002E0D71">
        <w:rPr>
          <w:rFonts w:ascii="Book Antiqua" w:eastAsia="Book Antiqua" w:hAnsi="Book Antiqua" w:cs="Book Antiqua"/>
          <w:color w:val="000000"/>
          <w:vertAlign w:val="superscript"/>
        </w:rPr>
        <w:t>[4]</w:t>
      </w:r>
      <w:r w:rsidRPr="00E110C5">
        <w:rPr>
          <w:rFonts w:ascii="Book Antiqua" w:eastAsia="Book Antiqua" w:hAnsi="Book Antiqua" w:cs="Book Antiqua"/>
          <w:color w:val="000000"/>
        </w:rPr>
        <w:t xml:space="preserve">. As chronic infection with HBV and HCV account for most cases of cirrhosis globally, it </w:t>
      </w:r>
      <w:r w:rsidR="002E0D71">
        <w:rPr>
          <w:rFonts w:ascii="Book Antiqua" w:eastAsia="Book Antiqua" w:hAnsi="Book Antiqua" w:cs="Book Antiqua"/>
          <w:color w:val="000000"/>
        </w:rPr>
        <w:t>is not</w:t>
      </w:r>
      <w:r w:rsidRPr="002E0D71">
        <w:rPr>
          <w:rFonts w:ascii="Book Antiqua" w:eastAsia="Book Antiqua" w:hAnsi="Book Antiqua" w:cs="Book Antiqua"/>
          <w:color w:val="000000"/>
        </w:rPr>
        <w:t xml:space="preserve"> surpris</w:t>
      </w:r>
      <w:r w:rsidR="002E0D71">
        <w:rPr>
          <w:rFonts w:ascii="Book Antiqua" w:eastAsia="Book Antiqua" w:hAnsi="Book Antiqua" w:cs="Book Antiqua"/>
          <w:color w:val="000000"/>
        </w:rPr>
        <w:t>ing</w:t>
      </w:r>
      <w:r w:rsidRPr="002E0D71">
        <w:rPr>
          <w:rFonts w:ascii="Book Antiqua" w:eastAsia="Book Antiqua" w:hAnsi="Book Antiqua" w:cs="Book Antiqua"/>
          <w:color w:val="000000"/>
        </w:rPr>
        <w:t xml:space="preserve"> that a definite association between viral </w:t>
      </w:r>
      <w:r w:rsidRPr="002E0D71">
        <w:rPr>
          <w:rFonts w:ascii="Book Antiqua" w:eastAsia="Book Antiqua" w:hAnsi="Book Antiqua" w:cs="Book Antiqua"/>
          <w:color w:val="000000"/>
        </w:rPr>
        <w:lastRenderedPageBreak/>
        <w:t>hepatitis infection and iCCA has been observed. A large metanalysis produced an OR for iCCA of 3.17 and 3.42 for HBV and HCV</w:t>
      </w:r>
      <w:r w:rsidR="00E110C5">
        <w:rPr>
          <w:rFonts w:ascii="Book Antiqua" w:eastAsia="Book Antiqua" w:hAnsi="Book Antiqua" w:cs="Book Antiqua"/>
          <w:color w:val="000000"/>
        </w:rPr>
        <w:t>,</w:t>
      </w:r>
      <w:r w:rsidRPr="002E0D71">
        <w:rPr>
          <w:rFonts w:ascii="Book Antiqua" w:eastAsia="Book Antiqua" w:hAnsi="Book Antiqua" w:cs="Book Antiqua"/>
          <w:color w:val="000000"/>
        </w:rPr>
        <w:t xml:space="preserve"> respectively</w:t>
      </w:r>
      <w:r w:rsidRPr="002E0D71">
        <w:rPr>
          <w:rFonts w:ascii="Book Antiqua" w:eastAsia="Book Antiqua" w:hAnsi="Book Antiqua" w:cs="Book Antiqua"/>
          <w:color w:val="000000"/>
          <w:vertAlign w:val="superscript"/>
        </w:rPr>
        <w:t>[42]</w:t>
      </w:r>
      <w:r w:rsidRPr="00E110C5">
        <w:rPr>
          <w:rFonts w:ascii="Book Antiqua" w:eastAsia="Book Antiqua" w:hAnsi="Book Antiqua" w:cs="Book Antiqua"/>
          <w:color w:val="000000"/>
        </w:rPr>
        <w:t xml:space="preserve">. A distinct phenotype of viral hepatitis-related iCCA </w:t>
      </w:r>
      <w:r w:rsidR="00E110C5">
        <w:rPr>
          <w:rFonts w:ascii="Book Antiqua" w:eastAsia="Book Antiqua" w:hAnsi="Book Antiqua" w:cs="Book Antiqua"/>
          <w:color w:val="000000"/>
        </w:rPr>
        <w:t xml:space="preserve">that more frequently </w:t>
      </w:r>
      <w:r w:rsidRPr="00E110C5">
        <w:rPr>
          <w:rFonts w:ascii="Book Antiqua" w:eastAsia="Book Antiqua" w:hAnsi="Book Antiqua" w:cs="Book Antiqua"/>
          <w:color w:val="000000"/>
        </w:rPr>
        <w:t>affect</w:t>
      </w:r>
      <w:r w:rsidR="00E110C5">
        <w:rPr>
          <w:rFonts w:ascii="Book Antiqua" w:eastAsia="Book Antiqua" w:hAnsi="Book Antiqua" w:cs="Book Antiqua"/>
          <w:color w:val="000000"/>
        </w:rPr>
        <w:t>s</w:t>
      </w:r>
      <w:r w:rsidRPr="00E110C5">
        <w:rPr>
          <w:rFonts w:ascii="Book Antiqua" w:eastAsia="Book Antiqua" w:hAnsi="Book Antiqua" w:cs="Book Antiqua"/>
          <w:color w:val="000000"/>
        </w:rPr>
        <w:t xml:space="preserve"> younger males</w:t>
      </w:r>
      <w:r w:rsidR="00E110C5">
        <w:rPr>
          <w:rFonts w:ascii="Book Antiqua" w:eastAsia="Book Antiqua" w:hAnsi="Book Antiqua" w:cs="Book Antiqua"/>
          <w:color w:val="000000"/>
        </w:rPr>
        <w:t xml:space="preserve"> and is </w:t>
      </w:r>
      <w:r w:rsidRPr="00E110C5">
        <w:rPr>
          <w:rFonts w:ascii="Book Antiqua" w:eastAsia="Book Antiqua" w:hAnsi="Book Antiqua" w:cs="Book Antiqua"/>
          <w:color w:val="000000"/>
        </w:rPr>
        <w:t xml:space="preserve">characterized by mass-forming tumors with cholangiolar differentiation, higher aFP, lower </w:t>
      </w:r>
      <w:r w:rsidR="006B1A0F" w:rsidRPr="00E110C5">
        <w:rPr>
          <w:rFonts w:ascii="Book Antiqua" w:eastAsia="Book Antiqua" w:hAnsi="Book Antiqua" w:cs="Book Antiqua"/>
          <w:color w:val="000000"/>
        </w:rPr>
        <w:t>c</w:t>
      </w:r>
      <w:r w:rsidRPr="00E110C5">
        <w:rPr>
          <w:rFonts w:ascii="Book Antiqua" w:eastAsia="Book Antiqua" w:hAnsi="Book Antiqua" w:cs="Book Antiqua"/>
          <w:color w:val="000000"/>
        </w:rPr>
        <w:t xml:space="preserve">arbohydrate </w:t>
      </w:r>
      <w:r w:rsidR="006B1A0F" w:rsidRPr="00E110C5">
        <w:rPr>
          <w:rFonts w:ascii="Book Antiqua" w:eastAsia="Book Antiqua" w:hAnsi="Book Antiqua" w:cs="Book Antiqua"/>
          <w:color w:val="000000"/>
        </w:rPr>
        <w:t>a</w:t>
      </w:r>
      <w:r w:rsidRPr="00E110C5">
        <w:rPr>
          <w:rFonts w:ascii="Book Antiqua" w:eastAsia="Book Antiqua" w:hAnsi="Book Antiqua" w:cs="Book Antiqua"/>
          <w:color w:val="000000"/>
        </w:rPr>
        <w:t>ntigen</w:t>
      </w:r>
      <w:r w:rsidR="006D67C5" w:rsidRPr="00E110C5">
        <w:rPr>
          <w:rFonts w:ascii="Book Antiqua" w:eastAsia="Book Antiqua" w:hAnsi="Book Antiqua" w:cs="Book Antiqua"/>
          <w:color w:val="000000"/>
        </w:rPr>
        <w:t xml:space="preserve"> (CA)</w:t>
      </w:r>
      <w:r w:rsidRPr="00E110C5">
        <w:rPr>
          <w:rFonts w:ascii="Book Antiqua" w:eastAsia="Book Antiqua" w:hAnsi="Book Antiqua" w:cs="Book Antiqua"/>
          <w:color w:val="000000"/>
        </w:rPr>
        <w:t xml:space="preserve"> 19-9 </w:t>
      </w:r>
      <w:r w:rsidR="006B1A0F" w:rsidRPr="00326C94">
        <w:rPr>
          <w:rFonts w:ascii="Book Antiqua" w:eastAsia="Book Antiqua" w:hAnsi="Book Antiqua" w:cs="Book Antiqua"/>
          <w:color w:val="000000"/>
        </w:rPr>
        <w:t>l</w:t>
      </w:r>
      <w:r w:rsidRPr="00326C94">
        <w:rPr>
          <w:rFonts w:ascii="Book Antiqua" w:eastAsia="Book Antiqua" w:hAnsi="Book Antiqua" w:cs="Book Antiqua"/>
          <w:color w:val="000000"/>
        </w:rPr>
        <w:t>evels and higher N-cadherin expression has been suggested</w:t>
      </w:r>
      <w:r w:rsidRPr="00326C94">
        <w:rPr>
          <w:rFonts w:ascii="Book Antiqua" w:eastAsia="Book Antiqua" w:hAnsi="Book Antiqua" w:cs="Book Antiqua"/>
          <w:color w:val="000000"/>
          <w:vertAlign w:val="superscript"/>
        </w:rPr>
        <w:t>[12,45,46]</w:t>
      </w:r>
      <w:r w:rsidRPr="00326C94">
        <w:rPr>
          <w:rFonts w:ascii="Book Antiqua" w:eastAsia="Book Antiqua" w:hAnsi="Book Antiqua" w:cs="Book Antiqua"/>
          <w:color w:val="000000"/>
        </w:rPr>
        <w:t xml:space="preserve">. Such tumors are more commonly associated with cirrhosis or elevated prothrombin time. Recent studies </w:t>
      </w:r>
      <w:r w:rsidR="00E110C5">
        <w:rPr>
          <w:rFonts w:ascii="Book Antiqua" w:eastAsia="Book Antiqua" w:hAnsi="Book Antiqua" w:cs="Book Antiqua"/>
          <w:color w:val="000000"/>
        </w:rPr>
        <w:t xml:space="preserve">have </w:t>
      </w:r>
      <w:r w:rsidRPr="00E110C5">
        <w:rPr>
          <w:rFonts w:ascii="Book Antiqua" w:eastAsia="Book Antiqua" w:hAnsi="Book Antiqua" w:cs="Book Antiqua"/>
          <w:color w:val="000000"/>
        </w:rPr>
        <w:t>suggest</w:t>
      </w:r>
      <w:r w:rsidR="00E110C5">
        <w:rPr>
          <w:rFonts w:ascii="Book Antiqua" w:eastAsia="Book Antiqua" w:hAnsi="Book Antiqua" w:cs="Book Antiqua"/>
          <w:color w:val="000000"/>
        </w:rPr>
        <w:t>ed</w:t>
      </w:r>
      <w:r w:rsidRPr="00E110C5">
        <w:rPr>
          <w:rFonts w:ascii="Book Antiqua" w:eastAsia="Book Antiqua" w:hAnsi="Book Antiqua" w:cs="Book Antiqua"/>
          <w:color w:val="000000"/>
        </w:rPr>
        <w:t xml:space="preserve"> that HBV-associated iCCA displays infrequent nodal metastases and confers better </w:t>
      </w:r>
      <w:r w:rsidR="00E110C5">
        <w:rPr>
          <w:rFonts w:ascii="Book Antiqua" w:eastAsia="Book Antiqua" w:hAnsi="Book Antiqua" w:cs="Book Antiqua"/>
          <w:color w:val="000000"/>
        </w:rPr>
        <w:t xml:space="preserve">a </w:t>
      </w:r>
      <w:r w:rsidRPr="00E110C5">
        <w:rPr>
          <w:rFonts w:ascii="Book Antiqua" w:eastAsia="Book Antiqua" w:hAnsi="Book Antiqua" w:cs="Book Antiqua"/>
          <w:color w:val="000000"/>
        </w:rPr>
        <w:t>prognosis</w:t>
      </w:r>
      <w:r w:rsidR="00E110C5">
        <w:rPr>
          <w:rFonts w:ascii="Book Antiqua" w:eastAsia="Book Antiqua" w:hAnsi="Book Antiqua" w:cs="Book Antiqua"/>
          <w:color w:val="000000"/>
        </w:rPr>
        <w:t>,</w:t>
      </w:r>
      <w:r w:rsidRPr="00E110C5">
        <w:rPr>
          <w:rFonts w:ascii="Book Antiqua" w:eastAsia="Book Antiqua" w:hAnsi="Book Antiqua" w:cs="Book Antiqua"/>
          <w:color w:val="000000"/>
        </w:rPr>
        <w:t xml:space="preserve"> whereas </w:t>
      </w:r>
      <w:r w:rsidR="00E110C5">
        <w:rPr>
          <w:rFonts w:ascii="Book Antiqua" w:eastAsia="Book Antiqua" w:hAnsi="Book Antiqua" w:cs="Book Antiqua"/>
          <w:color w:val="000000"/>
        </w:rPr>
        <w:t xml:space="preserve">patients with </w:t>
      </w:r>
      <w:r w:rsidRPr="00E110C5">
        <w:rPr>
          <w:rFonts w:ascii="Book Antiqua" w:eastAsia="Book Antiqua" w:hAnsi="Book Antiqua" w:cs="Book Antiqua"/>
          <w:color w:val="000000"/>
        </w:rPr>
        <w:t>CCA associated with HCV may fare worse</w:t>
      </w:r>
      <w:r w:rsidRPr="00E110C5">
        <w:rPr>
          <w:rFonts w:ascii="Book Antiqua" w:eastAsia="Book Antiqua" w:hAnsi="Book Antiqua" w:cs="Book Antiqua"/>
          <w:color w:val="000000"/>
          <w:vertAlign w:val="superscript"/>
        </w:rPr>
        <w:t>[47,48]</w:t>
      </w:r>
      <w:r w:rsidRPr="00E110C5">
        <w:rPr>
          <w:rFonts w:ascii="Book Antiqua" w:eastAsia="Book Antiqua" w:hAnsi="Book Antiqua" w:cs="Book Antiqua"/>
          <w:color w:val="000000"/>
        </w:rPr>
        <w:t xml:space="preserve">. In addition, viral hepatitis-associated CCA </w:t>
      </w:r>
      <w:r w:rsidR="00E110C5">
        <w:rPr>
          <w:rFonts w:ascii="Book Antiqua" w:eastAsia="Book Antiqua" w:hAnsi="Book Antiqua" w:cs="Book Antiqua"/>
          <w:color w:val="000000"/>
        </w:rPr>
        <w:t>more frequently</w:t>
      </w:r>
      <w:r w:rsidRPr="00E110C5">
        <w:rPr>
          <w:rFonts w:ascii="Book Antiqua" w:eastAsia="Book Antiqua" w:hAnsi="Book Antiqua" w:cs="Book Antiqua"/>
          <w:color w:val="000000"/>
        </w:rPr>
        <w:t xml:space="preserve"> express</w:t>
      </w:r>
      <w:r w:rsidR="00E110C5">
        <w:rPr>
          <w:rFonts w:ascii="Book Antiqua" w:eastAsia="Book Antiqua" w:hAnsi="Book Antiqua" w:cs="Book Antiqua"/>
          <w:color w:val="000000"/>
        </w:rPr>
        <w:t>es</w:t>
      </w:r>
      <w:r w:rsidRPr="00E110C5">
        <w:rPr>
          <w:rFonts w:ascii="Book Antiqua" w:eastAsia="Book Antiqua" w:hAnsi="Book Antiqua" w:cs="Book Antiqua"/>
          <w:color w:val="000000"/>
        </w:rPr>
        <w:t xml:space="preserve"> programmed death</w:t>
      </w:r>
      <w:r w:rsidR="00E110C5">
        <w:rPr>
          <w:rFonts w:ascii="Book Antiqua" w:eastAsia="Book Antiqua" w:hAnsi="Book Antiqua" w:cs="Book Antiqua"/>
          <w:color w:val="000000"/>
        </w:rPr>
        <w:t>-</w:t>
      </w:r>
      <w:r w:rsidRPr="00E110C5">
        <w:rPr>
          <w:rFonts w:ascii="Book Antiqua" w:eastAsia="Book Antiqua" w:hAnsi="Book Antiqua" w:cs="Book Antiqua"/>
          <w:color w:val="000000"/>
        </w:rPr>
        <w:t xml:space="preserve">ligand 1 (PD-L1), which in theory may be exploited for </w:t>
      </w:r>
      <w:r w:rsidR="00E110C5">
        <w:rPr>
          <w:rFonts w:ascii="Book Antiqua" w:eastAsia="Book Antiqua" w:hAnsi="Book Antiqua" w:cs="Book Antiqua"/>
          <w:color w:val="000000"/>
        </w:rPr>
        <w:t xml:space="preserve">the </w:t>
      </w:r>
      <w:r w:rsidRPr="00E110C5">
        <w:rPr>
          <w:rFonts w:ascii="Book Antiqua" w:eastAsia="Book Antiqua" w:hAnsi="Book Antiqua" w:cs="Book Antiqua"/>
          <w:color w:val="000000"/>
        </w:rPr>
        <w:t>development of immunotherapy strategies</w:t>
      </w:r>
      <w:r w:rsidRPr="00E110C5">
        <w:rPr>
          <w:rFonts w:ascii="Book Antiqua" w:eastAsia="Book Antiqua" w:hAnsi="Book Antiqua" w:cs="Book Antiqua"/>
          <w:color w:val="000000"/>
          <w:vertAlign w:val="superscript"/>
        </w:rPr>
        <w:t>[49]</w:t>
      </w:r>
      <w:r w:rsidRPr="00E110C5">
        <w:rPr>
          <w:rFonts w:ascii="Book Antiqua" w:eastAsia="Book Antiqua" w:hAnsi="Book Antiqua" w:cs="Book Antiqua"/>
          <w:color w:val="000000"/>
        </w:rPr>
        <w:t>.</w:t>
      </w:r>
    </w:p>
    <w:p w14:paraId="32C4713E" w14:textId="65D836D8" w:rsidR="006B6B7F" w:rsidRPr="00D866CC" w:rsidRDefault="0048774A" w:rsidP="00D866CC">
      <w:pPr>
        <w:spacing w:line="360" w:lineRule="auto"/>
        <w:ind w:firstLineChars="112" w:firstLine="269"/>
        <w:jc w:val="both"/>
        <w:rPr>
          <w:rFonts w:ascii="Book Antiqua" w:eastAsia="Book Antiqua" w:hAnsi="Book Antiqua" w:cs="Book Antiqua"/>
          <w:color w:val="000000"/>
        </w:rPr>
      </w:pPr>
      <w:r w:rsidRPr="00E110C5">
        <w:rPr>
          <w:rFonts w:ascii="Book Antiqua" w:eastAsia="Book Antiqua" w:hAnsi="Book Antiqua" w:cs="Book Antiqua"/>
          <w:color w:val="000000"/>
        </w:rPr>
        <w:t>Inflammation is a multifactorial and diffuse process. It involves multiple pathways acting through diverse mechanisms in an environment conducive of proliferation and oncogene mutations leading to malignant transformation. As a result, there has been no single molecular alteration characteristic of CCA. I</w:t>
      </w:r>
      <w:r w:rsidR="006B1A0F" w:rsidRPr="00E110C5">
        <w:rPr>
          <w:rFonts w:ascii="Book Antiqua" w:eastAsia="Book Antiqua" w:hAnsi="Book Antiqua" w:cs="Book Antiqua"/>
          <w:color w:val="000000"/>
        </w:rPr>
        <w:t>L</w:t>
      </w:r>
      <w:r w:rsidRPr="00E110C5">
        <w:rPr>
          <w:rFonts w:ascii="Book Antiqua" w:eastAsia="Book Antiqua" w:hAnsi="Book Antiqua" w:cs="Book Antiqua"/>
          <w:color w:val="000000"/>
        </w:rPr>
        <w:t>-6, a strong proinflammatory cytokine has a pleiotropic role, by increasing cell proliferation through activation of the J</w:t>
      </w:r>
      <w:r w:rsidR="00326C94">
        <w:rPr>
          <w:rFonts w:ascii="Book Antiqua" w:eastAsia="Book Antiqua" w:hAnsi="Book Antiqua" w:cs="Book Antiqua"/>
          <w:color w:val="000000"/>
        </w:rPr>
        <w:t>anus kinase</w:t>
      </w:r>
      <w:r w:rsidRPr="00E110C5">
        <w:rPr>
          <w:rFonts w:ascii="Book Antiqua" w:eastAsia="Book Antiqua" w:hAnsi="Book Antiqua" w:cs="Book Antiqua"/>
          <w:color w:val="000000"/>
        </w:rPr>
        <w:t>-</w:t>
      </w:r>
      <w:r w:rsidR="00326C94">
        <w:rPr>
          <w:rFonts w:ascii="Book Antiqua" w:eastAsia="Book Antiqua" w:hAnsi="Book Antiqua" w:cs="Book Antiqua"/>
          <w:color w:val="000000"/>
        </w:rPr>
        <w:t xml:space="preserve">signal transducer and activator of transcription </w:t>
      </w:r>
      <w:r w:rsidRPr="00E110C5">
        <w:rPr>
          <w:rFonts w:ascii="Book Antiqua" w:eastAsia="Book Antiqua" w:hAnsi="Book Antiqua" w:cs="Book Antiqua"/>
          <w:color w:val="000000"/>
        </w:rPr>
        <w:t xml:space="preserve">pathway; it also promotes expression of antiapoptotic </w:t>
      </w:r>
      <w:r w:rsidR="00326C94" w:rsidRPr="00326C94">
        <w:rPr>
          <w:rFonts w:ascii="Book Antiqua" w:eastAsia="Book Antiqua" w:hAnsi="Book Antiqua" w:cs="Book Antiqua"/>
          <w:color w:val="000000"/>
        </w:rPr>
        <w:t>myeloid leukemia cell differentiation protein</w:t>
      </w:r>
      <w:r w:rsidR="00326C94">
        <w:rPr>
          <w:rFonts w:ascii="Book Antiqua" w:eastAsia="Book Antiqua" w:hAnsi="Book Antiqua" w:cs="Book Antiqua"/>
          <w:color w:val="000000"/>
        </w:rPr>
        <w:t xml:space="preserve"> </w:t>
      </w:r>
      <w:r w:rsidRPr="00E110C5">
        <w:rPr>
          <w:rFonts w:ascii="Book Antiqua" w:eastAsia="Book Antiqua" w:hAnsi="Book Antiqua" w:cs="Book Antiqua"/>
          <w:color w:val="000000"/>
        </w:rPr>
        <w:t xml:space="preserve">and the activation of both the Akt and </w:t>
      </w:r>
      <w:r w:rsidR="00326C94">
        <w:rPr>
          <w:rFonts w:ascii="Book Antiqua" w:eastAsia="Book Antiqua" w:hAnsi="Book Antiqua" w:cs="Book Antiqua"/>
          <w:color w:val="000000"/>
        </w:rPr>
        <w:t>mitogen-activated protein kinase kinase (</w:t>
      </w:r>
      <w:r w:rsidR="000354F0" w:rsidRPr="00E110C5">
        <w:rPr>
          <w:rFonts w:ascii="Book Antiqua" w:eastAsia="Book Antiqua" w:hAnsi="Book Antiqua" w:cs="Book Antiqua"/>
          <w:color w:val="000000"/>
        </w:rPr>
        <w:t>MEK</w:t>
      </w:r>
      <w:r w:rsidR="00326C94">
        <w:rPr>
          <w:rFonts w:ascii="Book Antiqua" w:eastAsia="Book Antiqua" w:hAnsi="Book Antiqua" w:cs="Book Antiqua"/>
          <w:color w:val="000000"/>
        </w:rPr>
        <w:t>)</w:t>
      </w:r>
      <w:r w:rsidR="000354F0" w:rsidRPr="00E110C5">
        <w:rPr>
          <w:rFonts w:ascii="Book Antiqua" w:eastAsia="Book Antiqua" w:hAnsi="Book Antiqua" w:cs="Book Antiqua"/>
          <w:color w:val="000000"/>
        </w:rPr>
        <w:t>-</w:t>
      </w:r>
      <w:r w:rsidR="00326C94">
        <w:rPr>
          <w:rFonts w:ascii="Book Antiqua" w:eastAsia="Book Antiqua" w:hAnsi="Book Antiqua" w:cs="Book Antiqua"/>
          <w:color w:val="000000"/>
        </w:rPr>
        <w:t>extracellular signal-related kinase (</w:t>
      </w:r>
      <w:r w:rsidR="000354F0" w:rsidRPr="00E110C5">
        <w:rPr>
          <w:rFonts w:ascii="Book Antiqua" w:eastAsia="Book Antiqua" w:hAnsi="Book Antiqua" w:cs="Book Antiqua"/>
          <w:color w:val="000000"/>
        </w:rPr>
        <w:t>ERK</w:t>
      </w:r>
      <w:r w:rsidR="00326C94">
        <w:rPr>
          <w:rFonts w:ascii="Book Antiqua" w:eastAsia="Book Antiqua" w:hAnsi="Book Antiqua" w:cs="Book Antiqua"/>
          <w:color w:val="000000"/>
        </w:rPr>
        <w:t>)</w:t>
      </w:r>
      <w:r w:rsidRPr="00E110C5">
        <w:rPr>
          <w:rFonts w:ascii="Book Antiqua" w:eastAsia="Book Antiqua" w:hAnsi="Book Antiqua" w:cs="Book Antiqua"/>
          <w:color w:val="000000"/>
        </w:rPr>
        <w:t xml:space="preserve"> pathway</w:t>
      </w:r>
      <w:r w:rsidR="00326C94">
        <w:rPr>
          <w:rFonts w:ascii="Book Antiqua" w:eastAsia="Book Antiqua" w:hAnsi="Book Antiqua" w:cs="Book Antiqua"/>
          <w:color w:val="000000"/>
        </w:rPr>
        <w:t>s</w:t>
      </w:r>
      <w:r w:rsidRPr="00E110C5">
        <w:rPr>
          <w:rFonts w:ascii="Book Antiqua" w:eastAsia="Book Antiqua" w:hAnsi="Book Antiqua" w:cs="Book Antiqua"/>
          <w:color w:val="000000"/>
        </w:rPr>
        <w:t>, which results in strong proliferative and anti-apoptotic effect</w:t>
      </w:r>
      <w:r w:rsidR="00326C94">
        <w:rPr>
          <w:rFonts w:ascii="Book Antiqua" w:eastAsia="Book Antiqua" w:hAnsi="Book Antiqua" w:cs="Book Antiqua"/>
          <w:color w:val="000000"/>
        </w:rPr>
        <w:t>s</w:t>
      </w:r>
      <w:r w:rsidRPr="00E110C5">
        <w:rPr>
          <w:rFonts w:ascii="Book Antiqua" w:eastAsia="Book Antiqua" w:hAnsi="Book Antiqua" w:cs="Book Antiqua"/>
          <w:color w:val="000000"/>
          <w:vertAlign w:val="superscript"/>
        </w:rPr>
        <w:t>[50</w:t>
      </w:r>
      <w:r w:rsidR="00F92089" w:rsidRPr="00E110C5">
        <w:rPr>
          <w:rFonts w:ascii="Book Antiqua" w:eastAsia="Book Antiqua" w:hAnsi="Book Antiqua" w:cs="Book Antiqua"/>
          <w:color w:val="000000"/>
          <w:vertAlign w:val="superscript"/>
        </w:rPr>
        <w:t>-</w:t>
      </w:r>
      <w:r w:rsidRPr="00E110C5">
        <w:rPr>
          <w:rFonts w:ascii="Book Antiqua" w:eastAsia="Book Antiqua" w:hAnsi="Book Antiqua" w:cs="Book Antiqua"/>
          <w:color w:val="000000"/>
          <w:vertAlign w:val="superscript"/>
        </w:rPr>
        <w:t>52]</w:t>
      </w:r>
      <w:r w:rsidRPr="00E110C5">
        <w:rPr>
          <w:rFonts w:ascii="Book Antiqua" w:eastAsia="Book Antiqua" w:hAnsi="Book Antiqua" w:cs="Book Antiqua"/>
          <w:color w:val="000000"/>
        </w:rPr>
        <w:t>. In such an activated environment, increased DNA instability may lead to critical genetic alterations of the excited cells</w:t>
      </w:r>
      <w:r w:rsidR="00326C94">
        <w:rPr>
          <w:rFonts w:ascii="Book Antiqua" w:eastAsia="Book Antiqua" w:hAnsi="Book Antiqua" w:cs="Book Antiqua"/>
          <w:color w:val="000000"/>
        </w:rPr>
        <w:t>,</w:t>
      </w:r>
      <w:r w:rsidRPr="00E110C5">
        <w:rPr>
          <w:rFonts w:ascii="Book Antiqua" w:eastAsia="Book Antiqua" w:hAnsi="Book Antiqua" w:cs="Book Antiqua"/>
          <w:color w:val="000000"/>
        </w:rPr>
        <w:t xml:space="preserve"> and</w:t>
      </w:r>
      <w:r w:rsidR="00326C94">
        <w:rPr>
          <w:rFonts w:ascii="Book Antiqua" w:eastAsia="Book Antiqua" w:hAnsi="Book Antiqua" w:cs="Book Antiqua"/>
          <w:color w:val="000000"/>
        </w:rPr>
        <w:t xml:space="preserve"> also</w:t>
      </w:r>
      <w:r w:rsidRPr="00E110C5">
        <w:rPr>
          <w:rFonts w:ascii="Book Antiqua" w:eastAsia="Book Antiqua" w:hAnsi="Book Antiqua" w:cs="Book Antiqua"/>
          <w:color w:val="000000"/>
        </w:rPr>
        <w:t xml:space="preserve"> increases the probability of mutations of important genes such as tumor suppressor gene p53 and the MYC proto-oncogene, </w:t>
      </w:r>
      <w:r w:rsidR="00326C94">
        <w:rPr>
          <w:rFonts w:ascii="Book Antiqua" w:eastAsia="Book Antiqua" w:hAnsi="Book Antiqua" w:cs="Book Antiqua"/>
          <w:color w:val="000000"/>
        </w:rPr>
        <w:t xml:space="preserve">among </w:t>
      </w:r>
      <w:r w:rsidRPr="00E110C5">
        <w:rPr>
          <w:rFonts w:ascii="Book Antiqua" w:eastAsia="Book Antiqua" w:hAnsi="Book Antiqua" w:cs="Book Antiqua"/>
          <w:color w:val="000000"/>
        </w:rPr>
        <w:t>others</w:t>
      </w:r>
      <w:r w:rsidRPr="00326C94">
        <w:rPr>
          <w:rFonts w:ascii="Book Antiqua" w:eastAsia="Book Antiqua" w:hAnsi="Book Antiqua" w:cs="Book Antiqua"/>
          <w:color w:val="000000"/>
          <w:vertAlign w:val="superscript"/>
        </w:rPr>
        <w:t>[53]</w:t>
      </w:r>
      <w:r w:rsidRPr="00326C94">
        <w:rPr>
          <w:rFonts w:ascii="Book Antiqua" w:eastAsia="Book Antiqua" w:hAnsi="Book Antiqua" w:cs="Book Antiqua"/>
          <w:color w:val="000000"/>
        </w:rPr>
        <w:t>. The DNA instability is at least partially attributable to the effect of TNF</w:t>
      </w:r>
      <w:r w:rsidR="006B1A0F" w:rsidRPr="00326C94">
        <w:rPr>
          <w:rFonts w:ascii="Book Antiqua" w:eastAsia="Book Antiqua" w:hAnsi="Book Antiqua" w:cs="Book Antiqua"/>
          <w:color w:val="000000"/>
        </w:rPr>
        <w:t>-</w:t>
      </w:r>
      <w:r w:rsidRPr="00326C94">
        <w:rPr>
          <w:rFonts w:ascii="Book Antiqua" w:eastAsia="Book Antiqua" w:hAnsi="Book Antiqua" w:cs="Book Antiqua"/>
          <w:color w:val="000000"/>
        </w:rPr>
        <w:t xml:space="preserve">α, which among others, causes </w:t>
      </w:r>
      <w:r w:rsidR="00326C94">
        <w:rPr>
          <w:rFonts w:ascii="Book Antiqua" w:eastAsia="Book Antiqua" w:hAnsi="Book Antiqua" w:cs="Book Antiqua"/>
          <w:color w:val="000000"/>
        </w:rPr>
        <w:t xml:space="preserve">the </w:t>
      </w:r>
      <w:r w:rsidRPr="00326C94">
        <w:rPr>
          <w:rFonts w:ascii="Book Antiqua" w:eastAsia="Book Antiqua" w:hAnsi="Book Antiqua" w:cs="Book Antiqua"/>
          <w:color w:val="000000"/>
        </w:rPr>
        <w:t xml:space="preserve">upregulation of </w:t>
      </w:r>
      <w:r w:rsidR="00326C94">
        <w:rPr>
          <w:rFonts w:ascii="Book Antiqua" w:eastAsia="Book Antiqua" w:hAnsi="Book Antiqua" w:cs="Book Antiqua"/>
          <w:color w:val="000000"/>
        </w:rPr>
        <w:t>a</w:t>
      </w:r>
      <w:r w:rsidRPr="00326C94">
        <w:rPr>
          <w:rFonts w:ascii="Book Antiqua" w:eastAsia="Book Antiqua" w:hAnsi="Book Antiqua" w:cs="Book Antiqua"/>
          <w:color w:val="000000"/>
        </w:rPr>
        <w:t>ctivation-</w:t>
      </w:r>
      <w:r w:rsidR="00326C94">
        <w:rPr>
          <w:rFonts w:ascii="Book Antiqua" w:eastAsia="Book Antiqua" w:hAnsi="Book Antiqua" w:cs="Book Antiqua"/>
          <w:color w:val="000000"/>
        </w:rPr>
        <w:t>i</w:t>
      </w:r>
      <w:r w:rsidRPr="00326C94">
        <w:rPr>
          <w:rFonts w:ascii="Book Antiqua" w:eastAsia="Book Antiqua" w:hAnsi="Book Antiqua" w:cs="Book Antiqua"/>
          <w:color w:val="000000"/>
        </w:rPr>
        <w:t xml:space="preserve">nduced cytidine </w:t>
      </w:r>
      <w:r w:rsidR="00326C94">
        <w:rPr>
          <w:rFonts w:ascii="Book Antiqua" w:eastAsia="Book Antiqua" w:hAnsi="Book Antiqua" w:cs="Book Antiqua"/>
          <w:color w:val="000000"/>
        </w:rPr>
        <w:t>d</w:t>
      </w:r>
      <w:r w:rsidRPr="00326C94">
        <w:rPr>
          <w:rFonts w:ascii="Book Antiqua" w:eastAsia="Book Antiqua" w:hAnsi="Book Antiqua" w:cs="Book Antiqua"/>
          <w:color w:val="000000"/>
        </w:rPr>
        <w:t xml:space="preserve">eaminase, an enzyme that can create DNA mutations by converting cytosine to uracil. </w:t>
      </w:r>
    </w:p>
    <w:p w14:paraId="3539169D" w14:textId="32BCEF0A" w:rsidR="006B6B7F" w:rsidRDefault="0048774A" w:rsidP="00D866CC">
      <w:pPr>
        <w:spacing w:line="360" w:lineRule="auto"/>
        <w:ind w:firstLineChars="112" w:firstLine="269"/>
        <w:jc w:val="both"/>
        <w:rPr>
          <w:rFonts w:ascii="Book Antiqua" w:hAnsi="Book Antiqua"/>
        </w:rPr>
      </w:pPr>
      <w:r w:rsidRPr="00326C94">
        <w:rPr>
          <w:rFonts w:ascii="Book Antiqua" w:eastAsia="Book Antiqua" w:hAnsi="Book Antiqua" w:cs="Book Antiqua"/>
          <w:color w:val="000000"/>
        </w:rPr>
        <w:t xml:space="preserve">In addition to the inflammatory changes caused in the liver tissues by the continuous presence of the virus, it seems that hepatitis viral components may act as oncogenes and promote oncogenicity </w:t>
      </w:r>
      <w:r w:rsidRPr="00436841">
        <w:rPr>
          <w:rFonts w:ascii="Book Antiqua" w:eastAsia="Book Antiqua" w:hAnsi="Book Antiqua" w:cs="Book Antiqua"/>
          <w:i/>
          <w:iCs/>
          <w:color w:val="000000"/>
        </w:rPr>
        <w:t>per se</w:t>
      </w:r>
      <w:r w:rsidRPr="00436841">
        <w:rPr>
          <w:rFonts w:ascii="Book Antiqua" w:eastAsia="Book Antiqua" w:hAnsi="Book Antiqua" w:cs="Book Antiqua"/>
          <w:color w:val="000000"/>
        </w:rPr>
        <w:t xml:space="preserve">. In particular, </w:t>
      </w:r>
      <w:r w:rsidR="006B1A0F" w:rsidRPr="00436841">
        <w:rPr>
          <w:rFonts w:ascii="Book Antiqua" w:eastAsia="Book Antiqua" w:hAnsi="Book Antiqua" w:cs="Book Antiqua"/>
          <w:color w:val="000000"/>
        </w:rPr>
        <w:t>h</w:t>
      </w:r>
      <w:r w:rsidRPr="00436841">
        <w:rPr>
          <w:rFonts w:ascii="Book Antiqua" w:eastAsia="Book Antiqua" w:hAnsi="Book Antiqua" w:cs="Book Antiqua"/>
          <w:color w:val="000000"/>
        </w:rPr>
        <w:t xml:space="preserve">epatitis B x (HBx) protein has been </w:t>
      </w:r>
      <w:r w:rsidRPr="00436841">
        <w:rPr>
          <w:rFonts w:ascii="Book Antiqua" w:eastAsia="Book Antiqua" w:hAnsi="Book Antiqua" w:cs="Book Antiqua"/>
          <w:color w:val="000000"/>
        </w:rPr>
        <w:lastRenderedPageBreak/>
        <w:t xml:space="preserve">implicated in carcinogenesis. Experiments with transgenic mice </w:t>
      </w:r>
      <w:r w:rsidR="00326C94">
        <w:rPr>
          <w:rFonts w:ascii="Book Antiqua" w:eastAsia="Book Antiqua" w:hAnsi="Book Antiqua" w:cs="Book Antiqua"/>
          <w:color w:val="000000"/>
        </w:rPr>
        <w:t xml:space="preserve">have </w:t>
      </w:r>
      <w:r w:rsidRPr="00326C94">
        <w:rPr>
          <w:rFonts w:ascii="Book Antiqua" w:eastAsia="Book Antiqua" w:hAnsi="Book Antiqua" w:cs="Book Antiqua"/>
          <w:color w:val="000000"/>
        </w:rPr>
        <w:t>demonstrated that its expression enhances IL-6</w:t>
      </w:r>
      <w:r w:rsidR="00326C94">
        <w:rPr>
          <w:rFonts w:ascii="Book Antiqua" w:eastAsia="Book Antiqua" w:hAnsi="Book Antiqua" w:cs="Book Antiqua"/>
          <w:color w:val="000000"/>
        </w:rPr>
        <w:t>-</w:t>
      </w:r>
      <w:r w:rsidRPr="00326C94">
        <w:rPr>
          <w:rFonts w:ascii="Book Antiqua" w:eastAsia="Book Antiqua" w:hAnsi="Book Antiqua" w:cs="Book Antiqua"/>
          <w:color w:val="000000"/>
        </w:rPr>
        <w:t>dependent proinflammatory effects and cause</w:t>
      </w:r>
      <w:r w:rsidR="00326C94">
        <w:rPr>
          <w:rFonts w:ascii="Book Antiqua" w:eastAsia="Book Antiqua" w:hAnsi="Book Antiqua" w:cs="Book Antiqua"/>
          <w:color w:val="000000"/>
        </w:rPr>
        <w:t>s</w:t>
      </w:r>
      <w:r w:rsidRPr="00326C94">
        <w:rPr>
          <w:rFonts w:ascii="Book Antiqua" w:eastAsia="Book Antiqua" w:hAnsi="Book Antiqua" w:cs="Book Antiqua"/>
          <w:color w:val="000000"/>
        </w:rPr>
        <w:t xml:space="preserve"> malignant transformation towards both HCC and CCA</w:t>
      </w:r>
      <w:r w:rsidRPr="00326C94">
        <w:rPr>
          <w:rFonts w:ascii="Book Antiqua" w:eastAsia="Book Antiqua" w:hAnsi="Book Antiqua" w:cs="Book Antiqua"/>
          <w:color w:val="000000"/>
          <w:vertAlign w:val="superscript"/>
        </w:rPr>
        <w:t>[54]</w:t>
      </w:r>
      <w:r w:rsidRPr="00326C94">
        <w:rPr>
          <w:rFonts w:ascii="Book Antiqua" w:eastAsia="Book Antiqua" w:hAnsi="Book Antiqua" w:cs="Book Antiqua"/>
          <w:color w:val="000000"/>
        </w:rPr>
        <w:t>.</w:t>
      </w:r>
    </w:p>
    <w:p w14:paraId="6A255CA0" w14:textId="02F6E58D" w:rsidR="006B6B7F" w:rsidRDefault="00326C94" w:rsidP="00D866CC">
      <w:pPr>
        <w:spacing w:line="360" w:lineRule="auto"/>
        <w:ind w:firstLineChars="112" w:firstLine="269"/>
        <w:jc w:val="both"/>
        <w:rPr>
          <w:rFonts w:ascii="Book Antiqua" w:hAnsi="Book Antiqua"/>
        </w:rPr>
      </w:pPr>
      <w:r>
        <w:rPr>
          <w:rFonts w:ascii="Book Antiqua" w:eastAsia="Book Antiqua" w:hAnsi="Book Antiqua" w:cs="Book Antiqua"/>
          <w:color w:val="000000"/>
        </w:rPr>
        <w:t>The p</w:t>
      </w:r>
      <w:r w:rsidR="0048774A" w:rsidRPr="00326C94">
        <w:rPr>
          <w:rFonts w:ascii="Book Antiqua" w:eastAsia="Book Antiqua" w:hAnsi="Book Antiqua" w:cs="Book Antiqua"/>
          <w:color w:val="000000"/>
        </w:rPr>
        <w:t xml:space="preserve">resence of HBV genes in the genome of CCA has been described. Although the exact effect on tumorigenesis is unknown, the observed proximity of the insertion sites to the gene encoding the tumor suppression p53 is intriguing. Wang </w:t>
      </w:r>
      <w:r w:rsidR="0048774A" w:rsidRPr="00326C94">
        <w:rPr>
          <w:rFonts w:ascii="Book Antiqua" w:eastAsia="Book Antiqua" w:hAnsi="Book Antiqua" w:cs="Book Antiqua"/>
          <w:i/>
          <w:iCs/>
          <w:color w:val="000000"/>
        </w:rPr>
        <w:t>et al</w:t>
      </w:r>
      <w:r w:rsidR="006B1A0F" w:rsidRPr="00AA57C1">
        <w:rPr>
          <w:rFonts w:ascii="Book Antiqua" w:eastAsia="Book Antiqua" w:hAnsi="Book Antiqua" w:cs="Book Antiqua"/>
          <w:color w:val="000000"/>
          <w:vertAlign w:val="superscript"/>
        </w:rPr>
        <w:t>[55]</w:t>
      </w:r>
      <w:r w:rsidR="0048774A" w:rsidRPr="00146474">
        <w:rPr>
          <w:rFonts w:ascii="Book Antiqua" w:eastAsia="Book Antiqua" w:hAnsi="Book Antiqua" w:cs="Book Antiqua"/>
          <w:color w:val="000000"/>
        </w:rPr>
        <w:t xml:space="preserve"> using </w:t>
      </w:r>
      <w:r w:rsidR="00DA7CC7" w:rsidRPr="00D866CC">
        <w:rPr>
          <w:rFonts w:ascii="Book Antiqua" w:eastAsia="Book Antiqua" w:hAnsi="Book Antiqua" w:cs="Book Antiqua"/>
          <w:i/>
          <w:iCs/>
          <w:color w:val="000000"/>
        </w:rPr>
        <w:t>in situ</w:t>
      </w:r>
      <w:r w:rsidR="0048774A" w:rsidRPr="00AA57C1">
        <w:rPr>
          <w:rFonts w:ascii="Book Antiqua" w:eastAsia="Book Antiqua" w:hAnsi="Book Antiqua" w:cs="Book Antiqua"/>
          <w:color w:val="000000"/>
        </w:rPr>
        <w:t xml:space="preserve"> hybridization demonstrated </w:t>
      </w:r>
      <w:r w:rsidR="00AA57C1">
        <w:rPr>
          <w:rFonts w:ascii="Book Antiqua" w:eastAsia="Book Antiqua" w:hAnsi="Book Antiqua" w:cs="Book Antiqua"/>
          <w:color w:val="000000"/>
        </w:rPr>
        <w:t xml:space="preserve">the </w:t>
      </w:r>
      <w:r w:rsidR="0048774A" w:rsidRPr="00AA57C1">
        <w:rPr>
          <w:rFonts w:ascii="Book Antiqua" w:eastAsia="Book Antiqua" w:hAnsi="Book Antiqua" w:cs="Book Antiqua"/>
          <w:color w:val="000000"/>
        </w:rPr>
        <w:t>presence of HBV genes in 33 of 40 iCCA cases tested; the most common gene found was again HBx</w:t>
      </w:r>
      <w:r w:rsidR="0048774A" w:rsidRPr="00AA57C1">
        <w:rPr>
          <w:rFonts w:ascii="Book Antiqua" w:eastAsia="Book Antiqua" w:hAnsi="Book Antiqua" w:cs="Book Antiqua"/>
          <w:color w:val="000000"/>
          <w:vertAlign w:val="superscript"/>
        </w:rPr>
        <w:t>[55]</w:t>
      </w:r>
      <w:r w:rsidR="0048774A" w:rsidRPr="00AA57C1">
        <w:rPr>
          <w:rFonts w:ascii="Book Antiqua" w:eastAsia="Book Antiqua" w:hAnsi="Book Antiqua" w:cs="Book Antiqua"/>
          <w:color w:val="000000"/>
        </w:rPr>
        <w:t xml:space="preserve">. In a study by Pollicino </w:t>
      </w:r>
      <w:r w:rsidR="0048774A" w:rsidRPr="00146474">
        <w:rPr>
          <w:rFonts w:ascii="Book Antiqua" w:eastAsia="Book Antiqua" w:hAnsi="Book Antiqua" w:cs="Book Antiqua"/>
          <w:i/>
          <w:iCs/>
          <w:color w:val="000000"/>
        </w:rPr>
        <w:t>et al</w:t>
      </w:r>
      <w:r w:rsidR="000354F0" w:rsidRPr="00146474">
        <w:rPr>
          <w:rFonts w:ascii="Book Antiqua" w:eastAsia="Book Antiqua" w:hAnsi="Book Antiqua" w:cs="Book Antiqua"/>
          <w:color w:val="000000"/>
          <w:vertAlign w:val="superscript"/>
        </w:rPr>
        <w:t>[33]</w:t>
      </w:r>
      <w:r w:rsidR="0048774A" w:rsidRPr="00146474">
        <w:rPr>
          <w:rFonts w:ascii="Book Antiqua" w:eastAsia="Book Antiqua" w:hAnsi="Book Antiqua" w:cs="Book Antiqua"/>
          <w:color w:val="000000"/>
        </w:rPr>
        <w:t xml:space="preserve"> employing a PCR technique, incorporation of HBV genes in patients with iCCA and no overt vi</w:t>
      </w:r>
      <w:r w:rsidR="0048774A" w:rsidRPr="00436841">
        <w:rPr>
          <w:rFonts w:ascii="Book Antiqua" w:eastAsia="Book Antiqua" w:hAnsi="Book Antiqua" w:cs="Book Antiqua"/>
          <w:color w:val="000000"/>
        </w:rPr>
        <w:t>ral infection was detected in tumor or non-tumorous liver cells in 29 of the 47 examined cases, suggesting the importance of occult viral infection in the development of CCA. Most cases involved the HBx gene.</w:t>
      </w:r>
    </w:p>
    <w:p w14:paraId="365F4CED" w14:textId="5FEFE479" w:rsidR="006B6B7F" w:rsidRDefault="0048774A" w:rsidP="00D866CC">
      <w:pPr>
        <w:spacing w:line="360" w:lineRule="auto"/>
        <w:ind w:firstLineChars="112" w:firstLine="269"/>
        <w:jc w:val="both"/>
        <w:rPr>
          <w:rFonts w:ascii="Book Antiqua" w:hAnsi="Book Antiqua"/>
        </w:rPr>
      </w:pPr>
      <w:r w:rsidRPr="00436841">
        <w:rPr>
          <w:rFonts w:ascii="Book Antiqua" w:eastAsia="Book Antiqua" w:hAnsi="Book Antiqua" w:cs="Book Antiqua"/>
          <w:color w:val="000000"/>
        </w:rPr>
        <w:t>Expression of the culprit HBx gene may be documented by immunohistochemistry in about 70% of patients with iCCA and correlate</w:t>
      </w:r>
      <w:r w:rsidR="00025D3E">
        <w:rPr>
          <w:rFonts w:ascii="Book Antiqua" w:eastAsia="Book Antiqua" w:hAnsi="Book Antiqua" w:cs="Book Antiqua"/>
          <w:color w:val="000000"/>
        </w:rPr>
        <w:t>s</w:t>
      </w:r>
      <w:r w:rsidRPr="00436841">
        <w:rPr>
          <w:rFonts w:ascii="Book Antiqua" w:eastAsia="Book Antiqua" w:hAnsi="Book Antiqua" w:cs="Book Antiqua"/>
          <w:color w:val="000000"/>
        </w:rPr>
        <w:t xml:space="preserve"> with peripheral tumors and higher aFP levels, but the exact percentage obviously depends on the epidemiology of the tested population</w:t>
      </w:r>
      <w:r w:rsidRPr="00436841">
        <w:rPr>
          <w:rFonts w:ascii="Book Antiqua" w:eastAsia="Book Antiqua" w:hAnsi="Book Antiqua" w:cs="Book Antiqua"/>
          <w:color w:val="000000"/>
          <w:vertAlign w:val="superscript"/>
        </w:rPr>
        <w:t>[56]</w:t>
      </w:r>
      <w:r w:rsidRPr="00436841">
        <w:rPr>
          <w:rFonts w:ascii="Book Antiqua" w:eastAsia="Book Antiqua" w:hAnsi="Book Antiqua" w:cs="Book Antiqua"/>
          <w:color w:val="000000"/>
        </w:rPr>
        <w:t>. Co-expression of HBx and HCV core proteins in transgenic zebra fish livers induce</w:t>
      </w:r>
      <w:r w:rsidR="006B48D6">
        <w:rPr>
          <w:rFonts w:ascii="Book Antiqua" w:eastAsia="Book Antiqua" w:hAnsi="Book Antiqua" w:cs="Book Antiqua"/>
          <w:color w:val="000000"/>
        </w:rPr>
        <w:t>s</w:t>
      </w:r>
      <w:r w:rsidRPr="00436841">
        <w:rPr>
          <w:rFonts w:ascii="Book Antiqua" w:eastAsia="Book Antiqua" w:hAnsi="Book Antiqua" w:cs="Book Antiqua"/>
          <w:color w:val="000000"/>
        </w:rPr>
        <w:t xml:space="preserve"> fibrosis and iCCA</w:t>
      </w:r>
      <w:r w:rsidRPr="00436841">
        <w:rPr>
          <w:rFonts w:ascii="Book Antiqua" w:eastAsia="Book Antiqua" w:hAnsi="Book Antiqua" w:cs="Book Antiqua"/>
          <w:color w:val="000000"/>
          <w:vertAlign w:val="superscript"/>
        </w:rPr>
        <w:t>[57]</w:t>
      </w:r>
      <w:r w:rsidRPr="00436841">
        <w:rPr>
          <w:rFonts w:ascii="Book Antiqua" w:eastAsia="Book Antiqua" w:hAnsi="Book Antiqua" w:cs="Book Antiqua"/>
          <w:color w:val="000000"/>
        </w:rPr>
        <w:t xml:space="preserve">, </w:t>
      </w:r>
      <w:r w:rsidR="006B48D6">
        <w:rPr>
          <w:rFonts w:ascii="Book Antiqua" w:eastAsia="Book Antiqua" w:hAnsi="Book Antiqua" w:cs="Book Antiqua"/>
          <w:color w:val="000000"/>
        </w:rPr>
        <w:t xml:space="preserve">and is </w:t>
      </w:r>
      <w:r w:rsidRPr="006B48D6">
        <w:rPr>
          <w:rFonts w:ascii="Book Antiqua" w:eastAsia="Book Antiqua" w:hAnsi="Book Antiqua" w:cs="Book Antiqua"/>
          <w:color w:val="000000"/>
        </w:rPr>
        <w:t>associated with activation of the p</w:t>
      </w:r>
      <w:r w:rsidR="006B48D6">
        <w:rPr>
          <w:rFonts w:ascii="Book Antiqua" w:eastAsia="Book Antiqua" w:hAnsi="Book Antiqua" w:cs="Book Antiqua"/>
          <w:color w:val="000000"/>
        </w:rPr>
        <w:t xml:space="preserve">hosphorylated </w:t>
      </w:r>
      <w:r w:rsidRPr="006B48D6">
        <w:rPr>
          <w:rFonts w:ascii="Book Antiqua" w:eastAsia="Book Antiqua" w:hAnsi="Book Antiqua" w:cs="Book Antiqua"/>
          <w:color w:val="000000"/>
        </w:rPr>
        <w:t xml:space="preserve">Smad3L oncogenic pathway with consequent phosphorylation and activation of </w:t>
      </w:r>
      <w:r w:rsidR="006B48D6">
        <w:rPr>
          <w:rFonts w:ascii="Book Antiqua" w:eastAsia="Book Antiqua" w:hAnsi="Book Antiqua" w:cs="Book Antiqua"/>
          <w:color w:val="000000"/>
        </w:rPr>
        <w:t>MEK</w:t>
      </w:r>
      <w:r w:rsidRPr="006B48D6">
        <w:rPr>
          <w:rFonts w:ascii="Book Antiqua" w:eastAsia="Book Antiqua" w:hAnsi="Book Antiqua" w:cs="Book Antiqua"/>
          <w:color w:val="000000"/>
        </w:rPr>
        <w:t>-</w:t>
      </w:r>
      <w:r w:rsidR="006B48D6">
        <w:rPr>
          <w:rFonts w:ascii="Book Antiqua" w:eastAsia="Book Antiqua" w:hAnsi="Book Antiqua" w:cs="Book Antiqua"/>
          <w:color w:val="000000"/>
        </w:rPr>
        <w:t>ERK</w:t>
      </w:r>
      <w:r w:rsidRPr="006B48D6">
        <w:rPr>
          <w:rFonts w:ascii="Book Antiqua" w:eastAsia="Book Antiqua" w:hAnsi="Book Antiqua" w:cs="Book Antiqua"/>
          <w:color w:val="000000"/>
        </w:rPr>
        <w:t xml:space="preserve"> proteins. Bile duct proliferation, fibrosis, and iCCA were markedly reduced by knockdown of TGF-β, suggesting the important role of this mediator. Semaphorine 3B is a recently identified tumor suppressor gene encoded on chromosome 3p21.3 and is connected to p53 activity. Silenc</w:t>
      </w:r>
      <w:r w:rsidR="006B72D3">
        <w:rPr>
          <w:rFonts w:ascii="Book Antiqua" w:eastAsia="Book Antiqua" w:hAnsi="Book Antiqua" w:cs="Book Antiqua"/>
          <w:color w:val="000000"/>
        </w:rPr>
        <w:t>ing</w:t>
      </w:r>
      <w:r w:rsidRPr="006B48D6">
        <w:rPr>
          <w:rFonts w:ascii="Book Antiqua" w:eastAsia="Book Antiqua" w:hAnsi="Book Antiqua" w:cs="Book Antiqua"/>
          <w:color w:val="000000"/>
        </w:rPr>
        <w:t xml:space="preserve"> of the locus due to gene or promoter hypermethylation or loss of </w:t>
      </w:r>
      <w:r w:rsidR="00E41898" w:rsidRPr="006B48D6">
        <w:rPr>
          <w:rFonts w:ascii="Book Antiqua" w:eastAsia="Book Antiqua" w:hAnsi="Book Antiqua" w:cs="Book Antiqua"/>
          <w:color w:val="000000"/>
        </w:rPr>
        <w:t>homozygosity</w:t>
      </w:r>
      <w:r w:rsidRPr="006B48D6">
        <w:rPr>
          <w:rFonts w:ascii="Book Antiqua" w:eastAsia="Book Antiqua" w:hAnsi="Book Antiqua" w:cs="Book Antiqua"/>
          <w:color w:val="000000"/>
        </w:rPr>
        <w:t xml:space="preserve"> was detected in several CCA tumor cells</w:t>
      </w:r>
      <w:r w:rsidR="006B72D3">
        <w:rPr>
          <w:rFonts w:ascii="Book Antiqua" w:eastAsia="Book Antiqua" w:hAnsi="Book Antiqua" w:cs="Book Antiqua"/>
          <w:color w:val="000000"/>
        </w:rPr>
        <w:t>,</w:t>
      </w:r>
      <w:r w:rsidRPr="006B48D6">
        <w:rPr>
          <w:rFonts w:ascii="Book Antiqua" w:eastAsia="Book Antiqua" w:hAnsi="Book Antiqua" w:cs="Book Antiqua"/>
          <w:color w:val="000000"/>
        </w:rPr>
        <w:t xml:space="preserve"> and as expected, was associated with </w:t>
      </w:r>
      <w:r w:rsidR="006B72D3">
        <w:rPr>
          <w:rFonts w:ascii="Book Antiqua" w:eastAsia="Book Antiqua" w:hAnsi="Book Antiqua" w:cs="Book Antiqua"/>
          <w:color w:val="000000"/>
        </w:rPr>
        <w:t xml:space="preserve">the </w:t>
      </w:r>
      <w:r w:rsidRPr="006B48D6">
        <w:rPr>
          <w:rFonts w:ascii="Book Antiqua" w:eastAsia="Book Antiqua" w:hAnsi="Book Antiqua" w:cs="Book Antiqua"/>
          <w:color w:val="000000"/>
        </w:rPr>
        <w:t>downregulation of mRNA transcripts</w:t>
      </w:r>
      <w:r w:rsidRPr="006B48D6">
        <w:rPr>
          <w:rFonts w:ascii="Book Antiqua" w:eastAsia="Book Antiqua" w:hAnsi="Book Antiqua" w:cs="Book Antiqua"/>
          <w:color w:val="000000"/>
          <w:vertAlign w:val="superscript"/>
        </w:rPr>
        <w:t>[43]</w:t>
      </w:r>
      <w:r w:rsidRPr="006B48D6">
        <w:rPr>
          <w:rFonts w:ascii="Book Antiqua" w:eastAsia="Book Antiqua" w:hAnsi="Book Antiqua" w:cs="Book Antiqua"/>
          <w:color w:val="000000"/>
        </w:rPr>
        <w:t>.</w:t>
      </w:r>
    </w:p>
    <w:p w14:paraId="01170208" w14:textId="3547DE28" w:rsidR="006B6B7F" w:rsidRDefault="0048774A" w:rsidP="00D866CC">
      <w:pPr>
        <w:spacing w:line="360" w:lineRule="auto"/>
        <w:ind w:firstLineChars="112" w:firstLine="269"/>
        <w:jc w:val="both"/>
        <w:rPr>
          <w:rFonts w:ascii="Book Antiqua" w:hAnsi="Book Antiqua"/>
        </w:rPr>
      </w:pPr>
      <w:r w:rsidRPr="00436841">
        <w:rPr>
          <w:rFonts w:ascii="Book Antiqua" w:eastAsia="Book Antiqua" w:hAnsi="Book Antiqua" w:cs="Book Antiqua"/>
          <w:color w:val="000000"/>
        </w:rPr>
        <w:t>These dysregulations result in a broad variety of somatic mutations that have been recently identified using next</w:t>
      </w:r>
      <w:r w:rsidR="006B72D3">
        <w:rPr>
          <w:rFonts w:ascii="Book Antiqua" w:eastAsia="Book Antiqua" w:hAnsi="Book Antiqua" w:cs="Book Antiqua"/>
          <w:color w:val="000000"/>
        </w:rPr>
        <w:t>-</w:t>
      </w:r>
      <w:r w:rsidRPr="00436841">
        <w:rPr>
          <w:rFonts w:ascii="Book Antiqua" w:eastAsia="Book Antiqua" w:hAnsi="Book Antiqua" w:cs="Book Antiqua"/>
          <w:color w:val="000000"/>
        </w:rPr>
        <w:t xml:space="preserve">generation sequencing, some of which impair the function of known oncogenes. Almost any gene implicated in </w:t>
      </w:r>
      <w:r w:rsidR="008E41FE">
        <w:rPr>
          <w:rFonts w:ascii="Book Antiqua" w:eastAsia="Book Antiqua" w:hAnsi="Book Antiqua" w:cs="Book Antiqua"/>
          <w:color w:val="000000"/>
        </w:rPr>
        <w:t>carcin</w:t>
      </w:r>
      <w:r w:rsidR="008E41FE" w:rsidRPr="008E41FE">
        <w:rPr>
          <w:rFonts w:ascii="Book Antiqua" w:eastAsia="Book Antiqua" w:hAnsi="Book Antiqua" w:cs="Book Antiqua"/>
          <w:color w:val="000000"/>
        </w:rPr>
        <w:t xml:space="preserve">ogenesis </w:t>
      </w:r>
      <w:r w:rsidR="006B72D3">
        <w:rPr>
          <w:rFonts w:ascii="Book Antiqua" w:eastAsia="Book Antiqua" w:hAnsi="Book Antiqua" w:cs="Book Antiqua"/>
          <w:color w:val="000000"/>
        </w:rPr>
        <w:t>is</w:t>
      </w:r>
      <w:r w:rsidRPr="008E41FE">
        <w:rPr>
          <w:rFonts w:ascii="Book Antiqua" w:eastAsia="Book Antiqua" w:hAnsi="Book Antiqua" w:cs="Book Antiqua"/>
          <w:color w:val="000000"/>
        </w:rPr>
        <w:t xml:space="preserve"> abnormal in CCA, attesting to the heterogeneity of the disease and the lack of a pathognomonic driver mutation</w:t>
      </w:r>
      <w:r w:rsidRPr="008E41FE">
        <w:rPr>
          <w:rFonts w:ascii="Book Antiqua" w:eastAsia="Book Antiqua" w:hAnsi="Book Antiqua" w:cs="Book Antiqua"/>
          <w:color w:val="000000"/>
          <w:vertAlign w:val="superscript"/>
        </w:rPr>
        <w:t>[58]</w:t>
      </w:r>
      <w:r w:rsidRPr="008E41FE">
        <w:rPr>
          <w:rFonts w:ascii="Book Antiqua" w:eastAsia="Book Antiqua" w:hAnsi="Book Antiqua" w:cs="Book Antiqua"/>
          <w:color w:val="000000"/>
        </w:rPr>
        <w:t xml:space="preserve">. Thus, </w:t>
      </w:r>
      <w:r w:rsidR="008E41FE">
        <w:rPr>
          <w:rFonts w:ascii="Book Antiqua" w:eastAsia="Book Antiqua" w:hAnsi="Book Antiqua" w:cs="Book Antiqua"/>
          <w:color w:val="000000"/>
        </w:rPr>
        <w:t>KRAS</w:t>
      </w:r>
      <w:r w:rsidR="008E41FE" w:rsidRPr="008E41FE">
        <w:rPr>
          <w:rFonts w:ascii="Book Antiqua" w:eastAsia="Book Antiqua" w:hAnsi="Book Antiqua" w:cs="Book Antiqua"/>
          <w:color w:val="000000"/>
        </w:rPr>
        <w:t xml:space="preserve"> </w:t>
      </w:r>
      <w:r w:rsidRPr="008E41FE">
        <w:rPr>
          <w:rFonts w:ascii="Book Antiqua" w:eastAsia="Book Antiqua" w:hAnsi="Book Antiqua" w:cs="Book Antiqua"/>
          <w:color w:val="000000"/>
        </w:rPr>
        <w:t xml:space="preserve">mutations may affect 20% of CCA. </w:t>
      </w:r>
      <w:r w:rsidRPr="008E41FE">
        <w:rPr>
          <w:rFonts w:ascii="Book Antiqua" w:eastAsia="Book Antiqua" w:hAnsi="Book Antiqua" w:cs="Book Antiqua"/>
          <w:color w:val="000000"/>
        </w:rPr>
        <w:lastRenderedPageBreak/>
        <w:t xml:space="preserve">Mutations of </w:t>
      </w:r>
      <w:r w:rsidR="006B1A0F" w:rsidRPr="006B72D3">
        <w:rPr>
          <w:rFonts w:ascii="Book Antiqua" w:eastAsia="Book Antiqua" w:hAnsi="Book Antiqua" w:cs="Book Antiqua"/>
          <w:color w:val="000000"/>
        </w:rPr>
        <w:t>i</w:t>
      </w:r>
      <w:r w:rsidRPr="006B72D3">
        <w:rPr>
          <w:rFonts w:ascii="Book Antiqua" w:eastAsia="Book Antiqua" w:hAnsi="Book Antiqua" w:cs="Book Antiqua"/>
          <w:color w:val="000000"/>
        </w:rPr>
        <w:t xml:space="preserve">socitrate dehydrogenase 1 (IDH1) and </w:t>
      </w:r>
      <w:r w:rsidRPr="00436841">
        <w:rPr>
          <w:rFonts w:ascii="Book Antiqua" w:eastAsia="Book Antiqua" w:hAnsi="Book Antiqua" w:cs="Book Antiqua"/>
          <w:color w:val="000000"/>
        </w:rPr>
        <w:t>IDH2 genes occur in approximate 20% of iCCA. IDH1 and IDH2 genes encode for enzymes active in the citric acid cycle (Krebbs cycle)</w:t>
      </w:r>
      <w:r w:rsidR="000B55BF">
        <w:rPr>
          <w:rFonts w:ascii="Book Antiqua" w:eastAsia="Book Antiqua" w:hAnsi="Book Antiqua" w:cs="Book Antiqua"/>
          <w:color w:val="000000"/>
        </w:rPr>
        <w:t>,</w:t>
      </w:r>
      <w:r w:rsidRPr="000B55BF">
        <w:rPr>
          <w:rFonts w:ascii="Book Antiqua" w:eastAsia="Book Antiqua" w:hAnsi="Book Antiqua" w:cs="Book Antiqua"/>
          <w:color w:val="000000"/>
        </w:rPr>
        <w:t xml:space="preserve"> and their loss of function mutations results in accumulation of an abnormal oncometabolite R-2-hydroxyglutarate which interferes with the function of several pathways and causes epigenetic DNA changes. Other alterations of iCCA include fibroblast g</w:t>
      </w:r>
      <w:r w:rsidRPr="00436841">
        <w:rPr>
          <w:rFonts w:ascii="Book Antiqua" w:eastAsia="Book Antiqua" w:hAnsi="Book Antiqua" w:cs="Book Antiqua"/>
          <w:color w:val="000000"/>
        </w:rPr>
        <w:t xml:space="preserve">rowth factor receptor 2 (FGFR2) mutations. Translocation or amplification of the FGFR2 </w:t>
      </w:r>
      <w:r w:rsidR="006B1A0F" w:rsidRPr="00436841">
        <w:rPr>
          <w:rFonts w:ascii="Book Antiqua" w:eastAsia="Book Antiqua" w:hAnsi="Book Antiqua" w:cs="Book Antiqua"/>
          <w:color w:val="000000"/>
        </w:rPr>
        <w:t>l</w:t>
      </w:r>
      <w:r w:rsidRPr="00436841">
        <w:rPr>
          <w:rFonts w:ascii="Book Antiqua" w:eastAsia="Book Antiqua" w:hAnsi="Book Antiqua" w:cs="Book Antiqua"/>
          <w:color w:val="000000"/>
        </w:rPr>
        <w:t xml:space="preserve">ocus </w:t>
      </w:r>
      <w:r w:rsidR="000B55BF">
        <w:rPr>
          <w:rFonts w:ascii="Book Antiqua" w:eastAsia="Book Antiqua" w:hAnsi="Book Antiqua" w:cs="Book Antiqua"/>
          <w:color w:val="000000"/>
        </w:rPr>
        <w:t>i</w:t>
      </w:r>
      <w:r w:rsidRPr="00436841">
        <w:rPr>
          <w:rFonts w:ascii="Book Antiqua" w:eastAsia="Book Antiqua" w:hAnsi="Book Antiqua" w:cs="Book Antiqua"/>
          <w:color w:val="000000"/>
        </w:rPr>
        <w:t>s found in 19% of 122 iCCA patients</w:t>
      </w:r>
      <w:r w:rsidRPr="00436841">
        <w:rPr>
          <w:rFonts w:ascii="Book Antiqua" w:eastAsia="Book Antiqua" w:hAnsi="Book Antiqua" w:cs="Book Antiqua"/>
          <w:color w:val="000000"/>
          <w:vertAlign w:val="superscript"/>
        </w:rPr>
        <w:t>[59]</w:t>
      </w:r>
      <w:r w:rsidRPr="00436841">
        <w:rPr>
          <w:rFonts w:ascii="Book Antiqua" w:eastAsia="Book Antiqua" w:hAnsi="Book Antiqua" w:cs="Book Antiqua"/>
          <w:color w:val="000000"/>
        </w:rPr>
        <w:t>. Tumors of such patients tend to be of the mass-forming type</w:t>
      </w:r>
      <w:r w:rsidRPr="000B55BF">
        <w:rPr>
          <w:rFonts w:ascii="Book Antiqua" w:eastAsia="Book Antiqua" w:hAnsi="Book Antiqua" w:cs="Book Antiqua"/>
          <w:color w:val="000000"/>
        </w:rPr>
        <w:t xml:space="preserve"> and </w:t>
      </w:r>
      <w:r w:rsidR="000132CB">
        <w:rPr>
          <w:rFonts w:ascii="Book Antiqua" w:eastAsia="Book Antiqua" w:hAnsi="Book Antiqua" w:cs="Book Antiqua"/>
          <w:color w:val="000000"/>
        </w:rPr>
        <w:t>compared</w:t>
      </w:r>
      <w:r w:rsidRPr="000B55BF">
        <w:rPr>
          <w:rFonts w:ascii="Book Antiqua" w:eastAsia="Book Antiqua" w:hAnsi="Book Antiqua" w:cs="Book Antiqua"/>
          <w:color w:val="000000"/>
        </w:rPr>
        <w:t xml:space="preserve"> to non-FGFR2 altered tumors, they secrete less mucus and </w:t>
      </w:r>
      <w:r w:rsidR="000B55BF">
        <w:rPr>
          <w:rFonts w:ascii="Book Antiqua" w:eastAsia="Book Antiqua" w:hAnsi="Book Antiqua" w:cs="Book Antiqua"/>
          <w:color w:val="000000"/>
        </w:rPr>
        <w:t xml:space="preserve">are </w:t>
      </w:r>
      <w:r w:rsidRPr="000B55BF">
        <w:rPr>
          <w:rFonts w:ascii="Book Antiqua" w:eastAsia="Book Antiqua" w:hAnsi="Book Antiqua" w:cs="Book Antiqua"/>
          <w:color w:val="000000"/>
        </w:rPr>
        <w:t>more commonly associated with HBV infection.</w:t>
      </w:r>
    </w:p>
    <w:p w14:paraId="5729A681" w14:textId="53C0E4D8" w:rsidR="006B6B7F" w:rsidRDefault="0048774A" w:rsidP="00D866CC">
      <w:pPr>
        <w:spacing w:line="360" w:lineRule="auto"/>
        <w:ind w:firstLineChars="112" w:firstLine="269"/>
        <w:jc w:val="both"/>
        <w:rPr>
          <w:rFonts w:ascii="Book Antiqua" w:hAnsi="Book Antiqua"/>
        </w:rPr>
      </w:pPr>
      <w:r w:rsidRPr="00436841">
        <w:rPr>
          <w:rFonts w:ascii="Book Antiqua" w:eastAsia="Book Antiqua" w:hAnsi="Book Antiqua" w:cs="Book Antiqua"/>
          <w:color w:val="000000"/>
        </w:rPr>
        <w:t>Although some of these alterations appear to be important for the malignant behavior of the tumor, they may not represent the initiating transforming event</w:t>
      </w:r>
      <w:r w:rsidR="00540C4D">
        <w:rPr>
          <w:rFonts w:ascii="Book Antiqua" w:eastAsia="Book Antiqua" w:hAnsi="Book Antiqua" w:cs="Book Antiqua"/>
          <w:color w:val="000000"/>
        </w:rPr>
        <w:t>,</w:t>
      </w:r>
      <w:r w:rsidRPr="00540C4D">
        <w:rPr>
          <w:rFonts w:ascii="Book Antiqua" w:eastAsia="Book Antiqua" w:hAnsi="Book Antiqua" w:cs="Book Antiqua"/>
          <w:color w:val="000000"/>
        </w:rPr>
        <w:t xml:space="preserve"> which should be sought earl</w:t>
      </w:r>
      <w:r w:rsidRPr="00436841">
        <w:rPr>
          <w:rFonts w:ascii="Book Antiqua" w:eastAsia="Book Antiqua" w:hAnsi="Book Antiqua" w:cs="Book Antiqua"/>
          <w:color w:val="000000"/>
        </w:rPr>
        <w:t xml:space="preserve">ier in the pathogenesis of iCCA. There is enough evidence to suspect that chronic, overt or occult, infection with hepatitis virus may trigger the transformation of infected cells in the context of a conducive, inflammatory environment. Of the various HBV genes, evidence suggests that HBx plays the most crucial role. HBx protein promotes cell cycle progression, inactivates negative growth regulators, and binds to and inhibits expression of </w:t>
      </w:r>
      <w:r w:rsidR="00540C4D">
        <w:rPr>
          <w:rFonts w:ascii="Book Antiqua" w:eastAsia="Book Antiqua" w:hAnsi="Book Antiqua" w:cs="Book Antiqua"/>
          <w:color w:val="000000"/>
        </w:rPr>
        <w:t xml:space="preserve">the </w:t>
      </w:r>
      <w:r w:rsidRPr="00540C4D">
        <w:rPr>
          <w:rFonts w:ascii="Book Antiqua" w:eastAsia="Book Antiqua" w:hAnsi="Book Antiqua" w:cs="Book Antiqua"/>
          <w:color w:val="000000"/>
        </w:rPr>
        <w:t>p53 tumor suppressor gene, other tumor suppressor genes</w:t>
      </w:r>
      <w:r w:rsidR="00540C4D">
        <w:rPr>
          <w:rFonts w:ascii="Book Antiqua" w:eastAsia="Book Antiqua" w:hAnsi="Book Antiqua" w:cs="Book Antiqua"/>
          <w:color w:val="000000"/>
        </w:rPr>
        <w:t>,</w:t>
      </w:r>
      <w:r w:rsidRPr="00540C4D">
        <w:rPr>
          <w:rFonts w:ascii="Book Antiqua" w:eastAsia="Book Antiqua" w:hAnsi="Book Antiqua" w:cs="Book Antiqua"/>
          <w:color w:val="000000"/>
        </w:rPr>
        <w:t xml:space="preserve"> and sen</w:t>
      </w:r>
      <w:r w:rsidRPr="00436841">
        <w:rPr>
          <w:rFonts w:ascii="Book Antiqua" w:eastAsia="Book Antiqua" w:hAnsi="Book Antiqua" w:cs="Book Antiqua"/>
          <w:color w:val="000000"/>
        </w:rPr>
        <w:t>escence-related factors</w:t>
      </w:r>
      <w:r w:rsidRPr="00436841">
        <w:rPr>
          <w:rFonts w:ascii="Book Antiqua" w:eastAsia="Book Antiqua" w:hAnsi="Book Antiqua" w:cs="Book Antiqua"/>
          <w:color w:val="000000"/>
          <w:vertAlign w:val="superscript"/>
        </w:rPr>
        <w:t>[60]</w:t>
      </w:r>
      <w:r w:rsidRPr="00436841">
        <w:rPr>
          <w:rFonts w:ascii="Book Antiqua" w:eastAsia="Book Antiqua" w:hAnsi="Book Antiqua" w:cs="Book Antiqua"/>
          <w:color w:val="000000"/>
        </w:rPr>
        <w:t>. It appears that some of these actions are mediated through overexpression of telomerase (hTERT) mainly by interfering with its promoter. Thus, the importance of HBx was demonstrated in an experiment involving HCC cell lines</w:t>
      </w:r>
      <w:r w:rsidR="00540C4D">
        <w:rPr>
          <w:rFonts w:ascii="Book Antiqua" w:eastAsia="Book Antiqua" w:hAnsi="Book Antiqua" w:cs="Book Antiqua"/>
          <w:color w:val="000000"/>
        </w:rPr>
        <w:t>,</w:t>
      </w:r>
      <w:r w:rsidRPr="00540C4D">
        <w:rPr>
          <w:rFonts w:ascii="Book Antiqua" w:eastAsia="Book Antiqua" w:hAnsi="Book Antiqua" w:cs="Book Antiqua"/>
          <w:color w:val="000000"/>
        </w:rPr>
        <w:t xml:space="preserve"> whereby</w:t>
      </w:r>
      <w:r w:rsidRPr="00436841">
        <w:rPr>
          <w:rFonts w:ascii="Book Antiqua" w:eastAsia="Book Antiqua" w:hAnsi="Book Antiqua" w:cs="Book Antiqua"/>
          <w:color w:val="000000"/>
        </w:rPr>
        <w:t xml:space="preserve"> transfection with HBx resulted in </w:t>
      </w:r>
      <w:r w:rsidR="00540C4D">
        <w:rPr>
          <w:rFonts w:ascii="Book Antiqua" w:eastAsia="Book Antiqua" w:hAnsi="Book Antiqua" w:cs="Book Antiqua"/>
          <w:color w:val="000000"/>
        </w:rPr>
        <w:t xml:space="preserve">the </w:t>
      </w:r>
      <w:r w:rsidRPr="00540C4D">
        <w:rPr>
          <w:rFonts w:ascii="Book Antiqua" w:eastAsia="Book Antiqua" w:hAnsi="Book Antiqua" w:cs="Book Antiqua"/>
          <w:color w:val="000000"/>
        </w:rPr>
        <w:t xml:space="preserve">overexpression of hTERT a factor important for </w:t>
      </w:r>
      <w:r w:rsidR="00540C4D">
        <w:rPr>
          <w:rFonts w:ascii="Book Antiqua" w:eastAsia="Book Antiqua" w:hAnsi="Book Antiqua" w:cs="Book Antiqua"/>
          <w:color w:val="000000"/>
        </w:rPr>
        <w:t xml:space="preserve">the </w:t>
      </w:r>
      <w:r w:rsidRPr="00540C4D">
        <w:rPr>
          <w:rFonts w:ascii="Book Antiqua" w:eastAsia="Book Antiqua" w:hAnsi="Book Antiqua" w:cs="Book Antiqua"/>
          <w:color w:val="000000"/>
        </w:rPr>
        <w:t>non-senescence of transformed cells</w:t>
      </w:r>
      <w:r w:rsidRPr="00540C4D">
        <w:rPr>
          <w:rFonts w:ascii="Book Antiqua" w:eastAsia="Book Antiqua" w:hAnsi="Book Antiqua" w:cs="Book Antiqua"/>
          <w:color w:val="000000"/>
          <w:vertAlign w:val="superscript"/>
        </w:rPr>
        <w:t>[61]</w:t>
      </w:r>
      <w:r w:rsidRPr="00540C4D">
        <w:rPr>
          <w:rFonts w:ascii="Book Antiqua" w:eastAsia="Book Antiqua" w:hAnsi="Book Antiqua" w:cs="Book Antiqua"/>
          <w:color w:val="000000"/>
        </w:rPr>
        <w:t>. Using current sequencing technology, it appears that the integration of viral sequences to human DNA tends to aggregate in the v</w:t>
      </w:r>
      <w:r w:rsidRPr="00436841">
        <w:rPr>
          <w:rFonts w:ascii="Book Antiqua" w:eastAsia="Book Antiqua" w:hAnsi="Book Antiqua" w:cs="Book Antiqua"/>
          <w:color w:val="000000"/>
        </w:rPr>
        <w:t xml:space="preserve">icinity of the telomerase gene, although other sites of viral gene insertion of unclear significance </w:t>
      </w:r>
      <w:r w:rsidR="00540C4D">
        <w:rPr>
          <w:rFonts w:ascii="Book Antiqua" w:eastAsia="Book Antiqua" w:hAnsi="Book Antiqua" w:cs="Book Antiqua"/>
          <w:color w:val="000000"/>
        </w:rPr>
        <w:t>have been</w:t>
      </w:r>
      <w:r w:rsidR="00540C4D" w:rsidRPr="00540C4D">
        <w:rPr>
          <w:rFonts w:ascii="Book Antiqua" w:eastAsia="Book Antiqua" w:hAnsi="Book Antiqua" w:cs="Book Antiqua"/>
          <w:color w:val="000000"/>
        </w:rPr>
        <w:t xml:space="preserve"> </w:t>
      </w:r>
      <w:r w:rsidRPr="00540C4D">
        <w:rPr>
          <w:rFonts w:ascii="Book Antiqua" w:eastAsia="Book Antiqua" w:hAnsi="Book Antiqua" w:cs="Book Antiqua"/>
          <w:color w:val="000000"/>
        </w:rPr>
        <w:t>observed</w:t>
      </w:r>
      <w:r w:rsidRPr="00540C4D">
        <w:rPr>
          <w:rFonts w:ascii="Book Antiqua" w:eastAsia="Book Antiqua" w:hAnsi="Book Antiqua" w:cs="Book Antiqua"/>
          <w:color w:val="000000"/>
          <w:vertAlign w:val="superscript"/>
        </w:rPr>
        <w:t>[62]</w:t>
      </w:r>
      <w:r w:rsidRPr="00540C4D">
        <w:rPr>
          <w:rFonts w:ascii="Book Antiqua" w:eastAsia="Book Antiqua" w:hAnsi="Book Antiqua" w:cs="Book Antiqua"/>
          <w:color w:val="000000"/>
        </w:rPr>
        <w:t>. Interestingly, HBV gene insertions (</w:t>
      </w:r>
      <w:r w:rsidR="00540C4D">
        <w:rPr>
          <w:rFonts w:ascii="Book Antiqua" w:eastAsia="Book Antiqua" w:hAnsi="Book Antiqua" w:cs="Book Antiqua"/>
          <w:color w:val="000000"/>
        </w:rPr>
        <w:t>h</w:t>
      </w:r>
      <w:r w:rsidRPr="00540C4D">
        <w:rPr>
          <w:rFonts w:ascii="Book Antiqua" w:eastAsia="Book Antiqua" w:hAnsi="Book Antiqua" w:cs="Book Antiqua"/>
          <w:color w:val="000000"/>
        </w:rPr>
        <w:t xml:space="preserve">epatitis B S and/or C gene fragments) </w:t>
      </w:r>
      <w:r w:rsidR="00540C4D">
        <w:rPr>
          <w:rFonts w:ascii="Book Antiqua" w:eastAsia="Book Antiqua" w:hAnsi="Book Antiqua" w:cs="Book Antiqua"/>
          <w:color w:val="000000"/>
        </w:rPr>
        <w:t>have</w:t>
      </w:r>
      <w:r w:rsidRPr="00540C4D">
        <w:rPr>
          <w:rFonts w:ascii="Book Antiqua" w:eastAsia="Book Antiqua" w:hAnsi="Book Antiqua" w:cs="Book Antiqua"/>
          <w:color w:val="000000"/>
        </w:rPr>
        <w:t xml:space="preserve"> also</w:t>
      </w:r>
      <w:r w:rsidR="00540C4D">
        <w:rPr>
          <w:rFonts w:ascii="Book Antiqua" w:eastAsia="Book Antiqua" w:hAnsi="Book Antiqua" w:cs="Book Antiqua"/>
          <w:color w:val="000000"/>
        </w:rPr>
        <w:t xml:space="preserve"> been</w:t>
      </w:r>
      <w:r w:rsidRPr="00540C4D">
        <w:rPr>
          <w:rFonts w:ascii="Book Antiqua" w:eastAsia="Book Antiqua" w:hAnsi="Book Antiqua" w:cs="Book Antiqua"/>
          <w:color w:val="000000"/>
        </w:rPr>
        <w:t xml:space="preserve"> noted in</w:t>
      </w:r>
      <w:r w:rsidR="00540C4D">
        <w:rPr>
          <w:rFonts w:ascii="Book Antiqua" w:eastAsia="Book Antiqua" w:hAnsi="Book Antiqua" w:cs="Book Antiqua"/>
          <w:color w:val="000000"/>
        </w:rPr>
        <w:t xml:space="preserve"> the</w:t>
      </w:r>
      <w:r w:rsidRPr="00540C4D">
        <w:rPr>
          <w:rFonts w:ascii="Book Antiqua" w:eastAsia="Book Antiqua" w:hAnsi="Book Antiqua" w:cs="Book Antiqua"/>
          <w:color w:val="000000"/>
        </w:rPr>
        <w:t xml:space="preserve"> normal hepatocytes of patients, albeit at reduced frequency. The capacity of HBx gene insertion to directly</w:t>
      </w:r>
      <w:r w:rsidR="00540C4D">
        <w:rPr>
          <w:rFonts w:ascii="Book Antiqua" w:eastAsia="Book Antiqua" w:hAnsi="Book Antiqua" w:cs="Book Antiqua"/>
          <w:color w:val="000000"/>
        </w:rPr>
        <w:t xml:space="preserve"> promote</w:t>
      </w:r>
      <w:r w:rsidRPr="00540C4D">
        <w:rPr>
          <w:rFonts w:ascii="Book Antiqua" w:eastAsia="Book Antiqua" w:hAnsi="Book Antiqua" w:cs="Book Antiqua"/>
          <w:color w:val="000000"/>
        </w:rPr>
        <w:t xml:space="preserve"> the expression of TERT was demonstrated in a direct transfection experiment in CCA cell lines; HBx gene resulted </w:t>
      </w:r>
      <w:r w:rsidRPr="00540C4D">
        <w:rPr>
          <w:rFonts w:ascii="Book Antiqua" w:eastAsia="Book Antiqua" w:hAnsi="Book Antiqua" w:cs="Book Antiqua"/>
          <w:color w:val="000000"/>
        </w:rPr>
        <w:lastRenderedPageBreak/>
        <w:t>in cis-activation of TERT mRNA transcription</w:t>
      </w:r>
      <w:r w:rsidRPr="00540C4D">
        <w:rPr>
          <w:rFonts w:ascii="Book Antiqua" w:eastAsia="Book Antiqua" w:hAnsi="Book Antiqua" w:cs="Book Antiqua"/>
          <w:color w:val="000000"/>
          <w:vertAlign w:val="superscript"/>
        </w:rPr>
        <w:t>[46]</w:t>
      </w:r>
      <w:r w:rsidRPr="00540C4D">
        <w:rPr>
          <w:rFonts w:ascii="Book Antiqua" w:eastAsia="Book Antiqua" w:hAnsi="Book Antiqua" w:cs="Book Antiqua"/>
          <w:color w:val="000000"/>
        </w:rPr>
        <w:t xml:space="preserve">. </w:t>
      </w:r>
      <w:r w:rsidRPr="00146474">
        <w:rPr>
          <w:rFonts w:ascii="Book Antiqua" w:eastAsia="Book Antiqua" w:hAnsi="Book Antiqua" w:cs="Book Antiqua"/>
          <w:color w:val="000000"/>
        </w:rPr>
        <w:t>Figure 3 summarizes the potential pathological mechanisms that lead to carcinogenesis in patients with hepatitis B.</w:t>
      </w:r>
    </w:p>
    <w:p w14:paraId="73E57EA6" w14:textId="55DEDE49" w:rsidR="006B6B7F" w:rsidRDefault="0048774A" w:rsidP="00D866CC">
      <w:pPr>
        <w:spacing w:line="360" w:lineRule="auto"/>
        <w:ind w:firstLineChars="112" w:firstLine="269"/>
        <w:jc w:val="both"/>
        <w:rPr>
          <w:rFonts w:ascii="Book Antiqua" w:hAnsi="Book Antiqua"/>
        </w:rPr>
      </w:pPr>
      <w:r w:rsidRPr="00436841">
        <w:rPr>
          <w:rFonts w:ascii="Book Antiqua" w:eastAsia="Book Antiqua" w:hAnsi="Book Antiqua" w:cs="Book Antiqua"/>
          <w:color w:val="000000"/>
        </w:rPr>
        <w:t>It can be concluded that mounting evidence supports the theory that chronic, overt</w:t>
      </w:r>
      <w:r w:rsidR="00540C4D">
        <w:rPr>
          <w:rFonts w:ascii="Book Antiqua" w:eastAsia="Book Antiqua" w:hAnsi="Book Antiqua" w:cs="Book Antiqua"/>
          <w:color w:val="000000"/>
        </w:rPr>
        <w:t>,</w:t>
      </w:r>
      <w:r w:rsidRPr="00540C4D">
        <w:rPr>
          <w:rFonts w:ascii="Book Antiqua" w:eastAsia="Book Antiqua" w:hAnsi="Book Antiqua" w:cs="Book Antiqua"/>
          <w:color w:val="000000"/>
        </w:rPr>
        <w:t xml:space="preserve"> or latent infection with HBV has direct causative effect</w:t>
      </w:r>
      <w:r w:rsidR="00540C4D">
        <w:rPr>
          <w:rFonts w:ascii="Book Antiqua" w:eastAsia="Book Antiqua" w:hAnsi="Book Antiqua" w:cs="Book Antiqua"/>
          <w:color w:val="000000"/>
        </w:rPr>
        <w:t>s</w:t>
      </w:r>
      <w:r w:rsidRPr="00540C4D">
        <w:rPr>
          <w:rFonts w:ascii="Book Antiqua" w:eastAsia="Book Antiqua" w:hAnsi="Book Antiqua" w:cs="Book Antiqua"/>
          <w:color w:val="000000"/>
        </w:rPr>
        <w:t xml:space="preserve"> on the development not only of HCC</w:t>
      </w:r>
      <w:r w:rsidR="00540C4D">
        <w:rPr>
          <w:rFonts w:ascii="Book Antiqua" w:eastAsia="Book Antiqua" w:hAnsi="Book Antiqua" w:cs="Book Antiqua"/>
          <w:color w:val="000000"/>
        </w:rPr>
        <w:t xml:space="preserve"> </w:t>
      </w:r>
      <w:r w:rsidRPr="00540C4D">
        <w:rPr>
          <w:rFonts w:ascii="Book Antiqua" w:eastAsia="Book Antiqua" w:hAnsi="Book Antiqua" w:cs="Book Antiqua"/>
          <w:color w:val="000000"/>
        </w:rPr>
        <w:t xml:space="preserve">but also of iCCA, perhaps </w:t>
      </w:r>
      <w:r w:rsidR="00540C4D">
        <w:rPr>
          <w:rFonts w:ascii="Book Antiqua" w:eastAsia="Book Antiqua" w:hAnsi="Book Antiqua" w:cs="Book Antiqua"/>
          <w:color w:val="000000"/>
        </w:rPr>
        <w:t xml:space="preserve">by </w:t>
      </w:r>
      <w:r w:rsidRPr="00540C4D">
        <w:rPr>
          <w:rFonts w:ascii="Book Antiqua" w:eastAsia="Book Antiqua" w:hAnsi="Book Antiqua" w:cs="Book Antiqua"/>
          <w:color w:val="000000"/>
        </w:rPr>
        <w:t xml:space="preserve">acting on a common progenitor cell. The effect of certain viral genes, such as HBx, seems to have direct oncogenic capacity beyond the genetic instability produced by the chronic inflammation, perhaps aided by the latter. These observations support the epidemiologic data linking CHB </w:t>
      </w:r>
      <w:r w:rsidR="00540C4D">
        <w:rPr>
          <w:rFonts w:ascii="Book Antiqua" w:eastAsia="Book Antiqua" w:hAnsi="Book Antiqua" w:cs="Book Antiqua"/>
          <w:color w:val="000000"/>
        </w:rPr>
        <w:t>to</w:t>
      </w:r>
      <w:r w:rsidR="00540C4D" w:rsidRPr="00540C4D">
        <w:rPr>
          <w:rFonts w:ascii="Book Antiqua" w:eastAsia="Book Antiqua" w:hAnsi="Book Antiqua" w:cs="Book Antiqua"/>
          <w:color w:val="000000"/>
        </w:rPr>
        <w:t xml:space="preserve"> </w:t>
      </w:r>
      <w:r w:rsidRPr="00540C4D">
        <w:rPr>
          <w:rFonts w:ascii="Book Antiqua" w:eastAsia="Book Antiqua" w:hAnsi="Book Antiqua" w:cs="Book Antiqua"/>
          <w:color w:val="000000"/>
        </w:rPr>
        <w:t xml:space="preserve">the development of iCCA and call for further studies to fully </w:t>
      </w:r>
      <w:r w:rsidR="00540C4D">
        <w:rPr>
          <w:rFonts w:ascii="Book Antiqua" w:eastAsia="Book Antiqua" w:hAnsi="Book Antiqua" w:cs="Book Antiqua"/>
          <w:color w:val="000000"/>
        </w:rPr>
        <w:t>reveal</w:t>
      </w:r>
      <w:r w:rsidR="00540C4D" w:rsidRPr="00540C4D">
        <w:rPr>
          <w:rFonts w:ascii="Book Antiqua" w:eastAsia="Book Antiqua" w:hAnsi="Book Antiqua" w:cs="Book Antiqua"/>
          <w:color w:val="000000"/>
        </w:rPr>
        <w:t xml:space="preserve"> </w:t>
      </w:r>
      <w:r w:rsidRPr="00540C4D">
        <w:rPr>
          <w:rFonts w:ascii="Book Antiqua" w:eastAsia="Book Antiqua" w:hAnsi="Book Antiqua" w:cs="Book Antiqua"/>
          <w:color w:val="000000"/>
        </w:rPr>
        <w:t>the intricate interaction of the virus with the cellular mechanisms lead</w:t>
      </w:r>
      <w:r w:rsidR="00540C4D">
        <w:rPr>
          <w:rFonts w:ascii="Book Antiqua" w:eastAsia="Book Antiqua" w:hAnsi="Book Antiqua" w:cs="Book Antiqua"/>
          <w:color w:val="000000"/>
        </w:rPr>
        <w:t>ing</w:t>
      </w:r>
      <w:r w:rsidRPr="00540C4D">
        <w:rPr>
          <w:rFonts w:ascii="Book Antiqua" w:eastAsia="Book Antiqua" w:hAnsi="Book Antiqua" w:cs="Book Antiqua"/>
          <w:color w:val="000000"/>
        </w:rPr>
        <w:t xml:space="preserve"> to carcinogenesis. </w:t>
      </w:r>
    </w:p>
    <w:p w14:paraId="463893B3" w14:textId="77777777" w:rsidR="00A77B3E" w:rsidRPr="00436841" w:rsidRDefault="00A77B3E" w:rsidP="00ED58D3">
      <w:pPr>
        <w:spacing w:line="360" w:lineRule="auto"/>
        <w:jc w:val="both"/>
        <w:rPr>
          <w:rFonts w:ascii="Book Antiqua" w:hAnsi="Book Antiqua"/>
        </w:rPr>
      </w:pPr>
    </w:p>
    <w:p w14:paraId="03871B5D" w14:textId="77777777" w:rsidR="00A77B3E" w:rsidRPr="00436841" w:rsidRDefault="0048774A" w:rsidP="00ED58D3">
      <w:pPr>
        <w:spacing w:line="360" w:lineRule="auto"/>
        <w:jc w:val="both"/>
        <w:rPr>
          <w:rFonts w:ascii="Book Antiqua" w:hAnsi="Book Antiqua"/>
          <w:u w:val="single"/>
        </w:rPr>
      </w:pPr>
      <w:r w:rsidRPr="00436841">
        <w:rPr>
          <w:rFonts w:ascii="Book Antiqua" w:eastAsia="Book Antiqua" w:hAnsi="Book Antiqua" w:cs="Book Antiqua"/>
          <w:b/>
          <w:bCs/>
          <w:color w:val="000000"/>
          <w:u w:val="single"/>
        </w:rPr>
        <w:t>CLINICAL PRESENTATION</w:t>
      </w:r>
    </w:p>
    <w:p w14:paraId="71317063" w14:textId="62026A83"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Patients with iCCA usually present with unspecific symptoms such as abdominal pain, malaise, night sweats</w:t>
      </w:r>
      <w:r w:rsidR="00540C4D">
        <w:rPr>
          <w:rFonts w:ascii="Book Antiqua" w:eastAsia="Book Antiqua" w:hAnsi="Book Antiqua" w:cs="Book Antiqua"/>
          <w:color w:val="000000"/>
        </w:rPr>
        <w:t>,</w:t>
      </w:r>
      <w:r w:rsidRPr="00540C4D">
        <w:rPr>
          <w:rFonts w:ascii="Book Antiqua" w:eastAsia="Book Antiqua" w:hAnsi="Book Antiqua" w:cs="Book Antiqua"/>
          <w:color w:val="000000"/>
        </w:rPr>
        <w:t xml:space="preserve"> and cachexia</w:t>
      </w:r>
      <w:r w:rsidRPr="00540C4D">
        <w:rPr>
          <w:rFonts w:ascii="Book Antiqua" w:eastAsia="Book Antiqua" w:hAnsi="Book Antiqua" w:cs="Book Antiqua"/>
          <w:color w:val="000000"/>
          <w:vertAlign w:val="superscript"/>
        </w:rPr>
        <w:t>[63]</w:t>
      </w:r>
      <w:r w:rsidRPr="00540C4D">
        <w:rPr>
          <w:rFonts w:ascii="Book Antiqua" w:eastAsia="Book Antiqua" w:hAnsi="Book Antiqua" w:cs="Book Antiqua"/>
          <w:color w:val="000000"/>
        </w:rPr>
        <w:t>. Jaundice is usually a sign of advanced disease. In particular, patients with HBV-associated iCCA can b</w:t>
      </w:r>
      <w:r w:rsidRPr="00436841">
        <w:rPr>
          <w:rFonts w:ascii="Book Antiqua" w:eastAsia="Book Antiqua" w:hAnsi="Book Antiqua" w:cs="Book Antiqua"/>
          <w:color w:val="000000"/>
        </w:rPr>
        <w:t>e diagnosed before they develop any symptoms, due to the fact that they undergo annual or semi-annual surveillance for HCC, which enables iCCA diagnosis at a relatively early stage</w:t>
      </w:r>
      <w:r w:rsidRPr="00436841">
        <w:rPr>
          <w:rFonts w:ascii="Book Antiqua" w:eastAsia="Book Antiqua" w:hAnsi="Book Antiqua" w:cs="Book Antiqua"/>
          <w:color w:val="000000"/>
          <w:vertAlign w:val="superscript"/>
        </w:rPr>
        <w:t>[64]</w:t>
      </w:r>
      <w:r w:rsidRPr="00436841">
        <w:rPr>
          <w:rFonts w:ascii="Book Antiqua" w:eastAsia="Book Antiqua" w:hAnsi="Book Antiqua" w:cs="Book Antiqua"/>
          <w:color w:val="000000"/>
        </w:rPr>
        <w:t xml:space="preserve">. </w:t>
      </w:r>
    </w:p>
    <w:p w14:paraId="10B16940" w14:textId="77777777" w:rsidR="00A77B3E" w:rsidRPr="00436841" w:rsidRDefault="00A77B3E" w:rsidP="00ED58D3">
      <w:pPr>
        <w:spacing w:line="360" w:lineRule="auto"/>
        <w:jc w:val="both"/>
        <w:rPr>
          <w:rFonts w:ascii="Book Antiqua" w:hAnsi="Book Antiqua"/>
        </w:rPr>
      </w:pPr>
    </w:p>
    <w:p w14:paraId="011F634B" w14:textId="77777777" w:rsidR="00A77B3E" w:rsidRPr="00436841" w:rsidRDefault="0048774A" w:rsidP="00ED58D3">
      <w:pPr>
        <w:spacing w:line="360" w:lineRule="auto"/>
        <w:jc w:val="both"/>
        <w:rPr>
          <w:rFonts w:ascii="Book Antiqua" w:hAnsi="Book Antiqua"/>
          <w:u w:val="single"/>
        </w:rPr>
      </w:pPr>
      <w:r w:rsidRPr="00436841">
        <w:rPr>
          <w:rFonts w:ascii="Book Antiqua" w:eastAsia="Book Antiqua" w:hAnsi="Book Antiqua" w:cs="Book Antiqua"/>
          <w:b/>
          <w:bCs/>
          <w:color w:val="000000"/>
          <w:u w:val="single"/>
        </w:rPr>
        <w:t>DIAGNOSIS</w:t>
      </w:r>
    </w:p>
    <w:p w14:paraId="2C30D9B6" w14:textId="77777777" w:rsidR="00A77B3E" w:rsidRPr="00436841" w:rsidRDefault="0048774A" w:rsidP="00ED58D3">
      <w:pPr>
        <w:spacing w:line="360" w:lineRule="auto"/>
        <w:jc w:val="both"/>
        <w:rPr>
          <w:rFonts w:ascii="Book Antiqua" w:hAnsi="Book Antiqua"/>
          <w:i/>
          <w:iCs/>
        </w:rPr>
      </w:pPr>
      <w:r w:rsidRPr="00436841">
        <w:rPr>
          <w:rFonts w:ascii="Book Antiqua" w:eastAsia="Book Antiqua" w:hAnsi="Book Antiqua" w:cs="Book Antiqua"/>
          <w:b/>
          <w:bCs/>
          <w:i/>
          <w:iCs/>
          <w:color w:val="000000"/>
        </w:rPr>
        <w:t>Imaging techniques</w:t>
      </w:r>
    </w:p>
    <w:p w14:paraId="691CEE10" w14:textId="0F81277A" w:rsidR="00A77B3E" w:rsidRPr="0029097D"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Imaging modalities, such as </w:t>
      </w:r>
      <w:r w:rsidR="007322E0" w:rsidRPr="00436841">
        <w:rPr>
          <w:rFonts w:ascii="Book Antiqua" w:eastAsia="Book Antiqua" w:hAnsi="Book Antiqua" w:cs="Book Antiqua"/>
          <w:color w:val="000000"/>
        </w:rPr>
        <w:t>computed tomography (CT)</w:t>
      </w:r>
      <w:r w:rsidRPr="00436841">
        <w:rPr>
          <w:rFonts w:ascii="Book Antiqua" w:eastAsia="Book Antiqua" w:hAnsi="Book Antiqua" w:cs="Book Antiqua"/>
          <w:color w:val="000000"/>
        </w:rPr>
        <w:t>, MRI</w:t>
      </w:r>
      <w:r w:rsidR="00540C4D">
        <w:rPr>
          <w:rFonts w:ascii="Book Antiqua" w:eastAsia="Book Antiqua" w:hAnsi="Book Antiqua" w:cs="Book Antiqua"/>
          <w:color w:val="000000"/>
        </w:rPr>
        <w:t>,</w:t>
      </w:r>
      <w:r w:rsidRPr="00540C4D">
        <w:rPr>
          <w:rFonts w:ascii="Book Antiqua" w:eastAsia="Book Antiqua" w:hAnsi="Book Antiqua" w:cs="Book Antiqua"/>
          <w:color w:val="000000"/>
        </w:rPr>
        <w:t xml:space="preserve"> and </w:t>
      </w:r>
      <w:r w:rsidR="00540C4D">
        <w:rPr>
          <w:rFonts w:ascii="Book Antiqua" w:eastAsia="Book Antiqua" w:hAnsi="Book Antiqua" w:cs="Book Antiqua"/>
          <w:color w:val="000000"/>
        </w:rPr>
        <w:t>f</w:t>
      </w:r>
      <w:r w:rsidRPr="00540C4D">
        <w:rPr>
          <w:rFonts w:ascii="Book Antiqua" w:eastAsia="Book Antiqua" w:hAnsi="Book Antiqua" w:cs="Book Antiqua"/>
          <w:color w:val="000000"/>
        </w:rPr>
        <w:t xml:space="preserve">luorodeoxyglucose </w:t>
      </w:r>
      <w:r w:rsidR="00540C4D">
        <w:rPr>
          <w:rFonts w:ascii="Book Antiqua" w:eastAsia="Book Antiqua" w:hAnsi="Book Antiqua" w:cs="Book Antiqua"/>
          <w:color w:val="000000"/>
        </w:rPr>
        <w:t>p</w:t>
      </w:r>
      <w:r w:rsidRPr="00540C4D">
        <w:rPr>
          <w:rFonts w:ascii="Book Antiqua" w:eastAsia="Book Antiqua" w:hAnsi="Book Antiqua" w:cs="Book Antiqua"/>
          <w:color w:val="000000"/>
        </w:rPr>
        <w:t xml:space="preserve">ositron </w:t>
      </w:r>
      <w:r w:rsidR="00540C4D">
        <w:rPr>
          <w:rFonts w:ascii="Book Antiqua" w:eastAsia="Book Antiqua" w:hAnsi="Book Antiqua" w:cs="Book Antiqua"/>
          <w:color w:val="000000"/>
        </w:rPr>
        <w:t>e</w:t>
      </w:r>
      <w:r w:rsidRPr="00540C4D">
        <w:rPr>
          <w:rFonts w:ascii="Book Antiqua" w:eastAsia="Book Antiqua" w:hAnsi="Book Antiqua" w:cs="Book Antiqua"/>
          <w:color w:val="000000"/>
        </w:rPr>
        <w:t xml:space="preserve">mission </w:t>
      </w:r>
      <w:r w:rsidR="00540C4D">
        <w:rPr>
          <w:rFonts w:ascii="Book Antiqua" w:eastAsia="Book Antiqua" w:hAnsi="Book Antiqua" w:cs="Book Antiqua"/>
          <w:color w:val="000000"/>
        </w:rPr>
        <w:t>t</w:t>
      </w:r>
      <w:r w:rsidRPr="00540C4D">
        <w:rPr>
          <w:rFonts w:ascii="Book Antiqua" w:eastAsia="Book Antiqua" w:hAnsi="Book Antiqua" w:cs="Book Antiqua"/>
          <w:color w:val="000000"/>
        </w:rPr>
        <w:t>omography (FDG-PET) can be of great value in the management of iCCA in terms not only of diagnosis but also of staging, follow-up</w:t>
      </w:r>
      <w:r w:rsidR="00540C4D">
        <w:rPr>
          <w:rFonts w:ascii="Book Antiqua" w:eastAsia="Book Antiqua" w:hAnsi="Book Antiqua" w:cs="Book Antiqua"/>
          <w:color w:val="000000"/>
        </w:rPr>
        <w:t>,</w:t>
      </w:r>
      <w:r w:rsidRPr="00540C4D">
        <w:rPr>
          <w:rFonts w:ascii="Book Antiqua" w:eastAsia="Book Antiqua" w:hAnsi="Book Antiqua" w:cs="Book Antiqua"/>
          <w:color w:val="000000"/>
        </w:rPr>
        <w:t xml:space="preserve"> and assessment of treatment response. </w:t>
      </w:r>
    </w:p>
    <w:p w14:paraId="15E5C414" w14:textId="68D4352E" w:rsidR="006B6B7F" w:rsidRDefault="0048774A" w:rsidP="00D866CC">
      <w:pPr>
        <w:spacing w:line="360" w:lineRule="auto"/>
        <w:ind w:firstLineChars="112" w:firstLine="269"/>
        <w:jc w:val="both"/>
        <w:rPr>
          <w:rFonts w:ascii="Book Antiqua" w:hAnsi="Book Antiqua"/>
        </w:rPr>
      </w:pPr>
      <w:r w:rsidRPr="0029097D">
        <w:rPr>
          <w:rFonts w:ascii="Book Antiqua" w:eastAsia="Book Antiqua" w:hAnsi="Book Antiqua" w:cs="Book Antiqua"/>
          <w:color w:val="000000"/>
        </w:rPr>
        <w:t>CT scan serves as the standard imaging method for the preoperative assessment of iCCA. It provides a comprehensive evaluation of the primary tumor, the relationship between the primary tumor and adjacent structures</w:t>
      </w:r>
      <w:r w:rsidRPr="00436841">
        <w:rPr>
          <w:rFonts w:ascii="Book Antiqua" w:eastAsia="Book Antiqua" w:hAnsi="Book Antiqua" w:cs="Book Antiqua"/>
          <w:color w:val="000000"/>
        </w:rPr>
        <w:t xml:space="preserve"> such as the hepatic artery or portal vein, and </w:t>
      </w:r>
      <w:r w:rsidR="00540C4D">
        <w:rPr>
          <w:rFonts w:ascii="Book Antiqua" w:eastAsia="Book Antiqua" w:hAnsi="Book Antiqua" w:cs="Book Antiqua"/>
          <w:color w:val="000000"/>
        </w:rPr>
        <w:t xml:space="preserve">the </w:t>
      </w:r>
      <w:r w:rsidRPr="00540C4D">
        <w:rPr>
          <w:rFonts w:ascii="Book Antiqua" w:eastAsia="Book Antiqua" w:hAnsi="Book Antiqua" w:cs="Book Antiqua"/>
          <w:color w:val="000000"/>
        </w:rPr>
        <w:t>whole abdomen surveillance for potential metastases</w:t>
      </w:r>
      <w:r w:rsidRPr="00540C4D">
        <w:rPr>
          <w:rFonts w:ascii="Book Antiqua" w:eastAsia="Book Antiqua" w:hAnsi="Book Antiqua" w:cs="Book Antiqua"/>
          <w:color w:val="000000"/>
          <w:vertAlign w:val="superscript"/>
        </w:rPr>
        <w:t>[65]</w:t>
      </w:r>
      <w:r w:rsidRPr="00540C4D">
        <w:rPr>
          <w:rFonts w:ascii="Book Antiqua" w:eastAsia="Book Antiqua" w:hAnsi="Book Antiqua" w:cs="Book Antiqua"/>
          <w:color w:val="000000"/>
        </w:rPr>
        <w:t xml:space="preserve">. On both contrast-enhanced CT and MRI scans, iCCA usually presents as a mass with irregular borders, peripheral rim enhancement on the arterial phase with progressive homogeneous </w:t>
      </w:r>
      <w:r w:rsidRPr="00540C4D">
        <w:rPr>
          <w:rFonts w:ascii="Book Antiqua" w:eastAsia="Book Antiqua" w:hAnsi="Book Antiqua" w:cs="Book Antiqua"/>
          <w:color w:val="000000"/>
        </w:rPr>
        <w:lastRenderedPageBreak/>
        <w:t xml:space="preserve">contrast agent uptake until the </w:t>
      </w:r>
      <w:r w:rsidRPr="0029097D">
        <w:rPr>
          <w:rFonts w:ascii="Book Antiqua" w:eastAsia="Book Antiqua" w:hAnsi="Book Antiqua" w:cs="Book Antiqua"/>
          <w:color w:val="000000"/>
        </w:rPr>
        <w:t>delayed or stable uptake during late dynamic phases</w:t>
      </w:r>
      <w:r w:rsidRPr="0029097D">
        <w:rPr>
          <w:rFonts w:ascii="Book Antiqua" w:eastAsia="Book Antiqua" w:hAnsi="Book Antiqua" w:cs="Book Antiqua"/>
          <w:color w:val="000000"/>
          <w:vertAlign w:val="superscript"/>
        </w:rPr>
        <w:t>[66</w:t>
      </w:r>
      <w:r w:rsidR="006D67C5" w:rsidRPr="0029097D">
        <w:rPr>
          <w:rFonts w:ascii="Book Antiqua" w:eastAsia="Book Antiqua" w:hAnsi="Book Antiqua" w:cs="Book Antiqua"/>
          <w:color w:val="000000"/>
          <w:vertAlign w:val="superscript"/>
        </w:rPr>
        <w:t>,</w:t>
      </w:r>
      <w:r w:rsidRPr="0029097D">
        <w:rPr>
          <w:rFonts w:ascii="Book Antiqua" w:eastAsia="Book Antiqua" w:hAnsi="Book Antiqua" w:cs="Book Antiqua"/>
          <w:color w:val="000000"/>
          <w:vertAlign w:val="superscript"/>
        </w:rPr>
        <w:t>67]</w:t>
      </w:r>
      <w:r w:rsidRPr="0029097D">
        <w:rPr>
          <w:rFonts w:ascii="Book Antiqua" w:eastAsia="Book Antiqua" w:hAnsi="Book Antiqua" w:cs="Book Antiqua"/>
          <w:color w:val="000000"/>
        </w:rPr>
        <w:t>. However, smaller tumors are less likely to demonstrate these characteristics and may be hard to distinguish from HCC, especially in the context of chronic liver diseases.</w:t>
      </w:r>
    </w:p>
    <w:p w14:paraId="2A9FF069" w14:textId="4F9CAFD3" w:rsidR="006B6B7F" w:rsidRDefault="0048774A" w:rsidP="00D866CC">
      <w:pPr>
        <w:spacing w:line="360" w:lineRule="auto"/>
        <w:ind w:firstLineChars="112" w:firstLine="269"/>
        <w:jc w:val="both"/>
        <w:rPr>
          <w:rFonts w:ascii="Book Antiqua" w:hAnsi="Book Antiqua"/>
        </w:rPr>
      </w:pPr>
      <w:r w:rsidRPr="00436841">
        <w:rPr>
          <w:rFonts w:ascii="Book Antiqua" w:eastAsia="Book Antiqua" w:hAnsi="Book Antiqua" w:cs="Book Antiqua"/>
          <w:color w:val="000000"/>
        </w:rPr>
        <w:t xml:space="preserve">The utility of FDG-PET </w:t>
      </w:r>
      <w:r w:rsidR="00540C4D">
        <w:rPr>
          <w:rFonts w:ascii="Book Antiqua" w:eastAsia="Book Antiqua" w:hAnsi="Book Antiqua" w:cs="Book Antiqua"/>
          <w:color w:val="000000"/>
        </w:rPr>
        <w:t>for</w:t>
      </w:r>
      <w:r w:rsidRPr="00436841">
        <w:rPr>
          <w:rFonts w:ascii="Book Antiqua" w:eastAsia="Book Antiqua" w:hAnsi="Book Antiqua" w:cs="Book Antiqua"/>
          <w:color w:val="000000"/>
        </w:rPr>
        <w:t xml:space="preserve"> iCCA diagnosis and management is still controversial. Although mass</w:t>
      </w:r>
      <w:r w:rsidR="00540C4D">
        <w:rPr>
          <w:rFonts w:ascii="Book Antiqua" w:eastAsia="Book Antiqua" w:hAnsi="Book Antiqua" w:cs="Book Antiqua"/>
          <w:color w:val="000000"/>
        </w:rPr>
        <w:t>-</w:t>
      </w:r>
      <w:r w:rsidRPr="00436841">
        <w:rPr>
          <w:rFonts w:ascii="Book Antiqua" w:eastAsia="Book Antiqua" w:hAnsi="Book Antiqua" w:cs="Book Antiqua"/>
          <w:color w:val="000000"/>
        </w:rPr>
        <w:t>forming iCCA can be detected with a reported sensitivity of 85</w:t>
      </w:r>
      <w:r w:rsidR="006D67C5" w:rsidRPr="00436841">
        <w:rPr>
          <w:rFonts w:ascii="Book Antiqua" w:eastAsia="Book Antiqua" w:hAnsi="Book Antiqua" w:cs="Book Antiqua"/>
          <w:color w:val="000000"/>
        </w:rPr>
        <w:t>%</w:t>
      </w:r>
      <w:r w:rsidRPr="00436841">
        <w:rPr>
          <w:rFonts w:ascii="Book Antiqua" w:eastAsia="Book Antiqua" w:hAnsi="Book Antiqua" w:cs="Book Antiqua"/>
          <w:color w:val="000000"/>
        </w:rPr>
        <w:t xml:space="preserve"> to 95%, it cannot be used for the diagnosis of iCCA as it is not specific enough</w:t>
      </w:r>
      <w:r w:rsidRPr="00436841">
        <w:rPr>
          <w:rFonts w:ascii="Book Antiqua" w:eastAsia="Book Antiqua" w:hAnsi="Book Antiqua" w:cs="Book Antiqua"/>
          <w:color w:val="000000"/>
          <w:vertAlign w:val="superscript"/>
        </w:rPr>
        <w:t>[68]</w:t>
      </w:r>
      <w:r w:rsidRPr="00436841">
        <w:rPr>
          <w:rFonts w:ascii="Book Antiqua" w:eastAsia="Book Antiqua" w:hAnsi="Book Antiqua" w:cs="Book Antiqua"/>
          <w:color w:val="000000"/>
        </w:rPr>
        <w:t>.</w:t>
      </w:r>
      <w:r w:rsidR="006D67C5" w:rsidRP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t>However, it could prove useful in detecting distal, unexpected metastases. In fact, a recent meta-analysis suggest</w:t>
      </w:r>
      <w:r w:rsidR="009B0A43">
        <w:rPr>
          <w:rFonts w:ascii="Book Antiqua" w:eastAsia="Book Antiqua" w:hAnsi="Book Antiqua" w:cs="Book Antiqua"/>
          <w:color w:val="000000"/>
        </w:rPr>
        <w:t>ed</w:t>
      </w:r>
      <w:r w:rsidRPr="00436841">
        <w:rPr>
          <w:rFonts w:ascii="Book Antiqua" w:eastAsia="Book Antiqua" w:hAnsi="Book Antiqua" w:cs="Book Antiqua"/>
          <w:color w:val="000000"/>
        </w:rPr>
        <w:t xml:space="preserve"> that it </w:t>
      </w:r>
      <w:r w:rsidR="009B0A43">
        <w:rPr>
          <w:rFonts w:ascii="Book Antiqua" w:eastAsia="Book Antiqua" w:hAnsi="Book Antiqua" w:cs="Book Antiqua"/>
          <w:color w:val="000000"/>
        </w:rPr>
        <w:t>can</w:t>
      </w:r>
      <w:r w:rsidR="009B0A43" w:rsidRPr="009B0A43">
        <w:rPr>
          <w:rFonts w:ascii="Book Antiqua" w:eastAsia="Book Antiqua" w:hAnsi="Book Antiqua" w:cs="Book Antiqua"/>
          <w:color w:val="000000"/>
        </w:rPr>
        <w:t xml:space="preserve"> </w:t>
      </w:r>
      <w:r w:rsidRPr="009B0A43">
        <w:rPr>
          <w:rFonts w:ascii="Book Antiqua" w:eastAsia="Book Antiqua" w:hAnsi="Book Antiqua" w:cs="Book Antiqua"/>
          <w:color w:val="000000"/>
        </w:rPr>
        <w:t xml:space="preserve">bring changes </w:t>
      </w:r>
      <w:r w:rsidR="009B0A43">
        <w:rPr>
          <w:rFonts w:ascii="Book Antiqua" w:eastAsia="Book Antiqua" w:hAnsi="Book Antiqua" w:cs="Book Antiqua"/>
          <w:color w:val="000000"/>
        </w:rPr>
        <w:t>to</w:t>
      </w:r>
      <w:r w:rsidRPr="009B0A43">
        <w:rPr>
          <w:rFonts w:ascii="Book Antiqua" w:eastAsia="Book Antiqua" w:hAnsi="Book Antiqua" w:cs="Book Antiqua"/>
          <w:color w:val="000000"/>
        </w:rPr>
        <w:t xml:space="preserve"> the management of a substantial portion of iCCA patients</w:t>
      </w:r>
      <w:r w:rsidRPr="009B0A43">
        <w:rPr>
          <w:rFonts w:ascii="Book Antiqua" w:eastAsia="Book Antiqua" w:hAnsi="Book Antiqua" w:cs="Book Antiqua"/>
          <w:color w:val="000000"/>
          <w:vertAlign w:val="superscript"/>
        </w:rPr>
        <w:t>[69]</w:t>
      </w:r>
      <w:r w:rsidRPr="009B0A43">
        <w:rPr>
          <w:rFonts w:ascii="Book Antiqua" w:eastAsia="Book Antiqua" w:hAnsi="Book Antiqua" w:cs="Book Antiqua"/>
          <w:color w:val="000000"/>
        </w:rPr>
        <w:t>. Therefore, it could be considered an option prior to surgical resection (SR) to rule out distant metastatic foci.</w:t>
      </w:r>
    </w:p>
    <w:p w14:paraId="54D6A803" w14:textId="77777777" w:rsidR="00A77B3E" w:rsidRPr="0029097D" w:rsidRDefault="00A77B3E" w:rsidP="00ED58D3">
      <w:pPr>
        <w:spacing w:line="360" w:lineRule="auto"/>
        <w:jc w:val="both"/>
        <w:rPr>
          <w:rFonts w:ascii="Book Antiqua" w:hAnsi="Book Antiqua"/>
        </w:rPr>
      </w:pPr>
    </w:p>
    <w:p w14:paraId="49F859F3" w14:textId="77777777" w:rsidR="00A77B3E" w:rsidRPr="00436841" w:rsidRDefault="0048774A" w:rsidP="00ED58D3">
      <w:pPr>
        <w:spacing w:line="360" w:lineRule="auto"/>
        <w:jc w:val="both"/>
        <w:rPr>
          <w:rFonts w:ascii="Book Antiqua" w:hAnsi="Book Antiqua"/>
          <w:i/>
          <w:iCs/>
        </w:rPr>
      </w:pPr>
      <w:r w:rsidRPr="00436841">
        <w:rPr>
          <w:rFonts w:ascii="Book Antiqua" w:eastAsia="Book Antiqua" w:hAnsi="Book Antiqua" w:cs="Book Antiqua"/>
          <w:b/>
          <w:bCs/>
          <w:i/>
          <w:iCs/>
          <w:color w:val="000000"/>
        </w:rPr>
        <w:t>Serum markers</w:t>
      </w:r>
    </w:p>
    <w:p w14:paraId="579F9778"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Tumor markers in serum are not specific for iCCA, but may be of diagnostic value in some cases. Widely used tumor markers such as CA 19-9 and carcinoembryonic antigen have significant overlap with other cholestatic diseases and low sensitivity for early stage disease, consequently limiting their use</w:t>
      </w:r>
      <w:r w:rsidRPr="00436841">
        <w:rPr>
          <w:rFonts w:ascii="Book Antiqua" w:eastAsia="Book Antiqua" w:hAnsi="Book Antiqua" w:cs="Book Antiqua"/>
          <w:color w:val="000000"/>
          <w:vertAlign w:val="superscript"/>
        </w:rPr>
        <w:t>[70]</w:t>
      </w:r>
      <w:r w:rsidRPr="00436841">
        <w:rPr>
          <w:rFonts w:ascii="Book Antiqua" w:eastAsia="Book Antiqua" w:hAnsi="Book Antiqua" w:cs="Book Antiqua"/>
          <w:color w:val="000000"/>
        </w:rPr>
        <w:t>. However, high values of these markers have been connected with a deterioration in overall survival (OS)</w:t>
      </w:r>
      <w:r w:rsidRPr="00436841">
        <w:rPr>
          <w:rFonts w:ascii="Book Antiqua" w:eastAsia="Book Antiqua" w:hAnsi="Book Antiqua" w:cs="Book Antiqua"/>
          <w:color w:val="000000"/>
          <w:vertAlign w:val="superscript"/>
        </w:rPr>
        <w:t>[71,72]</w:t>
      </w:r>
      <w:r w:rsidRPr="00436841">
        <w:rPr>
          <w:rFonts w:ascii="Book Antiqua" w:eastAsia="Book Antiqua" w:hAnsi="Book Antiqua" w:cs="Book Antiqua"/>
          <w:color w:val="000000"/>
        </w:rPr>
        <w:t>. As a result, high (&gt;</w:t>
      </w:r>
      <w:r w:rsidR="00965725" w:rsidRP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t>500 ng/mL) levels of CA 19-9 in the absence of jaundice are considered a relative contraindication for resection of iCCA</w:t>
      </w:r>
      <w:r w:rsidRPr="00436841">
        <w:rPr>
          <w:rFonts w:ascii="Book Antiqua" w:eastAsia="Book Antiqua" w:hAnsi="Book Antiqua" w:cs="Book Antiqua"/>
          <w:color w:val="000000"/>
          <w:vertAlign w:val="superscript"/>
        </w:rPr>
        <w:t>[73]</w:t>
      </w:r>
      <w:r w:rsidRPr="00436841">
        <w:rPr>
          <w:rFonts w:ascii="Book Antiqua" w:eastAsia="Book Antiqua" w:hAnsi="Book Antiqua" w:cs="Book Antiqua"/>
          <w:color w:val="000000"/>
        </w:rPr>
        <w:t xml:space="preserve">. </w:t>
      </w:r>
    </w:p>
    <w:p w14:paraId="2082A86B" w14:textId="695BC190" w:rsidR="006B6B7F" w:rsidRDefault="0048774A" w:rsidP="00D866CC">
      <w:pPr>
        <w:spacing w:line="360" w:lineRule="auto"/>
        <w:ind w:firstLineChars="112" w:firstLine="269"/>
        <w:jc w:val="both"/>
        <w:rPr>
          <w:rFonts w:ascii="Book Antiqua" w:hAnsi="Book Antiqua"/>
        </w:rPr>
      </w:pPr>
      <w:r w:rsidRPr="00436841">
        <w:rPr>
          <w:rFonts w:ascii="Book Antiqua" w:eastAsia="Book Antiqua" w:hAnsi="Book Antiqua" w:cs="Book Antiqua"/>
          <w:color w:val="000000"/>
        </w:rPr>
        <w:t>However, in cases of HBV-associated iCCA, these markers tend to be even less sensitive</w:t>
      </w:r>
      <w:r w:rsidRPr="00436841">
        <w:rPr>
          <w:rFonts w:ascii="Book Antiqua" w:eastAsia="Book Antiqua" w:hAnsi="Book Antiqua" w:cs="Book Antiqua"/>
          <w:color w:val="000000"/>
          <w:vertAlign w:val="superscript"/>
        </w:rPr>
        <w:t>[48]</w:t>
      </w:r>
      <w:r w:rsidRPr="00436841">
        <w:rPr>
          <w:rFonts w:ascii="Book Antiqua" w:eastAsia="Book Antiqua" w:hAnsi="Book Antiqua" w:cs="Book Antiqua"/>
          <w:color w:val="000000"/>
        </w:rPr>
        <w:t xml:space="preserve">. Instead, it has been suggested that such patients tend to have higher levels of aFP, a serum marker widely used for HCC diagnosis, probably because of the fact that both malignancies originate from </w:t>
      </w:r>
      <w:r w:rsidR="00293CFA">
        <w:rPr>
          <w:rFonts w:ascii="Book Antiqua" w:eastAsia="Book Antiqua" w:hAnsi="Book Antiqua" w:cs="Book Antiqua"/>
          <w:color w:val="000000"/>
        </w:rPr>
        <w:t>h</w:t>
      </w:r>
      <w:r w:rsidRPr="00436841">
        <w:rPr>
          <w:rFonts w:ascii="Book Antiqua" w:eastAsia="Book Antiqua" w:hAnsi="Book Antiqua" w:cs="Book Antiqua"/>
          <w:color w:val="000000"/>
        </w:rPr>
        <w:t xml:space="preserve">epatic </w:t>
      </w:r>
      <w:r w:rsidR="00293CFA">
        <w:rPr>
          <w:rFonts w:ascii="Book Antiqua" w:eastAsia="Book Antiqua" w:hAnsi="Book Antiqua" w:cs="Book Antiqua"/>
          <w:color w:val="000000"/>
        </w:rPr>
        <w:t>p</w:t>
      </w:r>
      <w:r w:rsidRPr="00436841">
        <w:rPr>
          <w:rFonts w:ascii="Book Antiqua" w:eastAsia="Book Antiqua" w:hAnsi="Book Antiqua" w:cs="Book Antiqua"/>
          <w:color w:val="000000"/>
        </w:rPr>
        <w:t xml:space="preserve">rogenitor </w:t>
      </w:r>
      <w:r w:rsidR="00293CFA">
        <w:rPr>
          <w:rFonts w:ascii="Book Antiqua" w:eastAsia="Book Antiqua" w:hAnsi="Book Antiqua" w:cs="Book Antiqua"/>
          <w:color w:val="000000"/>
        </w:rPr>
        <w:t>c</w:t>
      </w:r>
      <w:r w:rsidRPr="00436841">
        <w:rPr>
          <w:rFonts w:ascii="Book Antiqua" w:eastAsia="Book Antiqua" w:hAnsi="Book Antiqua" w:cs="Book Antiqua"/>
          <w:color w:val="000000"/>
        </w:rPr>
        <w:t>ells, which have the ability to produce aFP</w:t>
      </w:r>
      <w:r w:rsidRPr="00436841">
        <w:rPr>
          <w:rFonts w:ascii="Book Antiqua" w:eastAsia="Book Antiqua" w:hAnsi="Book Antiqua" w:cs="Book Antiqua"/>
          <w:color w:val="000000"/>
          <w:vertAlign w:val="superscript"/>
        </w:rPr>
        <w:t>[16,46,74,75]</w:t>
      </w:r>
      <w:r w:rsidRPr="00436841">
        <w:rPr>
          <w:rFonts w:ascii="Book Antiqua" w:eastAsia="Book Antiqua" w:hAnsi="Book Antiqua" w:cs="Book Antiqua"/>
          <w:color w:val="000000"/>
        </w:rPr>
        <w:t xml:space="preserve">. </w:t>
      </w:r>
    </w:p>
    <w:p w14:paraId="4F83D1D5" w14:textId="77777777" w:rsidR="00A77B3E" w:rsidRPr="00436841" w:rsidRDefault="00A77B3E" w:rsidP="00ED58D3">
      <w:pPr>
        <w:spacing w:line="360" w:lineRule="auto"/>
        <w:jc w:val="both"/>
        <w:rPr>
          <w:rFonts w:ascii="Book Antiqua" w:hAnsi="Book Antiqua"/>
        </w:rPr>
      </w:pPr>
    </w:p>
    <w:p w14:paraId="0F15C4BB" w14:textId="77777777" w:rsidR="00A77B3E" w:rsidRPr="00436841" w:rsidRDefault="0048774A" w:rsidP="00ED58D3">
      <w:pPr>
        <w:spacing w:line="360" w:lineRule="auto"/>
        <w:jc w:val="both"/>
        <w:rPr>
          <w:rFonts w:ascii="Book Antiqua" w:hAnsi="Book Antiqua"/>
          <w:i/>
          <w:iCs/>
        </w:rPr>
      </w:pPr>
      <w:r w:rsidRPr="00436841">
        <w:rPr>
          <w:rFonts w:ascii="Book Antiqua" w:eastAsia="Book Antiqua" w:hAnsi="Book Antiqua" w:cs="Book Antiqua"/>
          <w:b/>
          <w:bCs/>
          <w:i/>
          <w:iCs/>
          <w:color w:val="000000"/>
        </w:rPr>
        <w:t>Histological diagnosis</w:t>
      </w:r>
    </w:p>
    <w:p w14:paraId="5128E012" w14:textId="001D99B1"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Pathological diagnosis is recommended for all patients who will undergo systemic chemotherapy or radiation therapy, or take part in a therapeutic clinical trial</w:t>
      </w:r>
      <w:r w:rsidRPr="00436841">
        <w:rPr>
          <w:rFonts w:ascii="Book Antiqua" w:eastAsia="Book Antiqua" w:hAnsi="Book Antiqua" w:cs="Book Antiqua"/>
          <w:color w:val="000000"/>
          <w:vertAlign w:val="superscript"/>
        </w:rPr>
        <w:t>[68,76]</w:t>
      </w:r>
      <w:r w:rsidRPr="00436841">
        <w:rPr>
          <w:rFonts w:ascii="Book Antiqua" w:eastAsia="Book Antiqua" w:hAnsi="Book Antiqua" w:cs="Book Antiqua"/>
          <w:color w:val="000000"/>
        </w:rPr>
        <w:t>.</w:t>
      </w:r>
      <w:r w:rsidRPr="00436841">
        <w:rPr>
          <w:rFonts w:ascii="Book Antiqua" w:eastAsia="Book Antiqua" w:hAnsi="Book Antiqua" w:cs="Book Antiqua"/>
          <w:b/>
          <w:bCs/>
          <w:color w:val="000000"/>
        </w:rPr>
        <w:t xml:space="preserve"> </w:t>
      </w:r>
      <w:r w:rsidRPr="00436841">
        <w:rPr>
          <w:rFonts w:ascii="Book Antiqua" w:eastAsia="Book Antiqua" w:hAnsi="Book Antiqua" w:cs="Book Antiqua"/>
          <w:color w:val="000000"/>
        </w:rPr>
        <w:t xml:space="preserve">It should be noted that although a positive result demonstrates the presence of the tumor, </w:t>
      </w:r>
      <w:r w:rsidRPr="00436841">
        <w:rPr>
          <w:rFonts w:ascii="Book Antiqua" w:eastAsia="Book Antiqua" w:hAnsi="Book Antiqua" w:cs="Book Antiqua"/>
          <w:color w:val="000000"/>
        </w:rPr>
        <w:lastRenderedPageBreak/>
        <w:t>a negative result does not exclude it because of the potential sampling errors. In such cases, repeat sampling is often required to confirm the correct diagnosis</w:t>
      </w:r>
      <w:r w:rsidRPr="00436841">
        <w:rPr>
          <w:rFonts w:ascii="Book Antiqua" w:eastAsia="Book Antiqua" w:hAnsi="Book Antiqua" w:cs="Book Antiqua"/>
          <w:color w:val="000000"/>
          <w:vertAlign w:val="superscript"/>
        </w:rPr>
        <w:t>[77]</w:t>
      </w:r>
      <w:r w:rsidRPr="00436841">
        <w:rPr>
          <w:rFonts w:ascii="Book Antiqua" w:eastAsia="Book Antiqua" w:hAnsi="Book Antiqua" w:cs="Book Antiqua"/>
          <w:color w:val="000000"/>
        </w:rPr>
        <w:t xml:space="preserve">. </w:t>
      </w:r>
    </w:p>
    <w:p w14:paraId="2828FDD7" w14:textId="543D0216" w:rsidR="006B6B7F" w:rsidRDefault="0048774A" w:rsidP="00D866CC">
      <w:pPr>
        <w:spacing w:line="360" w:lineRule="auto"/>
        <w:ind w:firstLineChars="112" w:firstLine="269"/>
        <w:jc w:val="both"/>
        <w:rPr>
          <w:rFonts w:ascii="Book Antiqua" w:hAnsi="Book Antiqua"/>
        </w:rPr>
      </w:pPr>
      <w:r w:rsidRPr="00436841">
        <w:rPr>
          <w:rFonts w:ascii="Book Antiqua" w:eastAsia="Book Antiqua" w:hAnsi="Book Antiqua" w:cs="Book Antiqua"/>
          <w:color w:val="000000"/>
        </w:rPr>
        <w:t>According to the World Health Organization (WHO)</w:t>
      </w:r>
      <w:r w:rsidRPr="008B6795">
        <w:rPr>
          <w:rFonts w:ascii="Book Antiqua" w:eastAsia="Book Antiqua" w:hAnsi="Book Antiqua" w:cs="Book Antiqua"/>
          <w:color w:val="000000"/>
        </w:rPr>
        <w:t xml:space="preserve"> classification for biliary tract cancer</w:t>
      </w:r>
      <w:r w:rsidRPr="0029097D">
        <w:rPr>
          <w:rFonts w:ascii="Book Antiqua" w:eastAsia="Book Antiqua" w:hAnsi="Book Antiqua" w:cs="Book Antiqua"/>
          <w:color w:val="000000"/>
          <w:vertAlign w:val="superscript"/>
        </w:rPr>
        <w:t>[78]</w:t>
      </w:r>
      <w:r w:rsidRPr="0029097D">
        <w:rPr>
          <w:rFonts w:ascii="Book Antiqua" w:eastAsia="Book Antiqua" w:hAnsi="Book Antiqua" w:cs="Book Antiqua"/>
          <w:color w:val="000000"/>
        </w:rPr>
        <w:t xml:space="preserve">, iCCA can be further classified to two main subtypes according to the level or size of the affected duct; large duct type, which resembles eCCA and small duct type, which shares </w:t>
      </w:r>
      <w:r w:rsidRPr="00436841">
        <w:rPr>
          <w:rFonts w:ascii="Book Antiqua" w:eastAsia="Book Antiqua" w:hAnsi="Book Antiqua" w:cs="Book Antiqua"/>
          <w:color w:val="000000"/>
        </w:rPr>
        <w:t>etiological, pathogenetic</w:t>
      </w:r>
      <w:r w:rsidR="008B6795">
        <w:rPr>
          <w:rFonts w:ascii="Book Antiqua" w:eastAsia="Book Antiqua" w:hAnsi="Book Antiqua" w:cs="Book Antiqua"/>
          <w:color w:val="000000"/>
        </w:rPr>
        <w:t>,</w:t>
      </w:r>
      <w:r w:rsidRPr="008B6795">
        <w:rPr>
          <w:rFonts w:ascii="Book Antiqua" w:eastAsia="Book Antiqua" w:hAnsi="Book Antiqua" w:cs="Book Antiqua"/>
          <w:color w:val="000000"/>
        </w:rPr>
        <w:t xml:space="preserve"> and imaging characteristics with </w:t>
      </w:r>
      <w:r w:rsidR="00C24F0F" w:rsidRPr="00146474">
        <w:rPr>
          <w:rFonts w:ascii="Book Antiqua" w:eastAsia="Book Antiqua" w:hAnsi="Book Antiqua" w:cs="Book Antiqua"/>
          <w:color w:val="000000"/>
        </w:rPr>
        <w:t>HCC</w:t>
      </w:r>
      <w:r w:rsidRPr="00146474">
        <w:rPr>
          <w:rFonts w:ascii="Book Antiqua" w:eastAsia="Book Antiqua" w:hAnsi="Book Antiqua" w:cs="Book Antiqua"/>
          <w:color w:val="000000"/>
        </w:rPr>
        <w:t xml:space="preserve"> and usually develops on a background of chronic liver disease (such as chronic viral hepatitis and cirrhosis)</w:t>
      </w:r>
      <w:r w:rsidRPr="0029097D">
        <w:rPr>
          <w:rFonts w:ascii="Book Antiqua" w:eastAsia="Book Antiqua" w:hAnsi="Book Antiqua" w:cs="Book Antiqua"/>
          <w:color w:val="000000"/>
          <w:vertAlign w:val="superscript"/>
        </w:rPr>
        <w:t>[58]</w:t>
      </w:r>
      <w:r w:rsidRPr="0029097D">
        <w:rPr>
          <w:rFonts w:ascii="Book Antiqua" w:eastAsia="Book Antiqua" w:hAnsi="Book Antiqua" w:cs="Book Antiqua"/>
          <w:color w:val="000000"/>
        </w:rPr>
        <w:t>. Small bile duct iCCA presents as a tubular or acinar adenocarcinoma with nodular growth invading the liver parenchyma, and with no or mini</w:t>
      </w:r>
      <w:r w:rsidRPr="00436841">
        <w:rPr>
          <w:rFonts w:ascii="Book Antiqua" w:eastAsia="Book Antiqua" w:hAnsi="Book Antiqua" w:cs="Book Antiqua"/>
          <w:color w:val="000000"/>
        </w:rPr>
        <w:t>mal mucin production</w:t>
      </w:r>
      <w:r w:rsidRPr="00436841">
        <w:rPr>
          <w:rFonts w:ascii="Book Antiqua" w:eastAsia="Book Antiqua" w:hAnsi="Book Antiqua" w:cs="Book Antiqua"/>
          <w:color w:val="000000"/>
          <w:vertAlign w:val="superscript"/>
        </w:rPr>
        <w:t>[79</w:t>
      </w:r>
      <w:r w:rsidR="000354F0" w:rsidRPr="00436841">
        <w:rPr>
          <w:rFonts w:ascii="Book Antiqua" w:eastAsia="Book Antiqua" w:hAnsi="Book Antiqua" w:cs="Book Antiqua"/>
          <w:color w:val="000000"/>
          <w:vertAlign w:val="superscript"/>
        </w:rPr>
        <w:t>-</w:t>
      </w:r>
      <w:r w:rsidRPr="00436841">
        <w:rPr>
          <w:rFonts w:ascii="Book Antiqua" w:eastAsia="Book Antiqua" w:hAnsi="Book Antiqua" w:cs="Book Antiqua"/>
          <w:color w:val="000000"/>
          <w:vertAlign w:val="superscript"/>
        </w:rPr>
        <w:t>81]</w:t>
      </w:r>
      <w:r w:rsidRPr="00436841">
        <w:rPr>
          <w:rFonts w:ascii="Book Antiqua" w:eastAsia="Book Antiqua" w:hAnsi="Book Antiqua" w:cs="Book Antiqua"/>
          <w:color w:val="000000"/>
        </w:rPr>
        <w:t>. Characteristic findings of small bile duct iCCA are IDH1 and IDH2 mutations or FGFR2 fusions or translocations</w:t>
      </w:r>
      <w:r w:rsidRPr="00436841">
        <w:rPr>
          <w:rFonts w:ascii="Book Antiqua" w:eastAsia="Book Antiqua" w:hAnsi="Book Antiqua" w:cs="Book Antiqua"/>
          <w:color w:val="000000"/>
          <w:vertAlign w:val="superscript"/>
        </w:rPr>
        <w:t>[80</w:t>
      </w:r>
      <w:r w:rsidR="00F92089" w:rsidRPr="00436841">
        <w:rPr>
          <w:rFonts w:ascii="Book Antiqua" w:eastAsia="Book Antiqua" w:hAnsi="Book Antiqua" w:cs="Book Antiqua"/>
          <w:color w:val="000000"/>
          <w:vertAlign w:val="superscript"/>
        </w:rPr>
        <w:t>-</w:t>
      </w:r>
      <w:r w:rsidRPr="00436841">
        <w:rPr>
          <w:rFonts w:ascii="Book Antiqua" w:eastAsia="Book Antiqua" w:hAnsi="Book Antiqua" w:cs="Book Antiqua"/>
          <w:color w:val="000000"/>
          <w:vertAlign w:val="superscript"/>
        </w:rPr>
        <w:t>82]</w:t>
      </w:r>
      <w:r w:rsidRPr="00436841">
        <w:rPr>
          <w:rFonts w:ascii="Book Antiqua" w:eastAsia="Book Antiqua" w:hAnsi="Book Antiqua" w:cs="Book Antiqua"/>
          <w:color w:val="000000"/>
        </w:rPr>
        <w:t xml:space="preserve">. In HBV-associated iCCA, there </w:t>
      </w:r>
      <w:r w:rsidR="008B6795">
        <w:rPr>
          <w:rFonts w:ascii="Book Antiqua" w:eastAsia="Book Antiqua" w:hAnsi="Book Antiqua" w:cs="Book Antiqua"/>
          <w:color w:val="000000"/>
        </w:rPr>
        <w:t>are</w:t>
      </w:r>
      <w:r w:rsidR="008B6795" w:rsidRPr="008B6795">
        <w:rPr>
          <w:rFonts w:ascii="Book Antiqua" w:eastAsia="Book Antiqua" w:hAnsi="Book Antiqua" w:cs="Book Antiqua"/>
          <w:color w:val="000000"/>
        </w:rPr>
        <w:t xml:space="preserve"> </w:t>
      </w:r>
      <w:r w:rsidRPr="008B6795">
        <w:rPr>
          <w:rFonts w:ascii="Book Antiqua" w:eastAsia="Book Antiqua" w:hAnsi="Book Antiqua" w:cs="Book Antiqua"/>
          <w:color w:val="000000"/>
        </w:rPr>
        <w:t>data indicating the presence of hyperactivated programmed cell death protein 1/PD-L1 signaling and increased expression of N-cadherin and HBx protein</w:t>
      </w:r>
      <w:r w:rsidRPr="008B6795">
        <w:rPr>
          <w:rFonts w:ascii="Book Antiqua" w:eastAsia="Book Antiqua" w:hAnsi="Book Antiqua" w:cs="Book Antiqua"/>
          <w:color w:val="000000"/>
          <w:vertAlign w:val="superscript"/>
        </w:rPr>
        <w:t>[45,49,56]</w:t>
      </w:r>
      <w:r w:rsidRPr="00146474">
        <w:rPr>
          <w:rFonts w:ascii="Book Antiqua" w:eastAsia="Book Antiqua" w:hAnsi="Book Antiqua" w:cs="Book Antiqua"/>
          <w:color w:val="000000"/>
        </w:rPr>
        <w:t>. It remains to be seen</w:t>
      </w:r>
      <w:r w:rsidRPr="00436841">
        <w:rPr>
          <w:rFonts w:ascii="Book Antiqua" w:eastAsia="Book Antiqua" w:hAnsi="Book Antiqua" w:cs="Book Antiqua"/>
          <w:color w:val="000000"/>
        </w:rPr>
        <w:t xml:space="preserve"> if these diagnostic characteristics c</w:t>
      </w:r>
      <w:r w:rsidR="008B6795">
        <w:rPr>
          <w:rFonts w:ascii="Book Antiqua" w:eastAsia="Book Antiqua" w:hAnsi="Book Antiqua" w:cs="Book Antiqua"/>
          <w:color w:val="000000"/>
        </w:rPr>
        <w:t>an</w:t>
      </w:r>
      <w:r w:rsidRPr="00436841">
        <w:rPr>
          <w:rFonts w:ascii="Book Antiqua" w:eastAsia="Book Antiqua" w:hAnsi="Book Antiqua" w:cs="Book Antiqua"/>
          <w:color w:val="000000"/>
        </w:rPr>
        <w:t xml:space="preserve"> also serve as potential therapeutic targets.</w:t>
      </w:r>
    </w:p>
    <w:p w14:paraId="479ED8C7" w14:textId="77777777" w:rsidR="00A77B3E" w:rsidRPr="00436841" w:rsidRDefault="00A77B3E" w:rsidP="00ED58D3">
      <w:pPr>
        <w:spacing w:line="360" w:lineRule="auto"/>
        <w:jc w:val="both"/>
        <w:rPr>
          <w:rFonts w:ascii="Book Antiqua" w:hAnsi="Book Antiqua"/>
        </w:rPr>
      </w:pPr>
    </w:p>
    <w:p w14:paraId="33EF228F" w14:textId="77777777" w:rsidR="00A77B3E" w:rsidRPr="00436841" w:rsidRDefault="0048774A" w:rsidP="00ED58D3">
      <w:pPr>
        <w:spacing w:line="360" w:lineRule="auto"/>
        <w:jc w:val="both"/>
        <w:rPr>
          <w:rFonts w:ascii="Book Antiqua" w:hAnsi="Book Antiqua"/>
          <w:i/>
          <w:iCs/>
        </w:rPr>
      </w:pPr>
      <w:r w:rsidRPr="00436841">
        <w:rPr>
          <w:rFonts w:ascii="Book Antiqua" w:eastAsia="Book Antiqua" w:hAnsi="Book Antiqua" w:cs="Book Antiqua"/>
          <w:b/>
          <w:bCs/>
          <w:i/>
          <w:iCs/>
          <w:color w:val="000000"/>
        </w:rPr>
        <w:t>Staging</w:t>
      </w:r>
    </w:p>
    <w:p w14:paraId="780DA0BC" w14:textId="38F7374C" w:rsidR="00A77B3E" w:rsidRPr="00436841" w:rsidRDefault="001A5112" w:rsidP="00ED58D3">
      <w:pPr>
        <w:spacing w:line="360" w:lineRule="auto"/>
        <w:jc w:val="both"/>
        <w:rPr>
          <w:rFonts w:ascii="Book Antiqua" w:hAnsi="Book Antiqua"/>
        </w:rPr>
      </w:pPr>
      <w:r>
        <w:rPr>
          <w:rFonts w:ascii="Book Antiqua" w:eastAsia="Book Antiqua" w:hAnsi="Book Antiqua" w:cs="Book Antiqua"/>
          <w:color w:val="000000"/>
        </w:rPr>
        <w:t>i</w:t>
      </w:r>
      <w:r w:rsidR="00B1526F">
        <w:rPr>
          <w:rFonts w:ascii="Book Antiqua" w:eastAsia="Book Antiqua" w:hAnsi="Book Antiqua" w:cs="Book Antiqua"/>
          <w:color w:val="000000"/>
        </w:rPr>
        <w:t>CC</w:t>
      </w:r>
      <w:r>
        <w:rPr>
          <w:rFonts w:ascii="Book Antiqua" w:eastAsia="Book Antiqua" w:hAnsi="Book Antiqua" w:cs="Book Antiqua"/>
          <w:color w:val="000000"/>
        </w:rPr>
        <w:t>A</w:t>
      </w:r>
      <w:r w:rsidR="0048774A" w:rsidRPr="00B1526F">
        <w:rPr>
          <w:rFonts w:ascii="Book Antiqua" w:eastAsia="Book Antiqua" w:hAnsi="Book Antiqua" w:cs="Book Antiqua"/>
          <w:color w:val="000000"/>
        </w:rPr>
        <w:t xml:space="preserve"> is mainly staged according to the 8</w:t>
      </w:r>
      <w:r w:rsidR="0048774A" w:rsidRPr="00B1526F">
        <w:rPr>
          <w:rFonts w:ascii="Book Antiqua" w:eastAsia="Book Antiqua" w:hAnsi="Book Antiqua" w:cs="Book Antiqua"/>
          <w:color w:val="000000"/>
          <w:vertAlign w:val="superscript"/>
        </w:rPr>
        <w:t>th</w:t>
      </w:r>
      <w:r w:rsidR="0048774A" w:rsidRPr="00B1526F">
        <w:rPr>
          <w:rFonts w:ascii="Book Antiqua" w:eastAsia="Book Antiqua" w:hAnsi="Book Antiqua" w:cs="Book Antiqua"/>
          <w:color w:val="000000"/>
        </w:rPr>
        <w:t xml:space="preserve"> edition of the American Joint Committee on Cancer (AJCC) TNM system (Table</w:t>
      </w:r>
      <w:r w:rsidR="002E64DD" w:rsidRPr="0029097D">
        <w:rPr>
          <w:rFonts w:ascii="Book Antiqua" w:eastAsia="Book Antiqua" w:hAnsi="Book Antiqua" w:cs="Book Antiqua"/>
          <w:color w:val="000000"/>
        </w:rPr>
        <w:t>s</w:t>
      </w:r>
      <w:r w:rsidR="0048774A" w:rsidRPr="0029097D">
        <w:rPr>
          <w:rFonts w:ascii="Book Antiqua" w:eastAsia="Book Antiqua" w:hAnsi="Book Antiqua" w:cs="Book Antiqua"/>
          <w:color w:val="000000"/>
        </w:rPr>
        <w:t xml:space="preserve"> 3</w:t>
      </w:r>
      <w:r w:rsidR="002E64DD" w:rsidRPr="0029097D">
        <w:rPr>
          <w:rFonts w:ascii="Book Antiqua" w:eastAsia="Book Antiqua" w:hAnsi="Book Antiqua" w:cs="Book Antiqua"/>
          <w:color w:val="000000"/>
        </w:rPr>
        <w:t xml:space="preserve"> and</w:t>
      </w:r>
      <w:r w:rsidR="0048774A" w:rsidRPr="0029097D">
        <w:rPr>
          <w:rFonts w:ascii="Book Antiqua" w:eastAsia="Book Antiqua" w:hAnsi="Book Antiqua" w:cs="Book Antiqua"/>
          <w:color w:val="000000"/>
        </w:rPr>
        <w:t xml:space="preserve"> 4). Despite providing some meaningful contribution to the patient</w:t>
      </w:r>
      <w:r w:rsidR="00B1526F">
        <w:rPr>
          <w:rFonts w:ascii="Book Antiqua" w:eastAsia="Book Antiqua" w:hAnsi="Book Antiqua" w:cs="Book Antiqua"/>
          <w:color w:val="000000"/>
        </w:rPr>
        <w:t>’s</w:t>
      </w:r>
      <w:r w:rsidR="0048774A" w:rsidRPr="00B1526F">
        <w:rPr>
          <w:rFonts w:ascii="Book Antiqua" w:eastAsia="Book Antiqua" w:hAnsi="Book Antiqua" w:cs="Book Antiqua"/>
          <w:color w:val="000000"/>
        </w:rPr>
        <w:t xml:space="preserve"> prognostication, it does have some rather important limitations. First, although the tumor size was introduced for the first time in the latest AJCC Cancer Staging Manual, the only discriminating size cut-off used is the one of &lt;</w:t>
      </w:r>
      <w:r w:rsidR="002E64DD" w:rsidRPr="0029097D">
        <w:rPr>
          <w:rFonts w:ascii="Book Antiqua" w:eastAsia="Book Antiqua" w:hAnsi="Book Antiqua" w:cs="Book Antiqua"/>
          <w:color w:val="000000"/>
        </w:rPr>
        <w:t xml:space="preserve"> </w:t>
      </w:r>
      <w:r w:rsidR="0048774A" w:rsidRPr="0029097D">
        <w:rPr>
          <w:rFonts w:ascii="Book Antiqua" w:eastAsia="Book Antiqua" w:hAnsi="Book Antiqua" w:cs="Book Antiqua"/>
          <w:color w:val="000000"/>
        </w:rPr>
        <w:t xml:space="preserve">5 cm encompassing all T1 tumors. However, there </w:t>
      </w:r>
      <w:r w:rsidR="00B1526F">
        <w:rPr>
          <w:rFonts w:ascii="Book Antiqua" w:eastAsia="Book Antiqua" w:hAnsi="Book Antiqua" w:cs="Book Antiqua"/>
          <w:color w:val="000000"/>
        </w:rPr>
        <w:t xml:space="preserve">are </w:t>
      </w:r>
      <w:r w:rsidR="0048774A" w:rsidRPr="00B1526F">
        <w:rPr>
          <w:rFonts w:ascii="Book Antiqua" w:eastAsia="Book Antiqua" w:hAnsi="Book Antiqua" w:cs="Book Antiqua"/>
          <w:color w:val="000000"/>
        </w:rPr>
        <w:t>some data indicating that patients with very small (&lt;</w:t>
      </w:r>
      <w:r w:rsidR="002E64DD" w:rsidRPr="00B1526F">
        <w:rPr>
          <w:rFonts w:ascii="Book Antiqua" w:eastAsia="Book Antiqua" w:hAnsi="Book Antiqua" w:cs="Book Antiqua"/>
          <w:color w:val="000000"/>
        </w:rPr>
        <w:t xml:space="preserve"> </w:t>
      </w:r>
      <w:r w:rsidR="0048774A" w:rsidRPr="00146474">
        <w:rPr>
          <w:rFonts w:ascii="Book Antiqua" w:eastAsia="Book Antiqua" w:hAnsi="Book Antiqua" w:cs="Book Antiqua"/>
          <w:color w:val="000000"/>
        </w:rPr>
        <w:t>2</w:t>
      </w:r>
      <w:r w:rsidR="002E64DD" w:rsidRPr="00146474">
        <w:rPr>
          <w:rFonts w:ascii="Book Antiqua" w:eastAsia="Book Antiqua" w:hAnsi="Book Antiqua" w:cs="Book Antiqua"/>
          <w:color w:val="000000"/>
        </w:rPr>
        <w:t xml:space="preserve"> </w:t>
      </w:r>
      <w:r w:rsidR="0048774A" w:rsidRPr="00146474">
        <w:rPr>
          <w:rFonts w:ascii="Book Antiqua" w:eastAsia="Book Antiqua" w:hAnsi="Book Antiqua" w:cs="Book Antiqua"/>
          <w:color w:val="000000"/>
        </w:rPr>
        <w:t>cm) tumors have potentially better outcomes in terms of survival, rendering them eligible for different therapeutic modalities</w:t>
      </w:r>
      <w:r w:rsidR="0048774A" w:rsidRPr="0029097D">
        <w:rPr>
          <w:rFonts w:ascii="Book Antiqua" w:eastAsia="Book Antiqua" w:hAnsi="Book Antiqua" w:cs="Book Antiqua"/>
          <w:color w:val="000000"/>
          <w:vertAlign w:val="superscript"/>
        </w:rPr>
        <w:t>[83]</w:t>
      </w:r>
      <w:r w:rsidR="0048774A" w:rsidRPr="0029097D">
        <w:rPr>
          <w:rFonts w:ascii="Book Antiqua" w:eastAsia="Book Antiqua" w:hAnsi="Book Antiqua" w:cs="Book Antiqua"/>
          <w:color w:val="000000"/>
        </w:rPr>
        <w:t xml:space="preserve">. In addition, the latest TNM system fails to include parameters such as </w:t>
      </w:r>
      <w:r w:rsidR="00B1526F">
        <w:rPr>
          <w:rFonts w:ascii="Book Antiqua" w:eastAsia="Book Antiqua" w:hAnsi="Book Antiqua" w:cs="Book Antiqua"/>
          <w:color w:val="000000"/>
        </w:rPr>
        <w:t>p</w:t>
      </w:r>
      <w:r w:rsidR="0048774A" w:rsidRPr="00436841">
        <w:rPr>
          <w:rFonts w:ascii="Book Antiqua" w:eastAsia="Book Antiqua" w:hAnsi="Book Antiqua" w:cs="Book Antiqua"/>
          <w:color w:val="000000"/>
        </w:rPr>
        <w:t xml:space="preserve">erformance </w:t>
      </w:r>
      <w:r w:rsidR="00B1526F">
        <w:rPr>
          <w:rFonts w:ascii="Book Antiqua" w:eastAsia="Book Antiqua" w:hAnsi="Book Antiqua" w:cs="Book Antiqua"/>
          <w:color w:val="000000"/>
        </w:rPr>
        <w:t>s</w:t>
      </w:r>
      <w:r w:rsidR="0048774A" w:rsidRPr="00436841">
        <w:rPr>
          <w:rFonts w:ascii="Book Antiqua" w:eastAsia="Book Antiqua" w:hAnsi="Book Antiqua" w:cs="Book Antiqua"/>
          <w:color w:val="000000"/>
        </w:rPr>
        <w:t>tatus</w:t>
      </w:r>
      <w:r w:rsidR="0029097D">
        <w:rPr>
          <w:rFonts w:ascii="Book Antiqua" w:eastAsia="Book Antiqua" w:hAnsi="Book Antiqua" w:cs="Book Antiqua"/>
          <w:color w:val="000000"/>
        </w:rPr>
        <w:t xml:space="preserve"> (PS)</w:t>
      </w:r>
      <w:r w:rsidR="0048774A" w:rsidRPr="0029097D">
        <w:rPr>
          <w:rFonts w:ascii="Book Antiqua" w:eastAsia="Book Antiqua" w:hAnsi="Book Antiqua" w:cs="Book Antiqua"/>
          <w:color w:val="000000"/>
        </w:rPr>
        <w:t xml:space="preserve"> or the severity of liver function impairment. Both of these limitations are clearly extremely important for assessing the prognosis of patients with HBV-associated iCCA, as very small tumors can be detected during surveillance programs and may also have advanced parenchymal liver diseas</w:t>
      </w:r>
      <w:r w:rsidR="0048774A" w:rsidRPr="00436841">
        <w:rPr>
          <w:rFonts w:ascii="Book Antiqua" w:eastAsia="Book Antiqua" w:hAnsi="Book Antiqua" w:cs="Book Antiqua"/>
          <w:color w:val="000000"/>
        </w:rPr>
        <w:t xml:space="preserve">e. </w:t>
      </w:r>
    </w:p>
    <w:p w14:paraId="3DDC55DE" w14:textId="77777777" w:rsidR="00A77B3E" w:rsidRPr="00436841" w:rsidRDefault="00A77B3E" w:rsidP="00ED58D3">
      <w:pPr>
        <w:spacing w:line="360" w:lineRule="auto"/>
        <w:jc w:val="both"/>
        <w:rPr>
          <w:rFonts w:ascii="Book Antiqua" w:hAnsi="Book Antiqua"/>
        </w:rPr>
      </w:pPr>
    </w:p>
    <w:p w14:paraId="48D6EC02" w14:textId="77777777" w:rsidR="00A77B3E" w:rsidRPr="00436841" w:rsidRDefault="0048774A" w:rsidP="00ED58D3">
      <w:pPr>
        <w:spacing w:line="360" w:lineRule="auto"/>
        <w:jc w:val="both"/>
        <w:rPr>
          <w:rFonts w:ascii="Book Antiqua" w:hAnsi="Book Antiqua"/>
          <w:u w:val="single"/>
        </w:rPr>
      </w:pPr>
      <w:r w:rsidRPr="00436841">
        <w:rPr>
          <w:rFonts w:ascii="Book Antiqua" w:eastAsia="Book Antiqua" w:hAnsi="Book Antiqua" w:cs="Book Antiqua"/>
          <w:b/>
          <w:bCs/>
          <w:color w:val="000000"/>
          <w:u w:val="single"/>
        </w:rPr>
        <w:t xml:space="preserve">THE CASE OF COMBINED </w:t>
      </w:r>
      <w:r w:rsidR="00C24F0F" w:rsidRPr="00436841">
        <w:rPr>
          <w:rFonts w:ascii="Book Antiqua" w:eastAsia="Book Antiqua" w:hAnsi="Book Antiqua" w:cs="Book Antiqua"/>
          <w:b/>
          <w:bCs/>
          <w:color w:val="000000"/>
          <w:u w:val="single"/>
        </w:rPr>
        <w:t>HCC</w:t>
      </w:r>
      <w:r w:rsidRPr="00436841">
        <w:rPr>
          <w:rFonts w:ascii="Book Antiqua" w:eastAsia="Book Antiqua" w:hAnsi="Book Antiqua" w:cs="Book Antiqua"/>
          <w:b/>
          <w:bCs/>
          <w:color w:val="000000"/>
          <w:u w:val="single"/>
        </w:rPr>
        <w:t xml:space="preserve"> AND CHOLANGIOCARCINOMA </w:t>
      </w:r>
    </w:p>
    <w:p w14:paraId="7828D1B4" w14:textId="747576CD"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Combined HCC-CCA</w:t>
      </w:r>
      <w:r w:rsidR="00146474">
        <w:rPr>
          <w:rFonts w:ascii="Book Antiqua" w:eastAsia="Book Antiqua" w:hAnsi="Book Antiqua" w:cs="Book Antiqua"/>
          <w:color w:val="000000"/>
        </w:rPr>
        <w:t xml:space="preserve"> (cHCC-CCA)</w:t>
      </w:r>
      <w:r w:rsidRPr="00436841">
        <w:rPr>
          <w:rFonts w:ascii="Book Antiqua" w:eastAsia="Book Antiqua" w:hAnsi="Book Antiqua" w:cs="Book Antiqua"/>
          <w:color w:val="000000"/>
        </w:rPr>
        <w:t xml:space="preserve"> is a rare type of primary liver cancer (PLC), which has been defined as a distinct carcinoma displaying features of both hepatocytic and cholangiocytic differentiation</w:t>
      </w:r>
      <w:r w:rsidRPr="00436841">
        <w:rPr>
          <w:rFonts w:ascii="Book Antiqua" w:eastAsia="Book Antiqua" w:hAnsi="Book Antiqua" w:cs="Book Antiqua"/>
          <w:color w:val="000000"/>
          <w:vertAlign w:val="superscript"/>
        </w:rPr>
        <w:t>[84]</w:t>
      </w:r>
      <w:r w:rsidRPr="00436841">
        <w:rPr>
          <w:rFonts w:ascii="Book Antiqua" w:eastAsia="Book Antiqua" w:hAnsi="Book Antiqua" w:cs="Book Antiqua"/>
          <w:color w:val="000000"/>
        </w:rPr>
        <w:t>. Since the first description of this entity in 1949</w:t>
      </w:r>
      <w:r w:rsidRPr="00436841">
        <w:rPr>
          <w:rFonts w:ascii="Book Antiqua" w:eastAsia="Book Antiqua" w:hAnsi="Book Antiqua" w:cs="Book Antiqua"/>
          <w:color w:val="000000"/>
          <w:vertAlign w:val="superscript"/>
        </w:rPr>
        <w:t>[85]</w:t>
      </w:r>
      <w:r w:rsidRPr="00436841">
        <w:rPr>
          <w:rFonts w:ascii="Book Antiqua" w:eastAsia="Book Antiqua" w:hAnsi="Book Antiqua" w:cs="Book Antiqua"/>
          <w:color w:val="000000"/>
        </w:rPr>
        <w:t>,</w:t>
      </w:r>
      <w:r w:rsidR="00D5268A" w:rsidRP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t>significant terminolo</w:t>
      </w:r>
      <w:r w:rsidR="006C001F" w:rsidRPr="00436841">
        <w:rPr>
          <w:rFonts w:ascii="Book Antiqua" w:eastAsia="Book Antiqua" w:hAnsi="Book Antiqua" w:cs="Book Antiqua"/>
          <w:color w:val="000000"/>
        </w:rPr>
        <w:t>gy changes have been introduced</w:t>
      </w:r>
      <w:r w:rsidRPr="00436841">
        <w:rPr>
          <w:rFonts w:ascii="Book Antiqua" w:eastAsia="Book Antiqua" w:hAnsi="Book Antiqua" w:cs="Book Antiqua"/>
          <w:color w:val="000000"/>
        </w:rPr>
        <w:t>. The 2010 WHO classification system distinguishes a classical form of cHCC-CCA and three variants with stem/progenitor cell features including typical, intermediate cell</w:t>
      </w:r>
      <w:r w:rsidR="00146474">
        <w:rPr>
          <w:rFonts w:ascii="Book Antiqua" w:eastAsia="Book Antiqua" w:hAnsi="Book Antiqua" w:cs="Book Antiqua"/>
          <w:color w:val="000000"/>
        </w:rPr>
        <w:t>,</w:t>
      </w:r>
      <w:r w:rsidRPr="00146474">
        <w:rPr>
          <w:rFonts w:ascii="Book Antiqua" w:eastAsia="Book Antiqua" w:hAnsi="Book Antiqua" w:cs="Book Antiqua"/>
          <w:color w:val="000000"/>
        </w:rPr>
        <w:t xml:space="preserve"> and cholangiolocellular subtypes</w:t>
      </w:r>
      <w:r w:rsidRPr="0029097D">
        <w:rPr>
          <w:rFonts w:ascii="Book Antiqua" w:eastAsia="Book Antiqua" w:hAnsi="Book Antiqua" w:cs="Book Antiqua"/>
          <w:color w:val="000000"/>
          <w:vertAlign w:val="superscript"/>
        </w:rPr>
        <w:t>[86]</w:t>
      </w:r>
      <w:r w:rsidRPr="0029097D">
        <w:rPr>
          <w:rFonts w:ascii="Book Antiqua" w:eastAsia="Book Antiqua" w:hAnsi="Book Antiqua" w:cs="Book Antiqua"/>
          <w:color w:val="000000"/>
        </w:rPr>
        <w:t>. However, molecular advancements throughout the years have challenged the validity of stemness</w:t>
      </w:r>
      <w:r w:rsidR="00146474">
        <w:rPr>
          <w:rFonts w:ascii="Book Antiqua" w:eastAsia="Book Antiqua" w:hAnsi="Book Antiqua" w:cs="Book Antiqua"/>
          <w:color w:val="000000"/>
        </w:rPr>
        <w:t>;</w:t>
      </w:r>
      <w:r w:rsidRPr="00436841">
        <w:rPr>
          <w:rFonts w:ascii="Book Antiqua" w:eastAsia="Book Antiqua" w:hAnsi="Book Antiqua" w:cs="Book Antiqua"/>
          <w:color w:val="000000"/>
        </w:rPr>
        <w:t xml:space="preserve"> thus</w:t>
      </w:r>
      <w:r w:rsidR="00146474">
        <w:rPr>
          <w:rFonts w:ascii="Book Antiqua" w:eastAsia="Book Antiqua" w:hAnsi="Book Antiqua" w:cs="Book Antiqua"/>
          <w:color w:val="000000"/>
        </w:rPr>
        <w:t>,</w:t>
      </w:r>
      <w:r w:rsidRPr="00146474">
        <w:rPr>
          <w:rFonts w:ascii="Book Antiqua" w:eastAsia="Book Antiqua" w:hAnsi="Book Antiqua" w:cs="Book Antiqua"/>
          <w:color w:val="000000"/>
        </w:rPr>
        <w:t xml:space="preserve"> the term “typical subtype” has been </w:t>
      </w:r>
      <w:r w:rsidR="00E41898" w:rsidRPr="00146474">
        <w:rPr>
          <w:rFonts w:ascii="Book Antiqua" w:eastAsia="Book Antiqua" w:hAnsi="Book Antiqua" w:cs="Book Antiqua"/>
          <w:color w:val="000000"/>
        </w:rPr>
        <w:t>abandoned</w:t>
      </w:r>
      <w:r w:rsidRPr="00146474">
        <w:rPr>
          <w:rFonts w:ascii="Book Antiqua" w:eastAsia="Book Antiqua" w:hAnsi="Book Antiqua" w:cs="Book Antiqua"/>
          <w:color w:val="000000"/>
        </w:rPr>
        <w:t>; cho</w:t>
      </w:r>
      <w:r w:rsidRPr="0029097D">
        <w:rPr>
          <w:rFonts w:ascii="Book Antiqua" w:eastAsia="Book Antiqua" w:hAnsi="Book Antiqua" w:cs="Book Antiqua"/>
          <w:color w:val="000000"/>
        </w:rPr>
        <w:t>langiolocellular carcinoma is currently considered to be a subtype of iCCA, but it can still be within the spectrum of cHCC-CCA only if an HCC component is also involved and is currently addressed as “</w:t>
      </w:r>
      <w:r w:rsidR="00E41898" w:rsidRPr="0029097D">
        <w:rPr>
          <w:rFonts w:ascii="Book Antiqua" w:eastAsia="Book Antiqua" w:hAnsi="Book Antiqua" w:cs="Book Antiqua"/>
          <w:color w:val="000000"/>
        </w:rPr>
        <w:t>cholangio</w:t>
      </w:r>
      <w:r w:rsidR="001A5112">
        <w:rPr>
          <w:rFonts w:ascii="Book Antiqua" w:eastAsia="Book Antiqua" w:hAnsi="Book Antiqua" w:cs="Book Antiqua"/>
          <w:color w:val="000000"/>
        </w:rPr>
        <w:t>lo</w:t>
      </w:r>
      <w:r w:rsidR="00E41898" w:rsidRPr="0029097D">
        <w:rPr>
          <w:rFonts w:ascii="Book Antiqua" w:eastAsia="Book Antiqua" w:hAnsi="Book Antiqua" w:cs="Book Antiqua"/>
          <w:color w:val="000000"/>
        </w:rPr>
        <w:t>carcinoma</w:t>
      </w:r>
      <w:r w:rsidRPr="0029097D">
        <w:rPr>
          <w:rFonts w:ascii="Book Antiqua" w:eastAsia="Book Antiqua" w:hAnsi="Book Antiqua" w:cs="Book Antiqua"/>
          <w:color w:val="000000"/>
        </w:rPr>
        <w:t>”; PLCs consisting exclusively of i</w:t>
      </w:r>
      <w:r w:rsidRPr="00436841">
        <w:rPr>
          <w:rFonts w:ascii="Book Antiqua" w:eastAsia="Book Antiqua" w:hAnsi="Book Antiqua" w:cs="Book Antiqua"/>
          <w:color w:val="000000"/>
        </w:rPr>
        <w:t>ntermediate cells are specified as intermediate cell carcinomas, while the role of intermediate cells in cHCC-CCA is still debated</w:t>
      </w:r>
      <w:r w:rsidRPr="00436841">
        <w:rPr>
          <w:rFonts w:ascii="Book Antiqua" w:eastAsia="Book Antiqua" w:hAnsi="Book Antiqua" w:cs="Book Antiqua"/>
          <w:color w:val="000000"/>
          <w:vertAlign w:val="superscript"/>
        </w:rPr>
        <w:t>[84,87,88]</w:t>
      </w:r>
      <w:r w:rsidRPr="00436841">
        <w:rPr>
          <w:rFonts w:ascii="Book Antiqua" w:eastAsia="Book Antiqua" w:hAnsi="Book Antiqua" w:cs="Book Antiqua"/>
          <w:color w:val="000000"/>
        </w:rPr>
        <w:t>.</w:t>
      </w:r>
    </w:p>
    <w:p w14:paraId="5101E372" w14:textId="595B8D15" w:rsidR="006B6B7F" w:rsidRDefault="0048774A" w:rsidP="00D866CC">
      <w:pPr>
        <w:spacing w:line="360" w:lineRule="auto"/>
        <w:ind w:firstLineChars="112" w:firstLine="269"/>
        <w:jc w:val="both"/>
        <w:rPr>
          <w:rFonts w:ascii="Book Antiqua" w:hAnsi="Book Antiqua"/>
        </w:rPr>
      </w:pPr>
      <w:r w:rsidRPr="00436841">
        <w:rPr>
          <w:rFonts w:ascii="Book Antiqua" w:eastAsia="Book Antiqua" w:hAnsi="Book Antiqua" w:cs="Book Antiqua"/>
          <w:color w:val="000000"/>
        </w:rPr>
        <w:t>Large series have reported that cHCC-CCA represents 0.77</w:t>
      </w:r>
      <w:r w:rsidR="002E64DD" w:rsidRPr="00436841">
        <w:rPr>
          <w:rFonts w:ascii="Book Antiqua" w:eastAsia="Book Antiqua" w:hAnsi="Book Antiqua" w:cs="Book Antiqua"/>
          <w:color w:val="000000"/>
        </w:rPr>
        <w:t>%</w:t>
      </w:r>
      <w:r w:rsidRPr="00436841">
        <w:rPr>
          <w:rFonts w:ascii="Book Antiqua" w:eastAsia="Book Antiqua" w:hAnsi="Book Antiqua" w:cs="Book Antiqua"/>
          <w:color w:val="000000"/>
        </w:rPr>
        <w:t>-5.8% of all PLCs</w:t>
      </w:r>
      <w:r w:rsidRPr="00436841">
        <w:rPr>
          <w:rFonts w:ascii="Book Antiqua" w:eastAsia="Book Antiqua" w:hAnsi="Book Antiqua" w:cs="Book Antiqua"/>
          <w:color w:val="000000"/>
          <w:vertAlign w:val="superscript"/>
        </w:rPr>
        <w:t>[89,90]</w:t>
      </w:r>
      <w:r w:rsidRPr="00436841">
        <w:rPr>
          <w:rFonts w:ascii="Book Antiqua" w:eastAsia="Book Antiqua" w:hAnsi="Book Antiqua" w:cs="Book Antiqua"/>
          <w:color w:val="000000"/>
        </w:rPr>
        <w:t>. Viral hepatitis (HBV, HCV), alcohol abuse</w:t>
      </w:r>
      <w:r w:rsidR="00146474">
        <w:rPr>
          <w:rFonts w:ascii="Book Antiqua" w:eastAsia="Book Antiqua" w:hAnsi="Book Antiqua" w:cs="Book Antiqua"/>
          <w:color w:val="000000"/>
        </w:rPr>
        <w:t>,</w:t>
      </w:r>
      <w:r w:rsidRPr="00146474">
        <w:rPr>
          <w:rFonts w:ascii="Book Antiqua" w:eastAsia="Book Antiqua" w:hAnsi="Book Antiqua" w:cs="Book Antiqua"/>
          <w:color w:val="000000"/>
        </w:rPr>
        <w:t xml:space="preserve"> and cirrhosis have been associated with this cancer. Notably, cirrhosis and HBV infection are more commonly related with cHCC-CCA than iCCA, although with lower rates compared to HCC</w:t>
      </w:r>
      <w:r w:rsidRPr="0029097D">
        <w:rPr>
          <w:rFonts w:ascii="Book Antiqua" w:eastAsia="Book Antiqua" w:hAnsi="Book Antiqua" w:cs="Book Antiqua"/>
          <w:color w:val="000000"/>
          <w:vertAlign w:val="superscript"/>
        </w:rPr>
        <w:t>[91</w:t>
      </w:r>
      <w:r w:rsidR="00F92089" w:rsidRPr="0029097D">
        <w:rPr>
          <w:rFonts w:ascii="Book Antiqua" w:eastAsia="Book Antiqua" w:hAnsi="Book Antiqua" w:cs="Book Antiqua"/>
          <w:color w:val="000000"/>
          <w:vertAlign w:val="superscript"/>
        </w:rPr>
        <w:t>-</w:t>
      </w:r>
      <w:r w:rsidRPr="0029097D">
        <w:rPr>
          <w:rFonts w:ascii="Book Antiqua" w:eastAsia="Book Antiqua" w:hAnsi="Book Antiqua" w:cs="Book Antiqua"/>
          <w:color w:val="000000"/>
          <w:vertAlign w:val="superscript"/>
        </w:rPr>
        <w:t>94]</w:t>
      </w:r>
      <w:r w:rsidRPr="0029097D">
        <w:rPr>
          <w:rFonts w:ascii="Book Antiqua" w:eastAsia="Book Antiqua" w:hAnsi="Book Antiqua" w:cs="Book Antiqua"/>
          <w:color w:val="000000"/>
        </w:rPr>
        <w:t>. Most patients are aged between 50 and 60 years, with c</w:t>
      </w:r>
      <w:r w:rsidRPr="00436841">
        <w:rPr>
          <w:rFonts w:ascii="Book Antiqua" w:eastAsia="Book Antiqua" w:hAnsi="Book Antiqua" w:cs="Book Antiqua"/>
          <w:color w:val="000000"/>
        </w:rPr>
        <w:t xml:space="preserve">omparative studies claiming presentation in </w:t>
      </w:r>
      <w:r w:rsidR="00146474">
        <w:rPr>
          <w:rFonts w:ascii="Book Antiqua" w:eastAsia="Book Antiqua" w:hAnsi="Book Antiqua" w:cs="Book Antiqua"/>
          <w:color w:val="000000"/>
        </w:rPr>
        <w:t xml:space="preserve">a </w:t>
      </w:r>
      <w:r w:rsidRPr="00146474">
        <w:rPr>
          <w:rFonts w:ascii="Book Antiqua" w:eastAsia="Book Antiqua" w:hAnsi="Book Antiqua" w:cs="Book Antiqua"/>
          <w:color w:val="000000"/>
        </w:rPr>
        <w:t>younger age than iCCA</w:t>
      </w:r>
      <w:r w:rsidRPr="00146474">
        <w:rPr>
          <w:rFonts w:ascii="Book Antiqua" w:eastAsia="Book Antiqua" w:hAnsi="Book Antiqua" w:cs="Book Antiqua"/>
          <w:color w:val="000000"/>
          <w:vertAlign w:val="superscript"/>
        </w:rPr>
        <w:t>[91,95]</w:t>
      </w:r>
      <w:r w:rsidRPr="00146474">
        <w:rPr>
          <w:rFonts w:ascii="Book Antiqua" w:eastAsia="Book Antiqua" w:hAnsi="Book Antiqua" w:cs="Book Antiqua"/>
          <w:color w:val="000000"/>
        </w:rPr>
        <w:t>, while others have not managed to point out significant age difference</w:t>
      </w:r>
      <w:r w:rsidR="00146474">
        <w:rPr>
          <w:rFonts w:ascii="Book Antiqua" w:eastAsia="Book Antiqua" w:hAnsi="Book Antiqua" w:cs="Book Antiqua"/>
          <w:color w:val="000000"/>
        </w:rPr>
        <w:t>s</w:t>
      </w:r>
      <w:r w:rsidRPr="00146474">
        <w:rPr>
          <w:rFonts w:ascii="Book Antiqua" w:eastAsia="Book Antiqua" w:hAnsi="Book Antiqua" w:cs="Book Antiqua"/>
          <w:color w:val="000000"/>
          <w:vertAlign w:val="superscript"/>
        </w:rPr>
        <w:t>[92,93]</w:t>
      </w:r>
      <w:r w:rsidRPr="00146474">
        <w:rPr>
          <w:rFonts w:ascii="Book Antiqua" w:eastAsia="Book Antiqua" w:hAnsi="Book Antiqua" w:cs="Book Antiqua"/>
          <w:color w:val="000000"/>
        </w:rPr>
        <w:t>. Male predominance is well documented (65</w:t>
      </w:r>
      <w:r w:rsidR="002E64DD" w:rsidRPr="00146474">
        <w:rPr>
          <w:rFonts w:ascii="Book Antiqua" w:eastAsia="Book Antiqua" w:hAnsi="Book Antiqua" w:cs="Book Antiqua"/>
          <w:color w:val="000000"/>
        </w:rPr>
        <w:t>%</w:t>
      </w:r>
      <w:r w:rsidRPr="00FF02A4">
        <w:rPr>
          <w:rFonts w:ascii="Book Antiqua" w:eastAsia="Book Antiqua" w:hAnsi="Book Antiqua" w:cs="Book Antiqua"/>
          <w:color w:val="000000"/>
        </w:rPr>
        <w:t>-80%)</w:t>
      </w:r>
      <w:r w:rsidRPr="0029097D">
        <w:rPr>
          <w:rFonts w:ascii="Book Antiqua" w:eastAsia="Book Antiqua" w:hAnsi="Book Antiqua" w:cs="Book Antiqua"/>
          <w:color w:val="000000"/>
          <w:vertAlign w:val="superscript"/>
        </w:rPr>
        <w:t>[89,90,95,96]</w:t>
      </w:r>
      <w:r w:rsidRPr="0029097D">
        <w:rPr>
          <w:rFonts w:ascii="Book Antiqua" w:eastAsia="Book Antiqua" w:hAnsi="Book Antiqua" w:cs="Book Antiqua"/>
          <w:color w:val="000000"/>
        </w:rPr>
        <w:t xml:space="preserve"> and tends to be more notable </w:t>
      </w:r>
      <w:r w:rsidRPr="00436841">
        <w:rPr>
          <w:rFonts w:ascii="Book Antiqua" w:eastAsia="Book Antiqua" w:hAnsi="Book Antiqua" w:cs="Book Antiqua"/>
          <w:color w:val="000000"/>
        </w:rPr>
        <w:t>opposed to iCCA patients</w:t>
      </w:r>
      <w:r w:rsidRPr="00436841">
        <w:rPr>
          <w:rFonts w:ascii="Book Antiqua" w:eastAsia="Book Antiqua" w:hAnsi="Book Antiqua" w:cs="Book Antiqua"/>
          <w:color w:val="000000"/>
          <w:vertAlign w:val="superscript"/>
        </w:rPr>
        <w:t>[92]</w:t>
      </w:r>
      <w:r w:rsidRPr="00436841">
        <w:rPr>
          <w:rFonts w:ascii="Book Antiqua" w:eastAsia="Book Antiqua" w:hAnsi="Book Antiqua" w:cs="Book Antiqua"/>
          <w:color w:val="000000"/>
        </w:rPr>
        <w:t>.</w:t>
      </w:r>
      <w:r w:rsidRPr="00436841">
        <w:rPr>
          <w:rFonts w:ascii="Book Antiqua" w:eastAsia="Book Antiqua" w:hAnsi="Book Antiqua" w:cs="Book Antiqua"/>
          <w:b/>
          <w:bCs/>
          <w:color w:val="000000"/>
        </w:rPr>
        <w:t xml:space="preserve"> </w:t>
      </w:r>
      <w:r w:rsidRPr="00436841">
        <w:rPr>
          <w:rFonts w:ascii="Book Antiqua" w:eastAsia="Book Antiqua" w:hAnsi="Book Antiqua" w:cs="Book Antiqua"/>
          <w:color w:val="000000"/>
        </w:rPr>
        <w:t xml:space="preserve">Studies focusing on HBV-related cHCC-CCA present even </w:t>
      </w:r>
      <w:r w:rsidR="00146474">
        <w:rPr>
          <w:rFonts w:ascii="Book Antiqua" w:eastAsia="Book Antiqua" w:hAnsi="Book Antiqua" w:cs="Book Antiqua"/>
          <w:color w:val="000000"/>
        </w:rPr>
        <w:t xml:space="preserve">an </w:t>
      </w:r>
      <w:r w:rsidRPr="00146474">
        <w:rPr>
          <w:rFonts w:ascii="Book Antiqua" w:eastAsia="Book Antiqua" w:hAnsi="Book Antiqua" w:cs="Book Antiqua"/>
          <w:color w:val="000000"/>
        </w:rPr>
        <w:t>greater male to female ratio that reaches 9:1</w:t>
      </w:r>
      <w:r w:rsidRPr="00146474">
        <w:rPr>
          <w:rFonts w:ascii="Book Antiqua" w:eastAsia="Book Antiqua" w:hAnsi="Book Antiqua" w:cs="Book Antiqua"/>
          <w:color w:val="000000"/>
          <w:vertAlign w:val="superscript"/>
        </w:rPr>
        <w:t>[97,98]</w:t>
      </w:r>
      <w:r w:rsidRPr="00146474">
        <w:rPr>
          <w:rFonts w:ascii="Book Antiqua" w:eastAsia="Book Antiqua" w:hAnsi="Book Antiqua" w:cs="Book Antiqua"/>
          <w:color w:val="000000"/>
        </w:rPr>
        <w:t xml:space="preserve">. </w:t>
      </w:r>
    </w:p>
    <w:p w14:paraId="507F6C66" w14:textId="03E2E283" w:rsidR="006B6B7F" w:rsidRDefault="0048774A" w:rsidP="00D866CC">
      <w:pPr>
        <w:spacing w:line="360" w:lineRule="auto"/>
        <w:ind w:firstLineChars="112" w:firstLine="269"/>
        <w:jc w:val="both"/>
        <w:rPr>
          <w:rFonts w:ascii="Book Antiqua" w:hAnsi="Book Antiqua"/>
        </w:rPr>
      </w:pPr>
      <w:r w:rsidRPr="00FF02A4">
        <w:rPr>
          <w:rFonts w:ascii="Book Antiqua" w:eastAsia="Book Antiqua" w:hAnsi="Book Antiqua" w:cs="Book Antiqua"/>
          <w:color w:val="000000"/>
        </w:rPr>
        <w:t>Imaging features may resemble patterns of HCC, CCA</w:t>
      </w:r>
      <w:r w:rsidR="00146474">
        <w:rPr>
          <w:rFonts w:ascii="Book Antiqua" w:eastAsia="Book Antiqua" w:hAnsi="Book Antiqua" w:cs="Book Antiqua"/>
          <w:color w:val="000000"/>
        </w:rPr>
        <w:t>,</w:t>
      </w:r>
      <w:r w:rsidRPr="00146474">
        <w:rPr>
          <w:rFonts w:ascii="Book Antiqua" w:eastAsia="Book Antiqua" w:hAnsi="Book Antiqua" w:cs="Book Antiqua"/>
          <w:color w:val="000000"/>
        </w:rPr>
        <w:t xml:space="preserve"> or both, therefore rendering radiological modalities insufficient to ensure definite diagnosis. Arterial phase hyper</w:t>
      </w:r>
      <w:r w:rsidRPr="00436841">
        <w:rPr>
          <w:rFonts w:ascii="Book Antiqua" w:eastAsia="Book Antiqua" w:hAnsi="Book Antiqua" w:cs="Book Antiqua"/>
          <w:color w:val="000000"/>
        </w:rPr>
        <w:t>enhancement and portal/delayed phase hypoenhancement (washout) are characteristic findings of HCC in CT, MRI</w:t>
      </w:r>
      <w:r w:rsidR="00146474">
        <w:rPr>
          <w:rFonts w:ascii="Book Antiqua" w:eastAsia="Book Antiqua" w:hAnsi="Book Antiqua" w:cs="Book Antiqua"/>
          <w:color w:val="000000"/>
        </w:rPr>
        <w:t>,</w:t>
      </w:r>
      <w:r w:rsidRPr="00146474">
        <w:rPr>
          <w:rFonts w:ascii="Book Antiqua" w:eastAsia="Book Antiqua" w:hAnsi="Book Antiqua" w:cs="Book Antiqua"/>
          <w:color w:val="000000"/>
        </w:rPr>
        <w:t xml:space="preserve"> and contrast-enhanced ultrasound</w:t>
      </w:r>
      <w:r w:rsidR="00146474">
        <w:rPr>
          <w:rFonts w:ascii="Book Antiqua" w:eastAsia="Book Antiqua" w:hAnsi="Book Antiqua" w:cs="Book Antiqua"/>
          <w:color w:val="000000"/>
        </w:rPr>
        <w:t>;</w:t>
      </w:r>
      <w:r w:rsidRPr="00146474">
        <w:rPr>
          <w:rFonts w:ascii="Book Antiqua" w:eastAsia="Book Antiqua" w:hAnsi="Book Antiqua" w:cs="Book Antiqua"/>
          <w:color w:val="000000"/>
        </w:rPr>
        <w:t xml:space="preserve"> however</w:t>
      </w:r>
      <w:r w:rsidR="00146474">
        <w:rPr>
          <w:rFonts w:ascii="Book Antiqua" w:eastAsia="Book Antiqua" w:hAnsi="Book Antiqua" w:cs="Book Antiqua"/>
          <w:color w:val="000000"/>
        </w:rPr>
        <w:t>,</w:t>
      </w:r>
      <w:r w:rsidRPr="00146474">
        <w:rPr>
          <w:rFonts w:ascii="Book Antiqua" w:eastAsia="Book Antiqua" w:hAnsi="Book Antiqua" w:cs="Book Antiqua"/>
          <w:color w:val="000000"/>
        </w:rPr>
        <w:t xml:space="preserve"> they could also be displayed by cHCC-CCA lesions and lead to misd</w:t>
      </w:r>
      <w:r w:rsidRPr="0029097D">
        <w:rPr>
          <w:rFonts w:ascii="Book Antiqua" w:eastAsia="Book Antiqua" w:hAnsi="Book Antiqua" w:cs="Book Antiqua"/>
          <w:color w:val="000000"/>
        </w:rPr>
        <w:t>iagnosis</w:t>
      </w:r>
      <w:r w:rsidRPr="0029097D">
        <w:rPr>
          <w:rFonts w:ascii="Book Antiqua" w:eastAsia="Book Antiqua" w:hAnsi="Book Antiqua" w:cs="Book Antiqua"/>
          <w:color w:val="000000"/>
          <w:vertAlign w:val="superscript"/>
        </w:rPr>
        <w:t>[93,99]</w:t>
      </w:r>
      <w:r w:rsidRPr="0029097D">
        <w:rPr>
          <w:rFonts w:ascii="Book Antiqua" w:eastAsia="Book Antiqua" w:hAnsi="Book Antiqua" w:cs="Book Antiqua"/>
          <w:color w:val="000000"/>
        </w:rPr>
        <w:t xml:space="preserve">. Similarly, cHCC-CCA tumors can mimic CCA by displaying gradual enhancement and </w:t>
      </w:r>
      <w:r w:rsidRPr="0029097D">
        <w:rPr>
          <w:rFonts w:ascii="Book Antiqua" w:eastAsia="Book Antiqua" w:hAnsi="Book Antiqua" w:cs="Book Antiqua"/>
          <w:color w:val="000000"/>
        </w:rPr>
        <w:lastRenderedPageBreak/>
        <w:t xml:space="preserve">peripheral irregular rim-like contour. According to Wang </w:t>
      </w:r>
      <w:r w:rsidRPr="00436841">
        <w:rPr>
          <w:rFonts w:ascii="Book Antiqua" w:eastAsia="Book Antiqua" w:hAnsi="Book Antiqua" w:cs="Book Antiqua"/>
          <w:i/>
          <w:iCs/>
          <w:color w:val="000000"/>
        </w:rPr>
        <w:t>et al</w:t>
      </w:r>
      <w:r w:rsidRPr="00436841">
        <w:rPr>
          <w:rFonts w:ascii="Book Antiqua" w:eastAsia="Book Antiqua" w:hAnsi="Book Antiqua" w:cs="Book Antiqua"/>
          <w:color w:val="000000"/>
          <w:vertAlign w:val="superscript"/>
        </w:rPr>
        <w:t>[92]</w:t>
      </w:r>
      <w:r w:rsidRPr="00436841">
        <w:rPr>
          <w:rFonts w:ascii="Book Antiqua" w:eastAsia="Book Antiqua" w:hAnsi="Book Antiqua" w:cs="Book Antiqua"/>
          <w:color w:val="000000"/>
        </w:rPr>
        <w:t>,</w:t>
      </w:r>
      <w:r w:rsidRPr="00436841">
        <w:rPr>
          <w:rFonts w:ascii="Book Antiqua" w:eastAsia="Book Antiqua" w:hAnsi="Book Antiqua" w:cs="Book Antiqua"/>
          <w:b/>
          <w:bCs/>
          <w:color w:val="000000"/>
        </w:rPr>
        <w:t xml:space="preserve"> </w:t>
      </w:r>
      <w:r w:rsidRPr="00436841">
        <w:rPr>
          <w:rFonts w:ascii="Book Antiqua" w:eastAsia="Book Antiqua" w:hAnsi="Book Antiqua" w:cs="Book Antiqua"/>
          <w:color w:val="000000"/>
        </w:rPr>
        <w:t>in the former case</w:t>
      </w:r>
      <w:r w:rsidRPr="00436841">
        <w:rPr>
          <w:rFonts w:ascii="Book Antiqua" w:eastAsia="Book Antiqua" w:hAnsi="Book Antiqua" w:cs="Book Antiqua"/>
          <w:b/>
          <w:bCs/>
          <w:color w:val="000000"/>
        </w:rPr>
        <w:t xml:space="preserve"> </w:t>
      </w:r>
      <w:r w:rsidRPr="00436841">
        <w:rPr>
          <w:rFonts w:ascii="Book Antiqua" w:eastAsia="Book Antiqua" w:hAnsi="Book Antiqua" w:cs="Book Antiqua"/>
          <w:color w:val="000000"/>
        </w:rPr>
        <w:t xml:space="preserve">the presence of lymphadenopathy, elevation of CA 19-9 and/or biliary dilation are in favor of cHCC-CCA, whereas the presence of pseudocapsule and well-defined margin are more suggestive of HCC. In the latter case when cHCC-CCA resembles features of CCA, the presence of simultaneous cirrhosis, HBsAg positivity, pseudocapsule and/or portal vein thrombosis should raise suspicion </w:t>
      </w:r>
      <w:r w:rsidR="00146474">
        <w:rPr>
          <w:rFonts w:ascii="Book Antiqua" w:eastAsia="Book Antiqua" w:hAnsi="Book Antiqua" w:cs="Book Antiqua"/>
          <w:color w:val="000000"/>
        </w:rPr>
        <w:t>of</w:t>
      </w:r>
      <w:r w:rsidR="00146474" w:rsidRPr="00146474">
        <w:rPr>
          <w:rFonts w:ascii="Book Antiqua" w:eastAsia="Book Antiqua" w:hAnsi="Book Antiqua" w:cs="Book Antiqua"/>
          <w:color w:val="000000"/>
        </w:rPr>
        <w:t xml:space="preserve"> </w:t>
      </w:r>
      <w:r w:rsidRPr="00146474">
        <w:rPr>
          <w:rFonts w:ascii="Book Antiqua" w:eastAsia="Book Antiqua" w:hAnsi="Book Antiqua" w:cs="Book Antiqua"/>
          <w:color w:val="000000"/>
        </w:rPr>
        <w:t>cHCC-CCA. Furthermore, concurrent elevation of both aFP and CA 19-9 or discordance between tumor markers and imaging features (</w:t>
      </w:r>
      <w:r w:rsidRPr="00146474">
        <w:rPr>
          <w:rFonts w:ascii="Book Antiqua" w:eastAsia="Book Antiqua" w:hAnsi="Book Antiqua" w:cs="Book Antiqua"/>
          <w:i/>
          <w:iCs/>
          <w:color w:val="000000"/>
        </w:rPr>
        <w:t>i.e.</w:t>
      </w:r>
      <w:r w:rsidRPr="00436841">
        <w:rPr>
          <w:rFonts w:ascii="Book Antiqua" w:eastAsia="Book Antiqua" w:hAnsi="Book Antiqua" w:cs="Book Antiqua"/>
          <w:color w:val="000000"/>
        </w:rPr>
        <w:t xml:space="preserve"> radiological hallmarks of HCC accompanied by increased CA 19-9 or lesions resembling CCA with raised aFP) should prompt consideration of cHCC-CCA diagnosis</w:t>
      </w:r>
      <w:r w:rsidRPr="00436841">
        <w:rPr>
          <w:rFonts w:ascii="Book Antiqua" w:eastAsia="Book Antiqua" w:hAnsi="Book Antiqua" w:cs="Book Antiqua"/>
          <w:color w:val="000000"/>
          <w:vertAlign w:val="superscript"/>
        </w:rPr>
        <w:t>[100,101]</w:t>
      </w:r>
      <w:r w:rsidRPr="00436841">
        <w:rPr>
          <w:rFonts w:ascii="Book Antiqua" w:eastAsia="Book Antiqua" w:hAnsi="Book Antiqua" w:cs="Book Antiqua"/>
          <w:color w:val="000000"/>
        </w:rPr>
        <w:t>. Histopathological examination of biopsies or surgical specimens based on routine stains ultimately establishes the correct diagnosis. Immunohistochemical markers can provide additional information, but are of secondary importance</w:t>
      </w:r>
      <w:r w:rsidRPr="00436841">
        <w:rPr>
          <w:rFonts w:ascii="Book Antiqua" w:eastAsia="Book Antiqua" w:hAnsi="Book Antiqua" w:cs="Book Antiqua"/>
          <w:color w:val="000000"/>
          <w:vertAlign w:val="superscript"/>
        </w:rPr>
        <w:t>[84]</w:t>
      </w:r>
      <w:r w:rsidRPr="00436841">
        <w:rPr>
          <w:rFonts w:ascii="Book Antiqua" w:eastAsia="Book Antiqua" w:hAnsi="Book Antiqua" w:cs="Book Antiqua"/>
          <w:color w:val="000000"/>
        </w:rPr>
        <w:t>.</w:t>
      </w:r>
    </w:p>
    <w:p w14:paraId="436E52AE" w14:textId="43BD1043" w:rsidR="006B6B7F" w:rsidRDefault="0048774A" w:rsidP="00D866CC">
      <w:pPr>
        <w:spacing w:line="360" w:lineRule="auto"/>
        <w:ind w:firstLineChars="112" w:firstLine="269"/>
        <w:jc w:val="both"/>
        <w:rPr>
          <w:rFonts w:ascii="Book Antiqua" w:hAnsi="Book Antiqua"/>
        </w:rPr>
      </w:pPr>
      <w:r w:rsidRPr="00436841">
        <w:rPr>
          <w:rFonts w:ascii="Book Antiqua" w:eastAsia="Book Antiqua" w:hAnsi="Book Antiqua" w:cs="Book Antiqua"/>
          <w:color w:val="000000"/>
        </w:rPr>
        <w:t>Complete excision with negative margins and sufficient residual liver volume is the goal of treatment</w:t>
      </w:r>
      <w:r w:rsidRPr="00436841">
        <w:rPr>
          <w:rFonts w:ascii="Book Antiqua" w:eastAsia="Book Antiqua" w:hAnsi="Book Antiqua" w:cs="Book Antiqua"/>
          <w:color w:val="000000"/>
          <w:vertAlign w:val="superscript"/>
        </w:rPr>
        <w:t>[102]</w:t>
      </w:r>
      <w:r w:rsidRPr="00436841">
        <w:rPr>
          <w:rFonts w:ascii="Book Antiqua" w:eastAsia="Book Antiqua" w:hAnsi="Book Antiqua" w:cs="Book Antiqua"/>
          <w:color w:val="000000"/>
        </w:rPr>
        <w:t>. In a large series of 390 HBV-related cHCC-CCA, the median OS after SR was 20 mo and negative prognostic factors included male gender, number of tumors ≥</w:t>
      </w:r>
      <w:r w:rsidR="002E64DD" w:rsidRP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t>2, major thrombus, gamma-glutamyl transferase (GGT) &gt;</w:t>
      </w:r>
      <w:r w:rsidR="002E64DD" w:rsidRP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t>60 IU/L</w:t>
      </w:r>
      <w:r w:rsidR="00146474">
        <w:rPr>
          <w:rFonts w:ascii="Book Antiqua" w:eastAsia="Book Antiqua" w:hAnsi="Book Antiqua" w:cs="Book Antiqua"/>
          <w:color w:val="000000"/>
        </w:rPr>
        <w:t>,</w:t>
      </w:r>
      <w:r w:rsidRPr="00146474">
        <w:rPr>
          <w:rFonts w:ascii="Book Antiqua" w:eastAsia="Book Antiqua" w:hAnsi="Book Antiqua" w:cs="Book Antiqua"/>
          <w:color w:val="000000"/>
        </w:rPr>
        <w:t xml:space="preserve"> and CA 19-9 </w:t>
      </w:r>
      <w:r w:rsidR="002E64DD" w:rsidRPr="00146474">
        <w:rPr>
          <w:rFonts w:ascii="Book Antiqua" w:eastAsia="Book Antiqua" w:hAnsi="Book Antiqua" w:cs="Book Antiqua"/>
          <w:color w:val="000000"/>
        </w:rPr>
        <w:t>l</w:t>
      </w:r>
      <w:r w:rsidRPr="00146474">
        <w:rPr>
          <w:rFonts w:ascii="Book Antiqua" w:eastAsia="Book Antiqua" w:hAnsi="Book Antiqua" w:cs="Book Antiqua"/>
          <w:color w:val="000000"/>
        </w:rPr>
        <w:t>evels</w:t>
      </w:r>
      <w:r w:rsidRPr="00146474">
        <w:rPr>
          <w:rFonts w:ascii="Book Antiqua" w:eastAsia="Book Antiqua" w:hAnsi="Book Antiqua" w:cs="Book Antiqua"/>
          <w:color w:val="000000"/>
          <w:vertAlign w:val="superscript"/>
        </w:rPr>
        <w:t>[98]</w:t>
      </w:r>
      <w:r w:rsidRPr="00146474">
        <w:rPr>
          <w:rFonts w:ascii="Book Antiqua" w:eastAsia="Book Antiqua" w:hAnsi="Book Antiqua" w:cs="Book Antiqua"/>
          <w:color w:val="000000"/>
        </w:rPr>
        <w:t>. In a recent systematic review, data analys</w:t>
      </w:r>
      <w:r w:rsidR="00146474">
        <w:rPr>
          <w:rFonts w:ascii="Book Antiqua" w:eastAsia="Book Antiqua" w:hAnsi="Book Antiqua" w:cs="Book Antiqua"/>
          <w:color w:val="000000"/>
        </w:rPr>
        <w:t>e</w:t>
      </w:r>
      <w:r w:rsidRPr="00436841">
        <w:rPr>
          <w:rFonts w:ascii="Book Antiqua" w:eastAsia="Book Antiqua" w:hAnsi="Book Antiqua" w:cs="Book Antiqua"/>
          <w:color w:val="000000"/>
        </w:rPr>
        <w:t>s of 14 studies showed that patients with cHCC-CCA, HCC</w:t>
      </w:r>
      <w:r w:rsidR="00146474">
        <w:rPr>
          <w:rFonts w:ascii="Book Antiqua" w:eastAsia="Book Antiqua" w:hAnsi="Book Antiqua" w:cs="Book Antiqua"/>
          <w:color w:val="000000"/>
        </w:rPr>
        <w:t>,</w:t>
      </w:r>
      <w:r w:rsidRPr="00146474">
        <w:rPr>
          <w:rFonts w:ascii="Book Antiqua" w:eastAsia="Book Antiqua" w:hAnsi="Book Antiqua" w:cs="Book Antiqua"/>
          <w:color w:val="000000"/>
        </w:rPr>
        <w:t xml:space="preserve"> and CCA undergoing SR ha</w:t>
      </w:r>
      <w:r w:rsidR="00146474">
        <w:rPr>
          <w:rFonts w:ascii="Book Antiqua" w:eastAsia="Book Antiqua" w:hAnsi="Book Antiqua" w:cs="Book Antiqua"/>
          <w:color w:val="000000"/>
        </w:rPr>
        <w:t>d</w:t>
      </w:r>
      <w:r w:rsidRPr="00146474">
        <w:rPr>
          <w:rFonts w:ascii="Book Antiqua" w:eastAsia="Book Antiqua" w:hAnsi="Book Antiqua" w:cs="Book Antiqua"/>
          <w:color w:val="000000"/>
        </w:rPr>
        <w:t xml:space="preserve"> 5-year survival rate</w:t>
      </w:r>
      <w:r w:rsidR="00146474">
        <w:rPr>
          <w:rFonts w:ascii="Book Antiqua" w:eastAsia="Book Antiqua" w:hAnsi="Book Antiqua" w:cs="Book Antiqua"/>
          <w:color w:val="000000"/>
        </w:rPr>
        <w:t>s</w:t>
      </w:r>
      <w:r w:rsidRPr="00146474">
        <w:rPr>
          <w:rFonts w:ascii="Book Antiqua" w:eastAsia="Book Antiqua" w:hAnsi="Book Antiqua" w:cs="Book Antiqua"/>
          <w:color w:val="000000"/>
        </w:rPr>
        <w:t xml:space="preserve"> of 32.7%, 47.5%</w:t>
      </w:r>
      <w:r w:rsidR="00146474">
        <w:rPr>
          <w:rFonts w:ascii="Book Antiqua" w:eastAsia="Book Antiqua" w:hAnsi="Book Antiqua" w:cs="Book Antiqua"/>
          <w:color w:val="000000"/>
        </w:rPr>
        <w:t>,</w:t>
      </w:r>
      <w:r w:rsidRPr="00146474">
        <w:rPr>
          <w:rFonts w:ascii="Book Antiqua" w:eastAsia="Book Antiqua" w:hAnsi="Book Antiqua" w:cs="Book Antiqua"/>
          <w:color w:val="000000"/>
        </w:rPr>
        <w:t xml:space="preserve"> and 30.3% respectively</w:t>
      </w:r>
      <w:r w:rsidRPr="00146474">
        <w:rPr>
          <w:rFonts w:ascii="Book Antiqua" w:eastAsia="Book Antiqua" w:hAnsi="Book Antiqua" w:cs="Book Antiqua"/>
          <w:color w:val="000000"/>
          <w:vertAlign w:val="superscript"/>
        </w:rPr>
        <w:t>[96]</w:t>
      </w:r>
      <w:r w:rsidRPr="00146474">
        <w:rPr>
          <w:rFonts w:ascii="Book Antiqua" w:eastAsia="Book Antiqua" w:hAnsi="Book Antiqua" w:cs="Book Antiqua"/>
          <w:color w:val="000000"/>
        </w:rPr>
        <w:t>. Similar outcomes have been published about liver transplantation (LT): HCC patients achieve considerably greater survival rates than cHC</w:t>
      </w:r>
      <w:r w:rsidRPr="0029097D">
        <w:rPr>
          <w:rFonts w:ascii="Book Antiqua" w:eastAsia="Book Antiqua" w:hAnsi="Book Antiqua" w:cs="Book Antiqua"/>
          <w:color w:val="000000"/>
        </w:rPr>
        <w:t>C-CCA and CCA subgroups</w:t>
      </w:r>
      <w:r w:rsidRPr="0029097D">
        <w:rPr>
          <w:rFonts w:ascii="Book Antiqua" w:eastAsia="Book Antiqua" w:hAnsi="Book Antiqua" w:cs="Book Antiqua"/>
          <w:color w:val="000000"/>
          <w:vertAlign w:val="superscript"/>
        </w:rPr>
        <w:t>[95,103]</w:t>
      </w:r>
      <w:r w:rsidRPr="0029097D">
        <w:rPr>
          <w:rFonts w:ascii="Book Antiqua" w:eastAsia="Book Antiqua" w:hAnsi="Book Antiqua" w:cs="Book Antiqua"/>
          <w:color w:val="000000"/>
        </w:rPr>
        <w:t>. The role of locoregional treatment and systematic chemotherapy in the management of cHCC-CCA remains uncertain. A retrospective analysis of 50 patients with unresectable cHCC-CCA undergoing transarterial chemoembolization (TACE) demonstrated that better response rates could be attained when careful selection is applied (</w:t>
      </w:r>
      <w:r w:rsidRPr="00404769">
        <w:rPr>
          <w:rFonts w:ascii="Book Antiqua" w:eastAsia="Book Antiqua" w:hAnsi="Book Antiqua" w:cs="Book Antiqua"/>
          <w:i/>
          <w:iCs/>
          <w:color w:val="000000"/>
        </w:rPr>
        <w:t>i.e.</w:t>
      </w:r>
      <w:r w:rsidRPr="00436841">
        <w:rPr>
          <w:rFonts w:ascii="Book Antiqua" w:eastAsia="Book Antiqua" w:hAnsi="Book Antiqua" w:cs="Book Antiqua"/>
          <w:color w:val="000000"/>
        </w:rPr>
        <w:t xml:space="preserve"> hypovascular tumors respond poorly due to inability of chemotherapeutic agents to reach target)</w:t>
      </w:r>
      <w:r w:rsidRPr="00436841">
        <w:rPr>
          <w:rFonts w:ascii="Book Antiqua" w:eastAsia="Book Antiqua" w:hAnsi="Book Antiqua" w:cs="Book Antiqua"/>
          <w:color w:val="000000"/>
          <w:vertAlign w:val="superscript"/>
        </w:rPr>
        <w:t>[94]</w:t>
      </w:r>
      <w:r w:rsidRPr="00436841">
        <w:rPr>
          <w:rFonts w:ascii="Book Antiqua" w:eastAsia="Book Antiqua" w:hAnsi="Book Antiqua" w:cs="Book Antiqua"/>
          <w:color w:val="000000"/>
        </w:rPr>
        <w:t xml:space="preserve">. Limited data about chemotherapy </w:t>
      </w:r>
      <w:r w:rsidR="00146474">
        <w:rPr>
          <w:rFonts w:ascii="Book Antiqua" w:eastAsia="Book Antiqua" w:hAnsi="Book Antiqua" w:cs="Book Antiqua"/>
          <w:color w:val="000000"/>
        </w:rPr>
        <w:t xml:space="preserve">are </w:t>
      </w:r>
      <w:r w:rsidRPr="00146474">
        <w:rPr>
          <w:rFonts w:ascii="Book Antiqua" w:eastAsia="Book Antiqua" w:hAnsi="Book Antiqua" w:cs="Book Antiqua"/>
          <w:color w:val="000000"/>
        </w:rPr>
        <w:t>available; however, it is noteworthy to mention the results of two recent multicenter studies using platinum</w:t>
      </w:r>
      <w:r w:rsidR="00DA7CC7" w:rsidRPr="00D866CC">
        <w:rPr>
          <w:rFonts w:ascii="Book Antiqua" w:eastAsia="SimSun" w:hAnsi="Book Antiqua" w:cs="SimSun"/>
          <w:color w:val="000000"/>
        </w:rPr>
        <w:t>-</w:t>
      </w:r>
      <w:r w:rsidRPr="00146474">
        <w:rPr>
          <w:rFonts w:ascii="Book Antiqua" w:eastAsia="Book Antiqua" w:hAnsi="Book Antiqua" w:cs="Book Antiqua"/>
          <w:color w:val="000000"/>
        </w:rPr>
        <w:t>based regimens, which were associated with favorable outcomes compared to sorafenib monotherapy</w:t>
      </w:r>
      <w:r w:rsidRPr="0029097D">
        <w:rPr>
          <w:rFonts w:ascii="Book Antiqua" w:eastAsia="Book Antiqua" w:hAnsi="Book Antiqua" w:cs="Book Antiqua"/>
          <w:color w:val="000000"/>
          <w:vertAlign w:val="superscript"/>
        </w:rPr>
        <w:t>[104]</w:t>
      </w:r>
      <w:r w:rsidRPr="0029097D">
        <w:rPr>
          <w:rFonts w:ascii="Book Antiqua" w:eastAsia="Book Antiqua" w:hAnsi="Book Antiqua" w:cs="Book Antiqua"/>
          <w:color w:val="000000"/>
        </w:rPr>
        <w:t xml:space="preserve"> and could be potentially </w:t>
      </w:r>
      <w:r w:rsidRPr="0029097D">
        <w:rPr>
          <w:rFonts w:ascii="Book Antiqua" w:eastAsia="Book Antiqua" w:hAnsi="Book Antiqua" w:cs="Book Antiqua"/>
          <w:color w:val="000000"/>
        </w:rPr>
        <w:lastRenderedPageBreak/>
        <w:t>effective when used together with gemcitabine as first-line treatment for advanced, unresectable cHCC-CCA</w:t>
      </w:r>
      <w:r w:rsidRPr="0029097D">
        <w:rPr>
          <w:rFonts w:ascii="Book Antiqua" w:eastAsia="Book Antiqua" w:hAnsi="Book Antiqua" w:cs="Book Antiqua"/>
          <w:color w:val="000000"/>
          <w:vertAlign w:val="superscript"/>
        </w:rPr>
        <w:t>[105]</w:t>
      </w:r>
      <w:r w:rsidRPr="0029097D">
        <w:rPr>
          <w:rFonts w:ascii="Book Antiqua" w:eastAsia="Book Antiqua" w:hAnsi="Book Antiqua" w:cs="Book Antiqua"/>
          <w:color w:val="000000"/>
        </w:rPr>
        <w:t xml:space="preserve">. </w:t>
      </w:r>
    </w:p>
    <w:p w14:paraId="5291B37F" w14:textId="77777777" w:rsidR="00A77B3E" w:rsidRPr="00BC0A0E" w:rsidRDefault="0048774A" w:rsidP="00ED58D3">
      <w:pPr>
        <w:spacing w:line="360" w:lineRule="auto"/>
        <w:jc w:val="both"/>
        <w:rPr>
          <w:rFonts w:ascii="Book Antiqua" w:hAnsi="Book Antiqua"/>
          <w:u w:val="single"/>
        </w:rPr>
      </w:pPr>
      <w:r w:rsidRPr="00404769">
        <w:rPr>
          <w:rFonts w:ascii="Book Antiqua" w:eastAsia="Book Antiqua" w:hAnsi="Book Antiqua" w:cs="Book Antiqua"/>
          <w:b/>
          <w:bCs/>
          <w:color w:val="000000"/>
          <w:u w:val="single"/>
        </w:rPr>
        <w:t xml:space="preserve">TREATMENT OF </w:t>
      </w:r>
      <w:r w:rsidR="005216A8" w:rsidRPr="00BC0A0E">
        <w:rPr>
          <w:rFonts w:ascii="Book Antiqua" w:hAnsi="Book Antiqua" w:cs="Book Antiqua"/>
          <w:b/>
          <w:bCs/>
          <w:color w:val="000000"/>
          <w:u w:val="single"/>
          <w:lang w:eastAsia="zh-CN"/>
        </w:rPr>
        <w:t>I</w:t>
      </w:r>
      <w:r w:rsidRPr="00BC0A0E">
        <w:rPr>
          <w:rFonts w:ascii="Book Antiqua" w:eastAsia="Book Antiqua" w:hAnsi="Book Antiqua" w:cs="Book Antiqua"/>
          <w:b/>
          <w:bCs/>
          <w:color w:val="000000"/>
          <w:u w:val="single"/>
        </w:rPr>
        <w:t xml:space="preserve">CCA </w:t>
      </w:r>
    </w:p>
    <w:p w14:paraId="3A9FED2C" w14:textId="77777777" w:rsidR="00A77B3E" w:rsidRPr="00436841" w:rsidRDefault="0048774A" w:rsidP="00ED58D3">
      <w:pPr>
        <w:spacing w:line="360" w:lineRule="auto"/>
        <w:jc w:val="both"/>
        <w:rPr>
          <w:rFonts w:ascii="Book Antiqua" w:hAnsi="Book Antiqua"/>
          <w:i/>
          <w:iCs/>
        </w:rPr>
      </w:pPr>
      <w:r w:rsidRPr="00436841">
        <w:rPr>
          <w:rFonts w:ascii="Book Antiqua" w:eastAsia="Book Antiqua" w:hAnsi="Book Antiqua" w:cs="Book Antiqua"/>
          <w:b/>
          <w:bCs/>
          <w:i/>
          <w:iCs/>
          <w:color w:val="000000"/>
        </w:rPr>
        <w:t>S</w:t>
      </w:r>
      <w:r w:rsidR="006D67C5" w:rsidRPr="00436841">
        <w:rPr>
          <w:rFonts w:ascii="Book Antiqua" w:eastAsia="Book Antiqua" w:hAnsi="Book Antiqua" w:cs="Book Antiqua"/>
          <w:b/>
          <w:bCs/>
          <w:i/>
          <w:iCs/>
          <w:color w:val="000000"/>
        </w:rPr>
        <w:t>R</w:t>
      </w:r>
    </w:p>
    <w:p w14:paraId="245A8940" w14:textId="4725A831"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S</w:t>
      </w:r>
      <w:r w:rsidR="006D67C5" w:rsidRPr="00436841">
        <w:rPr>
          <w:rFonts w:ascii="Book Antiqua" w:eastAsia="Book Antiqua" w:hAnsi="Book Antiqua" w:cs="Book Antiqua"/>
          <w:color w:val="000000"/>
        </w:rPr>
        <w:t>R</w:t>
      </w:r>
      <w:r w:rsidRPr="00436841">
        <w:rPr>
          <w:rFonts w:ascii="Book Antiqua" w:eastAsia="Book Antiqua" w:hAnsi="Book Antiqua" w:cs="Book Antiqua"/>
          <w:color w:val="000000"/>
        </w:rPr>
        <w:t xml:space="preserve"> is the treatment of choice for all iCCA patients, since it is the only established therapy capable of achieving a possible cure</w:t>
      </w:r>
      <w:r w:rsidRPr="00436841">
        <w:rPr>
          <w:rFonts w:ascii="Book Antiqua" w:eastAsia="Book Antiqua" w:hAnsi="Book Antiqua" w:cs="Book Antiqua"/>
          <w:color w:val="000000"/>
          <w:vertAlign w:val="superscript"/>
        </w:rPr>
        <w:t>[68,76]</w:t>
      </w:r>
      <w:r w:rsidRPr="00436841">
        <w:rPr>
          <w:rFonts w:ascii="Book Antiqua" w:eastAsia="Book Antiqua" w:hAnsi="Book Antiqua" w:cs="Book Antiqua"/>
          <w:color w:val="000000"/>
        </w:rPr>
        <w:t>. Conventional surgical aim of a SR should be complete tumor resection with negative microscopic (R0) margins while preserving adequate liver volume to avoid post-operative liver failure</w:t>
      </w:r>
      <w:r w:rsidRPr="00436841">
        <w:rPr>
          <w:rFonts w:ascii="Book Antiqua" w:eastAsia="Book Antiqua" w:hAnsi="Book Antiqua" w:cs="Book Antiqua"/>
          <w:color w:val="000000"/>
          <w:vertAlign w:val="superscript"/>
        </w:rPr>
        <w:t>[73]</w:t>
      </w:r>
      <w:r w:rsidRPr="00436841">
        <w:rPr>
          <w:rFonts w:ascii="Book Antiqua" w:eastAsia="Book Antiqua" w:hAnsi="Book Antiqua" w:cs="Book Antiqua"/>
          <w:color w:val="000000"/>
        </w:rPr>
        <w:t>.</w:t>
      </w:r>
    </w:p>
    <w:p w14:paraId="4050350A" w14:textId="5DD6137B" w:rsidR="006B6B7F" w:rsidRDefault="0048774A" w:rsidP="00D866CC">
      <w:pPr>
        <w:spacing w:line="360" w:lineRule="auto"/>
        <w:ind w:firstLineChars="112" w:firstLine="269"/>
        <w:jc w:val="both"/>
        <w:rPr>
          <w:rFonts w:ascii="Book Antiqua" w:hAnsi="Book Antiqua"/>
        </w:rPr>
      </w:pPr>
      <w:r w:rsidRPr="00436841">
        <w:rPr>
          <w:rFonts w:ascii="Book Antiqua" w:eastAsia="Book Antiqua" w:hAnsi="Book Antiqua" w:cs="Book Antiqua"/>
          <w:color w:val="000000"/>
        </w:rPr>
        <w:t>The eligibility of a patient for curative surgery should always be determined by a multidisciplinary board on a case-by-case basis. Given the poor prognosis of patients who have multifocal disease or clinically evident lymph node metastasis, SR should be precluded for these patients</w:t>
      </w:r>
      <w:r w:rsidRPr="00436841">
        <w:rPr>
          <w:rFonts w:ascii="Book Antiqua" w:eastAsia="Book Antiqua" w:hAnsi="Book Antiqua" w:cs="Book Antiqua"/>
          <w:color w:val="000000"/>
          <w:vertAlign w:val="superscript"/>
        </w:rPr>
        <w:t>[106,107]</w:t>
      </w:r>
      <w:r w:rsidRPr="00436841">
        <w:rPr>
          <w:rFonts w:ascii="Book Antiqua" w:eastAsia="Book Antiqua" w:hAnsi="Book Antiqua" w:cs="Book Antiqua"/>
          <w:color w:val="000000"/>
        </w:rPr>
        <w:t xml:space="preserve">. </w:t>
      </w:r>
      <w:r w:rsidR="00FF02A4">
        <w:rPr>
          <w:rFonts w:ascii="Book Antiqua" w:eastAsia="Book Antiqua" w:hAnsi="Book Antiqua" w:cs="Book Antiqua"/>
          <w:color w:val="000000"/>
        </w:rPr>
        <w:t>Regarding</w:t>
      </w:r>
      <w:r w:rsidRPr="00FF02A4">
        <w:rPr>
          <w:rFonts w:ascii="Book Antiqua" w:eastAsia="Book Antiqua" w:hAnsi="Book Antiqua" w:cs="Book Antiqua"/>
          <w:color w:val="000000"/>
        </w:rPr>
        <w:t xml:space="preserve"> macroscopic vascular invasion, although it should generally </w:t>
      </w:r>
      <w:r w:rsidR="00FF02A4">
        <w:rPr>
          <w:rFonts w:ascii="Book Antiqua" w:eastAsia="Book Antiqua" w:hAnsi="Book Antiqua" w:cs="Book Antiqua"/>
          <w:color w:val="000000"/>
        </w:rPr>
        <w:t xml:space="preserve">be </w:t>
      </w:r>
      <w:r w:rsidRPr="00FF02A4">
        <w:rPr>
          <w:rFonts w:ascii="Book Antiqua" w:eastAsia="Book Antiqua" w:hAnsi="Book Antiqua" w:cs="Book Antiqua"/>
          <w:color w:val="000000"/>
        </w:rPr>
        <w:t xml:space="preserve">considered a contraindication, there </w:t>
      </w:r>
      <w:r w:rsidR="00FF02A4">
        <w:rPr>
          <w:rFonts w:ascii="Book Antiqua" w:eastAsia="Book Antiqua" w:hAnsi="Book Antiqua" w:cs="Book Antiqua"/>
          <w:color w:val="000000"/>
        </w:rPr>
        <w:t>are</w:t>
      </w:r>
      <w:r w:rsidR="00FF02A4" w:rsidRPr="00FF02A4">
        <w:rPr>
          <w:rFonts w:ascii="Book Antiqua" w:eastAsia="Book Antiqua" w:hAnsi="Book Antiqua" w:cs="Book Antiqua"/>
          <w:color w:val="000000"/>
        </w:rPr>
        <w:t xml:space="preserve"> </w:t>
      </w:r>
      <w:r w:rsidRPr="00FF02A4">
        <w:rPr>
          <w:rFonts w:ascii="Book Antiqua" w:eastAsia="Book Antiqua" w:hAnsi="Book Antiqua" w:cs="Book Antiqua"/>
          <w:color w:val="000000"/>
        </w:rPr>
        <w:t xml:space="preserve">some data from specialized centers supporting that major vascular resection </w:t>
      </w:r>
      <w:r w:rsidR="00FF02A4">
        <w:rPr>
          <w:rFonts w:ascii="Book Antiqua" w:eastAsia="Book Antiqua" w:hAnsi="Book Antiqua" w:cs="Book Antiqua"/>
          <w:color w:val="000000"/>
        </w:rPr>
        <w:t>i</w:t>
      </w:r>
      <w:r w:rsidR="00FF02A4" w:rsidRPr="00FF02A4">
        <w:rPr>
          <w:rFonts w:ascii="Book Antiqua" w:eastAsia="Book Antiqua" w:hAnsi="Book Antiqua" w:cs="Book Antiqua"/>
          <w:color w:val="000000"/>
        </w:rPr>
        <w:t xml:space="preserve">s </w:t>
      </w:r>
      <w:r w:rsidRPr="00FF02A4">
        <w:rPr>
          <w:rFonts w:ascii="Book Antiqua" w:eastAsia="Book Antiqua" w:hAnsi="Book Antiqua" w:cs="Book Antiqua"/>
          <w:color w:val="000000"/>
        </w:rPr>
        <w:t>not associated with worse perioperative or oncologic outcomes</w:t>
      </w:r>
      <w:r w:rsidRPr="00FF02A4">
        <w:rPr>
          <w:rFonts w:ascii="Book Antiqua" w:eastAsia="Book Antiqua" w:hAnsi="Book Antiqua" w:cs="Book Antiqua"/>
          <w:color w:val="000000"/>
          <w:vertAlign w:val="superscript"/>
        </w:rPr>
        <w:t>[108]</w:t>
      </w:r>
      <w:r w:rsidRPr="00FF02A4">
        <w:rPr>
          <w:rFonts w:ascii="Book Antiqua" w:eastAsia="Book Antiqua" w:hAnsi="Book Antiqua" w:cs="Book Antiqua"/>
          <w:color w:val="000000"/>
        </w:rPr>
        <w:t>. Obviously, as with HCC</w:t>
      </w:r>
      <w:r w:rsidRPr="00FF02A4">
        <w:rPr>
          <w:rFonts w:ascii="Book Antiqua" w:eastAsia="Book Antiqua" w:hAnsi="Book Antiqua" w:cs="Book Antiqua"/>
          <w:color w:val="000000"/>
          <w:vertAlign w:val="superscript"/>
        </w:rPr>
        <w:t>[109]</w:t>
      </w:r>
      <w:r w:rsidRPr="0029097D">
        <w:rPr>
          <w:rFonts w:ascii="Book Antiqua" w:eastAsia="Book Antiqua" w:hAnsi="Book Antiqua" w:cs="Book Antiqua"/>
          <w:color w:val="000000"/>
        </w:rPr>
        <w:t xml:space="preserve">, liver function should be assessed in patients with underlying liver cirrhosis. Restrictions for resection are recommended in cases where liver function is significantly impaired and/or the patient’s </w:t>
      </w:r>
      <w:r w:rsidR="0029097D">
        <w:rPr>
          <w:rFonts w:ascii="Book Antiqua" w:eastAsia="Book Antiqua" w:hAnsi="Book Antiqua" w:cs="Book Antiqua"/>
          <w:color w:val="000000"/>
        </w:rPr>
        <w:t>PS</w:t>
      </w:r>
      <w:r w:rsidRPr="0029097D">
        <w:rPr>
          <w:rFonts w:ascii="Book Antiqua" w:eastAsia="Book Antiqua" w:hAnsi="Book Antiqua" w:cs="Book Antiqua"/>
          <w:color w:val="000000"/>
        </w:rPr>
        <w:t xml:space="preserve"> is poor. </w:t>
      </w:r>
    </w:p>
    <w:p w14:paraId="600FA3D6" w14:textId="521868CA" w:rsidR="006B6B7F" w:rsidRDefault="0048774A" w:rsidP="00D866CC">
      <w:pPr>
        <w:spacing w:line="360" w:lineRule="auto"/>
        <w:ind w:firstLineChars="112" w:firstLine="269"/>
        <w:jc w:val="both"/>
        <w:rPr>
          <w:rFonts w:ascii="Book Antiqua" w:hAnsi="Book Antiqua"/>
        </w:rPr>
      </w:pPr>
      <w:r w:rsidRPr="0029097D">
        <w:rPr>
          <w:rFonts w:ascii="Book Antiqua" w:eastAsia="Book Antiqua" w:hAnsi="Book Antiqua" w:cs="Book Antiqua"/>
          <w:color w:val="000000"/>
        </w:rPr>
        <w:t xml:space="preserve">As </w:t>
      </w:r>
      <w:r w:rsidR="00FF02A4">
        <w:rPr>
          <w:rFonts w:ascii="Book Antiqua" w:eastAsia="Book Antiqua" w:hAnsi="Book Antiqua" w:cs="Book Antiqua"/>
          <w:color w:val="000000"/>
        </w:rPr>
        <w:t>afore</w:t>
      </w:r>
      <w:r w:rsidRPr="00FF02A4">
        <w:rPr>
          <w:rFonts w:ascii="Book Antiqua" w:eastAsia="Book Antiqua" w:hAnsi="Book Antiqua" w:cs="Book Antiqua"/>
          <w:color w:val="000000"/>
        </w:rPr>
        <w:t>mentioned, patients with HBV</w:t>
      </w:r>
      <w:r w:rsidR="00FF02A4">
        <w:rPr>
          <w:rFonts w:ascii="Book Antiqua" w:eastAsia="Book Antiqua" w:hAnsi="Book Antiqua" w:cs="Book Antiqua"/>
          <w:color w:val="000000"/>
        </w:rPr>
        <w:t>-</w:t>
      </w:r>
      <w:r w:rsidRPr="00FF02A4">
        <w:rPr>
          <w:rFonts w:ascii="Book Antiqua" w:eastAsia="Book Antiqua" w:hAnsi="Book Antiqua" w:cs="Book Antiqua"/>
          <w:color w:val="000000"/>
        </w:rPr>
        <w:t>associated iCCA are often diagnosed at a relatively early stage. This is probably the reason why the proportion of iCCA patients who undergo curative resection is significantly higher for HBV-positive than HBV-negative patients</w:t>
      </w:r>
      <w:r w:rsidRPr="00FF02A4">
        <w:rPr>
          <w:rFonts w:ascii="Book Antiqua" w:eastAsia="Book Antiqua" w:hAnsi="Book Antiqua" w:cs="Book Antiqua"/>
          <w:color w:val="000000"/>
          <w:vertAlign w:val="superscript"/>
        </w:rPr>
        <w:t>[110]</w:t>
      </w:r>
      <w:r w:rsidRPr="00FF02A4">
        <w:rPr>
          <w:rFonts w:ascii="Book Antiqua" w:eastAsia="Book Antiqua" w:hAnsi="Book Antiqua" w:cs="Book Antiqua"/>
          <w:color w:val="000000"/>
        </w:rPr>
        <w:t>. HBV infection has been identified by many studies as an independent factor associated with favorable outcomes, suggesting that better prognosis of HBV associated iCCA may be perhaps explained by less aggressive biological n</w:t>
      </w:r>
      <w:r w:rsidRPr="00436841">
        <w:rPr>
          <w:rFonts w:ascii="Book Antiqua" w:eastAsia="Book Antiqua" w:hAnsi="Book Antiqua" w:cs="Book Antiqua"/>
          <w:color w:val="000000"/>
        </w:rPr>
        <w:t>ature</w:t>
      </w:r>
      <w:r w:rsidRPr="00436841">
        <w:rPr>
          <w:rFonts w:ascii="Book Antiqua" w:eastAsia="Book Antiqua" w:hAnsi="Book Antiqua" w:cs="Book Antiqua"/>
          <w:color w:val="000000"/>
          <w:vertAlign w:val="superscript"/>
        </w:rPr>
        <w:t>[111</w:t>
      </w:r>
      <w:r w:rsidR="000354F0" w:rsidRPr="00436841">
        <w:rPr>
          <w:rFonts w:ascii="Book Antiqua" w:eastAsia="Book Antiqua" w:hAnsi="Book Antiqua" w:cs="Book Antiqua"/>
          <w:color w:val="000000"/>
          <w:vertAlign w:val="superscript"/>
        </w:rPr>
        <w:t>-</w:t>
      </w:r>
      <w:r w:rsidRPr="00436841">
        <w:rPr>
          <w:rFonts w:ascii="Book Antiqua" w:eastAsia="Book Antiqua" w:hAnsi="Book Antiqua" w:cs="Book Antiqua"/>
          <w:color w:val="000000"/>
          <w:vertAlign w:val="superscript"/>
        </w:rPr>
        <w:t>115]</w:t>
      </w:r>
      <w:r w:rsidRPr="00436841">
        <w:rPr>
          <w:rFonts w:ascii="Book Antiqua" w:eastAsia="Book Antiqua" w:hAnsi="Book Antiqua" w:cs="Book Antiqua"/>
          <w:color w:val="000000"/>
        </w:rPr>
        <w:t>. In fact, a meta-analysis showed that lymph node metastasis occurred less commonly in HBV-associated iCCA than iCCA of other etiology (OR</w:t>
      </w:r>
      <w:r w:rsidR="002E64DD" w:rsidRP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t>=</w:t>
      </w:r>
      <w:r w:rsidR="002E64DD" w:rsidRP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t>0.39)</w:t>
      </w:r>
      <w:r w:rsidRPr="00436841">
        <w:rPr>
          <w:rFonts w:ascii="Book Antiqua" w:eastAsia="Book Antiqua" w:hAnsi="Book Antiqua" w:cs="Book Antiqua"/>
          <w:color w:val="000000"/>
          <w:vertAlign w:val="superscript"/>
        </w:rPr>
        <w:t>[48]</w:t>
      </w:r>
      <w:r w:rsidRPr="00436841">
        <w:rPr>
          <w:rFonts w:ascii="Book Antiqua" w:eastAsia="Book Antiqua" w:hAnsi="Book Antiqua" w:cs="Book Antiqua"/>
          <w:color w:val="000000"/>
        </w:rPr>
        <w:t xml:space="preserve">. In a large single-center retrospective study from China </w:t>
      </w:r>
      <w:r w:rsidR="00FF02A4">
        <w:rPr>
          <w:rFonts w:ascii="Book Antiqua" w:eastAsia="Book Antiqua" w:hAnsi="Book Antiqua" w:cs="Book Antiqua"/>
          <w:color w:val="000000"/>
        </w:rPr>
        <w:t>that</w:t>
      </w:r>
      <w:r w:rsidR="00FF02A4" w:rsidRPr="00FF02A4">
        <w:rPr>
          <w:rFonts w:ascii="Book Antiqua" w:eastAsia="Book Antiqua" w:hAnsi="Book Antiqua" w:cs="Book Antiqua"/>
          <w:color w:val="000000"/>
        </w:rPr>
        <w:t xml:space="preserve"> </w:t>
      </w:r>
      <w:r w:rsidRPr="00FF02A4">
        <w:rPr>
          <w:rFonts w:ascii="Book Antiqua" w:eastAsia="Book Antiqua" w:hAnsi="Book Antiqua" w:cs="Book Antiqua"/>
          <w:color w:val="000000"/>
        </w:rPr>
        <w:t>included 1333 iCCA patients (608 HBsAg-positive and 725 HBsAg-negative) the median post-operative survival was 19 mo for HBsAg(+) compared to 12 mo for HBsAg(-) patients (</w:t>
      </w:r>
      <w:r w:rsidRPr="00436841">
        <w:rPr>
          <w:rFonts w:ascii="Book Antiqua" w:eastAsia="Book Antiqua" w:hAnsi="Book Antiqua" w:cs="Book Antiqua"/>
          <w:i/>
          <w:iCs/>
          <w:color w:val="000000"/>
        </w:rPr>
        <w:t>P</w:t>
      </w:r>
      <w:r w:rsidR="002E64DD" w:rsidRP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t>&lt;</w:t>
      </w:r>
      <w:r w:rsidR="002E64DD" w:rsidRP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t>0.001)</w:t>
      </w:r>
      <w:r w:rsidRPr="00436841">
        <w:rPr>
          <w:rFonts w:ascii="Book Antiqua" w:eastAsia="Book Antiqua" w:hAnsi="Book Antiqua" w:cs="Book Antiqua"/>
          <w:color w:val="000000"/>
          <w:vertAlign w:val="superscript"/>
        </w:rPr>
        <w:t>[116]</w:t>
      </w:r>
      <w:r w:rsidRPr="00436841">
        <w:rPr>
          <w:rFonts w:ascii="Book Antiqua" w:eastAsia="Book Antiqua" w:hAnsi="Book Antiqua" w:cs="Book Antiqua"/>
          <w:color w:val="000000"/>
        </w:rPr>
        <w:t xml:space="preserve">. Factors that have been associated with better outcomes for patients with </w:t>
      </w:r>
      <w:r w:rsidRPr="00436841">
        <w:rPr>
          <w:rFonts w:ascii="Book Antiqua" w:eastAsia="Book Antiqua" w:hAnsi="Book Antiqua" w:cs="Book Antiqua"/>
          <w:color w:val="000000"/>
        </w:rPr>
        <w:lastRenderedPageBreak/>
        <w:t>HBV</w:t>
      </w:r>
      <w:r w:rsidR="00BC0A0E">
        <w:rPr>
          <w:rFonts w:ascii="Book Antiqua" w:eastAsia="Book Antiqua" w:hAnsi="Book Antiqua" w:cs="Book Antiqua"/>
          <w:color w:val="000000"/>
        </w:rPr>
        <w:t>-</w:t>
      </w:r>
      <w:r w:rsidRPr="00436841">
        <w:rPr>
          <w:rFonts w:ascii="Book Antiqua" w:eastAsia="Book Antiqua" w:hAnsi="Book Antiqua" w:cs="Book Antiqua"/>
          <w:color w:val="000000"/>
        </w:rPr>
        <w:t>associated iCCA include tumor diameter &lt;</w:t>
      </w:r>
      <w:r w:rsidR="002E64DD" w:rsidRP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t>5</w:t>
      </w:r>
      <w:r w:rsidR="002E64DD" w:rsidRP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t>cm, better tumor differentiation, lower serum levels of aFP or CA 19-9 and absence of vascular invasion, lymph node metastasis, extrahepatic metastasis or TP53 mutation</w:t>
      </w:r>
      <w:r w:rsidRPr="00436841">
        <w:rPr>
          <w:rFonts w:ascii="Book Antiqua" w:eastAsia="Book Antiqua" w:hAnsi="Book Antiqua" w:cs="Book Antiqua"/>
          <w:color w:val="000000"/>
          <w:vertAlign w:val="superscript"/>
        </w:rPr>
        <w:t>[113,117,118]</w:t>
      </w:r>
      <w:r w:rsidRPr="00436841">
        <w:rPr>
          <w:rFonts w:ascii="Book Antiqua" w:eastAsia="Book Antiqua" w:hAnsi="Book Antiqua" w:cs="Book Antiqua"/>
          <w:color w:val="000000"/>
        </w:rPr>
        <w:t>.</w:t>
      </w:r>
    </w:p>
    <w:p w14:paraId="530D3576" w14:textId="77777777" w:rsidR="00A77B3E" w:rsidRPr="00436841" w:rsidRDefault="00A77B3E" w:rsidP="00ED58D3">
      <w:pPr>
        <w:spacing w:line="360" w:lineRule="auto"/>
        <w:jc w:val="both"/>
        <w:rPr>
          <w:rFonts w:ascii="Book Antiqua" w:hAnsi="Book Antiqua"/>
        </w:rPr>
      </w:pPr>
    </w:p>
    <w:p w14:paraId="3CC8DF36" w14:textId="77777777" w:rsidR="00A77B3E" w:rsidRPr="00436841" w:rsidRDefault="0048774A" w:rsidP="00ED58D3">
      <w:pPr>
        <w:spacing w:line="360" w:lineRule="auto"/>
        <w:jc w:val="both"/>
        <w:rPr>
          <w:rFonts w:ascii="Book Antiqua" w:hAnsi="Book Antiqua"/>
          <w:i/>
          <w:iCs/>
        </w:rPr>
      </w:pPr>
      <w:r w:rsidRPr="00436841">
        <w:rPr>
          <w:rFonts w:ascii="Book Antiqua" w:eastAsia="Book Antiqua" w:hAnsi="Book Antiqua" w:cs="Book Antiqua"/>
          <w:b/>
          <w:bCs/>
          <w:i/>
          <w:iCs/>
          <w:color w:val="000000"/>
        </w:rPr>
        <w:t>Adjuvant chemotherapy</w:t>
      </w:r>
    </w:p>
    <w:p w14:paraId="0127F150" w14:textId="7A224238" w:rsidR="00A77B3E" w:rsidRPr="0029097D" w:rsidRDefault="0029097D" w:rsidP="00ED58D3">
      <w:pPr>
        <w:spacing w:line="360" w:lineRule="auto"/>
        <w:jc w:val="both"/>
        <w:rPr>
          <w:rFonts w:ascii="Book Antiqua" w:hAnsi="Book Antiqua"/>
        </w:rPr>
      </w:pPr>
      <w:r>
        <w:rPr>
          <w:rFonts w:ascii="Book Antiqua" w:eastAsia="Book Antiqua" w:hAnsi="Book Antiqua" w:cs="Book Antiqua"/>
          <w:color w:val="000000"/>
        </w:rPr>
        <w:t>U</w:t>
      </w:r>
      <w:r w:rsidR="0048774A" w:rsidRPr="0029097D">
        <w:rPr>
          <w:rFonts w:ascii="Book Antiqua" w:eastAsia="Book Antiqua" w:hAnsi="Book Antiqua" w:cs="Book Antiqua"/>
          <w:color w:val="000000"/>
        </w:rPr>
        <w:t>ntil a few years ago, the role of adjuvant chemotherapy in the setting of iCCA was not well defined because of a complete lack of data from randomized trials. However, a meta-analysis of retrospective cohorts indicated that administration of chemotherapy in the adjuv</w:t>
      </w:r>
      <w:r w:rsidR="0048774A" w:rsidRPr="00436841">
        <w:rPr>
          <w:rFonts w:ascii="Book Antiqua" w:eastAsia="Book Antiqua" w:hAnsi="Book Antiqua" w:cs="Book Antiqua"/>
          <w:color w:val="000000"/>
        </w:rPr>
        <w:t>ant setting provides a survival benefit to patients with iCCA</w:t>
      </w:r>
      <w:r w:rsidR="0048774A" w:rsidRPr="00436841">
        <w:rPr>
          <w:rFonts w:ascii="Book Antiqua" w:eastAsia="Book Antiqua" w:hAnsi="Book Antiqua" w:cs="Book Antiqua"/>
          <w:color w:val="000000"/>
          <w:vertAlign w:val="superscript"/>
        </w:rPr>
        <w:t>[119]</w:t>
      </w:r>
      <w:r w:rsidR="0048774A" w:rsidRPr="00436841">
        <w:rPr>
          <w:rFonts w:ascii="Book Antiqua" w:eastAsia="Book Antiqua" w:hAnsi="Book Antiqua" w:cs="Book Antiqua"/>
          <w:color w:val="000000"/>
        </w:rPr>
        <w:t>. This contrasted with the randomized PRODIGE 12</w:t>
      </w:r>
      <w:r w:rsidR="0048774A" w:rsidRPr="00436841">
        <w:rPr>
          <w:rFonts w:ascii="Book Antiqua" w:eastAsia="Book Antiqua" w:hAnsi="Book Antiqua" w:cs="Book Antiqua"/>
          <w:color w:val="000000"/>
          <w:vertAlign w:val="superscript"/>
        </w:rPr>
        <w:t>[120]</w:t>
      </w:r>
      <w:r w:rsidR="0048774A" w:rsidRPr="00436841">
        <w:rPr>
          <w:rFonts w:ascii="Book Antiqua" w:eastAsia="Book Antiqua" w:hAnsi="Book Antiqua" w:cs="Book Antiqua"/>
          <w:color w:val="000000"/>
        </w:rPr>
        <w:t xml:space="preserve"> trial </w:t>
      </w:r>
      <w:r>
        <w:rPr>
          <w:rFonts w:ascii="Book Antiqua" w:eastAsia="Book Antiqua" w:hAnsi="Book Antiqua" w:cs="Book Antiqua"/>
          <w:color w:val="000000"/>
        </w:rPr>
        <w:t>(</w:t>
      </w:r>
      <w:r w:rsidR="0048774A" w:rsidRPr="00436841">
        <w:rPr>
          <w:rFonts w:ascii="Book Antiqua" w:eastAsia="Book Antiqua" w:hAnsi="Book Antiqua" w:cs="Book Antiqua"/>
          <w:color w:val="000000"/>
        </w:rPr>
        <w:t xml:space="preserve">gemcitabine and oxaliplatin </w:t>
      </w:r>
      <w:r>
        <w:rPr>
          <w:rFonts w:ascii="Book Antiqua" w:eastAsia="Book Antiqua" w:hAnsi="Book Antiqua" w:cs="Book Antiqua"/>
          <w:color w:val="000000"/>
        </w:rPr>
        <w:t>[</w:t>
      </w:r>
      <w:r w:rsidR="0048774A" w:rsidRPr="00436841">
        <w:rPr>
          <w:rFonts w:ascii="Book Antiqua" w:eastAsia="Book Antiqua" w:hAnsi="Book Antiqua" w:cs="Book Antiqua"/>
          <w:color w:val="000000"/>
        </w:rPr>
        <w:t>GEMOX</w:t>
      </w:r>
      <w:r>
        <w:rPr>
          <w:rFonts w:ascii="Book Antiqua" w:eastAsia="Book Antiqua" w:hAnsi="Book Antiqua" w:cs="Book Antiqua"/>
          <w:color w:val="000000"/>
        </w:rPr>
        <w:t>]</w:t>
      </w:r>
      <w:r w:rsidR="0048774A" w:rsidRPr="00436841">
        <w:rPr>
          <w:rFonts w:ascii="Book Antiqua" w:eastAsia="Book Antiqua" w:hAnsi="Book Antiqua" w:cs="Book Antiqua"/>
          <w:color w:val="000000"/>
        </w:rPr>
        <w:t xml:space="preserve"> </w:t>
      </w:r>
      <w:r w:rsidR="0048774A" w:rsidRPr="00436841">
        <w:rPr>
          <w:rFonts w:ascii="Book Antiqua" w:eastAsia="Book Antiqua" w:hAnsi="Book Antiqua" w:cs="Book Antiqua"/>
          <w:i/>
          <w:iCs/>
          <w:color w:val="000000"/>
        </w:rPr>
        <w:t>vs</w:t>
      </w:r>
      <w:r w:rsidR="0048774A" w:rsidRPr="00436841">
        <w:rPr>
          <w:rFonts w:ascii="Book Antiqua" w:eastAsia="Book Antiqua" w:hAnsi="Book Antiqua" w:cs="Book Antiqua"/>
          <w:color w:val="000000"/>
        </w:rPr>
        <w:t xml:space="preserve"> surveillance for patients with resected biliary tract cancer</w:t>
      </w:r>
      <w:r>
        <w:rPr>
          <w:rFonts w:ascii="Book Antiqua" w:eastAsia="Book Antiqua" w:hAnsi="Book Antiqua" w:cs="Book Antiqua"/>
          <w:color w:val="000000"/>
        </w:rPr>
        <w:t>)</w:t>
      </w:r>
      <w:r w:rsidR="0048774A" w:rsidRPr="00436841">
        <w:rPr>
          <w:rFonts w:ascii="Book Antiqua" w:eastAsia="Book Antiqua" w:hAnsi="Book Antiqua" w:cs="Book Antiqua"/>
          <w:color w:val="000000"/>
        </w:rPr>
        <w:t xml:space="preserve"> which failed to produce statistically significant results. On the other hand, the BILCAP trial (capecitabine </w:t>
      </w:r>
      <w:r w:rsidR="0048774A" w:rsidRPr="00436841">
        <w:rPr>
          <w:rFonts w:ascii="Book Antiqua" w:eastAsia="Book Antiqua" w:hAnsi="Book Antiqua" w:cs="Book Antiqua"/>
          <w:i/>
          <w:iCs/>
          <w:color w:val="000000"/>
        </w:rPr>
        <w:t>vs</w:t>
      </w:r>
      <w:r w:rsidR="0048774A" w:rsidRPr="00436841">
        <w:rPr>
          <w:rFonts w:ascii="Book Antiqua" w:eastAsia="Book Antiqua" w:hAnsi="Book Antiqua" w:cs="Book Antiqua"/>
          <w:color w:val="000000"/>
        </w:rPr>
        <w:t xml:space="preserve"> observation for patients with resected biliary tract cancer)</w:t>
      </w:r>
      <w:r w:rsidR="0048774A" w:rsidRPr="00436841">
        <w:rPr>
          <w:rFonts w:ascii="Book Antiqua" w:eastAsia="Book Antiqua" w:hAnsi="Book Antiqua" w:cs="Book Antiqua"/>
          <w:color w:val="000000"/>
          <w:vertAlign w:val="superscript"/>
        </w:rPr>
        <w:t>[121]</w:t>
      </w:r>
      <w:r w:rsidR="0048774A" w:rsidRPr="00436841">
        <w:rPr>
          <w:rFonts w:ascii="Book Antiqua" w:eastAsia="Book Antiqua" w:hAnsi="Book Antiqua" w:cs="Book Antiqua"/>
          <w:color w:val="000000"/>
        </w:rPr>
        <w:t>, showed a benefit in terms of recurrence-free survival in the intention-to-treat analysis (HR</w:t>
      </w:r>
      <w:r w:rsidR="002E64DD" w:rsidRPr="00436841">
        <w:rPr>
          <w:rFonts w:ascii="Book Antiqua" w:eastAsia="Book Antiqua" w:hAnsi="Book Antiqua" w:cs="Book Antiqua"/>
          <w:color w:val="000000"/>
        </w:rPr>
        <w:t xml:space="preserve"> </w:t>
      </w:r>
      <w:r w:rsidR="0048774A" w:rsidRPr="00436841">
        <w:rPr>
          <w:rFonts w:ascii="Book Antiqua" w:eastAsia="Book Antiqua" w:hAnsi="Book Antiqua" w:cs="Book Antiqua"/>
          <w:color w:val="000000"/>
        </w:rPr>
        <w:t>=</w:t>
      </w:r>
      <w:r w:rsidR="002E64DD" w:rsidRPr="00436841">
        <w:rPr>
          <w:rFonts w:ascii="Book Antiqua" w:eastAsia="Book Antiqua" w:hAnsi="Book Antiqua" w:cs="Book Antiqua"/>
          <w:color w:val="000000"/>
        </w:rPr>
        <w:t xml:space="preserve"> </w:t>
      </w:r>
      <w:r w:rsidR="0048774A" w:rsidRPr="00436841">
        <w:rPr>
          <w:rFonts w:ascii="Book Antiqua" w:eastAsia="Book Antiqua" w:hAnsi="Book Antiqua" w:cs="Book Antiqua"/>
          <w:color w:val="000000"/>
        </w:rPr>
        <w:t xml:space="preserve">0.75, </w:t>
      </w:r>
      <w:r w:rsidR="0048774A" w:rsidRPr="00436841">
        <w:rPr>
          <w:rFonts w:ascii="Book Antiqua" w:eastAsia="Book Antiqua" w:hAnsi="Book Antiqua" w:cs="Book Antiqua"/>
          <w:i/>
          <w:iCs/>
          <w:color w:val="000000"/>
        </w:rPr>
        <w:t>P</w:t>
      </w:r>
      <w:r w:rsidR="002E64DD" w:rsidRPr="00436841">
        <w:rPr>
          <w:rFonts w:ascii="Book Antiqua" w:eastAsia="Book Antiqua" w:hAnsi="Book Antiqua" w:cs="Book Antiqua"/>
          <w:color w:val="000000"/>
        </w:rPr>
        <w:t xml:space="preserve"> </w:t>
      </w:r>
      <w:r w:rsidR="0048774A" w:rsidRPr="00436841">
        <w:rPr>
          <w:rFonts w:ascii="Book Antiqua" w:eastAsia="Book Antiqua" w:hAnsi="Book Antiqua" w:cs="Book Antiqua"/>
          <w:color w:val="000000"/>
        </w:rPr>
        <w:t>&lt;</w:t>
      </w:r>
      <w:r w:rsidR="002E64DD" w:rsidRPr="00436841">
        <w:rPr>
          <w:rFonts w:ascii="Book Antiqua" w:eastAsia="Book Antiqua" w:hAnsi="Book Antiqua" w:cs="Book Antiqua"/>
          <w:color w:val="000000"/>
        </w:rPr>
        <w:t xml:space="preserve"> </w:t>
      </w:r>
      <w:r w:rsidR="0048774A" w:rsidRPr="00436841">
        <w:rPr>
          <w:rFonts w:ascii="Book Antiqua" w:eastAsia="Book Antiqua" w:hAnsi="Book Antiqua" w:cs="Book Antiqua"/>
          <w:color w:val="000000"/>
        </w:rPr>
        <w:t>0.05) and also in terms of OS in the pre-planned sensitivity analysis (HR</w:t>
      </w:r>
      <w:r w:rsidR="002E64DD" w:rsidRPr="00436841">
        <w:rPr>
          <w:rFonts w:ascii="Book Antiqua" w:eastAsia="Book Antiqua" w:hAnsi="Book Antiqua" w:cs="Book Antiqua"/>
          <w:color w:val="000000"/>
        </w:rPr>
        <w:t xml:space="preserve"> </w:t>
      </w:r>
      <w:r w:rsidR="0048774A" w:rsidRPr="00436841">
        <w:rPr>
          <w:rFonts w:ascii="Book Antiqua" w:eastAsia="Book Antiqua" w:hAnsi="Book Antiqua" w:cs="Book Antiqua"/>
          <w:color w:val="000000"/>
        </w:rPr>
        <w:t>=</w:t>
      </w:r>
      <w:r w:rsidR="002E64DD" w:rsidRPr="00436841">
        <w:rPr>
          <w:rFonts w:ascii="Book Antiqua" w:eastAsia="Book Antiqua" w:hAnsi="Book Antiqua" w:cs="Book Antiqua"/>
          <w:color w:val="000000"/>
        </w:rPr>
        <w:t xml:space="preserve"> </w:t>
      </w:r>
      <w:r w:rsidR="0048774A" w:rsidRPr="00436841">
        <w:rPr>
          <w:rFonts w:ascii="Book Antiqua" w:eastAsia="Book Antiqua" w:hAnsi="Book Antiqua" w:cs="Book Antiqua"/>
          <w:color w:val="000000"/>
        </w:rPr>
        <w:t xml:space="preserve">0.75, </w:t>
      </w:r>
      <w:r w:rsidR="0048774A" w:rsidRPr="00436841">
        <w:rPr>
          <w:rFonts w:ascii="Book Antiqua" w:eastAsia="Book Antiqua" w:hAnsi="Book Antiqua" w:cs="Book Antiqua"/>
          <w:i/>
          <w:iCs/>
          <w:color w:val="000000"/>
        </w:rPr>
        <w:t>P</w:t>
      </w:r>
      <w:r w:rsidR="002E64DD" w:rsidRPr="00436841">
        <w:rPr>
          <w:rFonts w:ascii="Book Antiqua" w:eastAsia="Book Antiqua" w:hAnsi="Book Antiqua" w:cs="Book Antiqua"/>
          <w:color w:val="000000"/>
        </w:rPr>
        <w:t xml:space="preserve"> </w:t>
      </w:r>
      <w:r w:rsidR="0048774A" w:rsidRPr="00436841">
        <w:rPr>
          <w:rFonts w:ascii="Book Antiqua" w:eastAsia="Book Antiqua" w:hAnsi="Book Antiqua" w:cs="Book Antiqua"/>
          <w:color w:val="000000"/>
        </w:rPr>
        <w:t>&lt;</w:t>
      </w:r>
      <w:r w:rsidR="002E64DD" w:rsidRPr="00436841">
        <w:rPr>
          <w:rFonts w:ascii="Book Antiqua" w:eastAsia="Book Antiqua" w:hAnsi="Book Antiqua" w:cs="Book Antiqua"/>
          <w:color w:val="000000"/>
        </w:rPr>
        <w:t xml:space="preserve"> </w:t>
      </w:r>
      <w:r w:rsidR="0048774A" w:rsidRPr="00436841">
        <w:rPr>
          <w:rFonts w:ascii="Book Antiqua" w:eastAsia="Book Antiqua" w:hAnsi="Book Antiqua" w:cs="Book Antiqua"/>
          <w:color w:val="000000"/>
        </w:rPr>
        <w:t>0.05), both in the first 24 mo from randomization. However, no statistically significant benefit was observed in the intention-to-treat OS analysis of the whole population or the iCCA subgroup. Based on these partial benefits, the American Society of Clinical Oncology published a new guideline recommending that all patients undergoing SR of any biliary tract tumors should be offered adjuvant capecitabine chemotherapy for 6 mo</w:t>
      </w:r>
      <w:r w:rsidR="0048774A" w:rsidRPr="00436841">
        <w:rPr>
          <w:rFonts w:ascii="Book Antiqua" w:eastAsia="Book Antiqua" w:hAnsi="Book Antiqua" w:cs="Book Antiqua"/>
          <w:color w:val="000000"/>
          <w:vertAlign w:val="superscript"/>
        </w:rPr>
        <w:t>[122]</w:t>
      </w:r>
      <w:r w:rsidR="0048774A" w:rsidRPr="00436841">
        <w:rPr>
          <w:rFonts w:ascii="Book Antiqua" w:eastAsia="Book Antiqua" w:hAnsi="Book Antiqua" w:cs="Book Antiqua"/>
          <w:color w:val="000000"/>
        </w:rPr>
        <w:t xml:space="preserve">. More information is expected in the foreseeable future from the ACTICCA-1 study (NCT02170090), a phase III trial </w:t>
      </w:r>
      <w:r>
        <w:rPr>
          <w:rFonts w:ascii="Book Antiqua" w:eastAsia="Book Antiqua" w:hAnsi="Book Antiqua" w:cs="Book Antiqua"/>
          <w:color w:val="000000"/>
        </w:rPr>
        <w:t>investigating</w:t>
      </w:r>
      <w:r w:rsidR="0048774A" w:rsidRPr="0029097D">
        <w:rPr>
          <w:rFonts w:ascii="Book Antiqua" w:eastAsia="Book Antiqua" w:hAnsi="Book Antiqua" w:cs="Book Antiqua"/>
          <w:color w:val="000000"/>
        </w:rPr>
        <w:t xml:space="preserve"> the clinical performance of the GEMOX combination compared to capecitabine in the adjuvant setting.</w:t>
      </w:r>
    </w:p>
    <w:p w14:paraId="7461439B" w14:textId="77777777" w:rsidR="00A77B3E" w:rsidRPr="0029097D" w:rsidRDefault="00A77B3E" w:rsidP="00ED58D3">
      <w:pPr>
        <w:spacing w:line="360" w:lineRule="auto"/>
        <w:jc w:val="both"/>
        <w:rPr>
          <w:rFonts w:ascii="Book Antiqua" w:hAnsi="Book Antiqua"/>
        </w:rPr>
      </w:pPr>
    </w:p>
    <w:p w14:paraId="526B7E54" w14:textId="77777777" w:rsidR="00A77B3E" w:rsidRPr="00436841" w:rsidRDefault="0048774A" w:rsidP="00ED58D3">
      <w:pPr>
        <w:spacing w:line="360" w:lineRule="auto"/>
        <w:jc w:val="both"/>
        <w:rPr>
          <w:rFonts w:ascii="Book Antiqua" w:hAnsi="Book Antiqua"/>
          <w:i/>
          <w:iCs/>
        </w:rPr>
      </w:pPr>
      <w:r w:rsidRPr="00436841">
        <w:rPr>
          <w:rFonts w:ascii="Book Antiqua" w:eastAsia="Book Antiqua" w:hAnsi="Book Antiqua" w:cs="Book Antiqua"/>
          <w:b/>
          <w:bCs/>
          <w:i/>
          <w:iCs/>
          <w:color w:val="000000"/>
        </w:rPr>
        <w:t xml:space="preserve">Antiviral </w:t>
      </w:r>
      <w:r w:rsidR="002E64DD" w:rsidRPr="00436841">
        <w:rPr>
          <w:rFonts w:ascii="Book Antiqua" w:eastAsia="Book Antiqua" w:hAnsi="Book Antiqua" w:cs="Book Antiqua"/>
          <w:b/>
          <w:bCs/>
          <w:i/>
          <w:iCs/>
          <w:color w:val="000000"/>
        </w:rPr>
        <w:t>t</w:t>
      </w:r>
      <w:r w:rsidRPr="00436841">
        <w:rPr>
          <w:rFonts w:ascii="Book Antiqua" w:eastAsia="Book Antiqua" w:hAnsi="Book Antiqua" w:cs="Book Antiqua"/>
          <w:b/>
          <w:bCs/>
          <w:i/>
          <w:iCs/>
          <w:color w:val="000000"/>
        </w:rPr>
        <w:t>reatment</w:t>
      </w:r>
    </w:p>
    <w:p w14:paraId="00DA4CFD" w14:textId="444AF81B"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There </w:t>
      </w:r>
      <w:r w:rsidR="0029097D">
        <w:rPr>
          <w:rFonts w:ascii="Book Antiqua" w:eastAsia="Book Antiqua" w:hAnsi="Book Antiqua" w:cs="Book Antiqua"/>
          <w:color w:val="000000"/>
        </w:rPr>
        <w:t>are</w:t>
      </w:r>
      <w:r w:rsidR="0029097D" w:rsidRPr="0029097D">
        <w:rPr>
          <w:rFonts w:ascii="Book Antiqua" w:eastAsia="Book Antiqua" w:hAnsi="Book Antiqua" w:cs="Book Antiqua"/>
          <w:color w:val="000000"/>
        </w:rPr>
        <w:t xml:space="preserve"> </w:t>
      </w:r>
      <w:r w:rsidRPr="0029097D">
        <w:rPr>
          <w:rFonts w:ascii="Book Antiqua" w:eastAsia="Book Antiqua" w:hAnsi="Book Antiqua" w:cs="Book Antiqua"/>
          <w:color w:val="000000"/>
        </w:rPr>
        <w:t>not much data concerning the role of antiviral treatment in the management of HBV-associated iCCA. However, one retrospective study demonstrat</w:t>
      </w:r>
      <w:r w:rsidR="0029097D">
        <w:rPr>
          <w:rFonts w:ascii="Book Antiqua" w:eastAsia="Book Antiqua" w:hAnsi="Book Antiqua" w:cs="Book Antiqua"/>
          <w:color w:val="000000"/>
        </w:rPr>
        <w:t>ed</w:t>
      </w:r>
      <w:r w:rsidRPr="0029097D">
        <w:rPr>
          <w:rFonts w:ascii="Book Antiqua" w:eastAsia="Book Antiqua" w:hAnsi="Book Antiqua" w:cs="Book Antiqua"/>
          <w:color w:val="000000"/>
        </w:rPr>
        <w:t xml:space="preserve"> that antiviral treatment, even when initiated post-operatively, can provide a significant benefit to the patients</w:t>
      </w:r>
      <w:r w:rsidR="0029097D">
        <w:rPr>
          <w:rFonts w:ascii="Book Antiqua" w:eastAsia="Book Antiqua" w:hAnsi="Book Antiqua" w:cs="Book Antiqua"/>
          <w:color w:val="000000"/>
        </w:rPr>
        <w:t xml:space="preserve"> </w:t>
      </w:r>
      <w:r w:rsidRPr="0029097D">
        <w:rPr>
          <w:rFonts w:ascii="Book Antiqua" w:eastAsia="Book Antiqua" w:hAnsi="Book Antiqua" w:cs="Book Antiqua"/>
          <w:color w:val="000000"/>
        </w:rPr>
        <w:t>compared to patients with high (&gt;</w:t>
      </w:r>
      <w:r w:rsidR="006D6A6B" w:rsidRPr="0029097D">
        <w:rPr>
          <w:rFonts w:ascii="Book Antiqua" w:eastAsia="Book Antiqua" w:hAnsi="Book Antiqua" w:cs="Book Antiqua"/>
          <w:color w:val="000000"/>
        </w:rPr>
        <w:t xml:space="preserve"> </w:t>
      </w:r>
      <w:r w:rsidRPr="0029097D">
        <w:rPr>
          <w:rFonts w:ascii="Book Antiqua" w:eastAsia="Book Antiqua" w:hAnsi="Book Antiqua" w:cs="Book Antiqua"/>
          <w:color w:val="000000"/>
        </w:rPr>
        <w:t xml:space="preserve">2000 IU/mL) HBV-DNA levels who are left </w:t>
      </w:r>
      <w:r w:rsidRPr="0029097D">
        <w:rPr>
          <w:rFonts w:ascii="Book Antiqua" w:eastAsia="Book Antiqua" w:hAnsi="Book Antiqua" w:cs="Book Antiqua"/>
          <w:color w:val="000000"/>
        </w:rPr>
        <w:lastRenderedPageBreak/>
        <w:t xml:space="preserve">untreated (5-year recurrence rate 70.5% </w:t>
      </w:r>
      <w:r w:rsidRPr="0029097D">
        <w:rPr>
          <w:rFonts w:ascii="Book Antiqua" w:eastAsia="Book Antiqua" w:hAnsi="Book Antiqua" w:cs="Book Antiqua"/>
          <w:i/>
          <w:iCs/>
          <w:color w:val="000000"/>
        </w:rPr>
        <w:t>vs</w:t>
      </w:r>
      <w:r w:rsidRPr="0029097D">
        <w:rPr>
          <w:rFonts w:ascii="Book Antiqua" w:eastAsia="Book Antiqua" w:hAnsi="Book Antiqua" w:cs="Book Antiqua"/>
          <w:color w:val="000000"/>
        </w:rPr>
        <w:t xml:space="preserve"> 86.5%, </w:t>
      </w:r>
      <w:r w:rsidRPr="0029097D">
        <w:rPr>
          <w:rFonts w:ascii="Book Antiqua" w:eastAsia="Book Antiqua" w:hAnsi="Book Antiqua" w:cs="Book Antiqua"/>
          <w:i/>
          <w:iCs/>
          <w:color w:val="000000"/>
        </w:rPr>
        <w:t>P</w:t>
      </w:r>
      <w:r w:rsidR="006D6A6B" w:rsidRPr="0029097D">
        <w:rPr>
          <w:rFonts w:ascii="Book Antiqua" w:eastAsia="Book Antiqua" w:hAnsi="Book Antiqua" w:cs="Book Antiqua"/>
          <w:color w:val="000000"/>
        </w:rPr>
        <w:t xml:space="preserve"> </w:t>
      </w:r>
      <w:r w:rsidRPr="0029097D">
        <w:rPr>
          <w:rFonts w:ascii="Book Antiqua" w:eastAsia="Book Antiqua" w:hAnsi="Book Antiqua" w:cs="Book Antiqua"/>
          <w:color w:val="000000"/>
        </w:rPr>
        <w:t>&lt;</w:t>
      </w:r>
      <w:r w:rsidR="006D6A6B" w:rsidRPr="00404769">
        <w:rPr>
          <w:rFonts w:ascii="Book Antiqua" w:eastAsia="Book Antiqua" w:hAnsi="Book Antiqua" w:cs="Book Antiqua"/>
          <w:color w:val="000000"/>
        </w:rPr>
        <w:t xml:space="preserve"> </w:t>
      </w:r>
      <w:r w:rsidRPr="00404769">
        <w:rPr>
          <w:rFonts w:ascii="Book Antiqua" w:eastAsia="Book Antiqua" w:hAnsi="Book Antiqua" w:cs="Book Antiqua"/>
          <w:color w:val="000000"/>
        </w:rPr>
        <w:t xml:space="preserve">0.001 and 5-year OS rate 43% </w:t>
      </w:r>
      <w:r w:rsidRPr="00404769">
        <w:rPr>
          <w:rFonts w:ascii="Book Antiqua" w:eastAsia="Book Antiqua" w:hAnsi="Book Antiqua" w:cs="Book Antiqua"/>
          <w:i/>
          <w:iCs/>
          <w:color w:val="000000"/>
        </w:rPr>
        <w:t>vs</w:t>
      </w:r>
      <w:r w:rsidRPr="00BC0A0E">
        <w:rPr>
          <w:rFonts w:ascii="Book Antiqua" w:eastAsia="Book Antiqua" w:hAnsi="Book Antiqua" w:cs="Book Antiqua"/>
          <w:color w:val="000000"/>
        </w:rPr>
        <w:t xml:space="preserve"> 20.5%, </w:t>
      </w:r>
      <w:r w:rsidRPr="00E41898">
        <w:rPr>
          <w:rFonts w:ascii="Book Antiqua" w:eastAsia="Book Antiqua" w:hAnsi="Book Antiqua" w:cs="Book Antiqua"/>
          <w:i/>
          <w:iCs/>
          <w:color w:val="000000"/>
        </w:rPr>
        <w:t>P</w:t>
      </w:r>
      <w:r w:rsidR="006D6A6B" w:rsidRP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t>&lt;</w:t>
      </w:r>
      <w:r w:rsidR="006D6A6B" w:rsidRP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t>0.001 respectively)</w:t>
      </w:r>
      <w:r w:rsidRPr="00436841">
        <w:rPr>
          <w:rFonts w:ascii="Book Antiqua" w:eastAsia="Book Antiqua" w:hAnsi="Book Antiqua" w:cs="Book Antiqua"/>
          <w:color w:val="000000"/>
          <w:vertAlign w:val="superscript"/>
        </w:rPr>
        <w:t>[123]</w:t>
      </w:r>
      <w:r w:rsidRPr="00436841">
        <w:rPr>
          <w:rFonts w:ascii="Book Antiqua" w:eastAsia="Book Antiqua" w:hAnsi="Book Antiqua" w:cs="Book Antiqua"/>
          <w:color w:val="000000"/>
        </w:rPr>
        <w:t>.</w:t>
      </w:r>
    </w:p>
    <w:p w14:paraId="51C82BAC" w14:textId="7BAE29C8" w:rsidR="006B6B7F" w:rsidRDefault="0048774A" w:rsidP="00D866CC">
      <w:pPr>
        <w:spacing w:line="360" w:lineRule="auto"/>
        <w:ind w:firstLineChars="112" w:firstLine="269"/>
        <w:jc w:val="both"/>
        <w:rPr>
          <w:rFonts w:ascii="Book Antiqua" w:hAnsi="Book Antiqua"/>
        </w:rPr>
      </w:pPr>
      <w:r w:rsidRPr="00436841">
        <w:rPr>
          <w:rFonts w:ascii="Book Antiqua" w:eastAsia="Book Antiqua" w:hAnsi="Book Antiqua" w:cs="Book Antiqua"/>
          <w:color w:val="000000"/>
        </w:rPr>
        <w:t>In 2017, a large</w:t>
      </w:r>
      <w:r w:rsidR="0029097D">
        <w:rPr>
          <w:rFonts w:ascii="Book Antiqua" w:eastAsia="Book Antiqua" w:hAnsi="Book Antiqua" w:cs="Book Antiqua"/>
          <w:color w:val="000000"/>
        </w:rPr>
        <w:t>-</w:t>
      </w:r>
      <w:r w:rsidRPr="00436841">
        <w:rPr>
          <w:rFonts w:ascii="Book Antiqua" w:eastAsia="Book Antiqua" w:hAnsi="Book Antiqua" w:cs="Book Antiqua"/>
          <w:color w:val="000000"/>
        </w:rPr>
        <w:t xml:space="preserve">scale retrospective study from </w:t>
      </w:r>
      <w:r w:rsidR="005164FF" w:rsidRPr="00436841">
        <w:rPr>
          <w:rFonts w:ascii="Book Antiqua" w:eastAsia="Book Antiqua" w:hAnsi="Book Antiqua" w:cs="Book Antiqua"/>
          <w:color w:val="000000"/>
        </w:rPr>
        <w:t>Taiwan area of China</w:t>
      </w:r>
      <w:r w:rsidRPr="00436841">
        <w:rPr>
          <w:rFonts w:ascii="Book Antiqua" w:eastAsia="Book Antiqua" w:hAnsi="Book Antiqua" w:cs="Book Antiqua"/>
          <w:color w:val="000000"/>
        </w:rPr>
        <w:t xml:space="preserve"> that was based on data from the National Health Insurance Research Database showed that treatment with </w:t>
      </w:r>
      <w:r w:rsidR="0029097D">
        <w:rPr>
          <w:rFonts w:ascii="Book Antiqua" w:eastAsia="Book Antiqua" w:hAnsi="Book Antiqua" w:cs="Book Antiqua"/>
          <w:color w:val="000000"/>
        </w:rPr>
        <w:t>n</w:t>
      </w:r>
      <w:r w:rsidRPr="00436841">
        <w:rPr>
          <w:rFonts w:ascii="Book Antiqua" w:eastAsia="Book Antiqua" w:hAnsi="Book Antiqua" w:cs="Book Antiqua"/>
          <w:color w:val="000000"/>
        </w:rPr>
        <w:t xml:space="preserve">ucleos(t)ide </w:t>
      </w:r>
      <w:r w:rsidR="0029097D">
        <w:rPr>
          <w:rFonts w:ascii="Book Antiqua" w:eastAsia="Book Antiqua" w:hAnsi="Book Antiqua" w:cs="Book Antiqua"/>
          <w:color w:val="000000"/>
        </w:rPr>
        <w:t>a</w:t>
      </w:r>
      <w:r w:rsidRPr="00436841">
        <w:rPr>
          <w:rFonts w:ascii="Book Antiqua" w:eastAsia="Book Antiqua" w:hAnsi="Book Antiqua" w:cs="Book Antiqua"/>
          <w:color w:val="000000"/>
        </w:rPr>
        <w:t xml:space="preserve">nalogues (NA) is an independent factor for the development of HBV-associated iCCA (HR 0.44, </w:t>
      </w:r>
      <w:r w:rsidRPr="00436841">
        <w:rPr>
          <w:rFonts w:ascii="Book Antiqua" w:eastAsia="Book Antiqua" w:hAnsi="Book Antiqua" w:cs="Book Antiqua"/>
          <w:i/>
          <w:iCs/>
          <w:color w:val="000000"/>
        </w:rPr>
        <w:t>P</w:t>
      </w:r>
      <w:r w:rsidRPr="00436841">
        <w:rPr>
          <w:rFonts w:ascii="Book Antiqua" w:eastAsia="Book Antiqua" w:hAnsi="Book Antiqua" w:cs="Book Antiqua"/>
          <w:color w:val="000000"/>
        </w:rPr>
        <w:t xml:space="preserve"> = 0.004)</w:t>
      </w:r>
      <w:r w:rsidRPr="00436841">
        <w:rPr>
          <w:rFonts w:ascii="Book Antiqua" w:eastAsia="Book Antiqua" w:hAnsi="Book Antiqua" w:cs="Book Antiqua"/>
          <w:color w:val="000000"/>
          <w:vertAlign w:val="superscript"/>
        </w:rPr>
        <w:t>[124]</w:t>
      </w:r>
      <w:r w:rsidRPr="00436841">
        <w:rPr>
          <w:rFonts w:ascii="Book Antiqua" w:eastAsia="Book Antiqua" w:hAnsi="Book Antiqua" w:cs="Book Antiqua"/>
          <w:color w:val="000000"/>
        </w:rPr>
        <w:t xml:space="preserve">. In the population treated with NA, the 5-year cumulative incidence of iCCA was lower compared to the NA-untreated group (0.17% </w:t>
      </w:r>
      <w:r w:rsidRPr="00436841">
        <w:rPr>
          <w:rFonts w:ascii="Book Antiqua" w:eastAsia="Book Antiqua" w:hAnsi="Book Antiqua" w:cs="Book Antiqua"/>
          <w:i/>
          <w:iCs/>
          <w:color w:val="000000"/>
        </w:rPr>
        <w:t>vs</w:t>
      </w:r>
      <w:r w:rsidRPr="00436841">
        <w:rPr>
          <w:rFonts w:ascii="Book Antiqua" w:eastAsia="Book Antiqua" w:hAnsi="Book Antiqua" w:cs="Book Antiqua"/>
          <w:color w:val="000000"/>
        </w:rPr>
        <w:t xml:space="preserve"> 0.39%, </w:t>
      </w:r>
      <w:r w:rsidRPr="00436841">
        <w:rPr>
          <w:rFonts w:ascii="Book Antiqua" w:eastAsia="Book Antiqua" w:hAnsi="Book Antiqua" w:cs="Book Antiqua"/>
          <w:i/>
          <w:iCs/>
          <w:color w:val="000000"/>
        </w:rPr>
        <w:t>P</w:t>
      </w:r>
      <w:r w:rsidRPr="00436841">
        <w:rPr>
          <w:rFonts w:ascii="Book Antiqua" w:eastAsia="Book Antiqua" w:hAnsi="Book Antiqua" w:cs="Book Antiqua"/>
          <w:color w:val="000000"/>
        </w:rPr>
        <w:t xml:space="preserve"> = 0.005), stating that treatment with NA could contribute in preventing HBV-associated iCCA, in a similar way as it contributes to reducing the risk of HBV-associated HCC. </w:t>
      </w:r>
    </w:p>
    <w:p w14:paraId="0740544F" w14:textId="77777777" w:rsidR="00A77B3E" w:rsidRPr="00436841" w:rsidRDefault="00A77B3E" w:rsidP="00ED58D3">
      <w:pPr>
        <w:spacing w:line="360" w:lineRule="auto"/>
        <w:jc w:val="both"/>
        <w:rPr>
          <w:rFonts w:ascii="Book Antiqua" w:hAnsi="Book Antiqua"/>
        </w:rPr>
      </w:pPr>
    </w:p>
    <w:p w14:paraId="49EF0C14" w14:textId="77777777" w:rsidR="00A77B3E" w:rsidRPr="00436841" w:rsidRDefault="0048774A" w:rsidP="00ED58D3">
      <w:pPr>
        <w:spacing w:line="360" w:lineRule="auto"/>
        <w:jc w:val="both"/>
        <w:rPr>
          <w:rFonts w:ascii="Book Antiqua" w:hAnsi="Book Antiqua"/>
          <w:i/>
          <w:iCs/>
        </w:rPr>
      </w:pPr>
      <w:r w:rsidRPr="00436841">
        <w:rPr>
          <w:rFonts w:ascii="Book Antiqua" w:eastAsia="Book Antiqua" w:hAnsi="Book Antiqua" w:cs="Book Antiqua"/>
          <w:b/>
          <w:bCs/>
          <w:i/>
          <w:iCs/>
          <w:color w:val="000000"/>
        </w:rPr>
        <w:t>L</w:t>
      </w:r>
      <w:r w:rsidR="002E64DD" w:rsidRPr="00436841">
        <w:rPr>
          <w:rFonts w:ascii="Book Antiqua" w:eastAsia="Book Antiqua" w:hAnsi="Book Antiqua" w:cs="Book Antiqua"/>
          <w:b/>
          <w:bCs/>
          <w:i/>
          <w:iCs/>
          <w:color w:val="000000"/>
        </w:rPr>
        <w:t>T</w:t>
      </w:r>
    </w:p>
    <w:p w14:paraId="72AF29A3" w14:textId="22C80539"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L</w:t>
      </w:r>
      <w:r w:rsidR="002E64DD" w:rsidRPr="00436841">
        <w:rPr>
          <w:rFonts w:ascii="Book Antiqua" w:eastAsia="Book Antiqua" w:hAnsi="Book Antiqua" w:cs="Book Antiqua"/>
          <w:color w:val="000000"/>
        </w:rPr>
        <w:t>T</w:t>
      </w:r>
      <w:r w:rsidRPr="00436841">
        <w:rPr>
          <w:rFonts w:ascii="Book Antiqua" w:eastAsia="Book Antiqua" w:hAnsi="Book Antiqua" w:cs="Book Antiqua"/>
          <w:color w:val="000000"/>
        </w:rPr>
        <w:t xml:space="preserve"> for iCCA is still a controversial issue. In the era of organ shortage, iCCA was traditionally considered a contraindication for LT, as both the OS and disease-free survival were disappointing. It should be noted that most of this information came from small, retrospective studies with much heterogeneity in transplant protocols. In certain studies, the 5-year OS rate ranged between 30% to 60%</w:t>
      </w:r>
      <w:r w:rsidRPr="00436841">
        <w:rPr>
          <w:rFonts w:ascii="Book Antiqua" w:eastAsia="Book Antiqua" w:hAnsi="Book Antiqua" w:cs="Book Antiqua"/>
          <w:color w:val="000000"/>
          <w:vertAlign w:val="superscript"/>
        </w:rPr>
        <w:t>[125</w:t>
      </w:r>
      <w:r w:rsidR="000354F0" w:rsidRPr="00436841">
        <w:rPr>
          <w:rFonts w:ascii="Book Antiqua" w:eastAsia="Book Antiqua" w:hAnsi="Book Antiqua" w:cs="Book Antiqua"/>
          <w:color w:val="000000"/>
          <w:vertAlign w:val="superscript"/>
        </w:rPr>
        <w:t>-</w:t>
      </w:r>
      <w:r w:rsidRPr="00436841">
        <w:rPr>
          <w:rFonts w:ascii="Book Antiqua" w:eastAsia="Book Antiqua" w:hAnsi="Book Antiqua" w:cs="Book Antiqua"/>
          <w:color w:val="000000"/>
          <w:vertAlign w:val="superscript"/>
        </w:rPr>
        <w:t>128]</w:t>
      </w:r>
      <w:r w:rsidRPr="00436841">
        <w:rPr>
          <w:rFonts w:ascii="Book Antiqua" w:eastAsia="Book Antiqua" w:hAnsi="Book Antiqua" w:cs="Book Antiqua"/>
          <w:color w:val="000000"/>
        </w:rPr>
        <w:t xml:space="preserve">. </w:t>
      </w:r>
    </w:p>
    <w:p w14:paraId="44DD5244" w14:textId="77777777" w:rsidR="006B6B7F" w:rsidRDefault="0048774A" w:rsidP="00D866CC">
      <w:pPr>
        <w:spacing w:line="360" w:lineRule="auto"/>
        <w:ind w:firstLineChars="112" w:firstLine="269"/>
        <w:jc w:val="both"/>
        <w:rPr>
          <w:rFonts w:ascii="Book Antiqua" w:hAnsi="Book Antiqua"/>
        </w:rPr>
      </w:pPr>
      <w:r w:rsidRPr="00436841">
        <w:rPr>
          <w:rFonts w:ascii="Book Antiqua" w:eastAsia="Book Antiqua" w:hAnsi="Book Antiqua" w:cs="Book Antiqua"/>
          <w:color w:val="000000"/>
        </w:rPr>
        <w:t>Studies focusing on favorable groups of patients who could potentially derive significant benefit from LT have been reported. In a multicenter retrospective study from Spain</w:t>
      </w:r>
      <w:r w:rsidRPr="00436841">
        <w:rPr>
          <w:rFonts w:ascii="Book Antiqua" w:eastAsia="Book Antiqua" w:hAnsi="Book Antiqua" w:cs="Book Antiqua"/>
          <w:color w:val="000000"/>
          <w:vertAlign w:val="superscript"/>
        </w:rPr>
        <w:t>[129]</w:t>
      </w:r>
      <w:r w:rsidRPr="00436841">
        <w:rPr>
          <w:rFonts w:ascii="Book Antiqua" w:eastAsia="Book Antiqua" w:hAnsi="Book Antiqua" w:cs="Book Antiqua"/>
          <w:color w:val="000000"/>
        </w:rPr>
        <w:t>, a subgroup of patients (</w:t>
      </w:r>
      <w:r w:rsidRPr="00436841">
        <w:rPr>
          <w:rFonts w:ascii="Book Antiqua" w:eastAsia="Book Antiqua" w:hAnsi="Book Antiqua" w:cs="Book Antiqua"/>
          <w:i/>
          <w:iCs/>
          <w:color w:val="000000"/>
        </w:rPr>
        <w:t>n</w:t>
      </w:r>
      <w:r w:rsidRPr="00436841">
        <w:rPr>
          <w:rFonts w:ascii="Book Antiqua" w:eastAsia="Book Antiqua" w:hAnsi="Book Antiqua" w:cs="Book Antiqua"/>
          <w:color w:val="000000"/>
        </w:rPr>
        <w:t xml:space="preserve"> = 8) with “very early” iCCA (single tumor, &lt;</w:t>
      </w:r>
      <w:r w:rsidR="006D6A6B" w:rsidRP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t>2</w:t>
      </w:r>
      <w:r w:rsidR="006D6A6B" w:rsidRP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t>cm) was highlighted. The 5-year OS in this subgroup was 73% compared to 35% for the patients with single tumors &gt;</w:t>
      </w:r>
      <w:r w:rsidR="006D6A6B" w:rsidRP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t>2 cm or multinodular tumors (</w:t>
      </w:r>
      <w:r w:rsidRPr="00436841">
        <w:rPr>
          <w:rFonts w:ascii="Book Antiqua" w:eastAsia="Book Antiqua" w:hAnsi="Book Antiqua" w:cs="Book Antiqua"/>
          <w:i/>
          <w:iCs/>
          <w:color w:val="000000"/>
        </w:rPr>
        <w:t>n</w:t>
      </w:r>
      <w:r w:rsidRPr="00436841">
        <w:rPr>
          <w:rFonts w:ascii="Book Antiqua" w:eastAsia="Book Antiqua" w:hAnsi="Book Antiqua" w:cs="Book Antiqua"/>
          <w:color w:val="000000"/>
        </w:rPr>
        <w:t xml:space="preserve"> = 21). Another international, multicenter study showed similar results, as the actuarial survival rate for “very early” iCCA was 65%</w:t>
      </w:r>
      <w:r w:rsidRPr="00436841">
        <w:rPr>
          <w:rFonts w:ascii="Book Antiqua" w:eastAsia="Book Antiqua" w:hAnsi="Book Antiqua" w:cs="Book Antiqua"/>
          <w:color w:val="000000"/>
          <w:vertAlign w:val="superscript"/>
        </w:rPr>
        <w:t>[83]</w:t>
      </w:r>
      <w:r w:rsidRPr="00436841">
        <w:rPr>
          <w:rFonts w:ascii="Book Antiqua" w:eastAsia="Book Antiqua" w:hAnsi="Book Antiqua" w:cs="Book Antiqua"/>
          <w:color w:val="000000"/>
        </w:rPr>
        <w:t xml:space="preserve">. A recent meta-analysis confirmed the results of such efforts (5-year pooled OS rate 71% </w:t>
      </w:r>
      <w:r w:rsidRPr="00436841">
        <w:rPr>
          <w:rFonts w:ascii="Book Antiqua" w:eastAsia="Book Antiqua" w:hAnsi="Book Antiqua" w:cs="Book Antiqua"/>
          <w:i/>
          <w:iCs/>
          <w:color w:val="000000"/>
        </w:rPr>
        <w:t>vs</w:t>
      </w:r>
      <w:r w:rsidRPr="00436841">
        <w:rPr>
          <w:rFonts w:ascii="Book Antiqua" w:eastAsia="Book Antiqua" w:hAnsi="Book Antiqua" w:cs="Book Antiqua"/>
          <w:color w:val="000000"/>
        </w:rPr>
        <w:t xml:space="preserve"> 48% for advanced iCCA), stating that a solitary &lt;</w:t>
      </w:r>
      <w:r w:rsidR="006D6A6B" w:rsidRP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t>2 cm iCCA in a background of cirrhosis should not preclude consideration of LT</w:t>
      </w:r>
      <w:r w:rsidRPr="00436841">
        <w:rPr>
          <w:rFonts w:ascii="Book Antiqua" w:eastAsia="Book Antiqua" w:hAnsi="Book Antiqua" w:cs="Book Antiqua"/>
          <w:color w:val="000000"/>
          <w:vertAlign w:val="superscript"/>
        </w:rPr>
        <w:t>[130]</w:t>
      </w:r>
      <w:r w:rsidRPr="00436841">
        <w:rPr>
          <w:rFonts w:ascii="Book Antiqua" w:eastAsia="Book Antiqua" w:hAnsi="Book Antiqua" w:cs="Book Antiqua"/>
          <w:color w:val="000000"/>
        </w:rPr>
        <w:t xml:space="preserve">. It should be noted though, that the application of LT for cirrhotic patients, with “very early” iCCA unresectable due to impaired liver function still requires validation by a prospective study. Such a study (NCT02878473) is currently recruiting patients and is expected to provide primary results by 2026. </w:t>
      </w:r>
    </w:p>
    <w:p w14:paraId="79A9E4E0" w14:textId="77777777" w:rsidR="006B6B7F" w:rsidRDefault="0048774A" w:rsidP="00D866CC">
      <w:pPr>
        <w:spacing w:line="360" w:lineRule="auto"/>
        <w:ind w:firstLineChars="112" w:firstLine="269"/>
        <w:jc w:val="both"/>
        <w:rPr>
          <w:rFonts w:ascii="Book Antiqua" w:hAnsi="Book Antiqua"/>
        </w:rPr>
      </w:pPr>
      <w:r w:rsidRPr="00436841">
        <w:rPr>
          <w:rFonts w:ascii="Book Antiqua" w:eastAsia="Book Antiqua" w:hAnsi="Book Antiqua" w:cs="Book Antiqua"/>
          <w:color w:val="000000"/>
        </w:rPr>
        <w:lastRenderedPageBreak/>
        <w:t>Another interesting subgroup of iCCA patients, who could substantially benefit from LT, are those with locally advanced, unresectable (due to tumor size, location, or multifocality) disease with a durable response or stability after neoadjuvant chemotherapy</w:t>
      </w:r>
      <w:r w:rsidRPr="00436841">
        <w:rPr>
          <w:rFonts w:ascii="Book Antiqua" w:eastAsia="Book Antiqua" w:hAnsi="Book Antiqua" w:cs="Book Antiqua"/>
          <w:color w:val="000000"/>
          <w:vertAlign w:val="superscript"/>
        </w:rPr>
        <w:t>[131]</w:t>
      </w:r>
      <w:r w:rsidRPr="00436841">
        <w:rPr>
          <w:rFonts w:ascii="Book Antiqua" w:eastAsia="Book Antiqua" w:hAnsi="Book Antiqua" w:cs="Book Antiqua"/>
          <w:color w:val="000000"/>
        </w:rPr>
        <w:t>. In fact, in an interim analysis of a small series of patients (</w:t>
      </w:r>
      <w:r w:rsidRPr="00436841">
        <w:rPr>
          <w:rFonts w:ascii="Book Antiqua" w:eastAsia="Book Antiqua" w:hAnsi="Book Antiqua" w:cs="Book Antiqua"/>
          <w:i/>
          <w:iCs/>
          <w:color w:val="000000"/>
        </w:rPr>
        <w:t>n</w:t>
      </w:r>
      <w:r w:rsidRPr="00436841">
        <w:rPr>
          <w:rFonts w:ascii="Book Antiqua" w:eastAsia="Book Antiqua" w:hAnsi="Book Antiqua" w:cs="Book Antiqua"/>
          <w:color w:val="000000"/>
        </w:rPr>
        <w:t xml:space="preserve"> = 6), with large, unresectable iCCA subjected to LT after an at least 6-mo disease stability under neoadjuvant chemotherapy with gemcitabine-based regimens, the 5-year survival was 83%, although, of note, 5-year recurrence rate was 50%</w:t>
      </w:r>
      <w:r w:rsidRPr="00436841">
        <w:rPr>
          <w:rFonts w:ascii="Book Antiqua" w:eastAsia="Book Antiqua" w:hAnsi="Book Antiqua" w:cs="Book Antiqua"/>
          <w:color w:val="000000"/>
          <w:vertAlign w:val="superscript"/>
        </w:rPr>
        <w:t>[132]</w:t>
      </w:r>
      <w:r w:rsidRPr="00436841">
        <w:rPr>
          <w:rFonts w:ascii="Book Antiqua" w:eastAsia="Book Antiqua" w:hAnsi="Book Antiqua" w:cs="Book Antiqua"/>
          <w:color w:val="000000"/>
        </w:rPr>
        <w:t xml:space="preserve">. </w:t>
      </w:r>
    </w:p>
    <w:p w14:paraId="05BE4DFB" w14:textId="6E7D0F1B" w:rsidR="006B6B7F" w:rsidRDefault="0048774A" w:rsidP="00D866CC">
      <w:pPr>
        <w:spacing w:line="360" w:lineRule="auto"/>
        <w:ind w:firstLineChars="112" w:firstLine="269"/>
        <w:jc w:val="both"/>
        <w:rPr>
          <w:rFonts w:ascii="Book Antiqua" w:hAnsi="Book Antiqua"/>
        </w:rPr>
      </w:pPr>
      <w:r w:rsidRPr="00436841">
        <w:rPr>
          <w:rFonts w:ascii="Book Antiqua" w:eastAsia="Book Antiqua" w:hAnsi="Book Antiqua" w:cs="Book Antiqua"/>
          <w:color w:val="000000"/>
        </w:rPr>
        <w:t>In light of this information, a recent consensus approved by the International Liver Transplant Society recommends that patients with “very early” iCCA may benefit from upfront LT, whereas those with advanced, unresectable iCCA in a non-cirrhotic state may become LT candidates if the disease remains stable after neoadjuvant therapy</w:t>
      </w:r>
      <w:r w:rsidRPr="00436841">
        <w:rPr>
          <w:rFonts w:ascii="Book Antiqua" w:eastAsia="Book Antiqua" w:hAnsi="Book Antiqua" w:cs="Book Antiqua"/>
          <w:color w:val="000000"/>
          <w:vertAlign w:val="superscript"/>
        </w:rPr>
        <w:t>[133]</w:t>
      </w:r>
      <w:r w:rsidRPr="00436841">
        <w:rPr>
          <w:rFonts w:ascii="Book Antiqua" w:eastAsia="Book Antiqua" w:hAnsi="Book Antiqua" w:cs="Book Antiqua"/>
          <w:color w:val="000000"/>
        </w:rPr>
        <w:t>.</w:t>
      </w:r>
    </w:p>
    <w:p w14:paraId="70C2392C" w14:textId="77777777" w:rsidR="00A77B3E" w:rsidRPr="00436841" w:rsidRDefault="00A77B3E" w:rsidP="00ED58D3">
      <w:pPr>
        <w:spacing w:line="360" w:lineRule="auto"/>
        <w:jc w:val="both"/>
        <w:rPr>
          <w:rFonts w:ascii="Book Antiqua" w:hAnsi="Book Antiqua"/>
        </w:rPr>
      </w:pPr>
    </w:p>
    <w:p w14:paraId="66184684" w14:textId="77777777" w:rsidR="00A77B3E" w:rsidRPr="00436841" w:rsidRDefault="0048774A" w:rsidP="00ED58D3">
      <w:pPr>
        <w:spacing w:line="360" w:lineRule="auto"/>
        <w:jc w:val="both"/>
        <w:rPr>
          <w:rFonts w:ascii="Book Antiqua" w:hAnsi="Book Antiqua"/>
          <w:u w:val="single"/>
        </w:rPr>
      </w:pPr>
      <w:r w:rsidRPr="00436841">
        <w:rPr>
          <w:rFonts w:ascii="Book Antiqua" w:eastAsia="Book Antiqua" w:hAnsi="Book Antiqua" w:cs="Book Antiqua"/>
          <w:b/>
          <w:bCs/>
          <w:color w:val="000000"/>
          <w:u w:val="single"/>
        </w:rPr>
        <w:t>MANAGEMENT OF UNRESECTABLE DISEASE</w:t>
      </w:r>
    </w:p>
    <w:p w14:paraId="4C5627C5" w14:textId="3B05C1F6"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Unfortunately, many patients with iCCA present with advanced disease that is not amenable to surgery. When assessing a patient with unresectable iCCA, the medical team managing his care should first take into consideration the patient’s </w:t>
      </w:r>
      <w:r w:rsidR="0029097D">
        <w:rPr>
          <w:rFonts w:ascii="Book Antiqua" w:eastAsia="Book Antiqua" w:hAnsi="Book Antiqua" w:cs="Book Antiqua"/>
          <w:color w:val="000000"/>
        </w:rPr>
        <w:t>PS</w:t>
      </w:r>
      <w:r w:rsidRPr="0029097D">
        <w:rPr>
          <w:rFonts w:ascii="Book Antiqua" w:eastAsia="Book Antiqua" w:hAnsi="Book Antiqua" w:cs="Book Antiqua"/>
          <w:color w:val="000000"/>
        </w:rPr>
        <w:t xml:space="preserve">, as determined by the Eastern Cooperative Oncology Group </w:t>
      </w:r>
      <w:r w:rsidR="0029097D">
        <w:rPr>
          <w:rFonts w:ascii="Book Antiqua" w:eastAsia="Book Antiqua" w:hAnsi="Book Antiqua" w:cs="Book Antiqua"/>
          <w:color w:val="000000"/>
        </w:rPr>
        <w:t>PS</w:t>
      </w:r>
      <w:r w:rsidRPr="0029097D">
        <w:rPr>
          <w:rFonts w:ascii="Book Antiqua" w:eastAsia="Book Antiqua" w:hAnsi="Book Antiqua" w:cs="Book Antiqua"/>
          <w:color w:val="000000"/>
        </w:rPr>
        <w:t xml:space="preserve"> (ECOG-PS) scale. Patients with ECOG-PS</w:t>
      </w:r>
      <w:r w:rsidR="00164B79" w:rsidRPr="0029097D">
        <w:rPr>
          <w:rFonts w:ascii="Book Antiqua" w:eastAsia="Book Antiqua" w:hAnsi="Book Antiqua" w:cs="Book Antiqua"/>
          <w:color w:val="000000"/>
        </w:rPr>
        <w:t xml:space="preserve"> </w:t>
      </w:r>
      <w:r w:rsidRPr="0029097D">
        <w:rPr>
          <w:rFonts w:ascii="Book Antiqua" w:eastAsia="Book Antiqua" w:hAnsi="Book Antiqua" w:cs="Book Antiqua"/>
          <w:color w:val="000000"/>
        </w:rPr>
        <w:t>&gt;</w:t>
      </w:r>
      <w:r w:rsidR="00164B79" w:rsidRPr="0029097D">
        <w:rPr>
          <w:rFonts w:ascii="Book Antiqua" w:eastAsia="Book Antiqua" w:hAnsi="Book Antiqua" w:cs="Book Antiqua"/>
          <w:color w:val="000000"/>
        </w:rPr>
        <w:t xml:space="preserve"> </w:t>
      </w:r>
      <w:r w:rsidRPr="00436841">
        <w:rPr>
          <w:rFonts w:ascii="Book Antiqua" w:eastAsia="Book Antiqua" w:hAnsi="Book Antiqua" w:cs="Book Antiqua"/>
          <w:color w:val="000000"/>
        </w:rPr>
        <w:t>2 are unlikely to benefit from any treatment and should be managed with best supportive care. After that, the stage of the disease and the molecular profile of the tumor should be assessed in order to decide the most suitable therapeutic approach for each patient.</w:t>
      </w:r>
    </w:p>
    <w:p w14:paraId="20408709" w14:textId="77777777" w:rsidR="00A77B3E" w:rsidRPr="00436841" w:rsidRDefault="00A77B3E" w:rsidP="00ED58D3">
      <w:pPr>
        <w:spacing w:line="360" w:lineRule="auto"/>
        <w:jc w:val="both"/>
        <w:rPr>
          <w:rFonts w:ascii="Book Antiqua" w:hAnsi="Book Antiqua"/>
        </w:rPr>
      </w:pPr>
    </w:p>
    <w:p w14:paraId="66892F45" w14:textId="77777777" w:rsidR="00A77B3E" w:rsidRPr="00436841" w:rsidRDefault="0048774A" w:rsidP="00ED58D3">
      <w:pPr>
        <w:spacing w:line="360" w:lineRule="auto"/>
        <w:jc w:val="both"/>
        <w:rPr>
          <w:rFonts w:ascii="Book Antiqua" w:hAnsi="Book Antiqua"/>
          <w:i/>
          <w:iCs/>
        </w:rPr>
      </w:pPr>
      <w:r w:rsidRPr="00436841">
        <w:rPr>
          <w:rFonts w:ascii="Book Antiqua" w:eastAsia="Book Antiqua" w:hAnsi="Book Antiqua" w:cs="Book Antiqua"/>
          <w:b/>
          <w:bCs/>
          <w:i/>
          <w:iCs/>
          <w:color w:val="000000"/>
        </w:rPr>
        <w:t>Systemic chemotherapy</w:t>
      </w:r>
    </w:p>
    <w:p w14:paraId="37E76373" w14:textId="728F2F96"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Systemic chemotherapy is generally recommended for patients with ECOG-PS 0-1</w:t>
      </w:r>
      <w:r w:rsidRPr="00436841">
        <w:rPr>
          <w:rFonts w:ascii="Book Antiqua" w:eastAsia="Book Antiqua" w:hAnsi="Book Antiqua" w:cs="Book Antiqua"/>
          <w:color w:val="000000"/>
          <w:vertAlign w:val="superscript"/>
        </w:rPr>
        <w:t>[68]</w:t>
      </w:r>
      <w:r w:rsidRPr="00436841">
        <w:rPr>
          <w:rFonts w:ascii="Book Antiqua" w:eastAsia="Book Antiqua" w:hAnsi="Book Antiqua" w:cs="Book Antiqua"/>
          <w:color w:val="000000"/>
        </w:rPr>
        <w:t>.</w:t>
      </w:r>
      <w:r w:rsidR="00164B79" w:rsidRP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t>The combination of gemcitabine and cisplatin (GEMCIS) is used as the first-line therapeutic regimen in patients with advanced iCCA</w:t>
      </w:r>
      <w:r w:rsidRPr="00436841">
        <w:rPr>
          <w:rFonts w:ascii="Book Antiqua" w:eastAsia="Book Antiqua" w:hAnsi="Book Antiqua" w:cs="Book Antiqua"/>
          <w:color w:val="000000"/>
          <w:vertAlign w:val="superscript"/>
        </w:rPr>
        <w:t>[105,134]</w:t>
      </w:r>
      <w:r w:rsidRPr="00436841">
        <w:rPr>
          <w:rFonts w:ascii="Book Antiqua" w:eastAsia="Book Antiqua" w:hAnsi="Book Antiqua" w:cs="Book Antiqua"/>
          <w:color w:val="000000"/>
        </w:rPr>
        <w:t>. In the ABC-02 trial (</w:t>
      </w:r>
      <w:r w:rsidRPr="00436841">
        <w:rPr>
          <w:rFonts w:ascii="Book Antiqua" w:eastAsia="Book Antiqua" w:hAnsi="Book Antiqua" w:cs="Book Antiqua"/>
          <w:i/>
          <w:iCs/>
          <w:color w:val="000000"/>
        </w:rPr>
        <w:t>n</w:t>
      </w:r>
      <w:r w:rsidRPr="00436841">
        <w:rPr>
          <w:rFonts w:ascii="Book Antiqua" w:eastAsia="Book Antiqua" w:hAnsi="Book Antiqua" w:cs="Book Antiqua"/>
          <w:color w:val="000000"/>
        </w:rPr>
        <w:t xml:space="preserve"> = 410, all biliary tract cancers) the researchers observed a statistically significant difference in OS and in progression-free survival (11.7 </w:t>
      </w:r>
      <w:r w:rsidR="00164B79" w:rsidRPr="00436841">
        <w:rPr>
          <w:rFonts w:ascii="Book Antiqua" w:eastAsia="Book Antiqua" w:hAnsi="Book Antiqua" w:cs="Book Antiqua"/>
          <w:color w:val="000000"/>
        </w:rPr>
        <w:t>mo</w:t>
      </w:r>
      <w:r w:rsidR="00164B79" w:rsidRPr="00436841">
        <w:rPr>
          <w:rFonts w:ascii="Book Antiqua" w:eastAsia="Book Antiqua" w:hAnsi="Book Antiqua" w:cs="Book Antiqua"/>
          <w:i/>
          <w:iCs/>
          <w:color w:val="000000"/>
        </w:rPr>
        <w:t xml:space="preserve"> </w:t>
      </w:r>
      <w:r w:rsidRPr="00436841">
        <w:rPr>
          <w:rFonts w:ascii="Book Antiqua" w:eastAsia="Book Antiqua" w:hAnsi="Book Antiqua" w:cs="Book Antiqua"/>
          <w:i/>
          <w:iCs/>
          <w:color w:val="000000"/>
        </w:rPr>
        <w:t>vs</w:t>
      </w:r>
      <w:r w:rsidRPr="00436841">
        <w:rPr>
          <w:rFonts w:ascii="Book Antiqua" w:eastAsia="Book Antiqua" w:hAnsi="Book Antiqua" w:cs="Book Antiqua"/>
          <w:color w:val="000000"/>
        </w:rPr>
        <w:t xml:space="preserve"> 8.1 mo and 8 </w:t>
      </w:r>
      <w:r w:rsidR="00164B79" w:rsidRPr="00436841">
        <w:rPr>
          <w:rFonts w:ascii="Book Antiqua" w:eastAsia="Book Antiqua" w:hAnsi="Book Antiqua" w:cs="Book Antiqua"/>
          <w:color w:val="000000"/>
        </w:rPr>
        <w:t>mo</w:t>
      </w:r>
      <w:r w:rsidR="00164B79" w:rsidRPr="00436841">
        <w:rPr>
          <w:rFonts w:ascii="Book Antiqua" w:eastAsia="Book Antiqua" w:hAnsi="Book Antiqua" w:cs="Book Antiqua"/>
          <w:i/>
          <w:iCs/>
          <w:color w:val="000000"/>
        </w:rPr>
        <w:t xml:space="preserve"> </w:t>
      </w:r>
      <w:r w:rsidRPr="00436841">
        <w:rPr>
          <w:rFonts w:ascii="Book Antiqua" w:eastAsia="Book Antiqua" w:hAnsi="Book Antiqua" w:cs="Book Antiqua"/>
          <w:i/>
          <w:iCs/>
          <w:color w:val="000000"/>
        </w:rPr>
        <w:t>vs</w:t>
      </w:r>
      <w:r w:rsidRPr="00436841">
        <w:rPr>
          <w:rFonts w:ascii="Book Antiqua" w:eastAsia="Book Antiqua" w:hAnsi="Book Antiqua" w:cs="Book Antiqua"/>
          <w:color w:val="000000"/>
        </w:rPr>
        <w:t xml:space="preserve"> 5 mo, respectively) in favor of the GEMCIS combination compared to gemcitabine alone. The GEMOX combination may be used instead in patients with renal function impairment</w:t>
      </w:r>
      <w:r w:rsidRPr="00436841">
        <w:rPr>
          <w:rFonts w:ascii="Book Antiqua" w:eastAsia="Book Antiqua" w:hAnsi="Book Antiqua" w:cs="Book Antiqua"/>
          <w:color w:val="000000"/>
          <w:vertAlign w:val="superscript"/>
        </w:rPr>
        <w:t>[76]</w:t>
      </w:r>
      <w:r w:rsidRP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lastRenderedPageBreak/>
        <w:t>Additional combinations of chemotherapeutic agents are being investigated in the first-line setting, including more intensive, triple chemotherapy combinations like GEMCIS with nab-paclitaxel</w:t>
      </w:r>
      <w:r w:rsidRPr="00436841">
        <w:rPr>
          <w:rFonts w:ascii="Book Antiqua" w:eastAsia="Book Antiqua" w:hAnsi="Book Antiqua" w:cs="Book Antiqua"/>
          <w:color w:val="000000"/>
          <w:vertAlign w:val="superscript"/>
        </w:rPr>
        <w:t>[135]</w:t>
      </w:r>
      <w:r w:rsidRPr="00436841">
        <w:rPr>
          <w:rFonts w:ascii="Book Antiqua" w:eastAsia="Book Antiqua" w:hAnsi="Book Antiqua" w:cs="Book Antiqua"/>
          <w:color w:val="000000"/>
        </w:rPr>
        <w:t xml:space="preserve">. Acelarin is a </w:t>
      </w:r>
      <w:r w:rsidR="0029097D">
        <w:rPr>
          <w:rFonts w:ascii="Book Antiqua" w:eastAsia="Book Antiqua" w:hAnsi="Book Antiqua" w:cs="Book Antiqua"/>
          <w:color w:val="000000"/>
        </w:rPr>
        <w:t>NA</w:t>
      </w:r>
      <w:r w:rsidRPr="0029097D">
        <w:rPr>
          <w:rFonts w:ascii="Book Antiqua" w:eastAsia="Book Antiqua" w:hAnsi="Book Antiqua" w:cs="Book Antiqua"/>
          <w:color w:val="000000"/>
        </w:rPr>
        <w:t xml:space="preserve"> which can achieve greater intracellular concentrations than gemcitabine and its efficacy in combination with cisplatin is currently being investigated in a phase III study as opposed to GEMCIS (NCT04163900).</w:t>
      </w:r>
    </w:p>
    <w:p w14:paraId="42DF1682" w14:textId="1DBE4310" w:rsidR="006B6B7F" w:rsidRDefault="0048774A" w:rsidP="00D866CC">
      <w:pPr>
        <w:spacing w:line="360" w:lineRule="auto"/>
        <w:ind w:firstLineChars="112" w:firstLine="269"/>
        <w:jc w:val="both"/>
        <w:rPr>
          <w:rFonts w:ascii="Book Antiqua" w:hAnsi="Book Antiqua"/>
        </w:rPr>
      </w:pPr>
      <w:r w:rsidRPr="00436841">
        <w:rPr>
          <w:rFonts w:ascii="Book Antiqua" w:eastAsia="Book Antiqua" w:hAnsi="Book Antiqua" w:cs="Book Antiqua"/>
          <w:color w:val="000000"/>
        </w:rPr>
        <w:t>After disease progression under first-line chemotherapy with GEMCIS, the next best choice is probably the combination of folinic acid, fluorouracil and oxaliplatin (FOLFOX). In the phase III ABC-06 trial, 162 patients who had already signs of disease progression under GEMCIS administration, were randomly assigned to active symptom control alone or concomitant FOLFOX</w:t>
      </w:r>
      <w:r w:rsidRPr="00436841">
        <w:rPr>
          <w:rFonts w:ascii="Book Antiqua" w:eastAsia="Book Antiqua" w:hAnsi="Book Antiqua" w:cs="Book Antiqua"/>
          <w:color w:val="000000"/>
          <w:vertAlign w:val="superscript"/>
        </w:rPr>
        <w:t>[136]</w:t>
      </w:r>
      <w:r w:rsidRPr="00436841">
        <w:rPr>
          <w:rFonts w:ascii="Book Antiqua" w:eastAsia="Book Antiqua" w:hAnsi="Book Antiqua" w:cs="Book Antiqua"/>
          <w:color w:val="000000"/>
        </w:rPr>
        <w:t>. In this study, differences in 6</w:t>
      </w:r>
      <w:r w:rsidR="00404769">
        <w:rPr>
          <w:rFonts w:ascii="Book Antiqua" w:eastAsia="Book Antiqua" w:hAnsi="Book Antiqua" w:cs="Book Antiqua"/>
          <w:color w:val="000000"/>
        </w:rPr>
        <w:t>-</w:t>
      </w:r>
      <w:r w:rsidRPr="00436841">
        <w:rPr>
          <w:rFonts w:ascii="Book Antiqua" w:eastAsia="Book Antiqua" w:hAnsi="Book Antiqua" w:cs="Book Antiqua"/>
          <w:color w:val="000000"/>
        </w:rPr>
        <w:t xml:space="preserve"> and 12-mo survival (35% </w:t>
      </w:r>
      <w:r w:rsidRPr="00436841">
        <w:rPr>
          <w:rFonts w:ascii="Book Antiqua" w:eastAsia="Book Antiqua" w:hAnsi="Book Antiqua" w:cs="Book Antiqua"/>
          <w:i/>
          <w:iCs/>
          <w:color w:val="000000"/>
        </w:rPr>
        <w:t>vs</w:t>
      </w:r>
      <w:r w:rsidRPr="00436841">
        <w:rPr>
          <w:rFonts w:ascii="Book Antiqua" w:eastAsia="Book Antiqua" w:hAnsi="Book Antiqua" w:cs="Book Antiqua"/>
          <w:color w:val="000000"/>
        </w:rPr>
        <w:t xml:space="preserve"> 50.6% and 11.4% </w:t>
      </w:r>
      <w:r w:rsidRPr="00436841">
        <w:rPr>
          <w:rFonts w:ascii="Book Antiqua" w:eastAsia="Book Antiqua" w:hAnsi="Book Antiqua" w:cs="Book Antiqua"/>
          <w:i/>
          <w:iCs/>
          <w:color w:val="000000"/>
        </w:rPr>
        <w:t>vs</w:t>
      </w:r>
      <w:r w:rsidRPr="00436841">
        <w:rPr>
          <w:rFonts w:ascii="Book Antiqua" w:eastAsia="Book Antiqua" w:hAnsi="Book Antiqua" w:cs="Book Antiqua"/>
          <w:color w:val="000000"/>
        </w:rPr>
        <w:t xml:space="preserve"> 25.9%, respectively) were considered clinically important, although there was no</w:t>
      </w:r>
      <w:r w:rsidR="00187865">
        <w:rPr>
          <w:rFonts w:ascii="Book Antiqua" w:eastAsia="Book Antiqua" w:hAnsi="Book Antiqua" w:cs="Book Antiqua"/>
          <w:color w:val="000000"/>
        </w:rPr>
        <w:t xml:space="preserve"> </w:t>
      </w:r>
      <w:r w:rsidRPr="00436841">
        <w:rPr>
          <w:rFonts w:ascii="Book Antiqua" w:eastAsia="Book Antiqua" w:hAnsi="Book Antiqua" w:cs="Book Antiqua"/>
          <w:color w:val="000000"/>
        </w:rPr>
        <w:t xml:space="preserve">significant difference in the median OS between the two arms (5.3 </w:t>
      </w:r>
      <w:r w:rsidR="00164B79" w:rsidRPr="00436841">
        <w:rPr>
          <w:rFonts w:ascii="Book Antiqua" w:eastAsia="Book Antiqua" w:hAnsi="Book Antiqua" w:cs="Book Antiqua"/>
          <w:color w:val="000000"/>
        </w:rPr>
        <w:t>mo</w:t>
      </w:r>
      <w:r w:rsidR="00164B79" w:rsidRPr="00436841">
        <w:rPr>
          <w:rFonts w:ascii="Book Antiqua" w:eastAsia="Book Antiqua" w:hAnsi="Book Antiqua" w:cs="Book Antiqua"/>
          <w:i/>
          <w:iCs/>
          <w:color w:val="000000"/>
        </w:rPr>
        <w:t xml:space="preserve"> </w:t>
      </w:r>
      <w:r w:rsidRPr="00436841">
        <w:rPr>
          <w:rFonts w:ascii="Book Antiqua" w:eastAsia="Book Antiqua" w:hAnsi="Book Antiqua" w:cs="Book Antiqua"/>
          <w:i/>
          <w:iCs/>
          <w:color w:val="000000"/>
        </w:rPr>
        <w:t>vs</w:t>
      </w:r>
      <w:r w:rsidRPr="00436841">
        <w:rPr>
          <w:rFonts w:ascii="Book Antiqua" w:eastAsia="Book Antiqua" w:hAnsi="Book Antiqua" w:cs="Book Antiqua"/>
          <w:color w:val="000000"/>
        </w:rPr>
        <w:t xml:space="preserve"> 6.2 mo).</w:t>
      </w:r>
    </w:p>
    <w:p w14:paraId="036F4A01" w14:textId="77777777" w:rsidR="006B6B7F" w:rsidRDefault="0048774A" w:rsidP="00D866CC">
      <w:pPr>
        <w:spacing w:line="360" w:lineRule="auto"/>
        <w:ind w:firstLineChars="112" w:firstLine="269"/>
        <w:jc w:val="both"/>
        <w:rPr>
          <w:rFonts w:ascii="Book Antiqua" w:hAnsi="Book Antiqua"/>
        </w:rPr>
      </w:pPr>
      <w:r w:rsidRPr="00436841">
        <w:rPr>
          <w:rFonts w:ascii="Book Antiqua" w:eastAsia="Book Antiqua" w:hAnsi="Book Antiqua" w:cs="Book Antiqua"/>
          <w:color w:val="000000"/>
        </w:rPr>
        <w:t xml:space="preserve">A recent multicenter study used clinical and pathological data in addition to information from RNA sequencing in order to identify distinct subtypes of iCCA that might have favorable response to specific treatments. In the subtype that was associated with hepatitis B and C, an </w:t>
      </w:r>
      <w:r w:rsidRPr="00436841">
        <w:rPr>
          <w:rFonts w:ascii="Book Antiqua" w:eastAsia="Book Antiqua" w:hAnsi="Book Antiqua" w:cs="Book Antiqua"/>
          <w:i/>
          <w:iCs/>
          <w:color w:val="000000"/>
        </w:rPr>
        <w:t xml:space="preserve">in vivo </w:t>
      </w:r>
      <w:r w:rsidRPr="00436841">
        <w:rPr>
          <w:rFonts w:ascii="Book Antiqua" w:eastAsia="Book Antiqua" w:hAnsi="Book Antiqua" w:cs="Book Antiqua"/>
          <w:color w:val="000000"/>
        </w:rPr>
        <w:t>sensitivity to gemcitabine was observed. This was attributed to a higher expression of gemcitabine-response genes (SLC28A1 and SLC29A1)</w:t>
      </w:r>
      <w:r w:rsidRPr="00436841">
        <w:rPr>
          <w:rFonts w:ascii="Book Antiqua" w:eastAsia="Book Antiqua" w:hAnsi="Book Antiqua" w:cs="Book Antiqua"/>
          <w:color w:val="000000"/>
          <w:vertAlign w:val="superscript"/>
        </w:rPr>
        <w:t>[137]</w:t>
      </w:r>
      <w:r w:rsidRPr="00436841">
        <w:rPr>
          <w:rFonts w:ascii="Book Antiqua" w:eastAsia="Book Antiqua" w:hAnsi="Book Antiqua" w:cs="Book Antiqua"/>
          <w:color w:val="000000"/>
        </w:rPr>
        <w:t>. However, these findings should be confirmed in large clinical studies prior to establishing a recommendation for patients with hepatitis B.</w:t>
      </w:r>
    </w:p>
    <w:p w14:paraId="5F76B47F" w14:textId="77777777" w:rsidR="00A77B3E" w:rsidRPr="00436841" w:rsidRDefault="00A77B3E" w:rsidP="00ED58D3">
      <w:pPr>
        <w:spacing w:line="360" w:lineRule="auto"/>
        <w:jc w:val="both"/>
        <w:rPr>
          <w:rFonts w:ascii="Book Antiqua" w:hAnsi="Book Antiqua"/>
        </w:rPr>
      </w:pPr>
    </w:p>
    <w:p w14:paraId="67F74573" w14:textId="77777777" w:rsidR="00A77B3E" w:rsidRPr="00436841" w:rsidRDefault="0048774A" w:rsidP="00ED58D3">
      <w:pPr>
        <w:spacing w:line="360" w:lineRule="auto"/>
        <w:jc w:val="both"/>
        <w:rPr>
          <w:rFonts w:ascii="Book Antiqua" w:hAnsi="Book Antiqua"/>
          <w:i/>
          <w:iCs/>
        </w:rPr>
      </w:pPr>
      <w:r w:rsidRPr="00436841">
        <w:rPr>
          <w:rFonts w:ascii="Book Antiqua" w:eastAsia="Book Antiqua" w:hAnsi="Book Antiqua" w:cs="Book Antiqua"/>
          <w:b/>
          <w:bCs/>
          <w:i/>
          <w:iCs/>
          <w:color w:val="000000"/>
        </w:rPr>
        <w:t>Locoregional treatments</w:t>
      </w:r>
    </w:p>
    <w:p w14:paraId="14303A67" w14:textId="271F8711"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Locoregional therapies have implicit appeal as a treatment option for iCCA, as it is a PLC and often the disease burden is either completely or largely confined to the liver</w:t>
      </w:r>
      <w:r w:rsidRPr="00436841">
        <w:rPr>
          <w:rFonts w:ascii="Book Antiqua" w:eastAsia="Book Antiqua" w:hAnsi="Book Antiqua" w:cs="Book Antiqua"/>
          <w:color w:val="000000"/>
          <w:vertAlign w:val="superscript"/>
        </w:rPr>
        <w:t>[138]</w:t>
      </w:r>
      <w:r w:rsidRPr="00436841">
        <w:rPr>
          <w:rFonts w:ascii="Book Antiqua" w:eastAsia="Book Antiqua" w:hAnsi="Book Antiqua" w:cs="Book Antiqua"/>
          <w:color w:val="000000"/>
        </w:rPr>
        <w:t>. The most widely used types of locoregional therapeutic regimens in iCCA are TACE, radiofrequency ablation (RFA) and microwave ablation (MWA) and transarterial radioembolization (TARE) with Yttrium</w:t>
      </w:r>
      <w:r w:rsidRPr="00436841">
        <w:rPr>
          <w:rFonts w:ascii="Book Antiqua" w:eastAsia="Book Antiqua" w:hAnsi="Book Antiqua" w:cs="Book Antiqua"/>
          <w:color w:val="000000"/>
          <w:vertAlign w:val="superscript"/>
        </w:rPr>
        <w:t>90</w:t>
      </w:r>
      <w:r w:rsidRPr="00436841">
        <w:rPr>
          <w:rFonts w:ascii="Book Antiqua" w:eastAsia="Book Antiqua" w:hAnsi="Book Antiqua" w:cs="Book Antiqua"/>
          <w:color w:val="000000"/>
        </w:rPr>
        <w:t xml:space="preserve"> (Y-90). The possible role of these modalities in the management of iCCA has </w:t>
      </w:r>
      <w:r w:rsidR="00187865">
        <w:rPr>
          <w:rFonts w:ascii="Book Antiqua" w:eastAsia="Book Antiqua" w:hAnsi="Book Antiqua" w:cs="Book Antiqua"/>
          <w:color w:val="000000"/>
        </w:rPr>
        <w:t xml:space="preserve">mainly </w:t>
      </w:r>
      <w:r w:rsidRPr="00187865">
        <w:rPr>
          <w:rFonts w:ascii="Book Antiqua" w:eastAsia="Book Antiqua" w:hAnsi="Book Antiqua" w:cs="Book Antiqua"/>
          <w:color w:val="000000"/>
        </w:rPr>
        <w:t xml:space="preserve">been investigated by retrospective studies in various settings. Consequently, the results of the studies are difficult to interpret, due to </w:t>
      </w:r>
      <w:r w:rsidRPr="00187865">
        <w:rPr>
          <w:rFonts w:ascii="Book Antiqua" w:eastAsia="Book Antiqua" w:hAnsi="Book Antiqua" w:cs="Book Antiqua"/>
          <w:color w:val="000000"/>
        </w:rPr>
        <w:lastRenderedPageBreak/>
        <w:t>the high heterogeneity in terms of patient population (chemotherapy naïve or not) and t</w:t>
      </w:r>
      <w:r w:rsidRPr="00436841">
        <w:rPr>
          <w:rFonts w:ascii="Book Antiqua" w:eastAsia="Book Antiqua" w:hAnsi="Book Antiqua" w:cs="Book Antiqua"/>
          <w:color w:val="000000"/>
        </w:rPr>
        <w:t xml:space="preserve">ype of treatment. </w:t>
      </w:r>
    </w:p>
    <w:p w14:paraId="193D2AEE" w14:textId="19217AC4" w:rsidR="006B6B7F" w:rsidRDefault="0048774A" w:rsidP="00D866CC">
      <w:pPr>
        <w:spacing w:line="360" w:lineRule="auto"/>
        <w:ind w:firstLineChars="112" w:firstLine="269"/>
        <w:jc w:val="both"/>
        <w:rPr>
          <w:rFonts w:ascii="Book Antiqua" w:hAnsi="Book Antiqua"/>
        </w:rPr>
      </w:pPr>
      <w:r w:rsidRPr="00436841">
        <w:rPr>
          <w:rFonts w:ascii="Book Antiqua" w:eastAsia="Book Antiqua" w:hAnsi="Book Antiqua" w:cs="Book Antiqua"/>
          <w:color w:val="000000"/>
        </w:rPr>
        <w:t>T</w:t>
      </w:r>
      <w:r w:rsidR="002E64DD" w:rsidRPr="00436841">
        <w:rPr>
          <w:rFonts w:ascii="Book Antiqua" w:eastAsia="Book Antiqua" w:hAnsi="Book Antiqua" w:cs="Book Antiqua"/>
          <w:color w:val="000000"/>
        </w:rPr>
        <w:t>ACE</w:t>
      </w:r>
      <w:r w:rsidRPr="00436841">
        <w:rPr>
          <w:rFonts w:ascii="Book Antiqua" w:eastAsia="Book Antiqua" w:hAnsi="Book Antiqua" w:cs="Book Antiqua"/>
          <w:color w:val="000000"/>
        </w:rPr>
        <w:t xml:space="preserve"> is the most widely used treatment modality for patients with intermediate stage HCC not eligible for curative treatments. The rationale for TACE is based on the hypervascular nature of HCC that enables both strong cytotoxic and ischemic effects following the intra-arterial infusion of a cytotoxic agent and the selective embolization of the blood vessels feeding the tumor. However, iCCA rarely appears hypervascular on CT or MRI studies</w:t>
      </w:r>
      <w:r w:rsidRPr="00436841">
        <w:rPr>
          <w:rFonts w:ascii="Book Antiqua" w:eastAsia="Book Antiqua" w:hAnsi="Book Antiqua" w:cs="Book Antiqua"/>
          <w:color w:val="000000"/>
          <w:vertAlign w:val="superscript"/>
        </w:rPr>
        <w:t>[68]</w:t>
      </w:r>
      <w:r w:rsidRPr="00436841">
        <w:rPr>
          <w:rFonts w:ascii="Book Antiqua" w:eastAsia="Book Antiqua" w:hAnsi="Book Antiqua" w:cs="Book Antiqua"/>
          <w:color w:val="000000"/>
        </w:rPr>
        <w:t>. Despite that, a retrospective study showed that TACE (</w:t>
      </w:r>
      <w:r w:rsidRPr="00436841">
        <w:rPr>
          <w:rFonts w:ascii="Book Antiqua" w:eastAsia="Book Antiqua" w:hAnsi="Book Antiqua" w:cs="Book Antiqua"/>
          <w:i/>
          <w:iCs/>
          <w:color w:val="000000"/>
        </w:rPr>
        <w:t>n</w:t>
      </w:r>
      <w:r w:rsidRPr="00436841">
        <w:rPr>
          <w:rFonts w:ascii="Book Antiqua" w:eastAsia="Book Antiqua" w:hAnsi="Book Antiqua" w:cs="Book Antiqua"/>
          <w:color w:val="000000"/>
        </w:rPr>
        <w:t xml:space="preserve"> = 72) could be beneficial in terms of OS to patients with unresectable iCCA when compared to supportive care (</w:t>
      </w:r>
      <w:r w:rsidRPr="00436841">
        <w:rPr>
          <w:rFonts w:ascii="Book Antiqua" w:eastAsia="Book Antiqua" w:hAnsi="Book Antiqua" w:cs="Book Antiqua"/>
          <w:i/>
          <w:iCs/>
          <w:color w:val="000000"/>
        </w:rPr>
        <w:t>n</w:t>
      </w:r>
      <w:r w:rsidRPr="00436841">
        <w:rPr>
          <w:rFonts w:ascii="Book Antiqua" w:eastAsia="Book Antiqua" w:hAnsi="Book Antiqua" w:cs="Book Antiqua"/>
          <w:color w:val="000000"/>
        </w:rPr>
        <w:t xml:space="preserve"> = 83, OS</w:t>
      </w:r>
      <w:r w:rsidR="00164B79" w:rsidRP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t>=</w:t>
      </w:r>
      <w:r w:rsidR="00164B79" w:rsidRP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t xml:space="preserve">12.2 </w:t>
      </w:r>
      <w:r w:rsidRPr="00436841">
        <w:rPr>
          <w:rFonts w:ascii="Book Antiqua" w:eastAsia="Book Antiqua" w:hAnsi="Book Antiqua" w:cs="Book Antiqua"/>
          <w:i/>
          <w:iCs/>
          <w:color w:val="000000"/>
        </w:rPr>
        <w:t xml:space="preserve">vs </w:t>
      </w:r>
      <w:r w:rsidRPr="00436841">
        <w:rPr>
          <w:rFonts w:ascii="Book Antiqua" w:eastAsia="Book Antiqua" w:hAnsi="Book Antiqua" w:cs="Book Antiqua"/>
          <w:color w:val="000000"/>
        </w:rPr>
        <w:t>3.3 mo</w:t>
      </w:r>
      <w:r w:rsidR="00BC0A0E">
        <w:rPr>
          <w:rFonts w:ascii="Book Antiqua" w:eastAsia="Book Antiqua" w:hAnsi="Book Antiqua" w:cs="Book Antiqua"/>
          <w:color w:val="000000"/>
        </w:rPr>
        <w:t>,</w:t>
      </w:r>
      <w:r w:rsidRPr="00BC0A0E">
        <w:rPr>
          <w:rFonts w:ascii="Book Antiqua" w:eastAsia="Book Antiqua" w:hAnsi="Book Antiqua" w:cs="Book Antiqua"/>
          <w:color w:val="000000"/>
        </w:rPr>
        <w:t xml:space="preserve"> respectively)</w:t>
      </w:r>
      <w:r w:rsidRPr="00BC0A0E">
        <w:rPr>
          <w:rFonts w:ascii="Book Antiqua" w:eastAsia="Book Antiqua" w:hAnsi="Book Antiqua" w:cs="Book Antiqua"/>
          <w:color w:val="000000"/>
          <w:vertAlign w:val="superscript"/>
        </w:rPr>
        <w:t>[139]</w:t>
      </w:r>
      <w:r w:rsidRPr="00BC0A0E">
        <w:rPr>
          <w:rFonts w:ascii="Book Antiqua" w:eastAsia="Book Antiqua" w:hAnsi="Book Antiqua" w:cs="Book Antiqua"/>
          <w:color w:val="000000"/>
        </w:rPr>
        <w:t>. However, in another multi</w:t>
      </w:r>
      <w:r w:rsidRPr="00436841">
        <w:rPr>
          <w:rFonts w:ascii="Book Antiqua" w:eastAsia="Book Antiqua" w:hAnsi="Book Antiqua" w:cs="Book Antiqua"/>
          <w:color w:val="000000"/>
        </w:rPr>
        <w:t>institutional retrospective study of 188 patients with advanced-stage iCCA, TACE did not seem to have any significant benefit when compared to other arterial-based therapeutic interventions</w:t>
      </w:r>
      <w:r w:rsidRPr="00436841">
        <w:rPr>
          <w:rFonts w:ascii="Book Antiqua" w:eastAsia="Book Antiqua" w:hAnsi="Book Antiqua" w:cs="Book Antiqua"/>
          <w:color w:val="000000"/>
          <w:vertAlign w:val="superscript"/>
        </w:rPr>
        <w:t>[138]</w:t>
      </w:r>
      <w:r w:rsidRPr="00436841">
        <w:rPr>
          <w:rFonts w:ascii="Book Antiqua" w:eastAsia="Book Antiqua" w:hAnsi="Book Antiqua" w:cs="Book Antiqua"/>
          <w:color w:val="000000"/>
        </w:rPr>
        <w:t xml:space="preserve">. The efficacy of TACE has also been investigated in the adjuvant setting by a prospective study of 553 consecutive patients (122 TACE </w:t>
      </w:r>
      <w:r w:rsidRPr="00436841">
        <w:rPr>
          <w:rFonts w:ascii="Book Antiqua" w:eastAsia="Book Antiqua" w:hAnsi="Book Antiqua" w:cs="Book Antiqua"/>
          <w:i/>
          <w:iCs/>
          <w:color w:val="000000"/>
        </w:rPr>
        <w:t>vs</w:t>
      </w:r>
      <w:r w:rsidRPr="00436841">
        <w:rPr>
          <w:rFonts w:ascii="Book Antiqua" w:eastAsia="Book Antiqua" w:hAnsi="Book Antiqua" w:cs="Book Antiqua"/>
          <w:color w:val="000000"/>
        </w:rPr>
        <w:t xml:space="preserve"> 431 non-TACE)</w:t>
      </w:r>
      <w:r w:rsidRPr="00436841">
        <w:rPr>
          <w:rFonts w:ascii="Book Antiqua" w:eastAsia="Book Antiqua" w:hAnsi="Book Antiqua" w:cs="Book Antiqua"/>
          <w:color w:val="000000"/>
          <w:vertAlign w:val="superscript"/>
        </w:rPr>
        <w:t>[140]</w:t>
      </w:r>
      <w:r w:rsidRPr="00436841">
        <w:rPr>
          <w:rFonts w:ascii="Book Antiqua" w:eastAsia="Book Antiqua" w:hAnsi="Book Antiqua" w:cs="Book Antiqua"/>
          <w:color w:val="000000"/>
        </w:rPr>
        <w:t>. Although in the whole cohort</w:t>
      </w:r>
      <w:r w:rsidR="00BC0A0E">
        <w:rPr>
          <w:rFonts w:ascii="Book Antiqua" w:eastAsia="Book Antiqua" w:hAnsi="Book Antiqua" w:cs="Book Antiqua"/>
          <w:color w:val="000000"/>
        </w:rPr>
        <w:t>,</w:t>
      </w:r>
      <w:r w:rsidRPr="00BC0A0E">
        <w:rPr>
          <w:rFonts w:ascii="Book Antiqua" w:eastAsia="Book Antiqua" w:hAnsi="Book Antiqua" w:cs="Book Antiqua"/>
          <w:color w:val="000000"/>
        </w:rPr>
        <w:t xml:space="preserve"> the 5-year OS rates between groups were significantly different (38.4% </w:t>
      </w:r>
      <w:r w:rsidRPr="00BC0A0E">
        <w:rPr>
          <w:rFonts w:ascii="Book Antiqua" w:eastAsia="Book Antiqua" w:hAnsi="Book Antiqua" w:cs="Book Antiqua"/>
          <w:i/>
          <w:iCs/>
          <w:color w:val="000000"/>
        </w:rPr>
        <w:t>vs</w:t>
      </w:r>
      <w:r w:rsidRPr="00BC0A0E">
        <w:rPr>
          <w:rFonts w:ascii="Book Antiqua" w:eastAsia="Book Antiqua" w:hAnsi="Book Antiqua" w:cs="Book Antiqua"/>
          <w:color w:val="000000"/>
        </w:rPr>
        <w:t xml:space="preserve"> 29.7)</w:t>
      </w:r>
      <w:r w:rsidRPr="00436841">
        <w:rPr>
          <w:rFonts w:ascii="Book Antiqua" w:eastAsia="Book Antiqua" w:hAnsi="Book Antiqua" w:cs="Book Antiqua"/>
          <w:color w:val="000000"/>
        </w:rPr>
        <w:t xml:space="preserve"> after 1:1 propensity score matching no significant differences were observed regarding OS or 5-year recurrence rate. Nevertheless, a recent systematic review and meta-analysis concluded that TACE in the adjuvant setting can actually prolong both the OS and the relapse-free survival</w:t>
      </w:r>
      <w:r w:rsidRPr="00436841">
        <w:rPr>
          <w:rFonts w:ascii="Book Antiqua" w:eastAsia="Book Antiqua" w:hAnsi="Book Antiqua" w:cs="Book Antiqua"/>
          <w:color w:val="000000"/>
          <w:vertAlign w:val="superscript"/>
        </w:rPr>
        <w:t>[141]</w:t>
      </w:r>
      <w:r w:rsidRPr="00436841">
        <w:rPr>
          <w:rFonts w:ascii="Book Antiqua" w:eastAsia="Book Antiqua" w:hAnsi="Book Antiqua" w:cs="Book Antiqua"/>
          <w:color w:val="000000"/>
        </w:rPr>
        <w:t>. A small, prospective study from China included 42 either HBsAg(+) or HBcAb(+) patients with iCCA who had received SR with curative intent and evaluated the prognostic impact of postoperative TACE</w:t>
      </w:r>
      <w:r w:rsidRPr="00436841">
        <w:rPr>
          <w:rFonts w:ascii="Book Antiqua" w:eastAsia="Book Antiqua" w:hAnsi="Book Antiqua" w:cs="Book Antiqua"/>
          <w:color w:val="000000"/>
          <w:vertAlign w:val="superscript"/>
        </w:rPr>
        <w:t>[118]</w:t>
      </w:r>
      <w:r w:rsidRPr="00436841">
        <w:rPr>
          <w:rFonts w:ascii="Book Antiqua" w:eastAsia="Book Antiqua" w:hAnsi="Book Antiqua" w:cs="Book Antiqua"/>
          <w:color w:val="000000"/>
        </w:rPr>
        <w:t>. TACE was performed in 9 patients who had demonstrated early recurrence of the tumor within 12 mo from the surgery. The OS of the patients in the TACE (</w:t>
      </w:r>
      <w:r w:rsidRPr="00436841">
        <w:rPr>
          <w:rFonts w:ascii="Book Antiqua" w:eastAsia="Book Antiqua" w:hAnsi="Book Antiqua" w:cs="Book Antiqua"/>
          <w:i/>
          <w:iCs/>
          <w:color w:val="000000"/>
        </w:rPr>
        <w:t>n</w:t>
      </w:r>
      <w:r w:rsidRPr="00436841">
        <w:rPr>
          <w:rFonts w:ascii="Book Antiqua" w:eastAsia="Book Antiqua" w:hAnsi="Book Antiqua" w:cs="Book Antiqua"/>
          <w:color w:val="000000"/>
        </w:rPr>
        <w:t xml:space="preserve"> = 9) group was significantly prolonged (1-y</w:t>
      </w:r>
      <w:r w:rsidR="00164B79" w:rsidRPr="00436841">
        <w:rPr>
          <w:rFonts w:ascii="Book Antiqua" w:eastAsia="Book Antiqua" w:hAnsi="Book Antiqua" w:cs="Book Antiqua"/>
          <w:color w:val="000000"/>
        </w:rPr>
        <w:t>ea</w:t>
      </w:r>
      <w:r w:rsidRPr="00436841">
        <w:rPr>
          <w:rFonts w:ascii="Book Antiqua" w:eastAsia="Book Antiqua" w:hAnsi="Book Antiqua" w:cs="Book Antiqua"/>
          <w:color w:val="000000"/>
        </w:rPr>
        <w:t>r, 88.9%; 3-y</w:t>
      </w:r>
      <w:r w:rsidR="00164B79" w:rsidRPr="00436841">
        <w:rPr>
          <w:rFonts w:ascii="Book Antiqua" w:eastAsia="Book Antiqua" w:hAnsi="Book Antiqua" w:cs="Book Antiqua"/>
          <w:color w:val="000000"/>
        </w:rPr>
        <w:t>ea</w:t>
      </w:r>
      <w:r w:rsidRPr="00436841">
        <w:rPr>
          <w:rFonts w:ascii="Book Antiqua" w:eastAsia="Book Antiqua" w:hAnsi="Book Antiqua" w:cs="Book Antiqua"/>
          <w:color w:val="000000"/>
        </w:rPr>
        <w:t>r, 77.8%; 5-y</w:t>
      </w:r>
      <w:r w:rsidR="00164B79" w:rsidRPr="00436841">
        <w:rPr>
          <w:rFonts w:ascii="Book Antiqua" w:eastAsia="Book Antiqua" w:hAnsi="Book Antiqua" w:cs="Book Antiqua"/>
          <w:color w:val="000000"/>
        </w:rPr>
        <w:t>ea</w:t>
      </w:r>
      <w:r w:rsidRPr="00436841">
        <w:rPr>
          <w:rFonts w:ascii="Book Antiqua" w:eastAsia="Book Antiqua" w:hAnsi="Book Antiqua" w:cs="Book Antiqua"/>
          <w:color w:val="000000"/>
        </w:rPr>
        <w:t>r, 66.7%) as compared to the non-TACE (</w:t>
      </w:r>
      <w:r w:rsidRPr="00436841">
        <w:rPr>
          <w:rFonts w:ascii="Book Antiqua" w:eastAsia="Book Antiqua" w:hAnsi="Book Antiqua" w:cs="Book Antiqua"/>
          <w:i/>
          <w:iCs/>
          <w:color w:val="000000"/>
        </w:rPr>
        <w:t>n</w:t>
      </w:r>
      <w:r w:rsidRPr="00436841">
        <w:rPr>
          <w:rFonts w:ascii="Book Antiqua" w:eastAsia="Book Antiqua" w:hAnsi="Book Antiqua" w:cs="Book Antiqua"/>
          <w:color w:val="000000"/>
        </w:rPr>
        <w:t xml:space="preserve"> = 33) group (1-y</w:t>
      </w:r>
      <w:r w:rsidR="00164B79" w:rsidRPr="00436841">
        <w:rPr>
          <w:rFonts w:ascii="Book Antiqua" w:eastAsia="Book Antiqua" w:hAnsi="Book Antiqua" w:cs="Book Antiqua"/>
          <w:color w:val="000000"/>
        </w:rPr>
        <w:t>ea</w:t>
      </w:r>
      <w:r w:rsidRPr="00436841">
        <w:rPr>
          <w:rFonts w:ascii="Book Antiqua" w:eastAsia="Book Antiqua" w:hAnsi="Book Antiqua" w:cs="Book Antiqua"/>
          <w:color w:val="000000"/>
        </w:rPr>
        <w:t>r, 63.6%; 3-y</w:t>
      </w:r>
      <w:r w:rsidR="00164B79" w:rsidRPr="00436841">
        <w:rPr>
          <w:rFonts w:ascii="Book Antiqua" w:eastAsia="Book Antiqua" w:hAnsi="Book Antiqua" w:cs="Book Antiqua"/>
          <w:color w:val="000000"/>
        </w:rPr>
        <w:t>ea</w:t>
      </w:r>
      <w:r w:rsidRPr="00436841">
        <w:rPr>
          <w:rFonts w:ascii="Book Antiqua" w:eastAsia="Book Antiqua" w:hAnsi="Book Antiqua" w:cs="Book Antiqua"/>
          <w:color w:val="000000"/>
        </w:rPr>
        <w:t>r, 30.8%; 5-y</w:t>
      </w:r>
      <w:r w:rsidR="00164B79" w:rsidRPr="00436841">
        <w:rPr>
          <w:rFonts w:ascii="Book Antiqua" w:eastAsia="Book Antiqua" w:hAnsi="Book Antiqua" w:cs="Book Antiqua"/>
          <w:color w:val="000000"/>
        </w:rPr>
        <w:t>ea</w:t>
      </w:r>
      <w:r w:rsidRPr="00436841">
        <w:rPr>
          <w:rFonts w:ascii="Book Antiqua" w:eastAsia="Book Antiqua" w:hAnsi="Book Antiqua" w:cs="Book Antiqua"/>
          <w:color w:val="000000"/>
        </w:rPr>
        <w:t>r, 13%), implying that TACE could have a role in the management of patients with HBV</w:t>
      </w:r>
      <w:r w:rsidR="00BC0A0E">
        <w:rPr>
          <w:rFonts w:ascii="Book Antiqua" w:eastAsia="Book Antiqua" w:hAnsi="Book Antiqua" w:cs="Book Antiqua"/>
          <w:color w:val="000000"/>
        </w:rPr>
        <w:t>-</w:t>
      </w:r>
      <w:r w:rsidRPr="00436841">
        <w:rPr>
          <w:rFonts w:ascii="Book Antiqua" w:eastAsia="Book Antiqua" w:hAnsi="Book Antiqua" w:cs="Book Antiqua"/>
          <w:color w:val="000000"/>
        </w:rPr>
        <w:t>associated iCCA when performed in the adjuvant setting.</w:t>
      </w:r>
    </w:p>
    <w:p w14:paraId="5AA4B810" w14:textId="263283F4" w:rsidR="006B6B7F" w:rsidRDefault="0048774A" w:rsidP="00D866CC">
      <w:pPr>
        <w:spacing w:line="360" w:lineRule="auto"/>
        <w:ind w:firstLineChars="112" w:firstLine="269"/>
        <w:jc w:val="both"/>
        <w:rPr>
          <w:rFonts w:ascii="Book Antiqua" w:hAnsi="Book Antiqua"/>
        </w:rPr>
      </w:pPr>
      <w:r w:rsidRPr="00436841">
        <w:rPr>
          <w:rFonts w:ascii="Book Antiqua" w:eastAsia="Book Antiqua" w:hAnsi="Book Antiqua" w:cs="Book Antiqua"/>
          <w:color w:val="000000"/>
        </w:rPr>
        <w:t xml:space="preserve">A theoretical advantage of ablative therapies like RFA and MWA when compared to TACE, is that they </w:t>
      </w:r>
      <w:r w:rsidR="00BC0A0E">
        <w:rPr>
          <w:rFonts w:ascii="Book Antiqua" w:eastAsia="Book Antiqua" w:hAnsi="Book Antiqua" w:cs="Book Antiqua"/>
          <w:color w:val="000000"/>
        </w:rPr>
        <w:t>are</w:t>
      </w:r>
      <w:r w:rsidRPr="00BC0A0E">
        <w:rPr>
          <w:rFonts w:ascii="Book Antiqua" w:eastAsia="Book Antiqua" w:hAnsi="Book Antiqua" w:cs="Book Antiqua"/>
          <w:color w:val="000000"/>
        </w:rPr>
        <w:t xml:space="preserve"> safe and effective </w:t>
      </w:r>
      <w:r w:rsidR="00BC0A0E">
        <w:rPr>
          <w:rFonts w:ascii="Book Antiqua" w:eastAsia="Book Antiqua" w:hAnsi="Book Antiqua" w:cs="Book Antiqua"/>
          <w:color w:val="000000"/>
        </w:rPr>
        <w:t>for</w:t>
      </w:r>
      <w:r w:rsidRPr="00BC0A0E">
        <w:rPr>
          <w:rFonts w:ascii="Book Antiqua" w:eastAsia="Book Antiqua" w:hAnsi="Book Antiqua" w:cs="Book Antiqua"/>
          <w:color w:val="000000"/>
        </w:rPr>
        <w:t xml:space="preserve"> the local control of hepatic malignancies in patients considered unsuitable for </w:t>
      </w:r>
      <w:r w:rsidR="006D67C5" w:rsidRPr="00BC0A0E">
        <w:rPr>
          <w:rFonts w:ascii="Book Antiqua" w:eastAsia="Book Antiqua" w:hAnsi="Book Antiqua" w:cs="Book Antiqua"/>
          <w:color w:val="000000"/>
        </w:rPr>
        <w:t>SR</w:t>
      </w:r>
      <w:r w:rsidRPr="00436841">
        <w:rPr>
          <w:rFonts w:ascii="Book Antiqua" w:eastAsia="Book Antiqua" w:hAnsi="Book Antiqua" w:cs="Book Antiqua"/>
          <w:color w:val="000000"/>
        </w:rPr>
        <w:t xml:space="preserve"> without regard to the tumor’s vascular </w:t>
      </w:r>
      <w:r w:rsidRPr="00436841">
        <w:rPr>
          <w:rFonts w:ascii="Book Antiqua" w:eastAsia="Book Antiqua" w:hAnsi="Book Antiqua" w:cs="Book Antiqua"/>
          <w:color w:val="000000"/>
        </w:rPr>
        <w:lastRenderedPageBreak/>
        <w:t>profile</w:t>
      </w:r>
      <w:r w:rsidRPr="00436841">
        <w:rPr>
          <w:rFonts w:ascii="Book Antiqua" w:eastAsia="Book Antiqua" w:hAnsi="Book Antiqua" w:cs="Book Antiqua"/>
          <w:color w:val="000000"/>
          <w:vertAlign w:val="superscript"/>
        </w:rPr>
        <w:t>[142,143]</w:t>
      </w:r>
      <w:r w:rsidRPr="00436841">
        <w:rPr>
          <w:rFonts w:ascii="Book Antiqua" w:eastAsia="Book Antiqua" w:hAnsi="Book Antiqua" w:cs="Book Antiqua"/>
          <w:color w:val="000000"/>
        </w:rPr>
        <w:t xml:space="preserve">. The efficacy of ablative therapies in the management of unresectable iCCA has been </w:t>
      </w:r>
      <w:r w:rsidR="00BC0A0E">
        <w:rPr>
          <w:rFonts w:ascii="Book Antiqua" w:eastAsia="Book Antiqua" w:hAnsi="Book Antiqua" w:cs="Book Antiqua"/>
          <w:color w:val="000000"/>
        </w:rPr>
        <w:t xml:space="preserve">mostly </w:t>
      </w:r>
      <w:r w:rsidRPr="00BC0A0E">
        <w:rPr>
          <w:rFonts w:ascii="Book Antiqua" w:eastAsia="Book Antiqua" w:hAnsi="Book Antiqua" w:cs="Book Antiqua"/>
          <w:color w:val="000000"/>
        </w:rPr>
        <w:t xml:space="preserve">studied in small-scale, retrospective studies. </w:t>
      </w:r>
      <w:r w:rsidR="00164B79" w:rsidRPr="00BC0A0E">
        <w:rPr>
          <w:rFonts w:ascii="Book Antiqua" w:eastAsia="Book Antiqua" w:hAnsi="Book Antiqua" w:cs="Book Antiqua"/>
          <w:color w:val="000000"/>
        </w:rPr>
        <w:t>RFA</w:t>
      </w:r>
      <w:r w:rsidRPr="00BC0A0E">
        <w:rPr>
          <w:rFonts w:ascii="Book Antiqua" w:eastAsia="Book Antiqua" w:hAnsi="Book Antiqua" w:cs="Book Antiqua"/>
          <w:color w:val="000000"/>
        </w:rPr>
        <w:t xml:space="preserve"> and MWA seem to be helpful for smaller tumors (&lt;</w:t>
      </w:r>
      <w:r w:rsidR="00164B79" w:rsidRPr="00BC0A0E">
        <w:rPr>
          <w:rFonts w:ascii="Book Antiqua" w:eastAsia="Book Antiqua" w:hAnsi="Book Antiqua" w:cs="Book Antiqua"/>
          <w:color w:val="000000"/>
        </w:rPr>
        <w:t xml:space="preserve"> </w:t>
      </w:r>
      <w:r w:rsidRPr="00BC0A0E">
        <w:rPr>
          <w:rFonts w:ascii="Book Antiqua" w:eastAsia="Book Antiqua" w:hAnsi="Book Antiqua" w:cs="Book Antiqua"/>
          <w:color w:val="000000"/>
        </w:rPr>
        <w:t>3</w:t>
      </w:r>
      <w:r w:rsidR="00164B79" w:rsidRPr="00BC0A0E">
        <w:rPr>
          <w:rFonts w:ascii="Book Antiqua" w:eastAsia="Book Antiqua" w:hAnsi="Book Antiqua" w:cs="Book Antiqua"/>
          <w:color w:val="000000"/>
        </w:rPr>
        <w:t xml:space="preserve"> </w:t>
      </w:r>
      <w:r w:rsidRPr="00BC0A0E">
        <w:rPr>
          <w:rFonts w:ascii="Book Antiqua" w:eastAsia="Book Antiqua" w:hAnsi="Book Antiqua" w:cs="Book Antiqua"/>
          <w:color w:val="000000"/>
        </w:rPr>
        <w:t>cm), but lose part of their effectiveness when it comes to bigger or irregularly shaped tumors resulting in higher recurrence rates</w:t>
      </w:r>
      <w:r w:rsidRPr="00436841">
        <w:rPr>
          <w:rFonts w:ascii="Book Antiqua" w:eastAsia="Book Antiqua" w:hAnsi="Book Antiqua" w:cs="Book Antiqua"/>
          <w:color w:val="000000"/>
          <w:vertAlign w:val="superscript"/>
        </w:rPr>
        <w:t>[144,145]</w:t>
      </w:r>
      <w:r w:rsidRPr="00436841">
        <w:rPr>
          <w:rFonts w:ascii="Book Antiqua" w:eastAsia="Book Antiqua" w:hAnsi="Book Antiqua" w:cs="Book Antiqua"/>
          <w:color w:val="000000"/>
        </w:rPr>
        <w:t xml:space="preserve">. This issue may be overcome by using stereotactic RFA, which combines pre-interventional </w:t>
      </w:r>
      <w:r w:rsidR="00BC0A0E">
        <w:rPr>
          <w:rFonts w:ascii="Book Antiqua" w:eastAsia="Book Antiqua" w:hAnsi="Book Antiqua" w:cs="Book Antiqua"/>
          <w:color w:val="000000"/>
        </w:rPr>
        <w:t>three-dimensional</w:t>
      </w:r>
      <w:r w:rsidR="00BC0A0E" w:rsidRPr="00BC0A0E">
        <w:rPr>
          <w:rFonts w:ascii="Book Antiqua" w:eastAsia="Book Antiqua" w:hAnsi="Book Antiqua" w:cs="Book Antiqua"/>
          <w:color w:val="000000"/>
        </w:rPr>
        <w:t xml:space="preserve"> </w:t>
      </w:r>
      <w:r w:rsidRPr="00BC0A0E">
        <w:rPr>
          <w:rFonts w:ascii="Book Antiqua" w:eastAsia="Book Antiqua" w:hAnsi="Book Antiqua" w:cs="Book Antiqua"/>
          <w:color w:val="000000"/>
        </w:rPr>
        <w:t xml:space="preserve">imaging, computerized </w:t>
      </w:r>
      <w:r w:rsidR="00BC0A0E">
        <w:rPr>
          <w:rFonts w:ascii="Book Antiqua" w:eastAsia="Book Antiqua" w:hAnsi="Book Antiqua" w:cs="Book Antiqua"/>
          <w:color w:val="000000"/>
        </w:rPr>
        <w:t>three-dimensional</w:t>
      </w:r>
      <w:r w:rsidR="00BC0A0E" w:rsidRPr="00BC0A0E">
        <w:rPr>
          <w:rFonts w:ascii="Book Antiqua" w:eastAsia="Book Antiqua" w:hAnsi="Book Antiqua" w:cs="Book Antiqua"/>
          <w:color w:val="000000"/>
        </w:rPr>
        <w:t xml:space="preserve"> </w:t>
      </w:r>
      <w:r w:rsidRPr="00BC0A0E">
        <w:rPr>
          <w:rFonts w:ascii="Book Antiqua" w:eastAsia="Book Antiqua" w:hAnsi="Book Antiqua" w:cs="Book Antiqua"/>
          <w:color w:val="000000"/>
        </w:rPr>
        <w:t>planning of electrode positions, and guided electrode placement at arbitrary angulations and orientations</w:t>
      </w:r>
      <w:r w:rsidRPr="00BC0A0E">
        <w:rPr>
          <w:rFonts w:ascii="Book Antiqua" w:eastAsia="Book Antiqua" w:hAnsi="Book Antiqua" w:cs="Book Antiqua"/>
          <w:color w:val="000000"/>
          <w:vertAlign w:val="superscript"/>
        </w:rPr>
        <w:t>[146,147]</w:t>
      </w:r>
      <w:r w:rsidRPr="00BC0A0E">
        <w:rPr>
          <w:rFonts w:ascii="Book Antiqua" w:eastAsia="Book Antiqua" w:hAnsi="Book Antiqua" w:cs="Book Antiqua"/>
          <w:color w:val="000000"/>
        </w:rPr>
        <w:t>. In a systematic review and meta-analysis regarding the efficacy of ablative therapies in th</w:t>
      </w:r>
      <w:r w:rsidRPr="00436841">
        <w:rPr>
          <w:rFonts w:ascii="Book Antiqua" w:eastAsia="Book Antiqua" w:hAnsi="Book Antiqua" w:cs="Book Antiqua"/>
          <w:color w:val="000000"/>
        </w:rPr>
        <w:t>e management of unresectable iCCA the pooled 1-, 3-</w:t>
      </w:r>
      <w:r w:rsidR="00BC0A0E">
        <w:rPr>
          <w:rFonts w:ascii="Book Antiqua" w:eastAsia="Book Antiqua" w:hAnsi="Book Antiqua" w:cs="Book Antiqua"/>
          <w:color w:val="000000"/>
        </w:rPr>
        <w:t>,</w:t>
      </w:r>
      <w:r w:rsidRPr="00436841">
        <w:rPr>
          <w:rFonts w:ascii="Book Antiqua" w:eastAsia="Book Antiqua" w:hAnsi="Book Antiqua" w:cs="Book Antiqua"/>
          <w:color w:val="000000"/>
        </w:rPr>
        <w:t xml:space="preserve"> and 5-year OS rate</w:t>
      </w:r>
      <w:r w:rsidR="00BC0A0E">
        <w:rPr>
          <w:rFonts w:ascii="Book Antiqua" w:eastAsia="Book Antiqua" w:hAnsi="Book Antiqua" w:cs="Book Antiqua"/>
          <w:color w:val="000000"/>
        </w:rPr>
        <w:t>s</w:t>
      </w:r>
      <w:r w:rsidRPr="00BC0A0E">
        <w:rPr>
          <w:rFonts w:ascii="Book Antiqua" w:eastAsia="Book Antiqua" w:hAnsi="Book Antiqua" w:cs="Book Antiqua"/>
          <w:color w:val="000000"/>
        </w:rPr>
        <w:t xml:space="preserve"> were 76%, 33% and 16%, respectively</w:t>
      </w:r>
      <w:r w:rsidRPr="00436841">
        <w:rPr>
          <w:rFonts w:ascii="Book Antiqua" w:eastAsia="Book Antiqua" w:hAnsi="Book Antiqua" w:cs="Book Antiqua"/>
          <w:color w:val="000000"/>
          <w:vertAlign w:val="superscript"/>
        </w:rPr>
        <w:t>[148]</w:t>
      </w:r>
      <w:r w:rsidRPr="00436841">
        <w:rPr>
          <w:rFonts w:ascii="Book Antiqua" w:eastAsia="Book Antiqua" w:hAnsi="Book Antiqua" w:cs="Book Antiqua"/>
          <w:color w:val="000000"/>
        </w:rPr>
        <w:t>. It should be noted though, that this systematic review analyzed studies that included cases with various disease stages, such as recurrent or inoperable disease, thus resulting in a high degree of heterogeneity. To our knowledge, there are no published studies regarding the use of ablative therapies in the context of HBV</w:t>
      </w:r>
      <w:r w:rsidR="00BC0A0E">
        <w:rPr>
          <w:rFonts w:ascii="Book Antiqua" w:eastAsia="Book Antiqua" w:hAnsi="Book Antiqua" w:cs="Book Antiqua"/>
          <w:color w:val="000000"/>
        </w:rPr>
        <w:t>-</w:t>
      </w:r>
      <w:r w:rsidRPr="00436841">
        <w:rPr>
          <w:rFonts w:ascii="Book Antiqua" w:eastAsia="Book Antiqua" w:hAnsi="Book Antiqua" w:cs="Book Antiqua"/>
          <w:color w:val="000000"/>
        </w:rPr>
        <w:t>associated ICCA. It is obvious that in order to extract safer conclusions regarding the role of ablative therapies in the management of iCCA and HBV</w:t>
      </w:r>
      <w:r w:rsidR="00BC0A0E">
        <w:rPr>
          <w:rFonts w:ascii="Book Antiqua" w:eastAsia="Book Antiqua" w:hAnsi="Book Antiqua" w:cs="Book Antiqua"/>
          <w:color w:val="000000"/>
        </w:rPr>
        <w:t>-</w:t>
      </w:r>
      <w:r w:rsidRPr="00436841">
        <w:rPr>
          <w:rFonts w:ascii="Book Antiqua" w:eastAsia="Book Antiqua" w:hAnsi="Book Antiqua" w:cs="Book Antiqua"/>
          <w:color w:val="000000"/>
        </w:rPr>
        <w:t>associated iCCA in particular, well-designed prospective studies are needed.</w:t>
      </w:r>
    </w:p>
    <w:p w14:paraId="7C362237" w14:textId="6F7D2F5A" w:rsidR="006B6B7F" w:rsidRDefault="0048774A" w:rsidP="00D866CC">
      <w:pPr>
        <w:spacing w:line="360" w:lineRule="auto"/>
        <w:ind w:firstLineChars="112" w:firstLine="269"/>
        <w:jc w:val="both"/>
        <w:rPr>
          <w:rFonts w:ascii="Book Antiqua" w:hAnsi="Book Antiqua"/>
        </w:rPr>
      </w:pPr>
      <w:r w:rsidRPr="00436841">
        <w:rPr>
          <w:rFonts w:ascii="Book Antiqua" w:eastAsia="Book Antiqua" w:hAnsi="Book Antiqua" w:cs="Book Antiqua"/>
          <w:color w:val="000000"/>
        </w:rPr>
        <w:t>In a systematic review and pooled analysis assessing the efficacy of Y-90 in the management of unresectable iCCA, the median OS was 15.5 mo, but the study highlighted the need for prospective studies on this subject</w:t>
      </w:r>
      <w:r w:rsidRPr="00436841">
        <w:rPr>
          <w:rFonts w:ascii="Book Antiqua" w:eastAsia="Book Antiqua" w:hAnsi="Book Antiqua" w:cs="Book Antiqua"/>
          <w:color w:val="000000"/>
          <w:vertAlign w:val="superscript"/>
        </w:rPr>
        <w:t>[149]</w:t>
      </w:r>
      <w:r w:rsidRPr="00436841">
        <w:rPr>
          <w:rFonts w:ascii="Book Antiqua" w:eastAsia="Book Antiqua" w:hAnsi="Book Antiqua" w:cs="Book Antiqua"/>
          <w:color w:val="000000"/>
        </w:rPr>
        <w:t>. In the MISPHEC study, a phase II single-arm trial where 41 patients were treated with Y-90 and GEMCIS, the results were rather promising, as median OS was 22 mo and 9 patients (22%) were even downstaged to surgery</w:t>
      </w:r>
      <w:r w:rsidRPr="00436841">
        <w:rPr>
          <w:rFonts w:ascii="Book Antiqua" w:eastAsia="Book Antiqua" w:hAnsi="Book Antiqua" w:cs="Book Antiqua"/>
          <w:color w:val="000000"/>
          <w:vertAlign w:val="superscript"/>
        </w:rPr>
        <w:t>[150]</w:t>
      </w:r>
      <w:r w:rsidRPr="00436841">
        <w:rPr>
          <w:rFonts w:ascii="Book Antiqua" w:eastAsia="Book Antiqua" w:hAnsi="Book Antiqua" w:cs="Book Antiqua"/>
          <w:color w:val="000000"/>
        </w:rPr>
        <w:t>. A phase III randomized trial investigat</w:t>
      </w:r>
      <w:r w:rsidR="00BC0A0E">
        <w:rPr>
          <w:rFonts w:ascii="Book Antiqua" w:eastAsia="Book Antiqua" w:hAnsi="Book Antiqua" w:cs="Book Antiqua"/>
          <w:color w:val="000000"/>
        </w:rPr>
        <w:t>ing</w:t>
      </w:r>
      <w:r w:rsidRPr="00BC0A0E">
        <w:rPr>
          <w:rFonts w:ascii="Book Antiqua" w:eastAsia="Book Antiqua" w:hAnsi="Book Antiqua" w:cs="Book Antiqua"/>
          <w:color w:val="000000"/>
        </w:rPr>
        <w:t xml:space="preserve"> the efficacy of Y-90 with GEMCIS compared to GEMCIS alone is currently ongoing (NCT02807181). Unfortunately, there are no published studies regarding the use of TARE in the treatment of HBV</w:t>
      </w:r>
      <w:r w:rsidR="00BC0A0E">
        <w:rPr>
          <w:rFonts w:ascii="Book Antiqua" w:eastAsia="Book Antiqua" w:hAnsi="Book Antiqua" w:cs="Book Antiqua"/>
          <w:color w:val="000000"/>
        </w:rPr>
        <w:t>-</w:t>
      </w:r>
      <w:r w:rsidRPr="00436841">
        <w:rPr>
          <w:rFonts w:ascii="Book Antiqua" w:eastAsia="Book Antiqua" w:hAnsi="Book Antiqua" w:cs="Book Antiqua"/>
          <w:color w:val="000000"/>
        </w:rPr>
        <w:t>associated iCCA.</w:t>
      </w:r>
    </w:p>
    <w:p w14:paraId="43CB811B" w14:textId="77777777" w:rsidR="00A77B3E" w:rsidRPr="00436841" w:rsidRDefault="00A77B3E" w:rsidP="00ED58D3">
      <w:pPr>
        <w:spacing w:line="360" w:lineRule="auto"/>
        <w:jc w:val="both"/>
        <w:rPr>
          <w:rFonts w:ascii="Book Antiqua" w:hAnsi="Book Antiqua"/>
        </w:rPr>
      </w:pPr>
    </w:p>
    <w:p w14:paraId="7124BCA7" w14:textId="77777777" w:rsidR="00A77B3E" w:rsidRPr="00436841" w:rsidRDefault="0048774A" w:rsidP="00ED58D3">
      <w:pPr>
        <w:spacing w:line="360" w:lineRule="auto"/>
        <w:jc w:val="both"/>
        <w:rPr>
          <w:rFonts w:ascii="Book Antiqua" w:hAnsi="Book Antiqua"/>
          <w:i/>
          <w:iCs/>
        </w:rPr>
      </w:pPr>
      <w:r w:rsidRPr="00436841">
        <w:rPr>
          <w:rFonts w:ascii="Book Antiqua" w:eastAsia="Book Antiqua" w:hAnsi="Book Antiqua" w:cs="Book Antiqua"/>
          <w:b/>
          <w:bCs/>
          <w:i/>
          <w:iCs/>
          <w:color w:val="000000"/>
        </w:rPr>
        <w:t>Genome-targeted therapies</w:t>
      </w:r>
    </w:p>
    <w:p w14:paraId="29663653" w14:textId="12D79062"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As our knowledge </w:t>
      </w:r>
      <w:r w:rsidR="00BC0A0E">
        <w:rPr>
          <w:rFonts w:ascii="Book Antiqua" w:eastAsia="Book Antiqua" w:hAnsi="Book Antiqua" w:cs="Book Antiqua"/>
          <w:color w:val="000000"/>
        </w:rPr>
        <w:t xml:space="preserve">broadens </w:t>
      </w:r>
      <w:r w:rsidRPr="00BC0A0E">
        <w:rPr>
          <w:rFonts w:ascii="Book Antiqua" w:eastAsia="Book Antiqua" w:hAnsi="Book Antiqua" w:cs="Book Antiqua"/>
          <w:color w:val="000000"/>
        </w:rPr>
        <w:t>regarding the DNA alterations and the molecular pathways that are involved in the pathogenesis of HBV</w:t>
      </w:r>
      <w:r w:rsidR="00BC0A0E">
        <w:rPr>
          <w:rFonts w:ascii="Book Antiqua" w:eastAsia="Book Antiqua" w:hAnsi="Book Antiqua" w:cs="Book Antiqua"/>
          <w:color w:val="000000"/>
        </w:rPr>
        <w:t>-</w:t>
      </w:r>
      <w:r w:rsidRPr="00BC0A0E">
        <w:rPr>
          <w:rFonts w:ascii="Book Antiqua" w:eastAsia="Book Antiqua" w:hAnsi="Book Antiqua" w:cs="Book Antiqua"/>
          <w:color w:val="000000"/>
        </w:rPr>
        <w:t xml:space="preserve">associated iCCA, more possible therapeutic targets are going to arise, until we reach a point where the treatment of each </w:t>
      </w:r>
      <w:r w:rsidRPr="00BC0A0E">
        <w:rPr>
          <w:rFonts w:ascii="Book Antiqua" w:eastAsia="Book Antiqua" w:hAnsi="Book Antiqua" w:cs="Book Antiqua"/>
          <w:color w:val="000000"/>
        </w:rPr>
        <w:lastRenderedPageBreak/>
        <w:t>patient will be personalized. As mentioned earlier, some of the most common findings in the genome of viral hepatitis</w:t>
      </w:r>
      <w:r w:rsidR="00BC0A0E">
        <w:rPr>
          <w:rFonts w:ascii="Book Antiqua" w:eastAsia="Book Antiqua" w:hAnsi="Book Antiqua" w:cs="Book Antiqua"/>
          <w:color w:val="000000"/>
        </w:rPr>
        <w:t>-</w:t>
      </w:r>
      <w:r w:rsidRPr="00BC0A0E">
        <w:rPr>
          <w:rFonts w:ascii="Book Antiqua" w:eastAsia="Book Antiqua" w:hAnsi="Book Antiqua" w:cs="Book Antiqua"/>
          <w:color w:val="000000"/>
        </w:rPr>
        <w:t>associated iCCA, include IDH1, IDH2 and FGFR2 mutations. The efficacy of ivosidenib, a targeted inhibitor of IDH1 and IDH2, was investigated in the phase III ClarIDHy trial involving 185 patients with chemotherapy-refractory, IDH1 mutant CCA who were randomly assigned to ivosidenib or placebo</w:t>
      </w:r>
      <w:r w:rsidRPr="00BC0A0E">
        <w:rPr>
          <w:rFonts w:ascii="Book Antiqua" w:eastAsia="Book Antiqua" w:hAnsi="Book Antiqua" w:cs="Book Antiqua"/>
          <w:color w:val="000000"/>
          <w:vertAlign w:val="superscript"/>
        </w:rPr>
        <w:t>[151]</w:t>
      </w:r>
      <w:r w:rsidRPr="00BC0A0E">
        <w:rPr>
          <w:rFonts w:ascii="Book Antiqua" w:eastAsia="Book Antiqua" w:hAnsi="Book Antiqua" w:cs="Book Antiqua"/>
          <w:color w:val="000000"/>
        </w:rPr>
        <w:t xml:space="preserve">. The study managed to prove the clinical benefit of targeting IDH1 mutations in such tumors, as progression-free survival was significantly improved, compared to the placebo arm (HR = 0.37, </w:t>
      </w:r>
      <w:r w:rsidRPr="00436841">
        <w:rPr>
          <w:rFonts w:ascii="Book Antiqua" w:eastAsia="Book Antiqua" w:hAnsi="Book Antiqua" w:cs="Book Antiqua"/>
          <w:i/>
          <w:iCs/>
          <w:color w:val="000000"/>
        </w:rPr>
        <w:t>P</w:t>
      </w:r>
      <w:r w:rsidR="00164B79" w:rsidRP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t>&lt;</w:t>
      </w:r>
      <w:r w:rsidR="00164B79" w:rsidRP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t>0.0001). Inhibitors of FGFR have been tested mostly in smaller, open-label, phase II trials showing some promising results in the treatment of chemotherapy refractory CCA with FGFR alterations</w:t>
      </w:r>
      <w:r w:rsidRPr="00436841">
        <w:rPr>
          <w:rFonts w:ascii="Book Antiqua" w:eastAsia="Book Antiqua" w:hAnsi="Book Antiqua" w:cs="Book Antiqua"/>
          <w:color w:val="000000"/>
          <w:vertAlign w:val="superscript"/>
        </w:rPr>
        <w:t>[152</w:t>
      </w:r>
      <w:r w:rsidR="00F92089" w:rsidRPr="00436841">
        <w:rPr>
          <w:rFonts w:ascii="Book Antiqua" w:eastAsia="Book Antiqua" w:hAnsi="Book Antiqua" w:cs="Book Antiqua"/>
          <w:color w:val="000000"/>
          <w:vertAlign w:val="superscript"/>
        </w:rPr>
        <w:t>-</w:t>
      </w:r>
      <w:r w:rsidRPr="00436841">
        <w:rPr>
          <w:rFonts w:ascii="Book Antiqua" w:eastAsia="Book Antiqua" w:hAnsi="Book Antiqua" w:cs="Book Antiqua"/>
          <w:color w:val="000000"/>
          <w:vertAlign w:val="superscript"/>
        </w:rPr>
        <w:t>154]</w:t>
      </w:r>
      <w:r w:rsidRPr="00436841">
        <w:rPr>
          <w:rFonts w:ascii="Book Antiqua" w:eastAsia="Book Antiqua" w:hAnsi="Book Antiqua" w:cs="Book Antiqua"/>
          <w:color w:val="000000"/>
        </w:rPr>
        <w:t xml:space="preserve">. In April 2020, the </w:t>
      </w:r>
      <w:r w:rsidR="00BC0A0E">
        <w:rPr>
          <w:rFonts w:ascii="Book Antiqua" w:eastAsia="Book Antiqua" w:hAnsi="Book Antiqua" w:cs="Book Antiqua"/>
          <w:color w:val="000000"/>
        </w:rPr>
        <w:t>U.S. Food and Drug Administration</w:t>
      </w:r>
      <w:r w:rsidR="00BC0A0E" w:rsidRPr="00BC0A0E">
        <w:rPr>
          <w:rFonts w:ascii="Book Antiqua" w:eastAsia="Book Antiqua" w:hAnsi="Book Antiqua" w:cs="Book Antiqua"/>
          <w:color w:val="000000"/>
        </w:rPr>
        <w:t xml:space="preserve"> </w:t>
      </w:r>
      <w:r w:rsidRPr="00BC0A0E">
        <w:rPr>
          <w:rFonts w:ascii="Book Antiqua" w:eastAsia="Book Antiqua" w:hAnsi="Book Antiqua" w:cs="Book Antiqua"/>
          <w:color w:val="000000"/>
        </w:rPr>
        <w:t xml:space="preserve">approved pemigatinib, an FGFR inhibitor for the treatment of adults with previously treated, unresectable locally advanced or metastatic CCA with FGFR2 fusion or other rearrangement. Some additional FGFR inhibitors are currently being evaluated in the first-line setting, such as </w:t>
      </w:r>
      <w:r w:rsidR="0029097D">
        <w:rPr>
          <w:rFonts w:ascii="Book Antiqua" w:eastAsia="Book Antiqua" w:hAnsi="Book Antiqua" w:cs="Book Antiqua"/>
          <w:color w:val="000000"/>
        </w:rPr>
        <w:t>p</w:t>
      </w:r>
      <w:r w:rsidRPr="00436841">
        <w:rPr>
          <w:rFonts w:ascii="Book Antiqua" w:eastAsia="Book Antiqua" w:hAnsi="Book Antiqua" w:cs="Book Antiqua"/>
          <w:color w:val="000000"/>
        </w:rPr>
        <w:t>emigatinb in the FIGHT-302 study (NCT03656536) and</w:t>
      </w:r>
      <w:r w:rsidRPr="00436841">
        <w:rPr>
          <w:rFonts w:ascii="Book Antiqua" w:eastAsia="Book Antiqua" w:hAnsi="Book Antiqua" w:cs="Book Antiqua"/>
          <w:b/>
          <w:bCs/>
          <w:color w:val="000000"/>
        </w:rPr>
        <w:t xml:space="preserve"> </w:t>
      </w:r>
      <w:r w:rsidRPr="00436841">
        <w:rPr>
          <w:rFonts w:ascii="Book Antiqua" w:eastAsia="Book Antiqua" w:hAnsi="Book Antiqua" w:cs="Book Antiqua"/>
          <w:color w:val="000000"/>
        </w:rPr>
        <w:t xml:space="preserve">BGJ398 (oral </w:t>
      </w:r>
      <w:r w:rsidR="0029097D">
        <w:rPr>
          <w:rFonts w:ascii="Book Antiqua" w:eastAsia="Book Antiqua" w:hAnsi="Book Antiqua" w:cs="Book Antiqua"/>
          <w:color w:val="000000"/>
        </w:rPr>
        <w:t>i</w:t>
      </w:r>
      <w:r w:rsidRPr="00436841">
        <w:rPr>
          <w:rFonts w:ascii="Book Antiqua" w:eastAsia="Book Antiqua" w:hAnsi="Book Antiqua" w:cs="Book Antiqua"/>
          <w:color w:val="000000"/>
        </w:rPr>
        <w:t>nfigratinib) in the PROOF study (NCT03773302).</w:t>
      </w:r>
    </w:p>
    <w:p w14:paraId="513ED81B" w14:textId="77777777" w:rsidR="00A77B3E" w:rsidRPr="00436841" w:rsidRDefault="00A77B3E" w:rsidP="00ED58D3">
      <w:pPr>
        <w:spacing w:line="360" w:lineRule="auto"/>
        <w:jc w:val="both"/>
        <w:rPr>
          <w:rFonts w:ascii="Book Antiqua" w:hAnsi="Book Antiqua"/>
        </w:rPr>
      </w:pPr>
    </w:p>
    <w:p w14:paraId="72F5685C" w14:textId="77777777" w:rsidR="00A77B3E" w:rsidRPr="00436841" w:rsidRDefault="0048774A" w:rsidP="00ED58D3">
      <w:pPr>
        <w:spacing w:line="360" w:lineRule="auto"/>
        <w:jc w:val="both"/>
        <w:rPr>
          <w:rFonts w:ascii="Book Antiqua" w:hAnsi="Book Antiqua"/>
          <w:i/>
          <w:iCs/>
        </w:rPr>
      </w:pPr>
      <w:r w:rsidRPr="00436841">
        <w:rPr>
          <w:rFonts w:ascii="Book Antiqua" w:eastAsia="Book Antiqua" w:hAnsi="Book Antiqua" w:cs="Book Antiqua"/>
          <w:b/>
          <w:bCs/>
          <w:i/>
          <w:iCs/>
          <w:color w:val="000000"/>
        </w:rPr>
        <w:t>Immunotherapy</w:t>
      </w:r>
    </w:p>
    <w:p w14:paraId="4BB1887C" w14:textId="4FE6557D"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The clinical data regarding immunotherapy in the management of CCA are limited. Although there is a lot of merit to the idea of a therapeutic approach that targets the immune checkpoint hyperactivation, which is common especially in HBV</w:t>
      </w:r>
      <w:r w:rsidR="00BC0A0E">
        <w:rPr>
          <w:rFonts w:ascii="Book Antiqua" w:eastAsia="Book Antiqua" w:hAnsi="Book Antiqua" w:cs="Book Antiqua"/>
          <w:color w:val="000000"/>
        </w:rPr>
        <w:t>-</w:t>
      </w:r>
      <w:r w:rsidRPr="00436841">
        <w:rPr>
          <w:rFonts w:ascii="Book Antiqua" w:eastAsia="Book Antiqua" w:hAnsi="Book Antiqua" w:cs="Book Antiqua"/>
          <w:color w:val="000000"/>
        </w:rPr>
        <w:t xml:space="preserve">associated iCCA, </w:t>
      </w:r>
      <w:r w:rsidR="00BC0A0E">
        <w:rPr>
          <w:rFonts w:ascii="Book Antiqua" w:eastAsia="Book Antiqua" w:hAnsi="Book Antiqua" w:cs="Book Antiqua"/>
          <w:color w:val="000000"/>
        </w:rPr>
        <w:t>to date,</w:t>
      </w:r>
      <w:r w:rsidRPr="00BC0A0E">
        <w:rPr>
          <w:rFonts w:ascii="Book Antiqua" w:eastAsia="Book Antiqua" w:hAnsi="Book Antiqua" w:cs="Book Antiqua"/>
          <w:color w:val="000000"/>
        </w:rPr>
        <w:t xml:space="preserve"> the results from clinical trials are not promising. Pembrolizumab monotherapy provided antitumor activity in just 6% of patients with advanced biliary cancer enrolled in the KEYNOTE-158 study, with median progression-free survival of 2 mo</w:t>
      </w:r>
      <w:r w:rsidRPr="00BC0A0E">
        <w:rPr>
          <w:rFonts w:ascii="Book Antiqua" w:eastAsia="Book Antiqua" w:hAnsi="Book Antiqua" w:cs="Book Antiqua"/>
          <w:color w:val="000000"/>
          <w:vertAlign w:val="superscript"/>
        </w:rPr>
        <w:t>[155]</w:t>
      </w:r>
      <w:r w:rsidRPr="00BC0A0E">
        <w:rPr>
          <w:rFonts w:ascii="Book Antiqua" w:eastAsia="Book Antiqua" w:hAnsi="Book Antiqua" w:cs="Book Antiqua"/>
          <w:color w:val="000000"/>
        </w:rPr>
        <w:t>. Possibly, these therapeutic agents can provide better results when administered in combination with chemotherapy. There is an ongoing, phase II, single-arm trial assessing the eff</w:t>
      </w:r>
      <w:r w:rsidRPr="00436841">
        <w:rPr>
          <w:rFonts w:ascii="Book Antiqua" w:eastAsia="Book Antiqua" w:hAnsi="Book Antiqua" w:cs="Book Antiqua"/>
          <w:color w:val="000000"/>
        </w:rPr>
        <w:t>icacy of GEMCIS with pembrolizumab in patients with advanced biliary cancer (</w:t>
      </w:r>
      <w:r w:rsidRPr="00436841">
        <w:rPr>
          <w:rFonts w:ascii="Book Antiqua" w:eastAsia="Book Antiqua" w:hAnsi="Book Antiqua" w:cs="Book Antiqua"/>
          <w:color w:val="000000"/>
          <w:shd w:val="clear" w:color="auto" w:fill="FFFFFF"/>
        </w:rPr>
        <w:t xml:space="preserve">NCT03260712). Other studies </w:t>
      </w:r>
      <w:r w:rsidR="00BC0A0E">
        <w:rPr>
          <w:rFonts w:ascii="Book Antiqua" w:eastAsia="Book Antiqua" w:hAnsi="Book Antiqua" w:cs="Book Antiqua"/>
          <w:color w:val="000000"/>
          <w:shd w:val="clear" w:color="auto" w:fill="FFFFFF"/>
        </w:rPr>
        <w:t xml:space="preserve">have </w:t>
      </w:r>
      <w:r w:rsidRPr="00BC0A0E">
        <w:rPr>
          <w:rFonts w:ascii="Book Antiqua" w:eastAsia="Book Antiqua" w:hAnsi="Book Antiqua" w:cs="Book Antiqua"/>
          <w:color w:val="000000"/>
          <w:shd w:val="clear" w:color="auto" w:fill="FFFFFF"/>
        </w:rPr>
        <w:t>investigate</w:t>
      </w:r>
      <w:r w:rsidR="00BC0A0E">
        <w:rPr>
          <w:rFonts w:ascii="Book Antiqua" w:eastAsia="Book Antiqua" w:hAnsi="Book Antiqua" w:cs="Book Antiqua"/>
          <w:color w:val="000000"/>
          <w:shd w:val="clear" w:color="auto" w:fill="FFFFFF"/>
        </w:rPr>
        <w:t>d</w:t>
      </w:r>
      <w:r w:rsidRPr="00BC0A0E">
        <w:rPr>
          <w:rFonts w:ascii="Book Antiqua" w:eastAsia="Book Antiqua" w:hAnsi="Book Antiqua" w:cs="Book Antiqua"/>
          <w:color w:val="000000"/>
          <w:shd w:val="clear" w:color="auto" w:fill="FFFFFF"/>
        </w:rPr>
        <w:t xml:space="preserve"> the possible benefit of immune checkpoint inhibitors combined with locoregional therapeutic regimens (NCT02821754, NCT04299581).</w:t>
      </w:r>
    </w:p>
    <w:p w14:paraId="74CDC8A6" w14:textId="77777777" w:rsidR="006B6B7F" w:rsidRDefault="0048774A" w:rsidP="00D866CC">
      <w:pPr>
        <w:spacing w:line="360" w:lineRule="auto"/>
        <w:ind w:firstLineChars="112" w:firstLine="269"/>
        <w:jc w:val="both"/>
        <w:rPr>
          <w:rFonts w:ascii="Book Antiqua" w:hAnsi="Book Antiqua"/>
        </w:rPr>
      </w:pPr>
      <w:r w:rsidRPr="00436841">
        <w:rPr>
          <w:rFonts w:ascii="Book Antiqua" w:eastAsia="Book Antiqua" w:hAnsi="Book Antiqua" w:cs="Book Antiqua"/>
          <w:color w:val="000000"/>
          <w:shd w:val="clear" w:color="auto" w:fill="FFFFFF"/>
        </w:rPr>
        <w:lastRenderedPageBreak/>
        <w:t>Figure 4 presents a therapeutic algorithm that encompasses all the above described treatment modalities for iCCA.</w:t>
      </w:r>
    </w:p>
    <w:p w14:paraId="15976CB6" w14:textId="77777777" w:rsidR="00A77B3E" w:rsidRPr="00436841" w:rsidRDefault="00A77B3E" w:rsidP="00ED58D3">
      <w:pPr>
        <w:spacing w:line="360" w:lineRule="auto"/>
        <w:jc w:val="both"/>
        <w:rPr>
          <w:rFonts w:ascii="Book Antiqua" w:hAnsi="Book Antiqua"/>
        </w:rPr>
      </w:pPr>
    </w:p>
    <w:p w14:paraId="6D3244E0"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b/>
          <w:caps/>
          <w:color w:val="000000"/>
          <w:u w:val="single"/>
        </w:rPr>
        <w:t>CONCLUSION</w:t>
      </w:r>
    </w:p>
    <w:p w14:paraId="3C893F82" w14:textId="597DE4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Increasing data during the last </w:t>
      </w:r>
      <w:r w:rsidR="00BC0A0E">
        <w:rPr>
          <w:rFonts w:ascii="Book Antiqua" w:eastAsia="Book Antiqua" w:hAnsi="Book Antiqua" w:cs="Book Antiqua"/>
          <w:color w:val="000000"/>
        </w:rPr>
        <w:t>5</w:t>
      </w:r>
      <w:r w:rsidR="00BC0A0E" w:rsidRPr="00BC0A0E">
        <w:rPr>
          <w:rFonts w:ascii="Book Antiqua" w:eastAsia="Book Antiqua" w:hAnsi="Book Antiqua" w:cs="Book Antiqua"/>
          <w:color w:val="000000"/>
        </w:rPr>
        <w:t xml:space="preserve"> </w:t>
      </w:r>
      <w:r w:rsidRPr="00BC0A0E">
        <w:rPr>
          <w:rFonts w:ascii="Book Antiqua" w:eastAsia="Book Antiqua" w:hAnsi="Book Antiqua" w:cs="Book Antiqua"/>
          <w:color w:val="000000"/>
        </w:rPr>
        <w:t>years have strengthened the association between the infection with HBV and the development of iCCA. The</w:t>
      </w:r>
      <w:r w:rsidRPr="00436841">
        <w:rPr>
          <w:rFonts w:ascii="Book Antiqua" w:eastAsia="Book Antiqua" w:hAnsi="Book Antiqua" w:cs="Book Antiqua"/>
          <w:color w:val="000000"/>
        </w:rPr>
        <w:t xml:space="preserve"> epidemiological data unveiling this association </w:t>
      </w:r>
      <w:r w:rsidR="00BC0A0E">
        <w:rPr>
          <w:rFonts w:ascii="Book Antiqua" w:eastAsia="Book Antiqua" w:hAnsi="Book Antiqua" w:cs="Book Antiqua"/>
          <w:color w:val="000000"/>
        </w:rPr>
        <w:t>are</w:t>
      </w:r>
      <w:r w:rsidR="00BC0A0E" w:rsidRPr="00BC0A0E">
        <w:rPr>
          <w:rFonts w:ascii="Book Antiqua" w:eastAsia="Book Antiqua" w:hAnsi="Book Antiqua" w:cs="Book Antiqua"/>
          <w:color w:val="000000"/>
        </w:rPr>
        <w:t xml:space="preserve"> </w:t>
      </w:r>
      <w:r w:rsidRPr="00BC0A0E">
        <w:rPr>
          <w:rFonts w:ascii="Book Antiqua" w:eastAsia="Book Antiqua" w:hAnsi="Book Antiqua" w:cs="Book Antiqua"/>
          <w:color w:val="000000"/>
        </w:rPr>
        <w:t>from both Eastern and Western countries and this linkage has been confirmed by multiple meta-analyses. In addition, the pathogenetic pathways through which HBV leads to the development of iCCA have been</w:t>
      </w:r>
      <w:r w:rsidRPr="00436841">
        <w:rPr>
          <w:rFonts w:ascii="Book Antiqua" w:eastAsia="Book Antiqua" w:hAnsi="Book Antiqua" w:cs="Book Antiqua"/>
          <w:color w:val="000000"/>
        </w:rPr>
        <w:t xml:space="preserve"> recently the targets of intense investigation. Furthermore, the diagnosis of iCCA in the setting of chronic liver disease is frequently challenging and often requires histological examination. Nonetheless, certain aspects of this association still remain ill-defined. </w:t>
      </w:r>
    </w:p>
    <w:p w14:paraId="78563B0F" w14:textId="77777777" w:rsidR="006B6B7F" w:rsidRDefault="0048774A" w:rsidP="00D866CC">
      <w:pPr>
        <w:spacing w:line="360" w:lineRule="auto"/>
        <w:ind w:firstLineChars="112" w:firstLine="269"/>
        <w:jc w:val="both"/>
        <w:rPr>
          <w:rFonts w:ascii="Book Antiqua" w:hAnsi="Book Antiqua"/>
        </w:rPr>
      </w:pPr>
      <w:r w:rsidRPr="00436841">
        <w:rPr>
          <w:rFonts w:ascii="Book Antiqua" w:eastAsia="Book Antiqua" w:hAnsi="Book Antiqua" w:cs="Book Antiqua"/>
          <w:color w:val="000000"/>
        </w:rPr>
        <w:t xml:space="preserve">In terms of management, the need for effective treatment modalities beyond SR is critical both in the first and the second line treatment. The evolution of personalized approaches through the recognition of specific therapeutic targets will improve the effectiveness of our treatment approaches. It is also likely that the results of ongoing studies in the field of immunotherapy will allow the use of this promising treatment in patients with iCCA, as well. Furthermore, it is currently unclear whether antiviral treatment for HBV can decrease the incidence of iCCA. Large, well-designed studies should address this important question. Focused research on these aspects of the management of HBV-associated iCCA in the future will enhance our ability to manage successfully this dreadful cancer. </w:t>
      </w:r>
    </w:p>
    <w:p w14:paraId="1F24B0AD" w14:textId="77777777" w:rsidR="00A77B3E" w:rsidRPr="00436841" w:rsidRDefault="00A77B3E" w:rsidP="00ED58D3">
      <w:pPr>
        <w:spacing w:line="360" w:lineRule="auto"/>
        <w:jc w:val="both"/>
        <w:rPr>
          <w:rFonts w:ascii="Book Antiqua" w:hAnsi="Book Antiqua"/>
        </w:rPr>
      </w:pPr>
    </w:p>
    <w:p w14:paraId="5D9AAAFF"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b/>
          <w:caps/>
          <w:color w:val="000000"/>
          <w:u w:val="single"/>
        </w:rPr>
        <w:t>ACKNOWLEDGEMENTS</w:t>
      </w:r>
    </w:p>
    <w:p w14:paraId="119EE3CA"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The authors want to thank Drs. Dimitrios Bekiaropoulos, Vasiliki Georgopoulou and Evangelia Katsiki for their help and encouragement in the process of preparing this work. </w:t>
      </w:r>
    </w:p>
    <w:p w14:paraId="1795661F" w14:textId="77777777" w:rsidR="00A77B3E" w:rsidRPr="00436841" w:rsidRDefault="00A77B3E" w:rsidP="00ED58D3">
      <w:pPr>
        <w:spacing w:line="360" w:lineRule="auto"/>
        <w:jc w:val="both"/>
        <w:rPr>
          <w:rFonts w:ascii="Book Antiqua" w:hAnsi="Book Antiqua"/>
        </w:rPr>
      </w:pPr>
    </w:p>
    <w:p w14:paraId="597B6D68"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b/>
          <w:color w:val="000000"/>
        </w:rPr>
        <w:t>REFERENCES</w:t>
      </w:r>
    </w:p>
    <w:p w14:paraId="6F2106D2"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lastRenderedPageBreak/>
        <w:t xml:space="preserve">1 </w:t>
      </w:r>
      <w:r w:rsidRPr="00436841">
        <w:rPr>
          <w:rFonts w:ascii="Book Antiqua" w:eastAsia="Book Antiqua" w:hAnsi="Book Antiqua" w:cs="Book Antiqua"/>
          <w:b/>
          <w:bCs/>
          <w:color w:val="000000"/>
        </w:rPr>
        <w:t>Nakeeb A</w:t>
      </w:r>
      <w:r w:rsidRPr="00436841">
        <w:rPr>
          <w:rFonts w:ascii="Book Antiqua" w:eastAsia="Book Antiqua" w:hAnsi="Book Antiqua" w:cs="Book Antiqua"/>
          <w:color w:val="000000"/>
        </w:rPr>
        <w:t xml:space="preserve">, Pitt HA, Sohn TA, Coleman J, Abrams RA, Piantadosi S, Hruban RH, Lillemoe KD, Yeo CJ, Cameron JL. Cholangiocarcinoma. A spectrum of intrahepatic, perihilar, and distal tumors. </w:t>
      </w:r>
      <w:r w:rsidRPr="00436841">
        <w:rPr>
          <w:rFonts w:ascii="Book Antiqua" w:eastAsia="Book Antiqua" w:hAnsi="Book Antiqua" w:cs="Book Antiqua"/>
          <w:i/>
          <w:iCs/>
          <w:color w:val="000000"/>
        </w:rPr>
        <w:t>Ann Surg</w:t>
      </w:r>
      <w:r w:rsidRPr="00436841">
        <w:rPr>
          <w:rFonts w:ascii="Book Antiqua" w:eastAsia="Book Antiqua" w:hAnsi="Book Antiqua" w:cs="Book Antiqua"/>
          <w:color w:val="000000"/>
        </w:rPr>
        <w:t xml:space="preserve"> 1996; </w:t>
      </w:r>
      <w:r w:rsidRPr="00436841">
        <w:rPr>
          <w:rFonts w:ascii="Book Antiqua" w:eastAsia="Book Antiqua" w:hAnsi="Book Antiqua" w:cs="Book Antiqua"/>
          <w:b/>
          <w:bCs/>
          <w:color w:val="000000"/>
        </w:rPr>
        <w:t>224</w:t>
      </w:r>
      <w:r w:rsidRPr="00436841">
        <w:rPr>
          <w:rFonts w:ascii="Book Antiqua" w:eastAsia="Book Antiqua" w:hAnsi="Book Antiqua" w:cs="Book Antiqua"/>
          <w:color w:val="000000"/>
        </w:rPr>
        <w:t>: 463-73; discussion 473-5 [PMID: 8857851 DOI: 10.1097/00000658-199610000-00005]</w:t>
      </w:r>
    </w:p>
    <w:p w14:paraId="610F9089"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2 </w:t>
      </w:r>
      <w:r w:rsidRPr="00436841">
        <w:rPr>
          <w:rFonts w:ascii="Book Antiqua" w:eastAsia="Book Antiqua" w:hAnsi="Book Antiqua" w:cs="Book Antiqua"/>
          <w:b/>
          <w:bCs/>
          <w:color w:val="000000"/>
        </w:rPr>
        <w:t>Rizvi S</w:t>
      </w:r>
      <w:r w:rsidRPr="00436841">
        <w:rPr>
          <w:rFonts w:ascii="Book Antiqua" w:eastAsia="Book Antiqua" w:hAnsi="Book Antiqua" w:cs="Book Antiqua"/>
          <w:color w:val="000000"/>
        </w:rPr>
        <w:t xml:space="preserve">, Gores GJ. Pathogenesis, diagnosis, and management of cholangiocarcinoma. </w:t>
      </w:r>
      <w:r w:rsidRPr="00436841">
        <w:rPr>
          <w:rFonts w:ascii="Book Antiqua" w:eastAsia="Book Antiqua" w:hAnsi="Book Antiqua" w:cs="Book Antiqua"/>
          <w:i/>
          <w:iCs/>
          <w:color w:val="000000"/>
        </w:rPr>
        <w:t>Gastroenterology</w:t>
      </w:r>
      <w:r w:rsidRPr="00436841">
        <w:rPr>
          <w:rFonts w:ascii="Book Antiqua" w:eastAsia="Book Antiqua" w:hAnsi="Book Antiqua" w:cs="Book Antiqua"/>
          <w:color w:val="000000"/>
        </w:rPr>
        <w:t xml:space="preserve"> 2013; </w:t>
      </w:r>
      <w:r w:rsidRPr="00436841">
        <w:rPr>
          <w:rFonts w:ascii="Book Antiqua" w:eastAsia="Book Antiqua" w:hAnsi="Book Antiqua" w:cs="Book Antiqua"/>
          <w:b/>
          <w:bCs/>
          <w:color w:val="000000"/>
        </w:rPr>
        <w:t>145</w:t>
      </w:r>
      <w:r w:rsidRPr="00436841">
        <w:rPr>
          <w:rFonts w:ascii="Book Antiqua" w:eastAsia="Book Antiqua" w:hAnsi="Book Antiqua" w:cs="Book Antiqua"/>
          <w:color w:val="000000"/>
        </w:rPr>
        <w:t>: 1215-1229 [PMID: 24140396 DOI: 10.1053/j.gastro.2013.10.013]</w:t>
      </w:r>
    </w:p>
    <w:p w14:paraId="2D28C77D"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3 </w:t>
      </w:r>
      <w:r w:rsidRPr="00436841">
        <w:rPr>
          <w:rFonts w:ascii="Book Antiqua" w:eastAsia="Book Antiqua" w:hAnsi="Book Antiqua" w:cs="Book Antiqua"/>
          <w:b/>
          <w:bCs/>
          <w:color w:val="000000"/>
        </w:rPr>
        <w:t>Clements O</w:t>
      </w:r>
      <w:r w:rsidRPr="00436841">
        <w:rPr>
          <w:rFonts w:ascii="Book Antiqua" w:eastAsia="Book Antiqua" w:hAnsi="Book Antiqua" w:cs="Book Antiqua"/>
          <w:color w:val="000000"/>
        </w:rPr>
        <w:t xml:space="preserve">, Eliahoo J, Kim JU, Taylor-Robinson SD, Khan SA. Risk factors for intrahepatic and extrahepatic cholangiocarcinoma: A systematic review and meta-analysis. </w:t>
      </w:r>
      <w:r w:rsidRPr="00436841">
        <w:rPr>
          <w:rFonts w:ascii="Book Antiqua" w:eastAsia="Book Antiqua" w:hAnsi="Book Antiqua" w:cs="Book Antiqua"/>
          <w:i/>
          <w:iCs/>
          <w:color w:val="000000"/>
        </w:rPr>
        <w:t>J Hepatol</w:t>
      </w:r>
      <w:r w:rsidRPr="00436841">
        <w:rPr>
          <w:rFonts w:ascii="Book Antiqua" w:eastAsia="Book Antiqua" w:hAnsi="Book Antiqua" w:cs="Book Antiqua"/>
          <w:color w:val="000000"/>
        </w:rPr>
        <w:t xml:space="preserve"> 2020; </w:t>
      </w:r>
      <w:r w:rsidRPr="00436841">
        <w:rPr>
          <w:rFonts w:ascii="Book Antiqua" w:eastAsia="Book Antiqua" w:hAnsi="Book Antiqua" w:cs="Book Antiqua"/>
          <w:b/>
          <w:bCs/>
          <w:color w:val="000000"/>
        </w:rPr>
        <w:t>72</w:t>
      </w:r>
      <w:r w:rsidRPr="00436841">
        <w:rPr>
          <w:rFonts w:ascii="Book Antiqua" w:eastAsia="Book Antiqua" w:hAnsi="Book Antiqua" w:cs="Book Antiqua"/>
          <w:color w:val="000000"/>
        </w:rPr>
        <w:t>: 95-103 [PMID: 31536748 DOI: 10.1016/j.jhep.2019.09.007]</w:t>
      </w:r>
    </w:p>
    <w:p w14:paraId="1079D995"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4 </w:t>
      </w:r>
      <w:r w:rsidRPr="00436841">
        <w:rPr>
          <w:rFonts w:ascii="Book Antiqua" w:eastAsia="Book Antiqua" w:hAnsi="Book Antiqua" w:cs="Book Antiqua"/>
          <w:b/>
          <w:bCs/>
          <w:color w:val="000000"/>
        </w:rPr>
        <w:t>Petrick JL</w:t>
      </w:r>
      <w:r w:rsidRPr="00436841">
        <w:rPr>
          <w:rFonts w:ascii="Book Antiqua" w:eastAsia="Book Antiqua" w:hAnsi="Book Antiqua" w:cs="Book Antiqua"/>
          <w:color w:val="000000"/>
        </w:rPr>
        <w:t xml:space="preserve">, Yang B, Altekruse SF, Van Dyke AL, Koshiol J, Graubard BI, McGlynn KA. Risk factors for intrahepatic and extrahepatic cholangiocarcinoma in the United States: A population-based study in SEER-Medicare. </w:t>
      </w:r>
      <w:r w:rsidRPr="00436841">
        <w:rPr>
          <w:rFonts w:ascii="Book Antiqua" w:eastAsia="Book Antiqua" w:hAnsi="Book Antiqua" w:cs="Book Antiqua"/>
          <w:i/>
          <w:iCs/>
          <w:color w:val="000000"/>
        </w:rPr>
        <w:t>PLoS One</w:t>
      </w:r>
      <w:r w:rsidRPr="00436841">
        <w:rPr>
          <w:rFonts w:ascii="Book Antiqua" w:eastAsia="Book Antiqua" w:hAnsi="Book Antiqua" w:cs="Book Antiqua"/>
          <w:color w:val="000000"/>
        </w:rPr>
        <w:t xml:space="preserve"> 2017; </w:t>
      </w:r>
      <w:r w:rsidRPr="00436841">
        <w:rPr>
          <w:rFonts w:ascii="Book Antiqua" w:eastAsia="Book Antiqua" w:hAnsi="Book Antiqua" w:cs="Book Antiqua"/>
          <w:b/>
          <w:bCs/>
          <w:color w:val="000000"/>
        </w:rPr>
        <w:t>12</w:t>
      </w:r>
      <w:r w:rsidRPr="00436841">
        <w:rPr>
          <w:rFonts w:ascii="Book Antiqua" w:eastAsia="Book Antiqua" w:hAnsi="Book Antiqua" w:cs="Book Antiqua"/>
          <w:color w:val="000000"/>
        </w:rPr>
        <w:t>: e0186643 [PMID: 29049401 DOI: 10.1371/journal.pone.0186643]</w:t>
      </w:r>
    </w:p>
    <w:p w14:paraId="2D9CF46F"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5 </w:t>
      </w:r>
      <w:r w:rsidRPr="00436841">
        <w:rPr>
          <w:rFonts w:ascii="Book Antiqua" w:eastAsia="Book Antiqua" w:hAnsi="Book Antiqua" w:cs="Book Antiqua"/>
          <w:b/>
          <w:bCs/>
          <w:color w:val="000000"/>
        </w:rPr>
        <w:t>Choi J</w:t>
      </w:r>
      <w:r w:rsidRPr="00436841">
        <w:rPr>
          <w:rFonts w:ascii="Book Antiqua" w:eastAsia="Book Antiqua" w:hAnsi="Book Antiqua" w:cs="Book Antiqua"/>
          <w:color w:val="000000"/>
        </w:rPr>
        <w:t xml:space="preserve">, Ghoz HM, Peeraphatdit T, Baichoo E, Addissie BD, Harmsen WS, Therneau TM, Olson JE, Chaiteerakij R, Roberts LR. Aspirin use and the risk of cholangiocarcinoma. </w:t>
      </w:r>
      <w:r w:rsidRPr="00436841">
        <w:rPr>
          <w:rFonts w:ascii="Book Antiqua" w:eastAsia="Book Antiqua" w:hAnsi="Book Antiqua" w:cs="Book Antiqua"/>
          <w:i/>
          <w:iCs/>
          <w:color w:val="000000"/>
        </w:rPr>
        <w:t>Hepatology</w:t>
      </w:r>
      <w:r w:rsidRPr="00436841">
        <w:rPr>
          <w:rFonts w:ascii="Book Antiqua" w:eastAsia="Book Antiqua" w:hAnsi="Book Antiqua" w:cs="Book Antiqua"/>
          <w:color w:val="000000"/>
        </w:rPr>
        <w:t xml:space="preserve"> 2016; </w:t>
      </w:r>
      <w:r w:rsidRPr="00436841">
        <w:rPr>
          <w:rFonts w:ascii="Book Antiqua" w:eastAsia="Book Antiqua" w:hAnsi="Book Antiqua" w:cs="Book Antiqua"/>
          <w:b/>
          <w:bCs/>
          <w:color w:val="000000"/>
        </w:rPr>
        <w:t>64</w:t>
      </w:r>
      <w:r w:rsidRPr="00436841">
        <w:rPr>
          <w:rFonts w:ascii="Book Antiqua" w:eastAsia="Book Antiqua" w:hAnsi="Book Antiqua" w:cs="Book Antiqua"/>
          <w:color w:val="000000"/>
        </w:rPr>
        <w:t>: 785-796 [PMID: 26940227 DOI: 10.1002/hep.28529]</w:t>
      </w:r>
    </w:p>
    <w:p w14:paraId="795A0EDA"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6 </w:t>
      </w:r>
      <w:r w:rsidRPr="00436841">
        <w:rPr>
          <w:rFonts w:ascii="Book Antiqua" w:eastAsia="Book Antiqua" w:hAnsi="Book Antiqua" w:cs="Book Antiqua"/>
          <w:b/>
          <w:bCs/>
          <w:color w:val="000000"/>
        </w:rPr>
        <w:t>Huang YJ</w:t>
      </w:r>
      <w:r w:rsidRPr="00436841">
        <w:rPr>
          <w:rFonts w:ascii="Book Antiqua" w:eastAsia="Book Antiqua" w:hAnsi="Book Antiqua" w:cs="Book Antiqua"/>
          <w:color w:val="000000"/>
        </w:rPr>
        <w:t xml:space="preserve">, Wu AT, Chiou HY, Chuang MT, Meng TC, Chien LN, Yen Y. Interactive role of diabetes mellitus and female sex in the risk of cholangiocarcinoma: A population-based nested case-control study. </w:t>
      </w:r>
      <w:r w:rsidRPr="00436841">
        <w:rPr>
          <w:rFonts w:ascii="Book Antiqua" w:eastAsia="Book Antiqua" w:hAnsi="Book Antiqua" w:cs="Book Antiqua"/>
          <w:i/>
          <w:iCs/>
          <w:color w:val="000000"/>
        </w:rPr>
        <w:t>Oncotarget</w:t>
      </w:r>
      <w:r w:rsidRPr="00436841">
        <w:rPr>
          <w:rFonts w:ascii="Book Antiqua" w:eastAsia="Book Antiqua" w:hAnsi="Book Antiqua" w:cs="Book Antiqua"/>
          <w:color w:val="000000"/>
        </w:rPr>
        <w:t xml:space="preserve"> 2017; </w:t>
      </w:r>
      <w:r w:rsidRPr="00436841">
        <w:rPr>
          <w:rFonts w:ascii="Book Antiqua" w:eastAsia="Book Antiqua" w:hAnsi="Book Antiqua" w:cs="Book Antiqua"/>
          <w:b/>
          <w:bCs/>
          <w:color w:val="000000"/>
        </w:rPr>
        <w:t>8</w:t>
      </w:r>
      <w:r w:rsidRPr="00436841">
        <w:rPr>
          <w:rFonts w:ascii="Book Antiqua" w:eastAsia="Book Antiqua" w:hAnsi="Book Antiqua" w:cs="Book Antiqua"/>
          <w:color w:val="000000"/>
        </w:rPr>
        <w:t>: 6642-6651 [PMID: 28036262 DOI: 10.18632/oncotarget.14254]</w:t>
      </w:r>
    </w:p>
    <w:p w14:paraId="0EF8BACF"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7 </w:t>
      </w:r>
      <w:r w:rsidRPr="00436841">
        <w:rPr>
          <w:rFonts w:ascii="Book Antiqua" w:eastAsia="Book Antiqua" w:hAnsi="Book Antiqua" w:cs="Book Antiqua"/>
          <w:b/>
          <w:bCs/>
          <w:color w:val="000000"/>
        </w:rPr>
        <w:t>Lee BS</w:t>
      </w:r>
      <w:r w:rsidRPr="00436841">
        <w:rPr>
          <w:rFonts w:ascii="Book Antiqua" w:eastAsia="Book Antiqua" w:hAnsi="Book Antiqua" w:cs="Book Antiqua"/>
          <w:color w:val="000000"/>
        </w:rPr>
        <w:t xml:space="preserve">, Park EC, Park SW, Nam CM, Roh J. Hepatitis B virus infection, diabetes mellitus, and their synergism for cholangiocarcinoma development: a case-control study in Korea. </w:t>
      </w:r>
      <w:r w:rsidRPr="00436841">
        <w:rPr>
          <w:rFonts w:ascii="Book Antiqua" w:eastAsia="Book Antiqua" w:hAnsi="Book Antiqua" w:cs="Book Antiqua"/>
          <w:i/>
          <w:iCs/>
          <w:color w:val="000000"/>
        </w:rPr>
        <w:t>World J Gastroenterol</w:t>
      </w:r>
      <w:r w:rsidRPr="00436841">
        <w:rPr>
          <w:rFonts w:ascii="Book Antiqua" w:eastAsia="Book Antiqua" w:hAnsi="Book Antiqua" w:cs="Book Antiqua"/>
          <w:color w:val="000000"/>
        </w:rPr>
        <w:t xml:space="preserve"> 2015; </w:t>
      </w:r>
      <w:r w:rsidRPr="00436841">
        <w:rPr>
          <w:rFonts w:ascii="Book Antiqua" w:eastAsia="Book Antiqua" w:hAnsi="Book Antiqua" w:cs="Book Antiqua"/>
          <w:b/>
          <w:bCs/>
          <w:color w:val="000000"/>
        </w:rPr>
        <w:t>21</w:t>
      </w:r>
      <w:r w:rsidRPr="00436841">
        <w:rPr>
          <w:rFonts w:ascii="Book Antiqua" w:eastAsia="Book Antiqua" w:hAnsi="Book Antiqua" w:cs="Book Antiqua"/>
          <w:color w:val="000000"/>
        </w:rPr>
        <w:t>: 502-510 [PMID: 25593465 DOI: 10.3748/wjg.v21.i2.502]</w:t>
      </w:r>
    </w:p>
    <w:p w14:paraId="7723432E"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8 </w:t>
      </w:r>
      <w:r w:rsidRPr="00436841">
        <w:rPr>
          <w:rFonts w:ascii="Book Antiqua" w:eastAsia="Book Antiqua" w:hAnsi="Book Antiqua" w:cs="Book Antiqua"/>
          <w:b/>
          <w:bCs/>
          <w:color w:val="000000"/>
        </w:rPr>
        <w:t>Chaiteerakij R</w:t>
      </w:r>
      <w:r w:rsidRPr="00436841">
        <w:rPr>
          <w:rFonts w:ascii="Book Antiqua" w:eastAsia="Book Antiqua" w:hAnsi="Book Antiqua" w:cs="Book Antiqua"/>
          <w:color w:val="000000"/>
        </w:rPr>
        <w:t xml:space="preserve">, Yang JD, Harmsen WS, Slettedahl SW, Mettler TA, Fredericksen ZS, Kim WR, Gores GJ, Roberts RO, Olson JE, Therneau TM, Roberts LR. Risk factors for intrahepatic cholangiocarcinoma: association between metformin use and reduced cancer risk. </w:t>
      </w:r>
      <w:r w:rsidRPr="00436841">
        <w:rPr>
          <w:rFonts w:ascii="Book Antiqua" w:eastAsia="Book Antiqua" w:hAnsi="Book Antiqua" w:cs="Book Antiqua"/>
          <w:i/>
          <w:iCs/>
          <w:color w:val="000000"/>
        </w:rPr>
        <w:t>Hepatology</w:t>
      </w:r>
      <w:r w:rsidRPr="00436841">
        <w:rPr>
          <w:rFonts w:ascii="Book Antiqua" w:eastAsia="Book Antiqua" w:hAnsi="Book Antiqua" w:cs="Book Antiqua"/>
          <w:color w:val="000000"/>
        </w:rPr>
        <w:t xml:space="preserve"> 2013; </w:t>
      </w:r>
      <w:r w:rsidRPr="00436841">
        <w:rPr>
          <w:rFonts w:ascii="Book Antiqua" w:eastAsia="Book Antiqua" w:hAnsi="Book Antiqua" w:cs="Book Antiqua"/>
          <w:b/>
          <w:bCs/>
          <w:color w:val="000000"/>
        </w:rPr>
        <w:t>57</w:t>
      </w:r>
      <w:r w:rsidRPr="00436841">
        <w:rPr>
          <w:rFonts w:ascii="Book Antiqua" w:eastAsia="Book Antiqua" w:hAnsi="Book Antiqua" w:cs="Book Antiqua"/>
          <w:color w:val="000000"/>
        </w:rPr>
        <w:t>: 648-655 [PMID: 23055147 DOI: 10.1002/hep.26092]</w:t>
      </w:r>
    </w:p>
    <w:p w14:paraId="1ED52D74"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lastRenderedPageBreak/>
        <w:t xml:space="preserve">9 </w:t>
      </w:r>
      <w:r w:rsidRPr="00436841">
        <w:rPr>
          <w:rFonts w:ascii="Book Antiqua" w:eastAsia="Book Antiqua" w:hAnsi="Book Antiqua" w:cs="Book Antiqua"/>
          <w:b/>
          <w:bCs/>
          <w:color w:val="000000"/>
        </w:rPr>
        <w:t>Chang JS</w:t>
      </w:r>
      <w:r w:rsidRPr="00436841">
        <w:rPr>
          <w:rFonts w:ascii="Book Antiqua" w:eastAsia="Book Antiqua" w:hAnsi="Book Antiqua" w:cs="Book Antiqua"/>
          <w:color w:val="000000"/>
        </w:rPr>
        <w:t xml:space="preserve">, Tsai CR, Chen LT. Medical risk factors associated with cholangiocarcinoma in Taiwan: a population-based case-control study. </w:t>
      </w:r>
      <w:r w:rsidRPr="00436841">
        <w:rPr>
          <w:rFonts w:ascii="Book Antiqua" w:eastAsia="Book Antiqua" w:hAnsi="Book Antiqua" w:cs="Book Antiqua"/>
          <w:i/>
          <w:iCs/>
          <w:color w:val="000000"/>
        </w:rPr>
        <w:t>PLoS One</w:t>
      </w:r>
      <w:r w:rsidRPr="00436841">
        <w:rPr>
          <w:rFonts w:ascii="Book Antiqua" w:eastAsia="Book Antiqua" w:hAnsi="Book Antiqua" w:cs="Book Antiqua"/>
          <w:color w:val="000000"/>
        </w:rPr>
        <w:t xml:space="preserve"> 2013; </w:t>
      </w:r>
      <w:r w:rsidRPr="00436841">
        <w:rPr>
          <w:rFonts w:ascii="Book Antiqua" w:eastAsia="Book Antiqua" w:hAnsi="Book Antiqua" w:cs="Book Antiqua"/>
          <w:b/>
          <w:bCs/>
          <w:color w:val="000000"/>
        </w:rPr>
        <w:t>8</w:t>
      </w:r>
      <w:r w:rsidRPr="00436841">
        <w:rPr>
          <w:rFonts w:ascii="Book Antiqua" w:eastAsia="Book Antiqua" w:hAnsi="Book Antiqua" w:cs="Book Antiqua"/>
          <w:color w:val="000000"/>
        </w:rPr>
        <w:t>: e69981 [PMID: 23894567 DOI: 10.1371/journal.pone.0069981]</w:t>
      </w:r>
    </w:p>
    <w:p w14:paraId="733D8AC9"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10 </w:t>
      </w:r>
      <w:r w:rsidRPr="00436841">
        <w:rPr>
          <w:rFonts w:ascii="Book Antiqua" w:eastAsia="Book Antiqua" w:hAnsi="Book Antiqua" w:cs="Book Antiqua"/>
          <w:b/>
          <w:bCs/>
          <w:color w:val="000000"/>
        </w:rPr>
        <w:t>Wu Y</w:t>
      </w:r>
      <w:r w:rsidRPr="00436841">
        <w:rPr>
          <w:rFonts w:ascii="Book Antiqua" w:eastAsia="Book Antiqua" w:hAnsi="Book Antiqua" w:cs="Book Antiqua"/>
          <w:color w:val="000000"/>
        </w:rPr>
        <w:t xml:space="preserve">, Wang T, Ye S, Zhao R, Bai X, Wu Y, Abe K, Jin X. Detection of hepatitis B virus DNA in paraffin-embedded intrahepatic and extrahepatic cholangiocarcinoma tissue in the northern Chinese population. </w:t>
      </w:r>
      <w:r w:rsidRPr="00436841">
        <w:rPr>
          <w:rFonts w:ascii="Book Antiqua" w:eastAsia="Book Antiqua" w:hAnsi="Book Antiqua" w:cs="Book Antiqua"/>
          <w:i/>
          <w:iCs/>
          <w:color w:val="000000"/>
        </w:rPr>
        <w:t>Hum Pathol</w:t>
      </w:r>
      <w:r w:rsidRPr="00436841">
        <w:rPr>
          <w:rFonts w:ascii="Book Antiqua" w:eastAsia="Book Antiqua" w:hAnsi="Book Antiqua" w:cs="Book Antiqua"/>
          <w:color w:val="000000"/>
        </w:rPr>
        <w:t xml:space="preserve"> 2012; </w:t>
      </w:r>
      <w:r w:rsidRPr="00436841">
        <w:rPr>
          <w:rFonts w:ascii="Book Antiqua" w:eastAsia="Book Antiqua" w:hAnsi="Book Antiqua" w:cs="Book Antiqua"/>
          <w:b/>
          <w:bCs/>
          <w:color w:val="000000"/>
        </w:rPr>
        <w:t>43</w:t>
      </w:r>
      <w:r w:rsidRPr="00436841">
        <w:rPr>
          <w:rFonts w:ascii="Book Antiqua" w:eastAsia="Book Antiqua" w:hAnsi="Book Antiqua" w:cs="Book Antiqua"/>
          <w:color w:val="000000"/>
        </w:rPr>
        <w:t>: 56-61 [PMID: 21777950 DOI: 10.1016/j.humpath.2011.04.004]</w:t>
      </w:r>
    </w:p>
    <w:p w14:paraId="1B024472"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11 </w:t>
      </w:r>
      <w:r w:rsidRPr="00436841">
        <w:rPr>
          <w:rFonts w:ascii="Book Antiqua" w:eastAsia="Book Antiqua" w:hAnsi="Book Antiqua" w:cs="Book Antiqua"/>
          <w:b/>
          <w:bCs/>
          <w:color w:val="000000"/>
        </w:rPr>
        <w:t>Wu Q</w:t>
      </w:r>
      <w:r w:rsidRPr="00436841">
        <w:rPr>
          <w:rFonts w:ascii="Book Antiqua" w:eastAsia="Book Antiqua" w:hAnsi="Book Antiqua" w:cs="Book Antiqua"/>
          <w:color w:val="000000"/>
        </w:rPr>
        <w:t xml:space="preserve">, He XD, Yu L, Liu W, Tao LY. The metabolic syndrome and risk factors for biliary tract cancer: a case-control study in China. </w:t>
      </w:r>
      <w:r w:rsidRPr="00436841">
        <w:rPr>
          <w:rFonts w:ascii="Book Antiqua" w:eastAsia="Book Antiqua" w:hAnsi="Book Antiqua" w:cs="Book Antiqua"/>
          <w:i/>
          <w:iCs/>
          <w:color w:val="000000"/>
        </w:rPr>
        <w:t>Asian Pac J Cancer Prev</w:t>
      </w:r>
      <w:r w:rsidRPr="00436841">
        <w:rPr>
          <w:rFonts w:ascii="Book Antiqua" w:eastAsia="Book Antiqua" w:hAnsi="Book Antiqua" w:cs="Book Antiqua"/>
          <w:color w:val="000000"/>
        </w:rPr>
        <w:t xml:space="preserve"> 2012; </w:t>
      </w:r>
      <w:r w:rsidRPr="00436841">
        <w:rPr>
          <w:rFonts w:ascii="Book Antiqua" w:eastAsia="Book Antiqua" w:hAnsi="Book Antiqua" w:cs="Book Antiqua"/>
          <w:b/>
          <w:bCs/>
          <w:color w:val="000000"/>
        </w:rPr>
        <w:t>13</w:t>
      </w:r>
      <w:r w:rsidRPr="00436841">
        <w:rPr>
          <w:rFonts w:ascii="Book Antiqua" w:eastAsia="Book Antiqua" w:hAnsi="Book Antiqua" w:cs="Book Antiqua"/>
          <w:color w:val="000000"/>
        </w:rPr>
        <w:t>: 1963-1969 [PMID: 22901155 DOI: 10.7314/apjcp.2012.13.5.1963]</w:t>
      </w:r>
    </w:p>
    <w:p w14:paraId="410893F8"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12 </w:t>
      </w:r>
      <w:r w:rsidRPr="00436841">
        <w:rPr>
          <w:rFonts w:ascii="Book Antiqua" w:eastAsia="Book Antiqua" w:hAnsi="Book Antiqua" w:cs="Book Antiqua"/>
          <w:b/>
          <w:bCs/>
          <w:color w:val="000000"/>
        </w:rPr>
        <w:t>Peng NF</w:t>
      </w:r>
      <w:r w:rsidRPr="00436841">
        <w:rPr>
          <w:rFonts w:ascii="Book Antiqua" w:eastAsia="Book Antiqua" w:hAnsi="Book Antiqua" w:cs="Book Antiqua"/>
          <w:color w:val="000000"/>
        </w:rPr>
        <w:t xml:space="preserve">, Li LQ, Qin X, Guo Y, Peng T, Xiao KY, Chen XG, Yang YF, Su ZX, Chen B, Su M, Qi LN. Evaluation of risk factors and clinicopathologic features for intrahepatic cholangiocarcinoma in Southern China: a possible role of hepatitis B virus. </w:t>
      </w:r>
      <w:r w:rsidRPr="00436841">
        <w:rPr>
          <w:rFonts w:ascii="Book Antiqua" w:eastAsia="Book Antiqua" w:hAnsi="Book Antiqua" w:cs="Book Antiqua"/>
          <w:i/>
          <w:iCs/>
          <w:color w:val="000000"/>
        </w:rPr>
        <w:t>Ann Surg Oncol</w:t>
      </w:r>
      <w:r w:rsidRPr="00436841">
        <w:rPr>
          <w:rFonts w:ascii="Book Antiqua" w:eastAsia="Book Antiqua" w:hAnsi="Book Antiqua" w:cs="Book Antiqua"/>
          <w:color w:val="000000"/>
        </w:rPr>
        <w:t xml:space="preserve"> 2011; </w:t>
      </w:r>
      <w:r w:rsidRPr="00436841">
        <w:rPr>
          <w:rFonts w:ascii="Book Antiqua" w:eastAsia="Book Antiqua" w:hAnsi="Book Antiqua" w:cs="Book Antiqua"/>
          <w:b/>
          <w:bCs/>
          <w:color w:val="000000"/>
        </w:rPr>
        <w:t>18</w:t>
      </w:r>
      <w:r w:rsidRPr="00436841">
        <w:rPr>
          <w:rFonts w:ascii="Book Antiqua" w:eastAsia="Book Antiqua" w:hAnsi="Book Antiqua" w:cs="Book Antiqua"/>
          <w:color w:val="000000"/>
        </w:rPr>
        <w:t>: 1258-1266 [PMID: 21207172 DOI: 10.1245/s10434-010-1458-5]</w:t>
      </w:r>
    </w:p>
    <w:p w14:paraId="012160AC"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13 </w:t>
      </w:r>
      <w:r w:rsidRPr="00436841">
        <w:rPr>
          <w:rFonts w:ascii="Book Antiqua" w:eastAsia="Book Antiqua" w:hAnsi="Book Antiqua" w:cs="Book Antiqua"/>
          <w:b/>
          <w:bCs/>
          <w:color w:val="000000"/>
        </w:rPr>
        <w:t>Welzel TM</w:t>
      </w:r>
      <w:r w:rsidRPr="00436841">
        <w:rPr>
          <w:rFonts w:ascii="Book Antiqua" w:eastAsia="Book Antiqua" w:hAnsi="Book Antiqua" w:cs="Book Antiqua"/>
          <w:color w:val="000000"/>
        </w:rPr>
        <w:t xml:space="preserve">, Graubard BI, Zeuzem S, El-Serag HB, Davila JA, McGlynn KA. Metabolic syndrome increases the risk of primary liver cancer in the United States: a study in the SEER-Medicare database. </w:t>
      </w:r>
      <w:r w:rsidRPr="00436841">
        <w:rPr>
          <w:rFonts w:ascii="Book Antiqua" w:eastAsia="Book Antiqua" w:hAnsi="Book Antiqua" w:cs="Book Antiqua"/>
          <w:i/>
          <w:iCs/>
          <w:color w:val="000000"/>
        </w:rPr>
        <w:t>Hepatology</w:t>
      </w:r>
      <w:r w:rsidRPr="00436841">
        <w:rPr>
          <w:rFonts w:ascii="Book Antiqua" w:eastAsia="Book Antiqua" w:hAnsi="Book Antiqua" w:cs="Book Antiqua"/>
          <w:color w:val="000000"/>
        </w:rPr>
        <w:t xml:space="preserve"> 2011; </w:t>
      </w:r>
      <w:r w:rsidRPr="00436841">
        <w:rPr>
          <w:rFonts w:ascii="Book Antiqua" w:eastAsia="Book Antiqua" w:hAnsi="Book Antiqua" w:cs="Book Antiqua"/>
          <w:b/>
          <w:bCs/>
          <w:color w:val="000000"/>
        </w:rPr>
        <w:t>54</w:t>
      </w:r>
      <w:r w:rsidRPr="00436841">
        <w:rPr>
          <w:rFonts w:ascii="Book Antiqua" w:eastAsia="Book Antiqua" w:hAnsi="Book Antiqua" w:cs="Book Antiqua"/>
          <w:color w:val="000000"/>
        </w:rPr>
        <w:t>: 463-471 [PMID: 21538440 DOI: 10.1002/hep.24397]</w:t>
      </w:r>
    </w:p>
    <w:p w14:paraId="78865636"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14 </w:t>
      </w:r>
      <w:r w:rsidRPr="00436841">
        <w:rPr>
          <w:rFonts w:ascii="Book Antiqua" w:eastAsia="Book Antiqua" w:hAnsi="Book Antiqua" w:cs="Book Antiqua"/>
          <w:b/>
          <w:bCs/>
          <w:color w:val="000000"/>
        </w:rPr>
        <w:t>Tao LY</w:t>
      </w:r>
      <w:r w:rsidRPr="00436841">
        <w:rPr>
          <w:rFonts w:ascii="Book Antiqua" w:eastAsia="Book Antiqua" w:hAnsi="Book Antiqua" w:cs="Book Antiqua"/>
          <w:color w:val="000000"/>
        </w:rPr>
        <w:t xml:space="preserve">, He XD, Qu Q, Cai L, Liu W, Zhou L, Zhang SM. Risk factors for intrahepatic and extrahepatic cholangiocarcinoma: a case-control study in China. </w:t>
      </w:r>
      <w:r w:rsidRPr="00436841">
        <w:rPr>
          <w:rFonts w:ascii="Book Antiqua" w:eastAsia="Book Antiqua" w:hAnsi="Book Antiqua" w:cs="Book Antiqua"/>
          <w:i/>
          <w:iCs/>
          <w:color w:val="000000"/>
        </w:rPr>
        <w:t>Liver Int</w:t>
      </w:r>
      <w:r w:rsidRPr="00436841">
        <w:rPr>
          <w:rFonts w:ascii="Book Antiqua" w:eastAsia="Book Antiqua" w:hAnsi="Book Antiqua" w:cs="Book Antiqua"/>
          <w:color w:val="000000"/>
        </w:rPr>
        <w:t xml:space="preserve"> 2010; </w:t>
      </w:r>
      <w:r w:rsidRPr="00436841">
        <w:rPr>
          <w:rFonts w:ascii="Book Antiqua" w:eastAsia="Book Antiqua" w:hAnsi="Book Antiqua" w:cs="Book Antiqua"/>
          <w:b/>
          <w:bCs/>
          <w:color w:val="000000"/>
        </w:rPr>
        <w:t>30</w:t>
      </w:r>
      <w:r w:rsidRPr="00436841">
        <w:rPr>
          <w:rFonts w:ascii="Book Antiqua" w:eastAsia="Book Antiqua" w:hAnsi="Book Antiqua" w:cs="Book Antiqua"/>
          <w:color w:val="000000"/>
        </w:rPr>
        <w:t>: 215-221 [PMID: 19840244 DOI: 10.1111/j.1478-3231.2009.02149.x]</w:t>
      </w:r>
    </w:p>
    <w:p w14:paraId="54A64A81" w14:textId="77777777" w:rsidR="00A77B3E" w:rsidRPr="00436841" w:rsidRDefault="0048774A" w:rsidP="00ED58D3">
      <w:pPr>
        <w:spacing w:line="360" w:lineRule="auto"/>
        <w:jc w:val="both"/>
        <w:rPr>
          <w:rFonts w:ascii="Book Antiqua" w:eastAsia="Book Antiqua" w:hAnsi="Book Antiqua" w:cs="Book Antiqua"/>
          <w:color w:val="000000"/>
        </w:rPr>
      </w:pPr>
      <w:r w:rsidRPr="00436841">
        <w:rPr>
          <w:rFonts w:ascii="Book Antiqua" w:eastAsia="Book Antiqua" w:hAnsi="Book Antiqua" w:cs="Book Antiqua"/>
          <w:color w:val="000000"/>
        </w:rPr>
        <w:t xml:space="preserve">15 </w:t>
      </w:r>
      <w:r w:rsidRPr="00436841">
        <w:rPr>
          <w:rFonts w:ascii="Book Antiqua" w:eastAsia="Book Antiqua" w:hAnsi="Book Antiqua" w:cs="Book Antiqua"/>
          <w:b/>
          <w:bCs/>
          <w:color w:val="000000"/>
        </w:rPr>
        <w:t>Zhou HB</w:t>
      </w:r>
      <w:r w:rsidRPr="00436841">
        <w:rPr>
          <w:rFonts w:ascii="Book Antiqua" w:eastAsia="Book Antiqua" w:hAnsi="Book Antiqua" w:cs="Book Antiqua"/>
          <w:color w:val="000000"/>
        </w:rPr>
        <w:t xml:space="preserve">, Wang H, Zhou DX, Wang H, Wang Q, Zou SS, Hu HP. Etiological and clinicopathologic characteristics of intrahepatic cholangiocarcinoma in young patients. </w:t>
      </w:r>
      <w:r w:rsidRPr="00436841">
        <w:rPr>
          <w:rFonts w:ascii="Book Antiqua" w:eastAsia="Book Antiqua" w:hAnsi="Book Antiqua" w:cs="Book Antiqua"/>
          <w:i/>
          <w:iCs/>
          <w:color w:val="000000"/>
        </w:rPr>
        <w:t>World J Gastroenterol</w:t>
      </w:r>
      <w:r w:rsidRPr="00436841">
        <w:rPr>
          <w:rFonts w:ascii="Book Antiqua" w:eastAsia="Book Antiqua" w:hAnsi="Book Antiqua" w:cs="Book Antiqua"/>
          <w:color w:val="000000"/>
        </w:rPr>
        <w:t xml:space="preserve"> 2010; </w:t>
      </w:r>
      <w:r w:rsidRPr="00436841">
        <w:rPr>
          <w:rFonts w:ascii="Book Antiqua" w:eastAsia="Book Antiqua" w:hAnsi="Book Antiqua" w:cs="Book Antiqua"/>
          <w:b/>
          <w:bCs/>
          <w:color w:val="000000"/>
        </w:rPr>
        <w:t>16</w:t>
      </w:r>
      <w:r w:rsidRPr="00436841">
        <w:rPr>
          <w:rFonts w:ascii="Book Antiqua" w:eastAsia="Book Antiqua" w:hAnsi="Book Antiqua" w:cs="Book Antiqua"/>
          <w:color w:val="000000"/>
        </w:rPr>
        <w:t xml:space="preserve">: 881-885 [PMID: 20143468 DOI: </w:t>
      </w:r>
      <w:r w:rsidR="00BF744B" w:rsidRPr="00436841">
        <w:rPr>
          <w:rFonts w:ascii="Book Antiqua" w:eastAsia="Book Antiqua" w:hAnsi="Book Antiqua" w:cs="Book Antiqua"/>
          <w:color w:val="000000"/>
        </w:rPr>
        <w:t>10.3748/wjg.v16.i7.881</w:t>
      </w:r>
      <w:r w:rsidRPr="00436841">
        <w:rPr>
          <w:rFonts w:ascii="Book Antiqua" w:eastAsia="Book Antiqua" w:hAnsi="Book Antiqua" w:cs="Book Antiqua"/>
          <w:color w:val="000000"/>
        </w:rPr>
        <w:t>]</w:t>
      </w:r>
    </w:p>
    <w:p w14:paraId="0A852A08"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16 </w:t>
      </w:r>
      <w:r w:rsidRPr="00436841">
        <w:rPr>
          <w:rFonts w:ascii="Book Antiqua" w:eastAsia="Book Antiqua" w:hAnsi="Book Antiqua" w:cs="Book Antiqua"/>
          <w:b/>
          <w:bCs/>
          <w:color w:val="000000"/>
        </w:rPr>
        <w:t>Lee CH</w:t>
      </w:r>
      <w:r w:rsidRPr="00436841">
        <w:rPr>
          <w:rFonts w:ascii="Book Antiqua" w:eastAsia="Book Antiqua" w:hAnsi="Book Antiqua" w:cs="Book Antiqua"/>
          <w:color w:val="000000"/>
        </w:rPr>
        <w:t xml:space="preserve">, Chang CJ, Lin YJ, Yeh CN, Chen MF, Hsieh SY. Viral hepatitis-associated intrahepatic cholangiocarcinoma shares common disease processes with hepatocellular carcinoma. </w:t>
      </w:r>
      <w:r w:rsidRPr="00436841">
        <w:rPr>
          <w:rFonts w:ascii="Book Antiqua" w:eastAsia="Book Antiqua" w:hAnsi="Book Antiqua" w:cs="Book Antiqua"/>
          <w:i/>
          <w:iCs/>
          <w:color w:val="000000"/>
        </w:rPr>
        <w:t>Br J Cancer</w:t>
      </w:r>
      <w:r w:rsidRPr="00436841">
        <w:rPr>
          <w:rFonts w:ascii="Book Antiqua" w:eastAsia="Book Antiqua" w:hAnsi="Book Antiqua" w:cs="Book Antiqua"/>
          <w:color w:val="000000"/>
        </w:rPr>
        <w:t xml:space="preserve"> 2009; </w:t>
      </w:r>
      <w:r w:rsidRPr="00436841">
        <w:rPr>
          <w:rFonts w:ascii="Book Antiqua" w:eastAsia="Book Antiqua" w:hAnsi="Book Antiqua" w:cs="Book Antiqua"/>
          <w:b/>
          <w:bCs/>
          <w:color w:val="000000"/>
        </w:rPr>
        <w:t>100</w:t>
      </w:r>
      <w:r w:rsidRPr="00436841">
        <w:rPr>
          <w:rFonts w:ascii="Book Antiqua" w:eastAsia="Book Antiqua" w:hAnsi="Book Antiqua" w:cs="Book Antiqua"/>
          <w:color w:val="000000"/>
        </w:rPr>
        <w:t>: 1765-1770 [PMID: 19436294 DOI: 10.1038/sj.bjc.6605063]</w:t>
      </w:r>
    </w:p>
    <w:p w14:paraId="31AA2F5A"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17 </w:t>
      </w:r>
      <w:r w:rsidRPr="00436841">
        <w:rPr>
          <w:rFonts w:ascii="Book Antiqua" w:eastAsia="Book Antiqua" w:hAnsi="Book Antiqua" w:cs="Book Antiqua"/>
          <w:b/>
          <w:bCs/>
          <w:color w:val="000000"/>
        </w:rPr>
        <w:t>Lee TY</w:t>
      </w:r>
      <w:r w:rsidRPr="00436841">
        <w:rPr>
          <w:rFonts w:ascii="Book Antiqua" w:eastAsia="Book Antiqua" w:hAnsi="Book Antiqua" w:cs="Book Antiqua"/>
          <w:color w:val="000000"/>
        </w:rPr>
        <w:t xml:space="preserve">, Lee SS, Jung SW, Jeon SH, Yun SC, Oh HC, Kwon S, Lee SK, Seo DW, Kim MH, Suh DJ. Hepatitis B virus infection and intrahepatic cholangiocarcinoma in Korea: </w:t>
      </w:r>
      <w:r w:rsidRPr="00436841">
        <w:rPr>
          <w:rFonts w:ascii="Book Antiqua" w:eastAsia="Book Antiqua" w:hAnsi="Book Antiqua" w:cs="Book Antiqua"/>
          <w:color w:val="000000"/>
        </w:rPr>
        <w:lastRenderedPageBreak/>
        <w:t xml:space="preserve">a case-control study. </w:t>
      </w:r>
      <w:r w:rsidRPr="00436841">
        <w:rPr>
          <w:rFonts w:ascii="Book Antiqua" w:eastAsia="Book Antiqua" w:hAnsi="Book Antiqua" w:cs="Book Antiqua"/>
          <w:i/>
          <w:iCs/>
          <w:color w:val="000000"/>
        </w:rPr>
        <w:t>Am J Gastroenterol</w:t>
      </w:r>
      <w:r w:rsidRPr="00436841">
        <w:rPr>
          <w:rFonts w:ascii="Book Antiqua" w:eastAsia="Book Antiqua" w:hAnsi="Book Antiqua" w:cs="Book Antiqua"/>
          <w:color w:val="000000"/>
        </w:rPr>
        <w:t xml:space="preserve"> 2008; </w:t>
      </w:r>
      <w:r w:rsidRPr="00436841">
        <w:rPr>
          <w:rFonts w:ascii="Book Antiqua" w:eastAsia="Book Antiqua" w:hAnsi="Book Antiqua" w:cs="Book Antiqua"/>
          <w:b/>
          <w:bCs/>
          <w:color w:val="000000"/>
        </w:rPr>
        <w:t>103</w:t>
      </w:r>
      <w:r w:rsidRPr="00436841">
        <w:rPr>
          <w:rFonts w:ascii="Book Antiqua" w:eastAsia="Book Antiqua" w:hAnsi="Book Antiqua" w:cs="Book Antiqua"/>
          <w:color w:val="000000"/>
        </w:rPr>
        <w:t>: 1716-1720 [PMID: 18557716 DOI: 10.1111/j.1572-0241.2008.01796.x]</w:t>
      </w:r>
    </w:p>
    <w:p w14:paraId="68E75D3E"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18 </w:t>
      </w:r>
      <w:r w:rsidRPr="00436841">
        <w:rPr>
          <w:rFonts w:ascii="Book Antiqua" w:eastAsia="Book Antiqua" w:hAnsi="Book Antiqua" w:cs="Book Antiqua"/>
          <w:b/>
          <w:bCs/>
          <w:color w:val="000000"/>
        </w:rPr>
        <w:t>Zhou YM</w:t>
      </w:r>
      <w:r w:rsidRPr="00436841">
        <w:rPr>
          <w:rFonts w:ascii="Book Antiqua" w:eastAsia="Book Antiqua" w:hAnsi="Book Antiqua" w:cs="Book Antiqua"/>
          <w:color w:val="000000"/>
        </w:rPr>
        <w:t xml:space="preserve">, Yin ZF, Yang JM, Li B, Shao WY, Xu F, Wang YL, Li DQ. Risk factors for intrahepatic cholangiocarcinoma: a case-control study in China. </w:t>
      </w:r>
      <w:r w:rsidRPr="00436841">
        <w:rPr>
          <w:rFonts w:ascii="Book Antiqua" w:eastAsia="Book Antiqua" w:hAnsi="Book Antiqua" w:cs="Book Antiqua"/>
          <w:i/>
          <w:iCs/>
          <w:color w:val="000000"/>
        </w:rPr>
        <w:t>World J Gastroenterol</w:t>
      </w:r>
      <w:r w:rsidRPr="00436841">
        <w:rPr>
          <w:rFonts w:ascii="Book Antiqua" w:eastAsia="Book Antiqua" w:hAnsi="Book Antiqua" w:cs="Book Antiqua"/>
          <w:color w:val="000000"/>
        </w:rPr>
        <w:t xml:space="preserve"> 2008; </w:t>
      </w:r>
      <w:r w:rsidRPr="00436841">
        <w:rPr>
          <w:rFonts w:ascii="Book Antiqua" w:eastAsia="Book Antiqua" w:hAnsi="Book Antiqua" w:cs="Book Antiqua"/>
          <w:b/>
          <w:bCs/>
          <w:color w:val="000000"/>
        </w:rPr>
        <w:t>14</w:t>
      </w:r>
      <w:r w:rsidRPr="00436841">
        <w:rPr>
          <w:rFonts w:ascii="Book Antiqua" w:eastAsia="Book Antiqua" w:hAnsi="Book Antiqua" w:cs="Book Antiqua"/>
          <w:color w:val="000000"/>
        </w:rPr>
        <w:t>: 632-635 [PMID: 18203300 DOI: 10.3748/wjg.14.632]</w:t>
      </w:r>
    </w:p>
    <w:p w14:paraId="0EF113A7"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19 </w:t>
      </w:r>
      <w:r w:rsidRPr="00436841">
        <w:rPr>
          <w:rFonts w:ascii="Book Antiqua" w:eastAsia="Book Antiqua" w:hAnsi="Book Antiqua" w:cs="Book Antiqua"/>
          <w:b/>
          <w:bCs/>
          <w:color w:val="000000"/>
        </w:rPr>
        <w:t>Shaib YH</w:t>
      </w:r>
      <w:r w:rsidRPr="00436841">
        <w:rPr>
          <w:rFonts w:ascii="Book Antiqua" w:eastAsia="Book Antiqua" w:hAnsi="Book Antiqua" w:cs="Book Antiqua"/>
          <w:color w:val="000000"/>
        </w:rPr>
        <w:t xml:space="preserve">, El-Serag HB, Nooka AK, Thomas M, Brown TD, Patt YZ, Hassan MM. Risk factors for intrahepatic and extrahepatic cholangiocarcinoma: a hospital-based case-control study. </w:t>
      </w:r>
      <w:r w:rsidRPr="00436841">
        <w:rPr>
          <w:rFonts w:ascii="Book Antiqua" w:eastAsia="Book Antiqua" w:hAnsi="Book Antiqua" w:cs="Book Antiqua"/>
          <w:i/>
          <w:iCs/>
          <w:color w:val="000000"/>
        </w:rPr>
        <w:t>Am J Gastroenterol</w:t>
      </w:r>
      <w:r w:rsidRPr="00436841">
        <w:rPr>
          <w:rFonts w:ascii="Book Antiqua" w:eastAsia="Book Antiqua" w:hAnsi="Book Antiqua" w:cs="Book Antiqua"/>
          <w:color w:val="000000"/>
        </w:rPr>
        <w:t xml:space="preserve"> 2007; </w:t>
      </w:r>
      <w:r w:rsidRPr="00436841">
        <w:rPr>
          <w:rFonts w:ascii="Book Antiqua" w:eastAsia="Book Antiqua" w:hAnsi="Book Antiqua" w:cs="Book Antiqua"/>
          <w:b/>
          <w:bCs/>
          <w:color w:val="000000"/>
        </w:rPr>
        <w:t>102</w:t>
      </w:r>
      <w:r w:rsidRPr="00436841">
        <w:rPr>
          <w:rFonts w:ascii="Book Antiqua" w:eastAsia="Book Antiqua" w:hAnsi="Book Antiqua" w:cs="Book Antiqua"/>
          <w:color w:val="000000"/>
        </w:rPr>
        <w:t>: 1016-1021 [PMID: 17324130 DOI: 10.1111/j.1572-0241.2007.01104.x]</w:t>
      </w:r>
    </w:p>
    <w:p w14:paraId="518BB85F"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20 </w:t>
      </w:r>
      <w:r w:rsidRPr="00436841">
        <w:rPr>
          <w:rFonts w:ascii="Book Antiqua" w:eastAsia="Book Antiqua" w:hAnsi="Book Antiqua" w:cs="Book Antiqua"/>
          <w:b/>
          <w:bCs/>
          <w:color w:val="000000"/>
        </w:rPr>
        <w:t>Choi D</w:t>
      </w:r>
      <w:r w:rsidRPr="00436841">
        <w:rPr>
          <w:rFonts w:ascii="Book Antiqua" w:eastAsia="Book Antiqua" w:hAnsi="Book Antiqua" w:cs="Book Antiqua"/>
          <w:color w:val="000000"/>
        </w:rPr>
        <w:t xml:space="preserve">, Lim JH, Lee KT, Lee JK, Choi SH, Heo JS, Jang KT, Lee NY, Kim S, Hong ST. Cholangiocarcinoma and Clonorchis sinensis infection: a case-control study in Korea. </w:t>
      </w:r>
      <w:r w:rsidRPr="00436841">
        <w:rPr>
          <w:rFonts w:ascii="Book Antiqua" w:eastAsia="Book Antiqua" w:hAnsi="Book Antiqua" w:cs="Book Antiqua"/>
          <w:i/>
          <w:iCs/>
          <w:color w:val="000000"/>
        </w:rPr>
        <w:t>J Hepatol</w:t>
      </w:r>
      <w:r w:rsidRPr="00436841">
        <w:rPr>
          <w:rFonts w:ascii="Book Antiqua" w:eastAsia="Book Antiqua" w:hAnsi="Book Antiqua" w:cs="Book Antiqua"/>
          <w:color w:val="000000"/>
        </w:rPr>
        <w:t xml:space="preserve"> 2006; </w:t>
      </w:r>
      <w:r w:rsidRPr="00436841">
        <w:rPr>
          <w:rFonts w:ascii="Book Antiqua" w:eastAsia="Book Antiqua" w:hAnsi="Book Antiqua" w:cs="Book Antiqua"/>
          <w:b/>
          <w:bCs/>
          <w:color w:val="000000"/>
        </w:rPr>
        <w:t>44</w:t>
      </w:r>
      <w:r w:rsidRPr="00436841">
        <w:rPr>
          <w:rFonts w:ascii="Book Antiqua" w:eastAsia="Book Antiqua" w:hAnsi="Book Antiqua" w:cs="Book Antiqua"/>
          <w:color w:val="000000"/>
        </w:rPr>
        <w:t>: 1066-1073 [PMID: 16480786 DOI: 10.1016/j.jhep.2005.11.040]</w:t>
      </w:r>
    </w:p>
    <w:p w14:paraId="782CF205"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21 </w:t>
      </w:r>
      <w:r w:rsidRPr="00436841">
        <w:rPr>
          <w:rFonts w:ascii="Book Antiqua" w:eastAsia="Book Antiqua" w:hAnsi="Book Antiqua" w:cs="Book Antiqua"/>
          <w:b/>
          <w:bCs/>
          <w:color w:val="000000"/>
        </w:rPr>
        <w:t>Shaib YH</w:t>
      </w:r>
      <w:r w:rsidRPr="00436841">
        <w:rPr>
          <w:rFonts w:ascii="Book Antiqua" w:eastAsia="Book Antiqua" w:hAnsi="Book Antiqua" w:cs="Book Antiqua"/>
          <w:color w:val="000000"/>
        </w:rPr>
        <w:t xml:space="preserve">, El-Serag HB, Davila JA, Morgan R, McGlynn KA. Risk factors of intrahepatic cholangiocarcinoma in the United States: a case-control study. </w:t>
      </w:r>
      <w:r w:rsidRPr="00436841">
        <w:rPr>
          <w:rFonts w:ascii="Book Antiqua" w:eastAsia="Book Antiqua" w:hAnsi="Book Antiqua" w:cs="Book Antiqua"/>
          <w:i/>
          <w:iCs/>
          <w:color w:val="000000"/>
        </w:rPr>
        <w:t>Gastroenterology</w:t>
      </w:r>
      <w:r w:rsidRPr="00436841">
        <w:rPr>
          <w:rFonts w:ascii="Book Antiqua" w:eastAsia="Book Antiqua" w:hAnsi="Book Antiqua" w:cs="Book Antiqua"/>
          <w:color w:val="000000"/>
        </w:rPr>
        <w:t xml:space="preserve"> 2005; </w:t>
      </w:r>
      <w:r w:rsidRPr="00436841">
        <w:rPr>
          <w:rFonts w:ascii="Book Antiqua" w:eastAsia="Book Antiqua" w:hAnsi="Book Antiqua" w:cs="Book Antiqua"/>
          <w:b/>
          <w:bCs/>
          <w:color w:val="000000"/>
        </w:rPr>
        <w:t>128</w:t>
      </w:r>
      <w:r w:rsidRPr="00436841">
        <w:rPr>
          <w:rFonts w:ascii="Book Antiqua" w:eastAsia="Book Antiqua" w:hAnsi="Book Antiqua" w:cs="Book Antiqua"/>
          <w:color w:val="000000"/>
        </w:rPr>
        <w:t>: 620-626 [PMID: 15765398 DOI: 10.1053/j.gastro.2004.12.048]</w:t>
      </w:r>
    </w:p>
    <w:p w14:paraId="6F4D9E07"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22 </w:t>
      </w:r>
      <w:r w:rsidRPr="00436841">
        <w:rPr>
          <w:rFonts w:ascii="Book Antiqua" w:eastAsia="Book Antiqua" w:hAnsi="Book Antiqua" w:cs="Book Antiqua"/>
          <w:b/>
          <w:bCs/>
          <w:color w:val="000000"/>
        </w:rPr>
        <w:t>Yamamoto S</w:t>
      </w:r>
      <w:r w:rsidRPr="00436841">
        <w:rPr>
          <w:rFonts w:ascii="Book Antiqua" w:eastAsia="Book Antiqua" w:hAnsi="Book Antiqua" w:cs="Book Antiqua"/>
          <w:color w:val="000000"/>
        </w:rPr>
        <w:t xml:space="preserve">, Kubo S, Hai S, Uenishi T, Yamamoto T, Shuto T, Takemura S, Tanaka H, Yamazaki O, Hirohashi K, Tanaka T. Hepatitis C virus infection as a likely etiology of intrahepatic cholangiocarcinoma. </w:t>
      </w:r>
      <w:r w:rsidRPr="00436841">
        <w:rPr>
          <w:rFonts w:ascii="Book Antiqua" w:eastAsia="Book Antiqua" w:hAnsi="Book Antiqua" w:cs="Book Antiqua"/>
          <w:i/>
          <w:iCs/>
          <w:color w:val="000000"/>
        </w:rPr>
        <w:t>Cancer Sci</w:t>
      </w:r>
      <w:r w:rsidRPr="00436841">
        <w:rPr>
          <w:rFonts w:ascii="Book Antiqua" w:eastAsia="Book Antiqua" w:hAnsi="Book Antiqua" w:cs="Book Antiqua"/>
          <w:color w:val="000000"/>
        </w:rPr>
        <w:t xml:space="preserve"> 2004; </w:t>
      </w:r>
      <w:r w:rsidRPr="00436841">
        <w:rPr>
          <w:rFonts w:ascii="Book Antiqua" w:eastAsia="Book Antiqua" w:hAnsi="Book Antiqua" w:cs="Book Antiqua"/>
          <w:b/>
          <w:bCs/>
          <w:color w:val="000000"/>
        </w:rPr>
        <w:t>95</w:t>
      </w:r>
      <w:r w:rsidRPr="00436841">
        <w:rPr>
          <w:rFonts w:ascii="Book Antiqua" w:eastAsia="Book Antiqua" w:hAnsi="Book Antiqua" w:cs="Book Antiqua"/>
          <w:color w:val="000000"/>
        </w:rPr>
        <w:t>: 592-595 [PMID: 15245596 DOI: 10.1111/j.1349-7006.2004.tb02492.x]</w:t>
      </w:r>
    </w:p>
    <w:p w14:paraId="0FB46842"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23 </w:t>
      </w:r>
      <w:r w:rsidRPr="00436841">
        <w:rPr>
          <w:rFonts w:ascii="Book Antiqua" w:eastAsia="Book Antiqua" w:hAnsi="Book Antiqua" w:cs="Book Antiqua"/>
          <w:b/>
          <w:bCs/>
          <w:color w:val="000000"/>
        </w:rPr>
        <w:t>Donato F</w:t>
      </w:r>
      <w:r w:rsidRPr="00436841">
        <w:rPr>
          <w:rFonts w:ascii="Book Antiqua" w:eastAsia="Book Antiqua" w:hAnsi="Book Antiqua" w:cs="Book Antiqua"/>
          <w:color w:val="000000"/>
        </w:rPr>
        <w:t xml:space="preserve">, Gelatti U, Tagger A, Favret M, Ribero ML, Callea F, Martelli C, Savio A, Trevisi P, Nardi G. Intrahepatic cholangiocarcinoma and hepatitis C and B virus infection, alcohol intake, and hepatolithiasis: a case-control study in Italy. </w:t>
      </w:r>
      <w:r w:rsidRPr="00436841">
        <w:rPr>
          <w:rFonts w:ascii="Book Antiqua" w:eastAsia="Book Antiqua" w:hAnsi="Book Antiqua" w:cs="Book Antiqua"/>
          <w:i/>
          <w:iCs/>
          <w:color w:val="000000"/>
        </w:rPr>
        <w:t>Cancer Causes Control</w:t>
      </w:r>
      <w:r w:rsidRPr="00436841">
        <w:rPr>
          <w:rFonts w:ascii="Book Antiqua" w:eastAsia="Book Antiqua" w:hAnsi="Book Antiqua" w:cs="Book Antiqua"/>
          <w:color w:val="000000"/>
        </w:rPr>
        <w:t xml:space="preserve"> 2001; </w:t>
      </w:r>
      <w:r w:rsidRPr="00436841">
        <w:rPr>
          <w:rFonts w:ascii="Book Antiqua" w:eastAsia="Book Antiqua" w:hAnsi="Book Antiqua" w:cs="Book Antiqua"/>
          <w:b/>
          <w:bCs/>
          <w:color w:val="000000"/>
        </w:rPr>
        <w:t>12</w:t>
      </w:r>
      <w:r w:rsidRPr="00436841">
        <w:rPr>
          <w:rFonts w:ascii="Book Antiqua" w:eastAsia="Book Antiqua" w:hAnsi="Book Antiqua" w:cs="Book Antiqua"/>
          <w:color w:val="000000"/>
        </w:rPr>
        <w:t>: 959-964 [PMID: 11808716 DOI: 10.1023/a:1013747228572]</w:t>
      </w:r>
    </w:p>
    <w:p w14:paraId="17106D3E"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24 </w:t>
      </w:r>
      <w:r w:rsidRPr="00436841">
        <w:rPr>
          <w:rFonts w:ascii="Book Antiqua" w:eastAsia="Book Antiqua" w:hAnsi="Book Antiqua" w:cs="Book Antiqua"/>
          <w:b/>
          <w:bCs/>
          <w:color w:val="000000"/>
        </w:rPr>
        <w:t>Tanaka M</w:t>
      </w:r>
      <w:r w:rsidRPr="00436841">
        <w:rPr>
          <w:rFonts w:ascii="Book Antiqua" w:eastAsia="Book Antiqua" w:hAnsi="Book Antiqua" w:cs="Book Antiqua"/>
          <w:color w:val="000000"/>
        </w:rPr>
        <w:t xml:space="preserve">, Tanaka H, Tsukuma H, Ioka A, Oshima A, Nakahara T. Risk factors for intrahepatic cholangiocarcinoma: a possible role of hepatitis B virus. </w:t>
      </w:r>
      <w:r w:rsidRPr="00436841">
        <w:rPr>
          <w:rFonts w:ascii="Book Antiqua" w:eastAsia="Book Antiqua" w:hAnsi="Book Antiqua" w:cs="Book Antiqua"/>
          <w:i/>
          <w:iCs/>
          <w:color w:val="000000"/>
        </w:rPr>
        <w:t>J Viral Hepat</w:t>
      </w:r>
      <w:r w:rsidRPr="00436841">
        <w:rPr>
          <w:rFonts w:ascii="Book Antiqua" w:eastAsia="Book Antiqua" w:hAnsi="Book Antiqua" w:cs="Book Antiqua"/>
          <w:color w:val="000000"/>
        </w:rPr>
        <w:t xml:space="preserve"> 2010; </w:t>
      </w:r>
      <w:r w:rsidRPr="00436841">
        <w:rPr>
          <w:rFonts w:ascii="Book Antiqua" w:eastAsia="Book Antiqua" w:hAnsi="Book Antiqua" w:cs="Book Antiqua"/>
          <w:b/>
          <w:bCs/>
          <w:color w:val="000000"/>
        </w:rPr>
        <w:t>17</w:t>
      </w:r>
      <w:r w:rsidRPr="00436841">
        <w:rPr>
          <w:rFonts w:ascii="Book Antiqua" w:eastAsia="Book Antiqua" w:hAnsi="Book Antiqua" w:cs="Book Antiqua"/>
          <w:color w:val="000000"/>
        </w:rPr>
        <w:t>: 742-748 [PMID: 20002305 DOI: 10.1111/j.1365-2893.2009.01243.x]</w:t>
      </w:r>
    </w:p>
    <w:p w14:paraId="6C3B9F04"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25 </w:t>
      </w:r>
      <w:r w:rsidRPr="00436841">
        <w:rPr>
          <w:rFonts w:ascii="Book Antiqua" w:eastAsia="Book Antiqua" w:hAnsi="Book Antiqua" w:cs="Book Antiqua"/>
          <w:b/>
          <w:bCs/>
          <w:color w:val="000000"/>
        </w:rPr>
        <w:t>Fwu CW</w:t>
      </w:r>
      <w:r w:rsidRPr="00436841">
        <w:rPr>
          <w:rFonts w:ascii="Book Antiqua" w:eastAsia="Book Antiqua" w:hAnsi="Book Antiqua" w:cs="Book Antiqua"/>
          <w:color w:val="000000"/>
        </w:rPr>
        <w:t xml:space="preserve">, Chien YC, You SL, Nelson KE, Kirk GD, Kuo HS, Feinleib M, Chen CJ. Hepatitis B virus infection and risk of intrahepatic cholangiocarcinoma and non-Hodgkin lymphoma: a cohort study of parous women in Taiwan. </w:t>
      </w:r>
      <w:r w:rsidRPr="00436841">
        <w:rPr>
          <w:rFonts w:ascii="Book Antiqua" w:eastAsia="Book Antiqua" w:hAnsi="Book Antiqua" w:cs="Book Antiqua"/>
          <w:i/>
          <w:iCs/>
          <w:color w:val="000000"/>
        </w:rPr>
        <w:t>Hepatology</w:t>
      </w:r>
      <w:r w:rsidRPr="00436841">
        <w:rPr>
          <w:rFonts w:ascii="Book Antiqua" w:eastAsia="Book Antiqua" w:hAnsi="Book Antiqua" w:cs="Book Antiqua"/>
          <w:color w:val="000000"/>
        </w:rPr>
        <w:t xml:space="preserve"> 2011; </w:t>
      </w:r>
      <w:r w:rsidRPr="00436841">
        <w:rPr>
          <w:rFonts w:ascii="Book Antiqua" w:eastAsia="Book Antiqua" w:hAnsi="Book Antiqua" w:cs="Book Antiqua"/>
          <w:b/>
          <w:bCs/>
          <w:color w:val="000000"/>
        </w:rPr>
        <w:t>53</w:t>
      </w:r>
      <w:r w:rsidRPr="00436841">
        <w:rPr>
          <w:rFonts w:ascii="Book Antiqua" w:eastAsia="Book Antiqua" w:hAnsi="Book Antiqua" w:cs="Book Antiqua"/>
          <w:color w:val="000000"/>
        </w:rPr>
        <w:t>: 1217-1225 [PMID: 21480326 DOI: 10.1002/hep.24150]</w:t>
      </w:r>
    </w:p>
    <w:p w14:paraId="46503ED5"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lastRenderedPageBreak/>
        <w:t xml:space="preserve">26 </w:t>
      </w:r>
      <w:r w:rsidRPr="00436841">
        <w:rPr>
          <w:rFonts w:ascii="Book Antiqua" w:eastAsia="Book Antiqua" w:hAnsi="Book Antiqua" w:cs="Book Antiqua"/>
          <w:b/>
          <w:bCs/>
          <w:color w:val="000000"/>
        </w:rPr>
        <w:t>Banales JM</w:t>
      </w:r>
      <w:r w:rsidRPr="00436841">
        <w:rPr>
          <w:rFonts w:ascii="Book Antiqua" w:eastAsia="Book Antiqua" w:hAnsi="Book Antiqua" w:cs="Book Antiqua"/>
          <w:color w:val="000000"/>
        </w:rPr>
        <w:t xml:space="preserve">, Cardinale V, Carpino G, Marzioni M, Andersen JB, Invernizzi P, Lind GE, Folseraas T, Forbes SJ, Fouassier L, Geier A, Calvisi DF, Mertens JC, Trauner M, Benedetti A, Maroni L, Vaquero J, Macias RIR, Raggi C, Perugorria MJ, Gaudio E, Boberg KM, Marin JJG, Alvaro D. Cholangiocarcinoma: current knowledge and future perspectives consensus statement from the European Network for the Study of Cholangiocarcinoma (ENS-CCA). </w:t>
      </w:r>
      <w:r w:rsidRPr="00436841">
        <w:rPr>
          <w:rFonts w:ascii="Book Antiqua" w:eastAsia="Book Antiqua" w:hAnsi="Book Antiqua" w:cs="Book Antiqua"/>
          <w:i/>
          <w:iCs/>
          <w:color w:val="000000"/>
        </w:rPr>
        <w:t>Nat Rev Gastroenterol Hepatol</w:t>
      </w:r>
      <w:r w:rsidR="00BF744B" w:rsidRP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t>2016;</w:t>
      </w:r>
      <w:r w:rsidR="00BF744B" w:rsidRPr="00436841">
        <w:rPr>
          <w:rFonts w:ascii="Book Antiqua" w:eastAsia="Book Antiqua" w:hAnsi="Book Antiqua" w:cs="Book Antiqua"/>
          <w:color w:val="000000"/>
        </w:rPr>
        <w:t xml:space="preserve"> </w:t>
      </w:r>
      <w:r w:rsidRPr="00436841">
        <w:rPr>
          <w:rFonts w:ascii="Book Antiqua" w:eastAsia="Book Antiqua" w:hAnsi="Book Antiqua" w:cs="Book Antiqua"/>
          <w:b/>
          <w:bCs/>
          <w:color w:val="000000"/>
        </w:rPr>
        <w:t>13</w:t>
      </w:r>
      <w:r w:rsidRPr="00436841">
        <w:rPr>
          <w:rFonts w:ascii="Book Antiqua" w:eastAsia="Book Antiqua" w:hAnsi="Book Antiqua" w:cs="Book Antiqua"/>
          <w:color w:val="000000"/>
        </w:rPr>
        <w:t>:</w:t>
      </w:r>
      <w:r w:rsidR="00BF744B" w:rsidRP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t>261</w:t>
      </w:r>
      <w:r w:rsidR="000354F0" w:rsidRPr="00436841">
        <w:rPr>
          <w:rFonts w:ascii="Book Antiqua" w:eastAsia="Book Antiqua" w:hAnsi="Book Antiqua" w:cs="Book Antiqua"/>
          <w:color w:val="000000"/>
        </w:rPr>
        <w:t>-</w:t>
      </w:r>
      <w:r w:rsidR="00BF744B" w:rsidRPr="00436841">
        <w:rPr>
          <w:rFonts w:ascii="Book Antiqua" w:eastAsia="Book Antiqua" w:hAnsi="Book Antiqua" w:cs="Book Antiqua"/>
          <w:color w:val="000000"/>
        </w:rPr>
        <w:t>2</w:t>
      </w:r>
      <w:r w:rsidRPr="00436841">
        <w:rPr>
          <w:rFonts w:ascii="Book Antiqua" w:eastAsia="Book Antiqua" w:hAnsi="Book Antiqua" w:cs="Book Antiqua"/>
          <w:color w:val="000000"/>
        </w:rPr>
        <w:t>80 [DOI: 10.1038/nrgastro.2016.51]</w:t>
      </w:r>
    </w:p>
    <w:p w14:paraId="0F875E41"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27 </w:t>
      </w:r>
      <w:r w:rsidRPr="00436841">
        <w:rPr>
          <w:rFonts w:ascii="Book Antiqua" w:eastAsia="Book Antiqua" w:hAnsi="Book Antiqua" w:cs="Book Antiqua"/>
          <w:b/>
          <w:bCs/>
          <w:color w:val="000000"/>
        </w:rPr>
        <w:t>Khan SA</w:t>
      </w:r>
      <w:r w:rsidRPr="00436841">
        <w:rPr>
          <w:rFonts w:ascii="Book Antiqua" w:eastAsia="Book Antiqua" w:hAnsi="Book Antiqua" w:cs="Book Antiqua"/>
          <w:color w:val="000000"/>
        </w:rPr>
        <w:t xml:space="preserve">, Tavolari S, Brandi G. Cholangiocarcinoma: Epidemiology and risk factors. </w:t>
      </w:r>
      <w:r w:rsidRPr="00436841">
        <w:rPr>
          <w:rFonts w:ascii="Book Antiqua" w:eastAsia="Book Antiqua" w:hAnsi="Book Antiqua" w:cs="Book Antiqua"/>
          <w:i/>
          <w:iCs/>
          <w:color w:val="000000"/>
        </w:rPr>
        <w:t>Liver Int</w:t>
      </w:r>
      <w:r w:rsidRPr="00436841">
        <w:rPr>
          <w:rFonts w:ascii="Book Antiqua" w:eastAsia="Book Antiqua" w:hAnsi="Book Antiqua" w:cs="Book Antiqua"/>
          <w:color w:val="000000"/>
        </w:rPr>
        <w:t xml:space="preserve"> 2019; </w:t>
      </w:r>
      <w:r w:rsidRPr="00436841">
        <w:rPr>
          <w:rFonts w:ascii="Book Antiqua" w:eastAsia="Book Antiqua" w:hAnsi="Book Antiqua" w:cs="Book Antiqua"/>
          <w:b/>
          <w:bCs/>
          <w:color w:val="000000"/>
        </w:rPr>
        <w:t>39 Suppl 1</w:t>
      </w:r>
      <w:r w:rsidRPr="00436841">
        <w:rPr>
          <w:rFonts w:ascii="Book Antiqua" w:eastAsia="Book Antiqua" w:hAnsi="Book Antiqua" w:cs="Book Antiqua"/>
          <w:color w:val="000000"/>
        </w:rPr>
        <w:t>: 19-31 [PMID: 30851228 DOI: 10.1111/</w:t>
      </w:r>
      <w:r w:rsidR="00BF744B" w:rsidRPr="00436841">
        <w:rPr>
          <w:rFonts w:ascii="Book Antiqua" w:eastAsia="Book Antiqua" w:hAnsi="Book Antiqua" w:cs="Book Antiqua"/>
          <w:color w:val="000000"/>
        </w:rPr>
        <w:t>l</w:t>
      </w:r>
      <w:r w:rsidRPr="00436841">
        <w:rPr>
          <w:rFonts w:ascii="Book Antiqua" w:eastAsia="Book Antiqua" w:hAnsi="Book Antiqua" w:cs="Book Antiqua"/>
          <w:color w:val="000000"/>
        </w:rPr>
        <w:t>iv.14095]</w:t>
      </w:r>
    </w:p>
    <w:p w14:paraId="5737942A"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28 </w:t>
      </w:r>
      <w:r w:rsidRPr="00436841">
        <w:rPr>
          <w:rFonts w:ascii="Book Antiqua" w:eastAsia="Book Antiqua" w:hAnsi="Book Antiqua" w:cs="Book Antiqua"/>
          <w:b/>
          <w:bCs/>
          <w:color w:val="000000"/>
        </w:rPr>
        <w:t>Raimondo G</w:t>
      </w:r>
      <w:r w:rsidRPr="00436841">
        <w:rPr>
          <w:rFonts w:ascii="Book Antiqua" w:eastAsia="Book Antiqua" w:hAnsi="Book Antiqua" w:cs="Book Antiqua"/>
          <w:color w:val="000000"/>
        </w:rPr>
        <w:t xml:space="preserve">, Allain JP, Brunetto MR, Buendia MA, Chen DS, Colombo M, Craxì A, Donato F, Ferrari C, Gaeta GB, Gerlich WH, Levrero M, Locarnini S, Michalak T, Mondelli MU, Pawlotsky JM, Pollicino T, Prati D, Puoti M, Samuel D, Shouval D, Smedile A, Squadrito G, Trépo C, Villa E, Will H, Zanetti AR, Zoulim F. Statements from the Taormina expert meeting on occult hepatitis B virus infection. </w:t>
      </w:r>
      <w:r w:rsidRPr="00436841">
        <w:rPr>
          <w:rFonts w:ascii="Book Antiqua" w:eastAsia="Book Antiqua" w:hAnsi="Book Antiqua" w:cs="Book Antiqua"/>
          <w:i/>
          <w:iCs/>
          <w:color w:val="000000"/>
        </w:rPr>
        <w:t>J Hepatol</w:t>
      </w:r>
      <w:r w:rsidRPr="00436841">
        <w:rPr>
          <w:rFonts w:ascii="Book Antiqua" w:eastAsia="Book Antiqua" w:hAnsi="Book Antiqua" w:cs="Book Antiqua"/>
          <w:color w:val="000000"/>
        </w:rPr>
        <w:t xml:space="preserve"> 2008; </w:t>
      </w:r>
      <w:r w:rsidRPr="00436841">
        <w:rPr>
          <w:rFonts w:ascii="Book Antiqua" w:eastAsia="Book Antiqua" w:hAnsi="Book Antiqua" w:cs="Book Antiqua"/>
          <w:b/>
          <w:bCs/>
          <w:color w:val="000000"/>
        </w:rPr>
        <w:t>49</w:t>
      </w:r>
      <w:r w:rsidRPr="00436841">
        <w:rPr>
          <w:rFonts w:ascii="Book Antiqua" w:eastAsia="Book Antiqua" w:hAnsi="Book Antiqua" w:cs="Book Antiqua"/>
          <w:color w:val="000000"/>
        </w:rPr>
        <w:t>: 652-657 [PMID: 18715666 DOI: 10.1016/j.jhep.2008.07.014]</w:t>
      </w:r>
    </w:p>
    <w:p w14:paraId="0A3C0413"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29 </w:t>
      </w:r>
      <w:r w:rsidRPr="00436841">
        <w:rPr>
          <w:rFonts w:ascii="Book Antiqua" w:eastAsia="Book Antiqua" w:hAnsi="Book Antiqua" w:cs="Book Antiqua"/>
          <w:b/>
          <w:bCs/>
          <w:color w:val="000000"/>
        </w:rPr>
        <w:t>Pollicino T</w:t>
      </w:r>
      <w:r w:rsidRPr="00436841">
        <w:rPr>
          <w:rFonts w:ascii="Book Antiqua" w:eastAsia="Book Antiqua" w:hAnsi="Book Antiqua" w:cs="Book Antiqua"/>
          <w:color w:val="000000"/>
        </w:rPr>
        <w:t xml:space="preserve">, Squadrito G, Cerenzia G, Cacciola I, Raffa G, Craxi A, Farinati F, Missale G, Smedile A, Tiribelli C, Villa E, Raimondo G. Hepatitis B virus maintains its pro-oncogenic properties in the case of occult HBV infection. </w:t>
      </w:r>
      <w:r w:rsidRPr="00436841">
        <w:rPr>
          <w:rFonts w:ascii="Book Antiqua" w:eastAsia="Book Antiqua" w:hAnsi="Book Antiqua" w:cs="Book Antiqua"/>
          <w:i/>
          <w:iCs/>
          <w:color w:val="000000"/>
        </w:rPr>
        <w:t>Gastroenterology</w:t>
      </w:r>
      <w:r w:rsidRPr="00436841">
        <w:rPr>
          <w:rFonts w:ascii="Book Antiqua" w:eastAsia="Book Antiqua" w:hAnsi="Book Antiqua" w:cs="Book Antiqua"/>
          <w:color w:val="000000"/>
        </w:rPr>
        <w:t xml:space="preserve"> 2004; </w:t>
      </w:r>
      <w:r w:rsidRPr="00436841">
        <w:rPr>
          <w:rFonts w:ascii="Book Antiqua" w:eastAsia="Book Antiqua" w:hAnsi="Book Antiqua" w:cs="Book Antiqua"/>
          <w:b/>
          <w:bCs/>
          <w:color w:val="000000"/>
        </w:rPr>
        <w:t>126</w:t>
      </w:r>
      <w:r w:rsidRPr="00436841">
        <w:rPr>
          <w:rFonts w:ascii="Book Antiqua" w:eastAsia="Book Antiqua" w:hAnsi="Book Antiqua" w:cs="Book Antiqua"/>
          <w:color w:val="000000"/>
        </w:rPr>
        <w:t>: 102-110 [PMID: 14699492 DOI: 10.1053/j.gastro.2003.10.048]</w:t>
      </w:r>
    </w:p>
    <w:p w14:paraId="3B750732"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30 </w:t>
      </w:r>
      <w:r w:rsidRPr="00436841">
        <w:rPr>
          <w:rFonts w:ascii="Book Antiqua" w:eastAsia="Book Antiqua" w:hAnsi="Book Antiqua" w:cs="Book Antiqua"/>
          <w:b/>
          <w:bCs/>
          <w:color w:val="000000"/>
        </w:rPr>
        <w:t>Pollicino T</w:t>
      </w:r>
      <w:r w:rsidRPr="00436841">
        <w:rPr>
          <w:rFonts w:ascii="Book Antiqua" w:eastAsia="Book Antiqua" w:hAnsi="Book Antiqua" w:cs="Book Antiqua"/>
          <w:color w:val="000000"/>
        </w:rPr>
        <w:t xml:space="preserve">, Saitta C. Occult hepatitis B virus and hepatocellular carcinoma. </w:t>
      </w:r>
      <w:r w:rsidRPr="00436841">
        <w:rPr>
          <w:rFonts w:ascii="Book Antiqua" w:eastAsia="Book Antiqua" w:hAnsi="Book Antiqua" w:cs="Book Antiqua"/>
          <w:i/>
          <w:iCs/>
          <w:color w:val="000000"/>
        </w:rPr>
        <w:t>World J Gastroenterol</w:t>
      </w:r>
      <w:r w:rsidRPr="00436841">
        <w:rPr>
          <w:rFonts w:ascii="Book Antiqua" w:eastAsia="Book Antiqua" w:hAnsi="Book Antiqua" w:cs="Book Antiqua"/>
          <w:color w:val="000000"/>
        </w:rPr>
        <w:t xml:space="preserve"> 2014; </w:t>
      </w:r>
      <w:r w:rsidRPr="00436841">
        <w:rPr>
          <w:rFonts w:ascii="Book Antiqua" w:eastAsia="Book Antiqua" w:hAnsi="Book Antiqua" w:cs="Book Antiqua"/>
          <w:b/>
          <w:bCs/>
          <w:color w:val="000000"/>
        </w:rPr>
        <w:t>20</w:t>
      </w:r>
      <w:r w:rsidRPr="00436841">
        <w:rPr>
          <w:rFonts w:ascii="Book Antiqua" w:eastAsia="Book Antiqua" w:hAnsi="Book Antiqua" w:cs="Book Antiqua"/>
          <w:color w:val="000000"/>
        </w:rPr>
        <w:t>: 5951-5961 [PMID: 24876718 DOI: 10.3748/wjg.v20.i20.5951]</w:t>
      </w:r>
    </w:p>
    <w:p w14:paraId="13A1EF25"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31 </w:t>
      </w:r>
      <w:r w:rsidRPr="00436841">
        <w:rPr>
          <w:rFonts w:ascii="Book Antiqua" w:eastAsia="Book Antiqua" w:hAnsi="Book Antiqua" w:cs="Book Antiqua"/>
          <w:b/>
          <w:bCs/>
          <w:color w:val="000000"/>
        </w:rPr>
        <w:t>Makvandi M</w:t>
      </w:r>
      <w:r w:rsidRPr="00436841">
        <w:rPr>
          <w:rFonts w:ascii="Book Antiqua" w:eastAsia="Book Antiqua" w:hAnsi="Book Antiqua" w:cs="Book Antiqua"/>
          <w:color w:val="000000"/>
        </w:rPr>
        <w:t xml:space="preserve">. Update on occult hepatitis B virus infection. </w:t>
      </w:r>
      <w:r w:rsidRPr="00436841">
        <w:rPr>
          <w:rFonts w:ascii="Book Antiqua" w:eastAsia="Book Antiqua" w:hAnsi="Book Antiqua" w:cs="Book Antiqua"/>
          <w:i/>
          <w:iCs/>
          <w:color w:val="000000"/>
        </w:rPr>
        <w:t>World J Gastroenterol</w:t>
      </w:r>
      <w:r w:rsidRPr="00436841">
        <w:rPr>
          <w:rFonts w:ascii="Book Antiqua" w:eastAsia="Book Antiqua" w:hAnsi="Book Antiqua" w:cs="Book Antiqua"/>
          <w:color w:val="000000"/>
        </w:rPr>
        <w:t xml:space="preserve"> 2016; </w:t>
      </w:r>
      <w:r w:rsidRPr="00436841">
        <w:rPr>
          <w:rFonts w:ascii="Book Antiqua" w:eastAsia="Book Antiqua" w:hAnsi="Book Antiqua" w:cs="Book Antiqua"/>
          <w:b/>
          <w:bCs/>
          <w:color w:val="000000"/>
        </w:rPr>
        <w:t>22</w:t>
      </w:r>
      <w:r w:rsidRPr="00436841">
        <w:rPr>
          <w:rFonts w:ascii="Book Antiqua" w:eastAsia="Book Antiqua" w:hAnsi="Book Antiqua" w:cs="Book Antiqua"/>
          <w:color w:val="000000"/>
        </w:rPr>
        <w:t>: 8720-8734 [PMID: 27818588 DOI: 10.3748/wjg.v22.i39.8720]</w:t>
      </w:r>
    </w:p>
    <w:p w14:paraId="46601A16"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32 </w:t>
      </w:r>
      <w:r w:rsidRPr="00436841">
        <w:rPr>
          <w:rFonts w:ascii="Book Antiqua" w:eastAsia="Book Antiqua" w:hAnsi="Book Antiqua" w:cs="Book Antiqua"/>
          <w:b/>
          <w:bCs/>
          <w:color w:val="000000"/>
        </w:rPr>
        <w:t>Li Y</w:t>
      </w:r>
      <w:r w:rsidRPr="00436841">
        <w:rPr>
          <w:rFonts w:ascii="Book Antiqua" w:eastAsia="Book Antiqua" w:hAnsi="Book Antiqua" w:cs="Book Antiqua"/>
          <w:color w:val="000000"/>
        </w:rPr>
        <w:t xml:space="preserve">, Wang H, Li D, Hu J, Wang H, Zhou D, Li Q, Jiang X, Zhou H, Hu H. Occult hepatitis B virus infection in Chinese cryptogenic intrahepatic cholangiocarcinoma patient population. </w:t>
      </w:r>
      <w:r w:rsidRPr="00436841">
        <w:rPr>
          <w:rFonts w:ascii="Book Antiqua" w:eastAsia="Book Antiqua" w:hAnsi="Book Antiqua" w:cs="Book Antiqua"/>
          <w:i/>
          <w:iCs/>
          <w:color w:val="000000"/>
        </w:rPr>
        <w:t>J Clin Gastroenterol</w:t>
      </w:r>
      <w:r w:rsidRPr="00436841">
        <w:rPr>
          <w:rFonts w:ascii="Book Antiqua" w:eastAsia="Book Antiqua" w:hAnsi="Book Antiqua" w:cs="Book Antiqua"/>
          <w:color w:val="000000"/>
        </w:rPr>
        <w:t xml:space="preserve"> 2014; </w:t>
      </w:r>
      <w:r w:rsidRPr="00436841">
        <w:rPr>
          <w:rFonts w:ascii="Book Antiqua" w:eastAsia="Book Antiqua" w:hAnsi="Book Antiqua" w:cs="Book Antiqua"/>
          <w:b/>
          <w:bCs/>
          <w:color w:val="000000"/>
        </w:rPr>
        <w:t>48</w:t>
      </w:r>
      <w:r w:rsidRPr="00436841">
        <w:rPr>
          <w:rFonts w:ascii="Book Antiqua" w:eastAsia="Book Antiqua" w:hAnsi="Book Antiqua" w:cs="Book Antiqua"/>
          <w:color w:val="000000"/>
        </w:rPr>
        <w:t>: 878-882 [PMID: 24356457 DOI: 10.1097/MCG.0000000000000058]</w:t>
      </w:r>
    </w:p>
    <w:p w14:paraId="6FD587F2"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33 </w:t>
      </w:r>
      <w:r w:rsidRPr="00436841">
        <w:rPr>
          <w:rFonts w:ascii="Book Antiqua" w:eastAsia="Book Antiqua" w:hAnsi="Book Antiqua" w:cs="Book Antiqua"/>
          <w:b/>
          <w:bCs/>
          <w:color w:val="000000"/>
        </w:rPr>
        <w:t>Pollicino T</w:t>
      </w:r>
      <w:r w:rsidRPr="00436841">
        <w:rPr>
          <w:rFonts w:ascii="Book Antiqua" w:eastAsia="Book Antiqua" w:hAnsi="Book Antiqua" w:cs="Book Antiqua"/>
          <w:color w:val="000000"/>
        </w:rPr>
        <w:t xml:space="preserve">, Musolino C, Saitta C, Tripodi G, Lanza M, Raffa G, Tocco FCD, Raggi C, Bragazzi MC, Barbera A, Navarra G, Invernizzi P, Alvaro D, Raimondo G. Free episomal and integrated HBV DNA in HBsAg-negative patients with intrahepatic </w:t>
      </w:r>
      <w:r w:rsidRPr="00436841">
        <w:rPr>
          <w:rFonts w:ascii="Book Antiqua" w:eastAsia="Book Antiqua" w:hAnsi="Book Antiqua" w:cs="Book Antiqua"/>
          <w:color w:val="000000"/>
        </w:rPr>
        <w:lastRenderedPageBreak/>
        <w:t xml:space="preserve">cholangiocarcinoma. </w:t>
      </w:r>
      <w:r w:rsidRPr="00436841">
        <w:rPr>
          <w:rFonts w:ascii="Book Antiqua" w:eastAsia="Book Antiqua" w:hAnsi="Book Antiqua" w:cs="Book Antiqua"/>
          <w:i/>
          <w:iCs/>
          <w:color w:val="000000"/>
        </w:rPr>
        <w:t>Oncotarget</w:t>
      </w:r>
      <w:r w:rsidRPr="00436841">
        <w:rPr>
          <w:rFonts w:ascii="Book Antiqua" w:eastAsia="Book Antiqua" w:hAnsi="Book Antiqua" w:cs="Book Antiqua"/>
          <w:color w:val="000000"/>
        </w:rPr>
        <w:t xml:space="preserve"> 2019; </w:t>
      </w:r>
      <w:r w:rsidRPr="00436841">
        <w:rPr>
          <w:rFonts w:ascii="Book Antiqua" w:eastAsia="Book Antiqua" w:hAnsi="Book Antiqua" w:cs="Book Antiqua"/>
          <w:b/>
          <w:bCs/>
          <w:color w:val="000000"/>
        </w:rPr>
        <w:t>10</w:t>
      </w:r>
      <w:r w:rsidRPr="00436841">
        <w:rPr>
          <w:rFonts w:ascii="Book Antiqua" w:eastAsia="Book Antiqua" w:hAnsi="Book Antiqua" w:cs="Book Antiqua"/>
          <w:color w:val="000000"/>
        </w:rPr>
        <w:t>: 3931-3938 [PMID: 31231470 DOI: 10.18632/oncotarget.27002]</w:t>
      </w:r>
    </w:p>
    <w:p w14:paraId="6DCD3377"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34 </w:t>
      </w:r>
      <w:r w:rsidRPr="00436841">
        <w:rPr>
          <w:rFonts w:ascii="Book Antiqua" w:eastAsia="Book Antiqua" w:hAnsi="Book Antiqua" w:cs="Book Antiqua"/>
          <w:b/>
          <w:bCs/>
          <w:color w:val="000000"/>
        </w:rPr>
        <w:t>Wang M</w:t>
      </w:r>
      <w:r w:rsidRPr="00436841">
        <w:rPr>
          <w:rFonts w:ascii="Book Antiqua" w:eastAsia="Book Antiqua" w:hAnsi="Book Antiqua" w:cs="Book Antiqua"/>
          <w:color w:val="000000"/>
        </w:rPr>
        <w:t xml:space="preserve">, Wang Y, Feng X, Wang R, Wang Y, Zeng H, Qi J, Zhao H, Li N, Cai J, Qu C. Contribution of hepatitis B virus and hepatitis C virus to liver cancer in China north areas: Experience of the Chinese National Cancer Center. </w:t>
      </w:r>
      <w:r w:rsidRPr="00436841">
        <w:rPr>
          <w:rFonts w:ascii="Book Antiqua" w:eastAsia="Book Antiqua" w:hAnsi="Book Antiqua" w:cs="Book Antiqua"/>
          <w:i/>
          <w:iCs/>
          <w:color w:val="000000"/>
        </w:rPr>
        <w:t>Int J Infect Dis</w:t>
      </w:r>
      <w:r w:rsidRPr="00436841">
        <w:rPr>
          <w:rFonts w:ascii="Book Antiqua" w:eastAsia="Book Antiqua" w:hAnsi="Book Antiqua" w:cs="Book Antiqua"/>
          <w:color w:val="000000"/>
        </w:rPr>
        <w:t xml:space="preserve"> 2017; </w:t>
      </w:r>
      <w:r w:rsidRPr="00436841">
        <w:rPr>
          <w:rFonts w:ascii="Book Antiqua" w:eastAsia="Book Antiqua" w:hAnsi="Book Antiqua" w:cs="Book Antiqua"/>
          <w:b/>
          <w:bCs/>
          <w:color w:val="000000"/>
        </w:rPr>
        <w:t>65</w:t>
      </w:r>
      <w:r w:rsidRPr="00436841">
        <w:rPr>
          <w:rFonts w:ascii="Book Antiqua" w:eastAsia="Book Antiqua" w:hAnsi="Book Antiqua" w:cs="Book Antiqua"/>
          <w:color w:val="000000"/>
        </w:rPr>
        <w:t>: 15-21 [PMID: 28935244 DOI: 10.1016/j.ijid.2017.09.003]</w:t>
      </w:r>
    </w:p>
    <w:p w14:paraId="743C5370"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35 </w:t>
      </w:r>
      <w:r w:rsidRPr="00436841">
        <w:rPr>
          <w:rFonts w:ascii="Book Antiqua" w:eastAsia="Book Antiqua" w:hAnsi="Book Antiqua" w:cs="Book Antiqua"/>
          <w:b/>
          <w:bCs/>
          <w:color w:val="000000"/>
        </w:rPr>
        <w:t>Barusrux S</w:t>
      </w:r>
      <w:r w:rsidRPr="00436841">
        <w:rPr>
          <w:rFonts w:ascii="Book Antiqua" w:eastAsia="Book Antiqua" w:hAnsi="Book Antiqua" w:cs="Book Antiqua"/>
          <w:color w:val="000000"/>
        </w:rPr>
        <w:t xml:space="preserve">, Nanok C, Puthisawas W, Pairojkul C, Poovorawan Y. Viral hepatitis B, C infection and genotype distribution among cholangiocarcinoma patients in northeast Thailand. </w:t>
      </w:r>
      <w:r w:rsidRPr="00436841">
        <w:rPr>
          <w:rFonts w:ascii="Book Antiqua" w:eastAsia="Book Antiqua" w:hAnsi="Book Antiqua" w:cs="Book Antiqua"/>
          <w:i/>
          <w:iCs/>
          <w:color w:val="000000"/>
        </w:rPr>
        <w:t>Asian Pac J Cancer Prev</w:t>
      </w:r>
      <w:r w:rsidRPr="00436841">
        <w:rPr>
          <w:rFonts w:ascii="Book Antiqua" w:eastAsia="Book Antiqua" w:hAnsi="Book Antiqua" w:cs="Book Antiqua"/>
          <w:color w:val="000000"/>
        </w:rPr>
        <w:t xml:space="preserve"> 2012; </w:t>
      </w:r>
      <w:r w:rsidRPr="00436841">
        <w:rPr>
          <w:rFonts w:ascii="Book Antiqua" w:eastAsia="Book Antiqua" w:hAnsi="Book Antiqua" w:cs="Book Antiqua"/>
          <w:b/>
          <w:bCs/>
          <w:color w:val="000000"/>
        </w:rPr>
        <w:t>13 Suppl</w:t>
      </w:r>
      <w:r w:rsidRPr="00436841">
        <w:rPr>
          <w:rFonts w:ascii="Book Antiqua" w:eastAsia="Book Antiqua" w:hAnsi="Book Antiqua" w:cs="Book Antiqua"/>
          <w:color w:val="000000"/>
        </w:rPr>
        <w:t>: 83-87 [PMID: 23480769]</w:t>
      </w:r>
    </w:p>
    <w:p w14:paraId="4959EF97"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36 </w:t>
      </w:r>
      <w:r w:rsidRPr="00436841">
        <w:rPr>
          <w:rFonts w:ascii="Book Antiqua" w:eastAsia="Book Antiqua" w:hAnsi="Book Antiqua" w:cs="Book Antiqua"/>
          <w:b/>
          <w:bCs/>
          <w:color w:val="000000"/>
        </w:rPr>
        <w:t>Tangkijvanich P</w:t>
      </w:r>
      <w:r w:rsidRPr="00436841">
        <w:rPr>
          <w:rFonts w:ascii="Book Antiqua" w:eastAsia="Book Antiqua" w:hAnsi="Book Antiqua" w:cs="Book Antiqua"/>
          <w:color w:val="000000"/>
        </w:rPr>
        <w:t xml:space="preserve">, Mahachai V, Komolmit P, Fongsarun J, Theamboonlers A, Poovorawan Y. Hepatitis B virus genotypes and hepatocellular carcinoma in Thailand. </w:t>
      </w:r>
      <w:r w:rsidRPr="00436841">
        <w:rPr>
          <w:rFonts w:ascii="Book Antiqua" w:eastAsia="Book Antiqua" w:hAnsi="Book Antiqua" w:cs="Book Antiqua"/>
          <w:i/>
          <w:iCs/>
          <w:color w:val="000000"/>
        </w:rPr>
        <w:t>World J Gastroenterol</w:t>
      </w:r>
      <w:r w:rsidRPr="00436841">
        <w:rPr>
          <w:rFonts w:ascii="Book Antiqua" w:eastAsia="Book Antiqua" w:hAnsi="Book Antiqua" w:cs="Book Antiqua"/>
          <w:color w:val="000000"/>
        </w:rPr>
        <w:t xml:space="preserve"> 2005; </w:t>
      </w:r>
      <w:r w:rsidRPr="00436841">
        <w:rPr>
          <w:rFonts w:ascii="Book Antiqua" w:eastAsia="Book Antiqua" w:hAnsi="Book Antiqua" w:cs="Book Antiqua"/>
          <w:b/>
          <w:bCs/>
          <w:color w:val="000000"/>
        </w:rPr>
        <w:t>11</w:t>
      </w:r>
      <w:r w:rsidRPr="00436841">
        <w:rPr>
          <w:rFonts w:ascii="Book Antiqua" w:eastAsia="Book Antiqua" w:hAnsi="Book Antiqua" w:cs="Book Antiqua"/>
          <w:color w:val="000000"/>
        </w:rPr>
        <w:t>: 2238-2243 [PMID: 15818732 DOI: 10.3748/wjg.v11.i15.2238]</w:t>
      </w:r>
    </w:p>
    <w:p w14:paraId="1A495018"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37 </w:t>
      </w:r>
      <w:r w:rsidRPr="00436841">
        <w:rPr>
          <w:rFonts w:ascii="Book Antiqua" w:eastAsia="Book Antiqua" w:hAnsi="Book Antiqua" w:cs="Book Antiqua"/>
          <w:b/>
          <w:bCs/>
          <w:color w:val="000000"/>
        </w:rPr>
        <w:t>Perumal V</w:t>
      </w:r>
      <w:r w:rsidRPr="00436841">
        <w:rPr>
          <w:rFonts w:ascii="Book Antiqua" w:eastAsia="Book Antiqua" w:hAnsi="Book Antiqua" w:cs="Book Antiqua"/>
          <w:color w:val="000000"/>
        </w:rPr>
        <w:t xml:space="preserve">, Wang J, Thuluvath P, Choti M, Torbenson M. Hepatitis C and hepatitis B nucleic acids are present in intrahepatic cholangiocarcinomas from the United States. </w:t>
      </w:r>
      <w:r w:rsidRPr="00436841">
        <w:rPr>
          <w:rFonts w:ascii="Book Antiqua" w:eastAsia="Book Antiqua" w:hAnsi="Book Antiqua" w:cs="Book Antiqua"/>
          <w:i/>
          <w:iCs/>
          <w:color w:val="000000"/>
        </w:rPr>
        <w:t>Hum Pathol</w:t>
      </w:r>
      <w:r w:rsidRPr="00436841">
        <w:rPr>
          <w:rFonts w:ascii="Book Antiqua" w:eastAsia="Book Antiqua" w:hAnsi="Book Antiqua" w:cs="Book Antiqua"/>
          <w:color w:val="000000"/>
        </w:rPr>
        <w:t xml:space="preserve"> 2006; </w:t>
      </w:r>
      <w:r w:rsidRPr="00436841">
        <w:rPr>
          <w:rFonts w:ascii="Book Antiqua" w:eastAsia="Book Antiqua" w:hAnsi="Book Antiqua" w:cs="Book Antiqua"/>
          <w:b/>
          <w:bCs/>
          <w:color w:val="000000"/>
        </w:rPr>
        <w:t>37</w:t>
      </w:r>
      <w:r w:rsidRPr="00436841">
        <w:rPr>
          <w:rFonts w:ascii="Book Antiqua" w:eastAsia="Book Antiqua" w:hAnsi="Book Antiqua" w:cs="Book Antiqua"/>
          <w:color w:val="000000"/>
        </w:rPr>
        <w:t>: 1211-1216 [PMID: 16938527 DOI: 10.1016/j.humpath.2006.04.012]</w:t>
      </w:r>
    </w:p>
    <w:p w14:paraId="09927333"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38 </w:t>
      </w:r>
      <w:r w:rsidRPr="00436841">
        <w:rPr>
          <w:rFonts w:ascii="Book Antiqua" w:eastAsia="Book Antiqua" w:hAnsi="Book Antiqua" w:cs="Book Antiqua"/>
          <w:b/>
          <w:bCs/>
          <w:color w:val="000000"/>
        </w:rPr>
        <w:t>Tan JH</w:t>
      </w:r>
      <w:r w:rsidRPr="00436841">
        <w:rPr>
          <w:rFonts w:ascii="Book Antiqua" w:eastAsia="Book Antiqua" w:hAnsi="Book Antiqua" w:cs="Book Antiqua"/>
          <w:color w:val="000000"/>
        </w:rPr>
        <w:t xml:space="preserve">, Zhou WY, Zhou L, Cao RC, Zhang GW. Viral hepatitis B and C infections increase the risks of intrahepatic and extrahepatic cholangiocarcinoma: Evidence from a systematic review and meta-analysis. </w:t>
      </w:r>
      <w:r w:rsidRPr="00436841">
        <w:rPr>
          <w:rFonts w:ascii="Book Antiqua" w:eastAsia="Book Antiqua" w:hAnsi="Book Antiqua" w:cs="Book Antiqua"/>
          <w:i/>
          <w:iCs/>
          <w:color w:val="000000"/>
        </w:rPr>
        <w:t>Turk J Gastroenterol</w:t>
      </w:r>
      <w:r w:rsidRPr="00436841">
        <w:rPr>
          <w:rFonts w:ascii="Book Antiqua" w:eastAsia="Book Antiqua" w:hAnsi="Book Antiqua" w:cs="Book Antiqua"/>
          <w:color w:val="000000"/>
        </w:rPr>
        <w:t xml:space="preserve"> 2020; </w:t>
      </w:r>
      <w:r w:rsidRPr="00436841">
        <w:rPr>
          <w:rFonts w:ascii="Book Antiqua" w:eastAsia="Book Antiqua" w:hAnsi="Book Antiqua" w:cs="Book Antiqua"/>
          <w:b/>
          <w:bCs/>
          <w:color w:val="000000"/>
        </w:rPr>
        <w:t>31</w:t>
      </w:r>
      <w:r w:rsidRPr="00436841">
        <w:rPr>
          <w:rFonts w:ascii="Book Antiqua" w:eastAsia="Book Antiqua" w:hAnsi="Book Antiqua" w:cs="Book Antiqua"/>
          <w:color w:val="000000"/>
        </w:rPr>
        <w:t>: 246-256 [PMID: 32343237 DOI: 10.5152/tjg.2020.19056]</w:t>
      </w:r>
    </w:p>
    <w:p w14:paraId="525A3422"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39 </w:t>
      </w:r>
      <w:r w:rsidRPr="00436841">
        <w:rPr>
          <w:rFonts w:ascii="Book Antiqua" w:eastAsia="Book Antiqua" w:hAnsi="Book Antiqua" w:cs="Book Antiqua"/>
          <w:b/>
          <w:bCs/>
          <w:color w:val="000000"/>
        </w:rPr>
        <w:t>Zhang H</w:t>
      </w:r>
      <w:r w:rsidRPr="00436841">
        <w:rPr>
          <w:rFonts w:ascii="Book Antiqua" w:eastAsia="Book Antiqua" w:hAnsi="Book Antiqua" w:cs="Book Antiqua"/>
          <w:color w:val="000000"/>
        </w:rPr>
        <w:t xml:space="preserve">, Zhu B, Zhang H, Liang J, Zeng W. HBV Infection Status and the Risk of Cholangiocarcinoma in Asia: A Meta-Analysis. </w:t>
      </w:r>
      <w:r w:rsidRPr="00436841">
        <w:rPr>
          <w:rFonts w:ascii="Book Antiqua" w:eastAsia="Book Antiqua" w:hAnsi="Book Antiqua" w:cs="Book Antiqua"/>
          <w:i/>
          <w:iCs/>
          <w:color w:val="000000"/>
        </w:rPr>
        <w:t>Biomed Res Int</w:t>
      </w:r>
      <w:r w:rsidRPr="00436841">
        <w:rPr>
          <w:rFonts w:ascii="Book Antiqua" w:eastAsia="Book Antiqua" w:hAnsi="Book Antiqua" w:cs="Book Antiqua"/>
          <w:color w:val="000000"/>
        </w:rPr>
        <w:t xml:space="preserve"> 2016; </w:t>
      </w:r>
      <w:r w:rsidRPr="00436841">
        <w:rPr>
          <w:rFonts w:ascii="Book Antiqua" w:eastAsia="Book Antiqua" w:hAnsi="Book Antiqua" w:cs="Book Antiqua"/>
          <w:b/>
          <w:bCs/>
          <w:color w:val="000000"/>
        </w:rPr>
        <w:t>2016</w:t>
      </w:r>
      <w:r w:rsidRPr="00436841">
        <w:rPr>
          <w:rFonts w:ascii="Book Antiqua" w:eastAsia="Book Antiqua" w:hAnsi="Book Antiqua" w:cs="Book Antiqua"/>
          <w:color w:val="000000"/>
        </w:rPr>
        <w:t>: 3417976 [PMID: 27999794 DOI: 10.1155/2016/3417976]</w:t>
      </w:r>
    </w:p>
    <w:p w14:paraId="698ED690"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40 </w:t>
      </w:r>
      <w:r w:rsidRPr="00436841">
        <w:rPr>
          <w:rFonts w:ascii="Book Antiqua" w:eastAsia="Book Antiqua" w:hAnsi="Book Antiqua" w:cs="Book Antiqua"/>
          <w:b/>
          <w:bCs/>
          <w:color w:val="000000"/>
        </w:rPr>
        <w:t>Li M</w:t>
      </w:r>
      <w:r w:rsidRPr="00436841">
        <w:rPr>
          <w:rFonts w:ascii="Book Antiqua" w:eastAsia="Book Antiqua" w:hAnsi="Book Antiqua" w:cs="Book Antiqua"/>
          <w:color w:val="000000"/>
        </w:rPr>
        <w:t xml:space="preserve">, Li J, Li P, Li H, Su T, Zhu R, Gong J. Hepatitis B virus infection increases the risk of cholangiocarcinoma: a meta-analysis and systematic review. </w:t>
      </w:r>
      <w:r w:rsidRPr="00436841">
        <w:rPr>
          <w:rFonts w:ascii="Book Antiqua" w:eastAsia="Book Antiqua" w:hAnsi="Book Antiqua" w:cs="Book Antiqua"/>
          <w:i/>
          <w:iCs/>
          <w:color w:val="000000"/>
        </w:rPr>
        <w:t>J Gastroenterol Hepatol</w:t>
      </w:r>
      <w:r w:rsidRPr="00436841">
        <w:rPr>
          <w:rFonts w:ascii="Book Antiqua" w:eastAsia="Book Antiqua" w:hAnsi="Book Antiqua" w:cs="Book Antiqua"/>
          <w:color w:val="000000"/>
        </w:rPr>
        <w:t xml:space="preserve"> 2012; </w:t>
      </w:r>
      <w:r w:rsidRPr="00436841">
        <w:rPr>
          <w:rFonts w:ascii="Book Antiqua" w:eastAsia="Book Antiqua" w:hAnsi="Book Antiqua" w:cs="Book Antiqua"/>
          <w:b/>
          <w:bCs/>
          <w:color w:val="000000"/>
        </w:rPr>
        <w:t>27</w:t>
      </w:r>
      <w:r w:rsidRPr="00436841">
        <w:rPr>
          <w:rFonts w:ascii="Book Antiqua" w:eastAsia="Book Antiqua" w:hAnsi="Book Antiqua" w:cs="Book Antiqua"/>
          <w:color w:val="000000"/>
        </w:rPr>
        <w:t>: 1561-1568 [PMID: 22694354 DOI: 10.1111/j.1440-1746.2012.07207.x]</w:t>
      </w:r>
    </w:p>
    <w:p w14:paraId="27CA46D4"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41 </w:t>
      </w:r>
      <w:r w:rsidRPr="00436841">
        <w:rPr>
          <w:rFonts w:ascii="Book Antiqua" w:eastAsia="Book Antiqua" w:hAnsi="Book Antiqua" w:cs="Book Antiqua"/>
          <w:b/>
          <w:bCs/>
          <w:color w:val="000000"/>
        </w:rPr>
        <w:t>Palmer WC</w:t>
      </w:r>
      <w:r w:rsidRPr="00436841">
        <w:rPr>
          <w:rFonts w:ascii="Book Antiqua" w:eastAsia="Book Antiqua" w:hAnsi="Book Antiqua" w:cs="Book Antiqua"/>
          <w:color w:val="000000"/>
        </w:rPr>
        <w:t xml:space="preserve">, Patel T. Are common factors involved in the pathogenesis of primary liver cancers? A meta-analysis of risk factors for intrahepatic cholangiocarcinoma. </w:t>
      </w:r>
      <w:r w:rsidRPr="00436841">
        <w:rPr>
          <w:rFonts w:ascii="Book Antiqua" w:eastAsia="Book Antiqua" w:hAnsi="Book Antiqua" w:cs="Book Antiqua"/>
          <w:i/>
          <w:iCs/>
          <w:color w:val="000000"/>
        </w:rPr>
        <w:t>J Hepatol</w:t>
      </w:r>
      <w:r w:rsidRPr="00436841">
        <w:rPr>
          <w:rFonts w:ascii="Book Antiqua" w:eastAsia="Book Antiqua" w:hAnsi="Book Antiqua" w:cs="Book Antiqua"/>
          <w:color w:val="000000"/>
        </w:rPr>
        <w:t xml:space="preserve"> 2012; </w:t>
      </w:r>
      <w:r w:rsidRPr="00436841">
        <w:rPr>
          <w:rFonts w:ascii="Book Antiqua" w:eastAsia="Book Antiqua" w:hAnsi="Book Antiqua" w:cs="Book Antiqua"/>
          <w:b/>
          <w:bCs/>
          <w:color w:val="000000"/>
        </w:rPr>
        <w:t>57</w:t>
      </w:r>
      <w:r w:rsidRPr="00436841">
        <w:rPr>
          <w:rFonts w:ascii="Book Antiqua" w:eastAsia="Book Antiqua" w:hAnsi="Book Antiqua" w:cs="Book Antiqua"/>
          <w:color w:val="000000"/>
        </w:rPr>
        <w:t>: 69-76 [PMID: 22420979 DOI: 10.1016/j.jhep.2012.02.022]</w:t>
      </w:r>
    </w:p>
    <w:p w14:paraId="160BF7CD"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lastRenderedPageBreak/>
        <w:t xml:space="preserve">42 </w:t>
      </w:r>
      <w:r w:rsidRPr="00436841">
        <w:rPr>
          <w:rFonts w:ascii="Book Antiqua" w:eastAsia="Book Antiqua" w:hAnsi="Book Antiqua" w:cs="Book Antiqua"/>
          <w:b/>
          <w:bCs/>
          <w:color w:val="000000"/>
        </w:rPr>
        <w:t>Zhou Y</w:t>
      </w:r>
      <w:r w:rsidRPr="00436841">
        <w:rPr>
          <w:rFonts w:ascii="Book Antiqua" w:eastAsia="Book Antiqua" w:hAnsi="Book Antiqua" w:cs="Book Antiqua"/>
          <w:color w:val="000000"/>
        </w:rPr>
        <w:t xml:space="preserve">, Zhao Y, Li B, Huang J, Wu L, Xu D, Yang J, He J. Hepatitis viruses infection and risk of intrahepatic cholangiocarcinoma: evidence from a meta-analysis. </w:t>
      </w:r>
      <w:r w:rsidRPr="00436841">
        <w:rPr>
          <w:rFonts w:ascii="Book Antiqua" w:eastAsia="Book Antiqua" w:hAnsi="Book Antiqua" w:cs="Book Antiqua"/>
          <w:i/>
          <w:iCs/>
          <w:color w:val="000000"/>
        </w:rPr>
        <w:t>BMC Cancer</w:t>
      </w:r>
      <w:r w:rsidRPr="00436841">
        <w:rPr>
          <w:rFonts w:ascii="Book Antiqua" w:eastAsia="Book Antiqua" w:hAnsi="Book Antiqua" w:cs="Book Antiqua"/>
          <w:color w:val="000000"/>
        </w:rPr>
        <w:t xml:space="preserve"> 2012; </w:t>
      </w:r>
      <w:r w:rsidRPr="00436841">
        <w:rPr>
          <w:rFonts w:ascii="Book Antiqua" w:eastAsia="Book Antiqua" w:hAnsi="Book Antiqua" w:cs="Book Antiqua"/>
          <w:b/>
          <w:bCs/>
          <w:color w:val="000000"/>
        </w:rPr>
        <w:t>12</w:t>
      </w:r>
      <w:r w:rsidRPr="00436841">
        <w:rPr>
          <w:rFonts w:ascii="Book Antiqua" w:eastAsia="Book Antiqua" w:hAnsi="Book Antiqua" w:cs="Book Antiqua"/>
          <w:color w:val="000000"/>
        </w:rPr>
        <w:t>: 289 [PMID: 22799744 DOI: 10.1186/1471-2407-12-289]</w:t>
      </w:r>
    </w:p>
    <w:p w14:paraId="642E4392"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43 </w:t>
      </w:r>
      <w:r w:rsidRPr="00436841">
        <w:rPr>
          <w:rFonts w:ascii="Book Antiqua" w:eastAsia="Book Antiqua" w:hAnsi="Book Antiqua" w:cs="Book Antiqua"/>
          <w:b/>
          <w:bCs/>
          <w:color w:val="000000"/>
        </w:rPr>
        <w:t>Labib PL</w:t>
      </w:r>
      <w:r w:rsidRPr="00436841">
        <w:rPr>
          <w:rFonts w:ascii="Book Antiqua" w:eastAsia="Book Antiqua" w:hAnsi="Book Antiqua" w:cs="Book Antiqua"/>
          <w:color w:val="000000"/>
        </w:rPr>
        <w:t xml:space="preserve">, Goodchild G, Pereira SP. Molecular Pathogenesis of Cholangiocarcinoma. </w:t>
      </w:r>
      <w:r w:rsidRPr="00436841">
        <w:rPr>
          <w:rFonts w:ascii="Book Antiqua" w:eastAsia="Book Antiqua" w:hAnsi="Book Antiqua" w:cs="Book Antiqua"/>
          <w:i/>
          <w:iCs/>
          <w:color w:val="000000"/>
        </w:rPr>
        <w:t>BMC Cancer</w:t>
      </w:r>
      <w:r w:rsidRPr="00436841">
        <w:rPr>
          <w:rFonts w:ascii="Book Antiqua" w:eastAsia="Book Antiqua" w:hAnsi="Book Antiqua" w:cs="Book Antiqua"/>
          <w:color w:val="000000"/>
        </w:rPr>
        <w:t xml:space="preserve"> 2019; </w:t>
      </w:r>
      <w:r w:rsidRPr="00436841">
        <w:rPr>
          <w:rFonts w:ascii="Book Antiqua" w:eastAsia="Book Antiqua" w:hAnsi="Book Antiqua" w:cs="Book Antiqua"/>
          <w:b/>
          <w:bCs/>
          <w:color w:val="000000"/>
        </w:rPr>
        <w:t>19</w:t>
      </w:r>
      <w:r w:rsidRPr="00436841">
        <w:rPr>
          <w:rFonts w:ascii="Book Antiqua" w:eastAsia="Book Antiqua" w:hAnsi="Book Antiqua" w:cs="Book Antiqua"/>
          <w:color w:val="000000"/>
        </w:rPr>
        <w:t>: 185 [PMID: 30819129 DOI: 10.1186/s12885-019-5391-0]</w:t>
      </w:r>
    </w:p>
    <w:p w14:paraId="5DE3188C"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44 </w:t>
      </w:r>
      <w:r w:rsidRPr="00436841">
        <w:rPr>
          <w:rFonts w:ascii="Book Antiqua" w:eastAsia="Book Antiqua" w:hAnsi="Book Antiqua" w:cs="Book Antiqua"/>
          <w:b/>
          <w:bCs/>
          <w:color w:val="000000"/>
        </w:rPr>
        <w:t>Razumilava N</w:t>
      </w:r>
      <w:r w:rsidRPr="00436841">
        <w:rPr>
          <w:rFonts w:ascii="Book Antiqua" w:eastAsia="Book Antiqua" w:hAnsi="Book Antiqua" w:cs="Book Antiqua"/>
          <w:color w:val="000000"/>
        </w:rPr>
        <w:t xml:space="preserve">, Gores GJ. Cholangiocarcinoma. </w:t>
      </w:r>
      <w:r w:rsidRPr="00436841">
        <w:rPr>
          <w:rFonts w:ascii="Book Antiqua" w:eastAsia="Book Antiqua" w:hAnsi="Book Antiqua" w:cs="Book Antiqua"/>
          <w:i/>
          <w:iCs/>
          <w:color w:val="000000"/>
        </w:rPr>
        <w:t>Lancet</w:t>
      </w:r>
      <w:r w:rsidRPr="00436841">
        <w:rPr>
          <w:rFonts w:ascii="Book Antiqua" w:eastAsia="Book Antiqua" w:hAnsi="Book Antiqua" w:cs="Book Antiqua"/>
          <w:color w:val="000000"/>
        </w:rPr>
        <w:t xml:space="preserve"> 2014; </w:t>
      </w:r>
      <w:r w:rsidRPr="00436841">
        <w:rPr>
          <w:rFonts w:ascii="Book Antiqua" w:eastAsia="Book Antiqua" w:hAnsi="Book Antiqua" w:cs="Book Antiqua"/>
          <w:b/>
          <w:bCs/>
          <w:color w:val="000000"/>
        </w:rPr>
        <w:t>383</w:t>
      </w:r>
      <w:r w:rsidRPr="00436841">
        <w:rPr>
          <w:rFonts w:ascii="Book Antiqua" w:eastAsia="Book Antiqua" w:hAnsi="Book Antiqua" w:cs="Book Antiqua"/>
          <w:color w:val="000000"/>
        </w:rPr>
        <w:t>: 2168-2179 [PMID: 24581682 DOI: 10.1016/S0140-6736(13)61903-0]</w:t>
      </w:r>
    </w:p>
    <w:p w14:paraId="6C318AE6"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45 </w:t>
      </w:r>
      <w:r w:rsidRPr="00436841">
        <w:rPr>
          <w:rFonts w:ascii="Book Antiqua" w:eastAsia="Book Antiqua" w:hAnsi="Book Antiqua" w:cs="Book Antiqua"/>
          <w:b/>
          <w:bCs/>
          <w:color w:val="000000"/>
        </w:rPr>
        <w:t>Yu TH</w:t>
      </w:r>
      <w:r w:rsidRPr="00436841">
        <w:rPr>
          <w:rFonts w:ascii="Book Antiqua" w:eastAsia="Book Antiqua" w:hAnsi="Book Antiqua" w:cs="Book Antiqua"/>
          <w:color w:val="000000"/>
        </w:rPr>
        <w:t xml:space="preserve">, Yuan RH, Chen YL, Yang WC, Hsu HC, Jeng YM. Viral hepatitis is associated with intrahepatic cholangiocarcinoma with cholangiolar differentiation and N-cadherin expression. </w:t>
      </w:r>
      <w:r w:rsidRPr="00436841">
        <w:rPr>
          <w:rFonts w:ascii="Book Antiqua" w:eastAsia="Book Antiqua" w:hAnsi="Book Antiqua" w:cs="Book Antiqua"/>
          <w:i/>
          <w:iCs/>
          <w:color w:val="000000"/>
        </w:rPr>
        <w:t>Mod Pathol</w:t>
      </w:r>
      <w:r w:rsidRPr="00436841">
        <w:rPr>
          <w:rFonts w:ascii="Book Antiqua" w:eastAsia="Book Antiqua" w:hAnsi="Book Antiqua" w:cs="Book Antiqua"/>
          <w:color w:val="000000"/>
        </w:rPr>
        <w:t xml:space="preserve"> 2011; </w:t>
      </w:r>
      <w:r w:rsidRPr="00436841">
        <w:rPr>
          <w:rFonts w:ascii="Book Antiqua" w:eastAsia="Book Antiqua" w:hAnsi="Book Antiqua" w:cs="Book Antiqua"/>
          <w:b/>
          <w:bCs/>
          <w:color w:val="000000"/>
        </w:rPr>
        <w:t>24</w:t>
      </w:r>
      <w:r w:rsidRPr="00436841">
        <w:rPr>
          <w:rFonts w:ascii="Book Antiqua" w:eastAsia="Book Antiqua" w:hAnsi="Book Antiqua" w:cs="Book Antiqua"/>
          <w:color w:val="000000"/>
        </w:rPr>
        <w:t>: 810-819 [PMID: 21423153 DOI: 10.1038/modpathol.2011.41]</w:t>
      </w:r>
    </w:p>
    <w:p w14:paraId="43AA83CE"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46 </w:t>
      </w:r>
      <w:r w:rsidRPr="00436841">
        <w:rPr>
          <w:rFonts w:ascii="Book Antiqua" w:eastAsia="Book Antiqua" w:hAnsi="Book Antiqua" w:cs="Book Antiqua"/>
          <w:b/>
          <w:bCs/>
          <w:color w:val="000000"/>
        </w:rPr>
        <w:t>Tao LY</w:t>
      </w:r>
      <w:r w:rsidRPr="00436841">
        <w:rPr>
          <w:rFonts w:ascii="Book Antiqua" w:eastAsia="Book Antiqua" w:hAnsi="Book Antiqua" w:cs="Book Antiqua"/>
          <w:color w:val="000000"/>
        </w:rPr>
        <w:t xml:space="preserve">, He XD, Xiu DR. Hepatitis B virus is associated with the clinical features and survival rate of patients with intrahepatic cholangiocarcinoma. </w:t>
      </w:r>
      <w:r w:rsidRPr="00436841">
        <w:rPr>
          <w:rFonts w:ascii="Book Antiqua" w:eastAsia="Book Antiqua" w:hAnsi="Book Antiqua" w:cs="Book Antiqua"/>
          <w:i/>
          <w:iCs/>
          <w:color w:val="000000"/>
        </w:rPr>
        <w:t>Clin Res Hepatol Gastroenterol</w:t>
      </w:r>
      <w:r w:rsidRPr="00436841">
        <w:rPr>
          <w:rFonts w:ascii="Book Antiqua" w:eastAsia="Book Antiqua" w:hAnsi="Book Antiqua" w:cs="Book Antiqua"/>
          <w:color w:val="000000"/>
        </w:rPr>
        <w:t xml:space="preserve"> 2016; </w:t>
      </w:r>
      <w:r w:rsidRPr="00436841">
        <w:rPr>
          <w:rFonts w:ascii="Book Antiqua" w:eastAsia="Book Antiqua" w:hAnsi="Book Antiqua" w:cs="Book Antiqua"/>
          <w:b/>
          <w:bCs/>
          <w:color w:val="000000"/>
        </w:rPr>
        <w:t>40</w:t>
      </w:r>
      <w:r w:rsidRPr="00436841">
        <w:rPr>
          <w:rFonts w:ascii="Book Antiqua" w:eastAsia="Book Antiqua" w:hAnsi="Book Antiqua" w:cs="Book Antiqua"/>
          <w:color w:val="000000"/>
        </w:rPr>
        <w:t>: 682-687 [PMID: 27282820 DOI: 10.1016/j.clinre.2016.04.001]</w:t>
      </w:r>
    </w:p>
    <w:p w14:paraId="7F8F3F30"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47 </w:t>
      </w:r>
      <w:r w:rsidRPr="00436841">
        <w:rPr>
          <w:rFonts w:ascii="Book Antiqua" w:eastAsia="Book Antiqua" w:hAnsi="Book Antiqua" w:cs="Book Antiqua"/>
          <w:b/>
          <w:bCs/>
          <w:color w:val="000000"/>
        </w:rPr>
        <w:t>Tang ZH</w:t>
      </w:r>
      <w:r w:rsidRPr="00436841">
        <w:rPr>
          <w:rFonts w:ascii="Book Antiqua" w:eastAsia="Book Antiqua" w:hAnsi="Book Antiqua" w:cs="Book Antiqua"/>
          <w:color w:val="000000"/>
        </w:rPr>
        <w:t xml:space="preserve">, Tong HJ, Quan ZW. [The research progress in clinicopathological characteristics and treatment of hepatitis B virus-associated intrahepatic cholangiocarcinoma]. </w:t>
      </w:r>
      <w:r w:rsidRPr="00436841">
        <w:rPr>
          <w:rFonts w:ascii="Book Antiqua" w:eastAsia="Book Antiqua" w:hAnsi="Book Antiqua" w:cs="Book Antiqua"/>
          <w:i/>
          <w:iCs/>
          <w:color w:val="000000"/>
        </w:rPr>
        <w:t>Zhonghua Wai Ke Za Zhi</w:t>
      </w:r>
      <w:r w:rsidRPr="00436841">
        <w:rPr>
          <w:rFonts w:ascii="Book Antiqua" w:eastAsia="Book Antiqua" w:hAnsi="Book Antiqua" w:cs="Book Antiqua"/>
          <w:color w:val="000000"/>
        </w:rPr>
        <w:t xml:space="preserve"> 2020; </w:t>
      </w:r>
      <w:r w:rsidRPr="00436841">
        <w:rPr>
          <w:rFonts w:ascii="Book Antiqua" w:eastAsia="Book Antiqua" w:hAnsi="Book Antiqua" w:cs="Book Antiqua"/>
          <w:b/>
          <w:bCs/>
          <w:color w:val="000000"/>
        </w:rPr>
        <w:t>58</w:t>
      </w:r>
      <w:r w:rsidRPr="00436841">
        <w:rPr>
          <w:rFonts w:ascii="Book Antiqua" w:eastAsia="Book Antiqua" w:hAnsi="Book Antiqua" w:cs="Book Antiqua"/>
          <w:color w:val="000000"/>
        </w:rPr>
        <w:t>: 280-283 [PMID: 32241057 DOI: 10.3760/cma.j.cn112139-20200123-00046]</w:t>
      </w:r>
    </w:p>
    <w:p w14:paraId="35780DF9"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48 </w:t>
      </w:r>
      <w:r w:rsidRPr="00436841">
        <w:rPr>
          <w:rFonts w:ascii="Book Antiqua" w:eastAsia="Book Antiqua" w:hAnsi="Book Antiqua" w:cs="Book Antiqua"/>
          <w:b/>
          <w:bCs/>
          <w:color w:val="000000"/>
        </w:rPr>
        <w:t>Wang Z</w:t>
      </w:r>
      <w:r w:rsidRPr="00436841">
        <w:rPr>
          <w:rFonts w:ascii="Book Antiqua" w:eastAsia="Book Antiqua" w:hAnsi="Book Antiqua" w:cs="Book Antiqua"/>
          <w:color w:val="000000"/>
        </w:rPr>
        <w:t xml:space="preserve">, Sheng YY, Dong QZ, Qin LX. Hepatitis B virus and hepatitis C virus play different prognostic roles in intrahepatic cholangiocarcinoma: A meta-analysis. </w:t>
      </w:r>
      <w:r w:rsidRPr="00436841">
        <w:rPr>
          <w:rFonts w:ascii="Book Antiqua" w:eastAsia="Book Antiqua" w:hAnsi="Book Antiqua" w:cs="Book Antiqua"/>
          <w:i/>
          <w:iCs/>
          <w:color w:val="000000"/>
        </w:rPr>
        <w:t>World J Gastroenterol</w:t>
      </w:r>
      <w:r w:rsidRPr="00436841">
        <w:rPr>
          <w:rFonts w:ascii="Book Antiqua" w:eastAsia="Book Antiqua" w:hAnsi="Book Antiqua" w:cs="Book Antiqua"/>
          <w:color w:val="000000"/>
        </w:rPr>
        <w:t xml:space="preserve"> 2016; </w:t>
      </w:r>
      <w:r w:rsidRPr="00436841">
        <w:rPr>
          <w:rFonts w:ascii="Book Antiqua" w:eastAsia="Book Antiqua" w:hAnsi="Book Antiqua" w:cs="Book Antiqua"/>
          <w:b/>
          <w:bCs/>
          <w:color w:val="000000"/>
        </w:rPr>
        <w:t>22</w:t>
      </w:r>
      <w:r w:rsidRPr="00436841">
        <w:rPr>
          <w:rFonts w:ascii="Book Antiqua" w:eastAsia="Book Antiqua" w:hAnsi="Book Antiqua" w:cs="Book Antiqua"/>
          <w:color w:val="000000"/>
        </w:rPr>
        <w:t>: 3038-3051 [PMID: 26973400 DOI: 10.3748/wjg.v22.i10.3038]</w:t>
      </w:r>
    </w:p>
    <w:p w14:paraId="59BCD4E9"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49 </w:t>
      </w:r>
      <w:r w:rsidRPr="00436841">
        <w:rPr>
          <w:rFonts w:ascii="Book Antiqua" w:eastAsia="Book Antiqua" w:hAnsi="Book Antiqua" w:cs="Book Antiqua"/>
          <w:b/>
          <w:bCs/>
          <w:color w:val="000000"/>
        </w:rPr>
        <w:t>Lu JC</w:t>
      </w:r>
      <w:r w:rsidRPr="00436841">
        <w:rPr>
          <w:rFonts w:ascii="Book Antiqua" w:eastAsia="Book Antiqua" w:hAnsi="Book Antiqua" w:cs="Book Antiqua"/>
          <w:color w:val="000000"/>
        </w:rPr>
        <w:t xml:space="preserve">, Zeng HY, Sun QM, Meng QN, Huang XY, Zhang PF, Yang X, Peng R, Gao C, Wei CY, Shen YH, Cai JB, Dong RZ, Shi YH, Sun HC, Shi YG, Zhou J, Fan J, Ke AW, Yang LX, Shi GM. Distinct PD-L1/PD1 Profiles and Clinical Implications in Intrahepatic Cholangiocarcinoma Patients with Different Risk Factors. </w:t>
      </w:r>
      <w:r w:rsidRPr="00436841">
        <w:rPr>
          <w:rFonts w:ascii="Book Antiqua" w:eastAsia="Book Antiqua" w:hAnsi="Book Antiqua" w:cs="Book Antiqua"/>
          <w:i/>
          <w:iCs/>
          <w:color w:val="000000"/>
        </w:rPr>
        <w:t>Theranostics</w:t>
      </w:r>
      <w:r w:rsidRPr="00436841">
        <w:rPr>
          <w:rFonts w:ascii="Book Antiqua" w:eastAsia="Book Antiqua" w:hAnsi="Book Antiqua" w:cs="Book Antiqua"/>
          <w:color w:val="000000"/>
        </w:rPr>
        <w:t xml:space="preserve"> 2019; </w:t>
      </w:r>
      <w:r w:rsidRPr="00436841">
        <w:rPr>
          <w:rFonts w:ascii="Book Antiqua" w:eastAsia="Book Antiqua" w:hAnsi="Book Antiqua" w:cs="Book Antiqua"/>
          <w:b/>
          <w:bCs/>
          <w:color w:val="000000"/>
        </w:rPr>
        <w:t>9</w:t>
      </w:r>
      <w:r w:rsidRPr="00436841">
        <w:rPr>
          <w:rFonts w:ascii="Book Antiqua" w:eastAsia="Book Antiqua" w:hAnsi="Book Antiqua" w:cs="Book Antiqua"/>
          <w:color w:val="000000"/>
        </w:rPr>
        <w:t>: 4678-4687 [PMID: 31367249 DOI: 10.7150/thno.36276]</w:t>
      </w:r>
    </w:p>
    <w:p w14:paraId="3C40C51D"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50 </w:t>
      </w:r>
      <w:r w:rsidRPr="00436841">
        <w:rPr>
          <w:rFonts w:ascii="Book Antiqua" w:eastAsia="Book Antiqua" w:hAnsi="Book Antiqua" w:cs="Book Antiqua"/>
          <w:b/>
          <w:bCs/>
          <w:color w:val="000000"/>
        </w:rPr>
        <w:t>Isomoto H</w:t>
      </w:r>
      <w:r w:rsidRPr="00436841">
        <w:rPr>
          <w:rFonts w:ascii="Book Antiqua" w:eastAsia="Book Antiqua" w:hAnsi="Book Antiqua" w:cs="Book Antiqua"/>
          <w:color w:val="000000"/>
        </w:rPr>
        <w:t xml:space="preserve">, Mott JL, Kobayashi S, Werneburg NW, Bronk SF, Haan S, Gores GJ. Sustained IL-6/STAT-3 signaling in cholangiocarcinoma cells due to SOCS-3 epigenetic silencing. </w:t>
      </w:r>
      <w:r w:rsidRPr="00436841">
        <w:rPr>
          <w:rFonts w:ascii="Book Antiqua" w:eastAsia="Book Antiqua" w:hAnsi="Book Antiqua" w:cs="Book Antiqua"/>
          <w:i/>
          <w:iCs/>
          <w:color w:val="000000"/>
        </w:rPr>
        <w:t>Gastroenterology</w:t>
      </w:r>
      <w:r w:rsidRPr="00436841">
        <w:rPr>
          <w:rFonts w:ascii="Book Antiqua" w:eastAsia="Book Antiqua" w:hAnsi="Book Antiqua" w:cs="Book Antiqua"/>
          <w:color w:val="000000"/>
        </w:rPr>
        <w:t xml:space="preserve"> 2007; </w:t>
      </w:r>
      <w:r w:rsidRPr="00436841">
        <w:rPr>
          <w:rFonts w:ascii="Book Antiqua" w:eastAsia="Book Antiqua" w:hAnsi="Book Antiqua" w:cs="Book Antiqua"/>
          <w:b/>
          <w:bCs/>
          <w:color w:val="000000"/>
        </w:rPr>
        <w:t>132</w:t>
      </w:r>
      <w:r w:rsidRPr="00436841">
        <w:rPr>
          <w:rFonts w:ascii="Book Antiqua" w:eastAsia="Book Antiqua" w:hAnsi="Book Antiqua" w:cs="Book Antiqua"/>
          <w:color w:val="000000"/>
        </w:rPr>
        <w:t>: 384-396 [PMID: 17241887 DOI: 10.1053/j.gastro.2006.10.037]</w:t>
      </w:r>
    </w:p>
    <w:p w14:paraId="1BD6B48A"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lastRenderedPageBreak/>
        <w:t xml:space="preserve">51 </w:t>
      </w:r>
      <w:r w:rsidRPr="00436841">
        <w:rPr>
          <w:rFonts w:ascii="Book Antiqua" w:eastAsia="Book Antiqua" w:hAnsi="Book Antiqua" w:cs="Book Antiqua"/>
          <w:b/>
          <w:bCs/>
          <w:color w:val="000000"/>
        </w:rPr>
        <w:t>Kobayashi S</w:t>
      </w:r>
      <w:r w:rsidRPr="00436841">
        <w:rPr>
          <w:rFonts w:ascii="Book Antiqua" w:eastAsia="Book Antiqua" w:hAnsi="Book Antiqua" w:cs="Book Antiqua"/>
          <w:color w:val="000000"/>
        </w:rPr>
        <w:t xml:space="preserve">, Werneburg NW, Bronk SF, Kaufmann SH, Gores GJ. Interleukin-6 contributes to Mcl-1 up-regulation and TRAIL resistance </w:t>
      </w:r>
      <w:r w:rsidRPr="00436841">
        <w:rPr>
          <w:rFonts w:ascii="Book Antiqua" w:eastAsia="Book Antiqua" w:hAnsi="Book Antiqua" w:cs="Book Antiqua"/>
          <w:i/>
          <w:iCs/>
          <w:color w:val="000000"/>
        </w:rPr>
        <w:t>via</w:t>
      </w:r>
      <w:r w:rsidRPr="00436841">
        <w:rPr>
          <w:rFonts w:ascii="Book Antiqua" w:eastAsia="Book Antiqua" w:hAnsi="Book Antiqua" w:cs="Book Antiqua"/>
          <w:color w:val="000000"/>
        </w:rPr>
        <w:t xml:space="preserve"> an Akt-signaling pathway in cholangiocarcinoma cells. </w:t>
      </w:r>
      <w:r w:rsidRPr="00436841">
        <w:rPr>
          <w:rFonts w:ascii="Book Antiqua" w:eastAsia="Book Antiqua" w:hAnsi="Book Antiqua" w:cs="Book Antiqua"/>
          <w:i/>
          <w:iCs/>
          <w:color w:val="000000"/>
        </w:rPr>
        <w:t>Gastroenterology</w:t>
      </w:r>
      <w:r w:rsidRPr="00436841">
        <w:rPr>
          <w:rFonts w:ascii="Book Antiqua" w:eastAsia="Book Antiqua" w:hAnsi="Book Antiqua" w:cs="Book Antiqua"/>
          <w:color w:val="000000"/>
        </w:rPr>
        <w:t xml:space="preserve"> 2005; </w:t>
      </w:r>
      <w:r w:rsidRPr="00436841">
        <w:rPr>
          <w:rFonts w:ascii="Book Antiqua" w:eastAsia="Book Antiqua" w:hAnsi="Book Antiqua" w:cs="Book Antiqua"/>
          <w:b/>
          <w:bCs/>
          <w:color w:val="000000"/>
        </w:rPr>
        <w:t>128</w:t>
      </w:r>
      <w:r w:rsidRPr="00436841">
        <w:rPr>
          <w:rFonts w:ascii="Book Antiqua" w:eastAsia="Book Antiqua" w:hAnsi="Book Antiqua" w:cs="Book Antiqua"/>
          <w:color w:val="000000"/>
        </w:rPr>
        <w:t>: 2054-2065 [PMID: 15940637 DOI: 10.1053/j.gastro.2005.03.010]</w:t>
      </w:r>
    </w:p>
    <w:p w14:paraId="16D8E528"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52 </w:t>
      </w:r>
      <w:r w:rsidRPr="00436841">
        <w:rPr>
          <w:rFonts w:ascii="Book Antiqua" w:eastAsia="Book Antiqua" w:hAnsi="Book Antiqua" w:cs="Book Antiqua"/>
          <w:b/>
          <w:bCs/>
          <w:color w:val="000000"/>
        </w:rPr>
        <w:t>Frampton G</w:t>
      </w:r>
      <w:r w:rsidRPr="00436841">
        <w:rPr>
          <w:rFonts w:ascii="Book Antiqua" w:eastAsia="Book Antiqua" w:hAnsi="Book Antiqua" w:cs="Book Antiqua"/>
          <w:color w:val="000000"/>
        </w:rPr>
        <w:t xml:space="preserve">, Invernizzi P, Bernuzzi F, Pae HY, Quinn M, Horvat D, Galindo C, Huang L, McMillin M, Cooper B, Rimassa L, DeMorrow S. Interleukin-6-driven progranulin expression increases cholangiocarcinoma growth by an Akt-dependent mechanism. </w:t>
      </w:r>
      <w:r w:rsidRPr="00436841">
        <w:rPr>
          <w:rFonts w:ascii="Book Antiqua" w:eastAsia="Book Antiqua" w:hAnsi="Book Antiqua" w:cs="Book Antiqua"/>
          <w:i/>
          <w:iCs/>
          <w:color w:val="000000"/>
        </w:rPr>
        <w:t>Gut</w:t>
      </w:r>
      <w:r w:rsidRPr="00436841">
        <w:rPr>
          <w:rFonts w:ascii="Book Antiqua" w:eastAsia="Book Antiqua" w:hAnsi="Book Antiqua" w:cs="Book Antiqua"/>
          <w:color w:val="000000"/>
        </w:rPr>
        <w:t xml:space="preserve"> 2012; </w:t>
      </w:r>
      <w:r w:rsidRPr="00436841">
        <w:rPr>
          <w:rFonts w:ascii="Book Antiqua" w:eastAsia="Book Antiqua" w:hAnsi="Book Antiqua" w:cs="Book Antiqua"/>
          <w:b/>
          <w:bCs/>
          <w:color w:val="000000"/>
        </w:rPr>
        <w:t>61</w:t>
      </w:r>
      <w:r w:rsidRPr="00436841">
        <w:rPr>
          <w:rFonts w:ascii="Book Antiqua" w:eastAsia="Book Antiqua" w:hAnsi="Book Antiqua" w:cs="Book Antiqua"/>
          <w:color w:val="000000"/>
        </w:rPr>
        <w:t>: 268-277 [PMID: 22068162 DOI: 10.1136/gutjnl-2011-300643]</w:t>
      </w:r>
    </w:p>
    <w:p w14:paraId="19DBECE6"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53 </w:t>
      </w:r>
      <w:r w:rsidRPr="00436841">
        <w:rPr>
          <w:rFonts w:ascii="Book Antiqua" w:eastAsia="Book Antiqua" w:hAnsi="Book Antiqua" w:cs="Book Antiqua"/>
          <w:b/>
          <w:bCs/>
          <w:color w:val="000000"/>
        </w:rPr>
        <w:t>Komori J</w:t>
      </w:r>
      <w:r w:rsidRPr="00436841">
        <w:rPr>
          <w:rFonts w:ascii="Book Antiqua" w:eastAsia="Book Antiqua" w:hAnsi="Book Antiqua" w:cs="Book Antiqua"/>
          <w:color w:val="000000"/>
        </w:rPr>
        <w:t xml:space="preserve">, Marusawa H, Machimoto T, Endo Y, Kinoshita K, Kou T, Haga H, Ikai I, Uemoto S, Chiba T. Activation-induced cytidine deaminase links bile duct inflammation to human cholangiocarcinoma. </w:t>
      </w:r>
      <w:r w:rsidRPr="00436841">
        <w:rPr>
          <w:rFonts w:ascii="Book Antiqua" w:eastAsia="Book Antiqua" w:hAnsi="Book Antiqua" w:cs="Book Antiqua"/>
          <w:i/>
          <w:iCs/>
          <w:color w:val="000000"/>
        </w:rPr>
        <w:t>Hepatology</w:t>
      </w:r>
      <w:r w:rsidRPr="00436841">
        <w:rPr>
          <w:rFonts w:ascii="Book Antiqua" w:eastAsia="Book Antiqua" w:hAnsi="Book Antiqua" w:cs="Book Antiqua"/>
          <w:color w:val="000000"/>
        </w:rPr>
        <w:t xml:space="preserve"> 2008; </w:t>
      </w:r>
      <w:r w:rsidRPr="00436841">
        <w:rPr>
          <w:rFonts w:ascii="Book Antiqua" w:eastAsia="Book Antiqua" w:hAnsi="Book Antiqua" w:cs="Book Antiqua"/>
          <w:b/>
          <w:bCs/>
          <w:color w:val="000000"/>
        </w:rPr>
        <w:t>47</w:t>
      </w:r>
      <w:r w:rsidRPr="00436841">
        <w:rPr>
          <w:rFonts w:ascii="Book Antiqua" w:eastAsia="Book Antiqua" w:hAnsi="Book Antiqua" w:cs="Book Antiqua"/>
          <w:color w:val="000000"/>
        </w:rPr>
        <w:t>: 888-896 [PMID: 18306229 DOI: 10.1002/hep.22125]</w:t>
      </w:r>
    </w:p>
    <w:p w14:paraId="251C0454"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54 </w:t>
      </w:r>
      <w:r w:rsidRPr="00436841">
        <w:rPr>
          <w:rFonts w:ascii="Book Antiqua" w:eastAsia="Book Antiqua" w:hAnsi="Book Antiqua" w:cs="Book Antiqua"/>
          <w:b/>
          <w:bCs/>
          <w:color w:val="000000"/>
        </w:rPr>
        <w:t>Wang C</w:t>
      </w:r>
      <w:r w:rsidRPr="00436841">
        <w:rPr>
          <w:rFonts w:ascii="Book Antiqua" w:eastAsia="Book Antiqua" w:hAnsi="Book Antiqua" w:cs="Book Antiqua"/>
          <w:color w:val="000000"/>
        </w:rPr>
        <w:t xml:space="preserve">, Yang W, Yan HX, Luo T, Zhang J, Tang L, Wu FQ, Zhang HL, Yu LX, Zheng LY, Li YQ, Dong W, He YQ, Liu Q, Zou SS, Lin Y, Hu L, Li Z, Wu MC, Wang HY. Hepatitis B virus X (HBx) induces tumorigenicity of hepatic progenitor cells in 3,5-diethoxycarbonyl-1,4-dihydrocollidine-treated HBx transgenic mice. </w:t>
      </w:r>
      <w:r w:rsidRPr="00436841">
        <w:rPr>
          <w:rFonts w:ascii="Book Antiqua" w:eastAsia="Book Antiqua" w:hAnsi="Book Antiqua" w:cs="Book Antiqua"/>
          <w:i/>
          <w:iCs/>
          <w:color w:val="000000"/>
        </w:rPr>
        <w:t>Hepatology</w:t>
      </w:r>
      <w:r w:rsidRPr="00436841">
        <w:rPr>
          <w:rFonts w:ascii="Book Antiqua" w:eastAsia="Book Antiqua" w:hAnsi="Book Antiqua" w:cs="Book Antiqua"/>
          <w:color w:val="000000"/>
        </w:rPr>
        <w:t xml:space="preserve"> 2012; </w:t>
      </w:r>
      <w:r w:rsidRPr="00436841">
        <w:rPr>
          <w:rFonts w:ascii="Book Antiqua" w:eastAsia="Book Antiqua" w:hAnsi="Book Antiqua" w:cs="Book Antiqua"/>
          <w:b/>
          <w:bCs/>
          <w:color w:val="000000"/>
        </w:rPr>
        <w:t>55</w:t>
      </w:r>
      <w:r w:rsidRPr="00436841">
        <w:rPr>
          <w:rFonts w:ascii="Book Antiqua" w:eastAsia="Book Antiqua" w:hAnsi="Book Antiqua" w:cs="Book Antiqua"/>
          <w:color w:val="000000"/>
        </w:rPr>
        <w:t>: 108-120 [PMID: 21932402 DOI: 10.1002/hep.24675]</w:t>
      </w:r>
    </w:p>
    <w:p w14:paraId="3EDEDD03"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55 </w:t>
      </w:r>
      <w:r w:rsidRPr="00436841">
        <w:rPr>
          <w:rFonts w:ascii="Book Antiqua" w:eastAsia="Book Antiqua" w:hAnsi="Book Antiqua" w:cs="Book Antiqua"/>
          <w:b/>
          <w:bCs/>
          <w:color w:val="000000"/>
        </w:rPr>
        <w:t>Wang W</w:t>
      </w:r>
      <w:r w:rsidRPr="00436841">
        <w:rPr>
          <w:rFonts w:ascii="Book Antiqua" w:eastAsia="Book Antiqua" w:hAnsi="Book Antiqua" w:cs="Book Antiqua"/>
          <w:color w:val="000000"/>
        </w:rPr>
        <w:t xml:space="preserve">, Gu G, Hu M. [Expression and significance of hepatitis B virus genes in human primary intrahepatic cholangiocarcinoma and its surrounding tissue]. </w:t>
      </w:r>
      <w:r w:rsidRPr="00436841">
        <w:rPr>
          <w:rFonts w:ascii="Book Antiqua" w:eastAsia="Book Antiqua" w:hAnsi="Book Antiqua" w:cs="Book Antiqua"/>
          <w:i/>
          <w:iCs/>
          <w:color w:val="000000"/>
        </w:rPr>
        <w:t>Zhonghua Zhong Liu Za Zhi</w:t>
      </w:r>
      <w:r w:rsidRPr="00436841">
        <w:rPr>
          <w:rFonts w:ascii="Book Antiqua" w:eastAsia="Book Antiqua" w:hAnsi="Book Antiqua" w:cs="Book Antiqua"/>
          <w:color w:val="000000"/>
        </w:rPr>
        <w:t xml:space="preserve"> 1996; </w:t>
      </w:r>
      <w:r w:rsidRPr="00436841">
        <w:rPr>
          <w:rFonts w:ascii="Book Antiqua" w:eastAsia="Book Antiqua" w:hAnsi="Book Antiqua" w:cs="Book Antiqua"/>
          <w:b/>
          <w:bCs/>
          <w:color w:val="000000"/>
        </w:rPr>
        <w:t>18</w:t>
      </w:r>
      <w:r w:rsidRPr="00436841">
        <w:rPr>
          <w:rFonts w:ascii="Book Antiqua" w:eastAsia="Book Antiqua" w:hAnsi="Book Antiqua" w:cs="Book Antiqua"/>
          <w:color w:val="000000"/>
        </w:rPr>
        <w:t>: 127-130 [PMID: 9206046]</w:t>
      </w:r>
    </w:p>
    <w:p w14:paraId="06D19568"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56 </w:t>
      </w:r>
      <w:r w:rsidRPr="00436841">
        <w:rPr>
          <w:rFonts w:ascii="Book Antiqua" w:eastAsia="Book Antiqua" w:hAnsi="Book Antiqua" w:cs="Book Antiqua"/>
          <w:b/>
          <w:bCs/>
          <w:color w:val="000000"/>
        </w:rPr>
        <w:t>Zhou YM</w:t>
      </w:r>
      <w:r w:rsidRPr="00436841">
        <w:rPr>
          <w:rFonts w:ascii="Book Antiqua" w:eastAsia="Book Antiqua" w:hAnsi="Book Antiqua" w:cs="Book Antiqua"/>
          <w:color w:val="000000"/>
        </w:rPr>
        <w:t xml:space="preserve">, Cao L, Li B, Zhang XZ, Yin ZF. Expression of HBx protein in hepatitis B virus-infected intrahepatic cholangiocarcinoma. </w:t>
      </w:r>
      <w:r w:rsidRPr="00436841">
        <w:rPr>
          <w:rFonts w:ascii="Book Antiqua" w:eastAsia="Book Antiqua" w:hAnsi="Book Antiqua" w:cs="Book Antiqua"/>
          <w:i/>
          <w:iCs/>
          <w:color w:val="000000"/>
        </w:rPr>
        <w:t>Hepatobiliary Pancreat Dis Int</w:t>
      </w:r>
      <w:r w:rsidRPr="00436841">
        <w:rPr>
          <w:rFonts w:ascii="Book Antiqua" w:eastAsia="Book Antiqua" w:hAnsi="Book Antiqua" w:cs="Book Antiqua"/>
          <w:color w:val="000000"/>
        </w:rPr>
        <w:t xml:space="preserve"> 2012; </w:t>
      </w:r>
      <w:r w:rsidRPr="00436841">
        <w:rPr>
          <w:rFonts w:ascii="Book Antiqua" w:eastAsia="Book Antiqua" w:hAnsi="Book Antiqua" w:cs="Book Antiqua"/>
          <w:b/>
          <w:bCs/>
          <w:color w:val="000000"/>
        </w:rPr>
        <w:t>11</w:t>
      </w:r>
      <w:r w:rsidRPr="00436841">
        <w:rPr>
          <w:rFonts w:ascii="Book Antiqua" w:eastAsia="Book Antiqua" w:hAnsi="Book Antiqua" w:cs="Book Antiqua"/>
          <w:color w:val="000000"/>
        </w:rPr>
        <w:t>: 532-535 [PMID: 23060400 DOI: 10.1016/s1499-3872(12)60219-7]</w:t>
      </w:r>
    </w:p>
    <w:p w14:paraId="315D7E0A"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57 </w:t>
      </w:r>
      <w:r w:rsidRPr="00436841">
        <w:rPr>
          <w:rFonts w:ascii="Book Antiqua" w:eastAsia="Book Antiqua" w:hAnsi="Book Antiqua" w:cs="Book Antiqua"/>
          <w:b/>
          <w:bCs/>
          <w:color w:val="000000"/>
        </w:rPr>
        <w:t>Liu W</w:t>
      </w:r>
      <w:r w:rsidRPr="00436841">
        <w:rPr>
          <w:rFonts w:ascii="Book Antiqua" w:eastAsia="Book Antiqua" w:hAnsi="Book Antiqua" w:cs="Book Antiqua"/>
          <w:color w:val="000000"/>
        </w:rPr>
        <w:t xml:space="preserve">, Chen JR, Hsu CH, Li YH, Chen YM, Lin CY, Huang SJ, Chang ZK, Chen YC, Lin CH, Gong HY, Lin CC, Kawakami K, Wu JL. A zebrafish model of intrahepatic cholangiocarcinoma by dual expression of hepatitis B virus X and hepatitis C virus core protein in liver. </w:t>
      </w:r>
      <w:r w:rsidRPr="00436841">
        <w:rPr>
          <w:rFonts w:ascii="Book Antiqua" w:eastAsia="Book Antiqua" w:hAnsi="Book Antiqua" w:cs="Book Antiqua"/>
          <w:i/>
          <w:iCs/>
          <w:color w:val="000000"/>
        </w:rPr>
        <w:t>Hepatology</w:t>
      </w:r>
      <w:r w:rsidRPr="00436841">
        <w:rPr>
          <w:rFonts w:ascii="Book Antiqua" w:eastAsia="Book Antiqua" w:hAnsi="Book Antiqua" w:cs="Book Antiqua"/>
          <w:color w:val="000000"/>
        </w:rPr>
        <w:t xml:space="preserve"> 2012; </w:t>
      </w:r>
      <w:r w:rsidRPr="00436841">
        <w:rPr>
          <w:rFonts w:ascii="Book Antiqua" w:eastAsia="Book Antiqua" w:hAnsi="Book Antiqua" w:cs="Book Antiqua"/>
          <w:b/>
          <w:bCs/>
          <w:color w:val="000000"/>
        </w:rPr>
        <w:t>56</w:t>
      </w:r>
      <w:r w:rsidRPr="00436841">
        <w:rPr>
          <w:rFonts w:ascii="Book Antiqua" w:eastAsia="Book Antiqua" w:hAnsi="Book Antiqua" w:cs="Book Antiqua"/>
          <w:color w:val="000000"/>
        </w:rPr>
        <w:t>: 2268-2276 [PMID: 22729936 DOI: 10.1002/hep.25914]</w:t>
      </w:r>
    </w:p>
    <w:p w14:paraId="6AB91581"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58 </w:t>
      </w:r>
      <w:r w:rsidRPr="00436841">
        <w:rPr>
          <w:rFonts w:ascii="Book Antiqua" w:eastAsia="Book Antiqua" w:hAnsi="Book Antiqua" w:cs="Book Antiqua"/>
          <w:b/>
          <w:bCs/>
          <w:color w:val="000000"/>
        </w:rPr>
        <w:t>Banales JM</w:t>
      </w:r>
      <w:r w:rsidRPr="00436841">
        <w:rPr>
          <w:rFonts w:ascii="Book Antiqua" w:eastAsia="Book Antiqua" w:hAnsi="Book Antiqua" w:cs="Book Antiqua"/>
          <w:color w:val="000000"/>
        </w:rPr>
        <w:t xml:space="preserve">, Marin JJG, Lamarca A, Rodrigues PM, Khan SA, Roberts LR, Cardinale V, Carpino G, Andersen JB, Braconi C, Calvisi DF, Perugorria MJ, Fabris L, Boulter L, </w:t>
      </w:r>
      <w:r w:rsidRPr="00436841">
        <w:rPr>
          <w:rFonts w:ascii="Book Antiqua" w:eastAsia="Book Antiqua" w:hAnsi="Book Antiqua" w:cs="Book Antiqua"/>
          <w:color w:val="000000"/>
        </w:rPr>
        <w:lastRenderedPageBreak/>
        <w:t xml:space="preserve">Macias RIR, Gaudio E, Alvaro D, Gradilone SA, Strazzabosco M, Marzioni M, Coulouarn C, Fouassier L, Raggi C, Invernizzi P, Mertens JC, Moncsek A, Rizvi S, Heimbach J, Koerkamp BG, Bruix J, Forner A, Bridgewater J, Valle JW, Gores GJ. Cholangiocarcinoma 2020: the next horizon in mechanisms and management. </w:t>
      </w:r>
      <w:r w:rsidRPr="00436841">
        <w:rPr>
          <w:rFonts w:ascii="Book Antiqua" w:eastAsia="Book Antiqua" w:hAnsi="Book Antiqua" w:cs="Book Antiqua"/>
          <w:i/>
          <w:iCs/>
          <w:color w:val="000000"/>
        </w:rPr>
        <w:t>Nat Rev Gastroenterol Hepatol</w:t>
      </w:r>
      <w:r w:rsidRPr="00436841">
        <w:rPr>
          <w:rFonts w:ascii="Book Antiqua" w:eastAsia="Book Antiqua" w:hAnsi="Book Antiqua" w:cs="Book Antiqua"/>
          <w:color w:val="000000"/>
        </w:rPr>
        <w:t xml:space="preserve"> 2020; </w:t>
      </w:r>
      <w:r w:rsidRPr="00436841">
        <w:rPr>
          <w:rFonts w:ascii="Book Antiqua" w:eastAsia="Book Antiqua" w:hAnsi="Book Antiqua" w:cs="Book Antiqua"/>
          <w:b/>
          <w:bCs/>
          <w:color w:val="000000"/>
        </w:rPr>
        <w:t>17</w:t>
      </w:r>
      <w:r w:rsidRPr="00436841">
        <w:rPr>
          <w:rFonts w:ascii="Book Antiqua" w:eastAsia="Book Antiqua" w:hAnsi="Book Antiqua" w:cs="Book Antiqua"/>
          <w:color w:val="000000"/>
        </w:rPr>
        <w:t>: 557-588 [PMID: 32606456 DOI: 10.1038/s41575-020-0310-z]</w:t>
      </w:r>
    </w:p>
    <w:p w14:paraId="597AE7D4"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59 </w:t>
      </w:r>
      <w:r w:rsidRPr="00436841">
        <w:rPr>
          <w:rFonts w:ascii="Book Antiqua" w:eastAsia="Book Antiqua" w:hAnsi="Book Antiqua" w:cs="Book Antiqua"/>
          <w:b/>
          <w:bCs/>
          <w:color w:val="000000"/>
        </w:rPr>
        <w:t>Pu XH</w:t>
      </w:r>
      <w:r w:rsidRPr="00436841">
        <w:rPr>
          <w:rFonts w:ascii="Book Antiqua" w:eastAsia="Book Antiqua" w:hAnsi="Book Antiqua" w:cs="Book Antiqua"/>
          <w:color w:val="000000"/>
        </w:rPr>
        <w:t xml:space="preserve">, Ye Q, Yang J, Wu HY, Ding XW, Shi J, Mao L, Fan XS, Chen J, Qiu YD, Huang Q. Low-level clonal FGFR2 amplification defines a unique molecular subtype of intrahepatic cholangiocarcinoma in a Chinese population. </w:t>
      </w:r>
      <w:r w:rsidRPr="00436841">
        <w:rPr>
          <w:rFonts w:ascii="Book Antiqua" w:eastAsia="Book Antiqua" w:hAnsi="Book Antiqua" w:cs="Book Antiqua"/>
          <w:i/>
          <w:iCs/>
          <w:color w:val="000000"/>
        </w:rPr>
        <w:t>Hum Pathol</w:t>
      </w:r>
      <w:r w:rsidRPr="00436841">
        <w:rPr>
          <w:rFonts w:ascii="Book Antiqua" w:eastAsia="Book Antiqua" w:hAnsi="Book Antiqua" w:cs="Book Antiqua"/>
          <w:color w:val="000000"/>
        </w:rPr>
        <w:t xml:space="preserve"> 2018; </w:t>
      </w:r>
      <w:r w:rsidRPr="00436841">
        <w:rPr>
          <w:rFonts w:ascii="Book Antiqua" w:eastAsia="Book Antiqua" w:hAnsi="Book Antiqua" w:cs="Book Antiqua"/>
          <w:b/>
          <w:bCs/>
          <w:color w:val="000000"/>
        </w:rPr>
        <w:t>76</w:t>
      </w:r>
      <w:r w:rsidRPr="00436841">
        <w:rPr>
          <w:rFonts w:ascii="Book Antiqua" w:eastAsia="Book Antiqua" w:hAnsi="Book Antiqua" w:cs="Book Antiqua"/>
          <w:color w:val="000000"/>
        </w:rPr>
        <w:t>: 100-109 [PMID: 29514108 DOI: 10.1016/j.humpath.2017.12.028]</w:t>
      </w:r>
    </w:p>
    <w:p w14:paraId="5B1C946B"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60 </w:t>
      </w:r>
      <w:r w:rsidRPr="00436841">
        <w:rPr>
          <w:rFonts w:ascii="Book Antiqua" w:eastAsia="Book Antiqua" w:hAnsi="Book Antiqua" w:cs="Book Antiqua"/>
          <w:b/>
          <w:bCs/>
          <w:color w:val="000000"/>
        </w:rPr>
        <w:t>Kew MC</w:t>
      </w:r>
      <w:r w:rsidRPr="00436841">
        <w:rPr>
          <w:rFonts w:ascii="Book Antiqua" w:eastAsia="Book Antiqua" w:hAnsi="Book Antiqua" w:cs="Book Antiqua"/>
          <w:color w:val="000000"/>
        </w:rPr>
        <w:t xml:space="preserve">. Hepatitis B virus x protein in the pathogenesis of hepatitis B virus-induced hepatocellular carcinoma. </w:t>
      </w:r>
      <w:r w:rsidRPr="00436841">
        <w:rPr>
          <w:rFonts w:ascii="Book Antiqua" w:eastAsia="Book Antiqua" w:hAnsi="Book Antiqua" w:cs="Book Antiqua"/>
          <w:i/>
          <w:iCs/>
          <w:color w:val="000000"/>
        </w:rPr>
        <w:t>J Gastroenterol Hepatol</w:t>
      </w:r>
      <w:r w:rsidRPr="00436841">
        <w:rPr>
          <w:rFonts w:ascii="Book Antiqua" w:eastAsia="Book Antiqua" w:hAnsi="Book Antiqua" w:cs="Book Antiqua"/>
          <w:color w:val="000000"/>
        </w:rPr>
        <w:t xml:space="preserve"> 2011; </w:t>
      </w:r>
      <w:r w:rsidRPr="00436841">
        <w:rPr>
          <w:rFonts w:ascii="Book Antiqua" w:eastAsia="Book Antiqua" w:hAnsi="Book Antiqua" w:cs="Book Antiqua"/>
          <w:b/>
          <w:bCs/>
          <w:color w:val="000000"/>
        </w:rPr>
        <w:t>26 Suppl 1</w:t>
      </w:r>
      <w:r w:rsidRPr="00436841">
        <w:rPr>
          <w:rFonts w:ascii="Book Antiqua" w:eastAsia="Book Antiqua" w:hAnsi="Book Antiqua" w:cs="Book Antiqua"/>
          <w:color w:val="000000"/>
        </w:rPr>
        <w:t>: 144-152 [PMID: 21199526 DOI: 10.1111/j.1440-1746.2010.06546.x]</w:t>
      </w:r>
    </w:p>
    <w:p w14:paraId="7276B5FE"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61 </w:t>
      </w:r>
      <w:r w:rsidRPr="00436841">
        <w:rPr>
          <w:rFonts w:ascii="Book Antiqua" w:eastAsia="Book Antiqua" w:hAnsi="Book Antiqua" w:cs="Book Antiqua"/>
          <w:b/>
          <w:bCs/>
          <w:color w:val="000000"/>
        </w:rPr>
        <w:t>Qu ZL</w:t>
      </w:r>
      <w:r w:rsidRPr="00436841">
        <w:rPr>
          <w:rFonts w:ascii="Book Antiqua" w:eastAsia="Book Antiqua" w:hAnsi="Book Antiqua" w:cs="Book Antiqua"/>
          <w:color w:val="000000"/>
        </w:rPr>
        <w:t xml:space="preserve">, Zou SQ, Cui NQ, Wu XZ, Qin MF, Kong D, Zhou ZL. Upregulation of human telomerase reverse transcriptase mRNA expression by </w:t>
      </w:r>
      <w:r w:rsidRPr="00436841">
        <w:rPr>
          <w:rFonts w:ascii="Book Antiqua" w:eastAsia="Book Antiqua" w:hAnsi="Book Antiqua" w:cs="Book Antiqua"/>
          <w:i/>
          <w:iCs/>
          <w:color w:val="000000"/>
        </w:rPr>
        <w:t>in vitro</w:t>
      </w:r>
      <w:r w:rsidRPr="00436841">
        <w:rPr>
          <w:rFonts w:ascii="Book Antiqua" w:eastAsia="Book Antiqua" w:hAnsi="Book Antiqua" w:cs="Book Antiqua"/>
          <w:color w:val="000000"/>
        </w:rPr>
        <w:t xml:space="preserve"> transfection of hepatitis B virus X gene into human hepatocarcinoma and cholangiocarcinoma cells. </w:t>
      </w:r>
      <w:r w:rsidRPr="00436841">
        <w:rPr>
          <w:rFonts w:ascii="Book Antiqua" w:eastAsia="Book Antiqua" w:hAnsi="Book Antiqua" w:cs="Book Antiqua"/>
          <w:i/>
          <w:iCs/>
          <w:color w:val="000000"/>
        </w:rPr>
        <w:t>World J Gastroenterol</w:t>
      </w:r>
      <w:r w:rsidRPr="00436841">
        <w:rPr>
          <w:rFonts w:ascii="Book Antiqua" w:eastAsia="Book Antiqua" w:hAnsi="Book Antiqua" w:cs="Book Antiqua"/>
          <w:color w:val="000000"/>
        </w:rPr>
        <w:t xml:space="preserve"> 2005; </w:t>
      </w:r>
      <w:r w:rsidRPr="00436841">
        <w:rPr>
          <w:rFonts w:ascii="Book Antiqua" w:eastAsia="Book Antiqua" w:hAnsi="Book Antiqua" w:cs="Book Antiqua"/>
          <w:b/>
          <w:bCs/>
          <w:color w:val="000000"/>
        </w:rPr>
        <w:t>11</w:t>
      </w:r>
      <w:r w:rsidRPr="00436841">
        <w:rPr>
          <w:rFonts w:ascii="Book Antiqua" w:eastAsia="Book Antiqua" w:hAnsi="Book Antiqua" w:cs="Book Antiqua"/>
          <w:color w:val="000000"/>
        </w:rPr>
        <w:t>: 5627-5632 [PMID: 16237755 DOI: 10.3748/wjg.v11.i36.5627]</w:t>
      </w:r>
    </w:p>
    <w:p w14:paraId="4F30CB68"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62 </w:t>
      </w:r>
      <w:r w:rsidRPr="00436841">
        <w:rPr>
          <w:rFonts w:ascii="Book Antiqua" w:eastAsia="Book Antiqua" w:hAnsi="Book Antiqua" w:cs="Book Antiqua"/>
          <w:b/>
          <w:bCs/>
          <w:color w:val="000000"/>
        </w:rPr>
        <w:t>Li Y</w:t>
      </w:r>
      <w:r w:rsidRPr="00436841">
        <w:rPr>
          <w:rFonts w:ascii="Book Antiqua" w:eastAsia="Book Antiqua" w:hAnsi="Book Antiqua" w:cs="Book Antiqua"/>
          <w:color w:val="000000"/>
        </w:rPr>
        <w:t xml:space="preserve">, Roberts ND, Wala JA, Shapira O, Schumacher SE, Kumar K, Khurana E, Waszak S, Korbel JO, Haber JE, Imielinski M; PCAWG Structural Variation Working Group, Weischenfeldt J, Beroukhim R, Campbell PJ; PCAWG Consortium. Patterns of somatic structural variation in human cancer genomes. </w:t>
      </w:r>
      <w:r w:rsidRPr="00436841">
        <w:rPr>
          <w:rFonts w:ascii="Book Antiqua" w:eastAsia="Book Antiqua" w:hAnsi="Book Antiqua" w:cs="Book Antiqua"/>
          <w:i/>
          <w:iCs/>
          <w:color w:val="000000"/>
        </w:rPr>
        <w:t>Nature</w:t>
      </w:r>
      <w:r w:rsidRPr="00436841">
        <w:rPr>
          <w:rFonts w:ascii="Book Antiqua" w:eastAsia="Book Antiqua" w:hAnsi="Book Antiqua" w:cs="Book Antiqua"/>
          <w:color w:val="000000"/>
        </w:rPr>
        <w:t xml:space="preserve"> 2020; </w:t>
      </w:r>
      <w:r w:rsidRPr="00436841">
        <w:rPr>
          <w:rFonts w:ascii="Book Antiqua" w:eastAsia="Book Antiqua" w:hAnsi="Book Antiqua" w:cs="Book Antiqua"/>
          <w:b/>
          <w:bCs/>
          <w:color w:val="000000"/>
        </w:rPr>
        <w:t>578</w:t>
      </w:r>
      <w:r w:rsidRPr="00436841">
        <w:rPr>
          <w:rFonts w:ascii="Book Antiqua" w:eastAsia="Book Antiqua" w:hAnsi="Book Antiqua" w:cs="Book Antiqua"/>
          <w:color w:val="000000"/>
        </w:rPr>
        <w:t>: 112-121 [PMID: 32025012 DOI: 10.1038/s41586-019-1913-9]</w:t>
      </w:r>
    </w:p>
    <w:p w14:paraId="1DF8319F"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63 </w:t>
      </w:r>
      <w:r w:rsidRPr="00436841">
        <w:rPr>
          <w:rFonts w:ascii="Book Antiqua" w:eastAsia="Book Antiqua" w:hAnsi="Book Antiqua" w:cs="Book Antiqua"/>
          <w:b/>
          <w:bCs/>
          <w:color w:val="000000"/>
        </w:rPr>
        <w:t>Blechacz B</w:t>
      </w:r>
      <w:r w:rsidRPr="00436841">
        <w:rPr>
          <w:rFonts w:ascii="Book Antiqua" w:eastAsia="Book Antiqua" w:hAnsi="Book Antiqua" w:cs="Book Antiqua"/>
          <w:color w:val="000000"/>
        </w:rPr>
        <w:t xml:space="preserve">, Komuta M, Roskams T, Gores GJ. Clinical diagnosis and staging of cholangiocarcinoma. </w:t>
      </w:r>
      <w:r w:rsidRPr="00436841">
        <w:rPr>
          <w:rFonts w:ascii="Book Antiqua" w:eastAsia="Book Antiqua" w:hAnsi="Book Antiqua" w:cs="Book Antiqua"/>
          <w:i/>
          <w:iCs/>
          <w:color w:val="000000"/>
        </w:rPr>
        <w:t>Nat Rev Gastroenterol Hepatol</w:t>
      </w:r>
      <w:r w:rsidRPr="00436841">
        <w:rPr>
          <w:rFonts w:ascii="Book Antiqua" w:eastAsia="Book Antiqua" w:hAnsi="Book Antiqua" w:cs="Book Antiqua"/>
          <w:color w:val="000000"/>
        </w:rPr>
        <w:t xml:space="preserve"> 2011; </w:t>
      </w:r>
      <w:r w:rsidRPr="00436841">
        <w:rPr>
          <w:rFonts w:ascii="Book Antiqua" w:eastAsia="Book Antiqua" w:hAnsi="Book Antiqua" w:cs="Book Antiqua"/>
          <w:b/>
          <w:bCs/>
          <w:color w:val="000000"/>
        </w:rPr>
        <w:t>8</w:t>
      </w:r>
      <w:r w:rsidRPr="00436841">
        <w:rPr>
          <w:rFonts w:ascii="Book Antiqua" w:eastAsia="Book Antiqua" w:hAnsi="Book Antiqua" w:cs="Book Antiqua"/>
          <w:color w:val="000000"/>
        </w:rPr>
        <w:t>: 512-522 [PMID: 21808282 DOI: 10.1038/nrgastro.2011.131]</w:t>
      </w:r>
    </w:p>
    <w:p w14:paraId="55945642"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64 </w:t>
      </w:r>
      <w:r w:rsidRPr="00436841">
        <w:rPr>
          <w:rFonts w:ascii="Book Antiqua" w:eastAsia="Book Antiqua" w:hAnsi="Book Antiqua" w:cs="Book Antiqua"/>
          <w:b/>
          <w:bCs/>
          <w:color w:val="000000"/>
        </w:rPr>
        <w:t>Zhou HB</w:t>
      </w:r>
      <w:r w:rsidRPr="00436841">
        <w:rPr>
          <w:rFonts w:ascii="Book Antiqua" w:eastAsia="Book Antiqua" w:hAnsi="Book Antiqua" w:cs="Book Antiqua"/>
          <w:color w:val="000000"/>
        </w:rPr>
        <w:t xml:space="preserve">, Hu JY, Hu HP. Hepatitis B virus infection and intrahepatic cholangiocarcinoma. </w:t>
      </w:r>
      <w:r w:rsidRPr="00436841">
        <w:rPr>
          <w:rFonts w:ascii="Book Antiqua" w:eastAsia="Book Antiqua" w:hAnsi="Book Antiqua" w:cs="Book Antiqua"/>
          <w:i/>
          <w:iCs/>
          <w:color w:val="000000"/>
        </w:rPr>
        <w:t>World J Gastroenterol</w:t>
      </w:r>
      <w:r w:rsidRPr="00436841">
        <w:rPr>
          <w:rFonts w:ascii="Book Antiqua" w:eastAsia="Book Antiqua" w:hAnsi="Book Antiqua" w:cs="Book Antiqua"/>
          <w:color w:val="000000"/>
        </w:rPr>
        <w:t xml:space="preserve"> 2014; </w:t>
      </w:r>
      <w:r w:rsidRPr="00436841">
        <w:rPr>
          <w:rFonts w:ascii="Book Antiqua" w:eastAsia="Book Antiqua" w:hAnsi="Book Antiqua" w:cs="Book Antiqua"/>
          <w:b/>
          <w:bCs/>
          <w:color w:val="000000"/>
        </w:rPr>
        <w:t>20</w:t>
      </w:r>
      <w:r w:rsidRPr="00436841">
        <w:rPr>
          <w:rFonts w:ascii="Book Antiqua" w:eastAsia="Book Antiqua" w:hAnsi="Book Antiqua" w:cs="Book Antiqua"/>
          <w:color w:val="000000"/>
        </w:rPr>
        <w:t>: 5721-5729 [PMID: 24914333 DOI: 10.3748/wjg.v20.i19.5721]</w:t>
      </w:r>
    </w:p>
    <w:p w14:paraId="36BE1657"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lastRenderedPageBreak/>
        <w:t xml:space="preserve">65 </w:t>
      </w:r>
      <w:r w:rsidRPr="00436841">
        <w:rPr>
          <w:rFonts w:ascii="Book Antiqua" w:eastAsia="Book Antiqua" w:hAnsi="Book Antiqua" w:cs="Book Antiqua"/>
          <w:b/>
          <w:bCs/>
          <w:color w:val="000000"/>
        </w:rPr>
        <w:t>Joo I</w:t>
      </w:r>
      <w:r w:rsidRPr="00436841">
        <w:rPr>
          <w:rFonts w:ascii="Book Antiqua" w:eastAsia="Book Antiqua" w:hAnsi="Book Antiqua" w:cs="Book Antiqua"/>
          <w:color w:val="000000"/>
        </w:rPr>
        <w:t xml:space="preserve">, Lee JM, Yoon JH. Imaging Diagnosis of Intrahepatic and Perihilar Cholangiocarcinoma: Recent Advances and Challenges. </w:t>
      </w:r>
      <w:r w:rsidRPr="00436841">
        <w:rPr>
          <w:rFonts w:ascii="Book Antiqua" w:eastAsia="Book Antiqua" w:hAnsi="Book Antiqua" w:cs="Book Antiqua"/>
          <w:i/>
          <w:iCs/>
          <w:color w:val="000000"/>
        </w:rPr>
        <w:t>Radiology</w:t>
      </w:r>
      <w:r w:rsidRPr="00436841">
        <w:rPr>
          <w:rFonts w:ascii="Book Antiqua" w:eastAsia="Book Antiqua" w:hAnsi="Book Antiqua" w:cs="Book Antiqua"/>
          <w:color w:val="000000"/>
        </w:rPr>
        <w:t xml:space="preserve"> 2018; </w:t>
      </w:r>
      <w:r w:rsidRPr="00436841">
        <w:rPr>
          <w:rFonts w:ascii="Book Antiqua" w:eastAsia="Book Antiqua" w:hAnsi="Book Antiqua" w:cs="Book Antiqua"/>
          <w:b/>
          <w:bCs/>
          <w:color w:val="000000"/>
        </w:rPr>
        <w:t>288</w:t>
      </w:r>
      <w:r w:rsidRPr="00436841">
        <w:rPr>
          <w:rFonts w:ascii="Book Antiqua" w:eastAsia="Book Antiqua" w:hAnsi="Book Antiqua" w:cs="Book Antiqua"/>
          <w:color w:val="000000"/>
        </w:rPr>
        <w:t>: 7-13 [PMID: 29869969 DOI: 10.1148/radiol.2018171187]</w:t>
      </w:r>
    </w:p>
    <w:p w14:paraId="356BE4D1"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66 </w:t>
      </w:r>
      <w:r w:rsidRPr="00436841">
        <w:rPr>
          <w:rFonts w:ascii="Book Antiqua" w:eastAsia="Book Antiqua" w:hAnsi="Book Antiqua" w:cs="Book Antiqua"/>
          <w:b/>
          <w:bCs/>
          <w:color w:val="000000"/>
        </w:rPr>
        <w:t>Rimola J</w:t>
      </w:r>
      <w:r w:rsidRPr="00436841">
        <w:rPr>
          <w:rFonts w:ascii="Book Antiqua" w:eastAsia="Book Antiqua" w:hAnsi="Book Antiqua" w:cs="Book Antiqua"/>
          <w:color w:val="000000"/>
        </w:rPr>
        <w:t xml:space="preserve">, Forner A, Reig M, Vilana R, de Lope CR, Ayuso C, Bruix J. Cholangiocarcinoma in cirrhosis: absence of contrast washout in delayed phases by magnetic resonance imaging avoids misdiagnosis of hepatocellular carcinoma. </w:t>
      </w:r>
      <w:r w:rsidRPr="00436841">
        <w:rPr>
          <w:rFonts w:ascii="Book Antiqua" w:eastAsia="Book Antiqua" w:hAnsi="Book Antiqua" w:cs="Book Antiqua"/>
          <w:i/>
          <w:iCs/>
          <w:color w:val="000000"/>
        </w:rPr>
        <w:t>Hepatology</w:t>
      </w:r>
      <w:r w:rsidRPr="00436841">
        <w:rPr>
          <w:rFonts w:ascii="Book Antiqua" w:eastAsia="Book Antiqua" w:hAnsi="Book Antiqua" w:cs="Book Antiqua"/>
          <w:color w:val="000000"/>
        </w:rPr>
        <w:t xml:space="preserve"> 2009; </w:t>
      </w:r>
      <w:r w:rsidRPr="00436841">
        <w:rPr>
          <w:rFonts w:ascii="Book Antiqua" w:eastAsia="Book Antiqua" w:hAnsi="Book Antiqua" w:cs="Book Antiqua"/>
          <w:b/>
          <w:bCs/>
          <w:color w:val="000000"/>
        </w:rPr>
        <w:t>50</w:t>
      </w:r>
      <w:r w:rsidRPr="00436841">
        <w:rPr>
          <w:rFonts w:ascii="Book Antiqua" w:eastAsia="Book Antiqua" w:hAnsi="Book Antiqua" w:cs="Book Antiqua"/>
          <w:color w:val="000000"/>
        </w:rPr>
        <w:t>: 791-798 [PMID: 19610049 DOI: 10.1002/hep.23071]</w:t>
      </w:r>
    </w:p>
    <w:p w14:paraId="0735FE45"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67 </w:t>
      </w:r>
      <w:r w:rsidRPr="00436841">
        <w:rPr>
          <w:rFonts w:ascii="Book Antiqua" w:eastAsia="Book Antiqua" w:hAnsi="Book Antiqua" w:cs="Book Antiqua"/>
          <w:b/>
          <w:bCs/>
          <w:color w:val="000000"/>
        </w:rPr>
        <w:t>Valls C</w:t>
      </w:r>
      <w:r w:rsidRPr="00436841">
        <w:rPr>
          <w:rFonts w:ascii="Book Antiqua" w:eastAsia="Book Antiqua" w:hAnsi="Book Antiqua" w:cs="Book Antiqua"/>
          <w:color w:val="000000"/>
        </w:rPr>
        <w:t xml:space="preserve">, Gumà A, Puig I, Sanchez A, Andía E, Serrano T, Figueras J. Intrahepatic peripheral cholangiocarcinoma: CT evaluation. </w:t>
      </w:r>
      <w:r w:rsidRPr="00436841">
        <w:rPr>
          <w:rFonts w:ascii="Book Antiqua" w:eastAsia="Book Antiqua" w:hAnsi="Book Antiqua" w:cs="Book Antiqua"/>
          <w:i/>
          <w:iCs/>
          <w:color w:val="000000"/>
        </w:rPr>
        <w:t>Abdom Imaging</w:t>
      </w:r>
      <w:r w:rsidRPr="00436841">
        <w:rPr>
          <w:rFonts w:ascii="Book Antiqua" w:eastAsia="Book Antiqua" w:hAnsi="Book Antiqua" w:cs="Book Antiqua"/>
          <w:color w:val="000000"/>
        </w:rPr>
        <w:t xml:space="preserve"> 2000; </w:t>
      </w:r>
      <w:r w:rsidRPr="00436841">
        <w:rPr>
          <w:rFonts w:ascii="Book Antiqua" w:eastAsia="Book Antiqua" w:hAnsi="Book Antiqua" w:cs="Book Antiqua"/>
          <w:b/>
          <w:bCs/>
          <w:color w:val="000000"/>
        </w:rPr>
        <w:t>25</w:t>
      </w:r>
      <w:r w:rsidRPr="00436841">
        <w:rPr>
          <w:rFonts w:ascii="Book Antiqua" w:eastAsia="Book Antiqua" w:hAnsi="Book Antiqua" w:cs="Book Antiqua"/>
          <w:color w:val="000000"/>
        </w:rPr>
        <w:t>: 490-496 [PMID: 10931983 DOI: 10.1007/s002610000079]</w:t>
      </w:r>
    </w:p>
    <w:p w14:paraId="3D685676"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68 </w:t>
      </w:r>
      <w:r w:rsidRPr="00436841">
        <w:rPr>
          <w:rFonts w:ascii="Book Antiqua" w:eastAsia="Book Antiqua" w:hAnsi="Book Antiqua" w:cs="Book Antiqua"/>
          <w:b/>
          <w:bCs/>
          <w:color w:val="000000"/>
        </w:rPr>
        <w:t>Bridgewater J</w:t>
      </w:r>
      <w:r w:rsidRPr="00436841">
        <w:rPr>
          <w:rFonts w:ascii="Book Antiqua" w:eastAsia="Book Antiqua" w:hAnsi="Book Antiqua" w:cs="Book Antiqua"/>
          <w:color w:val="000000"/>
        </w:rPr>
        <w:t xml:space="preserve">, Galle PR, Khan SA, Llovet JM, Park JW, Patel T, Pawlik TM, Gores GJ. Guidelines for the diagnosis and management of intrahepatic cholangiocarcinoma. </w:t>
      </w:r>
      <w:r w:rsidRPr="00436841">
        <w:rPr>
          <w:rFonts w:ascii="Book Antiqua" w:eastAsia="Book Antiqua" w:hAnsi="Book Antiqua" w:cs="Book Antiqua"/>
          <w:i/>
          <w:iCs/>
          <w:color w:val="000000"/>
        </w:rPr>
        <w:t>J Hepatol</w:t>
      </w:r>
      <w:r w:rsidRPr="00436841">
        <w:rPr>
          <w:rFonts w:ascii="Book Antiqua" w:eastAsia="Book Antiqua" w:hAnsi="Book Antiqua" w:cs="Book Antiqua"/>
          <w:color w:val="000000"/>
        </w:rPr>
        <w:t xml:space="preserve"> 2014; </w:t>
      </w:r>
      <w:r w:rsidRPr="00436841">
        <w:rPr>
          <w:rFonts w:ascii="Book Antiqua" w:eastAsia="Book Antiqua" w:hAnsi="Book Antiqua" w:cs="Book Antiqua"/>
          <w:b/>
          <w:bCs/>
          <w:color w:val="000000"/>
        </w:rPr>
        <w:t>60</w:t>
      </w:r>
      <w:r w:rsidRPr="00436841">
        <w:rPr>
          <w:rFonts w:ascii="Book Antiqua" w:eastAsia="Book Antiqua" w:hAnsi="Book Antiqua" w:cs="Book Antiqua"/>
          <w:color w:val="000000"/>
        </w:rPr>
        <w:t>: 1268-1289 [PMID: 24681130 DOI: 10.1016/j.jhep.2014.01.021]</w:t>
      </w:r>
    </w:p>
    <w:p w14:paraId="66C9CBF3"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69 </w:t>
      </w:r>
      <w:r w:rsidRPr="00436841">
        <w:rPr>
          <w:rFonts w:ascii="Book Antiqua" w:eastAsia="Book Antiqua" w:hAnsi="Book Antiqua" w:cs="Book Antiqua"/>
          <w:b/>
          <w:bCs/>
          <w:color w:val="000000"/>
        </w:rPr>
        <w:t>Lamarca A</w:t>
      </w:r>
      <w:r w:rsidRPr="00436841">
        <w:rPr>
          <w:rFonts w:ascii="Book Antiqua" w:eastAsia="Book Antiqua" w:hAnsi="Book Antiqua" w:cs="Book Antiqua"/>
          <w:color w:val="000000"/>
        </w:rPr>
        <w:t xml:space="preserve">, Barriuso J, Chander A, McNamara MG, Hubner RA, ÓReilly D, Manoharan P, Valle JW. </w:t>
      </w:r>
      <w:r w:rsidRPr="00436841">
        <w:rPr>
          <w:rFonts w:ascii="Book Antiqua" w:eastAsia="Book Antiqua" w:hAnsi="Book Antiqua" w:cs="Book Antiqua"/>
          <w:color w:val="000000"/>
          <w:vertAlign w:val="superscript"/>
        </w:rPr>
        <w:t>18</w:t>
      </w:r>
      <w:r w:rsidRPr="00436841">
        <w:rPr>
          <w:rFonts w:ascii="Book Antiqua" w:eastAsia="Book Antiqua" w:hAnsi="Book Antiqua" w:cs="Book Antiqua"/>
          <w:color w:val="000000"/>
        </w:rPr>
        <w:t>F-fluorodeoxyglucose positron emission tomography (</w:t>
      </w:r>
      <w:r w:rsidRPr="00436841">
        <w:rPr>
          <w:rFonts w:ascii="Book Antiqua" w:eastAsia="Book Antiqua" w:hAnsi="Book Antiqua" w:cs="Book Antiqua"/>
          <w:color w:val="000000"/>
          <w:vertAlign w:val="superscript"/>
        </w:rPr>
        <w:t>18</w:t>
      </w:r>
      <w:r w:rsidRPr="00436841">
        <w:rPr>
          <w:rFonts w:ascii="Book Antiqua" w:eastAsia="Book Antiqua" w:hAnsi="Book Antiqua" w:cs="Book Antiqua"/>
          <w:color w:val="000000"/>
        </w:rPr>
        <w:t xml:space="preserve">FDG-PET) for patients with biliary tract cancer: Systematic review and meta-analysis. </w:t>
      </w:r>
      <w:r w:rsidRPr="00436841">
        <w:rPr>
          <w:rFonts w:ascii="Book Antiqua" w:eastAsia="Book Antiqua" w:hAnsi="Book Antiqua" w:cs="Book Antiqua"/>
          <w:i/>
          <w:iCs/>
          <w:color w:val="000000"/>
        </w:rPr>
        <w:t>J Hepatol</w:t>
      </w:r>
      <w:r w:rsidRPr="00436841">
        <w:rPr>
          <w:rFonts w:ascii="Book Antiqua" w:eastAsia="Book Antiqua" w:hAnsi="Book Antiqua" w:cs="Book Antiqua"/>
          <w:color w:val="000000"/>
        </w:rPr>
        <w:t xml:space="preserve"> 2019; </w:t>
      </w:r>
      <w:r w:rsidRPr="00436841">
        <w:rPr>
          <w:rFonts w:ascii="Book Antiqua" w:eastAsia="Book Antiqua" w:hAnsi="Book Antiqua" w:cs="Book Antiqua"/>
          <w:b/>
          <w:bCs/>
          <w:color w:val="000000"/>
        </w:rPr>
        <w:t>71</w:t>
      </w:r>
      <w:r w:rsidRPr="00436841">
        <w:rPr>
          <w:rFonts w:ascii="Book Antiqua" w:eastAsia="Book Antiqua" w:hAnsi="Book Antiqua" w:cs="Book Antiqua"/>
          <w:color w:val="000000"/>
        </w:rPr>
        <w:t>: 115-129 [PMID: 30797051 DOI: 10.1016/j.jhep.2019.01.038]</w:t>
      </w:r>
    </w:p>
    <w:p w14:paraId="66A2165F"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70 </w:t>
      </w:r>
      <w:r w:rsidRPr="00436841">
        <w:rPr>
          <w:rFonts w:ascii="Book Antiqua" w:eastAsia="Book Antiqua" w:hAnsi="Book Antiqua" w:cs="Book Antiqua"/>
          <w:b/>
          <w:bCs/>
          <w:color w:val="000000"/>
        </w:rPr>
        <w:t>Patel AH</w:t>
      </w:r>
      <w:r w:rsidRPr="00436841">
        <w:rPr>
          <w:rFonts w:ascii="Book Antiqua" w:eastAsia="Book Antiqua" w:hAnsi="Book Antiqua" w:cs="Book Antiqua"/>
          <w:color w:val="000000"/>
        </w:rPr>
        <w:t xml:space="preserve">, Harnois DM, Klee GG, LaRusso NF, Gores GJ. The utility of CA 19-9 in the diagnoses of cholangiocarcinoma in patients without primary sclerosing cholangitis. </w:t>
      </w:r>
      <w:r w:rsidRPr="00436841">
        <w:rPr>
          <w:rFonts w:ascii="Book Antiqua" w:eastAsia="Book Antiqua" w:hAnsi="Book Antiqua" w:cs="Book Antiqua"/>
          <w:i/>
          <w:iCs/>
          <w:color w:val="000000"/>
        </w:rPr>
        <w:t>Am J Gastroenterol</w:t>
      </w:r>
      <w:r w:rsidRPr="00436841">
        <w:rPr>
          <w:rFonts w:ascii="Book Antiqua" w:eastAsia="Book Antiqua" w:hAnsi="Book Antiqua" w:cs="Book Antiqua"/>
          <w:color w:val="000000"/>
        </w:rPr>
        <w:t xml:space="preserve"> 2000; </w:t>
      </w:r>
      <w:r w:rsidRPr="00436841">
        <w:rPr>
          <w:rFonts w:ascii="Book Antiqua" w:eastAsia="Book Antiqua" w:hAnsi="Book Antiqua" w:cs="Book Antiqua"/>
          <w:b/>
          <w:bCs/>
          <w:color w:val="000000"/>
        </w:rPr>
        <w:t>95</w:t>
      </w:r>
      <w:r w:rsidRPr="00436841">
        <w:rPr>
          <w:rFonts w:ascii="Book Antiqua" w:eastAsia="Book Antiqua" w:hAnsi="Book Antiqua" w:cs="Book Antiqua"/>
          <w:color w:val="000000"/>
        </w:rPr>
        <w:t>: 204-207 [PMID: 10638584 DOI: 10.1111/j.1572-0241.2000.01685.x]</w:t>
      </w:r>
    </w:p>
    <w:p w14:paraId="73412655"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71 </w:t>
      </w:r>
      <w:r w:rsidRPr="00436841">
        <w:rPr>
          <w:rFonts w:ascii="Book Antiqua" w:eastAsia="Book Antiqua" w:hAnsi="Book Antiqua" w:cs="Book Antiqua"/>
          <w:b/>
          <w:bCs/>
          <w:color w:val="000000"/>
        </w:rPr>
        <w:t>He C</w:t>
      </w:r>
      <w:r w:rsidRPr="00436841">
        <w:rPr>
          <w:rFonts w:ascii="Book Antiqua" w:eastAsia="Book Antiqua" w:hAnsi="Book Antiqua" w:cs="Book Antiqua"/>
          <w:color w:val="000000"/>
        </w:rPr>
        <w:t xml:space="preserve">, Zhang Y, Song Y, Wang J, Xing K, Lin X, Li S. Preoperative CEA levels are supplementary to CA19-9 Levels in predicting prognosis in patients with resectable intrahepatic cholangiocarcinoma. </w:t>
      </w:r>
      <w:r w:rsidRPr="00436841">
        <w:rPr>
          <w:rFonts w:ascii="Book Antiqua" w:eastAsia="Book Antiqua" w:hAnsi="Book Antiqua" w:cs="Book Antiqua"/>
          <w:i/>
          <w:iCs/>
          <w:color w:val="000000"/>
        </w:rPr>
        <w:t>J Cancer</w:t>
      </w:r>
      <w:r w:rsidRPr="00436841">
        <w:rPr>
          <w:rFonts w:ascii="Book Antiqua" w:eastAsia="Book Antiqua" w:hAnsi="Book Antiqua" w:cs="Book Antiqua"/>
          <w:color w:val="000000"/>
        </w:rPr>
        <w:t xml:space="preserve"> 2018; </w:t>
      </w:r>
      <w:r w:rsidRPr="00436841">
        <w:rPr>
          <w:rFonts w:ascii="Book Antiqua" w:eastAsia="Book Antiqua" w:hAnsi="Book Antiqua" w:cs="Book Antiqua"/>
          <w:b/>
          <w:bCs/>
          <w:color w:val="000000"/>
        </w:rPr>
        <w:t>9</w:t>
      </w:r>
      <w:r w:rsidRPr="00436841">
        <w:rPr>
          <w:rFonts w:ascii="Book Antiqua" w:eastAsia="Book Antiqua" w:hAnsi="Book Antiqua" w:cs="Book Antiqua"/>
          <w:color w:val="000000"/>
        </w:rPr>
        <w:t>: 3117-3128 [PMID: 30210635 DOI: 10.7150/jca.25339]</w:t>
      </w:r>
    </w:p>
    <w:p w14:paraId="25687355"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72 </w:t>
      </w:r>
      <w:r w:rsidRPr="00436841">
        <w:rPr>
          <w:rFonts w:ascii="Book Antiqua" w:eastAsia="Book Antiqua" w:hAnsi="Book Antiqua" w:cs="Book Antiqua"/>
          <w:b/>
          <w:bCs/>
          <w:color w:val="000000"/>
        </w:rPr>
        <w:t>Sasaki K</w:t>
      </w:r>
      <w:r w:rsidRPr="00436841">
        <w:rPr>
          <w:rFonts w:ascii="Book Antiqua" w:eastAsia="Book Antiqua" w:hAnsi="Book Antiqua" w:cs="Book Antiqua"/>
          <w:color w:val="000000"/>
        </w:rPr>
        <w:t xml:space="preserve">, Margonis GA, Andreatos N, Chen Q, Barbon C, Bagante F, Weiss M, Popescu I, Marques HP, Aldrighetti L, Maithel SK, Pulitano C, Bauer TW, Shen F, Poultsides GA, Soubrane O, Martel G, Groot Koerkamp B, Guglielmi A, Endo I, Aucejo FN, Pawlik TM. Serum tumor markers enhance the predictive power of the AJCC and </w:t>
      </w:r>
      <w:r w:rsidRPr="00436841">
        <w:rPr>
          <w:rFonts w:ascii="Book Antiqua" w:eastAsia="Book Antiqua" w:hAnsi="Book Antiqua" w:cs="Book Antiqua"/>
          <w:color w:val="000000"/>
        </w:rPr>
        <w:lastRenderedPageBreak/>
        <w:t xml:space="preserve">LCSGJ staging systems in resectable intrahepatic cholangiocarcinoma. </w:t>
      </w:r>
      <w:r w:rsidRPr="00436841">
        <w:rPr>
          <w:rFonts w:ascii="Book Antiqua" w:eastAsia="Book Antiqua" w:hAnsi="Book Antiqua" w:cs="Book Antiqua"/>
          <w:i/>
          <w:iCs/>
          <w:color w:val="000000"/>
        </w:rPr>
        <w:t>HPB (Oxford)</w:t>
      </w:r>
      <w:r w:rsidRPr="00436841">
        <w:rPr>
          <w:rFonts w:ascii="Book Antiqua" w:eastAsia="Book Antiqua" w:hAnsi="Book Antiqua" w:cs="Book Antiqua"/>
          <w:color w:val="000000"/>
        </w:rPr>
        <w:t xml:space="preserve"> 2018; </w:t>
      </w:r>
      <w:r w:rsidRPr="00436841">
        <w:rPr>
          <w:rFonts w:ascii="Book Antiqua" w:eastAsia="Book Antiqua" w:hAnsi="Book Antiqua" w:cs="Book Antiqua"/>
          <w:b/>
          <w:bCs/>
          <w:color w:val="000000"/>
        </w:rPr>
        <w:t>20</w:t>
      </w:r>
      <w:r w:rsidRPr="00436841">
        <w:rPr>
          <w:rFonts w:ascii="Book Antiqua" w:eastAsia="Book Antiqua" w:hAnsi="Book Antiqua" w:cs="Book Antiqua"/>
          <w:color w:val="000000"/>
        </w:rPr>
        <w:t>: 956-965 [PMID: 29887261 DOI: 10.1016/j.hpb.2018.04.005]</w:t>
      </w:r>
    </w:p>
    <w:p w14:paraId="331D3F73"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73 </w:t>
      </w:r>
      <w:r w:rsidRPr="00436841">
        <w:rPr>
          <w:rFonts w:ascii="Book Antiqua" w:eastAsia="Book Antiqua" w:hAnsi="Book Antiqua" w:cs="Book Antiqua"/>
          <w:b/>
          <w:bCs/>
          <w:color w:val="000000"/>
        </w:rPr>
        <w:t>Mazzaferro V</w:t>
      </w:r>
      <w:r w:rsidRPr="00436841">
        <w:rPr>
          <w:rFonts w:ascii="Book Antiqua" w:eastAsia="Book Antiqua" w:hAnsi="Book Antiqua" w:cs="Book Antiqua"/>
          <w:color w:val="000000"/>
        </w:rPr>
        <w:t xml:space="preserve">, Gorgen A, Roayaie S, Droz Dit Busset M, Sapisochin G. Liver resection and transplantation for intrahepatic cholangiocarcinoma. </w:t>
      </w:r>
      <w:r w:rsidRPr="00436841">
        <w:rPr>
          <w:rFonts w:ascii="Book Antiqua" w:eastAsia="Book Antiqua" w:hAnsi="Book Antiqua" w:cs="Book Antiqua"/>
          <w:i/>
          <w:iCs/>
          <w:color w:val="000000"/>
        </w:rPr>
        <w:t>J Hepatol</w:t>
      </w:r>
      <w:r w:rsidRPr="00436841">
        <w:rPr>
          <w:rFonts w:ascii="Book Antiqua" w:eastAsia="Book Antiqua" w:hAnsi="Book Antiqua" w:cs="Book Antiqua"/>
          <w:color w:val="000000"/>
        </w:rPr>
        <w:t xml:space="preserve"> 2020; </w:t>
      </w:r>
      <w:r w:rsidRPr="00436841">
        <w:rPr>
          <w:rFonts w:ascii="Book Antiqua" w:eastAsia="Book Antiqua" w:hAnsi="Book Antiqua" w:cs="Book Antiqua"/>
          <w:b/>
          <w:bCs/>
          <w:color w:val="000000"/>
        </w:rPr>
        <w:t>72</w:t>
      </w:r>
      <w:r w:rsidRPr="00436841">
        <w:rPr>
          <w:rFonts w:ascii="Book Antiqua" w:eastAsia="Book Antiqua" w:hAnsi="Book Antiqua" w:cs="Book Antiqua"/>
          <w:color w:val="000000"/>
        </w:rPr>
        <w:t>: 364-377 [PMID: 31954498 DOI: 10.1016/j.jhep.2019.11.020]</w:t>
      </w:r>
    </w:p>
    <w:p w14:paraId="0417E1C4"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74 </w:t>
      </w:r>
      <w:r w:rsidRPr="00436841">
        <w:rPr>
          <w:rFonts w:ascii="Book Antiqua" w:eastAsia="Book Antiqua" w:hAnsi="Book Antiqua" w:cs="Book Antiqua"/>
          <w:b/>
          <w:bCs/>
          <w:color w:val="000000"/>
        </w:rPr>
        <w:t>Zhou YM</w:t>
      </w:r>
      <w:r w:rsidRPr="00436841">
        <w:rPr>
          <w:rFonts w:ascii="Book Antiqua" w:eastAsia="Book Antiqua" w:hAnsi="Book Antiqua" w:cs="Book Antiqua"/>
          <w:color w:val="000000"/>
        </w:rPr>
        <w:t xml:space="preserve">, Yang JM, Li B, Yin ZF, Xu F, Wang B, Liu P, Li ZM. Clinicopathologic characteristics of intrahepatic cholangiocarcinoma in patients with positive serum a-fetoprotein. </w:t>
      </w:r>
      <w:r w:rsidRPr="00436841">
        <w:rPr>
          <w:rFonts w:ascii="Book Antiqua" w:eastAsia="Book Antiqua" w:hAnsi="Book Antiqua" w:cs="Book Antiqua"/>
          <w:i/>
          <w:iCs/>
          <w:color w:val="000000"/>
        </w:rPr>
        <w:t>World J Gastroenterol</w:t>
      </w:r>
      <w:r w:rsidRPr="00436841">
        <w:rPr>
          <w:rFonts w:ascii="Book Antiqua" w:eastAsia="Book Antiqua" w:hAnsi="Book Antiqua" w:cs="Book Antiqua"/>
          <w:color w:val="000000"/>
        </w:rPr>
        <w:t xml:space="preserve"> 2008; </w:t>
      </w:r>
      <w:r w:rsidRPr="00436841">
        <w:rPr>
          <w:rFonts w:ascii="Book Antiqua" w:eastAsia="Book Antiqua" w:hAnsi="Book Antiqua" w:cs="Book Antiqua"/>
          <w:b/>
          <w:bCs/>
          <w:color w:val="000000"/>
        </w:rPr>
        <w:t>14</w:t>
      </w:r>
      <w:r w:rsidRPr="00436841">
        <w:rPr>
          <w:rFonts w:ascii="Book Antiqua" w:eastAsia="Book Antiqua" w:hAnsi="Book Antiqua" w:cs="Book Antiqua"/>
          <w:color w:val="000000"/>
        </w:rPr>
        <w:t>: 2251-2254 [PMID: 18407604 DOI: 10.3748/wjg.14.2251]</w:t>
      </w:r>
    </w:p>
    <w:p w14:paraId="233CDE84"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75 </w:t>
      </w:r>
      <w:r w:rsidRPr="00436841">
        <w:rPr>
          <w:rFonts w:ascii="Book Antiqua" w:eastAsia="Book Antiqua" w:hAnsi="Book Antiqua" w:cs="Book Antiqua"/>
          <w:b/>
          <w:bCs/>
          <w:color w:val="000000"/>
        </w:rPr>
        <w:t>Zhou H</w:t>
      </w:r>
      <w:r w:rsidRPr="00436841">
        <w:rPr>
          <w:rFonts w:ascii="Book Antiqua" w:eastAsia="Book Antiqua" w:hAnsi="Book Antiqua" w:cs="Book Antiqua"/>
          <w:color w:val="000000"/>
        </w:rPr>
        <w:t xml:space="preserve">, Wang H, Zhou D, Wang H, Wang Q, Zou S, Tu Q, Wu M, Hu H. Hepatitis B virus-associated intrahepatic cholangiocarcinoma and hepatocellular carcinoma may hold common disease process for carcinogenesis. </w:t>
      </w:r>
      <w:r w:rsidRPr="00436841">
        <w:rPr>
          <w:rFonts w:ascii="Book Antiqua" w:eastAsia="Book Antiqua" w:hAnsi="Book Antiqua" w:cs="Book Antiqua"/>
          <w:i/>
          <w:iCs/>
          <w:color w:val="000000"/>
        </w:rPr>
        <w:t>Eur J Cancer</w:t>
      </w:r>
      <w:r w:rsidRPr="00436841">
        <w:rPr>
          <w:rFonts w:ascii="Book Antiqua" w:eastAsia="Book Antiqua" w:hAnsi="Book Antiqua" w:cs="Book Antiqua"/>
          <w:color w:val="000000"/>
        </w:rPr>
        <w:t xml:space="preserve"> 2010; </w:t>
      </w:r>
      <w:r w:rsidRPr="00436841">
        <w:rPr>
          <w:rFonts w:ascii="Book Antiqua" w:eastAsia="Book Antiqua" w:hAnsi="Book Antiqua" w:cs="Book Antiqua"/>
          <w:b/>
          <w:bCs/>
          <w:color w:val="000000"/>
        </w:rPr>
        <w:t>46</w:t>
      </w:r>
      <w:r w:rsidRPr="00436841">
        <w:rPr>
          <w:rFonts w:ascii="Book Antiqua" w:eastAsia="Book Antiqua" w:hAnsi="Book Antiqua" w:cs="Book Antiqua"/>
          <w:color w:val="000000"/>
        </w:rPr>
        <w:t>: 1056-1061 [PMID: 20202823 DOI: 10.1016/j.ejca.2010.02.005]</w:t>
      </w:r>
    </w:p>
    <w:p w14:paraId="71313E46"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76 </w:t>
      </w:r>
      <w:r w:rsidRPr="00436841">
        <w:rPr>
          <w:rFonts w:ascii="Book Antiqua" w:eastAsia="Book Antiqua" w:hAnsi="Book Antiqua" w:cs="Book Antiqua"/>
          <w:b/>
          <w:bCs/>
          <w:color w:val="000000"/>
        </w:rPr>
        <w:t>Valle JW</w:t>
      </w:r>
      <w:r w:rsidRPr="00436841">
        <w:rPr>
          <w:rFonts w:ascii="Book Antiqua" w:eastAsia="Book Antiqua" w:hAnsi="Book Antiqua" w:cs="Book Antiqua"/>
          <w:color w:val="000000"/>
        </w:rPr>
        <w:t xml:space="preserve">, Borbath I, Khan SA, Huguet F, Gruenberger T, Arnold D; ESMO Guidelines Committee. Biliary cancer: ESMO Clinical Practice Guidelines for diagnosis, treatment and follow-up. </w:t>
      </w:r>
      <w:r w:rsidRPr="00436841">
        <w:rPr>
          <w:rFonts w:ascii="Book Antiqua" w:eastAsia="Book Antiqua" w:hAnsi="Book Antiqua" w:cs="Book Antiqua"/>
          <w:i/>
          <w:iCs/>
          <w:color w:val="000000"/>
        </w:rPr>
        <w:t>Ann Oncol</w:t>
      </w:r>
      <w:r w:rsidRPr="00436841">
        <w:rPr>
          <w:rFonts w:ascii="Book Antiqua" w:eastAsia="Book Antiqua" w:hAnsi="Book Antiqua" w:cs="Book Antiqua"/>
          <w:color w:val="000000"/>
        </w:rPr>
        <w:t xml:space="preserve"> 2016; </w:t>
      </w:r>
      <w:r w:rsidRPr="00436841">
        <w:rPr>
          <w:rFonts w:ascii="Book Antiqua" w:eastAsia="Book Antiqua" w:hAnsi="Book Antiqua" w:cs="Book Antiqua"/>
          <w:b/>
          <w:bCs/>
          <w:color w:val="000000"/>
        </w:rPr>
        <w:t>27</w:t>
      </w:r>
      <w:r w:rsidRPr="00436841">
        <w:rPr>
          <w:rFonts w:ascii="Book Antiqua" w:eastAsia="Book Antiqua" w:hAnsi="Book Antiqua" w:cs="Book Antiqua"/>
          <w:color w:val="000000"/>
        </w:rPr>
        <w:t>: v28-v37 [PMID: 27664259 DOI: 10.1093/annonc/mdw324]</w:t>
      </w:r>
    </w:p>
    <w:p w14:paraId="092EF8D9"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77 </w:t>
      </w:r>
      <w:r w:rsidRPr="00436841">
        <w:rPr>
          <w:rFonts w:ascii="Book Antiqua" w:eastAsia="Book Antiqua" w:hAnsi="Book Antiqua" w:cs="Book Antiqua"/>
          <w:b/>
          <w:bCs/>
          <w:color w:val="000000"/>
        </w:rPr>
        <w:t>Forner A</w:t>
      </w:r>
      <w:r w:rsidRPr="00436841">
        <w:rPr>
          <w:rFonts w:ascii="Book Antiqua" w:eastAsia="Book Antiqua" w:hAnsi="Book Antiqua" w:cs="Book Antiqua"/>
          <w:color w:val="000000"/>
        </w:rPr>
        <w:t xml:space="preserve">, Vidili G, Rengo M, Bujanda L, Ponz-Sarvisé M, Lamarca A. Clinical presentation, diagnosis and staging of cholangiocarcinoma. </w:t>
      </w:r>
      <w:r w:rsidRPr="00436841">
        <w:rPr>
          <w:rFonts w:ascii="Book Antiqua" w:eastAsia="Book Antiqua" w:hAnsi="Book Antiqua" w:cs="Book Antiqua"/>
          <w:i/>
          <w:iCs/>
          <w:color w:val="000000"/>
        </w:rPr>
        <w:t>Liver Int</w:t>
      </w:r>
      <w:r w:rsidRPr="00436841">
        <w:rPr>
          <w:rFonts w:ascii="Book Antiqua" w:eastAsia="Book Antiqua" w:hAnsi="Book Antiqua" w:cs="Book Antiqua"/>
          <w:color w:val="000000"/>
        </w:rPr>
        <w:t xml:space="preserve"> 2019; </w:t>
      </w:r>
      <w:r w:rsidRPr="00436841">
        <w:rPr>
          <w:rFonts w:ascii="Book Antiqua" w:eastAsia="Book Antiqua" w:hAnsi="Book Antiqua" w:cs="Book Antiqua"/>
          <w:b/>
          <w:bCs/>
          <w:color w:val="000000"/>
        </w:rPr>
        <w:t>39 Suppl 1</w:t>
      </w:r>
      <w:r w:rsidRPr="00436841">
        <w:rPr>
          <w:rFonts w:ascii="Book Antiqua" w:eastAsia="Book Antiqua" w:hAnsi="Book Antiqua" w:cs="Book Antiqua"/>
          <w:color w:val="000000"/>
        </w:rPr>
        <w:t>: 98-107 [PMID: 30831002 DOI: 10.1111/</w:t>
      </w:r>
      <w:r w:rsidR="00BF744B" w:rsidRPr="00436841">
        <w:rPr>
          <w:rFonts w:ascii="Book Antiqua" w:eastAsia="Book Antiqua" w:hAnsi="Book Antiqua" w:cs="Book Antiqua"/>
          <w:color w:val="000000"/>
        </w:rPr>
        <w:t>l</w:t>
      </w:r>
      <w:r w:rsidRPr="00436841">
        <w:rPr>
          <w:rFonts w:ascii="Book Antiqua" w:eastAsia="Book Antiqua" w:hAnsi="Book Antiqua" w:cs="Book Antiqua"/>
          <w:color w:val="000000"/>
        </w:rPr>
        <w:t>iv.14086]</w:t>
      </w:r>
    </w:p>
    <w:p w14:paraId="6A0D4238"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78 </w:t>
      </w:r>
      <w:r w:rsidRPr="00436841">
        <w:rPr>
          <w:rFonts w:ascii="Book Antiqua" w:eastAsia="Book Antiqua" w:hAnsi="Book Antiqua" w:cs="Book Antiqua"/>
          <w:b/>
          <w:bCs/>
          <w:color w:val="000000"/>
        </w:rPr>
        <w:t>Nagtegaal ID</w:t>
      </w:r>
      <w:r w:rsidRPr="00436841">
        <w:rPr>
          <w:rFonts w:ascii="Book Antiqua" w:eastAsia="Book Antiqua" w:hAnsi="Book Antiqua" w:cs="Book Antiqua"/>
          <w:color w:val="000000"/>
        </w:rPr>
        <w:t xml:space="preserve">, Odze RD, Klimstra D, Paradis V, Rugge M, Schirmacher P, Washington KM, Carneiro F, Cree IA; WHO Classification of Tumours Editorial Board. The 2019 WHO classification of tumours of the digestive system. </w:t>
      </w:r>
      <w:r w:rsidRPr="00436841">
        <w:rPr>
          <w:rFonts w:ascii="Book Antiqua" w:eastAsia="Book Antiqua" w:hAnsi="Book Antiqua" w:cs="Book Antiqua"/>
          <w:i/>
          <w:iCs/>
          <w:color w:val="000000"/>
        </w:rPr>
        <w:t>Histopathology</w:t>
      </w:r>
      <w:r w:rsidRPr="00436841">
        <w:rPr>
          <w:rFonts w:ascii="Book Antiqua" w:eastAsia="Book Antiqua" w:hAnsi="Book Antiqua" w:cs="Book Antiqua"/>
          <w:color w:val="000000"/>
        </w:rPr>
        <w:t xml:space="preserve"> 2020; </w:t>
      </w:r>
      <w:r w:rsidRPr="00436841">
        <w:rPr>
          <w:rFonts w:ascii="Book Antiqua" w:eastAsia="Book Antiqua" w:hAnsi="Book Antiqua" w:cs="Book Antiqua"/>
          <w:b/>
          <w:bCs/>
          <w:color w:val="000000"/>
        </w:rPr>
        <w:t>76</w:t>
      </w:r>
      <w:r w:rsidRPr="00436841">
        <w:rPr>
          <w:rFonts w:ascii="Book Antiqua" w:eastAsia="Book Antiqua" w:hAnsi="Book Antiqua" w:cs="Book Antiqua"/>
          <w:color w:val="000000"/>
        </w:rPr>
        <w:t>: 182-188 [PMID: 31433515 DOI: 10.1111/his.13975]</w:t>
      </w:r>
    </w:p>
    <w:p w14:paraId="19B250B0"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79 </w:t>
      </w:r>
      <w:r w:rsidRPr="00436841">
        <w:rPr>
          <w:rFonts w:ascii="Book Antiqua" w:eastAsia="Book Antiqua" w:hAnsi="Book Antiqua" w:cs="Book Antiqua"/>
          <w:b/>
          <w:bCs/>
          <w:color w:val="000000"/>
        </w:rPr>
        <w:t>Komuta M</w:t>
      </w:r>
      <w:r w:rsidRPr="00436841">
        <w:rPr>
          <w:rFonts w:ascii="Book Antiqua" w:eastAsia="Book Antiqua" w:hAnsi="Book Antiqua" w:cs="Book Antiqua"/>
          <w:color w:val="000000"/>
        </w:rPr>
        <w:t xml:space="preserve">, Govaere O, Vandecaveye V, Akiba J, Van Steenbergen W, Verslype C, Laleman W, Pirenne J, Aerts R, Yano H, Nevens F, Topal B, Roskams T. Histological diversity in cholangiocellular carcinoma reflects the different cholangiocyte phenotypes. </w:t>
      </w:r>
      <w:r w:rsidRPr="00436841">
        <w:rPr>
          <w:rFonts w:ascii="Book Antiqua" w:eastAsia="Book Antiqua" w:hAnsi="Book Antiqua" w:cs="Book Antiqua"/>
          <w:i/>
          <w:iCs/>
          <w:color w:val="000000"/>
        </w:rPr>
        <w:t>Hepatology</w:t>
      </w:r>
      <w:r w:rsidRPr="00436841">
        <w:rPr>
          <w:rFonts w:ascii="Book Antiqua" w:eastAsia="Book Antiqua" w:hAnsi="Book Antiqua" w:cs="Book Antiqua"/>
          <w:color w:val="000000"/>
        </w:rPr>
        <w:t xml:space="preserve"> 2012; </w:t>
      </w:r>
      <w:r w:rsidRPr="00436841">
        <w:rPr>
          <w:rFonts w:ascii="Book Antiqua" w:eastAsia="Book Antiqua" w:hAnsi="Book Antiqua" w:cs="Book Antiqua"/>
          <w:b/>
          <w:bCs/>
          <w:color w:val="000000"/>
        </w:rPr>
        <w:t>55</w:t>
      </w:r>
      <w:r w:rsidRPr="00436841">
        <w:rPr>
          <w:rFonts w:ascii="Book Antiqua" w:eastAsia="Book Antiqua" w:hAnsi="Book Antiqua" w:cs="Book Antiqua"/>
          <w:color w:val="000000"/>
        </w:rPr>
        <w:t>: 1876-1888 [PMID: 22271564 DOI: 10.1002/hep.25595]</w:t>
      </w:r>
    </w:p>
    <w:p w14:paraId="68CE2A74"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80 </w:t>
      </w:r>
      <w:r w:rsidRPr="00436841">
        <w:rPr>
          <w:rFonts w:ascii="Book Antiqua" w:eastAsia="Book Antiqua" w:hAnsi="Book Antiqua" w:cs="Book Antiqua"/>
          <w:b/>
          <w:bCs/>
          <w:color w:val="000000"/>
        </w:rPr>
        <w:t>Liau JY</w:t>
      </w:r>
      <w:r w:rsidRPr="00436841">
        <w:rPr>
          <w:rFonts w:ascii="Book Antiqua" w:eastAsia="Book Antiqua" w:hAnsi="Book Antiqua" w:cs="Book Antiqua"/>
          <w:color w:val="000000"/>
        </w:rPr>
        <w:t xml:space="preserve">, Tsai JH, Yuan RH, Chang CN, Lee HJ, Jeng YM. Morphological subclassification of intrahepatic cholangiocarcinoma: etiological, clinicopathological, </w:t>
      </w:r>
      <w:r w:rsidRPr="00436841">
        <w:rPr>
          <w:rFonts w:ascii="Book Antiqua" w:eastAsia="Book Antiqua" w:hAnsi="Book Antiqua" w:cs="Book Antiqua"/>
          <w:color w:val="000000"/>
        </w:rPr>
        <w:lastRenderedPageBreak/>
        <w:t xml:space="preserve">and molecular features. </w:t>
      </w:r>
      <w:r w:rsidRPr="00436841">
        <w:rPr>
          <w:rFonts w:ascii="Book Antiqua" w:eastAsia="Book Antiqua" w:hAnsi="Book Antiqua" w:cs="Book Antiqua"/>
          <w:i/>
          <w:iCs/>
          <w:color w:val="000000"/>
        </w:rPr>
        <w:t>Mod Pathol</w:t>
      </w:r>
      <w:r w:rsidRPr="00436841">
        <w:rPr>
          <w:rFonts w:ascii="Book Antiqua" w:eastAsia="Book Antiqua" w:hAnsi="Book Antiqua" w:cs="Book Antiqua"/>
          <w:color w:val="000000"/>
        </w:rPr>
        <w:t xml:space="preserve"> 2014; </w:t>
      </w:r>
      <w:r w:rsidRPr="00436841">
        <w:rPr>
          <w:rFonts w:ascii="Book Antiqua" w:eastAsia="Book Antiqua" w:hAnsi="Book Antiqua" w:cs="Book Antiqua"/>
          <w:b/>
          <w:bCs/>
          <w:color w:val="000000"/>
        </w:rPr>
        <w:t>27</w:t>
      </w:r>
      <w:r w:rsidRPr="00436841">
        <w:rPr>
          <w:rFonts w:ascii="Book Antiqua" w:eastAsia="Book Antiqua" w:hAnsi="Book Antiqua" w:cs="Book Antiqua"/>
          <w:color w:val="000000"/>
        </w:rPr>
        <w:t>: 1163-1173 [PMID: 24406866 DOI: 10.1038/modpathol.2013.241]</w:t>
      </w:r>
    </w:p>
    <w:p w14:paraId="483F9F06"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81 </w:t>
      </w:r>
      <w:r w:rsidRPr="00436841">
        <w:rPr>
          <w:rFonts w:ascii="Book Antiqua" w:eastAsia="Book Antiqua" w:hAnsi="Book Antiqua" w:cs="Book Antiqua"/>
          <w:b/>
          <w:bCs/>
          <w:color w:val="000000"/>
        </w:rPr>
        <w:t>Hayashi A</w:t>
      </w:r>
      <w:r w:rsidRPr="00436841">
        <w:rPr>
          <w:rFonts w:ascii="Book Antiqua" w:eastAsia="Book Antiqua" w:hAnsi="Book Antiqua" w:cs="Book Antiqua"/>
          <w:color w:val="000000"/>
        </w:rPr>
        <w:t xml:space="preserve">, Misumi K, Shibahara J, Arita J, Sakamoto Y, Hasegawa K, Kokudo N, Fukayama M. Distinct Clinicopathologic and Genetic Features of 2 Histologic Subtypes of Intrahepatic Cholangiocarcinoma. </w:t>
      </w:r>
      <w:r w:rsidRPr="00436841">
        <w:rPr>
          <w:rFonts w:ascii="Book Antiqua" w:eastAsia="Book Antiqua" w:hAnsi="Book Antiqua" w:cs="Book Antiqua"/>
          <w:i/>
          <w:iCs/>
          <w:color w:val="000000"/>
        </w:rPr>
        <w:t>Am J Surg Pathol</w:t>
      </w:r>
      <w:r w:rsidRPr="00436841">
        <w:rPr>
          <w:rFonts w:ascii="Book Antiqua" w:eastAsia="Book Antiqua" w:hAnsi="Book Antiqua" w:cs="Book Antiqua"/>
          <w:color w:val="000000"/>
        </w:rPr>
        <w:t xml:space="preserve"> 2016; </w:t>
      </w:r>
      <w:r w:rsidRPr="00436841">
        <w:rPr>
          <w:rFonts w:ascii="Book Antiqua" w:eastAsia="Book Antiqua" w:hAnsi="Book Antiqua" w:cs="Book Antiqua"/>
          <w:b/>
          <w:bCs/>
          <w:color w:val="000000"/>
        </w:rPr>
        <w:t>40</w:t>
      </w:r>
      <w:r w:rsidRPr="00436841">
        <w:rPr>
          <w:rFonts w:ascii="Book Antiqua" w:eastAsia="Book Antiqua" w:hAnsi="Book Antiqua" w:cs="Book Antiqua"/>
          <w:color w:val="000000"/>
        </w:rPr>
        <w:t>: 1021-1030 [PMID: 27259014 DOI: 10.1097/PAS.0000000000000670]</w:t>
      </w:r>
    </w:p>
    <w:p w14:paraId="4BC47ED3"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82 </w:t>
      </w:r>
      <w:r w:rsidRPr="00436841">
        <w:rPr>
          <w:rFonts w:ascii="Book Antiqua" w:eastAsia="Book Antiqua" w:hAnsi="Book Antiqua" w:cs="Book Antiqua"/>
          <w:b/>
          <w:bCs/>
          <w:color w:val="000000"/>
        </w:rPr>
        <w:t>Borger DR</w:t>
      </w:r>
      <w:r w:rsidRPr="00436841">
        <w:rPr>
          <w:rFonts w:ascii="Book Antiqua" w:eastAsia="Book Antiqua" w:hAnsi="Book Antiqua" w:cs="Book Antiqua"/>
          <w:color w:val="000000"/>
        </w:rPr>
        <w:t xml:space="preserve">, Tanabe KK, Fan KC, Lopez HU, Fantin VR, Straley KS, Schenkein DP, Hezel AF, Ancukiewicz M, Liebman HM, Kwak EL, Clark JW, Ryan DP, Deshpande V, Dias-Santagata D, Ellisen LW, Zhu AX, Iafrate AJ. Frequent mutation of isocitrate dehydrogenase (IDH)1 and IDH2 in cholangiocarcinoma identified through broad-based tumor genotyping. </w:t>
      </w:r>
      <w:r w:rsidRPr="00436841">
        <w:rPr>
          <w:rFonts w:ascii="Book Antiqua" w:eastAsia="Book Antiqua" w:hAnsi="Book Antiqua" w:cs="Book Antiqua"/>
          <w:i/>
          <w:iCs/>
          <w:color w:val="000000"/>
        </w:rPr>
        <w:t>Oncologist</w:t>
      </w:r>
      <w:r w:rsidRPr="00436841">
        <w:rPr>
          <w:rFonts w:ascii="Book Antiqua" w:eastAsia="Book Antiqua" w:hAnsi="Book Antiqua" w:cs="Book Antiqua"/>
          <w:color w:val="000000"/>
        </w:rPr>
        <w:t xml:space="preserve"> 2012; </w:t>
      </w:r>
      <w:r w:rsidRPr="00436841">
        <w:rPr>
          <w:rFonts w:ascii="Book Antiqua" w:eastAsia="Book Antiqua" w:hAnsi="Book Antiqua" w:cs="Book Antiqua"/>
          <w:b/>
          <w:bCs/>
          <w:color w:val="000000"/>
        </w:rPr>
        <w:t>17</w:t>
      </w:r>
      <w:r w:rsidRPr="00436841">
        <w:rPr>
          <w:rFonts w:ascii="Book Antiqua" w:eastAsia="Book Antiqua" w:hAnsi="Book Antiqua" w:cs="Book Antiqua"/>
          <w:color w:val="000000"/>
        </w:rPr>
        <w:t>: 72-79 [PMID: 22180306 DOI: 10.1634/theoncologist.2011-0386]</w:t>
      </w:r>
    </w:p>
    <w:p w14:paraId="4C422FBB"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83 </w:t>
      </w:r>
      <w:r w:rsidRPr="00436841">
        <w:rPr>
          <w:rFonts w:ascii="Book Antiqua" w:eastAsia="Book Antiqua" w:hAnsi="Book Antiqua" w:cs="Book Antiqua"/>
          <w:b/>
          <w:bCs/>
          <w:color w:val="000000"/>
        </w:rPr>
        <w:t>Sapisochin G</w:t>
      </w:r>
      <w:r w:rsidRPr="00436841">
        <w:rPr>
          <w:rFonts w:ascii="Book Antiqua" w:eastAsia="Book Antiqua" w:hAnsi="Book Antiqua" w:cs="Book Antiqua"/>
          <w:color w:val="000000"/>
        </w:rPr>
        <w:t xml:space="preserve">, Facciuto M, Rubbia-Brandt L, Marti J, Mehta N, Yao FY, Vibert E, Cherqui D, Grant DR, Hernandez-Alejandro R, Dale CH, Cucchetti A, Pinna A, Hwang S, Lee SG, Agopian VG, Busuttil RW, Rizvi S, Heimbach JK, Montenovo M, Reyes J, Cesaretti M, Soubrane O, Reichman T, Seal J, Kim PT, Klintmalm G, Sposito C, Mazzaferro V, Dutkowski P, Clavien PA, Toso C, Majno P, Kneteman N, Saunders C, Bruix J; iCCA International Consortium. Liver transplantation for "very early" intrahepatic cholangiocarcinoma: International retrospective study supporting a prospective assessment. </w:t>
      </w:r>
      <w:r w:rsidRPr="00436841">
        <w:rPr>
          <w:rFonts w:ascii="Book Antiqua" w:eastAsia="Book Antiqua" w:hAnsi="Book Antiqua" w:cs="Book Antiqua"/>
          <w:i/>
          <w:iCs/>
          <w:color w:val="000000"/>
        </w:rPr>
        <w:t>Hepatology</w:t>
      </w:r>
      <w:r w:rsidRPr="00436841">
        <w:rPr>
          <w:rFonts w:ascii="Book Antiqua" w:eastAsia="Book Antiqua" w:hAnsi="Book Antiqua" w:cs="Book Antiqua"/>
          <w:color w:val="000000"/>
        </w:rPr>
        <w:t xml:space="preserve"> 2016; </w:t>
      </w:r>
      <w:r w:rsidRPr="00436841">
        <w:rPr>
          <w:rFonts w:ascii="Book Antiqua" w:eastAsia="Book Antiqua" w:hAnsi="Book Antiqua" w:cs="Book Antiqua"/>
          <w:b/>
          <w:bCs/>
          <w:color w:val="000000"/>
        </w:rPr>
        <w:t>64</w:t>
      </w:r>
      <w:r w:rsidRPr="00436841">
        <w:rPr>
          <w:rFonts w:ascii="Book Antiqua" w:eastAsia="Book Antiqua" w:hAnsi="Book Antiqua" w:cs="Book Antiqua"/>
          <w:color w:val="000000"/>
        </w:rPr>
        <w:t>: 1178-1188 [PMID: 27481548 DOI: 10.1002/hep.28744]</w:t>
      </w:r>
    </w:p>
    <w:p w14:paraId="222DF2ED"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84 </w:t>
      </w:r>
      <w:r w:rsidRPr="00436841">
        <w:rPr>
          <w:rFonts w:ascii="Book Antiqua" w:eastAsia="Book Antiqua" w:hAnsi="Book Antiqua" w:cs="Book Antiqua"/>
          <w:b/>
          <w:bCs/>
          <w:color w:val="000000"/>
        </w:rPr>
        <w:t>Brunt E</w:t>
      </w:r>
      <w:r w:rsidRPr="00436841">
        <w:rPr>
          <w:rFonts w:ascii="Book Antiqua" w:eastAsia="Book Antiqua" w:hAnsi="Book Antiqua" w:cs="Book Antiqua"/>
          <w:color w:val="000000"/>
        </w:rPr>
        <w:t xml:space="preserve">, Aishima S, Clavien PA, Fowler K, Goodman Z, Gores G, Gouw A, Kagen A, Klimstra D, Komuta M, Kondo F, Miksad R, Nakano M, Nakanuma Y, Ng I, Paradis V, Nyun Park Y, Quaglia A, Roncalli M, Roskams T, Sakamoto M, Saxena R, Sempoux C, Sirlin C, Stueck A, Thung S, Tsui WMS, Wang XW, Wee A, Yano H, Yeh M, Zen Y, Zucman-Rossi J, Theise N. cHCC-CCA: Consensus terminology for primary liver carcinomas with both hepatocytic and cholangiocytic differentation. </w:t>
      </w:r>
      <w:r w:rsidRPr="00436841">
        <w:rPr>
          <w:rFonts w:ascii="Book Antiqua" w:eastAsia="Book Antiqua" w:hAnsi="Book Antiqua" w:cs="Book Antiqua"/>
          <w:i/>
          <w:iCs/>
          <w:color w:val="000000"/>
        </w:rPr>
        <w:t>Hepatology</w:t>
      </w:r>
      <w:r w:rsidRPr="00436841">
        <w:rPr>
          <w:rFonts w:ascii="Book Antiqua" w:eastAsia="Book Antiqua" w:hAnsi="Book Antiqua" w:cs="Book Antiqua"/>
          <w:color w:val="000000"/>
        </w:rPr>
        <w:t xml:space="preserve"> 2018; </w:t>
      </w:r>
      <w:r w:rsidRPr="00436841">
        <w:rPr>
          <w:rFonts w:ascii="Book Antiqua" w:eastAsia="Book Antiqua" w:hAnsi="Book Antiqua" w:cs="Book Antiqua"/>
          <w:b/>
          <w:bCs/>
          <w:color w:val="000000"/>
        </w:rPr>
        <w:t>68</w:t>
      </w:r>
      <w:r w:rsidRPr="00436841">
        <w:rPr>
          <w:rFonts w:ascii="Book Antiqua" w:eastAsia="Book Antiqua" w:hAnsi="Book Antiqua" w:cs="Book Antiqua"/>
          <w:color w:val="000000"/>
        </w:rPr>
        <w:t>: 113-126 [PMID: 29360137 DOI: 10.1002/hep.29789]</w:t>
      </w:r>
    </w:p>
    <w:p w14:paraId="57CD2757"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85 </w:t>
      </w:r>
      <w:r w:rsidRPr="00436841">
        <w:rPr>
          <w:rFonts w:ascii="Book Antiqua" w:eastAsia="Book Antiqua" w:hAnsi="Book Antiqua" w:cs="Book Antiqua"/>
          <w:b/>
          <w:bCs/>
          <w:color w:val="000000"/>
        </w:rPr>
        <w:t>ALLEN RA</w:t>
      </w:r>
      <w:r w:rsidRPr="00436841">
        <w:rPr>
          <w:rFonts w:ascii="Book Antiqua" w:eastAsia="Book Antiqua" w:hAnsi="Book Antiqua" w:cs="Book Antiqua"/>
          <w:color w:val="000000"/>
        </w:rPr>
        <w:t xml:space="preserve">, LISA JR. Combined liver cell and bile duct carcinoma. </w:t>
      </w:r>
      <w:r w:rsidRPr="00436841">
        <w:rPr>
          <w:rFonts w:ascii="Book Antiqua" w:eastAsia="Book Antiqua" w:hAnsi="Book Antiqua" w:cs="Book Antiqua"/>
          <w:i/>
          <w:iCs/>
          <w:color w:val="000000"/>
        </w:rPr>
        <w:t>Am J Pathol</w:t>
      </w:r>
      <w:r w:rsidRPr="00436841">
        <w:rPr>
          <w:rFonts w:ascii="Book Antiqua" w:eastAsia="Book Antiqua" w:hAnsi="Book Antiqua" w:cs="Book Antiqua"/>
          <w:color w:val="000000"/>
        </w:rPr>
        <w:t xml:space="preserve"> 1949; </w:t>
      </w:r>
      <w:r w:rsidRPr="00436841">
        <w:rPr>
          <w:rFonts w:ascii="Book Antiqua" w:eastAsia="Book Antiqua" w:hAnsi="Book Antiqua" w:cs="Book Antiqua"/>
          <w:b/>
          <w:bCs/>
          <w:color w:val="000000"/>
        </w:rPr>
        <w:t>25</w:t>
      </w:r>
      <w:r w:rsidRPr="00436841">
        <w:rPr>
          <w:rFonts w:ascii="Book Antiqua" w:eastAsia="Book Antiqua" w:hAnsi="Book Antiqua" w:cs="Book Antiqua"/>
          <w:color w:val="000000"/>
        </w:rPr>
        <w:t>: 647-655 [PMID: 18152860]</w:t>
      </w:r>
    </w:p>
    <w:p w14:paraId="746B2C1D" w14:textId="77777777" w:rsidR="00A77B3E" w:rsidRPr="00436841" w:rsidRDefault="0048774A" w:rsidP="00ED58D3">
      <w:pPr>
        <w:spacing w:line="360" w:lineRule="auto"/>
        <w:jc w:val="both"/>
        <w:rPr>
          <w:rFonts w:ascii="Book Antiqua" w:hAnsi="Book Antiqua"/>
        </w:rPr>
      </w:pPr>
      <w:r w:rsidRPr="00EA3D65">
        <w:rPr>
          <w:rFonts w:ascii="Book Antiqua" w:eastAsia="Book Antiqua" w:hAnsi="Book Antiqua" w:cs="Book Antiqua"/>
          <w:color w:val="000000"/>
        </w:rPr>
        <w:lastRenderedPageBreak/>
        <w:t xml:space="preserve">86 </w:t>
      </w:r>
      <w:r w:rsidRPr="00EA3D65">
        <w:rPr>
          <w:rFonts w:ascii="Book Antiqua" w:eastAsia="Book Antiqua" w:hAnsi="Book Antiqua" w:cs="Book Antiqua"/>
          <w:b/>
          <w:bCs/>
          <w:color w:val="000000"/>
        </w:rPr>
        <w:t>Theise ND</w:t>
      </w:r>
      <w:r w:rsidRPr="00EA3D65">
        <w:rPr>
          <w:rFonts w:ascii="Book Antiqua" w:eastAsia="Book Antiqua" w:hAnsi="Book Antiqua" w:cs="Book Antiqua"/>
          <w:color w:val="000000"/>
        </w:rPr>
        <w:t>, Nakashima O, Park YN NY. Combined hepatocellular-cholangiocarcinoma. In: Bosman FT, Carneiro F, Hruban RH, Theise ND E. WHO Classification of Tumours of the Digestive System. 4</w:t>
      </w:r>
      <w:r w:rsidRPr="00EA3D65">
        <w:rPr>
          <w:rFonts w:ascii="Book Antiqua" w:eastAsia="Book Antiqua" w:hAnsi="Book Antiqua" w:cs="Book Antiqua"/>
          <w:color w:val="000000"/>
          <w:vertAlign w:val="superscript"/>
        </w:rPr>
        <w:t>th</w:t>
      </w:r>
      <w:r w:rsidRPr="00EA3D65">
        <w:rPr>
          <w:rFonts w:ascii="Book Antiqua" w:eastAsia="Book Antiqua" w:hAnsi="Book Antiqua" w:cs="Book Antiqua"/>
          <w:color w:val="000000"/>
        </w:rPr>
        <w:t xml:space="preserve"> ed. Lyon, France: International Agency for Research on Cancer</w:t>
      </w:r>
      <w:r w:rsidR="000354F0" w:rsidRPr="00EA3D65">
        <w:rPr>
          <w:rFonts w:ascii="Book Antiqua" w:eastAsia="Book Antiqua" w:hAnsi="Book Antiqua" w:cs="Book Antiqua"/>
          <w:color w:val="000000"/>
        </w:rPr>
        <w:t>,</w:t>
      </w:r>
      <w:r w:rsidRPr="00EA3D65">
        <w:rPr>
          <w:rFonts w:ascii="Book Antiqua" w:eastAsia="Book Antiqua" w:hAnsi="Book Antiqua" w:cs="Book Antiqua"/>
          <w:color w:val="000000"/>
        </w:rPr>
        <w:t xml:space="preserve"> 2010</w:t>
      </w:r>
      <w:r w:rsidR="00F8262E" w:rsidRPr="00EA3D65">
        <w:rPr>
          <w:rFonts w:ascii="Book Antiqua" w:eastAsia="Book Antiqua" w:hAnsi="Book Antiqua" w:cs="Book Antiqua"/>
          <w:color w:val="000000"/>
        </w:rPr>
        <w:t>:</w:t>
      </w:r>
      <w:r w:rsidRPr="00EA3D65">
        <w:rPr>
          <w:rFonts w:ascii="Book Antiqua" w:eastAsia="Book Antiqua" w:hAnsi="Book Antiqua" w:cs="Book Antiqua"/>
          <w:color w:val="000000"/>
        </w:rPr>
        <w:t xml:space="preserve"> 225</w:t>
      </w:r>
      <w:r w:rsidR="000354F0" w:rsidRPr="00EA3D65">
        <w:rPr>
          <w:rFonts w:ascii="Book Antiqua" w:eastAsia="Book Antiqua" w:hAnsi="Book Antiqua" w:cs="Book Antiqua"/>
          <w:color w:val="000000"/>
        </w:rPr>
        <w:t>-</w:t>
      </w:r>
      <w:r w:rsidR="00F8262E" w:rsidRPr="00EA3D65">
        <w:rPr>
          <w:rFonts w:ascii="Book Antiqua" w:eastAsia="Book Antiqua" w:hAnsi="Book Antiqua" w:cs="Book Antiqua"/>
          <w:color w:val="000000"/>
        </w:rPr>
        <w:t>22</w:t>
      </w:r>
      <w:r w:rsidRPr="00EA3D65">
        <w:rPr>
          <w:rFonts w:ascii="Book Antiqua" w:eastAsia="Book Antiqua" w:hAnsi="Book Antiqua" w:cs="Book Antiqua"/>
          <w:color w:val="000000"/>
        </w:rPr>
        <w:t>7</w:t>
      </w:r>
    </w:p>
    <w:p w14:paraId="4E8849DF"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87 </w:t>
      </w:r>
      <w:r w:rsidRPr="00436841">
        <w:rPr>
          <w:rFonts w:ascii="Book Antiqua" w:eastAsia="Book Antiqua" w:hAnsi="Book Antiqua" w:cs="Book Antiqua"/>
          <w:b/>
          <w:bCs/>
          <w:color w:val="000000"/>
        </w:rPr>
        <w:t>Kim TH</w:t>
      </w:r>
      <w:r w:rsidRPr="00436841">
        <w:rPr>
          <w:rFonts w:ascii="Book Antiqua" w:eastAsia="Book Antiqua" w:hAnsi="Book Antiqua" w:cs="Book Antiqua"/>
          <w:color w:val="000000"/>
        </w:rPr>
        <w:t xml:space="preserve">, Kim H, Joo I, Lee JM. Combined Hepatocellular-Cholangiocarcinoma: Changes in the 2019 World Health Organization Histological Classification System and Potential Impact on Imaging-Based Diagnosis. </w:t>
      </w:r>
      <w:r w:rsidRPr="00436841">
        <w:rPr>
          <w:rFonts w:ascii="Book Antiqua" w:eastAsia="Book Antiqua" w:hAnsi="Book Antiqua" w:cs="Book Antiqua"/>
          <w:i/>
          <w:iCs/>
          <w:color w:val="000000"/>
        </w:rPr>
        <w:t>Korean J Radiol</w:t>
      </w:r>
      <w:r w:rsidRPr="00436841">
        <w:rPr>
          <w:rFonts w:ascii="Book Antiqua" w:eastAsia="Book Antiqua" w:hAnsi="Book Antiqua" w:cs="Book Antiqua"/>
          <w:color w:val="000000"/>
        </w:rPr>
        <w:t xml:space="preserve"> 2020; </w:t>
      </w:r>
      <w:r w:rsidRPr="00436841">
        <w:rPr>
          <w:rFonts w:ascii="Book Antiqua" w:eastAsia="Book Antiqua" w:hAnsi="Book Antiqua" w:cs="Book Antiqua"/>
          <w:b/>
          <w:bCs/>
          <w:color w:val="000000"/>
        </w:rPr>
        <w:t>21</w:t>
      </w:r>
      <w:r w:rsidRPr="00436841">
        <w:rPr>
          <w:rFonts w:ascii="Book Antiqua" w:eastAsia="Book Antiqua" w:hAnsi="Book Antiqua" w:cs="Book Antiqua"/>
          <w:color w:val="000000"/>
        </w:rPr>
        <w:t>: 1115-1125 [PMID: 32729276 DOI: 10.3348/kjr.2020.0091]</w:t>
      </w:r>
    </w:p>
    <w:p w14:paraId="5D86DB3C"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88 </w:t>
      </w:r>
      <w:r w:rsidRPr="00436841">
        <w:rPr>
          <w:rFonts w:ascii="Book Antiqua" w:eastAsia="Book Antiqua" w:hAnsi="Book Antiqua" w:cs="Book Antiqua"/>
          <w:b/>
          <w:bCs/>
          <w:color w:val="000000"/>
        </w:rPr>
        <w:t>Sempoux C,</w:t>
      </w:r>
      <w:r w:rsidRPr="00436841">
        <w:rPr>
          <w:rFonts w:ascii="Book Antiqua" w:eastAsia="Book Antiqua" w:hAnsi="Book Antiqua" w:cs="Book Antiqua"/>
          <w:color w:val="000000"/>
        </w:rPr>
        <w:t xml:space="preserve"> Kakar S, Kondo F SP. Combined hepatocellular-cholangiocarcinoma. In: Bosman FT, Carneiro F, Hruban RH, Theise ND E. WHO classification of tumours: digestive system tumours. 5th ed. Lyon: IARC. 2019</w:t>
      </w:r>
      <w:r w:rsidR="00022273" w:rsidRPr="00436841">
        <w:rPr>
          <w:rFonts w:ascii="Book Antiqua" w:eastAsia="Book Antiqua" w:hAnsi="Book Antiqua" w:cs="Book Antiqua"/>
          <w:color w:val="000000"/>
        </w:rPr>
        <w:t>:</w:t>
      </w:r>
      <w:r w:rsidRPr="00436841">
        <w:rPr>
          <w:rFonts w:ascii="Book Antiqua" w:eastAsia="Book Antiqua" w:hAnsi="Book Antiqua" w:cs="Book Antiqua"/>
          <w:color w:val="000000"/>
        </w:rPr>
        <w:t xml:space="preserve"> 260–</w:t>
      </w:r>
      <w:r w:rsidR="00022273" w:rsidRPr="00436841">
        <w:rPr>
          <w:rFonts w:ascii="Book Antiqua" w:eastAsia="Book Antiqua" w:hAnsi="Book Antiqua" w:cs="Book Antiqua"/>
          <w:color w:val="000000"/>
        </w:rPr>
        <w:t>26</w:t>
      </w:r>
      <w:r w:rsidRPr="00436841">
        <w:rPr>
          <w:rFonts w:ascii="Book Antiqua" w:eastAsia="Book Antiqua" w:hAnsi="Book Antiqua" w:cs="Book Antiqua"/>
          <w:color w:val="000000"/>
        </w:rPr>
        <w:t>2</w:t>
      </w:r>
    </w:p>
    <w:p w14:paraId="199563DE"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89 </w:t>
      </w:r>
      <w:r w:rsidRPr="00436841">
        <w:rPr>
          <w:rFonts w:ascii="Book Antiqua" w:eastAsia="Book Antiqua" w:hAnsi="Book Antiqua" w:cs="Book Antiqua"/>
          <w:b/>
          <w:bCs/>
          <w:color w:val="000000"/>
        </w:rPr>
        <w:t>Garancini M</w:t>
      </w:r>
      <w:r w:rsidRPr="00436841">
        <w:rPr>
          <w:rFonts w:ascii="Book Antiqua" w:eastAsia="Book Antiqua" w:hAnsi="Book Antiqua" w:cs="Book Antiqua"/>
          <w:color w:val="000000"/>
        </w:rPr>
        <w:t xml:space="preserve">, Goffredo P, Pagni F, Romano F, Roman S, Sosa JA, Giardini V. Combined hepatocellular-cholangiocarcinoma: a population-level analysis of an uncommon primary liver tumor. </w:t>
      </w:r>
      <w:r w:rsidRPr="00436841">
        <w:rPr>
          <w:rFonts w:ascii="Book Antiqua" w:eastAsia="Book Antiqua" w:hAnsi="Book Antiqua" w:cs="Book Antiqua"/>
          <w:i/>
          <w:iCs/>
          <w:color w:val="000000"/>
        </w:rPr>
        <w:t>Liver Transpl</w:t>
      </w:r>
      <w:r w:rsidRPr="00436841">
        <w:rPr>
          <w:rFonts w:ascii="Book Antiqua" w:eastAsia="Book Antiqua" w:hAnsi="Book Antiqua" w:cs="Book Antiqua"/>
          <w:color w:val="000000"/>
        </w:rPr>
        <w:t xml:space="preserve"> 2014; </w:t>
      </w:r>
      <w:r w:rsidRPr="00436841">
        <w:rPr>
          <w:rFonts w:ascii="Book Antiqua" w:eastAsia="Book Antiqua" w:hAnsi="Book Antiqua" w:cs="Book Antiqua"/>
          <w:b/>
          <w:bCs/>
          <w:color w:val="000000"/>
        </w:rPr>
        <w:t>20</w:t>
      </w:r>
      <w:r w:rsidRPr="00436841">
        <w:rPr>
          <w:rFonts w:ascii="Book Antiqua" w:eastAsia="Book Antiqua" w:hAnsi="Book Antiqua" w:cs="Book Antiqua"/>
          <w:color w:val="000000"/>
        </w:rPr>
        <w:t>: 952-959 [PMID: 24777610 DOI: 10.1002/</w:t>
      </w:r>
      <w:r w:rsidR="00BF744B" w:rsidRPr="00436841">
        <w:rPr>
          <w:rFonts w:ascii="Book Antiqua" w:eastAsia="Book Antiqua" w:hAnsi="Book Antiqua" w:cs="Book Antiqua"/>
          <w:color w:val="000000"/>
        </w:rPr>
        <w:t>l</w:t>
      </w:r>
      <w:r w:rsidRPr="00436841">
        <w:rPr>
          <w:rFonts w:ascii="Book Antiqua" w:eastAsia="Book Antiqua" w:hAnsi="Book Antiqua" w:cs="Book Antiqua"/>
          <w:color w:val="000000"/>
        </w:rPr>
        <w:t>t.23897]</w:t>
      </w:r>
    </w:p>
    <w:p w14:paraId="1324F1AD"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90 </w:t>
      </w:r>
      <w:r w:rsidRPr="00436841">
        <w:rPr>
          <w:rFonts w:ascii="Book Antiqua" w:eastAsia="Book Antiqua" w:hAnsi="Book Antiqua" w:cs="Book Antiqua"/>
          <w:b/>
          <w:bCs/>
          <w:color w:val="000000"/>
        </w:rPr>
        <w:t>Wang J</w:t>
      </w:r>
      <w:r w:rsidRPr="00436841">
        <w:rPr>
          <w:rFonts w:ascii="Book Antiqua" w:eastAsia="Book Antiqua" w:hAnsi="Book Antiqua" w:cs="Book Antiqua"/>
          <w:color w:val="000000"/>
        </w:rPr>
        <w:t>, Wang F, Kessinger A. Outcome of Combined Hepatocellular and Cholangiocarcinoma of the Liver.</w:t>
      </w:r>
      <w:r w:rsidRPr="00436841">
        <w:rPr>
          <w:rFonts w:ascii="Book Antiqua" w:eastAsia="Book Antiqua" w:hAnsi="Book Antiqua" w:cs="Book Antiqua"/>
          <w:i/>
          <w:iCs/>
          <w:color w:val="000000"/>
        </w:rPr>
        <w:t xml:space="preserve"> J Oncol </w:t>
      </w:r>
      <w:r w:rsidRPr="00436841">
        <w:rPr>
          <w:rFonts w:ascii="Book Antiqua" w:eastAsia="Book Antiqua" w:hAnsi="Book Antiqua" w:cs="Book Antiqua"/>
          <w:color w:val="000000"/>
        </w:rPr>
        <w:t>2010;</w:t>
      </w:r>
      <w:r w:rsidR="00CB726F" w:rsidRPr="00436841">
        <w:rPr>
          <w:rFonts w:ascii="Book Antiqua" w:eastAsia="Book Antiqua" w:hAnsi="Book Antiqua" w:cs="Book Antiqua"/>
          <w:color w:val="000000"/>
        </w:rPr>
        <w:t xml:space="preserve"> </w:t>
      </w:r>
      <w:r w:rsidRPr="00436841">
        <w:rPr>
          <w:rFonts w:ascii="Book Antiqua" w:eastAsia="Book Antiqua" w:hAnsi="Book Antiqua" w:cs="Book Antiqua"/>
          <w:b/>
          <w:bCs/>
          <w:color w:val="000000"/>
        </w:rPr>
        <w:t>2010</w:t>
      </w:r>
      <w:r w:rsidRPr="00436841">
        <w:rPr>
          <w:rFonts w:ascii="Book Antiqua" w:eastAsia="Book Antiqua" w:hAnsi="Book Antiqua" w:cs="Book Antiqua"/>
          <w:color w:val="000000"/>
        </w:rPr>
        <w:t>:</w:t>
      </w:r>
      <w:r w:rsidR="00CB726F" w:rsidRP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t>1</w:t>
      </w:r>
      <w:r w:rsidR="000354F0" w:rsidRPr="00436841">
        <w:rPr>
          <w:rFonts w:ascii="Book Antiqua" w:eastAsia="Book Antiqua" w:hAnsi="Book Antiqua" w:cs="Book Antiqua"/>
          <w:color w:val="000000"/>
        </w:rPr>
        <w:t>-</w:t>
      </w:r>
      <w:r w:rsidRPr="00436841">
        <w:rPr>
          <w:rFonts w:ascii="Book Antiqua" w:eastAsia="Book Antiqua" w:hAnsi="Book Antiqua" w:cs="Book Antiqua"/>
          <w:color w:val="000000"/>
        </w:rPr>
        <w:t>7 [DOI: 10.1155/2010/917356]</w:t>
      </w:r>
    </w:p>
    <w:p w14:paraId="0B582BE7"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91 </w:t>
      </w:r>
      <w:r w:rsidRPr="00436841">
        <w:rPr>
          <w:rFonts w:ascii="Book Antiqua" w:eastAsia="Book Antiqua" w:hAnsi="Book Antiqua" w:cs="Book Antiqua"/>
          <w:b/>
          <w:bCs/>
          <w:color w:val="000000"/>
        </w:rPr>
        <w:t>Yin X</w:t>
      </w:r>
      <w:r w:rsidRPr="00436841">
        <w:rPr>
          <w:rFonts w:ascii="Book Antiqua" w:eastAsia="Book Antiqua" w:hAnsi="Book Antiqua" w:cs="Book Antiqua"/>
          <w:color w:val="000000"/>
        </w:rPr>
        <w:t xml:space="preserve">, Zhang BH, Qiu SJ, Ren ZG, Zhou J, Chen XH, Zhou Y, Fan J. Combined hepatocellular carcinoma and cholangiocarcinoma: clinical features, treatment modalities, and prognosis. </w:t>
      </w:r>
      <w:r w:rsidRPr="00436841">
        <w:rPr>
          <w:rFonts w:ascii="Book Antiqua" w:eastAsia="Book Antiqua" w:hAnsi="Book Antiqua" w:cs="Book Antiqua"/>
          <w:i/>
          <w:iCs/>
          <w:color w:val="000000"/>
        </w:rPr>
        <w:t>Ann Surg Oncol</w:t>
      </w:r>
      <w:r w:rsidRPr="00436841">
        <w:rPr>
          <w:rFonts w:ascii="Book Antiqua" w:eastAsia="Book Antiqua" w:hAnsi="Book Antiqua" w:cs="Book Antiqua"/>
          <w:color w:val="000000"/>
        </w:rPr>
        <w:t xml:space="preserve"> 2012; </w:t>
      </w:r>
      <w:r w:rsidRPr="00436841">
        <w:rPr>
          <w:rFonts w:ascii="Book Antiqua" w:eastAsia="Book Antiqua" w:hAnsi="Book Antiqua" w:cs="Book Antiqua"/>
          <w:b/>
          <w:bCs/>
          <w:color w:val="000000"/>
        </w:rPr>
        <w:t>19</w:t>
      </w:r>
      <w:r w:rsidRPr="00436841">
        <w:rPr>
          <w:rFonts w:ascii="Book Antiqua" w:eastAsia="Book Antiqua" w:hAnsi="Book Antiqua" w:cs="Book Antiqua"/>
          <w:color w:val="000000"/>
        </w:rPr>
        <w:t>: 2869-2876 [PMID: 22451237 DOI: 10.1245/s10434-012-2328-0]</w:t>
      </w:r>
    </w:p>
    <w:p w14:paraId="5098FD48"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92 </w:t>
      </w:r>
      <w:r w:rsidRPr="00436841">
        <w:rPr>
          <w:rFonts w:ascii="Book Antiqua" w:eastAsia="Book Antiqua" w:hAnsi="Book Antiqua" w:cs="Book Antiqua"/>
          <w:b/>
          <w:bCs/>
          <w:color w:val="000000"/>
        </w:rPr>
        <w:t>Wang Y</w:t>
      </w:r>
      <w:r w:rsidRPr="00436841">
        <w:rPr>
          <w:rFonts w:ascii="Book Antiqua" w:eastAsia="Book Antiqua" w:hAnsi="Book Antiqua" w:cs="Book Antiqua"/>
          <w:color w:val="000000"/>
        </w:rPr>
        <w:t xml:space="preserve">, Yang Q, Li S, Luo R, Mao S, Shen J. Imaging features of combined hepatocellular and cholangiocarcinoma compared with those of hepatocellular carcinoma and intrahepatic cholangiocellular carcinoma in a Chinese population. </w:t>
      </w:r>
      <w:r w:rsidRPr="00436841">
        <w:rPr>
          <w:rFonts w:ascii="Book Antiqua" w:eastAsia="Book Antiqua" w:hAnsi="Book Antiqua" w:cs="Book Antiqua"/>
          <w:i/>
          <w:iCs/>
          <w:color w:val="000000"/>
        </w:rPr>
        <w:t>Clin Radiol</w:t>
      </w:r>
      <w:r w:rsidRPr="00436841">
        <w:rPr>
          <w:rFonts w:ascii="Book Antiqua" w:eastAsia="Book Antiqua" w:hAnsi="Book Antiqua" w:cs="Book Antiqua"/>
          <w:color w:val="000000"/>
        </w:rPr>
        <w:t xml:space="preserve"> 2019; </w:t>
      </w:r>
      <w:r w:rsidRPr="00436841">
        <w:rPr>
          <w:rFonts w:ascii="Book Antiqua" w:eastAsia="Book Antiqua" w:hAnsi="Book Antiqua" w:cs="Book Antiqua"/>
          <w:b/>
          <w:bCs/>
          <w:color w:val="000000"/>
        </w:rPr>
        <w:t>74</w:t>
      </w:r>
      <w:r w:rsidRPr="00436841">
        <w:rPr>
          <w:rFonts w:ascii="Book Antiqua" w:eastAsia="Book Antiqua" w:hAnsi="Book Antiqua" w:cs="Book Antiqua"/>
          <w:color w:val="000000"/>
        </w:rPr>
        <w:t>: 407.e1-407.e10 [PMID: 30799097 DOI: 10.1016/j.crad.2019.01.016]</w:t>
      </w:r>
    </w:p>
    <w:p w14:paraId="18398E1F"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93 </w:t>
      </w:r>
      <w:r w:rsidRPr="00436841">
        <w:rPr>
          <w:rFonts w:ascii="Book Antiqua" w:eastAsia="Book Antiqua" w:hAnsi="Book Antiqua" w:cs="Book Antiqua"/>
          <w:b/>
          <w:bCs/>
          <w:color w:val="000000"/>
        </w:rPr>
        <w:t>Chi CT</w:t>
      </w:r>
      <w:r w:rsidRPr="00436841">
        <w:rPr>
          <w:rFonts w:ascii="Book Antiqua" w:eastAsia="Book Antiqua" w:hAnsi="Book Antiqua" w:cs="Book Antiqua"/>
          <w:color w:val="000000"/>
        </w:rPr>
        <w:t xml:space="preserve">, Chau GY, Lee RC, Chen YY, Lei HJ, Hou MC, Chao Y, Huang YH. Radiological features and outcomes of combined hepatocellular-cholangiocarcinoma in patients undergoing surgical resection. </w:t>
      </w:r>
      <w:r w:rsidRPr="00436841">
        <w:rPr>
          <w:rFonts w:ascii="Book Antiqua" w:eastAsia="Book Antiqua" w:hAnsi="Book Antiqua" w:cs="Book Antiqua"/>
          <w:i/>
          <w:iCs/>
          <w:color w:val="000000"/>
        </w:rPr>
        <w:t>J Formos Med Assoc</w:t>
      </w:r>
      <w:r w:rsidRPr="00436841">
        <w:rPr>
          <w:rFonts w:ascii="Book Antiqua" w:eastAsia="Book Antiqua" w:hAnsi="Book Antiqua" w:cs="Book Antiqua"/>
          <w:color w:val="000000"/>
        </w:rPr>
        <w:t xml:space="preserve"> 2020; </w:t>
      </w:r>
      <w:r w:rsidRPr="00436841">
        <w:rPr>
          <w:rFonts w:ascii="Book Antiqua" w:eastAsia="Book Antiqua" w:hAnsi="Book Antiqua" w:cs="Book Antiqua"/>
          <w:b/>
          <w:bCs/>
          <w:color w:val="000000"/>
        </w:rPr>
        <w:t>119</w:t>
      </w:r>
      <w:r w:rsidRPr="00436841">
        <w:rPr>
          <w:rFonts w:ascii="Book Antiqua" w:eastAsia="Book Antiqua" w:hAnsi="Book Antiqua" w:cs="Book Antiqua"/>
          <w:color w:val="000000"/>
        </w:rPr>
        <w:t>: 125-133 [PMID: 30876788 DOI: 10.1016/j.jfma.2019.02.012]</w:t>
      </w:r>
    </w:p>
    <w:p w14:paraId="730E025E"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lastRenderedPageBreak/>
        <w:t xml:space="preserve">94 </w:t>
      </w:r>
      <w:r w:rsidRPr="00436841">
        <w:rPr>
          <w:rFonts w:ascii="Book Antiqua" w:eastAsia="Book Antiqua" w:hAnsi="Book Antiqua" w:cs="Book Antiqua"/>
          <w:b/>
          <w:bCs/>
          <w:color w:val="000000"/>
        </w:rPr>
        <w:t>Kim JH</w:t>
      </w:r>
      <w:r w:rsidRPr="00436841">
        <w:rPr>
          <w:rFonts w:ascii="Book Antiqua" w:eastAsia="Book Antiqua" w:hAnsi="Book Antiqua" w:cs="Book Antiqua"/>
          <w:color w:val="000000"/>
        </w:rPr>
        <w:t xml:space="preserve">, Yoon HK, Ko GY, Gwon DI, Jang CS, Song HY, Shin JH, Sung KB. Nonresectable combined hepatocellular carcinoma and cholangiocarcinoma: analysis of the response and prognostic factors after transcatheter arterial chemoembolization. </w:t>
      </w:r>
      <w:r w:rsidRPr="00436841">
        <w:rPr>
          <w:rFonts w:ascii="Book Antiqua" w:eastAsia="Book Antiqua" w:hAnsi="Book Antiqua" w:cs="Book Antiqua"/>
          <w:i/>
          <w:iCs/>
          <w:color w:val="000000"/>
        </w:rPr>
        <w:t>Radiology</w:t>
      </w:r>
      <w:r w:rsidRPr="00436841">
        <w:rPr>
          <w:rFonts w:ascii="Book Antiqua" w:eastAsia="Book Antiqua" w:hAnsi="Book Antiqua" w:cs="Book Antiqua"/>
          <w:color w:val="000000"/>
        </w:rPr>
        <w:t xml:space="preserve"> 2010; </w:t>
      </w:r>
      <w:r w:rsidRPr="00436841">
        <w:rPr>
          <w:rFonts w:ascii="Book Antiqua" w:eastAsia="Book Antiqua" w:hAnsi="Book Antiqua" w:cs="Book Antiqua"/>
          <w:b/>
          <w:bCs/>
          <w:color w:val="000000"/>
        </w:rPr>
        <w:t>255</w:t>
      </w:r>
      <w:r w:rsidRPr="00436841">
        <w:rPr>
          <w:rFonts w:ascii="Book Antiqua" w:eastAsia="Book Antiqua" w:hAnsi="Book Antiqua" w:cs="Book Antiqua"/>
          <w:color w:val="000000"/>
        </w:rPr>
        <w:t>: 270-277 [PMID: 20308463 DOI: 10.1148/radiol.09091076]</w:t>
      </w:r>
    </w:p>
    <w:p w14:paraId="7B7DB872"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95 </w:t>
      </w:r>
      <w:r w:rsidRPr="00436841">
        <w:rPr>
          <w:rFonts w:ascii="Book Antiqua" w:eastAsia="Book Antiqua" w:hAnsi="Book Antiqua" w:cs="Book Antiqua"/>
          <w:b/>
          <w:bCs/>
          <w:color w:val="000000"/>
        </w:rPr>
        <w:t>Bergquist JR</w:t>
      </w:r>
      <w:r w:rsidRPr="00436841">
        <w:rPr>
          <w:rFonts w:ascii="Book Antiqua" w:eastAsia="Book Antiqua" w:hAnsi="Book Antiqua" w:cs="Book Antiqua"/>
          <w:color w:val="000000"/>
        </w:rPr>
        <w:t xml:space="preserve">, Groeschl RT, Ivanics T, Shubert CR, Habermann EB, Kendrick ML, Farnell MB, Nagorney DM, Truty MJ, Smoot RL. Mixed hepatocellular and cholangiocarcinoma: a rare tumor with a mix of parent phenotypic characteristics. </w:t>
      </w:r>
      <w:r w:rsidRPr="00436841">
        <w:rPr>
          <w:rFonts w:ascii="Book Antiqua" w:eastAsia="Book Antiqua" w:hAnsi="Book Antiqua" w:cs="Book Antiqua"/>
          <w:i/>
          <w:iCs/>
          <w:color w:val="000000"/>
        </w:rPr>
        <w:t>HPB (Oxford)</w:t>
      </w:r>
      <w:r w:rsidRPr="00436841">
        <w:rPr>
          <w:rFonts w:ascii="Book Antiqua" w:eastAsia="Book Antiqua" w:hAnsi="Book Antiqua" w:cs="Book Antiqua"/>
          <w:color w:val="000000"/>
        </w:rPr>
        <w:t xml:space="preserve"> 2016; </w:t>
      </w:r>
      <w:r w:rsidRPr="00436841">
        <w:rPr>
          <w:rFonts w:ascii="Book Antiqua" w:eastAsia="Book Antiqua" w:hAnsi="Book Antiqua" w:cs="Book Antiqua"/>
          <w:b/>
          <w:bCs/>
          <w:color w:val="000000"/>
        </w:rPr>
        <w:t>18</w:t>
      </w:r>
      <w:r w:rsidRPr="00436841">
        <w:rPr>
          <w:rFonts w:ascii="Book Antiqua" w:eastAsia="Book Antiqua" w:hAnsi="Book Antiqua" w:cs="Book Antiqua"/>
          <w:color w:val="000000"/>
        </w:rPr>
        <w:t>: 886-892 [PMID: 27546172 DOI: 10.1016/j.hpb.2016.07.006]</w:t>
      </w:r>
    </w:p>
    <w:p w14:paraId="2119E7A0"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96 </w:t>
      </w:r>
      <w:r w:rsidRPr="00436841">
        <w:rPr>
          <w:rFonts w:ascii="Book Antiqua" w:eastAsia="Book Antiqua" w:hAnsi="Book Antiqua" w:cs="Book Antiqua"/>
          <w:b/>
          <w:bCs/>
          <w:color w:val="000000"/>
        </w:rPr>
        <w:t>Gentile D</w:t>
      </w:r>
      <w:r w:rsidRPr="00436841">
        <w:rPr>
          <w:rFonts w:ascii="Book Antiqua" w:eastAsia="Book Antiqua" w:hAnsi="Book Antiqua" w:cs="Book Antiqua"/>
          <w:color w:val="000000"/>
        </w:rPr>
        <w:t xml:space="preserve">, Donadon M, Lleo A, Aghemo A, Roncalli M, di Tommaso L, Torzilli G. Surgical Treatment of Hepatocholangiocarcinoma: A Systematic Review. </w:t>
      </w:r>
      <w:r w:rsidRPr="00436841">
        <w:rPr>
          <w:rFonts w:ascii="Book Antiqua" w:eastAsia="Book Antiqua" w:hAnsi="Book Antiqua" w:cs="Book Antiqua"/>
          <w:i/>
          <w:iCs/>
          <w:color w:val="000000"/>
        </w:rPr>
        <w:t>Liver Cancer</w:t>
      </w:r>
      <w:r w:rsidRPr="00436841">
        <w:rPr>
          <w:rFonts w:ascii="Book Antiqua" w:eastAsia="Book Antiqua" w:hAnsi="Book Antiqua" w:cs="Book Antiqua"/>
          <w:color w:val="000000"/>
        </w:rPr>
        <w:t xml:space="preserve"> 2020; </w:t>
      </w:r>
      <w:r w:rsidRPr="00436841">
        <w:rPr>
          <w:rFonts w:ascii="Book Antiqua" w:eastAsia="Book Antiqua" w:hAnsi="Book Antiqua" w:cs="Book Antiqua"/>
          <w:b/>
          <w:bCs/>
          <w:color w:val="000000"/>
        </w:rPr>
        <w:t>9</w:t>
      </w:r>
      <w:r w:rsidRPr="00436841">
        <w:rPr>
          <w:rFonts w:ascii="Book Antiqua" w:eastAsia="Book Antiqua" w:hAnsi="Book Antiqua" w:cs="Book Antiqua"/>
          <w:color w:val="000000"/>
        </w:rPr>
        <w:t>: 15-27 [PMID: 32071906 DOI: 10.1159/000503719]</w:t>
      </w:r>
    </w:p>
    <w:p w14:paraId="79D7A27D"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97 </w:t>
      </w:r>
      <w:r w:rsidRPr="00436841">
        <w:rPr>
          <w:rFonts w:ascii="Book Antiqua" w:eastAsia="Book Antiqua" w:hAnsi="Book Antiqua" w:cs="Book Antiqua"/>
          <w:b/>
          <w:bCs/>
          <w:color w:val="000000"/>
        </w:rPr>
        <w:t>Cai X</w:t>
      </w:r>
      <w:r w:rsidRPr="00436841">
        <w:rPr>
          <w:rFonts w:ascii="Book Antiqua" w:eastAsia="Book Antiqua" w:hAnsi="Book Antiqua" w:cs="Book Antiqua"/>
          <w:color w:val="000000"/>
        </w:rPr>
        <w:t xml:space="preserve">, Xiong J, Hu QG, Zhao QD, Wu D, Tang LG, Wan CD, Wei LX. Look into hepatic progenitor cell associated trait: Histological heterogeneity of hepatitis B-related combined hepatocellular-cholangiocarcinoma. </w:t>
      </w:r>
      <w:r w:rsidRPr="00436841">
        <w:rPr>
          <w:rFonts w:ascii="Book Antiqua" w:eastAsia="Book Antiqua" w:hAnsi="Book Antiqua" w:cs="Book Antiqua"/>
          <w:i/>
          <w:iCs/>
          <w:color w:val="000000"/>
        </w:rPr>
        <w:t>J Huazhong Univ Sci Technolog Med Sci</w:t>
      </w:r>
      <w:r w:rsidRPr="00436841">
        <w:rPr>
          <w:rFonts w:ascii="Book Antiqua" w:eastAsia="Book Antiqua" w:hAnsi="Book Antiqua" w:cs="Book Antiqua"/>
          <w:color w:val="000000"/>
        </w:rPr>
        <w:t xml:space="preserve"> 2017; </w:t>
      </w:r>
      <w:r w:rsidRPr="00436841">
        <w:rPr>
          <w:rFonts w:ascii="Book Antiqua" w:eastAsia="Book Antiqua" w:hAnsi="Book Antiqua" w:cs="Book Antiqua"/>
          <w:b/>
          <w:bCs/>
          <w:color w:val="000000"/>
        </w:rPr>
        <w:t>37</w:t>
      </w:r>
      <w:r w:rsidRPr="00436841">
        <w:rPr>
          <w:rFonts w:ascii="Book Antiqua" w:eastAsia="Book Antiqua" w:hAnsi="Book Antiqua" w:cs="Book Antiqua"/>
          <w:color w:val="000000"/>
        </w:rPr>
        <w:t>: 873-879 [PMID: 29270746 DOI: 10.1007/s11596-017-1820-y]</w:t>
      </w:r>
    </w:p>
    <w:p w14:paraId="60818C8B"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98 </w:t>
      </w:r>
      <w:r w:rsidRPr="00436841">
        <w:rPr>
          <w:rFonts w:ascii="Book Antiqua" w:eastAsia="Book Antiqua" w:hAnsi="Book Antiqua" w:cs="Book Antiqua"/>
          <w:b/>
          <w:bCs/>
          <w:color w:val="000000"/>
        </w:rPr>
        <w:t>Chu KJ</w:t>
      </w:r>
      <w:r w:rsidRPr="00436841">
        <w:rPr>
          <w:rFonts w:ascii="Book Antiqua" w:eastAsia="Book Antiqua" w:hAnsi="Book Antiqua" w:cs="Book Antiqua"/>
          <w:color w:val="000000"/>
        </w:rPr>
        <w:t xml:space="preserve">, Lu CD, Dong H, Fu XH, Zhang HW, Yao XP. Hepatitis B virus-related combined hepatocellular-cholangiocarcinoma: clinicopathological and prognostic analysis of 390 cases. </w:t>
      </w:r>
      <w:r w:rsidRPr="00436841">
        <w:rPr>
          <w:rFonts w:ascii="Book Antiqua" w:eastAsia="Book Antiqua" w:hAnsi="Book Antiqua" w:cs="Book Antiqua"/>
          <w:i/>
          <w:iCs/>
          <w:color w:val="000000"/>
        </w:rPr>
        <w:t>Eur J Gastroenterol Hepatol</w:t>
      </w:r>
      <w:r w:rsidRPr="00436841">
        <w:rPr>
          <w:rFonts w:ascii="Book Antiqua" w:eastAsia="Book Antiqua" w:hAnsi="Book Antiqua" w:cs="Book Antiqua"/>
          <w:color w:val="000000"/>
        </w:rPr>
        <w:t xml:space="preserve"> 2014; </w:t>
      </w:r>
      <w:r w:rsidRPr="00436841">
        <w:rPr>
          <w:rFonts w:ascii="Book Antiqua" w:eastAsia="Book Antiqua" w:hAnsi="Book Antiqua" w:cs="Book Antiqua"/>
          <w:b/>
          <w:bCs/>
          <w:color w:val="000000"/>
        </w:rPr>
        <w:t>26</w:t>
      </w:r>
      <w:r w:rsidRPr="00436841">
        <w:rPr>
          <w:rFonts w:ascii="Book Antiqua" w:eastAsia="Book Antiqua" w:hAnsi="Book Antiqua" w:cs="Book Antiqua"/>
          <w:color w:val="000000"/>
        </w:rPr>
        <w:t>: 192-199 [PMID: 24370644 DOI: 10.1097/MEG.0b013e3283625df9]</w:t>
      </w:r>
    </w:p>
    <w:p w14:paraId="64F9A981"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99 </w:t>
      </w:r>
      <w:r w:rsidRPr="00436841">
        <w:rPr>
          <w:rFonts w:ascii="Book Antiqua" w:eastAsia="Book Antiqua" w:hAnsi="Book Antiqua" w:cs="Book Antiqua"/>
          <w:b/>
          <w:bCs/>
          <w:color w:val="000000"/>
        </w:rPr>
        <w:t>Ye J</w:t>
      </w:r>
      <w:r w:rsidRPr="00436841">
        <w:rPr>
          <w:rFonts w:ascii="Book Antiqua" w:eastAsia="Book Antiqua" w:hAnsi="Book Antiqua" w:cs="Book Antiqua"/>
          <w:color w:val="000000"/>
        </w:rPr>
        <w:t xml:space="preserve">, Xie X, Liu B, Zhang X, Wang W, Huang X, Lu M, Huang G. Imaging Features on Contrast-Enhanced Ultrasound and Clinical Characteristics of Hepatitis B Virus-Related Combined Hepatocellular-Cholangiocarcinoma: Comparison with Hepatitis B Virus-Related Hepatocellular Carcinoma. </w:t>
      </w:r>
      <w:r w:rsidRPr="00436841">
        <w:rPr>
          <w:rFonts w:ascii="Book Antiqua" w:eastAsia="Book Antiqua" w:hAnsi="Book Antiqua" w:cs="Book Antiqua"/>
          <w:i/>
          <w:iCs/>
          <w:color w:val="000000"/>
        </w:rPr>
        <w:t>Ultrasound Med Biol</w:t>
      </w:r>
      <w:r w:rsidRPr="00436841">
        <w:rPr>
          <w:rFonts w:ascii="Book Antiqua" w:eastAsia="Book Antiqua" w:hAnsi="Book Antiqua" w:cs="Book Antiqua"/>
          <w:color w:val="000000"/>
        </w:rPr>
        <w:t xml:space="preserve"> 2017; </w:t>
      </w:r>
      <w:r w:rsidRPr="00436841">
        <w:rPr>
          <w:rFonts w:ascii="Book Antiqua" w:eastAsia="Book Antiqua" w:hAnsi="Book Antiqua" w:cs="Book Antiqua"/>
          <w:b/>
          <w:bCs/>
          <w:color w:val="000000"/>
        </w:rPr>
        <w:t>43</w:t>
      </w:r>
      <w:r w:rsidRPr="00436841">
        <w:rPr>
          <w:rFonts w:ascii="Book Antiqua" w:eastAsia="Book Antiqua" w:hAnsi="Book Antiqua" w:cs="Book Antiqua"/>
          <w:color w:val="000000"/>
        </w:rPr>
        <w:t>: 2530-2536 [PMID: 28847498 DOI: 10.1016/j.ultrasmedbio.2017.07.016]</w:t>
      </w:r>
    </w:p>
    <w:p w14:paraId="58E8A11D"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100 </w:t>
      </w:r>
      <w:r w:rsidRPr="00436841">
        <w:rPr>
          <w:rFonts w:ascii="Book Antiqua" w:eastAsia="Book Antiqua" w:hAnsi="Book Antiqua" w:cs="Book Antiqua"/>
          <w:b/>
          <w:bCs/>
          <w:color w:val="000000"/>
        </w:rPr>
        <w:t>Li R</w:t>
      </w:r>
      <w:r w:rsidRPr="00436841">
        <w:rPr>
          <w:rFonts w:ascii="Book Antiqua" w:eastAsia="Book Antiqua" w:hAnsi="Book Antiqua" w:cs="Book Antiqua"/>
          <w:color w:val="000000"/>
        </w:rPr>
        <w:t xml:space="preserve">, Yang D, Tang CL, Cai P, Ma KS, Ding SY, Zhang XH, Guo DY, Yan XC. Combined hepatocellular carcinoma and cholangiocarcinoma (biphenotypic) tumors: clinical characteristics, imaging features of contrast-enhanced ultrasound and computed tomography. </w:t>
      </w:r>
      <w:r w:rsidRPr="00436841">
        <w:rPr>
          <w:rFonts w:ascii="Book Antiqua" w:eastAsia="Book Antiqua" w:hAnsi="Book Antiqua" w:cs="Book Antiqua"/>
          <w:i/>
          <w:iCs/>
          <w:color w:val="000000"/>
        </w:rPr>
        <w:t>BMC Cancer</w:t>
      </w:r>
      <w:r w:rsidRPr="00436841">
        <w:rPr>
          <w:rFonts w:ascii="Book Antiqua" w:eastAsia="Book Antiqua" w:hAnsi="Book Antiqua" w:cs="Book Antiqua"/>
          <w:color w:val="000000"/>
        </w:rPr>
        <w:t xml:space="preserve"> 2016; </w:t>
      </w:r>
      <w:r w:rsidRPr="00436841">
        <w:rPr>
          <w:rFonts w:ascii="Book Antiqua" w:eastAsia="Book Antiqua" w:hAnsi="Book Antiqua" w:cs="Book Antiqua"/>
          <w:b/>
          <w:bCs/>
          <w:color w:val="000000"/>
        </w:rPr>
        <w:t>16</w:t>
      </w:r>
      <w:r w:rsidRPr="00436841">
        <w:rPr>
          <w:rFonts w:ascii="Book Antiqua" w:eastAsia="Book Antiqua" w:hAnsi="Book Antiqua" w:cs="Book Antiqua"/>
          <w:color w:val="000000"/>
        </w:rPr>
        <w:t>: 158 [PMID: 26917546 DOI: 10.1186/s12885-016-2156-x]</w:t>
      </w:r>
    </w:p>
    <w:p w14:paraId="6F79BAE9"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lastRenderedPageBreak/>
        <w:t xml:space="preserve">101 </w:t>
      </w:r>
      <w:r w:rsidRPr="00436841">
        <w:rPr>
          <w:rFonts w:ascii="Book Antiqua" w:eastAsia="Book Antiqua" w:hAnsi="Book Antiqua" w:cs="Book Antiqua"/>
          <w:b/>
          <w:bCs/>
          <w:color w:val="000000"/>
        </w:rPr>
        <w:t>Gigante E</w:t>
      </w:r>
      <w:r w:rsidRPr="00436841">
        <w:rPr>
          <w:rFonts w:ascii="Book Antiqua" w:eastAsia="Book Antiqua" w:hAnsi="Book Antiqua" w:cs="Book Antiqua"/>
          <w:color w:val="000000"/>
        </w:rPr>
        <w:t xml:space="preserve">, Paradis V, Ronot M, Cauchy F, Soubrane O, Ganne-Carrié N, Nault JC. New insights into the pathophysiology and clinical care of rare primary liver cancers. </w:t>
      </w:r>
      <w:r w:rsidRPr="00436841">
        <w:rPr>
          <w:rFonts w:ascii="Book Antiqua" w:eastAsia="Book Antiqua" w:hAnsi="Book Antiqua" w:cs="Book Antiqua"/>
          <w:i/>
          <w:iCs/>
          <w:color w:val="000000"/>
        </w:rPr>
        <w:t>JHEP Rep</w:t>
      </w:r>
      <w:r w:rsidRPr="00436841">
        <w:rPr>
          <w:rFonts w:ascii="Book Antiqua" w:eastAsia="Book Antiqua" w:hAnsi="Book Antiqua" w:cs="Book Antiqua"/>
          <w:color w:val="000000"/>
        </w:rPr>
        <w:t xml:space="preserve"> 2021; </w:t>
      </w:r>
      <w:r w:rsidRPr="00436841">
        <w:rPr>
          <w:rFonts w:ascii="Book Antiqua" w:eastAsia="Book Antiqua" w:hAnsi="Book Antiqua" w:cs="Book Antiqua"/>
          <w:b/>
          <w:bCs/>
          <w:color w:val="000000"/>
        </w:rPr>
        <w:t>3</w:t>
      </w:r>
      <w:r w:rsidRPr="00436841">
        <w:rPr>
          <w:rFonts w:ascii="Book Antiqua" w:eastAsia="Book Antiqua" w:hAnsi="Book Antiqua" w:cs="Book Antiqua"/>
          <w:color w:val="000000"/>
        </w:rPr>
        <w:t>: 100174 [PMID: 33205035 DOI: 10.1016/j.jhepr.2020.100174]</w:t>
      </w:r>
    </w:p>
    <w:p w14:paraId="2C0473A2"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102 </w:t>
      </w:r>
      <w:r w:rsidRPr="00436841">
        <w:rPr>
          <w:rFonts w:ascii="Book Antiqua" w:eastAsia="Book Antiqua" w:hAnsi="Book Antiqua" w:cs="Book Antiqua"/>
          <w:b/>
          <w:bCs/>
          <w:color w:val="000000"/>
        </w:rPr>
        <w:t>Kassahun WT</w:t>
      </w:r>
      <w:r w:rsidRPr="00436841">
        <w:rPr>
          <w:rFonts w:ascii="Book Antiqua" w:eastAsia="Book Antiqua" w:hAnsi="Book Antiqua" w:cs="Book Antiqua"/>
          <w:color w:val="000000"/>
        </w:rPr>
        <w:t xml:space="preserve">, Hauss J. Management of combined hepatocellular and cholangiocarcinoma. </w:t>
      </w:r>
      <w:r w:rsidRPr="00436841">
        <w:rPr>
          <w:rFonts w:ascii="Book Antiqua" w:eastAsia="Book Antiqua" w:hAnsi="Book Antiqua" w:cs="Book Antiqua"/>
          <w:i/>
          <w:iCs/>
          <w:color w:val="000000"/>
        </w:rPr>
        <w:t>Int J Clin Pract</w:t>
      </w:r>
      <w:r w:rsidRPr="00436841">
        <w:rPr>
          <w:rFonts w:ascii="Book Antiqua" w:eastAsia="Book Antiqua" w:hAnsi="Book Antiqua" w:cs="Book Antiqua"/>
          <w:color w:val="000000"/>
        </w:rPr>
        <w:t xml:space="preserve"> 2008; </w:t>
      </w:r>
      <w:r w:rsidRPr="00436841">
        <w:rPr>
          <w:rFonts w:ascii="Book Antiqua" w:eastAsia="Book Antiqua" w:hAnsi="Book Antiqua" w:cs="Book Antiqua"/>
          <w:b/>
          <w:bCs/>
          <w:color w:val="000000"/>
        </w:rPr>
        <w:t>62</w:t>
      </w:r>
      <w:r w:rsidRPr="00436841">
        <w:rPr>
          <w:rFonts w:ascii="Book Antiqua" w:eastAsia="Book Antiqua" w:hAnsi="Book Antiqua" w:cs="Book Antiqua"/>
          <w:color w:val="000000"/>
        </w:rPr>
        <w:t>: 1271-1278 [PMID: 18284443 DOI: 10.1111/j.1742-1241.2007.01694.x]</w:t>
      </w:r>
    </w:p>
    <w:p w14:paraId="41D4D269"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103 </w:t>
      </w:r>
      <w:r w:rsidRPr="00436841">
        <w:rPr>
          <w:rFonts w:ascii="Book Antiqua" w:eastAsia="Book Antiqua" w:hAnsi="Book Antiqua" w:cs="Book Antiqua"/>
          <w:b/>
          <w:bCs/>
          <w:color w:val="000000"/>
        </w:rPr>
        <w:t>Vilchez V</w:t>
      </w:r>
      <w:r w:rsidRPr="00436841">
        <w:rPr>
          <w:rFonts w:ascii="Book Antiqua" w:eastAsia="Book Antiqua" w:hAnsi="Book Antiqua" w:cs="Book Antiqua"/>
          <w:color w:val="000000"/>
        </w:rPr>
        <w:t xml:space="preserve">, Shah MB, Daily MF, Pena L, Tzeng CW, Davenport D, Hosein PJ, Gedaly R, Maynard E. Long-term outcome of patients undergoing liver transplantation for mixed hepatocellular carcinoma and cholangiocarcinoma: an analysis of the UNOS database. </w:t>
      </w:r>
      <w:r w:rsidRPr="00436841">
        <w:rPr>
          <w:rFonts w:ascii="Book Antiqua" w:eastAsia="Book Antiqua" w:hAnsi="Book Antiqua" w:cs="Book Antiqua"/>
          <w:i/>
          <w:iCs/>
          <w:color w:val="000000"/>
        </w:rPr>
        <w:t>HPB (Oxford)</w:t>
      </w:r>
      <w:r w:rsidRPr="00436841">
        <w:rPr>
          <w:rFonts w:ascii="Book Antiqua" w:eastAsia="Book Antiqua" w:hAnsi="Book Antiqua" w:cs="Book Antiqua"/>
          <w:color w:val="000000"/>
        </w:rPr>
        <w:t xml:space="preserve"> 2016; </w:t>
      </w:r>
      <w:r w:rsidRPr="00436841">
        <w:rPr>
          <w:rFonts w:ascii="Book Antiqua" w:eastAsia="Book Antiqua" w:hAnsi="Book Antiqua" w:cs="Book Antiqua"/>
          <w:b/>
          <w:bCs/>
          <w:color w:val="000000"/>
        </w:rPr>
        <w:t>18</w:t>
      </w:r>
      <w:r w:rsidRPr="00436841">
        <w:rPr>
          <w:rFonts w:ascii="Book Antiqua" w:eastAsia="Book Antiqua" w:hAnsi="Book Antiqua" w:cs="Book Antiqua"/>
          <w:color w:val="000000"/>
        </w:rPr>
        <w:t>: 29-34 [PMID: 26776848 DOI: 10.1016/j.hpb.2015.10.001]</w:t>
      </w:r>
    </w:p>
    <w:p w14:paraId="1C98E7B4"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104 </w:t>
      </w:r>
      <w:r w:rsidRPr="00436841">
        <w:rPr>
          <w:rFonts w:ascii="Book Antiqua" w:eastAsia="Book Antiqua" w:hAnsi="Book Antiqua" w:cs="Book Antiqua"/>
          <w:b/>
          <w:bCs/>
          <w:color w:val="000000"/>
        </w:rPr>
        <w:t>Kobayashi S</w:t>
      </w:r>
      <w:r w:rsidRPr="00436841">
        <w:rPr>
          <w:rFonts w:ascii="Book Antiqua" w:eastAsia="Book Antiqua" w:hAnsi="Book Antiqua" w:cs="Book Antiqua"/>
          <w:color w:val="000000"/>
        </w:rPr>
        <w:t xml:space="preserve">, Terashima T, Shiba S, Yoshida Y, Yamada I, Iwadou S, Horiguchi S, Takahashi H, Suzuki E, Moriguchi M, Tsuji K, Otsuka T, Asagi A, Kojima Y, Takada R, Morizane C, Mizuno N, Ikeda M, Ueno M, Furuse J. Multicenter retrospective analysis of systemic chemotherapy for unresectable combined hepatocellular and cholangiocarcinoma. </w:t>
      </w:r>
      <w:r w:rsidRPr="00436841">
        <w:rPr>
          <w:rFonts w:ascii="Book Antiqua" w:eastAsia="Book Antiqua" w:hAnsi="Book Antiqua" w:cs="Book Antiqua"/>
          <w:i/>
          <w:iCs/>
          <w:color w:val="000000"/>
        </w:rPr>
        <w:t>Cancer Sci</w:t>
      </w:r>
      <w:r w:rsidRPr="00436841">
        <w:rPr>
          <w:rFonts w:ascii="Book Antiqua" w:eastAsia="Book Antiqua" w:hAnsi="Book Antiqua" w:cs="Book Antiqua"/>
          <w:color w:val="000000"/>
        </w:rPr>
        <w:t xml:space="preserve"> 2018; </w:t>
      </w:r>
      <w:r w:rsidRPr="00436841">
        <w:rPr>
          <w:rFonts w:ascii="Book Antiqua" w:eastAsia="Book Antiqua" w:hAnsi="Book Antiqua" w:cs="Book Antiqua"/>
          <w:b/>
          <w:bCs/>
          <w:color w:val="000000"/>
        </w:rPr>
        <w:t>109</w:t>
      </w:r>
      <w:r w:rsidRPr="00436841">
        <w:rPr>
          <w:rFonts w:ascii="Book Antiqua" w:eastAsia="Book Antiqua" w:hAnsi="Book Antiqua" w:cs="Book Antiqua"/>
          <w:color w:val="000000"/>
        </w:rPr>
        <w:t>: 2549-2557 [PMID: 29856900 DOI: 10.1111/cas.13656]</w:t>
      </w:r>
    </w:p>
    <w:p w14:paraId="30FDAAE6"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105 </w:t>
      </w:r>
      <w:r w:rsidRPr="00436841">
        <w:rPr>
          <w:rFonts w:ascii="Book Antiqua" w:eastAsia="Book Antiqua" w:hAnsi="Book Antiqua" w:cs="Book Antiqua"/>
          <w:b/>
          <w:bCs/>
          <w:color w:val="000000"/>
        </w:rPr>
        <w:t>Salimon M</w:t>
      </w:r>
      <w:r w:rsidRPr="00436841">
        <w:rPr>
          <w:rFonts w:ascii="Book Antiqua" w:eastAsia="Book Antiqua" w:hAnsi="Book Antiqua" w:cs="Book Antiqua"/>
          <w:color w:val="000000"/>
        </w:rPr>
        <w:t xml:space="preserve">, Prieux-Klotz C, Tougeron D, Hautefeuille V, Caulet M, Gournay J, Matysiak-Budnik T, Bennouna J, Tiako Meyo M, Lecomte T, Zaanan A, Touchefeu Y. Gemcitabine plus platinum-based chemotherapy for first-line treatment of hepatocholangiocarcinoma: an AGEO French multicentre retrospective study. </w:t>
      </w:r>
      <w:r w:rsidRPr="00436841">
        <w:rPr>
          <w:rFonts w:ascii="Book Antiqua" w:eastAsia="Book Antiqua" w:hAnsi="Book Antiqua" w:cs="Book Antiqua"/>
          <w:i/>
          <w:iCs/>
          <w:color w:val="000000"/>
        </w:rPr>
        <w:t>Br J Cancer</w:t>
      </w:r>
      <w:r w:rsidRPr="00436841">
        <w:rPr>
          <w:rFonts w:ascii="Book Antiqua" w:eastAsia="Book Antiqua" w:hAnsi="Book Antiqua" w:cs="Book Antiqua"/>
          <w:color w:val="000000"/>
        </w:rPr>
        <w:t xml:space="preserve"> 2018; </w:t>
      </w:r>
      <w:r w:rsidRPr="00436841">
        <w:rPr>
          <w:rFonts w:ascii="Book Antiqua" w:eastAsia="Book Antiqua" w:hAnsi="Book Antiqua" w:cs="Book Antiqua"/>
          <w:b/>
          <w:bCs/>
          <w:color w:val="000000"/>
        </w:rPr>
        <w:t>118</w:t>
      </w:r>
      <w:r w:rsidRPr="00436841">
        <w:rPr>
          <w:rFonts w:ascii="Book Antiqua" w:eastAsia="Book Antiqua" w:hAnsi="Book Antiqua" w:cs="Book Antiqua"/>
          <w:color w:val="000000"/>
        </w:rPr>
        <w:t>: 325-330 [PMID: 29169182 DOI: 10.1038/bjc.2017.413]</w:t>
      </w:r>
    </w:p>
    <w:p w14:paraId="0E92107A"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106 </w:t>
      </w:r>
      <w:r w:rsidRPr="00436841">
        <w:rPr>
          <w:rFonts w:ascii="Book Antiqua" w:eastAsia="Book Antiqua" w:hAnsi="Book Antiqua" w:cs="Book Antiqua"/>
          <w:b/>
          <w:bCs/>
          <w:color w:val="000000"/>
        </w:rPr>
        <w:t>de Jong MC</w:t>
      </w:r>
      <w:r w:rsidRPr="00436841">
        <w:rPr>
          <w:rFonts w:ascii="Book Antiqua" w:eastAsia="Book Antiqua" w:hAnsi="Book Antiqua" w:cs="Book Antiqua"/>
          <w:color w:val="000000"/>
        </w:rPr>
        <w:t xml:space="preserve">, Nathan H, Sotiropoulos GC, Paul A, Alexandrescu S, Marques H, Pulitano C, Barroso E, Clary BM, Aldrighetti L, Ferrone CR, Zhu AX, Bauer TW, Walters DM, Gamblin TC, Nguyen KT, Turley R, Popescu I, Hubert C, Meyer S, Schulick RD, Choti MA, Gigot JF, Mentha G, Pawlik TM. Intrahepatic cholangiocarcinoma: an international multi-institutional analysis of prognostic factors and lymph node assessment. </w:t>
      </w:r>
      <w:r w:rsidRPr="00436841">
        <w:rPr>
          <w:rFonts w:ascii="Book Antiqua" w:eastAsia="Book Antiqua" w:hAnsi="Book Antiqua" w:cs="Book Antiqua"/>
          <w:i/>
          <w:iCs/>
          <w:color w:val="000000"/>
        </w:rPr>
        <w:t>J Clin Oncol</w:t>
      </w:r>
      <w:r w:rsidRPr="00436841">
        <w:rPr>
          <w:rFonts w:ascii="Book Antiqua" w:eastAsia="Book Antiqua" w:hAnsi="Book Antiqua" w:cs="Book Antiqua"/>
          <w:color w:val="000000"/>
        </w:rPr>
        <w:t xml:space="preserve"> 2011; </w:t>
      </w:r>
      <w:r w:rsidRPr="00436841">
        <w:rPr>
          <w:rFonts w:ascii="Book Antiqua" w:eastAsia="Book Antiqua" w:hAnsi="Book Antiqua" w:cs="Book Antiqua"/>
          <w:b/>
          <w:bCs/>
          <w:color w:val="000000"/>
        </w:rPr>
        <w:t>29</w:t>
      </w:r>
      <w:r w:rsidRPr="00436841">
        <w:rPr>
          <w:rFonts w:ascii="Book Antiqua" w:eastAsia="Book Antiqua" w:hAnsi="Book Antiqua" w:cs="Book Antiqua"/>
          <w:color w:val="000000"/>
        </w:rPr>
        <w:t>: 3140-3145 [PMID: 21730269 DOI: 10.1200/JCO.2011.35.6519]</w:t>
      </w:r>
    </w:p>
    <w:p w14:paraId="148EC069"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107 </w:t>
      </w:r>
      <w:r w:rsidRPr="00436841">
        <w:rPr>
          <w:rFonts w:ascii="Book Antiqua" w:eastAsia="Book Antiqua" w:hAnsi="Book Antiqua" w:cs="Book Antiqua"/>
          <w:b/>
          <w:bCs/>
          <w:color w:val="000000"/>
        </w:rPr>
        <w:t>Mavros MN</w:t>
      </w:r>
      <w:r w:rsidRPr="00436841">
        <w:rPr>
          <w:rFonts w:ascii="Book Antiqua" w:eastAsia="Book Antiqua" w:hAnsi="Book Antiqua" w:cs="Book Antiqua"/>
          <w:color w:val="000000"/>
        </w:rPr>
        <w:t xml:space="preserve">, Economopoulos KP, Alexiou VG, Pawlik TM. Treatment and Prognosis for Patients With Intrahepatic Cholangiocarcinoma: Systematic Review and </w:t>
      </w:r>
      <w:r w:rsidRPr="00436841">
        <w:rPr>
          <w:rFonts w:ascii="Book Antiqua" w:eastAsia="Book Antiqua" w:hAnsi="Book Antiqua" w:cs="Book Antiqua"/>
          <w:color w:val="000000"/>
        </w:rPr>
        <w:lastRenderedPageBreak/>
        <w:t xml:space="preserve">Meta-analysis. </w:t>
      </w:r>
      <w:r w:rsidRPr="00436841">
        <w:rPr>
          <w:rFonts w:ascii="Book Antiqua" w:eastAsia="Book Antiqua" w:hAnsi="Book Antiqua" w:cs="Book Antiqua"/>
          <w:i/>
          <w:iCs/>
          <w:color w:val="000000"/>
        </w:rPr>
        <w:t>JAMA Surg</w:t>
      </w:r>
      <w:r w:rsidRPr="00436841">
        <w:rPr>
          <w:rFonts w:ascii="Book Antiqua" w:eastAsia="Book Antiqua" w:hAnsi="Book Antiqua" w:cs="Book Antiqua"/>
          <w:color w:val="000000"/>
        </w:rPr>
        <w:t xml:space="preserve"> 2014; </w:t>
      </w:r>
      <w:r w:rsidRPr="00436841">
        <w:rPr>
          <w:rFonts w:ascii="Book Antiqua" w:eastAsia="Book Antiqua" w:hAnsi="Book Antiqua" w:cs="Book Antiqua"/>
          <w:b/>
          <w:bCs/>
          <w:color w:val="000000"/>
        </w:rPr>
        <w:t>149</w:t>
      </w:r>
      <w:r w:rsidRPr="00436841">
        <w:rPr>
          <w:rFonts w:ascii="Book Antiqua" w:eastAsia="Book Antiqua" w:hAnsi="Book Antiqua" w:cs="Book Antiqua"/>
          <w:color w:val="000000"/>
        </w:rPr>
        <w:t>: 565-574 [PMID: 24718873 DOI: 10.1001/jamasurg.2013.5137]</w:t>
      </w:r>
    </w:p>
    <w:p w14:paraId="43783670"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108 </w:t>
      </w:r>
      <w:r w:rsidRPr="00436841">
        <w:rPr>
          <w:rFonts w:ascii="Book Antiqua" w:eastAsia="Book Antiqua" w:hAnsi="Book Antiqua" w:cs="Book Antiqua"/>
          <w:b/>
          <w:bCs/>
          <w:color w:val="000000"/>
        </w:rPr>
        <w:t>Reames BN</w:t>
      </w:r>
      <w:r w:rsidRPr="00436841">
        <w:rPr>
          <w:rFonts w:ascii="Book Antiqua" w:eastAsia="Book Antiqua" w:hAnsi="Book Antiqua" w:cs="Book Antiqua"/>
          <w:color w:val="000000"/>
        </w:rPr>
        <w:t xml:space="preserve">, Ejaz A, Koerkamp BG, Alexandrescu S, Marques HP, Aldrighetti L, Maithel SK, Pulitano C, Bauer TW, Shen F, Poultsides GA, Martel G, Marsh JW, Pawlik TM. Impact of major vascular resection on outcomes and survival in patients with intrahepatic cholangiocarcinoma: A multi-institutional analysis. </w:t>
      </w:r>
      <w:r w:rsidRPr="00436841">
        <w:rPr>
          <w:rFonts w:ascii="Book Antiqua" w:eastAsia="Book Antiqua" w:hAnsi="Book Antiqua" w:cs="Book Antiqua"/>
          <w:i/>
          <w:iCs/>
          <w:color w:val="000000"/>
        </w:rPr>
        <w:t>J Surg Oncol</w:t>
      </w:r>
      <w:r w:rsidRPr="00436841">
        <w:rPr>
          <w:rFonts w:ascii="Book Antiqua" w:eastAsia="Book Antiqua" w:hAnsi="Book Antiqua" w:cs="Book Antiqua"/>
          <w:color w:val="000000"/>
        </w:rPr>
        <w:t xml:space="preserve"> 2017; </w:t>
      </w:r>
      <w:r w:rsidRPr="00436841">
        <w:rPr>
          <w:rFonts w:ascii="Book Antiqua" w:eastAsia="Book Antiqua" w:hAnsi="Book Antiqua" w:cs="Book Antiqua"/>
          <w:b/>
          <w:bCs/>
          <w:color w:val="000000"/>
        </w:rPr>
        <w:t>116</w:t>
      </w:r>
      <w:r w:rsidRPr="00436841">
        <w:rPr>
          <w:rFonts w:ascii="Book Antiqua" w:eastAsia="Book Antiqua" w:hAnsi="Book Antiqua" w:cs="Book Antiqua"/>
          <w:color w:val="000000"/>
        </w:rPr>
        <w:t>: 133-139 [PMID: 28411373 DOI: 10.1002/jso.24633]</w:t>
      </w:r>
    </w:p>
    <w:p w14:paraId="75CD4CA9"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109 </w:t>
      </w:r>
      <w:r w:rsidRPr="00436841">
        <w:rPr>
          <w:rFonts w:ascii="Book Antiqua" w:eastAsia="Book Antiqua" w:hAnsi="Book Antiqua" w:cs="Book Antiqua"/>
          <w:b/>
          <w:bCs/>
          <w:color w:val="000000"/>
        </w:rPr>
        <w:t>Kulik L</w:t>
      </w:r>
      <w:r w:rsidRPr="00436841">
        <w:rPr>
          <w:rFonts w:ascii="Book Antiqua" w:eastAsia="Book Antiqua" w:hAnsi="Book Antiqua" w:cs="Book Antiqua"/>
          <w:color w:val="000000"/>
        </w:rPr>
        <w:t xml:space="preserve">, El-Serag HB. Epidemiology and Management of Hepatocellular Carcinoma. </w:t>
      </w:r>
      <w:r w:rsidRPr="00436841">
        <w:rPr>
          <w:rFonts w:ascii="Book Antiqua" w:eastAsia="Book Antiqua" w:hAnsi="Book Antiqua" w:cs="Book Antiqua"/>
          <w:i/>
          <w:iCs/>
          <w:color w:val="000000"/>
        </w:rPr>
        <w:t>Gastroenterology</w:t>
      </w:r>
      <w:r w:rsidRPr="00436841">
        <w:rPr>
          <w:rFonts w:ascii="Book Antiqua" w:eastAsia="Book Antiqua" w:hAnsi="Book Antiqua" w:cs="Book Antiqua"/>
          <w:color w:val="000000"/>
        </w:rPr>
        <w:t xml:space="preserve"> 2019; </w:t>
      </w:r>
      <w:r w:rsidRPr="00436841">
        <w:rPr>
          <w:rFonts w:ascii="Book Antiqua" w:eastAsia="Book Antiqua" w:hAnsi="Book Antiqua" w:cs="Book Antiqua"/>
          <w:b/>
          <w:bCs/>
          <w:color w:val="000000"/>
        </w:rPr>
        <w:t>156</w:t>
      </w:r>
      <w:r w:rsidRPr="00436841">
        <w:rPr>
          <w:rFonts w:ascii="Book Antiqua" w:eastAsia="Book Antiqua" w:hAnsi="Book Antiqua" w:cs="Book Antiqua"/>
          <w:color w:val="000000"/>
        </w:rPr>
        <w:t>: 477-491.e1 [PMID: 30367835 DOI: 10.1053/j.gastro.2018.08.065]</w:t>
      </w:r>
    </w:p>
    <w:p w14:paraId="6002F7C3"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110 </w:t>
      </w:r>
      <w:r w:rsidRPr="00436841">
        <w:rPr>
          <w:rFonts w:ascii="Book Antiqua" w:eastAsia="Book Antiqua" w:hAnsi="Book Antiqua" w:cs="Book Antiqua"/>
          <w:b/>
          <w:bCs/>
          <w:color w:val="000000"/>
        </w:rPr>
        <w:t>Wu ZF</w:t>
      </w:r>
      <w:r w:rsidRPr="00436841">
        <w:rPr>
          <w:rFonts w:ascii="Book Antiqua" w:eastAsia="Book Antiqua" w:hAnsi="Book Antiqua" w:cs="Book Antiqua"/>
          <w:color w:val="000000"/>
        </w:rPr>
        <w:t xml:space="preserve">, Yang N, Li DY, Zhang HB, Yang GS. Characteristics of intrahepatic cholangiocarcinoma in patients with hepatitis B virus infection: clinicopathologic study of resected tumours. </w:t>
      </w:r>
      <w:r w:rsidRPr="00436841">
        <w:rPr>
          <w:rFonts w:ascii="Book Antiqua" w:eastAsia="Book Antiqua" w:hAnsi="Book Antiqua" w:cs="Book Antiqua"/>
          <w:i/>
          <w:iCs/>
          <w:color w:val="000000"/>
        </w:rPr>
        <w:t>J Viral Hepat</w:t>
      </w:r>
      <w:r w:rsidRPr="00436841">
        <w:rPr>
          <w:rFonts w:ascii="Book Antiqua" w:eastAsia="Book Antiqua" w:hAnsi="Book Antiqua" w:cs="Book Antiqua"/>
          <w:color w:val="000000"/>
        </w:rPr>
        <w:t xml:space="preserve"> 2013; </w:t>
      </w:r>
      <w:r w:rsidRPr="00436841">
        <w:rPr>
          <w:rFonts w:ascii="Book Antiqua" w:eastAsia="Book Antiqua" w:hAnsi="Book Antiqua" w:cs="Book Antiqua"/>
          <w:b/>
          <w:bCs/>
          <w:color w:val="000000"/>
        </w:rPr>
        <w:t>20</w:t>
      </w:r>
      <w:r w:rsidRPr="00436841">
        <w:rPr>
          <w:rFonts w:ascii="Book Antiqua" w:eastAsia="Book Antiqua" w:hAnsi="Book Antiqua" w:cs="Book Antiqua"/>
          <w:color w:val="000000"/>
        </w:rPr>
        <w:t>: 306-310 [PMID: 23565611 DOI: 10.1111/jvh.12005]</w:t>
      </w:r>
    </w:p>
    <w:p w14:paraId="6CE7E428"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111 </w:t>
      </w:r>
      <w:r w:rsidRPr="00436841">
        <w:rPr>
          <w:rFonts w:ascii="Book Antiqua" w:eastAsia="Book Antiqua" w:hAnsi="Book Antiqua" w:cs="Book Antiqua"/>
          <w:b/>
          <w:bCs/>
          <w:color w:val="000000"/>
        </w:rPr>
        <w:t>Zhou HB</w:t>
      </w:r>
      <w:r w:rsidRPr="00436841">
        <w:rPr>
          <w:rFonts w:ascii="Book Antiqua" w:eastAsia="Book Antiqua" w:hAnsi="Book Antiqua" w:cs="Book Antiqua"/>
          <w:color w:val="000000"/>
        </w:rPr>
        <w:t xml:space="preserve">, Wang H, Li YQ, Li SX, Wang H, Zhou DX, Tu QQ, Wang Q, Zou SS, Wu MC, Hu HP. Hepatitis B virus infection: a favorable prognostic factor for intrahepatic cholangiocarcinoma after resection. </w:t>
      </w:r>
      <w:r w:rsidRPr="00436841">
        <w:rPr>
          <w:rFonts w:ascii="Book Antiqua" w:eastAsia="Book Antiqua" w:hAnsi="Book Antiqua" w:cs="Book Antiqua"/>
          <w:i/>
          <w:iCs/>
          <w:color w:val="000000"/>
        </w:rPr>
        <w:t>World J Gastroenterol</w:t>
      </w:r>
      <w:r w:rsidRPr="00436841">
        <w:rPr>
          <w:rFonts w:ascii="Book Antiqua" w:eastAsia="Book Antiqua" w:hAnsi="Book Antiqua" w:cs="Book Antiqua"/>
          <w:color w:val="000000"/>
        </w:rPr>
        <w:t xml:space="preserve"> 2011; </w:t>
      </w:r>
      <w:r w:rsidRPr="00436841">
        <w:rPr>
          <w:rFonts w:ascii="Book Antiqua" w:eastAsia="Book Antiqua" w:hAnsi="Book Antiqua" w:cs="Book Antiqua"/>
          <w:b/>
          <w:bCs/>
          <w:color w:val="000000"/>
        </w:rPr>
        <w:t>17</w:t>
      </w:r>
      <w:r w:rsidRPr="00436841">
        <w:rPr>
          <w:rFonts w:ascii="Book Antiqua" w:eastAsia="Book Antiqua" w:hAnsi="Book Antiqua" w:cs="Book Antiqua"/>
          <w:color w:val="000000"/>
        </w:rPr>
        <w:t>: 1292-1303 [PMID: 21455328 DOI: 10.3748/wjg.v17.i10.1292]</w:t>
      </w:r>
    </w:p>
    <w:p w14:paraId="1728B716"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112 </w:t>
      </w:r>
      <w:r w:rsidRPr="00436841">
        <w:rPr>
          <w:rFonts w:ascii="Book Antiqua" w:eastAsia="Book Antiqua" w:hAnsi="Book Antiqua" w:cs="Book Antiqua"/>
          <w:b/>
          <w:bCs/>
          <w:color w:val="000000"/>
        </w:rPr>
        <w:t>Jeong S</w:t>
      </w:r>
      <w:r w:rsidRPr="00436841">
        <w:rPr>
          <w:rFonts w:ascii="Book Antiqua" w:eastAsia="Book Antiqua" w:hAnsi="Book Antiqua" w:cs="Book Antiqua"/>
          <w:color w:val="000000"/>
        </w:rPr>
        <w:t xml:space="preserve">, Cheng Q, Huang L, Wang J, Sha M, Tong Y, Xia L, Han L, Xi Z, Zhang J, Kong X, Gu J, Xia Q. Risk stratification system to predict recurrence of intrahepatic cholangiocarcinoma after hepatic resection. </w:t>
      </w:r>
      <w:r w:rsidRPr="00436841">
        <w:rPr>
          <w:rFonts w:ascii="Book Antiqua" w:eastAsia="Book Antiqua" w:hAnsi="Book Antiqua" w:cs="Book Antiqua"/>
          <w:i/>
          <w:iCs/>
          <w:color w:val="000000"/>
        </w:rPr>
        <w:t>BMC Cancer</w:t>
      </w:r>
      <w:r w:rsidRPr="00436841">
        <w:rPr>
          <w:rFonts w:ascii="Book Antiqua" w:eastAsia="Book Antiqua" w:hAnsi="Book Antiqua" w:cs="Book Antiqua"/>
          <w:color w:val="000000"/>
        </w:rPr>
        <w:t xml:space="preserve"> 2017; </w:t>
      </w:r>
      <w:r w:rsidRPr="00436841">
        <w:rPr>
          <w:rFonts w:ascii="Book Antiqua" w:eastAsia="Book Antiqua" w:hAnsi="Book Antiqua" w:cs="Book Antiqua"/>
          <w:b/>
          <w:bCs/>
          <w:color w:val="000000"/>
        </w:rPr>
        <w:t>17</w:t>
      </w:r>
      <w:r w:rsidRPr="00436841">
        <w:rPr>
          <w:rFonts w:ascii="Book Antiqua" w:eastAsia="Book Antiqua" w:hAnsi="Book Antiqua" w:cs="Book Antiqua"/>
          <w:color w:val="000000"/>
        </w:rPr>
        <w:t>: 464 [PMID: 28673346 DOI: 10.1186/s12885-017-3464-5]</w:t>
      </w:r>
    </w:p>
    <w:p w14:paraId="100497D8"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113 </w:t>
      </w:r>
      <w:r w:rsidRPr="00436841">
        <w:rPr>
          <w:rFonts w:ascii="Book Antiqua" w:eastAsia="Book Antiqua" w:hAnsi="Book Antiqua" w:cs="Book Antiqua"/>
          <w:b/>
          <w:bCs/>
          <w:color w:val="000000"/>
        </w:rPr>
        <w:t>Wang Q</w:t>
      </w:r>
      <w:r w:rsidRPr="00436841">
        <w:rPr>
          <w:rFonts w:ascii="Book Antiqua" w:eastAsia="Book Antiqua" w:hAnsi="Book Antiqua" w:cs="Book Antiqua"/>
          <w:color w:val="000000"/>
        </w:rPr>
        <w:t xml:space="preserve">, Li J, Lei Z, Wu D, Si A, Wang K, Wang Y, Wan X, Lau WY, Shen F. Prognosis of Intrahepatic Cholangiocarcinomas with HBV Infection is Better than Those with Hepatolithiasis After R0 Liver Resection: A Propensity Score Matching Analysis. </w:t>
      </w:r>
      <w:r w:rsidRPr="00436841">
        <w:rPr>
          <w:rFonts w:ascii="Book Antiqua" w:eastAsia="Book Antiqua" w:hAnsi="Book Antiqua" w:cs="Book Antiqua"/>
          <w:i/>
          <w:iCs/>
          <w:color w:val="000000"/>
        </w:rPr>
        <w:t>Ann Surg Oncol</w:t>
      </w:r>
      <w:r w:rsidRPr="00436841">
        <w:rPr>
          <w:rFonts w:ascii="Book Antiqua" w:eastAsia="Book Antiqua" w:hAnsi="Book Antiqua" w:cs="Book Antiqua"/>
          <w:color w:val="000000"/>
        </w:rPr>
        <w:t xml:space="preserve"> 2017; </w:t>
      </w:r>
      <w:r w:rsidRPr="00436841">
        <w:rPr>
          <w:rFonts w:ascii="Book Antiqua" w:eastAsia="Book Antiqua" w:hAnsi="Book Antiqua" w:cs="Book Antiqua"/>
          <w:b/>
          <w:bCs/>
          <w:color w:val="000000"/>
        </w:rPr>
        <w:t>24</w:t>
      </w:r>
      <w:r w:rsidRPr="00436841">
        <w:rPr>
          <w:rFonts w:ascii="Book Antiqua" w:eastAsia="Book Antiqua" w:hAnsi="Book Antiqua" w:cs="Book Antiqua"/>
          <w:color w:val="000000"/>
        </w:rPr>
        <w:t>: 1579-1587 [PMID: 28058554 DOI: 10.1245/s10434-016-5751-9]</w:t>
      </w:r>
    </w:p>
    <w:p w14:paraId="1B41EC93"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114 </w:t>
      </w:r>
      <w:r w:rsidRPr="00436841">
        <w:rPr>
          <w:rFonts w:ascii="Book Antiqua" w:eastAsia="Book Antiqua" w:hAnsi="Book Antiqua" w:cs="Book Antiqua"/>
          <w:b/>
          <w:bCs/>
          <w:color w:val="000000"/>
        </w:rPr>
        <w:t>Ahn CS</w:t>
      </w:r>
      <w:r w:rsidRPr="00436841">
        <w:rPr>
          <w:rFonts w:ascii="Book Antiqua" w:eastAsia="Book Antiqua" w:hAnsi="Book Antiqua" w:cs="Book Antiqua"/>
          <w:color w:val="000000"/>
        </w:rPr>
        <w:t xml:space="preserve">, Hwang S, Lee YJ, Kim KH, Moon DB, Ha TY, Song GW, Lee SG. Prognostic impact of hepatitis B virus infection in patients with intrahepatic cholangiocarcinoma. </w:t>
      </w:r>
      <w:r w:rsidRPr="00436841">
        <w:rPr>
          <w:rFonts w:ascii="Book Antiqua" w:eastAsia="Book Antiqua" w:hAnsi="Book Antiqua" w:cs="Book Antiqua"/>
          <w:i/>
          <w:iCs/>
          <w:color w:val="000000"/>
        </w:rPr>
        <w:t>ANZ J Surg</w:t>
      </w:r>
      <w:r w:rsidRPr="00436841">
        <w:rPr>
          <w:rFonts w:ascii="Book Antiqua" w:eastAsia="Book Antiqua" w:hAnsi="Book Antiqua" w:cs="Book Antiqua"/>
          <w:color w:val="000000"/>
        </w:rPr>
        <w:t xml:space="preserve"> 2018; </w:t>
      </w:r>
      <w:r w:rsidRPr="00436841">
        <w:rPr>
          <w:rFonts w:ascii="Book Antiqua" w:eastAsia="Book Antiqua" w:hAnsi="Book Antiqua" w:cs="Book Antiqua"/>
          <w:b/>
          <w:bCs/>
          <w:color w:val="000000"/>
        </w:rPr>
        <w:t>88</w:t>
      </w:r>
      <w:r w:rsidRPr="00436841">
        <w:rPr>
          <w:rFonts w:ascii="Book Antiqua" w:eastAsia="Book Antiqua" w:hAnsi="Book Antiqua" w:cs="Book Antiqua"/>
          <w:color w:val="000000"/>
        </w:rPr>
        <w:t>: 212-217 [PMID: 27598539 DOI: 10.1111/ans.13753]</w:t>
      </w:r>
    </w:p>
    <w:p w14:paraId="4B1D723B"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lastRenderedPageBreak/>
        <w:t xml:space="preserve">115 </w:t>
      </w:r>
      <w:r w:rsidRPr="00436841">
        <w:rPr>
          <w:rFonts w:ascii="Book Antiqua" w:eastAsia="Book Antiqua" w:hAnsi="Book Antiqua" w:cs="Book Antiqua"/>
          <w:b/>
          <w:bCs/>
          <w:color w:val="000000"/>
        </w:rPr>
        <w:t>Jeong S</w:t>
      </w:r>
      <w:r w:rsidRPr="00436841">
        <w:rPr>
          <w:rFonts w:ascii="Book Antiqua" w:eastAsia="Book Antiqua" w:hAnsi="Book Antiqua" w:cs="Book Antiqua"/>
          <w:color w:val="000000"/>
        </w:rPr>
        <w:t xml:space="preserve">, Luo G, Wang ZH, Sha M, Chen L, Xia Q. Impact of viral hepatitis B status on outcomes of intrahepatic cholangiocarcinoma: a meta-analysis. </w:t>
      </w:r>
      <w:r w:rsidRPr="00436841">
        <w:rPr>
          <w:rFonts w:ascii="Book Antiqua" w:eastAsia="Book Antiqua" w:hAnsi="Book Antiqua" w:cs="Book Antiqua"/>
          <w:i/>
          <w:iCs/>
          <w:color w:val="000000"/>
        </w:rPr>
        <w:t>Hepatol Int</w:t>
      </w:r>
      <w:r w:rsidRPr="00436841">
        <w:rPr>
          <w:rFonts w:ascii="Book Antiqua" w:eastAsia="Book Antiqua" w:hAnsi="Book Antiqua" w:cs="Book Antiqua"/>
          <w:color w:val="000000"/>
        </w:rPr>
        <w:t xml:space="preserve"> 2018; </w:t>
      </w:r>
      <w:r w:rsidRPr="00436841">
        <w:rPr>
          <w:rFonts w:ascii="Book Antiqua" w:eastAsia="Book Antiqua" w:hAnsi="Book Antiqua" w:cs="Book Antiqua"/>
          <w:b/>
          <w:bCs/>
          <w:color w:val="000000"/>
        </w:rPr>
        <w:t>12</w:t>
      </w:r>
      <w:r w:rsidRPr="00436841">
        <w:rPr>
          <w:rFonts w:ascii="Book Antiqua" w:eastAsia="Book Antiqua" w:hAnsi="Book Antiqua" w:cs="Book Antiqua"/>
          <w:color w:val="000000"/>
        </w:rPr>
        <w:t>: 330-338 [PMID: 29947010 DOI: 10.1007/s12072-018-9881-y]</w:t>
      </w:r>
    </w:p>
    <w:p w14:paraId="43B42F6E"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116 </w:t>
      </w:r>
      <w:r w:rsidRPr="00436841">
        <w:rPr>
          <w:rFonts w:ascii="Book Antiqua" w:eastAsia="Book Antiqua" w:hAnsi="Book Antiqua" w:cs="Book Antiqua"/>
          <w:b/>
          <w:bCs/>
          <w:color w:val="000000"/>
        </w:rPr>
        <w:t>Luo X</w:t>
      </w:r>
      <w:r w:rsidRPr="00436841">
        <w:rPr>
          <w:rFonts w:ascii="Book Antiqua" w:eastAsia="Book Antiqua" w:hAnsi="Book Antiqua" w:cs="Book Antiqua"/>
          <w:color w:val="000000"/>
        </w:rPr>
        <w:t xml:space="preserve">, Yuan L, Wang Y, Ge R, Sun Y, Wei G. Survival outcomes and prognostic factors of surgical therapy for all potentially resectable intrahepatic cholangiocarcinoma: a large single-center cohort study. </w:t>
      </w:r>
      <w:r w:rsidRPr="00436841">
        <w:rPr>
          <w:rFonts w:ascii="Book Antiqua" w:eastAsia="Book Antiqua" w:hAnsi="Book Antiqua" w:cs="Book Antiqua"/>
          <w:i/>
          <w:iCs/>
          <w:color w:val="000000"/>
        </w:rPr>
        <w:t>J Gastrointest Surg</w:t>
      </w:r>
      <w:r w:rsidRPr="00436841">
        <w:rPr>
          <w:rFonts w:ascii="Book Antiqua" w:eastAsia="Book Antiqua" w:hAnsi="Book Antiqua" w:cs="Book Antiqua"/>
          <w:color w:val="000000"/>
        </w:rPr>
        <w:t xml:space="preserve"> 2014; </w:t>
      </w:r>
      <w:r w:rsidRPr="00436841">
        <w:rPr>
          <w:rFonts w:ascii="Book Antiqua" w:eastAsia="Book Antiqua" w:hAnsi="Book Antiqua" w:cs="Book Antiqua"/>
          <w:b/>
          <w:bCs/>
          <w:color w:val="000000"/>
        </w:rPr>
        <w:t>18</w:t>
      </w:r>
      <w:r w:rsidRPr="00436841">
        <w:rPr>
          <w:rFonts w:ascii="Book Antiqua" w:eastAsia="Book Antiqua" w:hAnsi="Book Antiqua" w:cs="Book Antiqua"/>
          <w:color w:val="000000"/>
        </w:rPr>
        <w:t>: 562-572 [PMID: 24395070 DOI: 10.1007/s11605-013-2447-3]</w:t>
      </w:r>
    </w:p>
    <w:p w14:paraId="728C5B4F"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117 </w:t>
      </w:r>
      <w:r w:rsidRPr="00436841">
        <w:rPr>
          <w:rFonts w:ascii="Book Antiqua" w:eastAsia="Book Antiqua" w:hAnsi="Book Antiqua" w:cs="Book Antiqua"/>
          <w:b/>
          <w:bCs/>
          <w:color w:val="000000"/>
        </w:rPr>
        <w:t>Huang J</w:t>
      </w:r>
      <w:r w:rsidRPr="00436841">
        <w:rPr>
          <w:rFonts w:ascii="Book Antiqua" w:eastAsia="Book Antiqua" w:hAnsi="Book Antiqua" w:cs="Book Antiqua"/>
          <w:color w:val="000000"/>
        </w:rPr>
        <w:t xml:space="preserve">, Wang X, Zhu Y, Wang Z, Li J, Xu D, Wang S, Li TE, Lu L. Specific prognostic factors in hepatitis B virus-related and non-hepatitis B virus-related intrahepatic cholangiocarcinoma after macroscopic curative resection. </w:t>
      </w:r>
      <w:r w:rsidRPr="00436841">
        <w:rPr>
          <w:rFonts w:ascii="Book Antiqua" w:eastAsia="Book Antiqua" w:hAnsi="Book Antiqua" w:cs="Book Antiqua"/>
          <w:i/>
          <w:iCs/>
          <w:color w:val="000000"/>
        </w:rPr>
        <w:t>J Surg Oncol</w:t>
      </w:r>
      <w:r w:rsidRPr="00436841">
        <w:rPr>
          <w:rFonts w:ascii="Book Antiqua" w:eastAsia="Book Antiqua" w:hAnsi="Book Antiqua" w:cs="Book Antiqua"/>
          <w:color w:val="000000"/>
        </w:rPr>
        <w:t xml:space="preserve"> 2019; </w:t>
      </w:r>
      <w:r w:rsidRPr="00436841">
        <w:rPr>
          <w:rFonts w:ascii="Book Antiqua" w:eastAsia="Book Antiqua" w:hAnsi="Book Antiqua" w:cs="Book Antiqua"/>
          <w:b/>
          <w:bCs/>
          <w:color w:val="000000"/>
        </w:rPr>
        <w:t>119</w:t>
      </w:r>
      <w:r w:rsidRPr="00436841">
        <w:rPr>
          <w:rFonts w:ascii="Book Antiqua" w:eastAsia="Book Antiqua" w:hAnsi="Book Antiqua" w:cs="Book Antiqua"/>
          <w:color w:val="000000"/>
        </w:rPr>
        <w:t>: 40-46 [PMID: 30480811 DOI: 10.1002/jso.25303]</w:t>
      </w:r>
    </w:p>
    <w:p w14:paraId="0D97E96D"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118 </w:t>
      </w:r>
      <w:r w:rsidRPr="00436841">
        <w:rPr>
          <w:rFonts w:ascii="Book Antiqua" w:eastAsia="Book Antiqua" w:hAnsi="Book Antiqua" w:cs="Book Antiqua"/>
          <w:b/>
          <w:bCs/>
          <w:color w:val="000000"/>
        </w:rPr>
        <w:t>Jeong S</w:t>
      </w:r>
      <w:r w:rsidRPr="00436841">
        <w:rPr>
          <w:rFonts w:ascii="Book Antiqua" w:eastAsia="Book Antiqua" w:hAnsi="Book Antiqua" w:cs="Book Antiqua"/>
          <w:color w:val="000000"/>
        </w:rPr>
        <w:t xml:space="preserve">, Zheng B, Wang J, Chi J, Tong Y, Xia L, Xu N, Zhang J, Kong X, Gu J, Xia Q. Transarterial Chemoembolization: A Favorable Postoperative Management to Improve Prognosis of Hepatitis B Virus-associated Intrahepatic Cholangiocarcinoma after Surgical Resection. </w:t>
      </w:r>
      <w:r w:rsidRPr="00436841">
        <w:rPr>
          <w:rFonts w:ascii="Book Antiqua" w:eastAsia="Book Antiqua" w:hAnsi="Book Antiqua" w:cs="Book Antiqua"/>
          <w:i/>
          <w:iCs/>
          <w:color w:val="000000"/>
        </w:rPr>
        <w:t>Int J Biol Sci</w:t>
      </w:r>
      <w:r w:rsidRPr="00436841">
        <w:rPr>
          <w:rFonts w:ascii="Book Antiqua" w:eastAsia="Book Antiqua" w:hAnsi="Book Antiqua" w:cs="Book Antiqua"/>
          <w:color w:val="000000"/>
        </w:rPr>
        <w:t xml:space="preserve"> 2017; </w:t>
      </w:r>
      <w:r w:rsidRPr="00436841">
        <w:rPr>
          <w:rFonts w:ascii="Book Antiqua" w:eastAsia="Book Antiqua" w:hAnsi="Book Antiqua" w:cs="Book Antiqua"/>
          <w:b/>
          <w:bCs/>
          <w:color w:val="000000"/>
        </w:rPr>
        <w:t>13</w:t>
      </w:r>
      <w:r w:rsidRPr="00436841">
        <w:rPr>
          <w:rFonts w:ascii="Book Antiqua" w:eastAsia="Book Antiqua" w:hAnsi="Book Antiqua" w:cs="Book Antiqua"/>
          <w:color w:val="000000"/>
        </w:rPr>
        <w:t>: 1234-1241 [PMID: 29104490 DOI: 10.7150/ijbs.21149]</w:t>
      </w:r>
    </w:p>
    <w:p w14:paraId="17E2BAAA"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119 </w:t>
      </w:r>
      <w:r w:rsidRPr="00436841">
        <w:rPr>
          <w:rFonts w:ascii="Book Antiqua" w:eastAsia="Book Antiqua" w:hAnsi="Book Antiqua" w:cs="Book Antiqua"/>
          <w:b/>
          <w:bCs/>
          <w:color w:val="000000"/>
        </w:rPr>
        <w:t>Ma KW</w:t>
      </w:r>
      <w:r w:rsidRPr="00436841">
        <w:rPr>
          <w:rFonts w:ascii="Book Antiqua" w:eastAsia="Book Antiqua" w:hAnsi="Book Antiqua" w:cs="Book Antiqua"/>
          <w:color w:val="000000"/>
        </w:rPr>
        <w:t xml:space="preserve">, Cheung TT, Leung B, She BWH, Chok KSH, Chan ACY, Dai WC, Lo CM. Adjuvant chemotherapy improves oncological outcomes of resectable intrahepatic cholangiocarcinoma: A meta-analysis. </w:t>
      </w:r>
      <w:r w:rsidRPr="00436841">
        <w:rPr>
          <w:rFonts w:ascii="Book Antiqua" w:eastAsia="Book Antiqua" w:hAnsi="Book Antiqua" w:cs="Book Antiqua"/>
          <w:i/>
          <w:iCs/>
          <w:color w:val="000000"/>
        </w:rPr>
        <w:t>Medicine (Baltimore)</w:t>
      </w:r>
      <w:r w:rsidRPr="00436841">
        <w:rPr>
          <w:rFonts w:ascii="Book Antiqua" w:eastAsia="Book Antiqua" w:hAnsi="Book Antiqua" w:cs="Book Antiqua"/>
          <w:color w:val="000000"/>
        </w:rPr>
        <w:t xml:space="preserve"> 2019; </w:t>
      </w:r>
      <w:r w:rsidRPr="00436841">
        <w:rPr>
          <w:rFonts w:ascii="Book Antiqua" w:eastAsia="Book Antiqua" w:hAnsi="Book Antiqua" w:cs="Book Antiqua"/>
          <w:b/>
          <w:bCs/>
          <w:color w:val="000000"/>
        </w:rPr>
        <w:t>98</w:t>
      </w:r>
      <w:r w:rsidRPr="00436841">
        <w:rPr>
          <w:rFonts w:ascii="Book Antiqua" w:eastAsia="Book Antiqua" w:hAnsi="Book Antiqua" w:cs="Book Antiqua"/>
          <w:color w:val="000000"/>
        </w:rPr>
        <w:t>: e14013 [PMID: 30702559 DOI: 10.1097/MD.0000000000014013]</w:t>
      </w:r>
    </w:p>
    <w:p w14:paraId="701FCAD8"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120 </w:t>
      </w:r>
      <w:r w:rsidRPr="00436841">
        <w:rPr>
          <w:rFonts w:ascii="Book Antiqua" w:eastAsia="Book Antiqua" w:hAnsi="Book Antiqua" w:cs="Book Antiqua"/>
          <w:b/>
          <w:bCs/>
          <w:color w:val="000000"/>
        </w:rPr>
        <w:t>Edeline J</w:t>
      </w:r>
      <w:r w:rsidRPr="00436841">
        <w:rPr>
          <w:rFonts w:ascii="Book Antiqua" w:eastAsia="Book Antiqua" w:hAnsi="Book Antiqua" w:cs="Book Antiqua"/>
          <w:color w:val="000000"/>
        </w:rPr>
        <w:t xml:space="preserve">, Benabdelghani M, Bertaut A, Watelet J, Hammel P, Joly JP, Boudjema K, Fartoux L, Bouhier-Leporrier K, Jouve JL, Faroux R, Guerin-Meyer V, Kurtz JE, Assénat E, Seitz JF, Baumgaertner I, Tougeron D, de la Fouchardière C, Lombard-Bohas C, Boucher E, Stanbury T, Louvet C, Malka D, Phelip JM. Gemcitabine and Oxaliplatin Chemotherapy or Surveillance in Resected Biliary Tract Cancer (PRODIGE 12-ACCORD 18-UNICANCER GI): A Randomized Phase III Study. </w:t>
      </w:r>
      <w:r w:rsidRPr="00436841">
        <w:rPr>
          <w:rFonts w:ascii="Book Antiqua" w:eastAsia="Book Antiqua" w:hAnsi="Book Antiqua" w:cs="Book Antiqua"/>
          <w:i/>
          <w:iCs/>
          <w:color w:val="000000"/>
        </w:rPr>
        <w:t>J Clin Oncol</w:t>
      </w:r>
      <w:r w:rsidRPr="00436841">
        <w:rPr>
          <w:rFonts w:ascii="Book Antiqua" w:eastAsia="Book Antiqua" w:hAnsi="Book Antiqua" w:cs="Book Antiqua"/>
          <w:color w:val="000000"/>
        </w:rPr>
        <w:t xml:space="preserve"> 2019; </w:t>
      </w:r>
      <w:r w:rsidRPr="00436841">
        <w:rPr>
          <w:rFonts w:ascii="Book Antiqua" w:eastAsia="Book Antiqua" w:hAnsi="Book Antiqua" w:cs="Book Antiqua"/>
          <w:b/>
          <w:bCs/>
          <w:color w:val="000000"/>
        </w:rPr>
        <w:t>37</w:t>
      </w:r>
      <w:r w:rsidRPr="00436841">
        <w:rPr>
          <w:rFonts w:ascii="Book Antiqua" w:eastAsia="Book Antiqua" w:hAnsi="Book Antiqua" w:cs="Book Antiqua"/>
          <w:color w:val="000000"/>
        </w:rPr>
        <w:t>: 658-667 [PMID: 30707660 DOI: 10.1200/JCO.18.00050]</w:t>
      </w:r>
    </w:p>
    <w:p w14:paraId="0EB5BE6D"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121 </w:t>
      </w:r>
      <w:r w:rsidRPr="00436841">
        <w:rPr>
          <w:rFonts w:ascii="Book Antiqua" w:eastAsia="Book Antiqua" w:hAnsi="Book Antiqua" w:cs="Book Antiqua"/>
          <w:b/>
          <w:bCs/>
          <w:color w:val="000000"/>
        </w:rPr>
        <w:t>Primrose JN</w:t>
      </w:r>
      <w:r w:rsidRPr="00436841">
        <w:rPr>
          <w:rFonts w:ascii="Book Antiqua" w:eastAsia="Book Antiqua" w:hAnsi="Book Antiqua" w:cs="Book Antiqua"/>
          <w:color w:val="000000"/>
        </w:rPr>
        <w:t xml:space="preserve">, Fox RP, Palmer DH, Malik HZ, Prasad R, Mirza D, Anthony A, Corrie P, Falk S, Finch-Jones M, Wasan H, Ross P, Wall L, Wadsley J, Evans JTR, Stocken D, Praseedom R, Ma YT, Davidson B, Neoptolemos JP, Iveson T, Raftery J, Zhu S, </w:t>
      </w:r>
      <w:r w:rsidRPr="00436841">
        <w:rPr>
          <w:rFonts w:ascii="Book Antiqua" w:eastAsia="Book Antiqua" w:hAnsi="Book Antiqua" w:cs="Book Antiqua"/>
          <w:color w:val="000000"/>
        </w:rPr>
        <w:lastRenderedPageBreak/>
        <w:t xml:space="preserve">Cunningham D, Garden OJ, Stubbs C, Valle JW, Bridgewater J; BILCAP study group. Capecitabine compared with observation in resected biliary tract cancer (BILCAP): a randomised, controlled, multicentre, phase 3 study. </w:t>
      </w:r>
      <w:r w:rsidRPr="00436841">
        <w:rPr>
          <w:rFonts w:ascii="Book Antiqua" w:eastAsia="Book Antiqua" w:hAnsi="Book Antiqua" w:cs="Book Antiqua"/>
          <w:i/>
          <w:iCs/>
          <w:color w:val="000000"/>
        </w:rPr>
        <w:t>Lancet Oncol</w:t>
      </w:r>
      <w:r w:rsidRPr="00436841">
        <w:rPr>
          <w:rFonts w:ascii="Book Antiqua" w:eastAsia="Book Antiqua" w:hAnsi="Book Antiqua" w:cs="Book Antiqua"/>
          <w:color w:val="000000"/>
        </w:rPr>
        <w:t xml:space="preserve"> 2019; </w:t>
      </w:r>
      <w:r w:rsidRPr="00436841">
        <w:rPr>
          <w:rFonts w:ascii="Book Antiqua" w:eastAsia="Book Antiqua" w:hAnsi="Book Antiqua" w:cs="Book Antiqua"/>
          <w:b/>
          <w:bCs/>
          <w:color w:val="000000"/>
        </w:rPr>
        <w:t>20</w:t>
      </w:r>
      <w:r w:rsidRPr="00436841">
        <w:rPr>
          <w:rFonts w:ascii="Book Antiqua" w:eastAsia="Book Antiqua" w:hAnsi="Book Antiqua" w:cs="Book Antiqua"/>
          <w:color w:val="000000"/>
        </w:rPr>
        <w:t>: 663-673 [PMID: 30922733 DOI: 10.1016/S1470-2045(18)30915-X]</w:t>
      </w:r>
    </w:p>
    <w:p w14:paraId="6D571C1C"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122 </w:t>
      </w:r>
      <w:r w:rsidRPr="00436841">
        <w:rPr>
          <w:rFonts w:ascii="Book Antiqua" w:eastAsia="Book Antiqua" w:hAnsi="Book Antiqua" w:cs="Book Antiqua"/>
          <w:b/>
          <w:bCs/>
          <w:color w:val="000000"/>
        </w:rPr>
        <w:t>Shroff RT</w:t>
      </w:r>
      <w:r w:rsidRPr="00436841">
        <w:rPr>
          <w:rFonts w:ascii="Book Antiqua" w:eastAsia="Book Antiqua" w:hAnsi="Book Antiqua" w:cs="Book Antiqua"/>
          <w:color w:val="000000"/>
        </w:rPr>
        <w:t xml:space="preserve">, Kennedy EB, Bachini M, Bekaii-Saab T, Crane C, Edeline J, El-Khoueiry A, Feng M, Katz MHG, Primrose J, Soares HP, Valle J, Maithel SK. Adjuvant Therapy for Resected Biliary Tract Cancer: ASCO Clinical Practice Guideline. </w:t>
      </w:r>
      <w:r w:rsidRPr="00436841">
        <w:rPr>
          <w:rFonts w:ascii="Book Antiqua" w:eastAsia="Book Antiqua" w:hAnsi="Book Antiqua" w:cs="Book Antiqua"/>
          <w:i/>
          <w:iCs/>
          <w:color w:val="000000"/>
        </w:rPr>
        <w:t>J Clin Oncol</w:t>
      </w:r>
      <w:r w:rsidRPr="00436841">
        <w:rPr>
          <w:rFonts w:ascii="Book Antiqua" w:eastAsia="Book Antiqua" w:hAnsi="Book Antiqua" w:cs="Book Antiqua"/>
          <w:color w:val="000000"/>
        </w:rPr>
        <w:t xml:space="preserve"> 2019; </w:t>
      </w:r>
      <w:r w:rsidRPr="00436841">
        <w:rPr>
          <w:rFonts w:ascii="Book Antiqua" w:eastAsia="Book Antiqua" w:hAnsi="Book Antiqua" w:cs="Book Antiqua"/>
          <w:b/>
          <w:bCs/>
          <w:color w:val="000000"/>
        </w:rPr>
        <w:t>37</w:t>
      </w:r>
      <w:r w:rsidRPr="00436841">
        <w:rPr>
          <w:rFonts w:ascii="Book Antiqua" w:eastAsia="Book Antiqua" w:hAnsi="Book Antiqua" w:cs="Book Antiqua"/>
          <w:color w:val="000000"/>
        </w:rPr>
        <w:t>: 1015-1027 [PMID: 30856044 DOI: 10.1200/JCO.18.02178]</w:t>
      </w:r>
    </w:p>
    <w:p w14:paraId="41DE4712"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123 </w:t>
      </w:r>
      <w:r w:rsidRPr="00436841">
        <w:rPr>
          <w:rFonts w:ascii="Book Antiqua" w:eastAsia="Book Antiqua" w:hAnsi="Book Antiqua" w:cs="Book Antiqua"/>
          <w:b/>
          <w:bCs/>
          <w:color w:val="000000"/>
        </w:rPr>
        <w:t>Lei Z</w:t>
      </w:r>
      <w:r w:rsidRPr="00436841">
        <w:rPr>
          <w:rFonts w:ascii="Book Antiqua" w:eastAsia="Book Antiqua" w:hAnsi="Book Antiqua" w:cs="Book Antiqua"/>
          <w:color w:val="000000"/>
        </w:rPr>
        <w:t xml:space="preserve">, Xia Y, Si A, Wang K, Li J, Yan Z, Yang T, Wu D, Wan X, Zhou W, Liu J, Wang H, Cong W, Wu M, Pawlik TM, Lau WY, Shen F. Antiviral therapy improves survival in patients with HBV infection and intrahepatic cholangiocarcinoma undergoing liver resection. </w:t>
      </w:r>
      <w:r w:rsidRPr="00436841">
        <w:rPr>
          <w:rFonts w:ascii="Book Antiqua" w:eastAsia="Book Antiqua" w:hAnsi="Book Antiqua" w:cs="Book Antiqua"/>
          <w:i/>
          <w:iCs/>
          <w:color w:val="000000"/>
        </w:rPr>
        <w:t>J Hepatol</w:t>
      </w:r>
      <w:r w:rsidRPr="00436841">
        <w:rPr>
          <w:rFonts w:ascii="Book Antiqua" w:eastAsia="Book Antiqua" w:hAnsi="Book Antiqua" w:cs="Book Antiqua"/>
          <w:color w:val="000000"/>
        </w:rPr>
        <w:t xml:space="preserve"> 2018; </w:t>
      </w:r>
      <w:r w:rsidRPr="00436841">
        <w:rPr>
          <w:rFonts w:ascii="Book Antiqua" w:eastAsia="Book Antiqua" w:hAnsi="Book Antiqua" w:cs="Book Antiqua"/>
          <w:b/>
          <w:bCs/>
          <w:color w:val="000000"/>
        </w:rPr>
        <w:t>68</w:t>
      </w:r>
      <w:r w:rsidRPr="00436841">
        <w:rPr>
          <w:rFonts w:ascii="Book Antiqua" w:eastAsia="Book Antiqua" w:hAnsi="Book Antiqua" w:cs="Book Antiqua"/>
          <w:color w:val="000000"/>
        </w:rPr>
        <w:t>: 655-662 [PMID: 29155069 DOI: 10.1016/j.jhep.2017.11.015]</w:t>
      </w:r>
    </w:p>
    <w:p w14:paraId="075962C5"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124 </w:t>
      </w:r>
      <w:r w:rsidRPr="00436841">
        <w:rPr>
          <w:rFonts w:ascii="Book Antiqua" w:eastAsia="Book Antiqua" w:hAnsi="Book Antiqua" w:cs="Book Antiqua"/>
          <w:b/>
          <w:bCs/>
          <w:color w:val="000000"/>
        </w:rPr>
        <w:t>Lee TY</w:t>
      </w:r>
      <w:r w:rsidRPr="00436841">
        <w:rPr>
          <w:rFonts w:ascii="Book Antiqua" w:eastAsia="Book Antiqua" w:hAnsi="Book Antiqua" w:cs="Book Antiqua"/>
          <w:color w:val="000000"/>
        </w:rPr>
        <w:t xml:space="preserve">, Hsu YC, Yu SH, Lin JT, Wu MS, Wu CY. Effect of Nucleos(t)ide Analogue Therapy on Risk of Intrahepatic Cholangiocarcinoma in Patients With Chronic Hepatitis B. </w:t>
      </w:r>
      <w:r w:rsidRPr="00436841">
        <w:rPr>
          <w:rFonts w:ascii="Book Antiqua" w:eastAsia="Book Antiqua" w:hAnsi="Book Antiqua" w:cs="Book Antiqua"/>
          <w:i/>
          <w:iCs/>
          <w:color w:val="000000"/>
        </w:rPr>
        <w:t>Clin Gastroenterol Hepatol</w:t>
      </w:r>
      <w:r w:rsidRPr="00436841">
        <w:rPr>
          <w:rFonts w:ascii="Book Antiqua" w:eastAsia="Book Antiqua" w:hAnsi="Book Antiqua" w:cs="Book Antiqua"/>
          <w:color w:val="000000"/>
        </w:rPr>
        <w:t xml:space="preserve"> 2018; </w:t>
      </w:r>
      <w:r w:rsidRPr="00436841">
        <w:rPr>
          <w:rFonts w:ascii="Book Antiqua" w:eastAsia="Book Antiqua" w:hAnsi="Book Antiqua" w:cs="Book Antiqua"/>
          <w:b/>
          <w:bCs/>
          <w:color w:val="000000"/>
        </w:rPr>
        <w:t>16</w:t>
      </w:r>
      <w:r w:rsidRPr="00436841">
        <w:rPr>
          <w:rFonts w:ascii="Book Antiqua" w:eastAsia="Book Antiqua" w:hAnsi="Book Antiqua" w:cs="Book Antiqua"/>
          <w:color w:val="000000"/>
        </w:rPr>
        <w:t>: 947-954.e4 [PMID: 28951229 DOI: 10.1016/j.cgh.2017.09.031]</w:t>
      </w:r>
    </w:p>
    <w:p w14:paraId="0B2EE242"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125 </w:t>
      </w:r>
      <w:r w:rsidRPr="00436841">
        <w:rPr>
          <w:rFonts w:ascii="Book Antiqua" w:eastAsia="Book Antiqua" w:hAnsi="Book Antiqua" w:cs="Book Antiqua"/>
          <w:b/>
          <w:bCs/>
          <w:color w:val="000000"/>
        </w:rPr>
        <w:t>Sapisochin G</w:t>
      </w:r>
      <w:r w:rsidRPr="00436841">
        <w:rPr>
          <w:rFonts w:ascii="Book Antiqua" w:eastAsia="Book Antiqua" w:hAnsi="Book Antiqua" w:cs="Book Antiqua"/>
          <w:color w:val="000000"/>
        </w:rPr>
        <w:t xml:space="preserve">, de Lope CR, Gastaca M, de Urbina JO, López-Andujar R, Palacios F, Ramos E, Fabregat J, Castroagudín JF, Varo E, Pons JA, Parrilla P, González-Diéguez ML, Rodriguez M, Otero A, Vazquez MA, Zozaya G, Herrero JI, Antolin GS, Perez B, Ciria R, Rufian S, Fundora Y, Ferron JA, Guiberteau A, Blanco G, Varona MA, Barrera MA, Suarez MA, Santoyo J, Bruix J, Charco R. Intrahepatic cholangiocarcinoma or mixed hepatocellular-cholangiocarcinoma in patients undergoing liver transplantation: a Spanish matched cohort multicenter study. </w:t>
      </w:r>
      <w:r w:rsidRPr="00436841">
        <w:rPr>
          <w:rFonts w:ascii="Book Antiqua" w:eastAsia="Book Antiqua" w:hAnsi="Book Antiqua" w:cs="Book Antiqua"/>
          <w:i/>
          <w:iCs/>
          <w:color w:val="000000"/>
        </w:rPr>
        <w:t>Ann Surg</w:t>
      </w:r>
      <w:r w:rsidRPr="00436841">
        <w:rPr>
          <w:rFonts w:ascii="Book Antiqua" w:eastAsia="Book Antiqua" w:hAnsi="Book Antiqua" w:cs="Book Antiqua"/>
          <w:color w:val="000000"/>
        </w:rPr>
        <w:t xml:space="preserve"> 2014; </w:t>
      </w:r>
      <w:r w:rsidRPr="00436841">
        <w:rPr>
          <w:rFonts w:ascii="Book Antiqua" w:eastAsia="Book Antiqua" w:hAnsi="Book Antiqua" w:cs="Book Antiqua"/>
          <w:b/>
          <w:bCs/>
          <w:color w:val="000000"/>
        </w:rPr>
        <w:t>259</w:t>
      </w:r>
      <w:r w:rsidRPr="00436841">
        <w:rPr>
          <w:rFonts w:ascii="Book Antiqua" w:eastAsia="Book Antiqua" w:hAnsi="Book Antiqua" w:cs="Book Antiqua"/>
          <w:color w:val="000000"/>
        </w:rPr>
        <w:t>: 944-952 [PMID: 24441817 DOI: 10.1097/SLA.0000000000000494]</w:t>
      </w:r>
    </w:p>
    <w:p w14:paraId="20AAA46B"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126 </w:t>
      </w:r>
      <w:r w:rsidRPr="00436841">
        <w:rPr>
          <w:rFonts w:ascii="Book Antiqua" w:eastAsia="Book Antiqua" w:hAnsi="Book Antiqua" w:cs="Book Antiqua"/>
          <w:b/>
          <w:bCs/>
          <w:color w:val="000000"/>
        </w:rPr>
        <w:t>Facciuto ME</w:t>
      </w:r>
      <w:r w:rsidRPr="00436841">
        <w:rPr>
          <w:rFonts w:ascii="Book Antiqua" w:eastAsia="Book Antiqua" w:hAnsi="Book Antiqua" w:cs="Book Antiqua"/>
          <w:color w:val="000000"/>
        </w:rPr>
        <w:t xml:space="preserve">, Singh MK, Lubezky N, Selim MA, Robinson D, Kim-Schluger L, Florman S, Ward SC, Thung SN, Fiel M, Schiano TD. Tumors with intrahepatic bile duct differentiation in cirrhosis: implications on outcomes after liver transplantation. </w:t>
      </w:r>
      <w:r w:rsidRPr="00436841">
        <w:rPr>
          <w:rFonts w:ascii="Book Antiqua" w:eastAsia="Book Antiqua" w:hAnsi="Book Antiqua" w:cs="Book Antiqua"/>
          <w:i/>
          <w:iCs/>
          <w:color w:val="000000"/>
        </w:rPr>
        <w:t>Transplantation</w:t>
      </w:r>
      <w:r w:rsidRPr="00436841">
        <w:rPr>
          <w:rFonts w:ascii="Book Antiqua" w:eastAsia="Book Antiqua" w:hAnsi="Book Antiqua" w:cs="Book Antiqua"/>
          <w:color w:val="000000"/>
        </w:rPr>
        <w:t xml:space="preserve"> 2015; </w:t>
      </w:r>
      <w:r w:rsidRPr="00436841">
        <w:rPr>
          <w:rFonts w:ascii="Book Antiqua" w:eastAsia="Book Antiqua" w:hAnsi="Book Antiqua" w:cs="Book Antiqua"/>
          <w:b/>
          <w:bCs/>
          <w:color w:val="000000"/>
        </w:rPr>
        <w:t>99</w:t>
      </w:r>
      <w:r w:rsidRPr="00436841">
        <w:rPr>
          <w:rFonts w:ascii="Book Antiqua" w:eastAsia="Book Antiqua" w:hAnsi="Book Antiqua" w:cs="Book Antiqua"/>
          <w:color w:val="000000"/>
        </w:rPr>
        <w:t>: 151-157 [PMID: 25029385 DOI: 10.1097/TP.0000000000000286]</w:t>
      </w:r>
    </w:p>
    <w:p w14:paraId="4D725751"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127 </w:t>
      </w:r>
      <w:r w:rsidRPr="00436841">
        <w:rPr>
          <w:rFonts w:ascii="Book Antiqua" w:eastAsia="Book Antiqua" w:hAnsi="Book Antiqua" w:cs="Book Antiqua"/>
          <w:b/>
          <w:bCs/>
          <w:color w:val="000000"/>
        </w:rPr>
        <w:t>Sotiropoulos GC</w:t>
      </w:r>
      <w:r w:rsidRPr="00436841">
        <w:rPr>
          <w:rFonts w:ascii="Book Antiqua" w:eastAsia="Book Antiqua" w:hAnsi="Book Antiqua" w:cs="Book Antiqua"/>
          <w:color w:val="000000"/>
        </w:rPr>
        <w:t xml:space="preserve">, Kaiser GM, Lang H, Molmenti EP, Beckebaum S, Fouzas I, Sgourakis G, Radtke A, Bockhorn M, Nadalin S, Treckmann J, Niebel W, Baba HA, </w:t>
      </w:r>
      <w:r w:rsidRPr="00436841">
        <w:rPr>
          <w:rFonts w:ascii="Book Antiqua" w:eastAsia="Book Antiqua" w:hAnsi="Book Antiqua" w:cs="Book Antiqua"/>
          <w:color w:val="000000"/>
        </w:rPr>
        <w:lastRenderedPageBreak/>
        <w:t xml:space="preserve">Broelsch CE, Paul A. Liver transplantation as a primary indication for intrahepatic cholangiocarcinoma: a single-center experience. </w:t>
      </w:r>
      <w:r w:rsidRPr="00436841">
        <w:rPr>
          <w:rFonts w:ascii="Book Antiqua" w:eastAsia="Book Antiqua" w:hAnsi="Book Antiqua" w:cs="Book Antiqua"/>
          <w:i/>
          <w:iCs/>
          <w:color w:val="000000"/>
        </w:rPr>
        <w:t>Transplant Proc</w:t>
      </w:r>
      <w:r w:rsidRPr="00436841">
        <w:rPr>
          <w:rFonts w:ascii="Book Antiqua" w:eastAsia="Book Antiqua" w:hAnsi="Book Antiqua" w:cs="Book Antiqua"/>
          <w:color w:val="000000"/>
        </w:rPr>
        <w:t xml:space="preserve"> 2008; </w:t>
      </w:r>
      <w:r w:rsidRPr="00436841">
        <w:rPr>
          <w:rFonts w:ascii="Book Antiqua" w:eastAsia="Book Antiqua" w:hAnsi="Book Antiqua" w:cs="Book Antiqua"/>
          <w:b/>
          <w:bCs/>
          <w:color w:val="000000"/>
        </w:rPr>
        <w:t>40</w:t>
      </w:r>
      <w:r w:rsidRPr="00436841">
        <w:rPr>
          <w:rFonts w:ascii="Book Antiqua" w:eastAsia="Book Antiqua" w:hAnsi="Book Antiqua" w:cs="Book Antiqua"/>
          <w:color w:val="000000"/>
        </w:rPr>
        <w:t>: 3194-3195 [PMID: 19010231 DOI: 10.1016/j.transproceed.2008.08.053]</w:t>
      </w:r>
    </w:p>
    <w:p w14:paraId="368C8BFA"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128 </w:t>
      </w:r>
      <w:r w:rsidRPr="00436841">
        <w:rPr>
          <w:rFonts w:ascii="Book Antiqua" w:eastAsia="Book Antiqua" w:hAnsi="Book Antiqua" w:cs="Book Antiqua"/>
          <w:b/>
          <w:bCs/>
          <w:color w:val="000000"/>
        </w:rPr>
        <w:t>Friman S</w:t>
      </w:r>
      <w:r w:rsidRPr="00436841">
        <w:rPr>
          <w:rFonts w:ascii="Book Antiqua" w:eastAsia="Book Antiqua" w:hAnsi="Book Antiqua" w:cs="Book Antiqua"/>
          <w:color w:val="000000"/>
        </w:rPr>
        <w:t xml:space="preserve">, Foss A, Isoniemi H, Olausson M, Höckerstedt K, Yamamoto S, Karlsen TH, Rizell M, Ericzon BG. Liver transplantation for cholangiocarcinoma: selection is essential for acceptable results. </w:t>
      </w:r>
      <w:r w:rsidRPr="00436841">
        <w:rPr>
          <w:rFonts w:ascii="Book Antiqua" w:eastAsia="Book Antiqua" w:hAnsi="Book Antiqua" w:cs="Book Antiqua"/>
          <w:i/>
          <w:iCs/>
          <w:color w:val="000000"/>
        </w:rPr>
        <w:t>Scand J Gastroenterol</w:t>
      </w:r>
      <w:r w:rsidRPr="00436841">
        <w:rPr>
          <w:rFonts w:ascii="Book Antiqua" w:eastAsia="Book Antiqua" w:hAnsi="Book Antiqua" w:cs="Book Antiqua"/>
          <w:color w:val="000000"/>
        </w:rPr>
        <w:t xml:space="preserve"> 2011; </w:t>
      </w:r>
      <w:r w:rsidRPr="00436841">
        <w:rPr>
          <w:rFonts w:ascii="Book Antiqua" w:eastAsia="Book Antiqua" w:hAnsi="Book Antiqua" w:cs="Book Antiqua"/>
          <w:b/>
          <w:bCs/>
          <w:color w:val="000000"/>
        </w:rPr>
        <w:t>46</w:t>
      </w:r>
      <w:r w:rsidRPr="00436841">
        <w:rPr>
          <w:rFonts w:ascii="Book Antiqua" w:eastAsia="Book Antiqua" w:hAnsi="Book Antiqua" w:cs="Book Antiqua"/>
          <w:color w:val="000000"/>
        </w:rPr>
        <w:t>: 370-375 [PMID: 21073376 DOI: 10.3109/00365521.2010.533384]</w:t>
      </w:r>
    </w:p>
    <w:p w14:paraId="48E2CF96"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129 </w:t>
      </w:r>
      <w:r w:rsidRPr="00436841">
        <w:rPr>
          <w:rFonts w:ascii="Book Antiqua" w:eastAsia="Book Antiqua" w:hAnsi="Book Antiqua" w:cs="Book Antiqua"/>
          <w:b/>
          <w:bCs/>
          <w:color w:val="000000"/>
        </w:rPr>
        <w:t>Sapisochin G</w:t>
      </w:r>
      <w:r w:rsidRPr="00436841">
        <w:rPr>
          <w:rFonts w:ascii="Book Antiqua" w:eastAsia="Book Antiqua" w:hAnsi="Book Antiqua" w:cs="Book Antiqua"/>
          <w:color w:val="000000"/>
        </w:rPr>
        <w:t xml:space="preserve">, Rodríguez de Lope C, Gastaca M, Ortiz de Urbina J, Suarez MA, Santoyo J, Castroagudín JF, Varo E, López-Andujar R, Palacios F, Sanchez Antolín G, Perez B, Guiberteau A, Blanco G, González-Diéguez ML, Rodriguez M, Varona MA, Barrera MA, Fundora Y, Ferron JA, Ramos E, Fabregat J, Ciria R, Rufian S, Otero A, Vazquez MA, Pons JA, Parrilla P, Zozaya G, Herrero JI, Charco R, Bruix J. "Very early" intrahepatic cholangiocarcinoma in cirrhotic patients: should liver transplantation be reconsidered in these patients? </w:t>
      </w:r>
      <w:r w:rsidRPr="00436841">
        <w:rPr>
          <w:rFonts w:ascii="Book Antiqua" w:eastAsia="Book Antiqua" w:hAnsi="Book Antiqua" w:cs="Book Antiqua"/>
          <w:i/>
          <w:iCs/>
          <w:color w:val="000000"/>
        </w:rPr>
        <w:t>Am J Transplant</w:t>
      </w:r>
      <w:r w:rsidRPr="00436841">
        <w:rPr>
          <w:rFonts w:ascii="Book Antiqua" w:eastAsia="Book Antiqua" w:hAnsi="Book Antiqua" w:cs="Book Antiqua"/>
          <w:color w:val="000000"/>
        </w:rPr>
        <w:t xml:space="preserve"> 2014; </w:t>
      </w:r>
      <w:r w:rsidRPr="00436841">
        <w:rPr>
          <w:rFonts w:ascii="Book Antiqua" w:eastAsia="Book Antiqua" w:hAnsi="Book Antiqua" w:cs="Book Antiqua"/>
          <w:b/>
          <w:bCs/>
          <w:color w:val="000000"/>
        </w:rPr>
        <w:t>14</w:t>
      </w:r>
      <w:r w:rsidRPr="00436841">
        <w:rPr>
          <w:rFonts w:ascii="Book Antiqua" w:eastAsia="Book Antiqua" w:hAnsi="Book Antiqua" w:cs="Book Antiqua"/>
          <w:color w:val="000000"/>
        </w:rPr>
        <w:t>: 660-667 [PMID: 24410861 DOI: 10.1111/ajt.12591]</w:t>
      </w:r>
    </w:p>
    <w:p w14:paraId="40427832"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130 </w:t>
      </w:r>
      <w:r w:rsidRPr="00436841">
        <w:rPr>
          <w:rFonts w:ascii="Book Antiqua" w:eastAsia="Book Antiqua" w:hAnsi="Book Antiqua" w:cs="Book Antiqua"/>
          <w:b/>
          <w:bCs/>
          <w:color w:val="000000"/>
        </w:rPr>
        <w:t>Ziogas IA</w:t>
      </w:r>
      <w:r w:rsidRPr="00436841">
        <w:rPr>
          <w:rFonts w:ascii="Book Antiqua" w:eastAsia="Book Antiqua" w:hAnsi="Book Antiqua" w:cs="Book Antiqua"/>
          <w:color w:val="000000"/>
        </w:rPr>
        <w:t xml:space="preserve">, Giannis D, Economopoulos KP, Hayat MH, Montenovo MI, Matsuoka LK, Alexopoulos SP. Liver Transplantation for Intrahepatic Cholangiocarcinoma: A Meta-analysis and Meta-regression of Survival Rates. </w:t>
      </w:r>
      <w:r w:rsidRPr="00436841">
        <w:rPr>
          <w:rFonts w:ascii="Book Antiqua" w:eastAsia="Book Antiqua" w:hAnsi="Book Antiqua" w:cs="Book Antiqua"/>
          <w:i/>
          <w:iCs/>
          <w:color w:val="000000"/>
        </w:rPr>
        <w:t>Transplantation</w:t>
      </w:r>
      <w:r w:rsidRPr="00436841">
        <w:rPr>
          <w:rFonts w:ascii="Book Antiqua" w:eastAsia="Book Antiqua" w:hAnsi="Book Antiqua" w:cs="Book Antiqua"/>
          <w:color w:val="000000"/>
        </w:rPr>
        <w:t xml:space="preserve"> 2020 [PMID: 33196623 DOI: 10.1097/TP.0000000000003539]</w:t>
      </w:r>
    </w:p>
    <w:p w14:paraId="5109F3AD"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131 </w:t>
      </w:r>
      <w:r w:rsidRPr="00436841">
        <w:rPr>
          <w:rFonts w:ascii="Book Antiqua" w:eastAsia="Book Antiqua" w:hAnsi="Book Antiqua" w:cs="Book Antiqua"/>
          <w:b/>
          <w:bCs/>
          <w:color w:val="000000"/>
        </w:rPr>
        <w:t>Rana A</w:t>
      </w:r>
      <w:r w:rsidRPr="00436841">
        <w:rPr>
          <w:rFonts w:ascii="Book Antiqua" w:eastAsia="Book Antiqua" w:hAnsi="Book Antiqua" w:cs="Book Antiqua"/>
          <w:color w:val="000000"/>
        </w:rPr>
        <w:t xml:space="preserve">, Hong JC. Orthotopic liver transplantation in combination with neoadjuvant therapy: a new paradigm in the treatment of unresectable intrahepatic cholangiocarcinoma. </w:t>
      </w:r>
      <w:r w:rsidRPr="00436841">
        <w:rPr>
          <w:rFonts w:ascii="Book Antiqua" w:eastAsia="Book Antiqua" w:hAnsi="Book Antiqua" w:cs="Book Antiqua"/>
          <w:i/>
          <w:iCs/>
          <w:color w:val="000000"/>
        </w:rPr>
        <w:t>Curr Opin Gastroenterol</w:t>
      </w:r>
      <w:r w:rsidRPr="00436841">
        <w:rPr>
          <w:rFonts w:ascii="Book Antiqua" w:eastAsia="Book Antiqua" w:hAnsi="Book Antiqua" w:cs="Book Antiqua"/>
          <w:color w:val="000000"/>
        </w:rPr>
        <w:t xml:space="preserve"> 2012; </w:t>
      </w:r>
      <w:r w:rsidRPr="00436841">
        <w:rPr>
          <w:rFonts w:ascii="Book Antiqua" w:eastAsia="Book Antiqua" w:hAnsi="Book Antiqua" w:cs="Book Antiqua"/>
          <w:b/>
          <w:bCs/>
          <w:color w:val="000000"/>
        </w:rPr>
        <w:t>28</w:t>
      </w:r>
      <w:r w:rsidRPr="00436841">
        <w:rPr>
          <w:rFonts w:ascii="Book Antiqua" w:eastAsia="Book Antiqua" w:hAnsi="Book Antiqua" w:cs="Book Antiqua"/>
          <w:color w:val="000000"/>
        </w:rPr>
        <w:t>: 258-265 [PMID: 22333563 DOI: 10.1097/MOG.0b013e32835168db]</w:t>
      </w:r>
    </w:p>
    <w:p w14:paraId="05D601B4"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132 </w:t>
      </w:r>
      <w:r w:rsidRPr="00436841">
        <w:rPr>
          <w:rFonts w:ascii="Book Antiqua" w:eastAsia="Book Antiqua" w:hAnsi="Book Antiqua" w:cs="Book Antiqua"/>
          <w:b/>
          <w:bCs/>
          <w:color w:val="000000"/>
        </w:rPr>
        <w:t>Lunsford KE</w:t>
      </w:r>
      <w:r w:rsidRPr="00436841">
        <w:rPr>
          <w:rFonts w:ascii="Book Antiqua" w:eastAsia="Book Antiqua" w:hAnsi="Book Antiqua" w:cs="Book Antiqua"/>
          <w:color w:val="000000"/>
        </w:rPr>
        <w:t xml:space="preserve">, Javle M, Heyne K, Shroff RT, Abdel-Wahab R, Gupta N, Mobley CM, Saharia A, Victor DW, Nguyen DT, Graviss EA, Kaseb AO, McFadden RS, Aloia TA, Conrad C, Li XC, Monsour HP, Gaber AO, Vauthey JN, Ghobrial RM; Methodist–MD Anderson Joint Cholangiocarcinoma Collaborative Committee (MMAJCCC). Liver transplantation for locally advanced intrahepatic cholangiocarcinoma treated with neoadjuvant therapy: a prospective case-series. </w:t>
      </w:r>
      <w:r w:rsidRPr="00436841">
        <w:rPr>
          <w:rFonts w:ascii="Book Antiqua" w:eastAsia="Book Antiqua" w:hAnsi="Book Antiqua" w:cs="Book Antiqua"/>
          <w:i/>
          <w:iCs/>
          <w:color w:val="000000"/>
        </w:rPr>
        <w:t>Lancet Gastroenterol Hepatol</w:t>
      </w:r>
      <w:r w:rsidRPr="00436841">
        <w:rPr>
          <w:rFonts w:ascii="Book Antiqua" w:eastAsia="Book Antiqua" w:hAnsi="Book Antiqua" w:cs="Book Antiqua"/>
          <w:color w:val="000000"/>
        </w:rPr>
        <w:t xml:space="preserve"> 2018; </w:t>
      </w:r>
      <w:r w:rsidRPr="00436841">
        <w:rPr>
          <w:rFonts w:ascii="Book Antiqua" w:eastAsia="Book Antiqua" w:hAnsi="Book Antiqua" w:cs="Book Antiqua"/>
          <w:b/>
          <w:bCs/>
          <w:color w:val="000000"/>
        </w:rPr>
        <w:t>3</w:t>
      </w:r>
      <w:r w:rsidRPr="00436841">
        <w:rPr>
          <w:rFonts w:ascii="Book Antiqua" w:eastAsia="Book Antiqua" w:hAnsi="Book Antiqua" w:cs="Book Antiqua"/>
          <w:color w:val="000000"/>
        </w:rPr>
        <w:t>: 337-348 [PMID: 29548617 DOI: 10.1016/S2468-1253(18)30045-1]</w:t>
      </w:r>
    </w:p>
    <w:p w14:paraId="7E0BFF4C"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lastRenderedPageBreak/>
        <w:t xml:space="preserve">133 </w:t>
      </w:r>
      <w:r w:rsidRPr="00436841">
        <w:rPr>
          <w:rFonts w:ascii="Book Antiqua" w:eastAsia="Book Antiqua" w:hAnsi="Book Antiqua" w:cs="Book Antiqua"/>
          <w:b/>
          <w:bCs/>
          <w:color w:val="000000"/>
        </w:rPr>
        <w:t>Sapisochin G</w:t>
      </w:r>
      <w:r w:rsidRPr="00436841">
        <w:rPr>
          <w:rFonts w:ascii="Book Antiqua" w:eastAsia="Book Antiqua" w:hAnsi="Book Antiqua" w:cs="Book Antiqua"/>
          <w:color w:val="000000"/>
        </w:rPr>
        <w:t xml:space="preserve">, Javle M, Lerut J, Ohtsuka M, Ghobrial M, Hibi T, Kwan NM, Heimbach J. Liver Transplantation for Cholangiocarcinoma and Mixed Hepatocellular Cholangiocarcinoma: Working Group Report From the ILTS Transplant Oncology Consensus Conference. </w:t>
      </w:r>
      <w:r w:rsidRPr="00436841">
        <w:rPr>
          <w:rFonts w:ascii="Book Antiqua" w:eastAsia="Book Antiqua" w:hAnsi="Book Antiqua" w:cs="Book Antiqua"/>
          <w:i/>
          <w:iCs/>
          <w:color w:val="000000"/>
        </w:rPr>
        <w:t>Transplantation</w:t>
      </w:r>
      <w:r w:rsidRPr="00436841">
        <w:rPr>
          <w:rFonts w:ascii="Book Antiqua" w:eastAsia="Book Antiqua" w:hAnsi="Book Antiqua" w:cs="Book Antiqua"/>
          <w:color w:val="000000"/>
        </w:rPr>
        <w:t xml:space="preserve"> 2020; </w:t>
      </w:r>
      <w:r w:rsidRPr="00436841">
        <w:rPr>
          <w:rFonts w:ascii="Book Antiqua" w:eastAsia="Book Antiqua" w:hAnsi="Book Antiqua" w:cs="Book Antiqua"/>
          <w:b/>
          <w:bCs/>
          <w:color w:val="000000"/>
        </w:rPr>
        <w:t>104</w:t>
      </w:r>
      <w:r w:rsidRPr="00436841">
        <w:rPr>
          <w:rFonts w:ascii="Book Antiqua" w:eastAsia="Book Antiqua" w:hAnsi="Book Antiqua" w:cs="Book Antiqua"/>
          <w:color w:val="000000"/>
        </w:rPr>
        <w:t>: 1125-1130 [PMID: 32217937 DOI: 10.1097/TP.0000000000003212]</w:t>
      </w:r>
    </w:p>
    <w:p w14:paraId="2D4E0D8F"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134 </w:t>
      </w:r>
      <w:r w:rsidRPr="00436841">
        <w:rPr>
          <w:rFonts w:ascii="Book Antiqua" w:eastAsia="Book Antiqua" w:hAnsi="Book Antiqua" w:cs="Book Antiqua"/>
          <w:b/>
          <w:bCs/>
          <w:color w:val="000000"/>
        </w:rPr>
        <w:t>Valle J</w:t>
      </w:r>
      <w:r w:rsidRPr="00436841">
        <w:rPr>
          <w:rFonts w:ascii="Book Antiqua" w:eastAsia="Book Antiqua" w:hAnsi="Book Antiqua" w:cs="Book Antiqua"/>
          <w:color w:val="000000"/>
        </w:rPr>
        <w:t xml:space="preserve">, Wasan H, Palmer DH, Cunningham D, Anthoney A, Maraveyas A, Madhusudan S, Iveson T, Hughes S, Pereira SP, Roughton M, Bridgewater J; ABC-02 Trial Investigators. Cisplatin plus gemcitabine </w:t>
      </w:r>
      <w:r w:rsidRPr="00436841">
        <w:rPr>
          <w:rFonts w:ascii="Book Antiqua" w:eastAsia="Book Antiqua" w:hAnsi="Book Antiqua" w:cs="Book Antiqua"/>
          <w:i/>
          <w:iCs/>
          <w:color w:val="000000"/>
        </w:rPr>
        <w:t>vs</w:t>
      </w:r>
      <w:r w:rsidRPr="00436841">
        <w:rPr>
          <w:rFonts w:ascii="Book Antiqua" w:eastAsia="Book Antiqua" w:hAnsi="Book Antiqua" w:cs="Book Antiqua"/>
          <w:color w:val="000000"/>
        </w:rPr>
        <w:t xml:space="preserve"> gemcitabine for biliary tract cancer. </w:t>
      </w:r>
      <w:r w:rsidRPr="00436841">
        <w:rPr>
          <w:rFonts w:ascii="Book Antiqua" w:eastAsia="Book Antiqua" w:hAnsi="Book Antiqua" w:cs="Book Antiqua"/>
          <w:i/>
          <w:iCs/>
          <w:color w:val="000000"/>
        </w:rPr>
        <w:t>N Engl J Med</w:t>
      </w:r>
      <w:r w:rsidRPr="00436841">
        <w:rPr>
          <w:rFonts w:ascii="Book Antiqua" w:eastAsia="Book Antiqua" w:hAnsi="Book Antiqua" w:cs="Book Antiqua"/>
          <w:color w:val="000000"/>
        </w:rPr>
        <w:t xml:space="preserve"> 2010; </w:t>
      </w:r>
      <w:r w:rsidRPr="00436841">
        <w:rPr>
          <w:rFonts w:ascii="Book Antiqua" w:eastAsia="Book Antiqua" w:hAnsi="Book Antiqua" w:cs="Book Antiqua"/>
          <w:b/>
          <w:bCs/>
          <w:color w:val="000000"/>
        </w:rPr>
        <w:t>362</w:t>
      </w:r>
      <w:r w:rsidRPr="00436841">
        <w:rPr>
          <w:rFonts w:ascii="Book Antiqua" w:eastAsia="Book Antiqua" w:hAnsi="Book Antiqua" w:cs="Book Antiqua"/>
          <w:color w:val="000000"/>
        </w:rPr>
        <w:t>: 1273-1281 [PMID: 20375404 DOI: 10.1056/NEJMoa0908721]</w:t>
      </w:r>
    </w:p>
    <w:p w14:paraId="266ADFAC"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135 </w:t>
      </w:r>
      <w:r w:rsidRPr="00436841">
        <w:rPr>
          <w:rFonts w:ascii="Book Antiqua" w:eastAsia="Book Antiqua" w:hAnsi="Book Antiqua" w:cs="Book Antiqua"/>
          <w:b/>
          <w:bCs/>
          <w:color w:val="000000"/>
        </w:rPr>
        <w:t>Shroff RT</w:t>
      </w:r>
      <w:r w:rsidRPr="00436841">
        <w:rPr>
          <w:rFonts w:ascii="Book Antiqua" w:eastAsia="Book Antiqua" w:hAnsi="Book Antiqua" w:cs="Book Antiqua"/>
          <w:color w:val="000000"/>
        </w:rPr>
        <w:t xml:space="preserve">, Javle MM, Xiao L, Kaseb AO, Varadhachary GR, Wolff RA, Raghav KPS, Iwasaki M, Masci P, Ramanathan RK, Ahn DH, Bekaii-Saab TS, Borad MJ. Gemcitabine, Cisplatin, and nab-Paclitaxel for the Treatment of Advanced Biliary Tract Cancers: A Phase 2 Clinical Trial. </w:t>
      </w:r>
      <w:r w:rsidRPr="00436841">
        <w:rPr>
          <w:rFonts w:ascii="Book Antiqua" w:eastAsia="Book Antiqua" w:hAnsi="Book Antiqua" w:cs="Book Antiqua"/>
          <w:i/>
          <w:iCs/>
          <w:color w:val="000000"/>
        </w:rPr>
        <w:t>JAMA Oncol</w:t>
      </w:r>
      <w:r w:rsidRPr="00436841">
        <w:rPr>
          <w:rFonts w:ascii="Book Antiqua" w:eastAsia="Book Antiqua" w:hAnsi="Book Antiqua" w:cs="Book Antiqua"/>
          <w:color w:val="000000"/>
        </w:rPr>
        <w:t xml:space="preserve"> 2019; </w:t>
      </w:r>
      <w:r w:rsidRPr="00436841">
        <w:rPr>
          <w:rFonts w:ascii="Book Antiqua" w:eastAsia="Book Antiqua" w:hAnsi="Book Antiqua" w:cs="Book Antiqua"/>
          <w:b/>
          <w:bCs/>
          <w:color w:val="000000"/>
        </w:rPr>
        <w:t>5</w:t>
      </w:r>
      <w:r w:rsidRPr="00436841">
        <w:rPr>
          <w:rFonts w:ascii="Book Antiqua" w:eastAsia="Book Antiqua" w:hAnsi="Book Antiqua" w:cs="Book Antiqua"/>
          <w:color w:val="000000"/>
        </w:rPr>
        <w:t>: 824-830 [PMID: 30998813 DOI: 10.1001/jamaoncol.2019.0270]</w:t>
      </w:r>
    </w:p>
    <w:p w14:paraId="6D139037"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136 </w:t>
      </w:r>
      <w:r w:rsidRPr="00436841">
        <w:rPr>
          <w:rFonts w:ascii="Book Antiqua" w:eastAsia="Book Antiqua" w:hAnsi="Book Antiqua" w:cs="Book Antiqua"/>
          <w:b/>
          <w:bCs/>
          <w:color w:val="000000"/>
        </w:rPr>
        <w:t>Xu Z</w:t>
      </w:r>
      <w:r w:rsidRPr="00436841">
        <w:rPr>
          <w:rFonts w:ascii="Book Antiqua" w:eastAsia="Book Antiqua" w:hAnsi="Book Antiqua" w:cs="Book Antiqua"/>
          <w:color w:val="000000"/>
        </w:rPr>
        <w:t xml:space="preserve">, Li H, Dong Y, Cheng P, Luo F, Fu S, Gao M, Kong L, Che N. Incidence and PD-L1 Expression of </w:t>
      </w:r>
      <w:r w:rsidRPr="00436841">
        <w:rPr>
          <w:rFonts w:ascii="Book Antiqua" w:eastAsia="Book Antiqua" w:hAnsi="Book Antiqua" w:cs="Book Antiqua"/>
          <w:i/>
          <w:iCs/>
          <w:color w:val="000000"/>
        </w:rPr>
        <w:t>MET</w:t>
      </w:r>
      <w:r w:rsidRPr="00436841">
        <w:rPr>
          <w:rFonts w:ascii="Book Antiqua" w:eastAsia="Book Antiqua" w:hAnsi="Book Antiqua" w:cs="Book Antiqua"/>
          <w:color w:val="000000"/>
        </w:rPr>
        <w:t xml:space="preserve"> 14 Skipping in Chinese Population: A Non-Selective NSCLC Cohort Study Using RNA-Based Sequencing. </w:t>
      </w:r>
      <w:r w:rsidRPr="00436841">
        <w:rPr>
          <w:rFonts w:ascii="Book Antiqua" w:eastAsia="Book Antiqua" w:hAnsi="Book Antiqua" w:cs="Book Antiqua"/>
          <w:i/>
          <w:iCs/>
          <w:color w:val="000000"/>
        </w:rPr>
        <w:t>Onco Targets Ther</w:t>
      </w:r>
      <w:r w:rsidRPr="00436841">
        <w:rPr>
          <w:rFonts w:ascii="Book Antiqua" w:eastAsia="Book Antiqua" w:hAnsi="Book Antiqua" w:cs="Book Antiqua"/>
          <w:color w:val="000000"/>
        </w:rPr>
        <w:t xml:space="preserve"> 2020; </w:t>
      </w:r>
      <w:r w:rsidRPr="00436841">
        <w:rPr>
          <w:rFonts w:ascii="Book Antiqua" w:eastAsia="Book Antiqua" w:hAnsi="Book Antiqua" w:cs="Book Antiqua"/>
          <w:b/>
          <w:bCs/>
          <w:color w:val="000000"/>
        </w:rPr>
        <w:t>13</w:t>
      </w:r>
      <w:r w:rsidRPr="00436841">
        <w:rPr>
          <w:rFonts w:ascii="Book Antiqua" w:eastAsia="Book Antiqua" w:hAnsi="Book Antiqua" w:cs="Book Antiqua"/>
          <w:color w:val="000000"/>
        </w:rPr>
        <w:t>: 6245-6253 [PMID: 32669854 DOI: 10.2147/OTT.S241231]</w:t>
      </w:r>
    </w:p>
    <w:p w14:paraId="229079CE"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137 </w:t>
      </w:r>
      <w:r w:rsidRPr="00436841">
        <w:rPr>
          <w:rFonts w:ascii="Book Antiqua" w:eastAsia="Book Antiqua" w:hAnsi="Book Antiqua" w:cs="Book Antiqua"/>
          <w:b/>
          <w:bCs/>
          <w:color w:val="000000"/>
        </w:rPr>
        <w:t>Ahn KS</w:t>
      </w:r>
      <w:r w:rsidRPr="00436841">
        <w:rPr>
          <w:rFonts w:ascii="Book Antiqua" w:eastAsia="Book Antiqua" w:hAnsi="Book Antiqua" w:cs="Book Antiqua"/>
          <w:color w:val="000000"/>
        </w:rPr>
        <w:t xml:space="preserve">, O'Brien D, Kang YN, Mounajjed T, Kim YH, Kim TS, Kocher JA, Allotey LK, Borad MJ, Roberts LR, Kang KJ. Prognostic subclass of intrahepatic cholangiocarcinoma by integrative molecular-clinical analysis and potential targeted approach. </w:t>
      </w:r>
      <w:r w:rsidRPr="00436841">
        <w:rPr>
          <w:rFonts w:ascii="Book Antiqua" w:eastAsia="Book Antiqua" w:hAnsi="Book Antiqua" w:cs="Book Antiqua"/>
          <w:i/>
          <w:iCs/>
          <w:color w:val="000000"/>
        </w:rPr>
        <w:t>Hepatol Int</w:t>
      </w:r>
      <w:r w:rsidRPr="00436841">
        <w:rPr>
          <w:rFonts w:ascii="Book Antiqua" w:eastAsia="Book Antiqua" w:hAnsi="Book Antiqua" w:cs="Book Antiqua"/>
          <w:color w:val="000000"/>
        </w:rPr>
        <w:t xml:space="preserve"> 2019; </w:t>
      </w:r>
      <w:r w:rsidRPr="00436841">
        <w:rPr>
          <w:rFonts w:ascii="Book Antiqua" w:eastAsia="Book Antiqua" w:hAnsi="Book Antiqua" w:cs="Book Antiqua"/>
          <w:b/>
          <w:bCs/>
          <w:color w:val="000000"/>
        </w:rPr>
        <w:t>13</w:t>
      </w:r>
      <w:r w:rsidRPr="00436841">
        <w:rPr>
          <w:rFonts w:ascii="Book Antiqua" w:eastAsia="Book Antiqua" w:hAnsi="Book Antiqua" w:cs="Book Antiqua"/>
          <w:color w:val="000000"/>
        </w:rPr>
        <w:t>: 490-500 [PMID: 31214875 DOI: 10.1007/s12072-019-09954-3]</w:t>
      </w:r>
    </w:p>
    <w:p w14:paraId="1B9D9600"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138 </w:t>
      </w:r>
      <w:r w:rsidRPr="00436841">
        <w:rPr>
          <w:rFonts w:ascii="Book Antiqua" w:eastAsia="Book Antiqua" w:hAnsi="Book Antiqua" w:cs="Book Antiqua"/>
          <w:b/>
          <w:bCs/>
          <w:color w:val="000000"/>
        </w:rPr>
        <w:t>Hyder O</w:t>
      </w:r>
      <w:r w:rsidRPr="00436841">
        <w:rPr>
          <w:rFonts w:ascii="Book Antiqua" w:eastAsia="Book Antiqua" w:hAnsi="Book Antiqua" w:cs="Book Antiqua"/>
          <w:color w:val="000000"/>
        </w:rPr>
        <w:t xml:space="preserve">, Marsh JW, Salem R, Petre EN, Kalva S, Liapi E, Cosgrove D, Neal D, Kamel I, Zhu AX, Sofocleous CT, Geschwind JF, Pawlik TM. Intra-arterial therapy for advanced intrahepatic cholangiocarcinoma: a multi-institutional analysis. </w:t>
      </w:r>
      <w:r w:rsidRPr="00436841">
        <w:rPr>
          <w:rFonts w:ascii="Book Antiqua" w:eastAsia="Book Antiqua" w:hAnsi="Book Antiqua" w:cs="Book Antiqua"/>
          <w:i/>
          <w:iCs/>
          <w:color w:val="000000"/>
        </w:rPr>
        <w:t>Ann Surg Oncol</w:t>
      </w:r>
      <w:r w:rsidRPr="00436841">
        <w:rPr>
          <w:rFonts w:ascii="Book Antiqua" w:eastAsia="Book Antiqua" w:hAnsi="Book Antiqua" w:cs="Book Antiqua"/>
          <w:color w:val="000000"/>
        </w:rPr>
        <w:t xml:space="preserve"> 2013; </w:t>
      </w:r>
      <w:r w:rsidRPr="00436841">
        <w:rPr>
          <w:rFonts w:ascii="Book Antiqua" w:eastAsia="Book Antiqua" w:hAnsi="Book Antiqua" w:cs="Book Antiqua"/>
          <w:b/>
          <w:bCs/>
          <w:color w:val="000000"/>
        </w:rPr>
        <w:t>20</w:t>
      </w:r>
      <w:r w:rsidRPr="00436841">
        <w:rPr>
          <w:rFonts w:ascii="Book Antiqua" w:eastAsia="Book Antiqua" w:hAnsi="Book Antiqua" w:cs="Book Antiqua"/>
          <w:color w:val="000000"/>
        </w:rPr>
        <w:t>: 3779-3786 [PMID: 23846786 DOI: 10.1245/s10434-013-3127-y]</w:t>
      </w:r>
    </w:p>
    <w:p w14:paraId="07904064"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139 </w:t>
      </w:r>
      <w:r w:rsidRPr="00436841">
        <w:rPr>
          <w:rFonts w:ascii="Book Antiqua" w:eastAsia="Book Antiqua" w:hAnsi="Book Antiqua" w:cs="Book Antiqua"/>
          <w:b/>
          <w:bCs/>
          <w:color w:val="000000"/>
        </w:rPr>
        <w:t>Park SY</w:t>
      </w:r>
      <w:r w:rsidRPr="00436841">
        <w:rPr>
          <w:rFonts w:ascii="Book Antiqua" w:eastAsia="Book Antiqua" w:hAnsi="Book Antiqua" w:cs="Book Antiqua"/>
          <w:color w:val="000000"/>
        </w:rPr>
        <w:t xml:space="preserve">, Kim JH, Yoon HJ, Lee IS, Yoon HK, Kim KP. Transarterial chemoembolization </w:t>
      </w:r>
      <w:r w:rsidRPr="00436841">
        <w:rPr>
          <w:rFonts w:ascii="Book Antiqua" w:eastAsia="Book Antiqua" w:hAnsi="Book Antiqua" w:cs="Book Antiqua"/>
          <w:i/>
          <w:iCs/>
          <w:color w:val="000000"/>
        </w:rPr>
        <w:t>vs</w:t>
      </w:r>
      <w:r w:rsidRPr="00436841">
        <w:rPr>
          <w:rFonts w:ascii="Book Antiqua" w:eastAsia="Book Antiqua" w:hAnsi="Book Antiqua" w:cs="Book Antiqua"/>
          <w:color w:val="000000"/>
        </w:rPr>
        <w:t xml:space="preserve"> supportive therapy in the palliative treatment of unresectable </w:t>
      </w:r>
      <w:r w:rsidRPr="00436841">
        <w:rPr>
          <w:rFonts w:ascii="Book Antiqua" w:eastAsia="Book Antiqua" w:hAnsi="Book Antiqua" w:cs="Book Antiqua"/>
          <w:color w:val="000000"/>
        </w:rPr>
        <w:lastRenderedPageBreak/>
        <w:t xml:space="preserve">intrahepatic cholangiocarcinoma. </w:t>
      </w:r>
      <w:r w:rsidRPr="00436841">
        <w:rPr>
          <w:rFonts w:ascii="Book Antiqua" w:eastAsia="Book Antiqua" w:hAnsi="Book Antiqua" w:cs="Book Antiqua"/>
          <w:i/>
          <w:iCs/>
          <w:color w:val="000000"/>
        </w:rPr>
        <w:t>Clin Radiol</w:t>
      </w:r>
      <w:r w:rsidRPr="00436841">
        <w:rPr>
          <w:rFonts w:ascii="Book Antiqua" w:eastAsia="Book Antiqua" w:hAnsi="Book Antiqua" w:cs="Book Antiqua"/>
          <w:color w:val="000000"/>
        </w:rPr>
        <w:t xml:space="preserve"> 2011; </w:t>
      </w:r>
      <w:r w:rsidRPr="00436841">
        <w:rPr>
          <w:rFonts w:ascii="Book Antiqua" w:eastAsia="Book Antiqua" w:hAnsi="Book Antiqua" w:cs="Book Antiqua"/>
          <w:b/>
          <w:bCs/>
          <w:color w:val="000000"/>
        </w:rPr>
        <w:t>66</w:t>
      </w:r>
      <w:r w:rsidRPr="00436841">
        <w:rPr>
          <w:rFonts w:ascii="Book Antiqua" w:eastAsia="Book Antiqua" w:hAnsi="Book Antiqua" w:cs="Book Antiqua"/>
          <w:color w:val="000000"/>
        </w:rPr>
        <w:t>: 322-328 [PMID: 21356394 DOI: 10.1016/j.crad.2010.11.002]</w:t>
      </w:r>
    </w:p>
    <w:p w14:paraId="4402ED42"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140 </w:t>
      </w:r>
      <w:r w:rsidRPr="00436841">
        <w:rPr>
          <w:rFonts w:ascii="Book Antiqua" w:eastAsia="Book Antiqua" w:hAnsi="Book Antiqua" w:cs="Book Antiqua"/>
          <w:b/>
          <w:bCs/>
          <w:color w:val="000000"/>
        </w:rPr>
        <w:t>Li J</w:t>
      </w:r>
      <w:r w:rsidRPr="00436841">
        <w:rPr>
          <w:rFonts w:ascii="Book Antiqua" w:eastAsia="Book Antiqua" w:hAnsi="Book Antiqua" w:cs="Book Antiqua"/>
          <w:color w:val="000000"/>
        </w:rPr>
        <w:t xml:space="preserve">, Wang Q, Lei Z, Wu D, Si A, Wang K, Wan X, Wang Y, Yan Z, Xia Y, Lau WY, Wu M, Shen F. Adjuvant Transarterial Chemoembolization Following Liver Resection for Intrahepatic Cholangiocarcinoma Based on Survival Risk Stratification. </w:t>
      </w:r>
      <w:r w:rsidRPr="00436841">
        <w:rPr>
          <w:rFonts w:ascii="Book Antiqua" w:eastAsia="Book Antiqua" w:hAnsi="Book Antiqua" w:cs="Book Antiqua"/>
          <w:i/>
          <w:iCs/>
          <w:color w:val="000000"/>
        </w:rPr>
        <w:t>Oncologist</w:t>
      </w:r>
      <w:r w:rsidRPr="00436841">
        <w:rPr>
          <w:rFonts w:ascii="Book Antiqua" w:eastAsia="Book Antiqua" w:hAnsi="Book Antiqua" w:cs="Book Antiqua"/>
          <w:color w:val="000000"/>
        </w:rPr>
        <w:t xml:space="preserve"> 2015; </w:t>
      </w:r>
      <w:r w:rsidRPr="00436841">
        <w:rPr>
          <w:rFonts w:ascii="Book Antiqua" w:eastAsia="Book Antiqua" w:hAnsi="Book Antiqua" w:cs="Book Antiqua"/>
          <w:b/>
          <w:bCs/>
          <w:color w:val="000000"/>
        </w:rPr>
        <w:t>20</w:t>
      </w:r>
      <w:r w:rsidRPr="00436841">
        <w:rPr>
          <w:rFonts w:ascii="Book Antiqua" w:eastAsia="Book Antiqua" w:hAnsi="Book Antiqua" w:cs="Book Antiqua"/>
          <w:color w:val="000000"/>
        </w:rPr>
        <w:t>: 640-647 [PMID: 25956404 DOI: 10.1634/theoncologist.2014-0470]</w:t>
      </w:r>
    </w:p>
    <w:p w14:paraId="3F54C7E8"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141 </w:t>
      </w:r>
      <w:r w:rsidRPr="00436841">
        <w:rPr>
          <w:rFonts w:ascii="Book Antiqua" w:eastAsia="Book Antiqua" w:hAnsi="Book Antiqua" w:cs="Book Antiqua"/>
          <w:b/>
          <w:bCs/>
          <w:color w:val="000000"/>
        </w:rPr>
        <w:t>Ke Q</w:t>
      </w:r>
      <w:r w:rsidRPr="00436841">
        <w:rPr>
          <w:rFonts w:ascii="Book Antiqua" w:eastAsia="Book Antiqua" w:hAnsi="Book Antiqua" w:cs="Book Antiqua"/>
          <w:color w:val="000000"/>
        </w:rPr>
        <w:t xml:space="preserve">, Lin N, Deng M, Wang L, Zeng Y, Liu J. The effect of adjuvant therapy for patients with intrahepatic cholangiocarcinoma after surgical resection: A systematic review and meta-analysis. </w:t>
      </w:r>
      <w:r w:rsidRPr="00436841">
        <w:rPr>
          <w:rFonts w:ascii="Book Antiqua" w:eastAsia="Book Antiqua" w:hAnsi="Book Antiqua" w:cs="Book Antiqua"/>
          <w:i/>
          <w:iCs/>
          <w:color w:val="000000"/>
        </w:rPr>
        <w:t>PLoS One</w:t>
      </w:r>
      <w:r w:rsidRPr="00436841">
        <w:rPr>
          <w:rFonts w:ascii="Book Antiqua" w:eastAsia="Book Antiqua" w:hAnsi="Book Antiqua" w:cs="Book Antiqua"/>
          <w:color w:val="000000"/>
        </w:rPr>
        <w:t xml:space="preserve"> 2020; </w:t>
      </w:r>
      <w:r w:rsidRPr="00436841">
        <w:rPr>
          <w:rFonts w:ascii="Book Antiqua" w:eastAsia="Book Antiqua" w:hAnsi="Book Antiqua" w:cs="Book Antiqua"/>
          <w:b/>
          <w:bCs/>
          <w:color w:val="000000"/>
        </w:rPr>
        <w:t>15</w:t>
      </w:r>
      <w:r w:rsidRPr="00436841">
        <w:rPr>
          <w:rFonts w:ascii="Book Antiqua" w:eastAsia="Book Antiqua" w:hAnsi="Book Antiqua" w:cs="Book Antiqua"/>
          <w:color w:val="000000"/>
        </w:rPr>
        <w:t>: e0229292 [PMID: 32084210 DOI: 10.1371/journal.pone.0229292]</w:t>
      </w:r>
    </w:p>
    <w:p w14:paraId="3285DB56"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142 </w:t>
      </w:r>
      <w:r w:rsidRPr="00436841">
        <w:rPr>
          <w:rFonts w:ascii="Book Antiqua" w:eastAsia="Book Antiqua" w:hAnsi="Book Antiqua" w:cs="Book Antiqua"/>
          <w:b/>
          <w:bCs/>
          <w:color w:val="000000"/>
        </w:rPr>
        <w:t>Stang A</w:t>
      </w:r>
      <w:r w:rsidRPr="00436841">
        <w:rPr>
          <w:rFonts w:ascii="Book Antiqua" w:eastAsia="Book Antiqua" w:hAnsi="Book Antiqua" w:cs="Book Antiqua"/>
          <w:color w:val="000000"/>
        </w:rPr>
        <w:t xml:space="preserve">, Fischbach R, Teichmann W, Bokemeyer C, Braumann D. A systematic review on the clinical benefit and role of radiofrequency ablation as treatment of colorectal liver metastases. </w:t>
      </w:r>
      <w:r w:rsidRPr="00436841">
        <w:rPr>
          <w:rFonts w:ascii="Book Antiqua" w:eastAsia="Book Antiqua" w:hAnsi="Book Antiqua" w:cs="Book Antiqua"/>
          <w:i/>
          <w:iCs/>
          <w:color w:val="000000"/>
        </w:rPr>
        <w:t>Eur J Cancer</w:t>
      </w:r>
      <w:r w:rsidRPr="00436841">
        <w:rPr>
          <w:rFonts w:ascii="Book Antiqua" w:eastAsia="Book Antiqua" w:hAnsi="Book Antiqua" w:cs="Book Antiqua"/>
          <w:color w:val="000000"/>
        </w:rPr>
        <w:t xml:space="preserve"> 2009; </w:t>
      </w:r>
      <w:r w:rsidRPr="00436841">
        <w:rPr>
          <w:rFonts w:ascii="Book Antiqua" w:eastAsia="Book Antiqua" w:hAnsi="Book Antiqua" w:cs="Book Antiqua"/>
          <w:b/>
          <w:bCs/>
          <w:color w:val="000000"/>
        </w:rPr>
        <w:t>45</w:t>
      </w:r>
      <w:r w:rsidRPr="00436841">
        <w:rPr>
          <w:rFonts w:ascii="Book Antiqua" w:eastAsia="Book Antiqua" w:hAnsi="Book Antiqua" w:cs="Book Antiqua"/>
          <w:color w:val="000000"/>
        </w:rPr>
        <w:t>: 1748-1756 [PMID: 19356924 DOI: 10.1016/j.ejca.2009.03.012]</w:t>
      </w:r>
    </w:p>
    <w:p w14:paraId="543C33BB"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143 </w:t>
      </w:r>
      <w:r w:rsidRPr="00436841">
        <w:rPr>
          <w:rFonts w:ascii="Book Antiqua" w:eastAsia="Book Antiqua" w:hAnsi="Book Antiqua" w:cs="Book Antiqua"/>
          <w:b/>
          <w:bCs/>
          <w:color w:val="000000"/>
        </w:rPr>
        <w:t>Cho YK</w:t>
      </w:r>
      <w:r w:rsidRPr="00436841">
        <w:rPr>
          <w:rFonts w:ascii="Book Antiqua" w:eastAsia="Book Antiqua" w:hAnsi="Book Antiqua" w:cs="Book Antiqua"/>
          <w:color w:val="000000"/>
        </w:rPr>
        <w:t xml:space="preserve">, Kim JK, Kim MY, Rhim H, Han JK. Systematic review of randomized trials for hepatocellular carcinoma treated with percutaneous ablation therapies. </w:t>
      </w:r>
      <w:r w:rsidRPr="00436841">
        <w:rPr>
          <w:rFonts w:ascii="Book Antiqua" w:eastAsia="Book Antiqua" w:hAnsi="Book Antiqua" w:cs="Book Antiqua"/>
          <w:i/>
          <w:iCs/>
          <w:color w:val="000000"/>
        </w:rPr>
        <w:t>Hepatology</w:t>
      </w:r>
      <w:r w:rsidRPr="00436841">
        <w:rPr>
          <w:rFonts w:ascii="Book Antiqua" w:eastAsia="Book Antiqua" w:hAnsi="Book Antiqua" w:cs="Book Antiqua"/>
          <w:color w:val="000000"/>
        </w:rPr>
        <w:t xml:space="preserve"> 2009; </w:t>
      </w:r>
      <w:r w:rsidRPr="00436841">
        <w:rPr>
          <w:rFonts w:ascii="Book Antiqua" w:eastAsia="Book Antiqua" w:hAnsi="Book Antiqua" w:cs="Book Antiqua"/>
          <w:b/>
          <w:bCs/>
          <w:color w:val="000000"/>
        </w:rPr>
        <w:t>49</w:t>
      </w:r>
      <w:r w:rsidRPr="00436841">
        <w:rPr>
          <w:rFonts w:ascii="Book Antiqua" w:eastAsia="Book Antiqua" w:hAnsi="Book Antiqua" w:cs="Book Antiqua"/>
          <w:color w:val="000000"/>
        </w:rPr>
        <w:t>: 453-459 [PMID: 19065676 DOI: 10.1002/hep.22648]</w:t>
      </w:r>
    </w:p>
    <w:p w14:paraId="24995D55"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144 </w:t>
      </w:r>
      <w:r w:rsidRPr="00436841">
        <w:rPr>
          <w:rFonts w:ascii="Book Antiqua" w:eastAsia="Book Antiqua" w:hAnsi="Book Antiqua" w:cs="Book Antiqua"/>
          <w:b/>
          <w:bCs/>
          <w:color w:val="000000"/>
        </w:rPr>
        <w:t>Carrafiello G</w:t>
      </w:r>
      <w:r w:rsidRPr="00436841">
        <w:rPr>
          <w:rFonts w:ascii="Book Antiqua" w:eastAsia="Book Antiqua" w:hAnsi="Book Antiqua" w:cs="Book Antiqua"/>
          <w:color w:val="000000"/>
        </w:rPr>
        <w:t xml:space="preserve">, Laganà D, Cotta E, Mangini M, Fontana F, Bandiera F, Fugazzola C. Radiofrequency ablation of intrahepatic cholangiocarcinoma: preliminary experience. </w:t>
      </w:r>
      <w:r w:rsidRPr="00436841">
        <w:rPr>
          <w:rFonts w:ascii="Book Antiqua" w:eastAsia="Book Antiqua" w:hAnsi="Book Antiqua" w:cs="Book Antiqua"/>
          <w:i/>
          <w:iCs/>
          <w:color w:val="000000"/>
        </w:rPr>
        <w:t>Cardiovasc Intervent Radiol</w:t>
      </w:r>
      <w:r w:rsidRPr="00436841">
        <w:rPr>
          <w:rFonts w:ascii="Book Antiqua" w:eastAsia="Book Antiqua" w:hAnsi="Book Antiqua" w:cs="Book Antiqua"/>
          <w:color w:val="000000"/>
        </w:rPr>
        <w:t xml:space="preserve"> 2010; </w:t>
      </w:r>
      <w:r w:rsidRPr="00436841">
        <w:rPr>
          <w:rFonts w:ascii="Book Antiqua" w:eastAsia="Book Antiqua" w:hAnsi="Book Antiqua" w:cs="Book Antiqua"/>
          <w:b/>
          <w:bCs/>
          <w:color w:val="000000"/>
        </w:rPr>
        <w:t>33</w:t>
      </w:r>
      <w:r w:rsidRPr="00436841">
        <w:rPr>
          <w:rFonts w:ascii="Book Antiqua" w:eastAsia="Book Antiqua" w:hAnsi="Book Antiqua" w:cs="Book Antiqua"/>
          <w:color w:val="000000"/>
        </w:rPr>
        <w:t>: 835-839 [PMID: 20411389 DOI: 10.1007/s00270-010-9849-3]</w:t>
      </w:r>
    </w:p>
    <w:p w14:paraId="2A9E5BE6"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145 </w:t>
      </w:r>
      <w:r w:rsidRPr="00436841">
        <w:rPr>
          <w:rFonts w:ascii="Book Antiqua" w:eastAsia="Book Antiqua" w:hAnsi="Book Antiqua" w:cs="Book Antiqua"/>
          <w:b/>
          <w:bCs/>
          <w:color w:val="000000"/>
        </w:rPr>
        <w:t>Kim JH</w:t>
      </w:r>
      <w:r w:rsidRPr="00436841">
        <w:rPr>
          <w:rFonts w:ascii="Book Antiqua" w:eastAsia="Book Antiqua" w:hAnsi="Book Antiqua" w:cs="Book Antiqua"/>
          <w:color w:val="000000"/>
        </w:rPr>
        <w:t xml:space="preserve">, Won HJ, Shin YM, Kim KA, Kim PN. Radiofrequency ablation for the treatment of primary intrahepatic cholangiocarcinoma. </w:t>
      </w:r>
      <w:r w:rsidRPr="00436841">
        <w:rPr>
          <w:rFonts w:ascii="Book Antiqua" w:eastAsia="Book Antiqua" w:hAnsi="Book Antiqua" w:cs="Book Antiqua"/>
          <w:i/>
          <w:iCs/>
          <w:color w:val="000000"/>
        </w:rPr>
        <w:t>AJR Am J Roentgenol</w:t>
      </w:r>
      <w:r w:rsidRPr="00436841">
        <w:rPr>
          <w:rFonts w:ascii="Book Antiqua" w:eastAsia="Book Antiqua" w:hAnsi="Book Antiqua" w:cs="Book Antiqua"/>
          <w:color w:val="000000"/>
        </w:rPr>
        <w:t xml:space="preserve"> 2011; </w:t>
      </w:r>
      <w:r w:rsidRPr="00436841">
        <w:rPr>
          <w:rFonts w:ascii="Book Antiqua" w:eastAsia="Book Antiqua" w:hAnsi="Book Antiqua" w:cs="Book Antiqua"/>
          <w:b/>
          <w:bCs/>
          <w:color w:val="000000"/>
        </w:rPr>
        <w:t>196</w:t>
      </w:r>
      <w:r w:rsidRPr="00436841">
        <w:rPr>
          <w:rFonts w:ascii="Book Antiqua" w:eastAsia="Book Antiqua" w:hAnsi="Book Antiqua" w:cs="Book Antiqua"/>
          <w:color w:val="000000"/>
        </w:rPr>
        <w:t>: W205-W209 [PMID: 21257864 DOI: 10.2214/AJR.10.4937]</w:t>
      </w:r>
    </w:p>
    <w:p w14:paraId="18384E1D"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146 </w:t>
      </w:r>
      <w:r w:rsidRPr="00436841">
        <w:rPr>
          <w:rFonts w:ascii="Book Antiqua" w:eastAsia="Book Antiqua" w:hAnsi="Book Antiqua" w:cs="Book Antiqua"/>
          <w:b/>
          <w:bCs/>
          <w:color w:val="000000"/>
        </w:rPr>
        <w:t>Haidu M</w:t>
      </w:r>
      <w:r w:rsidRPr="00436841">
        <w:rPr>
          <w:rFonts w:ascii="Book Antiqua" w:eastAsia="Book Antiqua" w:hAnsi="Book Antiqua" w:cs="Book Antiqua"/>
          <w:color w:val="000000"/>
        </w:rPr>
        <w:t xml:space="preserve">, Dobrozemsky G, Schullian P, Widmann G, Klaus A, Weiss H, Margreiter R, Bale R. Stereotactic radiofrequency ablation of unresectable intrahepatic cholangiocarcinomas: a retrospective study. </w:t>
      </w:r>
      <w:r w:rsidRPr="00436841">
        <w:rPr>
          <w:rFonts w:ascii="Book Antiqua" w:eastAsia="Book Antiqua" w:hAnsi="Book Antiqua" w:cs="Book Antiqua"/>
          <w:i/>
          <w:iCs/>
          <w:color w:val="000000"/>
        </w:rPr>
        <w:t>Cardiovasc Intervent Radiol</w:t>
      </w:r>
      <w:r w:rsidRPr="00436841">
        <w:rPr>
          <w:rFonts w:ascii="Book Antiqua" w:eastAsia="Book Antiqua" w:hAnsi="Book Antiqua" w:cs="Book Antiqua"/>
          <w:color w:val="000000"/>
        </w:rPr>
        <w:t xml:space="preserve"> 2012; </w:t>
      </w:r>
      <w:r w:rsidRPr="00436841">
        <w:rPr>
          <w:rFonts w:ascii="Book Antiqua" w:eastAsia="Book Antiqua" w:hAnsi="Book Antiqua" w:cs="Book Antiqua"/>
          <w:b/>
          <w:bCs/>
          <w:color w:val="000000"/>
        </w:rPr>
        <w:t>35</w:t>
      </w:r>
      <w:r w:rsidRPr="00436841">
        <w:rPr>
          <w:rFonts w:ascii="Book Antiqua" w:eastAsia="Book Antiqua" w:hAnsi="Book Antiqua" w:cs="Book Antiqua"/>
          <w:color w:val="000000"/>
        </w:rPr>
        <w:t>: 1074-1082 [PMID: 22006031 DOI: 10.1007/s00270-011-0288-6]</w:t>
      </w:r>
    </w:p>
    <w:p w14:paraId="431973EB"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147 </w:t>
      </w:r>
      <w:r w:rsidRPr="00436841">
        <w:rPr>
          <w:rFonts w:ascii="Book Antiqua" w:eastAsia="Book Antiqua" w:hAnsi="Book Antiqua" w:cs="Book Antiqua"/>
          <w:b/>
          <w:bCs/>
          <w:color w:val="000000"/>
        </w:rPr>
        <w:t>Widmann G</w:t>
      </w:r>
      <w:r w:rsidRPr="00436841">
        <w:rPr>
          <w:rFonts w:ascii="Book Antiqua" w:eastAsia="Book Antiqua" w:hAnsi="Book Antiqua" w:cs="Book Antiqua"/>
          <w:color w:val="000000"/>
        </w:rPr>
        <w:t xml:space="preserve">, Schullian P, Haidu M, Bale R. Stereotactic radiofrequency ablation (SRFA) of liver lesions: technique effectiveness, safety, and interoperator performance. </w:t>
      </w:r>
      <w:r w:rsidRPr="00436841">
        <w:rPr>
          <w:rFonts w:ascii="Book Antiqua" w:eastAsia="Book Antiqua" w:hAnsi="Book Antiqua" w:cs="Book Antiqua"/>
          <w:i/>
          <w:iCs/>
          <w:color w:val="000000"/>
        </w:rPr>
        <w:lastRenderedPageBreak/>
        <w:t>Cardiovasc Intervent Radiol</w:t>
      </w:r>
      <w:r w:rsidRPr="00436841">
        <w:rPr>
          <w:rFonts w:ascii="Book Antiqua" w:eastAsia="Book Antiqua" w:hAnsi="Book Antiqua" w:cs="Book Antiqua"/>
          <w:color w:val="000000"/>
        </w:rPr>
        <w:t xml:space="preserve"> 2012; </w:t>
      </w:r>
      <w:r w:rsidRPr="00436841">
        <w:rPr>
          <w:rFonts w:ascii="Book Antiqua" w:eastAsia="Book Antiqua" w:hAnsi="Book Antiqua" w:cs="Book Antiqua"/>
          <w:b/>
          <w:bCs/>
          <w:color w:val="000000"/>
        </w:rPr>
        <w:t>35</w:t>
      </w:r>
      <w:r w:rsidRPr="00436841">
        <w:rPr>
          <w:rFonts w:ascii="Book Antiqua" w:eastAsia="Book Antiqua" w:hAnsi="Book Antiqua" w:cs="Book Antiqua"/>
          <w:color w:val="000000"/>
        </w:rPr>
        <w:t>: 570-580 [PMID: 21671150 DOI: 10.1007/s00270-011-0200-4]</w:t>
      </w:r>
    </w:p>
    <w:p w14:paraId="4280DFDA"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148 </w:t>
      </w:r>
      <w:r w:rsidRPr="00436841">
        <w:rPr>
          <w:rFonts w:ascii="Book Antiqua" w:eastAsia="Book Antiqua" w:hAnsi="Book Antiqua" w:cs="Book Antiqua"/>
          <w:b/>
          <w:bCs/>
          <w:color w:val="000000"/>
        </w:rPr>
        <w:t>Zhang A</w:t>
      </w:r>
      <w:r w:rsidRPr="00436841">
        <w:rPr>
          <w:rFonts w:ascii="Book Antiqua" w:eastAsia="Book Antiqua" w:hAnsi="Book Antiqua" w:cs="Book Antiqua"/>
          <w:color w:val="000000"/>
        </w:rPr>
        <w:t xml:space="preserve">, Liu B, Xu D, Sun Y. Advanced intrahepatic cholangiocarcinoma treated using anlotinib and microwave ablation: A case report. </w:t>
      </w:r>
      <w:r w:rsidRPr="00436841">
        <w:rPr>
          <w:rFonts w:ascii="Book Antiqua" w:eastAsia="Book Antiqua" w:hAnsi="Book Antiqua" w:cs="Book Antiqua"/>
          <w:i/>
          <w:iCs/>
          <w:color w:val="000000"/>
        </w:rPr>
        <w:t>Medicine (Baltimore)</w:t>
      </w:r>
      <w:r w:rsidRPr="00436841">
        <w:rPr>
          <w:rFonts w:ascii="Book Antiqua" w:eastAsia="Book Antiqua" w:hAnsi="Book Antiqua" w:cs="Book Antiqua"/>
          <w:color w:val="000000"/>
        </w:rPr>
        <w:t xml:space="preserve"> 2019; </w:t>
      </w:r>
      <w:r w:rsidRPr="00436841">
        <w:rPr>
          <w:rFonts w:ascii="Book Antiqua" w:eastAsia="Book Antiqua" w:hAnsi="Book Antiqua" w:cs="Book Antiqua"/>
          <w:b/>
          <w:bCs/>
          <w:color w:val="000000"/>
        </w:rPr>
        <w:t>98</w:t>
      </w:r>
      <w:r w:rsidRPr="00436841">
        <w:rPr>
          <w:rFonts w:ascii="Book Antiqua" w:eastAsia="Book Antiqua" w:hAnsi="Book Antiqua" w:cs="Book Antiqua"/>
          <w:color w:val="000000"/>
        </w:rPr>
        <w:t>: e18435 [PMID: 31876723 DOI: 10.1097/MD.0000000000018435]</w:t>
      </w:r>
    </w:p>
    <w:p w14:paraId="65189419"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149 </w:t>
      </w:r>
      <w:r w:rsidRPr="00436841">
        <w:rPr>
          <w:rFonts w:ascii="Book Antiqua" w:eastAsia="Book Antiqua" w:hAnsi="Book Antiqua" w:cs="Book Antiqua"/>
          <w:b/>
          <w:bCs/>
          <w:color w:val="000000"/>
        </w:rPr>
        <w:t>Al-Adra DP</w:t>
      </w:r>
      <w:r w:rsidRPr="00436841">
        <w:rPr>
          <w:rFonts w:ascii="Book Antiqua" w:eastAsia="Book Antiqua" w:hAnsi="Book Antiqua" w:cs="Book Antiqua"/>
          <w:color w:val="000000"/>
        </w:rPr>
        <w:t xml:space="preserve">, Gill RS, Axford SJ, Shi X, Kneteman N, Liau SS. Treatment of unresectable intrahepatic cholangiocarcinoma with yttrium-90 radioembolization: a systematic review and pooled analysis. </w:t>
      </w:r>
      <w:r w:rsidRPr="00436841">
        <w:rPr>
          <w:rFonts w:ascii="Book Antiqua" w:eastAsia="Book Antiqua" w:hAnsi="Book Antiqua" w:cs="Book Antiqua"/>
          <w:i/>
          <w:iCs/>
          <w:color w:val="000000"/>
        </w:rPr>
        <w:t>Eur J Surg Oncol</w:t>
      </w:r>
      <w:r w:rsidRPr="00436841">
        <w:rPr>
          <w:rFonts w:ascii="Book Antiqua" w:eastAsia="Book Antiqua" w:hAnsi="Book Antiqua" w:cs="Book Antiqua"/>
          <w:color w:val="000000"/>
        </w:rPr>
        <w:t xml:space="preserve"> 2015; </w:t>
      </w:r>
      <w:r w:rsidRPr="00436841">
        <w:rPr>
          <w:rFonts w:ascii="Book Antiqua" w:eastAsia="Book Antiqua" w:hAnsi="Book Antiqua" w:cs="Book Antiqua"/>
          <w:b/>
          <w:bCs/>
          <w:color w:val="000000"/>
        </w:rPr>
        <w:t>41</w:t>
      </w:r>
      <w:r w:rsidRPr="00436841">
        <w:rPr>
          <w:rFonts w:ascii="Book Antiqua" w:eastAsia="Book Antiqua" w:hAnsi="Book Antiqua" w:cs="Book Antiqua"/>
          <w:color w:val="000000"/>
        </w:rPr>
        <w:t>: 120-127 [PMID: 25449754 DOI: 10.1016/j.ejso.2014.09.007]</w:t>
      </w:r>
    </w:p>
    <w:p w14:paraId="7AF65E1E"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150 </w:t>
      </w:r>
      <w:r w:rsidRPr="00436841">
        <w:rPr>
          <w:rFonts w:ascii="Book Antiqua" w:eastAsia="Book Antiqua" w:hAnsi="Book Antiqua" w:cs="Book Antiqua"/>
          <w:b/>
          <w:bCs/>
          <w:color w:val="000000"/>
        </w:rPr>
        <w:t>Edeline J</w:t>
      </w:r>
      <w:r w:rsidRPr="00436841">
        <w:rPr>
          <w:rFonts w:ascii="Book Antiqua" w:eastAsia="Book Antiqua" w:hAnsi="Book Antiqua" w:cs="Book Antiqua"/>
          <w:color w:val="000000"/>
        </w:rPr>
        <w:t xml:space="preserve">, Touchefeu Y, Guiu B, Farge O, Tougeron D, Baumgaertner I, Ayav A, Campillo-Gimenez B, Beuzit L, Pracht M, Lièvre A, Le Sourd S, Boudjema K, Rolland Y, Boucher E, Garin E. Radioembolization Plus Chemotherapy for First-line Treatment of Locally Advanced Intrahepatic Cholangiocarcinoma: A Phase 2 Clinical Trial. </w:t>
      </w:r>
      <w:r w:rsidRPr="00436841">
        <w:rPr>
          <w:rFonts w:ascii="Book Antiqua" w:eastAsia="Book Antiqua" w:hAnsi="Book Antiqua" w:cs="Book Antiqua"/>
          <w:i/>
          <w:iCs/>
          <w:color w:val="000000"/>
        </w:rPr>
        <w:t>JAMA Oncol</w:t>
      </w:r>
      <w:r w:rsidRPr="00436841">
        <w:rPr>
          <w:rFonts w:ascii="Book Antiqua" w:eastAsia="Book Antiqua" w:hAnsi="Book Antiqua" w:cs="Book Antiqua"/>
          <w:color w:val="000000"/>
        </w:rPr>
        <w:t xml:space="preserve"> 2020; </w:t>
      </w:r>
      <w:r w:rsidRPr="00436841">
        <w:rPr>
          <w:rFonts w:ascii="Book Antiqua" w:eastAsia="Book Antiqua" w:hAnsi="Book Antiqua" w:cs="Book Antiqua"/>
          <w:b/>
          <w:bCs/>
          <w:color w:val="000000"/>
        </w:rPr>
        <w:t>6</w:t>
      </w:r>
      <w:r w:rsidRPr="00436841">
        <w:rPr>
          <w:rFonts w:ascii="Book Antiqua" w:eastAsia="Book Antiqua" w:hAnsi="Book Antiqua" w:cs="Book Antiqua"/>
          <w:color w:val="000000"/>
        </w:rPr>
        <w:t>: 51-59 [PMID: 31670746 DOI: 10.1001/jamaoncol.2019.3702]</w:t>
      </w:r>
    </w:p>
    <w:p w14:paraId="58859956"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151 </w:t>
      </w:r>
      <w:r w:rsidRPr="00436841">
        <w:rPr>
          <w:rFonts w:ascii="Book Antiqua" w:eastAsia="Book Antiqua" w:hAnsi="Book Antiqua" w:cs="Book Antiqua"/>
          <w:b/>
          <w:bCs/>
          <w:color w:val="000000"/>
        </w:rPr>
        <w:t>Abou-Alfa GK</w:t>
      </w:r>
      <w:r w:rsidRPr="00436841">
        <w:rPr>
          <w:rFonts w:ascii="Book Antiqua" w:eastAsia="Book Antiqua" w:hAnsi="Book Antiqua" w:cs="Book Antiqua"/>
          <w:color w:val="000000"/>
        </w:rPr>
        <w:t xml:space="preserve">, Macarulla T, Javle MM, Kelley RK, Lubner SJ, Adeva J, Cleary JM, Catenacci DV, Borad MJ, Bridgewater J, Harris WP, Murphy AG, Oh DY, Whisenant J, Lowery MA, Goyal L, Shroff RT, El-Khoueiry AB, Fan B, Wu B, Chamberlain CX, Jiang L, Gliser C, Pandya SS, Valle JW, Zhu AX. Ivosidenib in IDH1-mutant, chemotherapy-refractory cholangiocarcinoma (ClarIDHy): a multicentre, randomised, double-blind, placebo-controlled, phase 3 study. </w:t>
      </w:r>
      <w:r w:rsidRPr="00436841">
        <w:rPr>
          <w:rFonts w:ascii="Book Antiqua" w:eastAsia="Book Antiqua" w:hAnsi="Book Antiqua" w:cs="Book Antiqua"/>
          <w:i/>
          <w:iCs/>
          <w:color w:val="000000"/>
        </w:rPr>
        <w:t>Lancet Oncol</w:t>
      </w:r>
      <w:r w:rsidRPr="00436841">
        <w:rPr>
          <w:rFonts w:ascii="Book Antiqua" w:eastAsia="Book Antiqua" w:hAnsi="Book Antiqua" w:cs="Book Antiqua"/>
          <w:color w:val="000000"/>
        </w:rPr>
        <w:t xml:space="preserve"> 2020; </w:t>
      </w:r>
      <w:r w:rsidRPr="00436841">
        <w:rPr>
          <w:rFonts w:ascii="Book Antiqua" w:eastAsia="Book Antiqua" w:hAnsi="Book Antiqua" w:cs="Book Antiqua"/>
          <w:b/>
          <w:bCs/>
          <w:color w:val="000000"/>
        </w:rPr>
        <w:t>21</w:t>
      </w:r>
      <w:r w:rsidRPr="00436841">
        <w:rPr>
          <w:rFonts w:ascii="Book Antiqua" w:eastAsia="Book Antiqua" w:hAnsi="Book Antiqua" w:cs="Book Antiqua"/>
          <w:color w:val="000000"/>
        </w:rPr>
        <w:t>: 796-807 [PMID: 32416072 DOI: 10.1016/S1470-2045(20)30157-1]</w:t>
      </w:r>
    </w:p>
    <w:p w14:paraId="18585C93"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152 </w:t>
      </w:r>
      <w:r w:rsidRPr="00436841">
        <w:rPr>
          <w:rFonts w:ascii="Book Antiqua" w:eastAsia="Book Antiqua" w:hAnsi="Book Antiqua" w:cs="Book Antiqua"/>
          <w:b/>
          <w:bCs/>
          <w:color w:val="000000"/>
        </w:rPr>
        <w:t>Abou-Alfa GK</w:t>
      </w:r>
      <w:r w:rsidRPr="00436841">
        <w:rPr>
          <w:rFonts w:ascii="Book Antiqua" w:eastAsia="Book Antiqua" w:hAnsi="Book Antiqua" w:cs="Book Antiqua"/>
          <w:color w:val="000000"/>
        </w:rPr>
        <w:t xml:space="preserve">, Sahai V, Hollebecque A, Vaccaro G, Melisi D, Al-Rajabi R, Paulson AS, Borad MJ, Gallinson D, Murphy AG, Oh DY, Dotan E, Catenacci DV, Van Cutsem E, Ji T, Lihou CF, Zhen H, Féliz L, Vogel A. Pemigatinib for previously treated, locally advanced or metastatic cholangiocarcinoma: a multicentre, open-label, phase 2 study. </w:t>
      </w:r>
      <w:r w:rsidRPr="00436841">
        <w:rPr>
          <w:rFonts w:ascii="Book Antiqua" w:eastAsia="Book Antiqua" w:hAnsi="Book Antiqua" w:cs="Book Antiqua"/>
          <w:i/>
          <w:iCs/>
          <w:color w:val="000000"/>
        </w:rPr>
        <w:t>Lancet Oncol</w:t>
      </w:r>
      <w:r w:rsidRPr="00436841">
        <w:rPr>
          <w:rFonts w:ascii="Book Antiqua" w:eastAsia="Book Antiqua" w:hAnsi="Book Antiqua" w:cs="Book Antiqua"/>
          <w:color w:val="000000"/>
        </w:rPr>
        <w:t xml:space="preserve"> 2020; </w:t>
      </w:r>
      <w:r w:rsidRPr="00436841">
        <w:rPr>
          <w:rFonts w:ascii="Book Antiqua" w:eastAsia="Book Antiqua" w:hAnsi="Book Antiqua" w:cs="Book Antiqua"/>
          <w:b/>
          <w:bCs/>
          <w:color w:val="000000"/>
        </w:rPr>
        <w:t>21</w:t>
      </w:r>
      <w:r w:rsidRPr="00436841">
        <w:rPr>
          <w:rFonts w:ascii="Book Antiqua" w:eastAsia="Book Antiqua" w:hAnsi="Book Antiqua" w:cs="Book Antiqua"/>
          <w:color w:val="000000"/>
        </w:rPr>
        <w:t>: 671-684 [PMID: 32203698 DOI: 10.1016/S1470-2045(20)30109-1]</w:t>
      </w:r>
    </w:p>
    <w:p w14:paraId="10E42F33"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153 </w:t>
      </w:r>
      <w:r w:rsidRPr="00436841">
        <w:rPr>
          <w:rFonts w:ascii="Book Antiqua" w:eastAsia="Book Antiqua" w:hAnsi="Book Antiqua" w:cs="Book Antiqua"/>
          <w:b/>
          <w:bCs/>
          <w:color w:val="000000"/>
        </w:rPr>
        <w:t>Mazzaferro V</w:t>
      </w:r>
      <w:r w:rsidRPr="00436841">
        <w:rPr>
          <w:rFonts w:ascii="Book Antiqua" w:eastAsia="Book Antiqua" w:hAnsi="Book Antiqua" w:cs="Book Antiqua"/>
          <w:color w:val="000000"/>
        </w:rPr>
        <w:t xml:space="preserve">, Shaib W, Rimassa L, Harris W, Personeni N, El-Rayes B, Tolcher A, Hall T, Wang Y, Schwartz B, Kazakin J, Droz Dit Busset M, Cotsoglou C, Papadopoulos K. PD-019 ARQ 087, an oral pan- fibroblast growth factor receptor (FGFR) inhibitor, in </w:t>
      </w:r>
      <w:r w:rsidRPr="00436841">
        <w:rPr>
          <w:rFonts w:ascii="Book Antiqua" w:eastAsia="Book Antiqua" w:hAnsi="Book Antiqua" w:cs="Book Antiqua"/>
          <w:color w:val="000000"/>
        </w:rPr>
        <w:lastRenderedPageBreak/>
        <w:t xml:space="preserve">patients (pts) with advanced and/or metastatic intrahepatic cholangiocarcinoma (iCCA). </w:t>
      </w:r>
      <w:r w:rsidRPr="00436841">
        <w:rPr>
          <w:rFonts w:ascii="Book Antiqua" w:eastAsia="Book Antiqua" w:hAnsi="Book Antiqua" w:cs="Book Antiqua"/>
          <w:i/>
          <w:iCs/>
          <w:color w:val="000000"/>
        </w:rPr>
        <w:t>Ann Oncol</w:t>
      </w:r>
      <w:r w:rsidRPr="00436841">
        <w:rPr>
          <w:rFonts w:ascii="Book Antiqua" w:eastAsia="Book Antiqua" w:hAnsi="Book Antiqua" w:cs="Book Antiqua"/>
          <w:color w:val="000000"/>
        </w:rPr>
        <w:t xml:space="preserve"> 2016;</w:t>
      </w:r>
      <w:r w:rsidR="00CB726F" w:rsidRPr="00436841">
        <w:rPr>
          <w:rFonts w:ascii="Book Antiqua" w:eastAsia="Book Antiqua" w:hAnsi="Book Antiqua" w:cs="Book Antiqua"/>
          <w:color w:val="000000"/>
        </w:rPr>
        <w:t xml:space="preserve"> </w:t>
      </w:r>
      <w:r w:rsidRPr="00436841">
        <w:rPr>
          <w:rFonts w:ascii="Book Antiqua" w:eastAsia="Book Antiqua" w:hAnsi="Book Antiqua" w:cs="Book Antiqua"/>
          <w:b/>
          <w:bCs/>
          <w:color w:val="000000"/>
        </w:rPr>
        <w:t>27</w:t>
      </w:r>
      <w:r w:rsidRPr="00436841">
        <w:rPr>
          <w:rFonts w:ascii="Book Antiqua" w:eastAsia="Book Antiqua" w:hAnsi="Book Antiqua" w:cs="Book Antiqua"/>
          <w:color w:val="000000"/>
        </w:rPr>
        <w:t>:</w:t>
      </w:r>
      <w:r w:rsidR="00CB726F" w:rsidRPr="00436841">
        <w:rPr>
          <w:rFonts w:ascii="Book Antiqua" w:eastAsia="Book Antiqua" w:hAnsi="Book Antiqua" w:cs="Book Antiqua"/>
          <w:b/>
          <w:bCs/>
          <w:color w:val="000000"/>
        </w:rPr>
        <w:t xml:space="preserve"> </w:t>
      </w:r>
      <w:r w:rsidRPr="00436841">
        <w:rPr>
          <w:rFonts w:ascii="Book Antiqua" w:eastAsia="Book Antiqua" w:hAnsi="Book Antiqua" w:cs="Book Antiqua"/>
          <w:color w:val="000000"/>
        </w:rPr>
        <w:t>ii109 [DOI: 10.1093/annonc/mdw200.19]</w:t>
      </w:r>
    </w:p>
    <w:p w14:paraId="1CF3690F"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154 </w:t>
      </w:r>
      <w:r w:rsidRPr="00436841">
        <w:rPr>
          <w:rFonts w:ascii="Book Antiqua" w:eastAsia="Book Antiqua" w:hAnsi="Book Antiqua" w:cs="Book Antiqua"/>
          <w:b/>
          <w:bCs/>
          <w:color w:val="000000"/>
        </w:rPr>
        <w:t>Javle M</w:t>
      </w:r>
      <w:r w:rsidRPr="00436841">
        <w:rPr>
          <w:rFonts w:ascii="Book Antiqua" w:eastAsia="Book Antiqua" w:hAnsi="Book Antiqua" w:cs="Book Antiqua"/>
          <w:color w:val="000000"/>
        </w:rPr>
        <w:t xml:space="preserve">, Lowery M, Shroff RT, Weiss KH, Springfeld C, Borad MJ, Ramanathan RK, Goyal L, Sadeghi S, Macarulla T, El-Khoueiry A, Kelley RK, Borbath I, Choo SP, Oh DY, Philip PA, Chen LT, Reungwetwattana T, Van Cutsem E, Yeh KH, Ciombor K, Finn RS, Patel A, Sen S, Porter D, Isaacs R, Zhu AX, Abou-Alfa GK, Bekaii-Saab T. Phase II Study of BGJ398 in Patients With FGFR-Altered Advanced Cholangiocarcinoma. </w:t>
      </w:r>
      <w:r w:rsidRPr="00436841">
        <w:rPr>
          <w:rFonts w:ascii="Book Antiqua" w:eastAsia="Book Antiqua" w:hAnsi="Book Antiqua" w:cs="Book Antiqua"/>
          <w:i/>
          <w:iCs/>
          <w:color w:val="000000"/>
        </w:rPr>
        <w:t>J Clin Oncol</w:t>
      </w:r>
      <w:r w:rsidRPr="00436841">
        <w:rPr>
          <w:rFonts w:ascii="Book Antiqua" w:eastAsia="Book Antiqua" w:hAnsi="Book Antiqua" w:cs="Book Antiqua"/>
          <w:color w:val="000000"/>
        </w:rPr>
        <w:t xml:space="preserve"> 2018; </w:t>
      </w:r>
      <w:r w:rsidRPr="00436841">
        <w:rPr>
          <w:rFonts w:ascii="Book Antiqua" w:eastAsia="Book Antiqua" w:hAnsi="Book Antiqua" w:cs="Book Antiqua"/>
          <w:b/>
          <w:bCs/>
          <w:color w:val="000000"/>
        </w:rPr>
        <w:t>36</w:t>
      </w:r>
      <w:r w:rsidRPr="00436841">
        <w:rPr>
          <w:rFonts w:ascii="Book Antiqua" w:eastAsia="Book Antiqua" w:hAnsi="Book Antiqua" w:cs="Book Antiqua"/>
          <w:color w:val="000000"/>
        </w:rPr>
        <w:t>: 276-282 [PMID: 29182496 DOI: 10.1200/JCO.2017.75.5009]</w:t>
      </w:r>
    </w:p>
    <w:p w14:paraId="41121A66"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 xml:space="preserve">155 </w:t>
      </w:r>
      <w:r w:rsidRPr="00436841">
        <w:rPr>
          <w:rFonts w:ascii="Book Antiqua" w:eastAsia="Book Antiqua" w:hAnsi="Book Antiqua" w:cs="Book Antiqua"/>
          <w:b/>
          <w:bCs/>
          <w:color w:val="000000"/>
        </w:rPr>
        <w:t>Piha-Paul SA</w:t>
      </w:r>
      <w:r w:rsidRPr="00436841">
        <w:rPr>
          <w:rFonts w:ascii="Book Antiqua" w:eastAsia="Book Antiqua" w:hAnsi="Book Antiqua" w:cs="Book Antiqua"/>
          <w:color w:val="000000"/>
        </w:rPr>
        <w:t xml:space="preserve">, Oh DY, Ueno M, Malka D, Chung HC, Nagrial A, Kelley RK, Ros W, Italiano A, Nakagawa K, Rugo HS, de Braud F, Varga AI, Hansen A, Wang H, Krishnan S, Norwood KG, Doi T. Efficacy and safety of pembrolizumab for the treatment of advanced biliary cancer: Results from the KEYNOTE-158 and KEYNOTE-028 studies. </w:t>
      </w:r>
      <w:r w:rsidRPr="00436841">
        <w:rPr>
          <w:rFonts w:ascii="Book Antiqua" w:eastAsia="Book Antiqua" w:hAnsi="Book Antiqua" w:cs="Book Antiqua"/>
          <w:i/>
          <w:iCs/>
          <w:color w:val="000000"/>
        </w:rPr>
        <w:t>Int J Cancer</w:t>
      </w:r>
      <w:r w:rsidRPr="00436841">
        <w:rPr>
          <w:rFonts w:ascii="Book Antiqua" w:eastAsia="Book Antiqua" w:hAnsi="Book Antiqua" w:cs="Book Antiqua"/>
          <w:color w:val="000000"/>
        </w:rPr>
        <w:t xml:space="preserve"> 2020; </w:t>
      </w:r>
      <w:r w:rsidRPr="00436841">
        <w:rPr>
          <w:rFonts w:ascii="Book Antiqua" w:eastAsia="Book Antiqua" w:hAnsi="Book Antiqua" w:cs="Book Antiqua"/>
          <w:b/>
          <w:bCs/>
          <w:color w:val="000000"/>
        </w:rPr>
        <w:t>147</w:t>
      </w:r>
      <w:r w:rsidRPr="00436841">
        <w:rPr>
          <w:rFonts w:ascii="Book Antiqua" w:eastAsia="Book Antiqua" w:hAnsi="Book Antiqua" w:cs="Book Antiqua"/>
          <w:color w:val="000000"/>
        </w:rPr>
        <w:t>: 2190-2198 [PMID: 32359091 DOI: 10.1002/ijc.33013]</w:t>
      </w:r>
    </w:p>
    <w:p w14:paraId="6E8B8C80" w14:textId="77777777" w:rsidR="00A77B3E" w:rsidRPr="00436841" w:rsidRDefault="00A77B3E" w:rsidP="00ED58D3">
      <w:pPr>
        <w:spacing w:line="360" w:lineRule="auto"/>
        <w:jc w:val="both"/>
        <w:rPr>
          <w:rFonts w:ascii="Book Antiqua" w:hAnsi="Book Antiqua"/>
        </w:rPr>
      </w:pPr>
    </w:p>
    <w:p w14:paraId="7A99F558" w14:textId="77777777" w:rsidR="00424BA6" w:rsidRPr="00436841" w:rsidRDefault="00424BA6" w:rsidP="00ED58D3">
      <w:pPr>
        <w:spacing w:line="360" w:lineRule="auto"/>
        <w:jc w:val="both"/>
        <w:rPr>
          <w:rFonts w:ascii="Book Antiqua" w:hAnsi="Book Antiqua"/>
        </w:rPr>
        <w:sectPr w:rsidR="00424BA6" w:rsidRPr="00436841">
          <w:pgSz w:w="12240" w:h="15840"/>
          <w:pgMar w:top="1440" w:right="1440" w:bottom="1440" w:left="1440" w:header="720" w:footer="720" w:gutter="0"/>
          <w:cols w:space="720"/>
          <w:docGrid w:linePitch="360"/>
        </w:sectPr>
      </w:pPr>
    </w:p>
    <w:p w14:paraId="7F663211" w14:textId="77777777" w:rsidR="00A77B3E" w:rsidRPr="00E110C5" w:rsidRDefault="0048774A" w:rsidP="00ED58D3">
      <w:pPr>
        <w:spacing w:line="360" w:lineRule="auto"/>
        <w:jc w:val="both"/>
        <w:rPr>
          <w:rFonts w:ascii="Book Antiqua" w:hAnsi="Book Antiqua"/>
        </w:rPr>
      </w:pPr>
      <w:r w:rsidRPr="00436841">
        <w:rPr>
          <w:rFonts w:ascii="Book Antiqua" w:eastAsia="Book Antiqua" w:hAnsi="Book Antiqua" w:cs="Book Antiqua"/>
          <w:b/>
          <w:color w:val="000000"/>
        </w:rPr>
        <w:lastRenderedPageBreak/>
        <w:t>Footnotes</w:t>
      </w:r>
    </w:p>
    <w:p w14:paraId="0E9BB52F" w14:textId="77777777" w:rsidR="00A77B3E" w:rsidRPr="00436841" w:rsidRDefault="0048774A" w:rsidP="00ED58D3">
      <w:pPr>
        <w:spacing w:line="360" w:lineRule="auto"/>
        <w:jc w:val="both"/>
        <w:rPr>
          <w:rFonts w:ascii="Book Antiqua" w:hAnsi="Book Antiqua"/>
        </w:rPr>
      </w:pPr>
      <w:r w:rsidRPr="00326C94">
        <w:rPr>
          <w:rFonts w:ascii="Book Antiqua" w:eastAsia="Book Antiqua" w:hAnsi="Book Antiqua" w:cs="Book Antiqua"/>
          <w:b/>
          <w:bCs/>
          <w:color w:val="000000"/>
        </w:rPr>
        <w:t xml:space="preserve">Conflict-of-interest statement: </w:t>
      </w:r>
      <w:r w:rsidRPr="00E41898">
        <w:rPr>
          <w:rFonts w:ascii="Book Antiqua" w:eastAsia="Book Antiqua" w:hAnsi="Book Antiqua" w:cs="Book Antiqua"/>
          <w:color w:val="000000"/>
        </w:rPr>
        <w:t>All authors have no conflict of interest to declare.</w:t>
      </w:r>
    </w:p>
    <w:p w14:paraId="06827B0F" w14:textId="77777777" w:rsidR="00A77B3E" w:rsidRPr="00436841" w:rsidRDefault="00A77B3E" w:rsidP="00ED58D3">
      <w:pPr>
        <w:spacing w:line="360" w:lineRule="auto"/>
        <w:jc w:val="both"/>
        <w:rPr>
          <w:rFonts w:ascii="Book Antiqua" w:hAnsi="Book Antiqua"/>
        </w:rPr>
      </w:pPr>
    </w:p>
    <w:p w14:paraId="56B79DA7"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b/>
          <w:bCs/>
          <w:color w:val="000000"/>
        </w:rPr>
        <w:t xml:space="preserve">Open-Access: </w:t>
      </w:r>
      <w:r w:rsidRPr="0043684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D27FA24" w14:textId="77777777" w:rsidR="00A77B3E" w:rsidRPr="00436841" w:rsidRDefault="00A77B3E" w:rsidP="00ED58D3">
      <w:pPr>
        <w:spacing w:line="360" w:lineRule="auto"/>
        <w:jc w:val="both"/>
        <w:rPr>
          <w:rFonts w:ascii="Book Antiqua" w:hAnsi="Book Antiqua"/>
        </w:rPr>
      </w:pPr>
    </w:p>
    <w:p w14:paraId="61B41530" w14:textId="77777777" w:rsidR="00A77B3E" w:rsidRPr="00436841" w:rsidRDefault="0048774A" w:rsidP="00ED58D3">
      <w:pPr>
        <w:spacing w:line="360" w:lineRule="auto"/>
        <w:jc w:val="both"/>
        <w:rPr>
          <w:rFonts w:ascii="Book Antiqua" w:eastAsia="Book Antiqua" w:hAnsi="Book Antiqua" w:cs="Book Antiqua"/>
          <w:color w:val="000000"/>
        </w:rPr>
      </w:pPr>
      <w:r w:rsidRPr="00436841">
        <w:rPr>
          <w:rFonts w:ascii="Book Antiqua" w:eastAsia="Book Antiqua" w:hAnsi="Book Antiqua" w:cs="Book Antiqua"/>
          <w:b/>
          <w:color w:val="000000"/>
        </w:rPr>
        <w:t xml:space="preserve">Manuscript source: </w:t>
      </w:r>
      <w:r w:rsidRPr="00436841">
        <w:rPr>
          <w:rFonts w:ascii="Book Antiqua" w:eastAsia="Book Antiqua" w:hAnsi="Book Antiqua" w:cs="Book Antiqua"/>
          <w:color w:val="000000"/>
        </w:rPr>
        <w:t xml:space="preserve">Invited </w:t>
      </w:r>
      <w:r w:rsidR="00BA3635" w:rsidRPr="00436841">
        <w:rPr>
          <w:rFonts w:ascii="Book Antiqua" w:eastAsia="Book Antiqua" w:hAnsi="Book Antiqua" w:cs="Book Antiqua"/>
          <w:color w:val="000000"/>
        </w:rPr>
        <w:t>m</w:t>
      </w:r>
      <w:r w:rsidRPr="00436841">
        <w:rPr>
          <w:rFonts w:ascii="Book Antiqua" w:eastAsia="Book Antiqua" w:hAnsi="Book Antiqua" w:cs="Book Antiqua"/>
          <w:color w:val="000000"/>
        </w:rPr>
        <w:t>anuscript</w:t>
      </w:r>
    </w:p>
    <w:p w14:paraId="549DB1AC" w14:textId="77777777" w:rsidR="00BA3635" w:rsidRPr="00436841" w:rsidRDefault="00BA3635" w:rsidP="00ED58D3">
      <w:pPr>
        <w:spacing w:line="360" w:lineRule="auto"/>
        <w:jc w:val="both"/>
        <w:rPr>
          <w:rFonts w:ascii="Book Antiqua" w:hAnsi="Book Antiqua"/>
        </w:rPr>
      </w:pPr>
    </w:p>
    <w:p w14:paraId="40B5E827" w14:textId="77777777" w:rsidR="00A77B3E" w:rsidRPr="00436841" w:rsidRDefault="0048774A" w:rsidP="00ED58D3">
      <w:pPr>
        <w:spacing w:line="360" w:lineRule="auto"/>
        <w:jc w:val="both"/>
        <w:rPr>
          <w:rFonts w:ascii="Book Antiqua" w:eastAsia="Book Antiqua" w:hAnsi="Book Antiqua" w:cs="Book Antiqua"/>
          <w:color w:val="000000"/>
        </w:rPr>
      </w:pPr>
      <w:r w:rsidRPr="00436841">
        <w:rPr>
          <w:rFonts w:ascii="Book Antiqua" w:eastAsia="Book Antiqua" w:hAnsi="Book Antiqua" w:cs="Book Antiqua"/>
          <w:b/>
          <w:color w:val="000000"/>
        </w:rPr>
        <w:t>Corresponding Author's Membership in Professional Societies:</w:t>
      </w:r>
      <w:r w:rsidRPr="00436841">
        <w:rPr>
          <w:rFonts w:ascii="Book Antiqua" w:eastAsia="Book Antiqua" w:hAnsi="Book Antiqua" w:cs="Book Antiqua"/>
          <w:color w:val="000000"/>
        </w:rPr>
        <w:t xml:space="preserve"> </w:t>
      </w:r>
      <w:r w:rsidR="008A6BCE" w:rsidRPr="00436841">
        <w:rPr>
          <w:rFonts w:ascii="Book Antiqua" w:eastAsia="Book Antiqua" w:hAnsi="Book Antiqua" w:cs="Book Antiqua"/>
          <w:color w:val="000000"/>
        </w:rPr>
        <w:t>American Association for the Study of Liver Diseases</w:t>
      </w:r>
      <w:r w:rsidRPr="00436841">
        <w:rPr>
          <w:rFonts w:ascii="Book Antiqua" w:eastAsia="Book Antiqua" w:hAnsi="Book Antiqua" w:cs="Book Antiqua"/>
          <w:color w:val="000000"/>
        </w:rPr>
        <w:t xml:space="preserve">, </w:t>
      </w:r>
      <w:r w:rsidR="008A6BCE" w:rsidRPr="00436841">
        <w:rPr>
          <w:rFonts w:ascii="Book Antiqua" w:eastAsia="Book Antiqua" w:hAnsi="Book Antiqua" w:cs="Book Antiqua"/>
          <w:color w:val="000000"/>
        </w:rPr>
        <w:t xml:space="preserve">No. </w:t>
      </w:r>
      <w:r w:rsidRPr="00436841">
        <w:rPr>
          <w:rFonts w:ascii="Book Antiqua" w:eastAsia="Book Antiqua" w:hAnsi="Book Antiqua" w:cs="Book Antiqua"/>
          <w:color w:val="000000"/>
        </w:rPr>
        <w:t xml:space="preserve">118879; </w:t>
      </w:r>
      <w:r w:rsidR="000354F0" w:rsidRPr="00436841">
        <w:rPr>
          <w:rFonts w:ascii="Book Antiqua" w:eastAsia="Book Antiqua" w:hAnsi="Book Antiqua" w:cs="Book Antiqua"/>
          <w:color w:val="000000"/>
        </w:rPr>
        <w:t xml:space="preserve">and </w:t>
      </w:r>
      <w:r w:rsidR="008A6BCE" w:rsidRPr="00436841">
        <w:rPr>
          <w:rFonts w:ascii="Book Antiqua" w:eastAsia="Book Antiqua" w:hAnsi="Book Antiqua" w:cs="Book Antiqua"/>
          <w:color w:val="000000"/>
        </w:rPr>
        <w:t>European Association for the Study of the Liver</w:t>
      </w:r>
      <w:r w:rsidRPr="00436841">
        <w:rPr>
          <w:rFonts w:ascii="Book Antiqua" w:eastAsia="Book Antiqua" w:hAnsi="Book Antiqua" w:cs="Book Antiqua"/>
          <w:color w:val="000000"/>
        </w:rPr>
        <w:t xml:space="preserve">, </w:t>
      </w:r>
      <w:r w:rsidR="008A6BCE" w:rsidRPr="00436841">
        <w:rPr>
          <w:rFonts w:ascii="Book Antiqua" w:eastAsia="Book Antiqua" w:hAnsi="Book Antiqua" w:cs="Book Antiqua"/>
          <w:color w:val="000000"/>
        </w:rPr>
        <w:t xml:space="preserve">No. </w:t>
      </w:r>
      <w:r w:rsidRPr="00436841">
        <w:rPr>
          <w:rFonts w:ascii="Book Antiqua" w:eastAsia="Book Antiqua" w:hAnsi="Book Antiqua" w:cs="Book Antiqua"/>
          <w:color w:val="000000"/>
        </w:rPr>
        <w:t>43598.</w:t>
      </w:r>
    </w:p>
    <w:p w14:paraId="1D9803C0" w14:textId="77777777" w:rsidR="00A77B3E" w:rsidRPr="00436841" w:rsidRDefault="00A77B3E" w:rsidP="00ED58D3">
      <w:pPr>
        <w:spacing w:line="360" w:lineRule="auto"/>
        <w:jc w:val="both"/>
        <w:rPr>
          <w:rFonts w:ascii="Book Antiqua" w:hAnsi="Book Antiqua"/>
        </w:rPr>
      </w:pPr>
    </w:p>
    <w:p w14:paraId="6BD49F95"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b/>
          <w:color w:val="000000"/>
        </w:rPr>
        <w:t xml:space="preserve">Peer-review started: </w:t>
      </w:r>
      <w:r w:rsidRPr="00436841">
        <w:rPr>
          <w:rFonts w:ascii="Book Antiqua" w:eastAsia="Book Antiqua" w:hAnsi="Book Antiqua" w:cs="Book Antiqua"/>
          <w:color w:val="000000"/>
        </w:rPr>
        <w:t>January 28, 2021</w:t>
      </w:r>
    </w:p>
    <w:p w14:paraId="56FB183B"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b/>
          <w:color w:val="000000"/>
        </w:rPr>
        <w:t xml:space="preserve">First decision: </w:t>
      </w:r>
      <w:r w:rsidRPr="00436841">
        <w:rPr>
          <w:rFonts w:ascii="Book Antiqua" w:eastAsia="Book Antiqua" w:hAnsi="Book Antiqua" w:cs="Book Antiqua"/>
          <w:color w:val="000000"/>
        </w:rPr>
        <w:t>March 29, 2021</w:t>
      </w:r>
    </w:p>
    <w:p w14:paraId="79DD6812"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b/>
          <w:color w:val="000000"/>
        </w:rPr>
        <w:t xml:space="preserve">Article in press: </w:t>
      </w:r>
    </w:p>
    <w:p w14:paraId="3DEE762C" w14:textId="77777777" w:rsidR="00A77B3E" w:rsidRPr="00436841" w:rsidRDefault="00A77B3E" w:rsidP="00ED58D3">
      <w:pPr>
        <w:spacing w:line="360" w:lineRule="auto"/>
        <w:jc w:val="both"/>
        <w:rPr>
          <w:rFonts w:ascii="Book Antiqua" w:hAnsi="Book Antiqua"/>
        </w:rPr>
      </w:pPr>
    </w:p>
    <w:p w14:paraId="003844BD"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b/>
          <w:color w:val="000000"/>
        </w:rPr>
        <w:t xml:space="preserve">Specialty type: </w:t>
      </w:r>
      <w:r w:rsidRPr="00436841">
        <w:rPr>
          <w:rFonts w:ascii="Book Antiqua" w:eastAsia="Book Antiqua" w:hAnsi="Book Antiqua" w:cs="Book Antiqua"/>
          <w:color w:val="000000"/>
        </w:rPr>
        <w:t xml:space="preserve">Gastroenterology and </w:t>
      </w:r>
      <w:r w:rsidR="005078F4" w:rsidRPr="00436841">
        <w:rPr>
          <w:rFonts w:ascii="Book Antiqua" w:eastAsia="Book Antiqua" w:hAnsi="Book Antiqua" w:cs="Book Antiqua"/>
          <w:color w:val="000000"/>
        </w:rPr>
        <w:t>h</w:t>
      </w:r>
      <w:r w:rsidRPr="00436841">
        <w:rPr>
          <w:rFonts w:ascii="Book Antiqua" w:eastAsia="Book Antiqua" w:hAnsi="Book Antiqua" w:cs="Book Antiqua"/>
          <w:color w:val="000000"/>
        </w:rPr>
        <w:t>epatology</w:t>
      </w:r>
    </w:p>
    <w:p w14:paraId="09B1B678"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b/>
          <w:color w:val="000000"/>
        </w:rPr>
        <w:t xml:space="preserve">Country/Territory of origin: </w:t>
      </w:r>
      <w:r w:rsidRPr="00436841">
        <w:rPr>
          <w:rFonts w:ascii="Book Antiqua" w:eastAsia="Book Antiqua" w:hAnsi="Book Antiqua" w:cs="Book Antiqua"/>
          <w:color w:val="000000"/>
        </w:rPr>
        <w:t>Greece</w:t>
      </w:r>
    </w:p>
    <w:p w14:paraId="01B1C8BB"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b/>
          <w:color w:val="000000"/>
        </w:rPr>
        <w:t>Peer-review report’s scientific quality classification</w:t>
      </w:r>
    </w:p>
    <w:p w14:paraId="1C6E5317"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Grade A (Excellent): 0</w:t>
      </w:r>
    </w:p>
    <w:p w14:paraId="4F766789"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Grade B (Very good): B</w:t>
      </w:r>
    </w:p>
    <w:p w14:paraId="0C6ED5FA"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Grade C (Good): C, C</w:t>
      </w:r>
      <w:r w:rsidR="00EE09F2" w:rsidRPr="00436841">
        <w:rPr>
          <w:rFonts w:ascii="Book Antiqua" w:eastAsia="Book Antiqua" w:hAnsi="Book Antiqua" w:cs="Book Antiqua"/>
          <w:color w:val="000000"/>
        </w:rPr>
        <w:t>, C</w:t>
      </w:r>
    </w:p>
    <w:p w14:paraId="13139E2E"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Grade D (Fair): 0</w:t>
      </w:r>
    </w:p>
    <w:p w14:paraId="72A813B0" w14:textId="77777777" w:rsidR="00A77B3E" w:rsidRPr="00436841" w:rsidRDefault="0048774A" w:rsidP="00ED58D3">
      <w:pPr>
        <w:spacing w:line="360" w:lineRule="auto"/>
        <w:jc w:val="both"/>
        <w:rPr>
          <w:rFonts w:ascii="Book Antiqua" w:hAnsi="Book Antiqua"/>
        </w:rPr>
      </w:pPr>
      <w:r w:rsidRPr="00436841">
        <w:rPr>
          <w:rFonts w:ascii="Book Antiqua" w:eastAsia="Book Antiqua" w:hAnsi="Book Antiqua" w:cs="Book Antiqua"/>
          <w:color w:val="000000"/>
        </w:rPr>
        <w:t>Grade E (Poor): 0</w:t>
      </w:r>
    </w:p>
    <w:p w14:paraId="350843FE" w14:textId="77777777" w:rsidR="00A77B3E" w:rsidRPr="00436841" w:rsidRDefault="00A77B3E" w:rsidP="00ED58D3">
      <w:pPr>
        <w:spacing w:line="360" w:lineRule="auto"/>
        <w:jc w:val="both"/>
        <w:rPr>
          <w:rFonts w:ascii="Book Antiqua" w:hAnsi="Book Antiqua"/>
        </w:rPr>
      </w:pPr>
    </w:p>
    <w:p w14:paraId="19254742" w14:textId="4DB2810C" w:rsidR="00A77B3E" w:rsidRPr="00436841" w:rsidRDefault="0048774A" w:rsidP="00ED58D3">
      <w:pPr>
        <w:spacing w:line="360" w:lineRule="auto"/>
        <w:jc w:val="both"/>
        <w:rPr>
          <w:rFonts w:ascii="Book Antiqua" w:hAnsi="Book Antiqua"/>
        </w:rPr>
        <w:sectPr w:rsidR="00A77B3E" w:rsidRPr="00436841">
          <w:pgSz w:w="12240" w:h="15840"/>
          <w:pgMar w:top="1440" w:right="1440" w:bottom="1440" w:left="1440" w:header="720" w:footer="720" w:gutter="0"/>
          <w:cols w:space="720"/>
          <w:docGrid w:linePitch="360"/>
        </w:sectPr>
      </w:pPr>
      <w:r w:rsidRPr="00436841">
        <w:rPr>
          <w:rFonts w:ascii="Book Antiqua" w:eastAsia="Book Antiqua" w:hAnsi="Book Antiqua" w:cs="Book Antiqua"/>
          <w:b/>
          <w:color w:val="000000"/>
        </w:rPr>
        <w:lastRenderedPageBreak/>
        <w:t xml:space="preserve">P-Reviewer: </w:t>
      </w:r>
      <w:r w:rsidRPr="00436841">
        <w:rPr>
          <w:rFonts w:ascii="Book Antiqua" w:eastAsia="Book Antiqua" w:hAnsi="Book Antiqua" w:cs="Book Antiqua"/>
          <w:color w:val="000000"/>
        </w:rPr>
        <w:t>Chi G, Nakajima H, Santos-Laso A</w:t>
      </w:r>
      <w:r w:rsidRPr="00436841">
        <w:rPr>
          <w:rFonts w:ascii="Book Antiqua" w:eastAsia="Book Antiqua" w:hAnsi="Book Antiqua" w:cs="Book Antiqua"/>
          <w:b/>
          <w:color w:val="000000"/>
        </w:rPr>
        <w:t xml:space="preserve"> S-Editor: </w:t>
      </w:r>
      <w:r w:rsidRPr="00436841">
        <w:rPr>
          <w:rFonts w:ascii="Book Antiqua" w:eastAsia="Book Antiqua" w:hAnsi="Book Antiqua" w:cs="Book Antiqua"/>
          <w:color w:val="000000"/>
        </w:rPr>
        <w:t>Fan JR</w:t>
      </w:r>
      <w:r w:rsidRPr="00436841">
        <w:rPr>
          <w:rFonts w:ascii="Book Antiqua" w:eastAsia="Book Antiqua" w:hAnsi="Book Antiqua" w:cs="Book Antiqua"/>
          <w:b/>
          <w:color w:val="000000"/>
        </w:rPr>
        <w:t xml:space="preserve"> L-Editor: </w:t>
      </w:r>
      <w:r w:rsidR="00722F42" w:rsidRPr="00436841">
        <w:rPr>
          <w:rFonts w:ascii="Book Antiqua" w:eastAsia="Book Antiqua" w:hAnsi="Book Antiqua" w:cs="Book Antiqua"/>
          <w:bCs/>
          <w:color w:val="000000"/>
        </w:rPr>
        <w:t>Filipodia</w:t>
      </w:r>
      <w:r w:rsidRPr="00436841">
        <w:rPr>
          <w:rFonts w:ascii="Book Antiqua" w:eastAsia="Book Antiqua" w:hAnsi="Book Antiqua" w:cs="Book Antiqua"/>
          <w:b/>
          <w:color w:val="000000"/>
        </w:rPr>
        <w:t xml:space="preserve"> P-Editor: </w:t>
      </w:r>
    </w:p>
    <w:p w14:paraId="462B7C9A" w14:textId="77777777" w:rsidR="00A77B3E" w:rsidRPr="00E110C5" w:rsidRDefault="0048774A" w:rsidP="00ED58D3">
      <w:pPr>
        <w:spacing w:line="360" w:lineRule="auto"/>
        <w:jc w:val="both"/>
        <w:rPr>
          <w:rFonts w:ascii="Book Antiqua" w:hAnsi="Book Antiqua"/>
        </w:rPr>
      </w:pPr>
      <w:r w:rsidRPr="00436841">
        <w:rPr>
          <w:rFonts w:ascii="Book Antiqua" w:eastAsia="Book Antiqua" w:hAnsi="Book Antiqua" w:cs="Book Antiqua"/>
          <w:b/>
          <w:color w:val="000000"/>
        </w:rPr>
        <w:lastRenderedPageBreak/>
        <w:t>Figure Legends</w:t>
      </w:r>
    </w:p>
    <w:p w14:paraId="0D5800AE" w14:textId="77777777" w:rsidR="00244FD1" w:rsidRPr="00436841" w:rsidRDefault="00244FD1" w:rsidP="00ED58D3">
      <w:pPr>
        <w:spacing w:line="360" w:lineRule="auto"/>
        <w:jc w:val="both"/>
        <w:rPr>
          <w:rFonts w:ascii="Book Antiqua" w:eastAsia="Book Antiqua" w:hAnsi="Book Antiqua" w:cs="Book Antiqua"/>
          <w:b/>
          <w:bCs/>
          <w:color w:val="000000"/>
        </w:rPr>
      </w:pPr>
      <w:r w:rsidRPr="00436841">
        <w:rPr>
          <w:rFonts w:ascii="Book Antiqua" w:hAnsi="Book Antiqua"/>
          <w:noProof/>
          <w:lang w:val="el-GR" w:eastAsia="el-GR"/>
        </w:rPr>
        <w:drawing>
          <wp:inline distT="0" distB="0" distL="0" distR="0" wp14:anchorId="3B0B2BD6" wp14:editId="369D832A">
            <wp:extent cx="5943600" cy="33540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3600" cy="3354070"/>
                    </a:xfrm>
                    <a:prstGeom prst="rect">
                      <a:avLst/>
                    </a:prstGeom>
                  </pic:spPr>
                </pic:pic>
              </a:graphicData>
            </a:graphic>
          </wp:inline>
        </w:drawing>
      </w:r>
    </w:p>
    <w:p w14:paraId="041ED9CC" w14:textId="77777777" w:rsidR="00A77B3E" w:rsidRPr="00436841" w:rsidRDefault="0048774A" w:rsidP="00ED58D3">
      <w:pPr>
        <w:spacing w:line="360" w:lineRule="auto"/>
        <w:jc w:val="both"/>
        <w:rPr>
          <w:rFonts w:ascii="Book Antiqua" w:eastAsia="Book Antiqua" w:hAnsi="Book Antiqua" w:cs="Book Antiqua"/>
          <w:color w:val="000000"/>
        </w:rPr>
      </w:pPr>
      <w:r w:rsidRPr="00E110C5">
        <w:rPr>
          <w:rFonts w:ascii="Book Antiqua" w:eastAsia="Book Antiqua" w:hAnsi="Book Antiqua" w:cs="Book Antiqua"/>
          <w:b/>
          <w:bCs/>
          <w:color w:val="000000"/>
        </w:rPr>
        <w:t xml:space="preserve">Figure 1 </w:t>
      </w:r>
      <w:r w:rsidR="00244FD1" w:rsidRPr="00326C94">
        <w:rPr>
          <w:rFonts w:ascii="Book Antiqua" w:eastAsia="Book Antiqua" w:hAnsi="Book Antiqua" w:cs="Book Antiqua"/>
          <w:b/>
          <w:bCs/>
          <w:color w:val="000000"/>
        </w:rPr>
        <w:t xml:space="preserve">A small (1.8 cm) liver nodule with arterial enhancement is discovered in the left </w:t>
      </w:r>
      <w:r w:rsidR="00244FD1" w:rsidRPr="00436841">
        <w:rPr>
          <w:rFonts w:ascii="Book Antiqua" w:eastAsia="Book Antiqua" w:hAnsi="Book Antiqua" w:cs="Book Antiqua"/>
          <w:b/>
          <w:bCs/>
          <w:color w:val="000000"/>
        </w:rPr>
        <w:t>hepatic lobe during magnetic resonance imaging.</w:t>
      </w:r>
      <w:r w:rsidR="00244FD1" w:rsidRPr="00436841">
        <w:rPr>
          <w:rFonts w:ascii="Book Antiqua" w:eastAsia="Book Antiqua" w:hAnsi="Book Antiqua" w:cs="Book Antiqua"/>
          <w:color w:val="000000"/>
        </w:rPr>
        <w:t xml:space="preserve"> </w:t>
      </w:r>
      <w:r w:rsidRPr="00436841">
        <w:rPr>
          <w:rFonts w:ascii="Book Antiqua" w:eastAsia="Book Antiqua" w:hAnsi="Book Antiqua" w:cs="Book Antiqua"/>
          <w:color w:val="000000"/>
        </w:rPr>
        <w:t>A: T1, arterial phase</w:t>
      </w:r>
      <w:r w:rsidR="00244FD1" w:rsidRPr="00436841">
        <w:rPr>
          <w:rFonts w:ascii="Book Antiqua" w:eastAsia="Book Antiqua" w:hAnsi="Book Antiqua" w:cs="Book Antiqua"/>
          <w:color w:val="000000"/>
        </w:rPr>
        <w:t>;</w:t>
      </w:r>
      <w:r w:rsidRPr="00436841">
        <w:rPr>
          <w:rFonts w:ascii="Book Antiqua" w:eastAsia="Book Antiqua" w:hAnsi="Book Antiqua" w:cs="Book Antiqua"/>
          <w:color w:val="000000"/>
        </w:rPr>
        <w:t xml:space="preserve"> B</w:t>
      </w:r>
      <w:r w:rsidR="00244FD1" w:rsidRPr="00436841">
        <w:rPr>
          <w:rFonts w:ascii="Book Antiqua" w:eastAsia="Book Antiqua" w:hAnsi="Book Antiqua" w:cs="Book Antiqua"/>
          <w:color w:val="000000"/>
        </w:rPr>
        <w:t>:</w:t>
      </w:r>
      <w:r w:rsidRPr="00436841">
        <w:rPr>
          <w:rFonts w:ascii="Book Antiqua" w:eastAsia="Book Antiqua" w:hAnsi="Book Antiqua" w:cs="Book Antiqua"/>
          <w:color w:val="000000"/>
        </w:rPr>
        <w:t xml:space="preserve"> T1 portal phase</w:t>
      </w:r>
      <w:r w:rsidR="00244FD1" w:rsidRPr="00436841">
        <w:rPr>
          <w:rFonts w:ascii="Book Antiqua" w:eastAsia="Book Antiqua" w:hAnsi="Book Antiqua" w:cs="Book Antiqua"/>
          <w:color w:val="000000"/>
        </w:rPr>
        <w:t>;</w:t>
      </w:r>
      <w:r w:rsidRPr="00436841">
        <w:rPr>
          <w:rFonts w:ascii="Book Antiqua" w:eastAsia="Book Antiqua" w:hAnsi="Book Antiqua" w:cs="Book Antiqua"/>
          <w:color w:val="000000"/>
        </w:rPr>
        <w:t xml:space="preserve"> C</w:t>
      </w:r>
      <w:r w:rsidR="00244FD1" w:rsidRPr="00436841">
        <w:rPr>
          <w:rFonts w:ascii="Book Antiqua" w:eastAsia="Book Antiqua" w:hAnsi="Book Antiqua" w:cs="Book Antiqua"/>
          <w:color w:val="000000"/>
        </w:rPr>
        <w:t>:</w:t>
      </w:r>
      <w:r w:rsidRPr="00436841">
        <w:rPr>
          <w:rFonts w:ascii="Book Antiqua" w:eastAsia="Book Antiqua" w:hAnsi="Book Antiqua" w:cs="Book Antiqua"/>
          <w:color w:val="000000"/>
        </w:rPr>
        <w:t xml:space="preserve"> T1 delayed phase</w:t>
      </w:r>
      <w:r w:rsidR="00244FD1" w:rsidRPr="00436841">
        <w:rPr>
          <w:rFonts w:ascii="Book Antiqua" w:eastAsia="Book Antiqua" w:hAnsi="Book Antiqua" w:cs="Book Antiqua"/>
          <w:color w:val="000000"/>
        </w:rPr>
        <w:t>;</w:t>
      </w:r>
      <w:r w:rsidRPr="00436841">
        <w:rPr>
          <w:rFonts w:ascii="Book Antiqua" w:eastAsia="Book Antiqua" w:hAnsi="Book Antiqua" w:cs="Book Antiqua"/>
          <w:color w:val="000000"/>
        </w:rPr>
        <w:t xml:space="preserve"> D</w:t>
      </w:r>
      <w:r w:rsidR="00244FD1" w:rsidRPr="00436841">
        <w:rPr>
          <w:rFonts w:ascii="Book Antiqua" w:eastAsia="Book Antiqua" w:hAnsi="Book Antiqua" w:cs="Book Antiqua"/>
          <w:color w:val="000000"/>
        </w:rPr>
        <w:t>:</w:t>
      </w:r>
      <w:r w:rsidRPr="00436841">
        <w:rPr>
          <w:rFonts w:ascii="Book Antiqua" w:eastAsia="Book Antiqua" w:hAnsi="Book Antiqua" w:cs="Book Antiqua"/>
          <w:color w:val="000000"/>
        </w:rPr>
        <w:t xml:space="preserve"> T2</w:t>
      </w:r>
      <w:r w:rsidR="00244FD1" w:rsidRPr="00436841">
        <w:rPr>
          <w:rFonts w:ascii="Book Antiqua" w:eastAsia="Book Antiqua" w:hAnsi="Book Antiqua" w:cs="Book Antiqua"/>
          <w:color w:val="000000"/>
        </w:rPr>
        <w:t>.</w:t>
      </w:r>
    </w:p>
    <w:p w14:paraId="2E961EA2" w14:textId="77777777" w:rsidR="00272934" w:rsidRPr="00436841" w:rsidRDefault="00272934" w:rsidP="00ED58D3">
      <w:pPr>
        <w:spacing w:line="360" w:lineRule="auto"/>
        <w:jc w:val="both"/>
        <w:rPr>
          <w:rFonts w:ascii="Book Antiqua" w:hAnsi="Book Antiqua"/>
        </w:rPr>
      </w:pPr>
      <w:r w:rsidRPr="00436841">
        <w:rPr>
          <w:rFonts w:ascii="Book Antiqua" w:eastAsia="Book Antiqua" w:hAnsi="Book Antiqua" w:cs="Book Antiqua"/>
          <w:color w:val="000000"/>
        </w:rPr>
        <w:br w:type="page"/>
      </w:r>
      <w:r w:rsidRPr="00436841">
        <w:rPr>
          <w:rFonts w:ascii="Book Antiqua" w:hAnsi="Book Antiqua"/>
          <w:noProof/>
          <w:lang w:val="el-GR" w:eastAsia="el-GR"/>
        </w:rPr>
        <w:lastRenderedPageBreak/>
        <w:drawing>
          <wp:inline distT="0" distB="0" distL="0" distR="0" wp14:anchorId="53BDB49A" wp14:editId="2FC669B0">
            <wp:extent cx="4572000" cy="343876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576448" cy="3442114"/>
                    </a:xfrm>
                    <a:prstGeom prst="rect">
                      <a:avLst/>
                    </a:prstGeom>
                  </pic:spPr>
                </pic:pic>
              </a:graphicData>
            </a:graphic>
          </wp:inline>
        </w:drawing>
      </w:r>
    </w:p>
    <w:p w14:paraId="5021F72E" w14:textId="77777777" w:rsidR="00A77B3E" w:rsidRPr="00E110C5" w:rsidRDefault="0048774A" w:rsidP="00ED58D3">
      <w:pPr>
        <w:spacing w:line="360" w:lineRule="auto"/>
        <w:jc w:val="both"/>
        <w:rPr>
          <w:rFonts w:ascii="Book Antiqua" w:eastAsia="Book Antiqua" w:hAnsi="Book Antiqua" w:cs="Book Antiqua"/>
          <w:b/>
          <w:bCs/>
          <w:color w:val="000000"/>
        </w:rPr>
      </w:pPr>
      <w:r w:rsidRPr="00475777">
        <w:rPr>
          <w:rFonts w:ascii="Book Antiqua" w:eastAsia="Book Antiqua" w:hAnsi="Book Antiqua" w:cs="Book Antiqua"/>
          <w:b/>
          <w:bCs/>
          <w:color w:val="000000"/>
        </w:rPr>
        <w:t xml:space="preserve">Figure 2 Histological findings typical of </w:t>
      </w:r>
      <w:r w:rsidR="00272934" w:rsidRPr="00475777">
        <w:rPr>
          <w:rFonts w:ascii="Book Antiqua" w:eastAsia="Book Antiqua" w:hAnsi="Book Antiqua" w:cs="Book Antiqua"/>
          <w:b/>
          <w:bCs/>
          <w:color w:val="000000"/>
        </w:rPr>
        <w:t>cholangiocarcinoma</w:t>
      </w:r>
      <w:r w:rsidRPr="00E110C5">
        <w:rPr>
          <w:rFonts w:ascii="Book Antiqua" w:eastAsia="Book Antiqua" w:hAnsi="Book Antiqua" w:cs="Book Antiqua"/>
          <w:b/>
          <w:bCs/>
          <w:color w:val="000000"/>
        </w:rPr>
        <w:t xml:space="preserve">. </w:t>
      </w:r>
    </w:p>
    <w:p w14:paraId="421480BE" w14:textId="77777777" w:rsidR="00272934" w:rsidRPr="00436841" w:rsidRDefault="00272934" w:rsidP="00ED58D3">
      <w:pPr>
        <w:spacing w:line="360" w:lineRule="auto"/>
        <w:jc w:val="both"/>
        <w:rPr>
          <w:rFonts w:ascii="Book Antiqua" w:hAnsi="Book Antiqua"/>
        </w:rPr>
      </w:pPr>
      <w:r w:rsidRPr="00436841">
        <w:rPr>
          <w:rFonts w:ascii="Book Antiqua" w:eastAsia="Book Antiqua" w:hAnsi="Book Antiqua" w:cs="Book Antiqua"/>
          <w:b/>
          <w:bCs/>
          <w:color w:val="000000"/>
        </w:rPr>
        <w:br w:type="page"/>
      </w:r>
      <w:r w:rsidR="00277196" w:rsidRPr="00436841">
        <w:rPr>
          <w:rFonts w:ascii="Book Antiqua" w:hAnsi="Book Antiqua"/>
          <w:noProof/>
          <w:lang w:val="el-GR" w:eastAsia="el-GR"/>
        </w:rPr>
        <w:lastRenderedPageBreak/>
        <w:drawing>
          <wp:inline distT="0" distB="0" distL="0" distR="0" wp14:anchorId="69D1546F" wp14:editId="1EA11BD0">
            <wp:extent cx="5943600" cy="32277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3600" cy="3227705"/>
                    </a:xfrm>
                    <a:prstGeom prst="rect">
                      <a:avLst/>
                    </a:prstGeom>
                  </pic:spPr>
                </pic:pic>
              </a:graphicData>
            </a:graphic>
          </wp:inline>
        </w:drawing>
      </w:r>
    </w:p>
    <w:p w14:paraId="279BDB7B" w14:textId="56E09717" w:rsidR="00A77B3E" w:rsidRPr="00436841" w:rsidRDefault="0048774A" w:rsidP="00ED58D3">
      <w:pPr>
        <w:spacing w:line="360" w:lineRule="auto"/>
        <w:jc w:val="both"/>
        <w:rPr>
          <w:rFonts w:ascii="Book Antiqua" w:eastAsia="Book Antiqua" w:hAnsi="Book Antiqua" w:cs="Book Antiqua"/>
          <w:color w:val="000000"/>
        </w:rPr>
      </w:pPr>
      <w:r w:rsidRPr="00E110C5">
        <w:rPr>
          <w:rFonts w:ascii="Book Antiqua" w:eastAsia="Book Antiqua" w:hAnsi="Book Antiqua" w:cs="Book Antiqua"/>
          <w:b/>
          <w:bCs/>
          <w:color w:val="000000"/>
        </w:rPr>
        <w:t xml:space="preserve">Figure 3 </w:t>
      </w:r>
      <w:r w:rsidR="00E67B78" w:rsidRPr="00E110C5">
        <w:rPr>
          <w:rFonts w:ascii="Book Antiqua" w:eastAsia="Book Antiqua" w:hAnsi="Book Antiqua" w:cs="Book Antiqua"/>
          <w:b/>
          <w:bCs/>
          <w:color w:val="000000"/>
        </w:rPr>
        <w:t xml:space="preserve">Pathological mechanisms that lead to </w:t>
      </w:r>
      <w:r w:rsidR="00AD09ED" w:rsidRPr="00E110C5">
        <w:rPr>
          <w:rFonts w:ascii="Book Antiqua" w:eastAsia="Book Antiqua" w:hAnsi="Book Antiqua" w:cs="Book Antiqua"/>
          <w:b/>
          <w:bCs/>
          <w:color w:val="000000"/>
        </w:rPr>
        <w:t>tumorigenesis</w:t>
      </w:r>
      <w:r w:rsidR="00E67B78" w:rsidRPr="00E110C5">
        <w:rPr>
          <w:rFonts w:ascii="Book Antiqua" w:eastAsia="Book Antiqua" w:hAnsi="Book Antiqua" w:cs="Book Antiqua"/>
          <w:b/>
          <w:bCs/>
          <w:color w:val="000000"/>
        </w:rPr>
        <w:t xml:space="preserve"> in patients with </w:t>
      </w:r>
      <w:r w:rsidR="005216A8" w:rsidRPr="00E110C5">
        <w:rPr>
          <w:rFonts w:ascii="Book Antiqua" w:eastAsia="Book Antiqua" w:hAnsi="Book Antiqua" w:cs="Book Antiqua"/>
          <w:b/>
          <w:color w:val="000000"/>
        </w:rPr>
        <w:t xml:space="preserve">hepatitis B </w:t>
      </w:r>
      <w:r w:rsidR="005216A8" w:rsidRPr="00E110C5">
        <w:rPr>
          <w:rFonts w:ascii="Book Antiqua" w:hAnsi="Book Antiqua" w:cs="Book Antiqua"/>
          <w:b/>
          <w:color w:val="000000"/>
          <w:lang w:eastAsia="zh-CN"/>
        </w:rPr>
        <w:t>v</w:t>
      </w:r>
      <w:r w:rsidR="005216A8" w:rsidRPr="00E110C5">
        <w:rPr>
          <w:rFonts w:ascii="Book Antiqua" w:eastAsia="Book Antiqua" w:hAnsi="Book Antiqua" w:cs="Book Antiqua"/>
          <w:b/>
          <w:color w:val="000000"/>
        </w:rPr>
        <w:t>irus</w:t>
      </w:r>
      <w:r w:rsidR="00E67B78" w:rsidRPr="00E110C5">
        <w:rPr>
          <w:rFonts w:ascii="Book Antiqua" w:eastAsia="Book Antiqua" w:hAnsi="Book Antiqua" w:cs="Book Antiqua"/>
          <w:b/>
          <w:bCs/>
          <w:color w:val="000000"/>
        </w:rPr>
        <w:t xml:space="preserve"> infection.</w:t>
      </w:r>
      <w:r w:rsidRPr="00E110C5">
        <w:rPr>
          <w:rFonts w:ascii="Book Antiqua" w:eastAsia="Book Antiqua" w:hAnsi="Book Antiqua" w:cs="Book Antiqua"/>
          <w:b/>
          <w:bCs/>
          <w:color w:val="000000"/>
        </w:rPr>
        <w:t xml:space="preserve"> </w:t>
      </w:r>
      <w:r w:rsidR="00E110C5" w:rsidRPr="009A1362">
        <w:rPr>
          <w:rFonts w:ascii="Book Antiqua" w:eastAsia="Book Antiqua" w:hAnsi="Book Antiqua" w:cs="Book Antiqua"/>
          <w:color w:val="000000"/>
        </w:rPr>
        <w:t>FGFR: Fibroblast growth factor receptor; HBV: Hepatitis B virus</w:t>
      </w:r>
      <w:r w:rsidR="00E110C5">
        <w:rPr>
          <w:rFonts w:ascii="Book Antiqua" w:eastAsia="Book Antiqua" w:hAnsi="Book Antiqua" w:cs="Book Antiqua"/>
          <w:color w:val="000000"/>
        </w:rPr>
        <w:t xml:space="preserve">; </w:t>
      </w:r>
      <w:r w:rsidR="00E110C5" w:rsidRPr="009A1362">
        <w:rPr>
          <w:rFonts w:ascii="Book Antiqua" w:eastAsia="Book Antiqua" w:hAnsi="Book Antiqua" w:cs="Book Antiqua"/>
          <w:color w:val="000000"/>
        </w:rPr>
        <w:t xml:space="preserve">IDH: Isocitrate dehydrogenase; </w:t>
      </w:r>
      <w:r w:rsidRPr="00E110C5">
        <w:rPr>
          <w:rFonts w:ascii="Book Antiqua" w:eastAsia="Book Antiqua" w:hAnsi="Book Antiqua" w:cs="Book Antiqua"/>
          <w:color w:val="000000"/>
        </w:rPr>
        <w:t>IL-6: Interleukin 6</w:t>
      </w:r>
      <w:r w:rsidR="009E25B9" w:rsidRPr="00E110C5">
        <w:rPr>
          <w:rFonts w:ascii="Book Antiqua" w:eastAsia="Book Antiqua" w:hAnsi="Book Antiqua" w:cs="Book Antiqua"/>
          <w:color w:val="000000"/>
        </w:rPr>
        <w:t>;</w:t>
      </w:r>
      <w:r w:rsidRPr="00E110C5">
        <w:rPr>
          <w:rFonts w:ascii="Book Antiqua" w:eastAsia="Book Antiqua" w:hAnsi="Book Antiqua" w:cs="Book Antiqua"/>
          <w:color w:val="000000"/>
        </w:rPr>
        <w:t xml:space="preserve"> </w:t>
      </w:r>
      <w:r w:rsidR="00E110C5" w:rsidRPr="009A1362">
        <w:rPr>
          <w:rFonts w:ascii="Book Antiqua" w:eastAsia="Book Antiqua" w:hAnsi="Book Antiqua" w:cs="Book Antiqua"/>
          <w:color w:val="000000"/>
        </w:rPr>
        <w:t xml:space="preserve">TGF-β: Transforming growth factor β; </w:t>
      </w:r>
      <w:r w:rsidRPr="00E110C5">
        <w:rPr>
          <w:rFonts w:ascii="Book Antiqua" w:eastAsia="Book Antiqua" w:hAnsi="Book Antiqua" w:cs="Book Antiqua"/>
          <w:color w:val="000000"/>
        </w:rPr>
        <w:t>TNF</w:t>
      </w:r>
      <w:r w:rsidR="009E25B9" w:rsidRPr="00E110C5">
        <w:rPr>
          <w:rFonts w:ascii="Book Antiqua" w:eastAsia="Book Antiqua" w:hAnsi="Book Antiqua" w:cs="Book Antiqua"/>
          <w:color w:val="000000"/>
        </w:rPr>
        <w:t>-</w:t>
      </w:r>
      <w:r w:rsidRPr="00E110C5">
        <w:rPr>
          <w:rFonts w:ascii="Book Antiqua" w:eastAsia="Book Antiqua" w:hAnsi="Book Antiqua" w:cs="Book Antiqua"/>
          <w:color w:val="000000"/>
        </w:rPr>
        <w:t xml:space="preserve">α: Tumor </w:t>
      </w:r>
      <w:r w:rsidR="009E25B9" w:rsidRPr="00E110C5">
        <w:rPr>
          <w:rFonts w:ascii="Book Antiqua" w:eastAsia="Book Antiqua" w:hAnsi="Book Antiqua" w:cs="Book Antiqua"/>
          <w:color w:val="000000"/>
        </w:rPr>
        <w:t>n</w:t>
      </w:r>
      <w:r w:rsidRPr="00E110C5">
        <w:rPr>
          <w:rFonts w:ascii="Book Antiqua" w:eastAsia="Book Antiqua" w:hAnsi="Book Antiqua" w:cs="Book Antiqua"/>
          <w:color w:val="000000"/>
        </w:rPr>
        <w:t xml:space="preserve">ecrosis </w:t>
      </w:r>
      <w:r w:rsidR="009E25B9" w:rsidRPr="00E110C5">
        <w:rPr>
          <w:rFonts w:ascii="Book Antiqua" w:eastAsia="Book Antiqua" w:hAnsi="Book Antiqua" w:cs="Book Antiqua"/>
          <w:color w:val="000000"/>
        </w:rPr>
        <w:t>f</w:t>
      </w:r>
      <w:r w:rsidRPr="00E110C5">
        <w:rPr>
          <w:rFonts w:ascii="Book Antiqua" w:eastAsia="Book Antiqua" w:hAnsi="Book Antiqua" w:cs="Book Antiqua"/>
          <w:color w:val="000000"/>
        </w:rPr>
        <w:t>actor α</w:t>
      </w:r>
      <w:r w:rsidR="00E110C5">
        <w:rPr>
          <w:rFonts w:ascii="Book Antiqua" w:eastAsia="Book Antiqua" w:hAnsi="Book Antiqua" w:cs="Book Antiqua"/>
          <w:color w:val="000000"/>
        </w:rPr>
        <w:t>.</w:t>
      </w:r>
    </w:p>
    <w:p w14:paraId="213FCB16" w14:textId="77777777" w:rsidR="00277196" w:rsidRPr="00436841" w:rsidRDefault="00277196" w:rsidP="00ED58D3">
      <w:pPr>
        <w:spacing w:line="360" w:lineRule="auto"/>
        <w:jc w:val="both"/>
        <w:rPr>
          <w:rFonts w:ascii="Book Antiqua" w:hAnsi="Book Antiqua"/>
        </w:rPr>
      </w:pPr>
      <w:r w:rsidRPr="00436841">
        <w:rPr>
          <w:rFonts w:ascii="Book Antiqua" w:eastAsia="Book Antiqua" w:hAnsi="Book Antiqua" w:cs="Book Antiqua"/>
          <w:color w:val="000000"/>
        </w:rPr>
        <w:br w:type="page"/>
      </w:r>
      <w:r w:rsidR="00D7472F" w:rsidRPr="00436841">
        <w:rPr>
          <w:rFonts w:ascii="Book Antiqua" w:hAnsi="Book Antiqua"/>
          <w:noProof/>
          <w:lang w:val="el-GR" w:eastAsia="el-GR"/>
        </w:rPr>
        <w:lastRenderedPageBreak/>
        <w:drawing>
          <wp:inline distT="0" distB="0" distL="0" distR="0" wp14:anchorId="25B4CD36" wp14:editId="24315182">
            <wp:extent cx="5943600" cy="31953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43600" cy="3195320"/>
                    </a:xfrm>
                    <a:prstGeom prst="rect">
                      <a:avLst/>
                    </a:prstGeom>
                  </pic:spPr>
                </pic:pic>
              </a:graphicData>
            </a:graphic>
          </wp:inline>
        </w:drawing>
      </w:r>
    </w:p>
    <w:p w14:paraId="275ED6D2" w14:textId="7CDE7087" w:rsidR="00A77B3E" w:rsidRPr="00436841" w:rsidRDefault="0048774A" w:rsidP="00ED58D3">
      <w:pPr>
        <w:spacing w:line="360" w:lineRule="auto"/>
        <w:jc w:val="both"/>
        <w:rPr>
          <w:rFonts w:ascii="Book Antiqua" w:hAnsi="Book Antiqua"/>
        </w:rPr>
      </w:pPr>
      <w:r w:rsidRPr="00326C94">
        <w:rPr>
          <w:rFonts w:ascii="Book Antiqua" w:eastAsia="Book Antiqua" w:hAnsi="Book Antiqua" w:cs="Book Antiqua"/>
          <w:b/>
          <w:bCs/>
          <w:color w:val="000000"/>
        </w:rPr>
        <w:t xml:space="preserve">Figure 4 Therapeutic algorithm for </w:t>
      </w:r>
      <w:r w:rsidR="00272934" w:rsidRPr="00436841">
        <w:rPr>
          <w:rFonts w:ascii="Book Antiqua" w:eastAsia="Book Antiqua" w:hAnsi="Book Antiqua" w:cs="Book Antiqua"/>
          <w:b/>
          <w:bCs/>
          <w:color w:val="000000"/>
        </w:rPr>
        <w:t>hepatitis B virus</w:t>
      </w:r>
      <w:r w:rsidRPr="00436841">
        <w:rPr>
          <w:rFonts w:ascii="Book Antiqua" w:eastAsia="Book Antiqua" w:hAnsi="Book Antiqua" w:cs="Book Antiqua"/>
          <w:b/>
          <w:bCs/>
          <w:color w:val="000000"/>
        </w:rPr>
        <w:t>-associated</w:t>
      </w:r>
      <w:r w:rsidR="00272934" w:rsidRPr="00436841">
        <w:rPr>
          <w:rFonts w:ascii="Book Antiqua" w:hAnsi="Book Antiqua" w:cstheme="minorHAnsi"/>
          <w:b/>
          <w:bCs/>
          <w:color w:val="000000" w:themeColor="text1"/>
        </w:rPr>
        <w:t xml:space="preserve"> intrahepatic cholangiocarcinoma</w:t>
      </w:r>
      <w:r w:rsidRPr="00436841">
        <w:rPr>
          <w:rFonts w:ascii="Book Antiqua" w:eastAsia="Book Antiqua" w:hAnsi="Book Antiqua" w:cs="Book Antiqua"/>
          <w:b/>
          <w:bCs/>
          <w:color w:val="000000"/>
        </w:rPr>
        <w:t xml:space="preserve">. </w:t>
      </w:r>
      <w:r w:rsidR="00E110C5" w:rsidRPr="009A1362">
        <w:rPr>
          <w:rFonts w:ascii="Book Antiqua" w:eastAsia="Book Antiqua" w:hAnsi="Book Antiqua" w:cs="Book Antiqua"/>
          <w:color w:val="000000"/>
        </w:rPr>
        <w:t xml:space="preserve">BSC: Best supportive care; </w:t>
      </w:r>
      <w:r w:rsidRPr="00E110C5">
        <w:rPr>
          <w:rFonts w:ascii="Book Antiqua" w:eastAsia="Book Antiqua" w:hAnsi="Book Antiqua" w:cs="Book Antiqua"/>
          <w:color w:val="000000"/>
        </w:rPr>
        <w:t xml:space="preserve">ECOG-PS: Eastern Cooperative Oncology Group-Performance Status; </w:t>
      </w:r>
      <w:r w:rsidR="00E110C5" w:rsidRPr="009A1362">
        <w:rPr>
          <w:rFonts w:ascii="Book Antiqua" w:eastAsia="Book Antiqua" w:hAnsi="Book Antiqua" w:cs="Book Antiqua"/>
          <w:color w:val="000000"/>
        </w:rPr>
        <w:t>FGFR: Fibroblast growth factor receptor</w:t>
      </w:r>
      <w:r w:rsidR="00E110C5">
        <w:rPr>
          <w:rFonts w:ascii="Book Antiqua" w:eastAsia="Book Antiqua" w:hAnsi="Book Antiqua" w:cs="Book Antiqua"/>
          <w:color w:val="000000"/>
        </w:rPr>
        <w:t xml:space="preserve">; </w:t>
      </w:r>
      <w:r w:rsidR="00E110C5" w:rsidRPr="009A1362">
        <w:rPr>
          <w:rFonts w:ascii="Book Antiqua" w:eastAsia="Book Antiqua" w:hAnsi="Book Antiqua" w:cs="Book Antiqua"/>
          <w:color w:val="000000"/>
        </w:rPr>
        <w:t>FOLFOX: Folinic acid, Fluorouracil and Oxaliplatin combination;</w:t>
      </w:r>
      <w:r w:rsidR="00E110C5">
        <w:rPr>
          <w:rFonts w:ascii="Book Antiqua" w:eastAsia="Book Antiqua" w:hAnsi="Book Antiqua" w:cs="Book Antiqua"/>
          <w:color w:val="000000"/>
        </w:rPr>
        <w:t xml:space="preserve"> </w:t>
      </w:r>
      <w:r w:rsidRPr="00436841">
        <w:rPr>
          <w:rFonts w:ascii="Book Antiqua" w:eastAsia="Book Antiqua" w:hAnsi="Book Antiqua" w:cs="Book Antiqua"/>
          <w:color w:val="000000"/>
        </w:rPr>
        <w:t xml:space="preserve">GEMCIS: Gemcitabine and </w:t>
      </w:r>
      <w:r w:rsidR="00C96810" w:rsidRPr="00436841">
        <w:rPr>
          <w:rFonts w:ascii="Book Antiqua" w:eastAsia="Book Antiqua" w:hAnsi="Book Antiqua" w:cs="Book Antiqua"/>
          <w:color w:val="000000"/>
        </w:rPr>
        <w:t>c</w:t>
      </w:r>
      <w:r w:rsidRPr="00436841">
        <w:rPr>
          <w:rFonts w:ascii="Book Antiqua" w:eastAsia="Book Antiqua" w:hAnsi="Book Antiqua" w:cs="Book Antiqua"/>
          <w:color w:val="000000"/>
        </w:rPr>
        <w:t xml:space="preserve">isplatin combination; IDH: Isocitrate </w:t>
      </w:r>
      <w:r w:rsidR="00C96810" w:rsidRPr="00436841">
        <w:rPr>
          <w:rFonts w:ascii="Book Antiqua" w:eastAsia="Book Antiqua" w:hAnsi="Book Antiqua" w:cs="Book Antiqua"/>
          <w:color w:val="000000"/>
        </w:rPr>
        <w:t>d</w:t>
      </w:r>
      <w:r w:rsidRPr="00436841">
        <w:rPr>
          <w:rFonts w:ascii="Book Antiqua" w:eastAsia="Book Antiqua" w:hAnsi="Book Antiqua" w:cs="Book Antiqua"/>
          <w:color w:val="000000"/>
        </w:rPr>
        <w:t>ehydrogenase</w:t>
      </w:r>
      <w:r w:rsidR="00E110C5">
        <w:rPr>
          <w:rFonts w:ascii="Book Antiqua" w:eastAsia="Book Antiqua" w:hAnsi="Book Antiqua" w:cs="Book Antiqua"/>
          <w:color w:val="000000"/>
        </w:rPr>
        <w:t>.</w:t>
      </w:r>
    </w:p>
    <w:p w14:paraId="7C64093B" w14:textId="77777777" w:rsidR="00424BA6" w:rsidRPr="00436841" w:rsidRDefault="00424BA6" w:rsidP="00ED58D3">
      <w:pPr>
        <w:spacing w:line="360" w:lineRule="auto"/>
        <w:jc w:val="both"/>
        <w:rPr>
          <w:rFonts w:ascii="Book Antiqua" w:hAnsi="Book Antiqua"/>
        </w:rPr>
      </w:pPr>
    </w:p>
    <w:p w14:paraId="24C31F8F" w14:textId="77777777" w:rsidR="00424BA6" w:rsidRPr="00436841" w:rsidRDefault="00424BA6" w:rsidP="00ED58D3">
      <w:pPr>
        <w:spacing w:line="360" w:lineRule="auto"/>
        <w:jc w:val="both"/>
        <w:rPr>
          <w:rFonts w:ascii="Book Antiqua" w:hAnsi="Book Antiqua"/>
        </w:rPr>
        <w:sectPr w:rsidR="00424BA6" w:rsidRPr="00436841">
          <w:pgSz w:w="12240" w:h="15840"/>
          <w:pgMar w:top="1440" w:right="1440" w:bottom="1440" w:left="1440" w:header="720" w:footer="720" w:gutter="0"/>
          <w:cols w:space="720"/>
          <w:docGrid w:linePitch="360"/>
        </w:sectPr>
      </w:pPr>
    </w:p>
    <w:p w14:paraId="6C9E85FE" w14:textId="77777777" w:rsidR="00424BA6" w:rsidRPr="00436841" w:rsidRDefault="00424BA6" w:rsidP="00ED58D3">
      <w:pPr>
        <w:spacing w:line="360" w:lineRule="auto"/>
        <w:jc w:val="both"/>
        <w:rPr>
          <w:rFonts w:ascii="Book Antiqua" w:hAnsi="Book Antiqua" w:cstheme="minorHAnsi"/>
          <w:b/>
          <w:bCs/>
        </w:rPr>
      </w:pPr>
      <w:r w:rsidRPr="00436841">
        <w:rPr>
          <w:rFonts w:ascii="Book Antiqua" w:hAnsi="Book Antiqua" w:cstheme="minorHAnsi"/>
          <w:b/>
        </w:rPr>
        <w:lastRenderedPageBreak/>
        <w:t xml:space="preserve">Table </w:t>
      </w:r>
      <w:r w:rsidR="00DA7CC7" w:rsidRPr="00475777">
        <w:rPr>
          <w:rFonts w:ascii="Book Antiqua" w:hAnsi="Book Antiqua" w:cstheme="minorHAnsi"/>
          <w:b/>
        </w:rPr>
        <w:fldChar w:fldCharType="begin"/>
      </w:r>
      <w:r w:rsidRPr="00436841">
        <w:rPr>
          <w:rFonts w:ascii="Book Antiqua" w:hAnsi="Book Antiqua" w:cstheme="minorHAnsi"/>
          <w:b/>
        </w:rPr>
        <w:instrText xml:space="preserve"> SEQ Table \* ARABIC </w:instrText>
      </w:r>
      <w:r w:rsidR="00DA7CC7" w:rsidRPr="00D866CC">
        <w:rPr>
          <w:rFonts w:ascii="Book Antiqua" w:hAnsi="Book Antiqua" w:cstheme="minorHAnsi"/>
          <w:b/>
        </w:rPr>
        <w:fldChar w:fldCharType="separate"/>
      </w:r>
      <w:r w:rsidRPr="00475777">
        <w:rPr>
          <w:rFonts w:ascii="Book Antiqua" w:hAnsi="Book Antiqua" w:cstheme="minorHAnsi"/>
          <w:b/>
          <w:noProof/>
        </w:rPr>
        <w:t>1</w:t>
      </w:r>
      <w:r w:rsidR="00DA7CC7" w:rsidRPr="00475777">
        <w:rPr>
          <w:rFonts w:ascii="Book Antiqua" w:hAnsi="Book Antiqua" w:cstheme="minorHAnsi"/>
          <w:b/>
        </w:rPr>
        <w:fldChar w:fldCharType="end"/>
      </w:r>
      <w:r w:rsidRPr="00436841">
        <w:rPr>
          <w:rFonts w:ascii="Book Antiqua" w:hAnsi="Book Antiqua" w:cstheme="minorHAnsi"/>
          <w:b/>
        </w:rPr>
        <w:t xml:space="preserve"> Summary of epidemiological studies evaluating </w:t>
      </w:r>
      <w:r w:rsidR="006F74AE" w:rsidRPr="00475777">
        <w:rPr>
          <w:rFonts w:ascii="Book Antiqua" w:eastAsia="Book Antiqua" w:hAnsi="Book Antiqua" w:cs="Book Antiqua"/>
          <w:b/>
          <w:bCs/>
          <w:color w:val="000000"/>
        </w:rPr>
        <w:t>h</w:t>
      </w:r>
      <w:r w:rsidR="00A72810" w:rsidRPr="00E110C5">
        <w:rPr>
          <w:rFonts w:ascii="Book Antiqua" w:eastAsia="Book Antiqua" w:hAnsi="Book Antiqua" w:cs="Book Antiqua"/>
          <w:b/>
          <w:bCs/>
          <w:color w:val="000000"/>
        </w:rPr>
        <w:t xml:space="preserve">epatitis B </w:t>
      </w:r>
      <w:r w:rsidR="006F74AE" w:rsidRPr="00E110C5">
        <w:rPr>
          <w:rFonts w:ascii="Book Antiqua" w:eastAsia="Book Antiqua" w:hAnsi="Book Antiqua" w:cs="Book Antiqua"/>
          <w:b/>
          <w:bCs/>
          <w:color w:val="000000"/>
        </w:rPr>
        <w:t>v</w:t>
      </w:r>
      <w:r w:rsidR="00A72810" w:rsidRPr="00326C94">
        <w:rPr>
          <w:rFonts w:ascii="Book Antiqua" w:eastAsia="Book Antiqua" w:hAnsi="Book Antiqua" w:cs="Book Antiqua"/>
          <w:b/>
          <w:bCs/>
          <w:color w:val="000000"/>
        </w:rPr>
        <w:t>irus</w:t>
      </w:r>
      <w:r w:rsidRPr="00436841">
        <w:rPr>
          <w:rFonts w:ascii="Book Antiqua" w:hAnsi="Book Antiqua" w:cstheme="minorHAnsi"/>
          <w:b/>
        </w:rPr>
        <w:t xml:space="preserve"> infection and risk of </w:t>
      </w:r>
      <w:r w:rsidR="00A5305B" w:rsidRPr="00436841">
        <w:rPr>
          <w:rFonts w:ascii="Book Antiqua" w:hAnsi="Book Antiqua" w:cstheme="minorHAnsi"/>
          <w:b/>
          <w:bCs/>
          <w:color w:val="000000" w:themeColor="text1"/>
        </w:rPr>
        <w:t>intrahepatic cholangiocarcinoma</w:t>
      </w:r>
    </w:p>
    <w:tbl>
      <w:tblPr>
        <w:tblW w:w="15219" w:type="dxa"/>
        <w:tblInd w:w="-1026" w:type="dxa"/>
        <w:tblBorders>
          <w:top w:val="single" w:sz="4" w:space="0" w:color="auto"/>
          <w:bottom w:val="single" w:sz="4" w:space="0" w:color="auto"/>
        </w:tblBorders>
        <w:tblLook w:val="04A0" w:firstRow="1" w:lastRow="0" w:firstColumn="1" w:lastColumn="0" w:noHBand="0" w:noVBand="1"/>
      </w:tblPr>
      <w:tblGrid>
        <w:gridCol w:w="1499"/>
        <w:gridCol w:w="968"/>
        <w:gridCol w:w="1013"/>
        <w:gridCol w:w="843"/>
        <w:gridCol w:w="1390"/>
        <w:gridCol w:w="950"/>
        <w:gridCol w:w="1043"/>
        <w:gridCol w:w="941"/>
        <w:gridCol w:w="1752"/>
        <w:gridCol w:w="1701"/>
        <w:gridCol w:w="1650"/>
        <w:gridCol w:w="1469"/>
      </w:tblGrid>
      <w:tr w:rsidR="00B03F32" w:rsidRPr="00436841" w14:paraId="2165259A" w14:textId="77777777" w:rsidTr="002362A4">
        <w:trPr>
          <w:trHeight w:val="399"/>
        </w:trPr>
        <w:tc>
          <w:tcPr>
            <w:tcW w:w="1499" w:type="dxa"/>
            <w:vMerge w:val="restart"/>
            <w:tcBorders>
              <w:top w:val="single" w:sz="4" w:space="0" w:color="auto"/>
              <w:bottom w:val="single" w:sz="4" w:space="0" w:color="auto"/>
            </w:tcBorders>
            <w:shd w:val="clear" w:color="auto" w:fill="auto"/>
            <w:noWrap/>
            <w:hideMark/>
          </w:tcPr>
          <w:p w14:paraId="18874156" w14:textId="77777777" w:rsidR="00B03F32" w:rsidRPr="00436841" w:rsidRDefault="00B03F32" w:rsidP="00ED58D3">
            <w:pPr>
              <w:spacing w:line="360" w:lineRule="auto"/>
              <w:jc w:val="both"/>
              <w:rPr>
                <w:rFonts w:ascii="Book Antiqua" w:hAnsi="Book Antiqua" w:cstheme="minorHAnsi"/>
                <w:b/>
                <w:bCs/>
                <w:color w:val="000000"/>
                <w:lang w:eastAsia="el-GR"/>
              </w:rPr>
            </w:pPr>
            <w:r w:rsidRPr="00436841">
              <w:rPr>
                <w:rFonts w:ascii="Book Antiqua" w:hAnsi="Book Antiqua" w:cstheme="minorHAnsi"/>
                <w:b/>
                <w:bCs/>
                <w:color w:val="000000"/>
                <w:lang w:eastAsia="el-GR"/>
              </w:rPr>
              <w:t>Ref.</w:t>
            </w:r>
          </w:p>
        </w:tc>
        <w:tc>
          <w:tcPr>
            <w:tcW w:w="968" w:type="dxa"/>
            <w:vMerge w:val="restart"/>
            <w:tcBorders>
              <w:top w:val="single" w:sz="4" w:space="0" w:color="auto"/>
              <w:bottom w:val="single" w:sz="4" w:space="0" w:color="auto"/>
            </w:tcBorders>
          </w:tcPr>
          <w:p w14:paraId="17E22EA0" w14:textId="77777777" w:rsidR="00B03F32" w:rsidRPr="00436841" w:rsidRDefault="00B03F32" w:rsidP="00ED58D3">
            <w:pPr>
              <w:spacing w:line="360" w:lineRule="auto"/>
              <w:jc w:val="both"/>
              <w:rPr>
                <w:rFonts w:ascii="Book Antiqua" w:hAnsi="Book Antiqua" w:cstheme="minorHAnsi"/>
                <w:b/>
                <w:bCs/>
                <w:color w:val="000000"/>
                <w:lang w:eastAsia="el-GR"/>
              </w:rPr>
            </w:pPr>
            <w:r w:rsidRPr="00436841">
              <w:rPr>
                <w:rFonts w:ascii="Book Antiqua" w:hAnsi="Book Antiqua" w:cstheme="minorHAnsi"/>
                <w:b/>
                <w:bCs/>
                <w:color w:val="000000"/>
                <w:lang w:eastAsia="el-GR"/>
              </w:rPr>
              <w:t>Study design</w:t>
            </w:r>
          </w:p>
        </w:tc>
        <w:tc>
          <w:tcPr>
            <w:tcW w:w="1013" w:type="dxa"/>
            <w:vMerge w:val="restart"/>
            <w:tcBorders>
              <w:top w:val="single" w:sz="4" w:space="0" w:color="auto"/>
              <w:bottom w:val="single" w:sz="4" w:space="0" w:color="auto"/>
            </w:tcBorders>
            <w:shd w:val="clear" w:color="auto" w:fill="auto"/>
            <w:noWrap/>
            <w:hideMark/>
          </w:tcPr>
          <w:p w14:paraId="5B23744F" w14:textId="77777777" w:rsidR="00B03F32" w:rsidRPr="00436841" w:rsidRDefault="00B03F32" w:rsidP="00ED58D3">
            <w:pPr>
              <w:spacing w:line="360" w:lineRule="auto"/>
              <w:jc w:val="both"/>
              <w:rPr>
                <w:rFonts w:ascii="Book Antiqua" w:hAnsi="Book Antiqua" w:cstheme="minorHAnsi"/>
                <w:b/>
                <w:bCs/>
                <w:color w:val="000000"/>
                <w:lang w:eastAsia="el-GR"/>
              </w:rPr>
            </w:pPr>
            <w:r w:rsidRPr="00436841">
              <w:rPr>
                <w:rFonts w:ascii="Book Antiqua" w:hAnsi="Book Antiqua" w:cstheme="minorHAnsi"/>
                <w:b/>
                <w:bCs/>
                <w:color w:val="000000"/>
                <w:lang w:eastAsia="el-GR"/>
              </w:rPr>
              <w:t>Region</w:t>
            </w:r>
          </w:p>
        </w:tc>
        <w:tc>
          <w:tcPr>
            <w:tcW w:w="843" w:type="dxa"/>
            <w:vMerge w:val="restart"/>
            <w:tcBorders>
              <w:top w:val="single" w:sz="4" w:space="0" w:color="auto"/>
              <w:bottom w:val="single" w:sz="4" w:space="0" w:color="auto"/>
            </w:tcBorders>
          </w:tcPr>
          <w:p w14:paraId="7A31DFC6" w14:textId="77777777" w:rsidR="00B03F32" w:rsidRPr="00436841" w:rsidRDefault="00B03F32" w:rsidP="00ED58D3">
            <w:pPr>
              <w:spacing w:line="360" w:lineRule="auto"/>
              <w:jc w:val="both"/>
              <w:rPr>
                <w:rFonts w:ascii="Book Antiqua" w:hAnsi="Book Antiqua" w:cstheme="minorHAnsi"/>
                <w:b/>
                <w:bCs/>
                <w:color w:val="000000"/>
                <w:lang w:eastAsia="el-GR"/>
              </w:rPr>
            </w:pPr>
            <w:r w:rsidRPr="00436841">
              <w:rPr>
                <w:rFonts w:ascii="Book Antiqua" w:hAnsi="Book Antiqua" w:cstheme="minorHAnsi"/>
                <w:b/>
                <w:bCs/>
                <w:color w:val="000000"/>
                <w:lang w:eastAsia="el-GR"/>
              </w:rPr>
              <w:t>Dates</w:t>
            </w:r>
          </w:p>
        </w:tc>
        <w:tc>
          <w:tcPr>
            <w:tcW w:w="1390" w:type="dxa"/>
            <w:vMerge w:val="restart"/>
            <w:tcBorders>
              <w:top w:val="single" w:sz="4" w:space="0" w:color="auto"/>
              <w:bottom w:val="single" w:sz="4" w:space="0" w:color="auto"/>
            </w:tcBorders>
            <w:shd w:val="clear" w:color="auto" w:fill="auto"/>
            <w:noWrap/>
            <w:hideMark/>
          </w:tcPr>
          <w:p w14:paraId="6662B067" w14:textId="77777777" w:rsidR="00B03F32" w:rsidRPr="00436841" w:rsidRDefault="00B03F32" w:rsidP="00ED58D3">
            <w:pPr>
              <w:spacing w:line="360" w:lineRule="auto"/>
              <w:jc w:val="both"/>
              <w:rPr>
                <w:rFonts w:ascii="Book Antiqua" w:hAnsi="Book Antiqua" w:cstheme="minorHAnsi"/>
                <w:b/>
                <w:bCs/>
                <w:color w:val="000000"/>
                <w:lang w:eastAsia="el-GR"/>
              </w:rPr>
            </w:pPr>
            <w:r w:rsidRPr="00436841">
              <w:rPr>
                <w:rFonts w:ascii="Book Antiqua" w:hAnsi="Book Antiqua" w:cstheme="minorHAnsi"/>
                <w:b/>
                <w:bCs/>
                <w:color w:val="000000"/>
                <w:lang w:eastAsia="el-GR"/>
              </w:rPr>
              <w:t>Source</w:t>
            </w:r>
          </w:p>
        </w:tc>
        <w:tc>
          <w:tcPr>
            <w:tcW w:w="950" w:type="dxa"/>
            <w:vMerge w:val="restart"/>
            <w:tcBorders>
              <w:top w:val="single" w:sz="4" w:space="0" w:color="auto"/>
              <w:bottom w:val="single" w:sz="4" w:space="0" w:color="auto"/>
            </w:tcBorders>
            <w:shd w:val="clear" w:color="auto" w:fill="auto"/>
            <w:hideMark/>
          </w:tcPr>
          <w:p w14:paraId="73165AD2" w14:textId="77777777" w:rsidR="00B03F32" w:rsidRPr="00436841" w:rsidRDefault="00B03F32" w:rsidP="00ED58D3">
            <w:pPr>
              <w:spacing w:line="360" w:lineRule="auto"/>
              <w:jc w:val="both"/>
              <w:rPr>
                <w:rFonts w:ascii="Book Antiqua" w:hAnsi="Book Antiqua" w:cstheme="minorHAnsi"/>
                <w:b/>
                <w:bCs/>
                <w:color w:val="000000"/>
                <w:lang w:eastAsia="el-GR"/>
              </w:rPr>
            </w:pPr>
            <w:r w:rsidRPr="00436841">
              <w:rPr>
                <w:rFonts w:ascii="Book Antiqua" w:hAnsi="Book Antiqua" w:cstheme="minorHAnsi"/>
                <w:b/>
                <w:bCs/>
                <w:color w:val="000000"/>
                <w:lang w:eastAsia="el-GR"/>
              </w:rPr>
              <w:t>Age (yr)</w:t>
            </w:r>
          </w:p>
        </w:tc>
        <w:tc>
          <w:tcPr>
            <w:tcW w:w="1043" w:type="dxa"/>
            <w:vMerge w:val="restart"/>
            <w:tcBorders>
              <w:top w:val="single" w:sz="4" w:space="0" w:color="auto"/>
              <w:bottom w:val="single" w:sz="4" w:space="0" w:color="auto"/>
            </w:tcBorders>
            <w:shd w:val="clear" w:color="auto" w:fill="auto"/>
            <w:hideMark/>
          </w:tcPr>
          <w:p w14:paraId="3BA730B6" w14:textId="7C8FE16D" w:rsidR="00B03F32" w:rsidRPr="00436841" w:rsidRDefault="00B03F32" w:rsidP="00ED58D3">
            <w:pPr>
              <w:spacing w:line="360" w:lineRule="auto"/>
              <w:jc w:val="both"/>
              <w:rPr>
                <w:rFonts w:ascii="Book Antiqua" w:hAnsi="Book Antiqua" w:cstheme="minorHAnsi"/>
                <w:b/>
                <w:bCs/>
                <w:color w:val="000000"/>
                <w:lang w:eastAsia="el-GR"/>
              </w:rPr>
            </w:pPr>
            <w:r w:rsidRPr="00436841">
              <w:rPr>
                <w:rFonts w:ascii="Book Antiqua" w:hAnsi="Book Antiqua" w:cstheme="minorHAnsi"/>
                <w:b/>
                <w:bCs/>
                <w:color w:val="000000"/>
                <w:lang w:eastAsia="el-GR"/>
              </w:rPr>
              <w:t xml:space="preserve">Gender (% </w:t>
            </w:r>
            <w:r w:rsidR="00AD09ED">
              <w:rPr>
                <w:rFonts w:ascii="Book Antiqua" w:hAnsi="Book Antiqua" w:cstheme="minorHAnsi"/>
                <w:b/>
                <w:bCs/>
                <w:color w:val="000000"/>
                <w:lang w:eastAsia="el-GR"/>
              </w:rPr>
              <w:t>m</w:t>
            </w:r>
            <w:r w:rsidRPr="00436841">
              <w:rPr>
                <w:rFonts w:ascii="Book Antiqua" w:hAnsi="Book Antiqua" w:cstheme="minorHAnsi"/>
                <w:b/>
                <w:bCs/>
                <w:color w:val="000000"/>
                <w:lang w:eastAsia="el-GR"/>
              </w:rPr>
              <w:t>ale)</w:t>
            </w:r>
          </w:p>
        </w:tc>
        <w:tc>
          <w:tcPr>
            <w:tcW w:w="2693" w:type="dxa"/>
            <w:gridSpan w:val="2"/>
            <w:tcBorders>
              <w:top w:val="single" w:sz="4" w:space="0" w:color="auto"/>
              <w:bottom w:val="single" w:sz="4" w:space="0" w:color="auto"/>
            </w:tcBorders>
            <w:shd w:val="clear" w:color="auto" w:fill="auto"/>
            <w:hideMark/>
          </w:tcPr>
          <w:p w14:paraId="18048ADD" w14:textId="77777777" w:rsidR="00B03F32" w:rsidRPr="00436841" w:rsidRDefault="00B03F32" w:rsidP="00ED58D3">
            <w:pPr>
              <w:spacing w:line="360" w:lineRule="auto"/>
              <w:jc w:val="both"/>
              <w:rPr>
                <w:rFonts w:ascii="Book Antiqua" w:hAnsi="Book Antiqua" w:cstheme="minorHAnsi"/>
                <w:b/>
                <w:bCs/>
                <w:color w:val="000000"/>
                <w:lang w:eastAsia="el-GR"/>
              </w:rPr>
            </w:pPr>
            <w:r w:rsidRPr="00436841">
              <w:rPr>
                <w:rFonts w:ascii="Book Antiqua" w:hAnsi="Book Antiqua" w:cstheme="minorHAnsi"/>
                <w:b/>
                <w:bCs/>
                <w:color w:val="000000"/>
                <w:lang w:eastAsia="el-GR"/>
              </w:rPr>
              <w:t xml:space="preserve">Cases </w:t>
            </w:r>
          </w:p>
        </w:tc>
        <w:tc>
          <w:tcPr>
            <w:tcW w:w="3351" w:type="dxa"/>
            <w:gridSpan w:val="2"/>
            <w:tcBorders>
              <w:top w:val="single" w:sz="4" w:space="0" w:color="auto"/>
              <w:bottom w:val="single" w:sz="4" w:space="0" w:color="auto"/>
            </w:tcBorders>
            <w:shd w:val="clear" w:color="auto" w:fill="auto"/>
            <w:noWrap/>
            <w:hideMark/>
          </w:tcPr>
          <w:p w14:paraId="01500479" w14:textId="77777777" w:rsidR="00B03F32" w:rsidRPr="00436841" w:rsidRDefault="00B03F32" w:rsidP="00ED58D3">
            <w:pPr>
              <w:spacing w:line="360" w:lineRule="auto"/>
              <w:jc w:val="both"/>
              <w:rPr>
                <w:rFonts w:ascii="Book Antiqua" w:hAnsi="Book Antiqua" w:cstheme="minorHAnsi"/>
                <w:b/>
                <w:bCs/>
                <w:color w:val="000000"/>
                <w:lang w:eastAsia="el-GR"/>
              </w:rPr>
            </w:pPr>
            <w:r w:rsidRPr="00436841">
              <w:rPr>
                <w:rFonts w:ascii="Book Antiqua" w:hAnsi="Book Antiqua" w:cstheme="minorHAnsi"/>
                <w:b/>
                <w:bCs/>
                <w:color w:val="000000"/>
                <w:lang w:eastAsia="el-GR"/>
              </w:rPr>
              <w:t>Controls</w:t>
            </w:r>
          </w:p>
        </w:tc>
        <w:tc>
          <w:tcPr>
            <w:tcW w:w="1469" w:type="dxa"/>
            <w:vMerge w:val="restart"/>
            <w:tcBorders>
              <w:top w:val="single" w:sz="4" w:space="0" w:color="auto"/>
              <w:bottom w:val="single" w:sz="4" w:space="0" w:color="auto"/>
            </w:tcBorders>
            <w:shd w:val="clear" w:color="auto" w:fill="auto"/>
            <w:noWrap/>
            <w:hideMark/>
          </w:tcPr>
          <w:p w14:paraId="75C854AB" w14:textId="77777777" w:rsidR="00B03F32" w:rsidRPr="00436841" w:rsidRDefault="00B03F32" w:rsidP="00ED58D3">
            <w:pPr>
              <w:spacing w:line="360" w:lineRule="auto"/>
              <w:jc w:val="both"/>
              <w:rPr>
                <w:rFonts w:ascii="Book Antiqua" w:hAnsi="Book Antiqua" w:cstheme="minorHAnsi"/>
                <w:b/>
                <w:bCs/>
                <w:color w:val="000000"/>
                <w:lang w:eastAsia="el-GR"/>
              </w:rPr>
            </w:pPr>
            <w:r w:rsidRPr="00436841">
              <w:rPr>
                <w:rFonts w:ascii="Book Antiqua" w:hAnsi="Book Antiqua" w:cstheme="minorHAnsi"/>
                <w:b/>
                <w:bCs/>
                <w:color w:val="000000"/>
                <w:lang w:eastAsia="el-GR"/>
              </w:rPr>
              <w:t>OR (95%CI) for HBV infection</w:t>
            </w:r>
          </w:p>
        </w:tc>
      </w:tr>
      <w:tr w:rsidR="00B03F32" w:rsidRPr="00436841" w14:paraId="673221C7" w14:textId="77777777" w:rsidTr="002362A4">
        <w:trPr>
          <w:trHeight w:val="420"/>
        </w:trPr>
        <w:tc>
          <w:tcPr>
            <w:tcW w:w="1499" w:type="dxa"/>
            <w:vMerge/>
            <w:tcBorders>
              <w:top w:val="nil"/>
              <w:bottom w:val="single" w:sz="4" w:space="0" w:color="auto"/>
            </w:tcBorders>
            <w:hideMark/>
          </w:tcPr>
          <w:p w14:paraId="40603F2A" w14:textId="77777777" w:rsidR="00B03F32" w:rsidRPr="00436841" w:rsidRDefault="00B03F32" w:rsidP="00ED58D3">
            <w:pPr>
              <w:spacing w:line="360" w:lineRule="auto"/>
              <w:jc w:val="both"/>
              <w:rPr>
                <w:rFonts w:ascii="Book Antiqua" w:hAnsi="Book Antiqua" w:cstheme="minorHAnsi"/>
                <w:b/>
                <w:bCs/>
                <w:color w:val="000000"/>
                <w:lang w:eastAsia="el-GR"/>
              </w:rPr>
            </w:pPr>
          </w:p>
        </w:tc>
        <w:tc>
          <w:tcPr>
            <w:tcW w:w="968" w:type="dxa"/>
            <w:vMerge/>
            <w:tcBorders>
              <w:top w:val="nil"/>
              <w:bottom w:val="single" w:sz="4" w:space="0" w:color="auto"/>
            </w:tcBorders>
          </w:tcPr>
          <w:p w14:paraId="47640D44" w14:textId="77777777" w:rsidR="00B03F32" w:rsidRPr="00436841" w:rsidRDefault="00B03F32" w:rsidP="00ED58D3">
            <w:pPr>
              <w:spacing w:line="360" w:lineRule="auto"/>
              <w:jc w:val="both"/>
              <w:rPr>
                <w:rFonts w:ascii="Book Antiqua" w:hAnsi="Book Antiqua" w:cstheme="minorHAnsi"/>
                <w:b/>
                <w:bCs/>
                <w:color w:val="000000"/>
                <w:lang w:eastAsia="el-GR"/>
              </w:rPr>
            </w:pPr>
          </w:p>
        </w:tc>
        <w:tc>
          <w:tcPr>
            <w:tcW w:w="1013" w:type="dxa"/>
            <w:vMerge/>
            <w:tcBorders>
              <w:top w:val="nil"/>
              <w:bottom w:val="single" w:sz="4" w:space="0" w:color="auto"/>
            </w:tcBorders>
            <w:hideMark/>
          </w:tcPr>
          <w:p w14:paraId="645DCFD4" w14:textId="77777777" w:rsidR="00B03F32" w:rsidRPr="00436841" w:rsidRDefault="00B03F32" w:rsidP="00ED58D3">
            <w:pPr>
              <w:spacing w:line="360" w:lineRule="auto"/>
              <w:jc w:val="both"/>
              <w:rPr>
                <w:rFonts w:ascii="Book Antiqua" w:hAnsi="Book Antiqua" w:cstheme="minorHAnsi"/>
                <w:b/>
                <w:bCs/>
                <w:color w:val="000000"/>
                <w:lang w:eastAsia="el-GR"/>
              </w:rPr>
            </w:pPr>
          </w:p>
        </w:tc>
        <w:tc>
          <w:tcPr>
            <w:tcW w:w="843" w:type="dxa"/>
            <w:vMerge/>
            <w:tcBorders>
              <w:top w:val="nil"/>
              <w:bottom w:val="single" w:sz="4" w:space="0" w:color="auto"/>
            </w:tcBorders>
          </w:tcPr>
          <w:p w14:paraId="7DFAE7F4" w14:textId="77777777" w:rsidR="00B03F32" w:rsidRPr="00436841" w:rsidRDefault="00B03F32" w:rsidP="00ED58D3">
            <w:pPr>
              <w:spacing w:line="360" w:lineRule="auto"/>
              <w:jc w:val="both"/>
              <w:rPr>
                <w:rFonts w:ascii="Book Antiqua" w:hAnsi="Book Antiqua" w:cstheme="minorHAnsi"/>
                <w:b/>
                <w:bCs/>
                <w:color w:val="000000"/>
                <w:lang w:eastAsia="el-GR"/>
              </w:rPr>
            </w:pPr>
          </w:p>
        </w:tc>
        <w:tc>
          <w:tcPr>
            <w:tcW w:w="1390" w:type="dxa"/>
            <w:vMerge/>
            <w:tcBorders>
              <w:top w:val="nil"/>
              <w:bottom w:val="single" w:sz="4" w:space="0" w:color="auto"/>
            </w:tcBorders>
            <w:hideMark/>
          </w:tcPr>
          <w:p w14:paraId="1DA18A15" w14:textId="77777777" w:rsidR="00B03F32" w:rsidRPr="00436841" w:rsidRDefault="00B03F32" w:rsidP="00ED58D3">
            <w:pPr>
              <w:spacing w:line="360" w:lineRule="auto"/>
              <w:jc w:val="both"/>
              <w:rPr>
                <w:rFonts w:ascii="Book Antiqua" w:hAnsi="Book Antiqua" w:cstheme="minorHAnsi"/>
                <w:b/>
                <w:bCs/>
                <w:color w:val="000000"/>
                <w:lang w:eastAsia="el-GR"/>
              </w:rPr>
            </w:pPr>
          </w:p>
        </w:tc>
        <w:tc>
          <w:tcPr>
            <w:tcW w:w="950" w:type="dxa"/>
            <w:vMerge/>
            <w:tcBorders>
              <w:top w:val="nil"/>
              <w:bottom w:val="single" w:sz="4" w:space="0" w:color="auto"/>
            </w:tcBorders>
            <w:hideMark/>
          </w:tcPr>
          <w:p w14:paraId="593B06A4" w14:textId="77777777" w:rsidR="00B03F32" w:rsidRPr="00436841" w:rsidRDefault="00B03F32" w:rsidP="00ED58D3">
            <w:pPr>
              <w:spacing w:line="360" w:lineRule="auto"/>
              <w:jc w:val="both"/>
              <w:rPr>
                <w:rFonts w:ascii="Book Antiqua" w:hAnsi="Book Antiqua" w:cstheme="minorHAnsi"/>
                <w:b/>
                <w:bCs/>
                <w:color w:val="000000"/>
                <w:lang w:eastAsia="el-GR"/>
              </w:rPr>
            </w:pPr>
          </w:p>
        </w:tc>
        <w:tc>
          <w:tcPr>
            <w:tcW w:w="1043" w:type="dxa"/>
            <w:vMerge/>
            <w:tcBorders>
              <w:top w:val="nil"/>
              <w:bottom w:val="single" w:sz="4" w:space="0" w:color="auto"/>
            </w:tcBorders>
            <w:hideMark/>
          </w:tcPr>
          <w:p w14:paraId="487AB890" w14:textId="77777777" w:rsidR="00B03F32" w:rsidRPr="00436841" w:rsidRDefault="00B03F32" w:rsidP="00ED58D3">
            <w:pPr>
              <w:spacing w:line="360" w:lineRule="auto"/>
              <w:jc w:val="both"/>
              <w:rPr>
                <w:rFonts w:ascii="Book Antiqua" w:hAnsi="Book Antiqua" w:cstheme="minorHAnsi"/>
                <w:b/>
                <w:bCs/>
                <w:color w:val="000000"/>
                <w:lang w:eastAsia="el-GR"/>
              </w:rPr>
            </w:pPr>
          </w:p>
        </w:tc>
        <w:tc>
          <w:tcPr>
            <w:tcW w:w="941" w:type="dxa"/>
            <w:tcBorders>
              <w:top w:val="single" w:sz="4" w:space="0" w:color="auto"/>
              <w:bottom w:val="single" w:sz="4" w:space="0" w:color="auto"/>
            </w:tcBorders>
            <w:shd w:val="clear" w:color="auto" w:fill="auto"/>
            <w:noWrap/>
            <w:hideMark/>
          </w:tcPr>
          <w:p w14:paraId="2707573D" w14:textId="77777777" w:rsidR="00B03F32" w:rsidRPr="00436841" w:rsidRDefault="00B03F32" w:rsidP="00ED58D3">
            <w:pPr>
              <w:spacing w:line="360" w:lineRule="auto"/>
              <w:jc w:val="both"/>
              <w:rPr>
                <w:rFonts w:ascii="Book Antiqua" w:hAnsi="Book Antiqua" w:cstheme="minorHAnsi"/>
                <w:b/>
                <w:bCs/>
                <w:color w:val="000000"/>
                <w:lang w:eastAsia="el-GR"/>
              </w:rPr>
            </w:pPr>
            <w:r w:rsidRPr="00436841">
              <w:rPr>
                <w:rFonts w:ascii="Book Antiqua" w:hAnsi="Book Antiqua" w:cstheme="minorHAnsi"/>
                <w:b/>
                <w:bCs/>
                <w:color w:val="000000"/>
                <w:lang w:eastAsia="el-GR"/>
              </w:rPr>
              <w:t>Total</w:t>
            </w:r>
          </w:p>
        </w:tc>
        <w:tc>
          <w:tcPr>
            <w:tcW w:w="1752" w:type="dxa"/>
            <w:tcBorders>
              <w:top w:val="single" w:sz="4" w:space="0" w:color="auto"/>
              <w:bottom w:val="single" w:sz="4" w:space="0" w:color="auto"/>
            </w:tcBorders>
            <w:shd w:val="clear" w:color="auto" w:fill="auto"/>
            <w:hideMark/>
          </w:tcPr>
          <w:p w14:paraId="5FAA7A5A" w14:textId="77777777" w:rsidR="00B03F32" w:rsidRPr="00436841" w:rsidRDefault="00B03F32" w:rsidP="00ED58D3">
            <w:pPr>
              <w:spacing w:line="360" w:lineRule="auto"/>
              <w:jc w:val="both"/>
              <w:rPr>
                <w:rFonts w:ascii="Book Antiqua" w:hAnsi="Book Antiqua" w:cstheme="minorHAnsi"/>
                <w:b/>
                <w:bCs/>
                <w:color w:val="000000"/>
                <w:lang w:eastAsia="el-GR"/>
              </w:rPr>
            </w:pPr>
            <w:r w:rsidRPr="00436841">
              <w:rPr>
                <w:rFonts w:ascii="Book Antiqua" w:hAnsi="Book Antiqua" w:cstheme="minorHAnsi"/>
                <w:b/>
                <w:bCs/>
                <w:color w:val="000000"/>
                <w:lang w:eastAsia="el-GR"/>
              </w:rPr>
              <w:t>With exposure (%)</w:t>
            </w:r>
          </w:p>
        </w:tc>
        <w:tc>
          <w:tcPr>
            <w:tcW w:w="1701" w:type="dxa"/>
            <w:tcBorders>
              <w:top w:val="single" w:sz="4" w:space="0" w:color="auto"/>
              <w:bottom w:val="single" w:sz="4" w:space="0" w:color="auto"/>
            </w:tcBorders>
            <w:shd w:val="clear" w:color="auto" w:fill="auto"/>
            <w:noWrap/>
            <w:hideMark/>
          </w:tcPr>
          <w:p w14:paraId="2A24BB91" w14:textId="77777777" w:rsidR="00B03F32" w:rsidRPr="00436841" w:rsidRDefault="00B03F32" w:rsidP="00ED58D3">
            <w:pPr>
              <w:spacing w:line="360" w:lineRule="auto"/>
              <w:jc w:val="both"/>
              <w:rPr>
                <w:rFonts w:ascii="Book Antiqua" w:hAnsi="Book Antiqua" w:cstheme="minorHAnsi"/>
                <w:b/>
                <w:bCs/>
                <w:color w:val="000000"/>
                <w:lang w:eastAsia="el-GR"/>
              </w:rPr>
            </w:pPr>
            <w:r w:rsidRPr="00436841">
              <w:rPr>
                <w:rFonts w:ascii="Book Antiqua" w:hAnsi="Book Antiqua" w:cstheme="minorHAnsi"/>
                <w:b/>
                <w:bCs/>
                <w:color w:val="000000"/>
                <w:lang w:eastAsia="el-GR"/>
              </w:rPr>
              <w:t>Total</w:t>
            </w:r>
          </w:p>
        </w:tc>
        <w:tc>
          <w:tcPr>
            <w:tcW w:w="1650" w:type="dxa"/>
            <w:tcBorders>
              <w:top w:val="single" w:sz="4" w:space="0" w:color="auto"/>
              <w:bottom w:val="single" w:sz="4" w:space="0" w:color="auto"/>
            </w:tcBorders>
            <w:shd w:val="clear" w:color="auto" w:fill="auto"/>
            <w:hideMark/>
          </w:tcPr>
          <w:p w14:paraId="5E3C8097" w14:textId="77777777" w:rsidR="00B03F32" w:rsidRPr="00436841" w:rsidRDefault="00B03F32" w:rsidP="00ED58D3">
            <w:pPr>
              <w:spacing w:line="360" w:lineRule="auto"/>
              <w:jc w:val="both"/>
              <w:rPr>
                <w:rFonts w:ascii="Book Antiqua" w:hAnsi="Book Antiqua" w:cstheme="minorHAnsi"/>
                <w:b/>
                <w:bCs/>
                <w:color w:val="000000"/>
                <w:lang w:eastAsia="el-GR"/>
              </w:rPr>
            </w:pPr>
            <w:r w:rsidRPr="00436841">
              <w:rPr>
                <w:rFonts w:ascii="Book Antiqua" w:hAnsi="Book Antiqua" w:cstheme="minorHAnsi"/>
                <w:b/>
                <w:bCs/>
                <w:color w:val="000000"/>
                <w:lang w:eastAsia="el-GR"/>
              </w:rPr>
              <w:t>With exposure (%)</w:t>
            </w:r>
          </w:p>
        </w:tc>
        <w:tc>
          <w:tcPr>
            <w:tcW w:w="1469" w:type="dxa"/>
            <w:vMerge/>
            <w:tcBorders>
              <w:top w:val="single" w:sz="4" w:space="0" w:color="auto"/>
              <w:bottom w:val="single" w:sz="4" w:space="0" w:color="auto"/>
            </w:tcBorders>
            <w:hideMark/>
          </w:tcPr>
          <w:p w14:paraId="521E15AB" w14:textId="77777777" w:rsidR="00B03F32" w:rsidRPr="00436841" w:rsidRDefault="00B03F32" w:rsidP="00ED58D3">
            <w:pPr>
              <w:spacing w:line="360" w:lineRule="auto"/>
              <w:jc w:val="both"/>
              <w:rPr>
                <w:rFonts w:ascii="Book Antiqua" w:hAnsi="Book Antiqua" w:cstheme="minorHAnsi"/>
                <w:b/>
                <w:bCs/>
                <w:color w:val="000000"/>
                <w:lang w:eastAsia="el-GR"/>
              </w:rPr>
            </w:pPr>
          </w:p>
        </w:tc>
      </w:tr>
      <w:tr w:rsidR="00726D98" w:rsidRPr="00436841" w14:paraId="4B5363F1" w14:textId="77777777" w:rsidTr="002362A4">
        <w:trPr>
          <w:trHeight w:val="340"/>
        </w:trPr>
        <w:tc>
          <w:tcPr>
            <w:tcW w:w="1499" w:type="dxa"/>
            <w:tcBorders>
              <w:top w:val="single" w:sz="4" w:space="0" w:color="auto"/>
            </w:tcBorders>
            <w:shd w:val="clear" w:color="auto" w:fill="auto"/>
            <w:noWrap/>
          </w:tcPr>
          <w:p w14:paraId="0946B546" w14:textId="77777777" w:rsidR="0042155D" w:rsidRPr="00D866CC" w:rsidRDefault="00DA7CC7" w:rsidP="00ED58D3">
            <w:pPr>
              <w:keepNext/>
              <w:keepLines/>
              <w:spacing w:before="480" w:line="360" w:lineRule="auto"/>
              <w:jc w:val="both"/>
              <w:outlineLvl w:val="0"/>
              <w:rPr>
                <w:rFonts w:ascii="Book Antiqua" w:hAnsi="Book Antiqua" w:cstheme="minorHAnsi"/>
                <w:color w:val="000000"/>
                <w:lang w:eastAsia="el-GR"/>
              </w:rPr>
            </w:pPr>
            <w:r w:rsidRPr="00D866CC">
              <w:rPr>
                <w:rFonts w:ascii="Book Antiqua" w:hAnsi="Book Antiqua" w:cstheme="minorHAnsi"/>
                <w:color w:val="000000"/>
                <w:lang w:eastAsia="el-GR"/>
              </w:rPr>
              <w:t xml:space="preserve">Petrick </w:t>
            </w:r>
            <w:r w:rsidRPr="00D866CC">
              <w:rPr>
                <w:rFonts w:ascii="Book Antiqua" w:hAnsi="Book Antiqua" w:cstheme="minorHAnsi"/>
                <w:i/>
                <w:iCs/>
                <w:color w:val="000000"/>
                <w:lang w:eastAsia="el-GR"/>
              </w:rPr>
              <w:t>et al</w:t>
            </w:r>
            <w:r w:rsidRPr="00D866CC">
              <w:rPr>
                <w:rFonts w:ascii="Book Antiqua" w:hAnsi="Book Antiqua" w:cstheme="minorHAnsi"/>
                <w:color w:val="000000"/>
                <w:lang w:eastAsia="el-GR"/>
              </w:rPr>
              <w:fldChar w:fldCharType="begin" w:fldLock="1"/>
            </w:r>
            <w:r w:rsidRPr="00D866CC">
              <w:rPr>
                <w:rFonts w:ascii="Book Antiqua" w:hAnsi="Book Antiqua" w:cstheme="minorHAnsi"/>
                <w:color w:val="000000"/>
                <w:lang w:eastAsia="el-GR"/>
              </w:rPr>
              <w:instrText>ADDIN CSL_CITATION {"citationItems":[{"id":"ITEM-1","itemData":{"DOI":"10.1371/journal.pone.0186643","ISSN":"1932-6203","PMID":"29049401","abstract":"OBJECTIVES Intrahepatic (ICC) and extrahepatic (ECC) cholangiocarcinomas are rare tumors that arise from the epithelial cells of the bile ducts, and the etiology of both cancer types is poorly understood. Thus, we utilized the Surveillance, Epidemiology, and End Results (SEER)-Medicare resource to examine risk factors and novel preexisting medical conditions that may be associated with these cancer types. METHODS Between 2000 and 2011, 2,092 ICC and 2,981 ECC cases and 323,615 controls were identified using the SEER-Medicare database. Logistic regression was used to calculate adjusted odds ratios (OR) and 95% confidence intervals (CI). RESULTS Non-alcoholic fatty liver disease was associated with approximately 3-fold increased risks of ICC (OR = 3.52, 95% CI: 2.87-4.32) and ECC (OR = 2.93, 95% CI: 2.42-3.55). Other metabolic conditions, including obesity and type 2 diabetes, were also associated with increased risks of both cancer types. Smoking was associated with a 46% and 77% increased ICC and ECC risk, respectively. Several autoimmune/inflammatory conditions, including type 1 diabetes and gout, were associated with increased risks of ICC/ECC. As anticipated, viral hepatitis, alcohol-related disorders, and bile duct conditions were associated with both cancer types. However, thyrotoxicosis and hemochromatosis were associated with an increased risk of ICC but not ECC, but did not remain significantly associated after Bonferroni correction. CONCLUSIONS In this study, risk factors for ICC and ECC were similar, with the exceptions of thyrotoxicosis and hemochromatosis. Notably, metabolic conditions were associated with both cancer types. As metabolic conditions are increasing in prevalence, these could be increasingly important risk factors for both types of cholangiocarcinoma.","author":[{"dropping-particle":"","family":"Petrick","given":"Jessica L","non-dropping-particle":"","parse-names":false,"suffix":""},{"dropping-particle":"","family":"Yang","given":"Baiyu","non-dropping-particle":"","parse-names":false,"suffix":""},{"dropping-particle":"","family":"Altekruse","given":"Sean F","non-dropping-particle":"","parse-names":false,"suffix":""},{"dropping-particle":"","family":"Dyke","given":"Alison L","non-dropping-particle":"Van","parse-names":false,"suffix":""},{"dropping-particle":"","family":"Koshiol","given":"Jill","non-dropping-particle":"","parse-names":false,"suffix":""},{"dropping-particle":"","family":"Graubard","given":"Barry I","non-dropping-particle":"","parse-names":false,"suffix":""},{"dropping-particle":"","family":"McGlynn","given":"Katherine A","non-dropping-particle":"","parse-names":false,"suffix":""}],"container-title":"PloS one","id":"ITEM-1","issue":"10","issued":{"date-parts":[["2017"]]},"page":"e0186643","title":"Risk factors for intrahepatic and extrahepatic cholangiocarcinoma in the United States: A population-based study in SEER-Medicare.","type":"article-journal","volume":"12"},"uris":["http://www.mendeley.com/documents/?uuid=eb0fcd93-1691-4f09-b4e9-71556996631d"]}],"mendeley":{"formattedCitation":"&lt;sup&gt;[4]&lt;/sup&gt;","plainTextFormattedCitation":"[4]","previouslyFormattedCitation":"&lt;sup&gt;[4]&lt;/sup&gt;"},"properties":{"noteIndex":0},"schema":"https://github.com/citation-style-language/schema/raw/master/csl-citation.json"}</w:instrText>
            </w:r>
            <w:r w:rsidRPr="00D866CC">
              <w:rPr>
                <w:rFonts w:ascii="Book Antiqua" w:hAnsi="Book Antiqua" w:cstheme="minorHAnsi"/>
                <w:color w:val="000000"/>
                <w:lang w:eastAsia="el-GR"/>
              </w:rPr>
              <w:fldChar w:fldCharType="separate"/>
            </w:r>
            <w:r w:rsidRPr="00D866CC">
              <w:rPr>
                <w:rFonts w:ascii="Book Antiqua" w:hAnsi="Book Antiqua" w:cstheme="minorHAnsi"/>
                <w:noProof/>
                <w:color w:val="000000"/>
                <w:vertAlign w:val="superscript"/>
                <w:lang w:eastAsia="el-GR"/>
              </w:rPr>
              <w:t>[4]</w:t>
            </w:r>
            <w:r w:rsidRPr="00D866CC">
              <w:rPr>
                <w:rFonts w:ascii="Book Antiqua" w:hAnsi="Book Antiqua" w:cstheme="minorHAnsi"/>
                <w:color w:val="000000"/>
                <w:lang w:eastAsia="el-GR"/>
              </w:rPr>
              <w:fldChar w:fldCharType="end"/>
            </w:r>
            <w:r w:rsidRPr="00D866CC">
              <w:rPr>
                <w:rFonts w:ascii="Book Antiqua" w:hAnsi="Book Antiqua" w:cstheme="minorHAnsi"/>
                <w:color w:val="000000"/>
                <w:lang w:eastAsia="el-GR"/>
              </w:rPr>
              <w:t>, 2017</w:t>
            </w:r>
          </w:p>
        </w:tc>
        <w:tc>
          <w:tcPr>
            <w:tcW w:w="968" w:type="dxa"/>
            <w:tcBorders>
              <w:top w:val="single" w:sz="4" w:space="0" w:color="auto"/>
            </w:tcBorders>
          </w:tcPr>
          <w:p w14:paraId="78A4FA12" w14:textId="77777777" w:rsidR="0042155D" w:rsidRPr="00D866CC"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Case-control</w:t>
            </w:r>
          </w:p>
        </w:tc>
        <w:tc>
          <w:tcPr>
            <w:tcW w:w="1013" w:type="dxa"/>
            <w:tcBorders>
              <w:top w:val="single" w:sz="4" w:space="0" w:color="auto"/>
            </w:tcBorders>
            <w:shd w:val="clear" w:color="auto" w:fill="auto"/>
            <w:noWrap/>
          </w:tcPr>
          <w:p w14:paraId="6C1A74DB"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United States</w:t>
            </w:r>
          </w:p>
        </w:tc>
        <w:tc>
          <w:tcPr>
            <w:tcW w:w="843" w:type="dxa"/>
            <w:tcBorders>
              <w:top w:val="single" w:sz="4" w:space="0" w:color="auto"/>
            </w:tcBorders>
          </w:tcPr>
          <w:p w14:paraId="4E01DA30"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2000-2011</w:t>
            </w:r>
          </w:p>
        </w:tc>
        <w:tc>
          <w:tcPr>
            <w:tcW w:w="1390" w:type="dxa"/>
            <w:tcBorders>
              <w:top w:val="single" w:sz="4" w:space="0" w:color="auto"/>
            </w:tcBorders>
            <w:shd w:val="clear" w:color="auto" w:fill="auto"/>
            <w:noWrap/>
          </w:tcPr>
          <w:p w14:paraId="381C3B2E"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Population</w:t>
            </w:r>
          </w:p>
        </w:tc>
        <w:tc>
          <w:tcPr>
            <w:tcW w:w="950" w:type="dxa"/>
            <w:tcBorders>
              <w:top w:val="single" w:sz="4" w:space="0" w:color="auto"/>
            </w:tcBorders>
            <w:shd w:val="clear" w:color="auto" w:fill="auto"/>
            <w:noWrap/>
          </w:tcPr>
          <w:p w14:paraId="2E172216"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78.0</w:t>
            </w:r>
          </w:p>
        </w:tc>
        <w:tc>
          <w:tcPr>
            <w:tcW w:w="1043" w:type="dxa"/>
            <w:tcBorders>
              <w:top w:val="single" w:sz="4" w:space="0" w:color="auto"/>
            </w:tcBorders>
            <w:shd w:val="clear" w:color="auto" w:fill="auto"/>
            <w:noWrap/>
          </w:tcPr>
          <w:p w14:paraId="48837FAE"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46.6</w:t>
            </w:r>
          </w:p>
        </w:tc>
        <w:tc>
          <w:tcPr>
            <w:tcW w:w="941" w:type="dxa"/>
            <w:tcBorders>
              <w:top w:val="single" w:sz="4" w:space="0" w:color="auto"/>
            </w:tcBorders>
            <w:shd w:val="clear" w:color="auto" w:fill="auto"/>
            <w:noWrap/>
          </w:tcPr>
          <w:p w14:paraId="77C6204E"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2092</w:t>
            </w:r>
          </w:p>
        </w:tc>
        <w:tc>
          <w:tcPr>
            <w:tcW w:w="1752" w:type="dxa"/>
            <w:tcBorders>
              <w:top w:val="single" w:sz="4" w:space="0" w:color="auto"/>
            </w:tcBorders>
            <w:shd w:val="clear" w:color="auto" w:fill="auto"/>
            <w:noWrap/>
          </w:tcPr>
          <w:p w14:paraId="06D25856"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25 (1.2)</w:t>
            </w:r>
          </w:p>
        </w:tc>
        <w:tc>
          <w:tcPr>
            <w:tcW w:w="1701" w:type="dxa"/>
            <w:tcBorders>
              <w:top w:val="single" w:sz="4" w:space="0" w:color="auto"/>
            </w:tcBorders>
            <w:shd w:val="clear" w:color="auto" w:fill="auto"/>
            <w:noWrap/>
          </w:tcPr>
          <w:p w14:paraId="4E93826E"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323615</w:t>
            </w:r>
          </w:p>
        </w:tc>
        <w:tc>
          <w:tcPr>
            <w:tcW w:w="1650" w:type="dxa"/>
            <w:tcBorders>
              <w:top w:val="single" w:sz="4" w:space="0" w:color="auto"/>
            </w:tcBorders>
            <w:shd w:val="clear" w:color="auto" w:fill="auto"/>
            <w:noWrap/>
          </w:tcPr>
          <w:p w14:paraId="0BFF8FBB"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1200 (0.4%)</w:t>
            </w:r>
          </w:p>
        </w:tc>
        <w:tc>
          <w:tcPr>
            <w:tcW w:w="1469" w:type="dxa"/>
            <w:tcBorders>
              <w:top w:val="single" w:sz="4" w:space="0" w:color="auto"/>
            </w:tcBorders>
            <w:shd w:val="clear" w:color="auto" w:fill="auto"/>
            <w:noWrap/>
          </w:tcPr>
          <w:p w14:paraId="66399D46"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2.97 (1.97-4.46)</w:t>
            </w:r>
          </w:p>
        </w:tc>
      </w:tr>
      <w:tr w:rsidR="00726D98" w:rsidRPr="00436841" w14:paraId="3F8CE828" w14:textId="77777777" w:rsidTr="002362A4">
        <w:trPr>
          <w:trHeight w:val="340"/>
        </w:trPr>
        <w:tc>
          <w:tcPr>
            <w:tcW w:w="1499" w:type="dxa"/>
            <w:shd w:val="clear" w:color="auto" w:fill="auto"/>
            <w:noWrap/>
          </w:tcPr>
          <w:p w14:paraId="592DE266"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 xml:space="preserve">Choi </w:t>
            </w:r>
            <w:r w:rsidRPr="00D866CC">
              <w:rPr>
                <w:rFonts w:ascii="Book Antiqua" w:hAnsi="Book Antiqua" w:cstheme="minorHAnsi"/>
                <w:i/>
                <w:iCs/>
                <w:color w:val="000000"/>
                <w:lang w:eastAsia="el-GR"/>
              </w:rPr>
              <w:t>et al</w:t>
            </w:r>
            <w:r w:rsidRPr="00D866CC">
              <w:rPr>
                <w:rFonts w:ascii="Book Antiqua" w:hAnsi="Book Antiqua" w:cstheme="minorHAnsi"/>
                <w:color w:val="000000"/>
                <w:lang w:eastAsia="el-GR"/>
              </w:rPr>
              <w:fldChar w:fldCharType="begin" w:fldLock="1"/>
            </w:r>
            <w:r w:rsidRPr="00D866CC">
              <w:rPr>
                <w:rFonts w:ascii="Book Antiqua" w:hAnsi="Book Antiqua" w:cstheme="minorHAnsi"/>
                <w:color w:val="000000"/>
                <w:lang w:eastAsia="el-GR"/>
              </w:rPr>
              <w:instrText>ADDIN CSL_CITATION {"citationItems":[{"id":"ITEM-1","itemData":{"DOI":"10.1002/hep.28529","ISSN":"1527-3350","PMID":"26940227","abstract":"UNLABELLED Whether aspirin use is protective against cholangiocarcinoma (CCA) remains unclear. We determined the association between aspirin use and other risk factors for each CCA subtype individually. In a hospital-based case-control study, 2395 CCA cases (1169 intrahepatic, 995 perihilar, and 231 distal) seen at the Mayo Clinic, Rochester, MN, from 2000 through 2014 were enrolled. Controls selected from the Mayo Clinic Biobank were matched two to one with cases by age, sex, race, and residence (n = 4769). Associations between aspirin use, other risk factors, and CCA risk were determined. Aspirin was used by 591 (24.7%) CCA cases and 2129 (44.6%) controls. There was a significant inverse association of aspirin use with all CCA subtypes, with adjusted odds ratios (AORs) of 0.35 (95% confidence interval [CI], 0.29-0.42), 0.34 (95% CI 0.27-0.42), and 0.29 (95% CI 0.19-0.44) for intrahepatic, perihilar, and distal CCA, respectively (P &lt; 0.001 for all). Primary sclerosing cholangitis was more strongly associated with perihilar (AOR = 453, 95% CI 104-999) than intrahepatic (AOR = 93.4, 95% CI 27.1-322) or distal (AOR = 34.0, 95% CI 3.6-323) CCA, whereas diabetes was more associated with distal (AOR = 4.2, 95% CI 2.5-7.0) than perihilar (AOR = 2.9, 95% CI 2.2-3.8) or intrahepatic (AOR = 2.5, 95% CI 2.0-3.2) CCA. Cirrhosis not related to primary sclerosing cholangitis was associated with both intrahepatic and perihilar CCA, with similar AORs of 14. Isolated inflammatory bowel disease without primary sclerosing cholangitis was not associated with any CCA subtype. CONCLUSIONS Aspirin use was significantly associated with a 2.7-fold to 3.6-fold decreased risk for the three CCA subtypes; our study demonstrates that individual risk factors confer risk of different CCA subtypes to different extents. (Hepatology 2016;64:785-796).","author":[{"dropping-particle":"","family":"Choi","given":"Jonggi","non-dropping-particle":"","parse-names":false,"suffix":""},{"dropping-particle":"","family":"Ghoz","given":"Hassan M","non-dropping-particle":"","parse-names":false,"suffix":""},{"dropping-particle":"","family":"Peeraphatdit","given":"Thoetchai","non-dropping-particle":"","parse-names":false,"suffix":""},{"dropping-particle":"","family":"Baichoo","given":"Esha","non-dropping-particle":"","parse-names":false,"suffix":""},{"dropping-particle":"","family":"Addissie","given":"Benyam D","non-dropping-particle":"","parse-names":false,"suffix":""},{"dropping-particle":"","family":"Harmsen","given":"William S","non-dropping-particle":"","parse-names":false,"suffix":""},{"dropping-particle":"","family":"Therneau","given":"Terry M","non-dropping-particle":"","parse-names":false,"suffix":""},{"dropping-particle":"","family":"Olson","given":"Janet E","non-dropping-particle":"","parse-names":false,"suffix":""},{"dropping-particle":"","family":"Chaiteerakij","given":"Roongruedee","non-dropping-particle":"","parse-names":false,"suffix":""},{"dropping-particle":"","family":"Roberts","given":"Lewis R","non-dropping-particle":"","parse-names":false,"suffix":""}],"container-title":"Hepatology (Baltimore, Md.)","id":"ITEM-1","issue":"3","issued":{"date-parts":[["2016"]]},"page":"785-96","title":"Aspirin use and the risk of cholangiocarcinoma.","type":"article-journal","volume":"64"},"uris":["http://www.mendeley.com/documents/?uuid=a18bb3da-2d25-43da-be88-bcb847d04e29"]}],"mendeley":{"formattedCitation":"&lt;sup&gt;[5]&lt;/sup&gt;","plainTextFormattedCitation":"[5]","previouslyFormattedCitation":"&lt;sup&gt;[5]&lt;/sup&gt;"},"properties":{"noteIndex":0},"schema":"https://github.com/citation-style-language/schema/raw/master/csl-citation.json"}</w:instrText>
            </w:r>
            <w:r w:rsidRPr="00D866CC">
              <w:rPr>
                <w:rFonts w:ascii="Book Antiqua" w:hAnsi="Book Antiqua" w:cstheme="minorHAnsi"/>
                <w:color w:val="000000"/>
                <w:lang w:eastAsia="el-GR"/>
              </w:rPr>
              <w:fldChar w:fldCharType="separate"/>
            </w:r>
            <w:r w:rsidRPr="00D866CC">
              <w:rPr>
                <w:rFonts w:ascii="Book Antiqua" w:hAnsi="Book Antiqua" w:cstheme="minorHAnsi"/>
                <w:noProof/>
                <w:color w:val="000000"/>
                <w:vertAlign w:val="superscript"/>
                <w:lang w:eastAsia="el-GR"/>
              </w:rPr>
              <w:t>[5]</w:t>
            </w:r>
            <w:r w:rsidRPr="00D866CC">
              <w:rPr>
                <w:rFonts w:ascii="Book Antiqua" w:hAnsi="Book Antiqua" w:cstheme="minorHAnsi"/>
                <w:color w:val="000000"/>
                <w:lang w:eastAsia="el-GR"/>
              </w:rPr>
              <w:fldChar w:fldCharType="end"/>
            </w:r>
            <w:r w:rsidRPr="00D866CC">
              <w:rPr>
                <w:rFonts w:ascii="Book Antiqua" w:hAnsi="Book Antiqua" w:cstheme="minorHAnsi"/>
                <w:color w:val="000000"/>
                <w:lang w:eastAsia="el-GR"/>
              </w:rPr>
              <w:t>, 2016</w:t>
            </w:r>
          </w:p>
        </w:tc>
        <w:tc>
          <w:tcPr>
            <w:tcW w:w="968" w:type="dxa"/>
          </w:tcPr>
          <w:p w14:paraId="505358B1" w14:textId="77777777" w:rsidR="0042155D" w:rsidRPr="00D866CC"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Case-control</w:t>
            </w:r>
          </w:p>
        </w:tc>
        <w:tc>
          <w:tcPr>
            <w:tcW w:w="1013" w:type="dxa"/>
            <w:shd w:val="clear" w:color="auto" w:fill="auto"/>
            <w:noWrap/>
          </w:tcPr>
          <w:p w14:paraId="287E5EE3"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United States</w:t>
            </w:r>
          </w:p>
        </w:tc>
        <w:tc>
          <w:tcPr>
            <w:tcW w:w="843" w:type="dxa"/>
          </w:tcPr>
          <w:p w14:paraId="130AE31D"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2000-2014</w:t>
            </w:r>
          </w:p>
        </w:tc>
        <w:tc>
          <w:tcPr>
            <w:tcW w:w="1390" w:type="dxa"/>
            <w:shd w:val="clear" w:color="auto" w:fill="auto"/>
            <w:noWrap/>
          </w:tcPr>
          <w:p w14:paraId="23B78F4D"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Hospital</w:t>
            </w:r>
          </w:p>
        </w:tc>
        <w:tc>
          <w:tcPr>
            <w:tcW w:w="950" w:type="dxa"/>
            <w:shd w:val="clear" w:color="auto" w:fill="auto"/>
            <w:noWrap/>
          </w:tcPr>
          <w:p w14:paraId="5401468D"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60.6</w:t>
            </w:r>
          </w:p>
        </w:tc>
        <w:tc>
          <w:tcPr>
            <w:tcW w:w="1043" w:type="dxa"/>
            <w:shd w:val="clear" w:color="auto" w:fill="auto"/>
            <w:noWrap/>
          </w:tcPr>
          <w:p w14:paraId="4FFC774C"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42.9</w:t>
            </w:r>
          </w:p>
        </w:tc>
        <w:tc>
          <w:tcPr>
            <w:tcW w:w="941" w:type="dxa"/>
            <w:shd w:val="clear" w:color="auto" w:fill="auto"/>
            <w:noWrap/>
          </w:tcPr>
          <w:p w14:paraId="237983EA"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1169</w:t>
            </w:r>
          </w:p>
        </w:tc>
        <w:tc>
          <w:tcPr>
            <w:tcW w:w="1752" w:type="dxa"/>
            <w:shd w:val="clear" w:color="auto" w:fill="auto"/>
            <w:noWrap/>
          </w:tcPr>
          <w:p w14:paraId="07C671AB"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10 (0.95)</w:t>
            </w:r>
          </w:p>
        </w:tc>
        <w:tc>
          <w:tcPr>
            <w:tcW w:w="1701" w:type="dxa"/>
            <w:shd w:val="clear" w:color="auto" w:fill="auto"/>
            <w:noWrap/>
          </w:tcPr>
          <w:p w14:paraId="63034F70"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4769</w:t>
            </w:r>
          </w:p>
        </w:tc>
        <w:tc>
          <w:tcPr>
            <w:tcW w:w="1650" w:type="dxa"/>
            <w:shd w:val="clear" w:color="auto" w:fill="auto"/>
            <w:noWrap/>
          </w:tcPr>
          <w:p w14:paraId="110B5CDF"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8 (0.2%)</w:t>
            </w:r>
          </w:p>
        </w:tc>
        <w:tc>
          <w:tcPr>
            <w:tcW w:w="1469" w:type="dxa"/>
            <w:shd w:val="clear" w:color="auto" w:fill="auto"/>
            <w:noWrap/>
          </w:tcPr>
          <w:p w14:paraId="7BF6A10A"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12.9 (2.69-61.61)</w:t>
            </w:r>
          </w:p>
        </w:tc>
      </w:tr>
      <w:tr w:rsidR="00726D98" w:rsidRPr="00436841" w14:paraId="3DDE1399" w14:textId="77777777" w:rsidTr="002362A4">
        <w:trPr>
          <w:trHeight w:val="340"/>
        </w:trPr>
        <w:tc>
          <w:tcPr>
            <w:tcW w:w="1499" w:type="dxa"/>
            <w:shd w:val="clear" w:color="auto" w:fill="auto"/>
            <w:noWrap/>
          </w:tcPr>
          <w:p w14:paraId="1BB3132F"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 xml:space="preserve">Huang </w:t>
            </w:r>
            <w:r w:rsidRPr="00D866CC">
              <w:rPr>
                <w:rFonts w:ascii="Book Antiqua" w:hAnsi="Book Antiqua" w:cstheme="minorHAnsi"/>
                <w:i/>
                <w:iCs/>
                <w:color w:val="000000"/>
                <w:lang w:eastAsia="el-GR"/>
              </w:rPr>
              <w:t>et al</w:t>
            </w:r>
            <w:r w:rsidRPr="00D866CC">
              <w:rPr>
                <w:rFonts w:ascii="Book Antiqua" w:hAnsi="Book Antiqua" w:cstheme="minorHAnsi"/>
                <w:color w:val="000000"/>
                <w:lang w:eastAsia="el-GR"/>
              </w:rPr>
              <w:fldChar w:fldCharType="begin" w:fldLock="1"/>
            </w:r>
            <w:r w:rsidRPr="00D866CC">
              <w:rPr>
                <w:rFonts w:ascii="Book Antiqua" w:hAnsi="Book Antiqua" w:cstheme="minorHAnsi"/>
                <w:color w:val="000000"/>
                <w:lang w:eastAsia="el-GR"/>
              </w:rPr>
              <w:instrText>ADDIN CSL_CITATION {"citationItems":[{"id":"ITEM-1","itemData":{"DOI":"10.18632/oncotarget.14254","ISSN":"1949-2553","PMID":"28036262","abstract":"Diabetes mellitus (DM) has been associated with an increased risk of extrahepatic cholangiocarcinoma (ECC) and intrahepatic cholangiocarcinoma (ICC). However, the role of DM in a population with a lower incidence of ECC remains unclear. We investigated the role of DM and other risk factors for ECC and ICC by conducting a population-based, nested, case-control study in Taiwan, a region with a lower incidence but a higher proportion of ICC. We identified patients who received a diagnosis of cholangiocarcinoma (CC) from the Taiwan Cancer Registry between 2003 and 2009. A total of 6,093 CC cases (ICC: 4,695; ECC: 1,396) and 60,906 matched controls were included. Compared with the controls, the patients with ICC and ECC were more likely to have DM, with an adjusted OR of 1.22 [95% confidence interval (CI): 1.07-1.39] and 1.48 (95% CI: 1.18-1.85), respectively. DM was associated with an increased risk of CC in the women and patients without a history of biliary tract diseases. Moreover, compared with the controls, DM was not associated with an increased risk of ECC in the patients who received cholecystectomy. These findings strongly support the positive association between DM and the increased risk of both ICC and ECC; however, this association was not observed in the patients who received cholecystectomy.","author":[{"dropping-particle":"","family":"Huang","given":"Yan-Jiun","non-dropping-particle":"","parse-names":false,"suffix":""},{"dropping-particle":"","family":"Wu","given":"Alexander Th","non-dropping-particle":"","parse-names":false,"suffix":""},{"dropping-particle":"","family":"Chiou","given":"Hung-Yi","non-dropping-particle":"","parse-names":false,"suffix":""},{"dropping-particle":"","family":"Chuang","given":"Ming-Tsang","non-dropping-particle":"","parse-names":false,"suffix":""},{"dropping-particle":"","family":"Meng","given":"Tzu-Ching","non-dropping-particle":"","parse-names":false,"suffix":""},{"dropping-particle":"","family":"Chien","given":"Li-Nien","non-dropping-particle":"","parse-names":false,"suffix":""},{"dropping-particle":"","family":"Yen","given":"Yun","non-dropping-particle":"","parse-names":false,"suffix":""}],"container-title":"Oncotarget","id":"ITEM-1","issue":"4","issued":{"date-parts":[["2017","1","24"]]},"page":"6642-6651","title":"Interactive role of diabetes mellitus and female sex in the risk of cholangiocarcinoma: A population-based nested case-control study.","type":"article-journal","volume":"8"},"uris":["http://www.mendeley.com/documents/?uuid=d7fdde22-772b-4af1-99a1-0e08985166f4"]}],"mendeley":{"formattedCitation":"&lt;sup&gt;[6]&lt;/sup&gt;","plainTextFormattedCitation":"[6]","previouslyFormattedCitation":"&lt;sup&gt;[6]&lt;/sup&gt;"},"properties":{"noteIndex":0},"schema":"https://github.com/citation-style-language/schema/raw/master/csl-citation.json"}</w:instrText>
            </w:r>
            <w:r w:rsidRPr="00D866CC">
              <w:rPr>
                <w:rFonts w:ascii="Book Antiqua" w:hAnsi="Book Antiqua" w:cstheme="minorHAnsi"/>
                <w:color w:val="000000"/>
                <w:lang w:eastAsia="el-GR"/>
              </w:rPr>
              <w:fldChar w:fldCharType="separate"/>
            </w:r>
            <w:r w:rsidRPr="00D866CC">
              <w:rPr>
                <w:rFonts w:ascii="Book Antiqua" w:hAnsi="Book Antiqua" w:cstheme="minorHAnsi"/>
                <w:noProof/>
                <w:color w:val="000000"/>
                <w:vertAlign w:val="superscript"/>
                <w:lang w:eastAsia="el-GR"/>
              </w:rPr>
              <w:t>[6]</w:t>
            </w:r>
            <w:r w:rsidRPr="00D866CC">
              <w:rPr>
                <w:rFonts w:ascii="Book Antiqua" w:hAnsi="Book Antiqua" w:cstheme="minorHAnsi"/>
                <w:color w:val="000000"/>
                <w:lang w:eastAsia="el-GR"/>
              </w:rPr>
              <w:fldChar w:fldCharType="end"/>
            </w:r>
            <w:r w:rsidRPr="00D866CC">
              <w:rPr>
                <w:rFonts w:ascii="Book Antiqua" w:hAnsi="Book Antiqua" w:cstheme="minorHAnsi"/>
                <w:color w:val="000000"/>
                <w:lang w:eastAsia="el-GR"/>
              </w:rPr>
              <w:t>, 2017</w:t>
            </w:r>
          </w:p>
        </w:tc>
        <w:tc>
          <w:tcPr>
            <w:tcW w:w="968" w:type="dxa"/>
          </w:tcPr>
          <w:p w14:paraId="3FF3C4F2" w14:textId="77777777" w:rsidR="0042155D" w:rsidRPr="00D866CC"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Case-control</w:t>
            </w:r>
          </w:p>
        </w:tc>
        <w:tc>
          <w:tcPr>
            <w:tcW w:w="1013" w:type="dxa"/>
            <w:shd w:val="clear" w:color="auto" w:fill="auto"/>
            <w:noWrap/>
          </w:tcPr>
          <w:p w14:paraId="05D74DB6" w14:textId="77777777" w:rsidR="0042155D" w:rsidRPr="00D866CC" w:rsidRDefault="0042155D" w:rsidP="00ED58D3">
            <w:pPr>
              <w:spacing w:line="360" w:lineRule="auto"/>
              <w:jc w:val="both"/>
              <w:rPr>
                <w:rFonts w:ascii="Book Antiqua" w:hAnsi="Book Antiqua" w:cstheme="minorHAnsi"/>
                <w:color w:val="000000"/>
                <w:lang w:eastAsia="el-GR"/>
              </w:rPr>
            </w:pPr>
            <w:r w:rsidRPr="00436841">
              <w:rPr>
                <w:rFonts w:ascii="Book Antiqua" w:eastAsia="Book Antiqua" w:hAnsi="Book Antiqua" w:cs="Book Antiqua"/>
                <w:color w:val="000000"/>
              </w:rPr>
              <w:t>Taiwan area of China</w:t>
            </w:r>
          </w:p>
        </w:tc>
        <w:tc>
          <w:tcPr>
            <w:tcW w:w="843" w:type="dxa"/>
          </w:tcPr>
          <w:p w14:paraId="2FCCF1C5"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2003-2009</w:t>
            </w:r>
          </w:p>
        </w:tc>
        <w:tc>
          <w:tcPr>
            <w:tcW w:w="1390" w:type="dxa"/>
            <w:shd w:val="clear" w:color="auto" w:fill="auto"/>
            <w:noWrap/>
          </w:tcPr>
          <w:p w14:paraId="6463E450"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Population</w:t>
            </w:r>
          </w:p>
        </w:tc>
        <w:tc>
          <w:tcPr>
            <w:tcW w:w="950" w:type="dxa"/>
            <w:shd w:val="clear" w:color="auto" w:fill="auto"/>
            <w:noWrap/>
          </w:tcPr>
          <w:p w14:paraId="673AB16B"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67.7</w:t>
            </w:r>
          </w:p>
        </w:tc>
        <w:tc>
          <w:tcPr>
            <w:tcW w:w="1043" w:type="dxa"/>
            <w:shd w:val="clear" w:color="auto" w:fill="auto"/>
            <w:noWrap/>
          </w:tcPr>
          <w:p w14:paraId="51B54656"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52.1</w:t>
            </w:r>
          </w:p>
        </w:tc>
        <w:tc>
          <w:tcPr>
            <w:tcW w:w="941" w:type="dxa"/>
            <w:shd w:val="clear" w:color="auto" w:fill="auto"/>
            <w:noWrap/>
          </w:tcPr>
          <w:p w14:paraId="325843BC"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4695</w:t>
            </w:r>
          </w:p>
        </w:tc>
        <w:tc>
          <w:tcPr>
            <w:tcW w:w="1752" w:type="dxa"/>
            <w:shd w:val="clear" w:color="auto" w:fill="auto"/>
            <w:noWrap/>
          </w:tcPr>
          <w:p w14:paraId="7F2B4BC0"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138 (2.9)</w:t>
            </w:r>
          </w:p>
        </w:tc>
        <w:tc>
          <w:tcPr>
            <w:tcW w:w="1701" w:type="dxa"/>
            <w:shd w:val="clear" w:color="auto" w:fill="auto"/>
            <w:noWrap/>
          </w:tcPr>
          <w:p w14:paraId="3B05F764"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46942</w:t>
            </w:r>
          </w:p>
        </w:tc>
        <w:tc>
          <w:tcPr>
            <w:tcW w:w="1650" w:type="dxa"/>
            <w:shd w:val="clear" w:color="auto" w:fill="auto"/>
            <w:noWrap/>
          </w:tcPr>
          <w:p w14:paraId="6EF08DDE"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513 (1.1%)</w:t>
            </w:r>
          </w:p>
        </w:tc>
        <w:tc>
          <w:tcPr>
            <w:tcW w:w="1469" w:type="dxa"/>
            <w:shd w:val="clear" w:color="auto" w:fill="auto"/>
            <w:noWrap/>
          </w:tcPr>
          <w:p w14:paraId="1D7F75FC"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2.23 (1.80-2.76)</w:t>
            </w:r>
          </w:p>
        </w:tc>
      </w:tr>
      <w:tr w:rsidR="00726D98" w:rsidRPr="00436841" w14:paraId="1DDF29CD" w14:textId="77777777" w:rsidTr="002362A4">
        <w:trPr>
          <w:trHeight w:val="340"/>
        </w:trPr>
        <w:tc>
          <w:tcPr>
            <w:tcW w:w="1499" w:type="dxa"/>
            <w:shd w:val="clear" w:color="auto" w:fill="auto"/>
            <w:noWrap/>
            <w:hideMark/>
          </w:tcPr>
          <w:p w14:paraId="0BA2A043" w14:textId="77777777" w:rsidR="0042155D" w:rsidRPr="00436841"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 xml:space="preserve">Lee </w:t>
            </w:r>
            <w:r w:rsidRPr="00D866CC">
              <w:rPr>
                <w:rFonts w:ascii="Book Antiqua" w:hAnsi="Book Antiqua" w:cstheme="minorHAnsi"/>
                <w:i/>
                <w:iCs/>
                <w:color w:val="000000"/>
                <w:lang w:eastAsia="el-GR"/>
              </w:rPr>
              <w:t>et al</w:t>
            </w:r>
            <w:r w:rsidRPr="00D866CC">
              <w:rPr>
                <w:rFonts w:ascii="Book Antiqua" w:hAnsi="Book Antiqua" w:cstheme="minorHAnsi"/>
                <w:color w:val="000000"/>
                <w:lang w:eastAsia="el-GR"/>
              </w:rPr>
              <w:fldChar w:fldCharType="begin" w:fldLock="1"/>
            </w:r>
            <w:r w:rsidRPr="00D866CC">
              <w:rPr>
                <w:rFonts w:ascii="Book Antiqua" w:hAnsi="Book Antiqua" w:cstheme="minorHAnsi"/>
                <w:color w:val="000000"/>
                <w:lang w:eastAsia="el-GR"/>
              </w:rPr>
              <w:instrText>ADDIN CSL_CITATION {"citationItems":[{"id":"ITEM-1","itemData":{"DOI":"10.3748/wjg.v21.i2.502","ISSN":"2219-2840","PMID":"25593465","abstract":"AIM To identify possible risk factors and their synergism for cholangiocarcinoma development. METHODS A hospital-based, case-control study in which we included 276 cholangiocarcinoma patients [193 extrahepatic cholangiocarcinoma (ECC) and 83 intrahepatic cholangiocarcinoma (ICC)], diagnosed at a training hospital in Korea between 2007 and 2013, and 552 healthy controls matched 2:1 for age, sex, and date of diagnosis. Risk factors for cholangiocarcinoma and possible synergism between those factors were evaluated using conditional logistic regression and synergism index, respectively. RESULTS There was an association between cholangiocarcinoma and hepatitis B virus (HBV) infection, diabetes mellitus (DM), cholecystolithiasis, choledocholithiasis, and hepatolithiasis, with the adjusted odds ratios (AORs) of 4.1, 2.6, 1.7, 12.4, and 39.9, respectively. Synergistic interaction on the additive model was investigated between HBV infection and DM (AOR = 12.2; 95%CI: 1.9-80.1). In the subgroup analyses, cholecystolithiasis, choledocholithiasis, hepatolithiasis, and DM were significant risk factors for ECC (AOR = 2.0, 18.1, 14.9, and 2.0, respectively), whereas choledocholithiasis, hepatolithiasis, HBV infection, and DM were risk factors for ICC (AOR = 8.6, 157.4, 5.3 and 4.9, respectively). Synergistic interaction was also observed between HBV infection and DM (OR = 22.7; 95%CI: 2.4-214.1). However, there was no synergistic interaction between other significant risk factors for cholangiocarcinoma. CONCLUSION In this Korean study, HBV infection and DM were found to exert independent and synergistic effects on the risk for cholangiocarcinoma, including ICC. Exploring the underlying mechanisms for such synergy may lead to the development of cholangiocarcinoma prevention strategies in high-risk individuals.","author":[{"dropping-particle":"","family":"Lee","given":"Ban Seok","non-dropping-particle":"","parse-names":false,"suffix":""},{"dropping-particle":"","family":"Park","given":"Eun-Cheol","non-dropping-particle":"","parse-names":false,"suffix":""},{"dropping-particle":"","family":"Park","given":"Seung Woo","non-dropping-particle":"","parse-names":false,"suffix":""},{"dropping-particle":"","family":"Nam","given":"Chung Mo","non-dropping-particle":"","parse-names":false,"suffix":""},{"dropping-particle":"","family":"Roh","given":"Jaehoon","non-dropping-particle":"","parse-names":false,"suffix":""}],"container-title":"World journal of gastroenterology","id":"ITEM-1","issue":"2","issued":{"date-parts":[["2015","1","14"]]},"page":"502-10","title":"Hepatitis B virus infection, diabetes mellitus, and their synergism for cholangiocarcinoma development: a case-control study in Korea.","type":"article-journal","volume":"21"},"uris":["http://www.mendeley.com/documents/?uuid=643b1ba2-c3f8-428e-967c-a6bc16130879"]}],"mendeley":{"formattedCitation":"&lt;sup&gt;[7]&lt;/sup&gt;","plainTextFormattedCitation":"[7]","previouslyFormattedCitation":"&lt;sup&gt;[7]&lt;/sup&gt;"},"properties":{"noteIndex":0},"schema":"https://github.com/citation-style-language/schema/raw/master/csl-citation.json"}</w:instrText>
            </w:r>
            <w:r w:rsidRPr="00D866CC">
              <w:rPr>
                <w:rFonts w:ascii="Book Antiqua" w:hAnsi="Book Antiqua" w:cstheme="minorHAnsi"/>
                <w:color w:val="000000"/>
                <w:lang w:eastAsia="el-GR"/>
              </w:rPr>
              <w:fldChar w:fldCharType="separate"/>
            </w:r>
            <w:r w:rsidRPr="00D866CC">
              <w:rPr>
                <w:rFonts w:ascii="Book Antiqua" w:hAnsi="Book Antiqua" w:cstheme="minorHAnsi"/>
                <w:noProof/>
                <w:color w:val="000000"/>
                <w:vertAlign w:val="superscript"/>
                <w:lang w:eastAsia="el-GR"/>
              </w:rPr>
              <w:t>[7]</w:t>
            </w:r>
            <w:r w:rsidRPr="00D866CC">
              <w:rPr>
                <w:rFonts w:ascii="Book Antiqua" w:hAnsi="Book Antiqua" w:cstheme="minorHAnsi"/>
                <w:color w:val="000000"/>
                <w:lang w:eastAsia="el-GR"/>
              </w:rPr>
              <w:fldChar w:fldCharType="end"/>
            </w:r>
            <w:r w:rsidRPr="00D866CC">
              <w:rPr>
                <w:rFonts w:ascii="Book Antiqua" w:hAnsi="Book Antiqua" w:cstheme="minorHAnsi"/>
                <w:color w:val="000000"/>
                <w:lang w:eastAsia="el-GR"/>
              </w:rPr>
              <w:t>, 2015</w:t>
            </w:r>
          </w:p>
        </w:tc>
        <w:tc>
          <w:tcPr>
            <w:tcW w:w="968" w:type="dxa"/>
          </w:tcPr>
          <w:p w14:paraId="78EAEF58" w14:textId="77777777" w:rsidR="0042155D" w:rsidRPr="00436841" w:rsidRDefault="0042155D" w:rsidP="00ED58D3">
            <w:pPr>
              <w:spacing w:line="360" w:lineRule="auto"/>
              <w:jc w:val="both"/>
              <w:rPr>
                <w:rFonts w:ascii="Book Antiqua" w:hAnsi="Book Antiqua" w:cstheme="minorHAnsi"/>
                <w:color w:val="000000"/>
                <w:lang w:eastAsia="el-GR"/>
              </w:rPr>
            </w:pPr>
            <w:r w:rsidRPr="00326C94">
              <w:rPr>
                <w:rFonts w:ascii="Book Antiqua" w:hAnsi="Book Antiqua" w:cstheme="minorHAnsi"/>
                <w:color w:val="000000"/>
                <w:lang w:eastAsia="el-GR"/>
              </w:rPr>
              <w:t>Case-control</w:t>
            </w:r>
          </w:p>
        </w:tc>
        <w:tc>
          <w:tcPr>
            <w:tcW w:w="1013" w:type="dxa"/>
            <w:shd w:val="clear" w:color="auto" w:fill="auto"/>
            <w:noWrap/>
            <w:hideMark/>
          </w:tcPr>
          <w:p w14:paraId="67ED0E55"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South Korea</w:t>
            </w:r>
          </w:p>
        </w:tc>
        <w:tc>
          <w:tcPr>
            <w:tcW w:w="843" w:type="dxa"/>
          </w:tcPr>
          <w:p w14:paraId="0C4BCD64"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2007-2013</w:t>
            </w:r>
          </w:p>
        </w:tc>
        <w:tc>
          <w:tcPr>
            <w:tcW w:w="1390" w:type="dxa"/>
            <w:shd w:val="clear" w:color="auto" w:fill="auto"/>
            <w:noWrap/>
            <w:hideMark/>
          </w:tcPr>
          <w:p w14:paraId="53132821"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Hospital</w:t>
            </w:r>
          </w:p>
        </w:tc>
        <w:tc>
          <w:tcPr>
            <w:tcW w:w="950" w:type="dxa"/>
            <w:shd w:val="clear" w:color="auto" w:fill="auto"/>
            <w:noWrap/>
            <w:hideMark/>
          </w:tcPr>
          <w:p w14:paraId="20F759AD"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67.8</w:t>
            </w:r>
          </w:p>
        </w:tc>
        <w:tc>
          <w:tcPr>
            <w:tcW w:w="1043" w:type="dxa"/>
            <w:shd w:val="clear" w:color="auto" w:fill="auto"/>
            <w:noWrap/>
            <w:hideMark/>
          </w:tcPr>
          <w:p w14:paraId="4C37F39A"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50.4</w:t>
            </w:r>
          </w:p>
        </w:tc>
        <w:tc>
          <w:tcPr>
            <w:tcW w:w="941" w:type="dxa"/>
            <w:shd w:val="clear" w:color="auto" w:fill="auto"/>
            <w:noWrap/>
            <w:hideMark/>
          </w:tcPr>
          <w:p w14:paraId="198925CD"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83</w:t>
            </w:r>
          </w:p>
        </w:tc>
        <w:tc>
          <w:tcPr>
            <w:tcW w:w="1752" w:type="dxa"/>
            <w:shd w:val="clear" w:color="auto" w:fill="auto"/>
            <w:noWrap/>
            <w:hideMark/>
          </w:tcPr>
          <w:p w14:paraId="3D7BEE8F"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19 (22.9)</w:t>
            </w:r>
          </w:p>
        </w:tc>
        <w:tc>
          <w:tcPr>
            <w:tcW w:w="1701" w:type="dxa"/>
            <w:shd w:val="clear" w:color="auto" w:fill="auto"/>
            <w:noWrap/>
            <w:hideMark/>
          </w:tcPr>
          <w:p w14:paraId="567BA98E"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166</w:t>
            </w:r>
          </w:p>
        </w:tc>
        <w:tc>
          <w:tcPr>
            <w:tcW w:w="1650" w:type="dxa"/>
            <w:shd w:val="clear" w:color="auto" w:fill="auto"/>
            <w:noWrap/>
            <w:hideMark/>
          </w:tcPr>
          <w:p w14:paraId="6124A2F9"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9 (5.4%)</w:t>
            </w:r>
          </w:p>
        </w:tc>
        <w:tc>
          <w:tcPr>
            <w:tcW w:w="1469" w:type="dxa"/>
            <w:shd w:val="clear" w:color="auto" w:fill="auto"/>
            <w:noWrap/>
            <w:hideMark/>
          </w:tcPr>
          <w:p w14:paraId="558D03FF"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4.58 (2.00-10.50)</w:t>
            </w:r>
          </w:p>
        </w:tc>
      </w:tr>
      <w:tr w:rsidR="00726D98" w:rsidRPr="00436841" w14:paraId="5ADD1557" w14:textId="77777777" w:rsidTr="002362A4">
        <w:trPr>
          <w:trHeight w:val="340"/>
        </w:trPr>
        <w:tc>
          <w:tcPr>
            <w:tcW w:w="1499" w:type="dxa"/>
            <w:shd w:val="clear" w:color="auto" w:fill="auto"/>
            <w:noWrap/>
          </w:tcPr>
          <w:p w14:paraId="155360FC" w14:textId="77777777" w:rsidR="0042155D" w:rsidRPr="00475777"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 xml:space="preserve">Chaiteerakij </w:t>
            </w:r>
            <w:r w:rsidRPr="00436841">
              <w:rPr>
                <w:rFonts w:ascii="Book Antiqua" w:hAnsi="Book Antiqua" w:cstheme="minorHAnsi"/>
                <w:i/>
                <w:iCs/>
                <w:color w:val="000000"/>
                <w:lang w:eastAsia="el-GR"/>
              </w:rPr>
              <w:t>et al</w:t>
            </w:r>
            <w:r w:rsidR="00DA7CC7" w:rsidRPr="00475777">
              <w:rPr>
                <w:rFonts w:ascii="Book Antiqua" w:hAnsi="Book Antiqua" w:cstheme="minorHAnsi"/>
                <w:color w:val="000000"/>
                <w:lang w:eastAsia="el-GR"/>
              </w:rPr>
              <w:fldChar w:fldCharType="begin" w:fldLock="1"/>
            </w:r>
            <w:r w:rsidR="00AE1AFA" w:rsidRPr="00436841">
              <w:rPr>
                <w:rFonts w:ascii="Book Antiqua" w:hAnsi="Book Antiqua" w:cstheme="minorHAnsi"/>
                <w:color w:val="000000"/>
                <w:lang w:eastAsia="el-GR"/>
              </w:rPr>
              <w:instrText>ADDIN CSL_CITATION {"citationItems":[{"id":"ITEM-1","itemData":{"DOI":"10.1002/hep.26092","ISSN":"1527-3350","PMID":"23055147","abstract":"UNLABELLED The associations between diabetes, smoking, obesity, and intrahepatic cholangiocarcinoma (ICC) risk remain inconclusive. Metformin is purportedly associated with a reduced risk for various cancers. This case-control study evaluated risk factors for ICC and explored the effects of metformin on ICC risk in a clinic/hospital-based cohort. ICC patients observed at the Mayo Clinic (Rochester, MN) between January 2000 and May 2010 were identified. Age, sex, ethnicity, and residential area-matched controls were selected from among Mayo Clinic Biobank participants. The associations between potential factors and ICC risk were determined. Six hundred and twelve cases and 594 controls were identified. Factors associated with increased ICC risk included biliary tract diseases (adjusted odds ratio [AOR]: 81.8; 95% confidence interval [CI]: 11.2-598.8; P &lt; 0.001), cirrhosis (AOR, 8.0; 95% CI: 1.8-36.5; P = 0.007), diabetes (AOR, 3.6; 95% CI: 2.3-5.5; P &lt; 0.001), and smoking (AOR, 1.6; 95% CI: 1.3-2.1; P &lt; 0.001). Compared to diabetic patients not treated with metformin, the odds ratio (OR) for ICC for diabetic patients treated with metformin was significantly decreased (OR, 0.4; 95% CI: 0.2-0.9; P = 0.04). Obesity and metabolic syndrome were not associated with ICC. CONCLUSION This study confirmed diabetes and smoking as independent risk factors for ICC. A novel finding was that treatment with metformin was significantly associated with a 60% reduction in ICC risk in diabetic patients.","author":[{"dropping-particle":"","family":"Chaiteerakij","given":"Roongruedee","non-dropping-particle":"","parse-names":false,"suffix":""},{"dropping-particle":"","family":"Yang","given":"Ju Dong","non-dropping-particle":"","parse-names":false,"suffix":""},{"dropping-particle":"","family":"Harmsen","given":"William S","non-dropping-particle":"","parse-names":false,"suffix":""},{"dropping-particle":"","family":"Slettedahl","given":"Seth W","non-dropping-particle":"","parse-names":false,"suffix":""},{"dropping-particle":"","family":"Mettler","given":"Teresa A","non-dropping-particle":"","parse-names":false,"suffix":""},{"dropping-particle":"","family":"Fredericksen","given":"Zachary S","non-dropping-particle":"","parse-names":false,"suffix":""},{"dropping-particle":"","family":"Kim","given":"W Ray","non-dropping-particle":"","parse-names":false,"suffix":""},{"dropping-particle":"","family":"Gores","given":"Gregory J","non-dropping-particle":"","parse-names":false,"suffix":""},{"dropping-particle":"","family":"Roberts","given":"Rosebud O","non-dropping-particle":"","parse-names":false,"suffix":""},{"dropping-particle":"","family":"Olson","given":"Janet E","non-dropping-particle":"","parse-names":false,"suffix":""},{"dropping-particle":"","family":"Therneau","given":"Terry M","non-dropping-particle":"","parse-names":false,"suffix":""},{"dropping-particle":"","family":"Roberts","given":"Lewis R","non-dropping-particle":"","parse-names":false,"suffix":""}],"container-title":"Hepatology (Baltimore, Md.)","id":"ITEM-1","issue":"2","issued":{"date-parts":[["2013","2"]]},"page":"648-55","title":"Risk factors for intrahepatic cholangiocarcinoma: association between metformin use and reduced cancer risk.","type":"article-journal","volume":"57"},"uris":["http://www.mendeley.com/documents/?uuid=ccb3e1ba-1a4d-4092-8c82-3a1100055a59"]}],"mendeley":{"formattedCitation":"&lt;sup&gt;[8]&lt;/sup&gt;","plainTextFormattedCitation":"[8]","previouslyFormattedCitation":"&lt;sup&gt;[8]&lt;/sup&gt;"},"properties":{"noteIndex":0},"schema":"https://github.com/citation-style-language/schema/raw/master/csl-citation.json"}</w:instrText>
            </w:r>
            <w:r w:rsidR="00DA7CC7" w:rsidRPr="00D866CC">
              <w:rPr>
                <w:rFonts w:ascii="Book Antiqua" w:hAnsi="Book Antiqua" w:cstheme="minorHAnsi"/>
                <w:color w:val="000000"/>
                <w:lang w:eastAsia="el-GR"/>
              </w:rPr>
              <w:fldChar w:fldCharType="separate"/>
            </w:r>
            <w:r w:rsidR="00AE1AFA" w:rsidRPr="00475777">
              <w:rPr>
                <w:rFonts w:ascii="Book Antiqua" w:hAnsi="Book Antiqua" w:cstheme="minorHAnsi"/>
                <w:noProof/>
                <w:color w:val="000000"/>
                <w:vertAlign w:val="superscript"/>
                <w:lang w:eastAsia="el-GR"/>
              </w:rPr>
              <w:t>[8]</w:t>
            </w:r>
            <w:r w:rsidR="00DA7CC7" w:rsidRPr="00475777">
              <w:rPr>
                <w:rFonts w:ascii="Book Antiqua" w:hAnsi="Book Antiqua" w:cstheme="minorHAnsi"/>
                <w:color w:val="000000"/>
                <w:lang w:eastAsia="el-GR"/>
              </w:rPr>
              <w:fldChar w:fldCharType="end"/>
            </w:r>
            <w:r w:rsidRPr="00436841">
              <w:rPr>
                <w:rFonts w:ascii="Book Antiqua" w:hAnsi="Book Antiqua" w:cstheme="minorHAnsi"/>
                <w:color w:val="000000"/>
                <w:lang w:eastAsia="el-GR"/>
              </w:rPr>
              <w:t>, 2013</w:t>
            </w:r>
          </w:p>
        </w:tc>
        <w:tc>
          <w:tcPr>
            <w:tcW w:w="968" w:type="dxa"/>
          </w:tcPr>
          <w:p w14:paraId="3ABC7046" w14:textId="77777777" w:rsidR="0042155D" w:rsidRPr="00436841" w:rsidRDefault="0042155D" w:rsidP="00ED58D3">
            <w:pPr>
              <w:spacing w:line="360" w:lineRule="auto"/>
              <w:jc w:val="both"/>
              <w:rPr>
                <w:rFonts w:ascii="Book Antiqua" w:hAnsi="Book Antiqua" w:cstheme="minorHAnsi"/>
                <w:color w:val="000000"/>
                <w:lang w:eastAsia="el-GR"/>
              </w:rPr>
            </w:pPr>
            <w:r w:rsidRPr="00326C94">
              <w:rPr>
                <w:rFonts w:ascii="Book Antiqua" w:hAnsi="Book Antiqua" w:cstheme="minorHAnsi"/>
                <w:color w:val="000000"/>
                <w:lang w:eastAsia="el-GR"/>
              </w:rPr>
              <w:t>Case-control</w:t>
            </w:r>
          </w:p>
        </w:tc>
        <w:tc>
          <w:tcPr>
            <w:tcW w:w="1013" w:type="dxa"/>
            <w:shd w:val="clear" w:color="auto" w:fill="auto"/>
            <w:noWrap/>
          </w:tcPr>
          <w:p w14:paraId="6A2C0744" w14:textId="77777777" w:rsidR="0042155D" w:rsidRPr="00436841"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United States</w:t>
            </w:r>
          </w:p>
        </w:tc>
        <w:tc>
          <w:tcPr>
            <w:tcW w:w="843" w:type="dxa"/>
          </w:tcPr>
          <w:p w14:paraId="361FB3BD" w14:textId="77777777" w:rsidR="0042155D" w:rsidRPr="00436841" w:rsidRDefault="0042155D" w:rsidP="00ED58D3">
            <w:pPr>
              <w:spacing w:line="360" w:lineRule="auto"/>
              <w:jc w:val="both"/>
              <w:rPr>
                <w:rFonts w:ascii="Book Antiqua" w:hAnsi="Book Antiqua" w:cstheme="minorHAnsi"/>
                <w:color w:val="000000"/>
                <w:lang w:eastAsia="el-GR"/>
              </w:rPr>
            </w:pPr>
            <w:r w:rsidRPr="00326C94">
              <w:rPr>
                <w:rFonts w:ascii="Book Antiqua" w:hAnsi="Book Antiqua" w:cstheme="minorHAnsi"/>
                <w:color w:val="000000"/>
                <w:lang w:eastAsia="el-GR"/>
              </w:rPr>
              <w:t>2000-2010</w:t>
            </w:r>
          </w:p>
        </w:tc>
        <w:tc>
          <w:tcPr>
            <w:tcW w:w="1390" w:type="dxa"/>
            <w:shd w:val="clear" w:color="auto" w:fill="auto"/>
            <w:noWrap/>
          </w:tcPr>
          <w:p w14:paraId="793F330C"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Hospital</w:t>
            </w:r>
          </w:p>
        </w:tc>
        <w:tc>
          <w:tcPr>
            <w:tcW w:w="950" w:type="dxa"/>
            <w:shd w:val="clear" w:color="auto" w:fill="auto"/>
            <w:noWrap/>
          </w:tcPr>
          <w:p w14:paraId="089647F4"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61.2</w:t>
            </w:r>
          </w:p>
        </w:tc>
        <w:tc>
          <w:tcPr>
            <w:tcW w:w="1043" w:type="dxa"/>
            <w:shd w:val="clear" w:color="auto" w:fill="auto"/>
            <w:noWrap/>
          </w:tcPr>
          <w:p w14:paraId="08530109"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50.3</w:t>
            </w:r>
          </w:p>
        </w:tc>
        <w:tc>
          <w:tcPr>
            <w:tcW w:w="941" w:type="dxa"/>
            <w:shd w:val="clear" w:color="auto" w:fill="auto"/>
            <w:noWrap/>
          </w:tcPr>
          <w:p w14:paraId="735B5BE1"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612</w:t>
            </w:r>
          </w:p>
        </w:tc>
        <w:tc>
          <w:tcPr>
            <w:tcW w:w="1752" w:type="dxa"/>
            <w:shd w:val="clear" w:color="auto" w:fill="auto"/>
            <w:noWrap/>
          </w:tcPr>
          <w:p w14:paraId="12E0CDFD"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3 (0.5)</w:t>
            </w:r>
          </w:p>
        </w:tc>
        <w:tc>
          <w:tcPr>
            <w:tcW w:w="1701" w:type="dxa"/>
            <w:shd w:val="clear" w:color="auto" w:fill="auto"/>
            <w:noWrap/>
          </w:tcPr>
          <w:p w14:paraId="554B1124"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594</w:t>
            </w:r>
          </w:p>
        </w:tc>
        <w:tc>
          <w:tcPr>
            <w:tcW w:w="1650" w:type="dxa"/>
            <w:shd w:val="clear" w:color="auto" w:fill="auto"/>
            <w:noWrap/>
          </w:tcPr>
          <w:p w14:paraId="3BDD6EB1"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3 (0.5%)</w:t>
            </w:r>
          </w:p>
        </w:tc>
        <w:tc>
          <w:tcPr>
            <w:tcW w:w="1469" w:type="dxa"/>
            <w:shd w:val="clear" w:color="auto" w:fill="auto"/>
            <w:noWrap/>
          </w:tcPr>
          <w:p w14:paraId="38EC4342"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0.97 (0.20-4.80)</w:t>
            </w:r>
          </w:p>
        </w:tc>
      </w:tr>
      <w:tr w:rsidR="00726D98" w:rsidRPr="00436841" w14:paraId="005EA8AF" w14:textId="77777777" w:rsidTr="002362A4">
        <w:trPr>
          <w:trHeight w:val="340"/>
        </w:trPr>
        <w:tc>
          <w:tcPr>
            <w:tcW w:w="1499" w:type="dxa"/>
            <w:shd w:val="clear" w:color="auto" w:fill="auto"/>
            <w:noWrap/>
            <w:hideMark/>
          </w:tcPr>
          <w:p w14:paraId="6E8886B1" w14:textId="77777777" w:rsidR="0042155D" w:rsidRPr="00475777"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 xml:space="preserve">Chang </w:t>
            </w:r>
            <w:r w:rsidRPr="00436841">
              <w:rPr>
                <w:rFonts w:ascii="Book Antiqua" w:hAnsi="Book Antiqua" w:cstheme="minorHAnsi"/>
                <w:i/>
                <w:iCs/>
                <w:color w:val="000000"/>
                <w:lang w:eastAsia="el-GR"/>
              </w:rPr>
              <w:t>et al</w:t>
            </w:r>
            <w:r w:rsidR="00DA7CC7" w:rsidRPr="00475777">
              <w:rPr>
                <w:rFonts w:ascii="Book Antiqua" w:hAnsi="Book Antiqua" w:cstheme="minorHAnsi"/>
                <w:color w:val="000000"/>
                <w:lang w:eastAsia="el-GR"/>
              </w:rPr>
              <w:fldChar w:fldCharType="begin" w:fldLock="1"/>
            </w:r>
            <w:r w:rsidR="00AE1AFA" w:rsidRPr="00436841">
              <w:rPr>
                <w:rFonts w:ascii="Book Antiqua" w:hAnsi="Book Antiqua" w:cstheme="minorHAnsi"/>
                <w:color w:val="000000"/>
                <w:lang w:eastAsia="el-GR"/>
              </w:rPr>
              <w:instrText>ADDIN CSL_CITATION {"citationItems":[{"id":"ITEM-1","itemData":{"DOI":"10.1371/journal.pone.0069981","ISSN":"1932-6203","PMID":"23894567","abstract":"BACKGROUND Cholangiocarcinoma, including intra- and extrahepatic cholangiocarcinoma, is a rare but highly lethal cancer. Despite effort in finding the risk factors of cholangiocarcinoma, the causes of most cholangiocarcinoma remain unknown. This study utilized a population-based case-control design using data from the National Health Insurance Research Database (NHIRD) of Taiwan to assess the medical conditions associated with cholangiocarcinoma. METHODS 5,157 incident cases of cholangiocarcinoma diagnosed during 2004 to 2008 and 20,628 controls matched to the cases on sex, age, and time of diagnosis (reference date for the controls) were identified from the NHIRD. Medical risk factors were ascertained from the NHIRD for each individual. Conditional logistic regression was performed to evaluate the association between cholangiocarcinoma and each medical risk factor. RESULTS The results showed that factors associated with an increased risk of cholangiocarcinoma included cholangitis, cholelithiasis, cholecystitis, cirrhosis of liver, alcoholic liver disease, chronic non-alcoholic liver disease, hepatitis B, hepatitis C, diabetes, chronic pancreatitis, inflammatory bowel disease, and peptic ulcer. In addition, sex and age differences were observed. CONCLUSIONS This study confirms the association between cholangiocarcinoma and several less established risk factors, including diabetes, inflammatory bowel disease, hepatitis B, hepatitis C, and peptic ulcer (proxy for the presence of Helicobacter Pylori). Future studies should focus on finding additional environmental and genetic causes of cholangiocarcinoma.","author":[{"dropping-particle":"","family":"Chang","given":"Jeffrey S","non-dropping-particle":"","parse-names":false,"suffix":""},{"dropping-particle":"","family":"Tsai","given":"Chia-Rung","non-dropping-particle":"","parse-names":false,"suffix":""},{"dropping-particle":"","family":"Chen","given":"Li-Tzong","non-dropping-particle":"","parse-names":false,"suffix":""}],"container-title":"PloS one","id":"ITEM-1","issue":"7","issued":{"date-parts":[["2013"]]},"page":"e69981","title":"Medical risk factors associated with cholangiocarcinoma in Taiwan: a population-based case-control study.","type":"article-journal","volume":"8"},"uris":["http://www.mendeley.com/documents/?uuid=74cf1555-30d0-42f0-b421-5e3a3ce3be98"]}],"mendeley":{"formattedCitation":"&lt;sup&gt;[9]&lt;/sup&gt;","plainTextFormattedCitation":"[9]","previouslyFormattedCitation":"&lt;sup&gt;[9]&lt;/sup&gt;"},"properties":{"noteIndex":0},"schema":"https://github.com/citation-style-language/schema/raw/master/csl-citation.json"}</w:instrText>
            </w:r>
            <w:r w:rsidR="00DA7CC7" w:rsidRPr="00D866CC">
              <w:rPr>
                <w:rFonts w:ascii="Book Antiqua" w:hAnsi="Book Antiqua" w:cstheme="minorHAnsi"/>
                <w:color w:val="000000"/>
                <w:lang w:eastAsia="el-GR"/>
              </w:rPr>
              <w:fldChar w:fldCharType="separate"/>
            </w:r>
            <w:r w:rsidR="00AE1AFA" w:rsidRPr="00475777">
              <w:rPr>
                <w:rFonts w:ascii="Book Antiqua" w:hAnsi="Book Antiqua" w:cstheme="minorHAnsi"/>
                <w:noProof/>
                <w:color w:val="000000"/>
                <w:vertAlign w:val="superscript"/>
                <w:lang w:eastAsia="el-GR"/>
              </w:rPr>
              <w:t>[9]</w:t>
            </w:r>
            <w:r w:rsidR="00DA7CC7" w:rsidRPr="00475777">
              <w:rPr>
                <w:rFonts w:ascii="Book Antiqua" w:hAnsi="Book Antiqua" w:cstheme="minorHAnsi"/>
                <w:color w:val="000000"/>
                <w:lang w:eastAsia="el-GR"/>
              </w:rPr>
              <w:fldChar w:fldCharType="end"/>
            </w:r>
            <w:r w:rsidRPr="00436841">
              <w:rPr>
                <w:rFonts w:ascii="Book Antiqua" w:hAnsi="Book Antiqua" w:cstheme="minorHAnsi"/>
                <w:color w:val="000000"/>
                <w:lang w:eastAsia="el-GR"/>
              </w:rPr>
              <w:t>, 2013</w:t>
            </w:r>
          </w:p>
        </w:tc>
        <w:tc>
          <w:tcPr>
            <w:tcW w:w="968" w:type="dxa"/>
          </w:tcPr>
          <w:p w14:paraId="06A41736" w14:textId="77777777" w:rsidR="0042155D" w:rsidRPr="00436841" w:rsidRDefault="0042155D" w:rsidP="00ED58D3">
            <w:pPr>
              <w:spacing w:line="360" w:lineRule="auto"/>
              <w:jc w:val="both"/>
              <w:rPr>
                <w:rFonts w:ascii="Book Antiqua" w:hAnsi="Book Antiqua" w:cstheme="minorHAnsi"/>
                <w:color w:val="000000"/>
                <w:lang w:eastAsia="el-GR"/>
              </w:rPr>
            </w:pPr>
            <w:r w:rsidRPr="00326C94">
              <w:rPr>
                <w:rFonts w:ascii="Book Antiqua" w:hAnsi="Book Antiqua" w:cstheme="minorHAnsi"/>
                <w:color w:val="000000"/>
                <w:lang w:eastAsia="el-GR"/>
              </w:rPr>
              <w:t>Case-control</w:t>
            </w:r>
          </w:p>
        </w:tc>
        <w:tc>
          <w:tcPr>
            <w:tcW w:w="1013" w:type="dxa"/>
            <w:shd w:val="clear" w:color="auto" w:fill="auto"/>
            <w:noWrap/>
            <w:hideMark/>
          </w:tcPr>
          <w:p w14:paraId="601B1D1A"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China</w:t>
            </w:r>
          </w:p>
        </w:tc>
        <w:tc>
          <w:tcPr>
            <w:tcW w:w="843" w:type="dxa"/>
          </w:tcPr>
          <w:p w14:paraId="0B3847EA"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2004-2008</w:t>
            </w:r>
          </w:p>
        </w:tc>
        <w:tc>
          <w:tcPr>
            <w:tcW w:w="1390" w:type="dxa"/>
            <w:shd w:val="clear" w:color="auto" w:fill="auto"/>
            <w:noWrap/>
            <w:hideMark/>
          </w:tcPr>
          <w:p w14:paraId="092B8AD7"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Population</w:t>
            </w:r>
          </w:p>
        </w:tc>
        <w:tc>
          <w:tcPr>
            <w:tcW w:w="950" w:type="dxa"/>
            <w:shd w:val="clear" w:color="auto" w:fill="auto"/>
            <w:noWrap/>
            <w:hideMark/>
          </w:tcPr>
          <w:p w14:paraId="667A21BC"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NR</w:t>
            </w:r>
          </w:p>
        </w:tc>
        <w:tc>
          <w:tcPr>
            <w:tcW w:w="1043" w:type="dxa"/>
            <w:shd w:val="clear" w:color="auto" w:fill="auto"/>
            <w:noWrap/>
            <w:hideMark/>
          </w:tcPr>
          <w:p w14:paraId="766D1C02"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56.1</w:t>
            </w:r>
          </w:p>
        </w:tc>
        <w:tc>
          <w:tcPr>
            <w:tcW w:w="941" w:type="dxa"/>
            <w:shd w:val="clear" w:color="auto" w:fill="auto"/>
            <w:noWrap/>
            <w:hideMark/>
          </w:tcPr>
          <w:p w14:paraId="52D87C73"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2978</w:t>
            </w:r>
          </w:p>
        </w:tc>
        <w:tc>
          <w:tcPr>
            <w:tcW w:w="1752" w:type="dxa"/>
            <w:shd w:val="clear" w:color="auto" w:fill="auto"/>
            <w:noWrap/>
            <w:hideMark/>
          </w:tcPr>
          <w:p w14:paraId="562B2E34"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257 (8.6)</w:t>
            </w:r>
          </w:p>
        </w:tc>
        <w:tc>
          <w:tcPr>
            <w:tcW w:w="1701" w:type="dxa"/>
            <w:shd w:val="clear" w:color="auto" w:fill="auto"/>
            <w:noWrap/>
            <w:hideMark/>
          </w:tcPr>
          <w:p w14:paraId="51986658"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11912</w:t>
            </w:r>
          </w:p>
        </w:tc>
        <w:tc>
          <w:tcPr>
            <w:tcW w:w="1650" w:type="dxa"/>
            <w:shd w:val="clear" w:color="auto" w:fill="auto"/>
            <w:noWrap/>
            <w:hideMark/>
          </w:tcPr>
          <w:p w14:paraId="5E9B158F"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229 (1.9%)</w:t>
            </w:r>
          </w:p>
        </w:tc>
        <w:tc>
          <w:tcPr>
            <w:tcW w:w="1469" w:type="dxa"/>
            <w:shd w:val="clear" w:color="auto" w:fill="auto"/>
            <w:noWrap/>
            <w:hideMark/>
          </w:tcPr>
          <w:p w14:paraId="7E96F5BF"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4.9 (4.1-5.9)</w:t>
            </w:r>
          </w:p>
        </w:tc>
      </w:tr>
      <w:tr w:rsidR="00726D98" w:rsidRPr="00436841" w14:paraId="2A8524F3" w14:textId="77777777" w:rsidTr="002362A4">
        <w:trPr>
          <w:trHeight w:val="340"/>
        </w:trPr>
        <w:tc>
          <w:tcPr>
            <w:tcW w:w="1499" w:type="dxa"/>
            <w:shd w:val="clear" w:color="auto" w:fill="auto"/>
            <w:noWrap/>
            <w:hideMark/>
          </w:tcPr>
          <w:p w14:paraId="4A7A04A2" w14:textId="77777777" w:rsidR="0042155D" w:rsidRPr="00326C94"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 xml:space="preserve">Wu </w:t>
            </w:r>
            <w:r w:rsidRPr="00436841">
              <w:rPr>
                <w:rFonts w:ascii="Book Antiqua" w:hAnsi="Book Antiqua" w:cstheme="minorHAnsi"/>
                <w:i/>
                <w:iCs/>
                <w:color w:val="000000"/>
                <w:lang w:eastAsia="el-GR"/>
              </w:rPr>
              <w:t>et al</w:t>
            </w:r>
            <w:r w:rsidR="00DA7CC7" w:rsidRPr="00475777">
              <w:rPr>
                <w:rFonts w:ascii="Book Antiqua" w:hAnsi="Book Antiqua" w:cstheme="minorHAnsi"/>
                <w:color w:val="000000"/>
                <w:lang w:eastAsia="el-GR"/>
              </w:rPr>
              <w:fldChar w:fldCharType="begin" w:fldLock="1"/>
            </w:r>
            <w:r w:rsidR="00AE1AFA" w:rsidRPr="00436841">
              <w:rPr>
                <w:rFonts w:ascii="Book Antiqua" w:hAnsi="Book Antiqua" w:cstheme="minorHAnsi"/>
                <w:color w:val="000000"/>
                <w:lang w:eastAsia="el-GR"/>
              </w:rPr>
              <w:instrText>ADDIN CSL_CITATION {"citationItems":[{"id":"ITEM-1","itemData":{"DOI":"10.1016/j.humpath.2011.04.004","ISSN":"1532-8392","PMID":"21777950","abstract":"This study explored the importance of hepatitis B virus infection in cholangiocarcinoma pathogenesis in northern China. The clinical data of 66 patients with cholangiocarcinoma were analyzed. The hepatitis B virus gene was amplified using nested polymerase chain reaction, and the hepatitis B virus-related antigen was detected using immunohistochemistry in formalin-fixed, paraffin-embedded tissue from patients with intrahepatic cholangiocarcinoma (n = 23) and extrahepatic cholangiocarcinoma (n = 43). Hepatitis B surface antigen seropositivity was found in 52.2% (12/23) of intrahepatic cholangiocarcinoma cases and 13.9% (6/43) of extrahepatic cholangiocarcinoma cases. Hepatitis B virus DNA (X region) was detectable in 34.8% (8/23) of intrahepatic cholangiocarcinoma cases. Hepatitis B surface antigen and/or hepatitis B core antigen was detectable in 30.4% (7/23) of intrahepatic cholangiocarcinoma cases. All cases with detected viral protein were also positive for hepatitis B virus DNA. In contrast, no hepatitis B virus antigens or hepatitis B virus gene was detected in any of the 43 extrahepatic cholangiocarcinoma cases. Our findings strongly suggest that chronic hepatitis B virus infection is a significant risk factor for intrahepatic cholangiocarcinoma, but not for extrahepatic cholangiocarcinoma, in northern China. Hepatitis B virus infection is potentially independently associated with intrahepatic cholangiocarcinoma.","author":[{"dropping-particle":"","family":"Wu","given":"Yiqi","non-dropping-particle":"","parse-names":false,"suffix":""},{"dropping-particle":"","family":"Wang","given":"Tianzhen","non-dropping-particle":"","parse-names":false,"suffix":""},{"dropping-particle":"","family":"Ye","given":"Shengqian","non-dropping-particle":"","parse-names":false,"suffix":""},{"dropping-particle":"","family":"Zhao","given":"Ran","non-dropping-particle":"","parse-names":false,"suffix":""},{"dropping-particle":"","family":"Bai","given":"Xiaohui","non-dropping-particle":"","parse-names":false,"suffix":""},{"dropping-particle":"","family":"Wu","given":"Yingying","non-dropping-particle":"","parse-names":false,"suffix":""},{"dropping-particle":"","family":"Abe","given":"Kenji","non-dropping-particle":"","parse-names":false,"suffix":""},{"dropping-particle":"","family":"Jin","given":"Xiaoming","non-dropping-particle":"","parse-names":false,"suffix":""}],"container-title":"Human pathology","id":"ITEM-1","issue":"1","issued":{"date-parts":[["2012","1"]]},"page":"56-61","title":"Detection of hepatitis B virus DNA in paraffin-embedded intrahepatic and extrahepatic cholangiocarcinoma tissue in the northern Chinese population.","type":"article-journal","volume":"43"},"uris":["http://www.mendeley.com/documents/?uuid=94d1ce5b-bf2d-405f-aa4b-0ece868aab64"]}],"mendeley":{"formattedCitation":"&lt;sup&gt;[10]&lt;/sup&gt;","plainTextFormattedCitation":"[10]","previouslyFormattedCitation":"&lt;sup&gt;[10]&lt;/sup&gt;"},"properties":{"noteIndex":0},"schema":"https://github.com/citation-style-language/schema/raw/master/csl-citation.json"}</w:instrText>
            </w:r>
            <w:r w:rsidR="00DA7CC7" w:rsidRPr="00D866CC">
              <w:rPr>
                <w:rFonts w:ascii="Book Antiqua" w:hAnsi="Book Antiqua" w:cstheme="minorHAnsi"/>
                <w:color w:val="000000"/>
                <w:lang w:eastAsia="el-GR"/>
              </w:rPr>
              <w:fldChar w:fldCharType="separate"/>
            </w:r>
            <w:r w:rsidR="00AE1AFA" w:rsidRPr="00475777">
              <w:rPr>
                <w:rFonts w:ascii="Book Antiqua" w:hAnsi="Book Antiqua" w:cstheme="minorHAnsi"/>
                <w:noProof/>
                <w:color w:val="000000"/>
                <w:vertAlign w:val="superscript"/>
                <w:lang w:eastAsia="el-GR"/>
              </w:rPr>
              <w:t>[10]</w:t>
            </w:r>
            <w:r w:rsidR="00DA7CC7" w:rsidRPr="00475777">
              <w:rPr>
                <w:rFonts w:ascii="Book Antiqua" w:hAnsi="Book Antiqua" w:cstheme="minorHAnsi"/>
                <w:color w:val="000000"/>
                <w:lang w:eastAsia="el-GR"/>
              </w:rPr>
              <w:fldChar w:fldCharType="end"/>
            </w:r>
            <w:r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lastRenderedPageBreak/>
              <w:t>2012</w:t>
            </w:r>
          </w:p>
        </w:tc>
        <w:tc>
          <w:tcPr>
            <w:tcW w:w="968" w:type="dxa"/>
          </w:tcPr>
          <w:p w14:paraId="4610AA7F"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lastRenderedPageBreak/>
              <w:t>Case-</w:t>
            </w:r>
            <w:r w:rsidRPr="00436841">
              <w:rPr>
                <w:rFonts w:ascii="Book Antiqua" w:hAnsi="Book Antiqua" w:cstheme="minorHAnsi"/>
                <w:color w:val="000000"/>
                <w:lang w:eastAsia="el-GR"/>
              </w:rPr>
              <w:lastRenderedPageBreak/>
              <w:t>control</w:t>
            </w:r>
          </w:p>
        </w:tc>
        <w:tc>
          <w:tcPr>
            <w:tcW w:w="1013" w:type="dxa"/>
            <w:shd w:val="clear" w:color="auto" w:fill="auto"/>
            <w:noWrap/>
            <w:hideMark/>
          </w:tcPr>
          <w:p w14:paraId="0869A4BB"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lastRenderedPageBreak/>
              <w:t>China</w:t>
            </w:r>
          </w:p>
        </w:tc>
        <w:tc>
          <w:tcPr>
            <w:tcW w:w="843" w:type="dxa"/>
          </w:tcPr>
          <w:p w14:paraId="57E13E33"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2002-</w:t>
            </w:r>
            <w:r w:rsidRPr="00436841">
              <w:rPr>
                <w:rFonts w:ascii="Book Antiqua" w:hAnsi="Book Antiqua" w:cstheme="minorHAnsi"/>
                <w:color w:val="000000"/>
                <w:lang w:eastAsia="el-GR"/>
              </w:rPr>
              <w:lastRenderedPageBreak/>
              <w:t>2008</w:t>
            </w:r>
          </w:p>
        </w:tc>
        <w:tc>
          <w:tcPr>
            <w:tcW w:w="1390" w:type="dxa"/>
            <w:shd w:val="clear" w:color="auto" w:fill="auto"/>
            <w:noWrap/>
            <w:hideMark/>
          </w:tcPr>
          <w:p w14:paraId="771C0111"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lastRenderedPageBreak/>
              <w:t>Hospital</w:t>
            </w:r>
          </w:p>
        </w:tc>
        <w:tc>
          <w:tcPr>
            <w:tcW w:w="950" w:type="dxa"/>
            <w:shd w:val="clear" w:color="auto" w:fill="auto"/>
            <w:noWrap/>
            <w:hideMark/>
          </w:tcPr>
          <w:p w14:paraId="0861E184"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57.9</w:t>
            </w:r>
          </w:p>
        </w:tc>
        <w:tc>
          <w:tcPr>
            <w:tcW w:w="1043" w:type="dxa"/>
            <w:shd w:val="clear" w:color="auto" w:fill="auto"/>
            <w:noWrap/>
            <w:hideMark/>
          </w:tcPr>
          <w:p w14:paraId="2E152DA4"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62.1</w:t>
            </w:r>
          </w:p>
        </w:tc>
        <w:tc>
          <w:tcPr>
            <w:tcW w:w="941" w:type="dxa"/>
            <w:shd w:val="clear" w:color="auto" w:fill="auto"/>
            <w:noWrap/>
            <w:hideMark/>
          </w:tcPr>
          <w:p w14:paraId="7D84B841"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23</w:t>
            </w:r>
          </w:p>
        </w:tc>
        <w:tc>
          <w:tcPr>
            <w:tcW w:w="1752" w:type="dxa"/>
            <w:shd w:val="clear" w:color="auto" w:fill="auto"/>
            <w:noWrap/>
            <w:hideMark/>
          </w:tcPr>
          <w:p w14:paraId="679D80FC"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12 (52.2)</w:t>
            </w:r>
          </w:p>
        </w:tc>
        <w:tc>
          <w:tcPr>
            <w:tcW w:w="1701" w:type="dxa"/>
            <w:shd w:val="clear" w:color="auto" w:fill="auto"/>
            <w:noWrap/>
            <w:hideMark/>
          </w:tcPr>
          <w:p w14:paraId="206A28A1"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52</w:t>
            </w:r>
          </w:p>
        </w:tc>
        <w:tc>
          <w:tcPr>
            <w:tcW w:w="1650" w:type="dxa"/>
            <w:shd w:val="clear" w:color="auto" w:fill="auto"/>
            <w:noWrap/>
            <w:hideMark/>
          </w:tcPr>
          <w:p w14:paraId="23A55D3D"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2 (3.9%)</w:t>
            </w:r>
          </w:p>
        </w:tc>
        <w:tc>
          <w:tcPr>
            <w:tcW w:w="1469" w:type="dxa"/>
            <w:shd w:val="clear" w:color="auto" w:fill="auto"/>
            <w:noWrap/>
            <w:hideMark/>
          </w:tcPr>
          <w:p w14:paraId="19F6C235"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38.9 (7.52-</w:t>
            </w:r>
            <w:r w:rsidRPr="00436841">
              <w:rPr>
                <w:rFonts w:ascii="Book Antiqua" w:hAnsi="Book Antiqua" w:cstheme="minorHAnsi"/>
                <w:color w:val="000000"/>
                <w:lang w:eastAsia="el-GR"/>
              </w:rPr>
              <w:lastRenderedPageBreak/>
              <w:t>201.04)</w:t>
            </w:r>
          </w:p>
        </w:tc>
      </w:tr>
      <w:tr w:rsidR="00726D98" w:rsidRPr="00436841" w14:paraId="1B92879A" w14:textId="77777777" w:rsidTr="002362A4">
        <w:trPr>
          <w:trHeight w:val="340"/>
        </w:trPr>
        <w:tc>
          <w:tcPr>
            <w:tcW w:w="1499" w:type="dxa"/>
            <w:shd w:val="clear" w:color="auto" w:fill="auto"/>
            <w:noWrap/>
          </w:tcPr>
          <w:p w14:paraId="50E752DF"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lastRenderedPageBreak/>
              <w:t xml:space="preserve">Wu </w:t>
            </w:r>
            <w:r w:rsidRPr="00D866CC">
              <w:rPr>
                <w:rFonts w:ascii="Book Antiqua" w:hAnsi="Book Antiqua" w:cstheme="minorHAnsi"/>
                <w:i/>
                <w:iCs/>
                <w:color w:val="000000"/>
                <w:lang w:eastAsia="el-GR"/>
              </w:rPr>
              <w:t>et al</w:t>
            </w:r>
            <w:r w:rsidRPr="00D866CC">
              <w:rPr>
                <w:rFonts w:ascii="Book Antiqua" w:hAnsi="Book Antiqua" w:cstheme="minorHAnsi"/>
                <w:color w:val="000000"/>
                <w:lang w:eastAsia="el-GR"/>
              </w:rPr>
              <w:fldChar w:fldCharType="begin" w:fldLock="1"/>
            </w:r>
            <w:r w:rsidRPr="00D866CC">
              <w:rPr>
                <w:rFonts w:ascii="Book Antiqua" w:hAnsi="Book Antiqua" w:cstheme="minorHAnsi"/>
                <w:color w:val="000000"/>
                <w:lang w:eastAsia="el-GR"/>
              </w:rPr>
              <w:instrText>ADDIN CSL_CITATION {"citationItems":[{"id":"ITEM-1","itemData":{"DOI":"10.7314/apjcp.2012.13.5.1963","ISSN":"2476-762X (Electronic)","PMID":"22901155","abstract":"OBJECTIVES: Recent data show that the metabolic syndrome may play a role in several  cancers, but the etiology for biliary tract cancer is incompletely defined. The present aim was to evaluate risk factors for biliary tract cancer in China. METHODS: A case-control study in which cases were biliary tract cancer patients referred to Peking Union Medical College Hospital (PUMCH). Controls were randomly selected from an existing database of healthy individuals at the Health Screening Center of PUMCH. Data on the metabolic syndrome, liver diseases, family history, and history of diabetes and hypertension were collected by retrospective review of the patients' records and health examination reports or by interview. RESULTS: A total of 281 patients (102 intrahepatic cholangiocarcinoma (ICC), 86 extrahepatic cholangiocarcinoma (ECC) and 93 gallbladder carcinoma (GC)) and 835 age- and sex-matched controls were enrolled. HBsAg+/anti-HBc+ (P=0.002), history of diabetes (P=0.000), cholelithiasis (P=0.000), TC (P=0.003), and HDL (P=0.000) were significantly related to ICC. Cholelithiasis (P=0.000), Tri (P=0.001), LDL (P=0.000), diabetes (P=0.000), Apo A (P=0.000) and Apo B (P=0.012) were significantly associated with ECC. Diabetes (P=0.017), cholelithiasis (P=0.000) and Apo A (P=0.000) were strongly inversely correlated with GC. CONCLUSION: Cholelithiasis, HBV infection and metabolic symptoms may be potential risk factors for the development of biliary tract cancer.","author":[{"dropping-particle":"","family":"Wu","given":"Qiao","non-dropping-particle":"","parse-names":false,"suffix":""},{"dropping-particle":"","family":"He","given":"Xiao-Dong","non-dropping-particle":"","parse-names":false,"suffix":""},{"dropping-particle":"","family":"Yu","given":"Lan","non-dropping-particle":"","parse-names":false,"suffix":""},{"dropping-particle":"","family":"Liu","given":"Wei","non-dropping-particle":"","parse-names":false,"suffix":""},{"dropping-particle":"","family":"Tao","given":"Lian-Yuan","non-dropping-particle":"","parse-names":false,"suffix":""}],"container-title":"Asian Pacific journal of cancer prevention : APJCP","id":"ITEM-1","issue":"5","issued":{"date-parts":[["2012"]]},"language":"eng","page":"1963-1969","publisher-place":"Thailand","title":"The metabolic syndrome and risk factors for biliary tract cancer: a case-control  study in China.","type":"article-journal","volume":"13"},"uris":["http://www.mendeley.com/documents/?uuid=610d9970-bc49-4ab1-a510-744901dd6a3e","http://www.mendeley.com/documents/?uuid=5dd360b8-cb3f-4f90-83c0-9cd15f746815"]}],"mendeley":{"formattedCitation":"&lt;sup&gt;[11]&lt;/sup&gt;","plainTextFormattedCitation":"[11]","previouslyFormattedCitation":"&lt;sup&gt;[11]&lt;/sup&gt;"},"properties":{"noteIndex":0},"schema":"https://github.com/citation-style-language/schema/raw/master/csl-citation.json"}</w:instrText>
            </w:r>
            <w:r w:rsidRPr="00D866CC">
              <w:rPr>
                <w:rFonts w:ascii="Book Antiqua" w:hAnsi="Book Antiqua" w:cstheme="minorHAnsi"/>
                <w:color w:val="000000"/>
                <w:lang w:eastAsia="el-GR"/>
              </w:rPr>
              <w:fldChar w:fldCharType="separate"/>
            </w:r>
            <w:r w:rsidRPr="00D866CC">
              <w:rPr>
                <w:rFonts w:ascii="Book Antiqua" w:hAnsi="Book Antiqua" w:cstheme="minorHAnsi"/>
                <w:noProof/>
                <w:color w:val="000000"/>
                <w:vertAlign w:val="superscript"/>
                <w:lang w:eastAsia="el-GR"/>
              </w:rPr>
              <w:t>[11]</w:t>
            </w:r>
            <w:r w:rsidRPr="00D866CC">
              <w:rPr>
                <w:rFonts w:ascii="Book Antiqua" w:hAnsi="Book Antiqua" w:cstheme="minorHAnsi"/>
                <w:color w:val="000000"/>
                <w:lang w:eastAsia="el-GR"/>
              </w:rPr>
              <w:fldChar w:fldCharType="end"/>
            </w:r>
            <w:r w:rsidRPr="00D866CC">
              <w:rPr>
                <w:rFonts w:ascii="Book Antiqua" w:hAnsi="Book Antiqua" w:cstheme="minorHAnsi"/>
                <w:color w:val="000000"/>
                <w:lang w:eastAsia="el-GR"/>
              </w:rPr>
              <w:t xml:space="preserve">, 2012 </w:t>
            </w:r>
          </w:p>
        </w:tc>
        <w:tc>
          <w:tcPr>
            <w:tcW w:w="968" w:type="dxa"/>
          </w:tcPr>
          <w:p w14:paraId="5563119F"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Case-control</w:t>
            </w:r>
          </w:p>
        </w:tc>
        <w:tc>
          <w:tcPr>
            <w:tcW w:w="1013" w:type="dxa"/>
            <w:shd w:val="clear" w:color="auto" w:fill="auto"/>
            <w:noWrap/>
          </w:tcPr>
          <w:p w14:paraId="54A7EE15"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China</w:t>
            </w:r>
          </w:p>
        </w:tc>
        <w:tc>
          <w:tcPr>
            <w:tcW w:w="843" w:type="dxa"/>
          </w:tcPr>
          <w:p w14:paraId="496575FE"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1998-2010</w:t>
            </w:r>
          </w:p>
        </w:tc>
        <w:tc>
          <w:tcPr>
            <w:tcW w:w="1390" w:type="dxa"/>
            <w:shd w:val="clear" w:color="auto" w:fill="auto"/>
            <w:noWrap/>
          </w:tcPr>
          <w:p w14:paraId="546C6D5C"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Hospital</w:t>
            </w:r>
          </w:p>
        </w:tc>
        <w:tc>
          <w:tcPr>
            <w:tcW w:w="950" w:type="dxa"/>
            <w:shd w:val="clear" w:color="auto" w:fill="auto"/>
            <w:noWrap/>
          </w:tcPr>
          <w:p w14:paraId="5EAC4553"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58.7</w:t>
            </w:r>
          </w:p>
        </w:tc>
        <w:tc>
          <w:tcPr>
            <w:tcW w:w="1043" w:type="dxa"/>
            <w:shd w:val="clear" w:color="auto" w:fill="auto"/>
            <w:noWrap/>
          </w:tcPr>
          <w:p w14:paraId="11EC785E"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55.9</w:t>
            </w:r>
          </w:p>
        </w:tc>
        <w:tc>
          <w:tcPr>
            <w:tcW w:w="941" w:type="dxa"/>
            <w:shd w:val="clear" w:color="auto" w:fill="auto"/>
            <w:noWrap/>
          </w:tcPr>
          <w:p w14:paraId="37D26140"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102</w:t>
            </w:r>
          </w:p>
        </w:tc>
        <w:tc>
          <w:tcPr>
            <w:tcW w:w="1752" w:type="dxa"/>
            <w:shd w:val="clear" w:color="auto" w:fill="auto"/>
            <w:noWrap/>
          </w:tcPr>
          <w:p w14:paraId="1CE9A972"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28 (22.5)</w:t>
            </w:r>
          </w:p>
        </w:tc>
        <w:tc>
          <w:tcPr>
            <w:tcW w:w="1701" w:type="dxa"/>
            <w:shd w:val="clear" w:color="auto" w:fill="auto"/>
            <w:noWrap/>
          </w:tcPr>
          <w:p w14:paraId="4B16420C"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809</w:t>
            </w:r>
          </w:p>
        </w:tc>
        <w:tc>
          <w:tcPr>
            <w:tcW w:w="1650" w:type="dxa"/>
            <w:shd w:val="clear" w:color="auto" w:fill="auto"/>
            <w:noWrap/>
          </w:tcPr>
          <w:p w14:paraId="2FF092B6"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27 (3.3%)</w:t>
            </w:r>
          </w:p>
        </w:tc>
        <w:tc>
          <w:tcPr>
            <w:tcW w:w="1469" w:type="dxa"/>
            <w:shd w:val="clear" w:color="auto" w:fill="auto"/>
            <w:noWrap/>
          </w:tcPr>
          <w:p w14:paraId="3B392D7A"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10.52 (5.94-18.62)</w:t>
            </w:r>
          </w:p>
        </w:tc>
      </w:tr>
      <w:tr w:rsidR="00726D98" w:rsidRPr="00436841" w14:paraId="0CE4EAD8" w14:textId="77777777" w:rsidTr="002362A4">
        <w:trPr>
          <w:trHeight w:val="340"/>
        </w:trPr>
        <w:tc>
          <w:tcPr>
            <w:tcW w:w="1499" w:type="dxa"/>
            <w:shd w:val="clear" w:color="auto" w:fill="auto"/>
            <w:noWrap/>
            <w:hideMark/>
          </w:tcPr>
          <w:p w14:paraId="5F68D019" w14:textId="77777777" w:rsidR="0042155D" w:rsidRPr="00436841"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 xml:space="preserve">Peng </w:t>
            </w:r>
            <w:r w:rsidRPr="00D866CC">
              <w:rPr>
                <w:rFonts w:ascii="Book Antiqua" w:hAnsi="Book Antiqua" w:cstheme="minorHAnsi"/>
                <w:i/>
                <w:iCs/>
                <w:color w:val="000000"/>
                <w:lang w:eastAsia="el-GR"/>
              </w:rPr>
              <w:t>et al</w:t>
            </w:r>
            <w:r w:rsidRPr="00475777">
              <w:rPr>
                <w:rFonts w:ascii="Book Antiqua" w:hAnsi="Book Antiqua" w:cstheme="minorHAnsi"/>
                <w:color w:val="000000"/>
                <w:lang w:eastAsia="el-GR"/>
              </w:rPr>
              <w:fldChar w:fldCharType="begin" w:fldLock="1"/>
            </w:r>
            <w:r w:rsidRPr="00D866CC">
              <w:rPr>
                <w:rFonts w:ascii="Book Antiqua" w:hAnsi="Book Antiqua" w:cstheme="minorHAnsi"/>
                <w:color w:val="000000"/>
                <w:lang w:eastAsia="el-GR"/>
              </w:rPr>
              <w:instrText>ADDIN CSL_CITATION {"citationItems":[{"id":"ITEM-1","itemData":{"DOI":"10.1245/s10434-010-1458-5","ISSN":"1534-4681","PMID":"21207172","abstract":"BACKGROUND Recent efforts suggest an etiologic role of hepatitis B virus (HBV) infection in intrahepatic cholangiocarcinoma (ICC) and the involvement of hepatic progenitor cell in ICC development, without definitive conclusions. This case-control study was undertaken to investigate risk factors for ICC, and clinicopathological features of HBV-associated ICC were analyzed. METHODS The report comprised 98 patients with pathologically confirmed ICC and 196 healthy control subjects. Logistic regression was used to determine odds ratios and 95% confidence intervals. The sex and age distributions of HBV-related and unrelated ICC patients were compared respectively with those of 882 HBV-associated hepatocellular carcinoma patients from a random selection, and the clinicopathological data of 62 ICC patients with or without HBV infection undergoing surgical resection were compared. RESULTS There was an association between ICC and each of HBV infection, liver cirrhosis, hepatolithiasis, and liver fluke infestation with the odds ratios (95% confidence intervals) of 2.75 (1.27-5.95), 8.42 (2.50-28.37), 22.81 (7.16-72.68), and 3.55 (1.60-7.89), respectively, with a marked synergism of cirrhosis and HBV infection (20.67; 5.40-79.06). Compared with HBV-unrelated ICC patients, HBV-related ICC patients were more common in male and younger subjects, had a higher incidence of abnormal serum alfa-fetoprotein level, cirrhosis, and neutrophilic infiltration, and had a lower proportion of elevated carbohydrate antigen 19-9 (CA19-9) values. CONCLUSIONS The independent association of HBV infection with ICC, synergy between cirrhosis and HBV infection, and some clinicopathological similarities between HBV-related ICC and hepatocellular carcinoma suggests that both may share similar or common tumorigenic process and may possibly originate from malignant transformation of hepatic progenitor cell.","author":[{"dropping-particle":"","family":"Peng","given":"Ning-Fu","non-dropping-particle":"","parse-names":false,"suffix":""},{"dropping-particle":"","family":"Li","given":"Le-Qun","non-dropping-particle":"","parse-names":false,"suffix":""},{"dropping-particle":"","family":"Qin","given":"Xiao","non-dropping-particle":"","parse-names":false,"suffix":""},{"dropping-particle":"","family":"Guo","given":"Ya","non-dropping-particle":"","parse-names":false,"suffix":""},{"dropping-particle":"","family":"Peng","given":"Tao","non-dropping-particle":"","parse-names":false,"suffix":""},{"dropping-particle":"","family":"Xiao","given":"Kai-Yin","non-dropping-particle":"","parse-names":false,"suffix":""},{"dropping-particle":"","family":"Chen","given":"Xi-Gang","non-dropping-particle":"","parse-names":false,"suffix":""},{"dropping-particle":"","family":"Yang","given":"Yu-Feng","non-dropping-particle":"","parse-names":false,"suffix":""},{"dropping-particle":"","family":"Su","given":"Zhi-Xiong","non-dropping-particle":"","parse-names":false,"suffix":""},{"dropping-particle":"","family":"Chen","given":"Bin","non-dropping-particle":"","parse-names":false,"suffix":""},{"dropping-particle":"","family":"Su","given":"Ming","non-dropping-particle":"","parse-names":false,"suffix":""},{"dropping-particle":"","family":"Qi","given":"Lu-Nan","non-dropping-particle":"","parse-names":false,"suffix":""}],"container-title":"Annals of surgical oncology","id":"ITEM-1","issue":"5","issued":{"date-parts":[["2011","5"]]},"page":"1258-66","title":"Evaluation of risk factors and clinicopathologic features for intrahepatic cholangiocarcinoma in Southern China: a possible role of hepatitis B virus.","type":"article-journal","volume":"18"},"uris":["http://www.mendeley.com/documents/?uuid=58bd3752-7c02-4c4e-8112-439d441a4f26"]}],"mendeley":{"formattedCitation":"&lt;sup&gt;[12]&lt;/sup&gt;","plainTextFormattedCitation":"[12]","previouslyFormattedCitation":"&lt;sup&gt;[12]&lt;/sup&gt;"},"properties":{"noteIndex":0},"schema":"https://github.com/citation-style-language/schema/raw/master/csl-citation.json"}</w:instrText>
            </w:r>
            <w:r w:rsidRPr="00D866CC">
              <w:rPr>
                <w:rFonts w:ascii="Book Antiqua" w:hAnsi="Book Antiqua" w:cstheme="minorHAnsi"/>
                <w:color w:val="000000"/>
                <w:lang w:eastAsia="el-GR"/>
              </w:rPr>
              <w:fldChar w:fldCharType="separate"/>
            </w:r>
            <w:r w:rsidR="00D25B8E" w:rsidRPr="00475777">
              <w:rPr>
                <w:rFonts w:ascii="Book Antiqua" w:hAnsi="Book Antiqua" w:cstheme="minorHAnsi"/>
                <w:noProof/>
                <w:color w:val="000000"/>
                <w:vertAlign w:val="superscript"/>
                <w:lang w:eastAsia="el-GR"/>
              </w:rPr>
              <w:t>[12]</w:t>
            </w:r>
            <w:r w:rsidRPr="00475777">
              <w:rPr>
                <w:rFonts w:ascii="Book Antiqua" w:hAnsi="Book Antiqua" w:cstheme="minorHAnsi"/>
                <w:color w:val="000000"/>
                <w:lang w:eastAsia="el-GR"/>
              </w:rPr>
              <w:fldChar w:fldCharType="end"/>
            </w:r>
            <w:r w:rsidRPr="00D866CC">
              <w:rPr>
                <w:rFonts w:ascii="Book Antiqua" w:hAnsi="Book Antiqua" w:cstheme="minorHAnsi"/>
                <w:color w:val="000000"/>
                <w:lang w:eastAsia="el-GR"/>
              </w:rPr>
              <w:t>, 2011</w:t>
            </w:r>
          </w:p>
        </w:tc>
        <w:tc>
          <w:tcPr>
            <w:tcW w:w="968" w:type="dxa"/>
          </w:tcPr>
          <w:p w14:paraId="53042EEA" w14:textId="77777777" w:rsidR="0042155D" w:rsidRPr="00436841" w:rsidRDefault="0042155D" w:rsidP="00ED58D3">
            <w:pPr>
              <w:spacing w:line="360" w:lineRule="auto"/>
              <w:jc w:val="both"/>
              <w:rPr>
                <w:rFonts w:ascii="Book Antiqua" w:hAnsi="Book Antiqua" w:cstheme="minorHAnsi"/>
                <w:color w:val="000000"/>
                <w:lang w:eastAsia="el-GR"/>
              </w:rPr>
            </w:pPr>
            <w:r w:rsidRPr="00326C94">
              <w:rPr>
                <w:rFonts w:ascii="Book Antiqua" w:hAnsi="Book Antiqua" w:cstheme="minorHAnsi"/>
                <w:color w:val="000000"/>
                <w:lang w:eastAsia="el-GR"/>
              </w:rPr>
              <w:t>Case-control</w:t>
            </w:r>
          </w:p>
        </w:tc>
        <w:tc>
          <w:tcPr>
            <w:tcW w:w="1013" w:type="dxa"/>
            <w:shd w:val="clear" w:color="auto" w:fill="auto"/>
            <w:noWrap/>
            <w:hideMark/>
          </w:tcPr>
          <w:p w14:paraId="6288AD0F"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China</w:t>
            </w:r>
          </w:p>
        </w:tc>
        <w:tc>
          <w:tcPr>
            <w:tcW w:w="843" w:type="dxa"/>
          </w:tcPr>
          <w:p w14:paraId="3064016D"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2002-2009</w:t>
            </w:r>
          </w:p>
        </w:tc>
        <w:tc>
          <w:tcPr>
            <w:tcW w:w="1390" w:type="dxa"/>
            <w:shd w:val="clear" w:color="auto" w:fill="auto"/>
            <w:noWrap/>
            <w:hideMark/>
          </w:tcPr>
          <w:p w14:paraId="0797786F"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Hospital</w:t>
            </w:r>
          </w:p>
        </w:tc>
        <w:tc>
          <w:tcPr>
            <w:tcW w:w="950" w:type="dxa"/>
            <w:shd w:val="clear" w:color="auto" w:fill="auto"/>
            <w:noWrap/>
            <w:hideMark/>
          </w:tcPr>
          <w:p w14:paraId="58F3F8E3"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53.8</w:t>
            </w:r>
          </w:p>
        </w:tc>
        <w:tc>
          <w:tcPr>
            <w:tcW w:w="1043" w:type="dxa"/>
            <w:shd w:val="clear" w:color="auto" w:fill="auto"/>
            <w:noWrap/>
            <w:hideMark/>
          </w:tcPr>
          <w:p w14:paraId="22A01002"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60.2</w:t>
            </w:r>
          </w:p>
        </w:tc>
        <w:tc>
          <w:tcPr>
            <w:tcW w:w="941" w:type="dxa"/>
            <w:shd w:val="clear" w:color="auto" w:fill="auto"/>
            <w:noWrap/>
            <w:hideMark/>
          </w:tcPr>
          <w:p w14:paraId="7192D3A5"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98</w:t>
            </w:r>
          </w:p>
        </w:tc>
        <w:tc>
          <w:tcPr>
            <w:tcW w:w="1752" w:type="dxa"/>
            <w:shd w:val="clear" w:color="auto" w:fill="auto"/>
            <w:noWrap/>
            <w:hideMark/>
          </w:tcPr>
          <w:p w14:paraId="28CE669D"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31 (31.6)</w:t>
            </w:r>
          </w:p>
        </w:tc>
        <w:tc>
          <w:tcPr>
            <w:tcW w:w="1701" w:type="dxa"/>
            <w:shd w:val="clear" w:color="auto" w:fill="auto"/>
            <w:noWrap/>
            <w:hideMark/>
          </w:tcPr>
          <w:p w14:paraId="114370AD"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196</w:t>
            </w:r>
          </w:p>
        </w:tc>
        <w:tc>
          <w:tcPr>
            <w:tcW w:w="1650" w:type="dxa"/>
            <w:shd w:val="clear" w:color="auto" w:fill="auto"/>
            <w:noWrap/>
            <w:hideMark/>
          </w:tcPr>
          <w:p w14:paraId="634655F1"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25 (12.8%)</w:t>
            </w:r>
          </w:p>
        </w:tc>
        <w:tc>
          <w:tcPr>
            <w:tcW w:w="1469" w:type="dxa"/>
            <w:shd w:val="clear" w:color="auto" w:fill="auto"/>
            <w:noWrap/>
            <w:hideMark/>
          </w:tcPr>
          <w:p w14:paraId="1C5BE821"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2.75 (1.27-5.95)</w:t>
            </w:r>
          </w:p>
        </w:tc>
      </w:tr>
      <w:tr w:rsidR="00726D98" w:rsidRPr="00436841" w14:paraId="5876F7F9" w14:textId="77777777" w:rsidTr="002362A4">
        <w:trPr>
          <w:trHeight w:val="340"/>
        </w:trPr>
        <w:tc>
          <w:tcPr>
            <w:tcW w:w="1499" w:type="dxa"/>
            <w:shd w:val="clear" w:color="auto" w:fill="auto"/>
            <w:noWrap/>
            <w:hideMark/>
          </w:tcPr>
          <w:p w14:paraId="4512246E" w14:textId="77777777" w:rsidR="0042155D" w:rsidRPr="00475777"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 xml:space="preserve">Welzel </w:t>
            </w:r>
            <w:r w:rsidRPr="00436841">
              <w:rPr>
                <w:rFonts w:ascii="Book Antiqua" w:hAnsi="Book Antiqua" w:cstheme="minorHAnsi"/>
                <w:i/>
                <w:iCs/>
                <w:color w:val="000000"/>
                <w:lang w:eastAsia="el-GR"/>
              </w:rPr>
              <w:t>et al</w:t>
            </w:r>
            <w:r w:rsidR="00DA7CC7" w:rsidRPr="00475777">
              <w:rPr>
                <w:rFonts w:ascii="Book Antiqua" w:hAnsi="Book Antiqua" w:cstheme="minorHAnsi"/>
                <w:color w:val="000000"/>
                <w:lang w:eastAsia="el-GR"/>
              </w:rPr>
              <w:fldChar w:fldCharType="begin" w:fldLock="1"/>
            </w:r>
            <w:r w:rsidR="00D25B8E" w:rsidRPr="00436841">
              <w:rPr>
                <w:rFonts w:ascii="Book Antiqua" w:hAnsi="Book Antiqua" w:cstheme="minorHAnsi"/>
                <w:color w:val="000000"/>
                <w:lang w:eastAsia="el-GR"/>
              </w:rPr>
              <w:instrText>ADDIN CSL_CITATION {"citationItems":[{"id":"ITEM-1","itemData":{"DOI":"10.1002/hep.24397","ISSN":"1527-3350","PMID":"21538440","abstract":"UNLABELLED Incidence rates of hepatocellular carcinoma (HCC) and intrahepatic cholangiocarcinoma (ICC) have increased in the United States. Metabolic syndrome is recognized as a risk factor for HCC and a postulated one for ICC. The magnitude of risk, however, has not been investigated on a population level in the United States. We therefore examined the association between metabolic syndrome and the development of these cancers. All persons diagnosed with HCC and ICC between 1993 and 2005 were identified in the Surveillance, Epidemiology, and End Results (SEER)-Medicare database. For comparison, a 5% sample of individuals residing in the same regions as the SEER registries of the cases was selected. The prevalence of metabolic syndrome as defined by the U.S. National Cholesterol Education Program Adult Treatment Panel III criteria, and other risk factors for HCC (hepatitis B virus, hepatitis C virus, alcoholic liver disease, liver cirrhosis, biliary cirrhosis, hemochromatosis, Wilson's disease) and ICC (biliary cirrhosis, cholangitis, cholelithiasis, choledochal cysts, hepatitis B virus, hepatitis C virus, alcoholic liver disease, cirrhosis, inflammatory bowel disease) were compared among persons who developed cancer and those who did not. Logistic regression was used to calculate odds ratios and 95% confidence intervals. The inclusion criteria were met by 3649 HCC cases, 743 ICC cases, and 195,953 comparison persons. Metabolic syndrome was significantly more common among persons who developed HCC (37.1%) and ICC (29.7%) than the comparison group (17.1%, P&lt;0.0001). In adjusted multiple logistic regression analyses, metabolic syndrome remained significantly associated with increased risk of HCC (odds ratio=2.13; 95% confidence interval=1.96-2.31, P&lt;0.0001) and ICC (odds ratio=1.56; 95% confidence interval=1.32-1.83, P&lt;0.0001). CONCLUSION Metabolic syndrome is a significant risk factor for development of HCC and ICC in the general U.S. population.","author":[{"dropping-particle":"","family":"Welzel","given":"Tania M","non-dropping-particle":"","parse-names":false,"suffix":""},{"dropping-particle":"","family":"Graubard","given":"Barry I","non-dropping-particle":"","parse-names":false,"suffix":""},{"dropping-particle":"","family":"Zeuzem","given":"Stefan","non-dropping-particle":"","parse-names":false,"suffix":""},{"dropping-particle":"","family":"El-Serag","given":"Hashem B","non-dropping-particle":"","parse-names":false,"suffix":""},{"dropping-particle":"","family":"Davila","given":"Jessica A","non-dropping-particle":"","parse-names":false,"suffix":""},{"dropping-particle":"","family":"McGlynn","given":"Katherine A","non-dropping-particle":"","parse-names":false,"suffix":""}],"container-title":"Hepatology (Baltimore, Md.)","id":"ITEM-1","issue":"2","issued":{"date-parts":[["2011","8"]]},"page":"463-71","title":"Metabolic syndrome increases the risk of primary liver cancer in the United States: a study in the SEER-Medicare database.","type":"article-journal","volume":"54"},"uris":["http://www.mendeley.com/documents/?uuid=751fe13e-daa2-47bf-81ae-0e45ae7a15c2"]}],"mendeley":{"formattedCitation":"&lt;sup&gt;[13]&lt;/sup&gt;","plainTextFormattedCitation":"[13]","previouslyFormattedCitation":"&lt;sup&gt;[13]&lt;/sup&gt;"},"properties":{"noteIndex":0},"schema":"https://github.com/citation-style-language/schema/raw/master/csl-citation.json"}</w:instrText>
            </w:r>
            <w:r w:rsidR="00DA7CC7" w:rsidRPr="00D866CC">
              <w:rPr>
                <w:rFonts w:ascii="Book Antiqua" w:hAnsi="Book Antiqua" w:cstheme="minorHAnsi"/>
                <w:color w:val="000000"/>
                <w:lang w:eastAsia="el-GR"/>
              </w:rPr>
              <w:fldChar w:fldCharType="separate"/>
            </w:r>
            <w:r w:rsidR="00D25B8E" w:rsidRPr="00475777">
              <w:rPr>
                <w:rFonts w:ascii="Book Antiqua" w:hAnsi="Book Antiqua" w:cstheme="minorHAnsi"/>
                <w:noProof/>
                <w:color w:val="000000"/>
                <w:vertAlign w:val="superscript"/>
                <w:lang w:eastAsia="el-GR"/>
              </w:rPr>
              <w:t>[13]</w:t>
            </w:r>
            <w:r w:rsidR="00DA7CC7" w:rsidRPr="00475777">
              <w:rPr>
                <w:rFonts w:ascii="Book Antiqua" w:hAnsi="Book Antiqua" w:cstheme="minorHAnsi"/>
                <w:color w:val="000000"/>
                <w:lang w:eastAsia="el-GR"/>
              </w:rPr>
              <w:fldChar w:fldCharType="end"/>
            </w:r>
            <w:r w:rsidRPr="00436841">
              <w:rPr>
                <w:rFonts w:ascii="Book Antiqua" w:hAnsi="Book Antiqua" w:cstheme="minorHAnsi"/>
                <w:color w:val="000000"/>
                <w:lang w:eastAsia="el-GR"/>
              </w:rPr>
              <w:t>, 2011</w:t>
            </w:r>
          </w:p>
        </w:tc>
        <w:tc>
          <w:tcPr>
            <w:tcW w:w="968" w:type="dxa"/>
          </w:tcPr>
          <w:p w14:paraId="640C6022" w14:textId="77777777" w:rsidR="0042155D" w:rsidRPr="00436841" w:rsidRDefault="0042155D" w:rsidP="00ED58D3">
            <w:pPr>
              <w:spacing w:line="360" w:lineRule="auto"/>
              <w:jc w:val="both"/>
              <w:rPr>
                <w:rFonts w:ascii="Book Antiqua" w:hAnsi="Book Antiqua" w:cstheme="minorHAnsi"/>
                <w:color w:val="000000"/>
                <w:lang w:eastAsia="el-GR"/>
              </w:rPr>
            </w:pPr>
            <w:r w:rsidRPr="00326C94">
              <w:rPr>
                <w:rFonts w:ascii="Book Antiqua" w:hAnsi="Book Antiqua" w:cstheme="minorHAnsi"/>
                <w:color w:val="000000"/>
                <w:lang w:eastAsia="el-GR"/>
              </w:rPr>
              <w:t>Case-control</w:t>
            </w:r>
          </w:p>
        </w:tc>
        <w:tc>
          <w:tcPr>
            <w:tcW w:w="1013" w:type="dxa"/>
            <w:shd w:val="clear" w:color="auto" w:fill="auto"/>
            <w:noWrap/>
            <w:hideMark/>
          </w:tcPr>
          <w:p w14:paraId="49D0DFD4"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U</w:t>
            </w:r>
            <w:r w:rsidR="00D25B8E" w:rsidRPr="00436841">
              <w:rPr>
                <w:rFonts w:ascii="Book Antiqua" w:hAnsi="Book Antiqua" w:cstheme="minorHAnsi"/>
                <w:color w:val="000000"/>
                <w:lang w:eastAsia="el-GR"/>
              </w:rPr>
              <w:t>nited States</w:t>
            </w:r>
          </w:p>
        </w:tc>
        <w:tc>
          <w:tcPr>
            <w:tcW w:w="843" w:type="dxa"/>
          </w:tcPr>
          <w:p w14:paraId="6D279BEF"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1994-2005</w:t>
            </w:r>
          </w:p>
        </w:tc>
        <w:tc>
          <w:tcPr>
            <w:tcW w:w="1390" w:type="dxa"/>
            <w:shd w:val="clear" w:color="auto" w:fill="auto"/>
            <w:noWrap/>
            <w:hideMark/>
          </w:tcPr>
          <w:p w14:paraId="23960A73"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Population</w:t>
            </w:r>
          </w:p>
        </w:tc>
        <w:tc>
          <w:tcPr>
            <w:tcW w:w="950" w:type="dxa"/>
            <w:shd w:val="clear" w:color="auto" w:fill="auto"/>
            <w:noWrap/>
            <w:hideMark/>
          </w:tcPr>
          <w:p w14:paraId="4E1BA389"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76.4</w:t>
            </w:r>
          </w:p>
        </w:tc>
        <w:tc>
          <w:tcPr>
            <w:tcW w:w="1043" w:type="dxa"/>
            <w:shd w:val="clear" w:color="auto" w:fill="auto"/>
            <w:noWrap/>
            <w:hideMark/>
          </w:tcPr>
          <w:p w14:paraId="155D9CBC"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52.5</w:t>
            </w:r>
          </w:p>
        </w:tc>
        <w:tc>
          <w:tcPr>
            <w:tcW w:w="941" w:type="dxa"/>
            <w:shd w:val="clear" w:color="auto" w:fill="auto"/>
            <w:noWrap/>
            <w:hideMark/>
          </w:tcPr>
          <w:p w14:paraId="4352833B"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743</w:t>
            </w:r>
          </w:p>
        </w:tc>
        <w:tc>
          <w:tcPr>
            <w:tcW w:w="1752" w:type="dxa"/>
            <w:shd w:val="clear" w:color="auto" w:fill="auto"/>
            <w:noWrap/>
            <w:hideMark/>
          </w:tcPr>
          <w:p w14:paraId="4F814B58"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11 (1.5)</w:t>
            </w:r>
          </w:p>
        </w:tc>
        <w:tc>
          <w:tcPr>
            <w:tcW w:w="1701" w:type="dxa"/>
            <w:shd w:val="clear" w:color="auto" w:fill="auto"/>
            <w:noWrap/>
            <w:hideMark/>
          </w:tcPr>
          <w:p w14:paraId="2E3451CD"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195953</w:t>
            </w:r>
          </w:p>
        </w:tc>
        <w:tc>
          <w:tcPr>
            <w:tcW w:w="1650" w:type="dxa"/>
            <w:shd w:val="clear" w:color="auto" w:fill="auto"/>
            <w:noWrap/>
            <w:hideMark/>
          </w:tcPr>
          <w:p w14:paraId="2832EF5B"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442 (0.2%)</w:t>
            </w:r>
          </w:p>
        </w:tc>
        <w:tc>
          <w:tcPr>
            <w:tcW w:w="1469" w:type="dxa"/>
            <w:shd w:val="clear" w:color="auto" w:fill="auto"/>
            <w:noWrap/>
            <w:hideMark/>
          </w:tcPr>
          <w:p w14:paraId="45152D48"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3.07 (1.43-6.58)</w:t>
            </w:r>
          </w:p>
        </w:tc>
      </w:tr>
      <w:tr w:rsidR="00726D98" w:rsidRPr="00436841" w14:paraId="10FB4063" w14:textId="77777777" w:rsidTr="002362A4">
        <w:trPr>
          <w:trHeight w:val="340"/>
        </w:trPr>
        <w:tc>
          <w:tcPr>
            <w:tcW w:w="1499" w:type="dxa"/>
            <w:shd w:val="clear" w:color="auto" w:fill="auto"/>
            <w:noWrap/>
            <w:hideMark/>
          </w:tcPr>
          <w:p w14:paraId="6713FCF9" w14:textId="77777777" w:rsidR="0042155D" w:rsidRPr="00326C94"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 xml:space="preserve">Tao </w:t>
            </w:r>
            <w:r w:rsidRPr="00436841">
              <w:rPr>
                <w:rFonts w:ascii="Book Antiqua" w:hAnsi="Book Antiqua" w:cstheme="minorHAnsi"/>
                <w:i/>
                <w:iCs/>
                <w:color w:val="000000"/>
                <w:lang w:eastAsia="el-GR"/>
              </w:rPr>
              <w:t>et al</w:t>
            </w:r>
            <w:r w:rsidR="00DA7CC7" w:rsidRPr="00475777">
              <w:rPr>
                <w:rFonts w:ascii="Book Antiqua" w:hAnsi="Book Antiqua" w:cstheme="minorHAnsi"/>
                <w:color w:val="000000"/>
                <w:lang w:eastAsia="el-GR"/>
              </w:rPr>
              <w:fldChar w:fldCharType="begin" w:fldLock="1"/>
            </w:r>
            <w:r w:rsidR="00D25B8E" w:rsidRPr="00436841">
              <w:rPr>
                <w:rFonts w:ascii="Book Antiqua" w:hAnsi="Book Antiqua" w:cstheme="minorHAnsi"/>
                <w:color w:val="000000"/>
                <w:lang w:eastAsia="el-GR"/>
              </w:rPr>
              <w:instrText>ADDIN CSL_CITATION {"citationItems":[{"id":"ITEM-1","itemData":{"DOI":"10.1111/j.1478-3231.2009.02149.x","ISSN":"1478-3231","PMID":"19840244","abstract":"BACKGROUND/AIMS The risk factors for cholangiocarcinoma are incompletely defined in China, especially for intrahepatic cholangiocarcinoma (ICC). We evaluated the risk factors for both ICC and extrahepatic cholangiocarcinoma (ECC). METHODS A case-control study in which cases were cholangiocarcinoma patients referred to Peking Union Medical College Hospital (PUMCH) between 1998 and 2008 and controls were healthy individuals. Controls were randomly selected from an existing database of healthy individuals at the Health Screening Center of PUMCH. Data on liver disease, family history, diabetes, smoking and drinking were collected by a retrospective review of the patients' records and health examination reports or by interview. RESULTS A total of 190 patients (61 ICC; 129 ECC) and 380 age- and sex-matched controls were enrolled. HBsAg (P&lt;0.001) and anti-HBc without HBsAg (P=0.001) were significantly related to ICC. The adjusted odds ratios (OR) and 95% confidence intervals (CI) were 18.1 (95% CI: 7.5-44.0) and 3.6 (95% CI: 1.7-7.6) respectively. Diabetes mellitus (P=0.007), cholecystolithiasis (P=0.004) and previous cholecystectomy (P&lt;0.001) were significantly associated with ECC. The prevalence of cirrhosis was higher in ICC than that in ECC (P&lt;0.001). Furthermore, on excluding the ICC patients with cirrhosis, ICC patients showed significant independent associations with HBsAg (OR: 7.3; 95% CI: 3.1-17.2) and anti-HBc without HBsAg (OR: 2.4; 95% CI: 1.1-5.2). CONCLUSION Cirrhosis and chronic hepatitis B virus infection are risk factors for ICC, while cholecystolithiasis, diabetes and previous cholecystectomy are risk factors for ECC.","author":[{"dropping-particle":"","family":"Tao","given":"Lian-Yuan","non-dropping-particle":"","parse-names":false,"suffix":""},{"dropping-particle":"","family":"He","given":"Xiao-Dong","non-dropping-particle":"","parse-names":false,"suffix":""},{"dropping-particle":"","family":"Qu","given":"Qiang","non-dropping-particle":"","parse-names":false,"suffix":""},{"dropping-particle":"","family":"Cai","given":"Lei","non-dropping-particle":"","parse-names":false,"suffix":""},{"dropping-particle":"","family":"Liu","given":"Wei","non-dropping-particle":"","parse-names":false,"suffix":""},{"dropping-particle":"","family":"Zhou","given":"Li","non-dropping-particle":"","parse-names":false,"suffix":""},{"dropping-particle":"","family":"Zhang","given":"Shang-Ming","non-dropping-particle":"","parse-names":false,"suffix":""}],"container-title":"Liver international : official journal of the International Association for the Study of the Liver","id":"ITEM-1","issue":"2","issued":{"date-parts":[["2010","2"]]},"page":"215-21","title":"Risk factors for intrahepatic and extrahepatic cholangiocarcinoma: a case-control study in China.","type":"article-journal","volume":"30"},"uris":["http://www.mendeley.com/documents/?uuid=cdb8471f-70cb-4b01-a57f-960d38cd0488"]}],"mendeley":{"formattedCitation":"&lt;sup&gt;[14]&lt;/sup&gt;","plainTextFormattedCitation":"[14]","previouslyFormattedCitation":"&lt;sup&gt;[14]&lt;/sup&gt;"},"properties":{"noteIndex":0},"schema":"https://github.com/citation-style-language/schema/raw/master/csl-citation.json"}</w:instrText>
            </w:r>
            <w:r w:rsidR="00DA7CC7" w:rsidRPr="00D866CC">
              <w:rPr>
                <w:rFonts w:ascii="Book Antiqua" w:hAnsi="Book Antiqua" w:cstheme="minorHAnsi"/>
                <w:color w:val="000000"/>
                <w:lang w:eastAsia="el-GR"/>
              </w:rPr>
              <w:fldChar w:fldCharType="separate"/>
            </w:r>
            <w:r w:rsidR="00D25B8E" w:rsidRPr="00475777">
              <w:rPr>
                <w:rFonts w:ascii="Book Antiqua" w:hAnsi="Book Antiqua" w:cstheme="minorHAnsi"/>
                <w:noProof/>
                <w:color w:val="000000"/>
                <w:vertAlign w:val="superscript"/>
                <w:lang w:eastAsia="el-GR"/>
              </w:rPr>
              <w:t>[14]</w:t>
            </w:r>
            <w:r w:rsidR="00DA7CC7" w:rsidRPr="00475777">
              <w:rPr>
                <w:rFonts w:ascii="Book Antiqua" w:hAnsi="Book Antiqua" w:cstheme="minorHAnsi"/>
                <w:color w:val="000000"/>
                <w:lang w:eastAsia="el-GR"/>
              </w:rPr>
              <w:fldChar w:fldCharType="end"/>
            </w:r>
            <w:r w:rsidRPr="00436841">
              <w:rPr>
                <w:rFonts w:ascii="Book Antiqua" w:hAnsi="Book Antiqua" w:cstheme="minorHAnsi"/>
                <w:color w:val="000000"/>
                <w:lang w:eastAsia="el-GR"/>
              </w:rPr>
              <w:t>, 2010</w:t>
            </w:r>
          </w:p>
        </w:tc>
        <w:tc>
          <w:tcPr>
            <w:tcW w:w="968" w:type="dxa"/>
          </w:tcPr>
          <w:p w14:paraId="04DCBD6B"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Case-control</w:t>
            </w:r>
          </w:p>
        </w:tc>
        <w:tc>
          <w:tcPr>
            <w:tcW w:w="1013" w:type="dxa"/>
            <w:shd w:val="clear" w:color="auto" w:fill="auto"/>
            <w:noWrap/>
            <w:hideMark/>
          </w:tcPr>
          <w:p w14:paraId="235B66FF"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China</w:t>
            </w:r>
          </w:p>
        </w:tc>
        <w:tc>
          <w:tcPr>
            <w:tcW w:w="843" w:type="dxa"/>
          </w:tcPr>
          <w:p w14:paraId="048B162A"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1998-2008</w:t>
            </w:r>
          </w:p>
        </w:tc>
        <w:tc>
          <w:tcPr>
            <w:tcW w:w="1390" w:type="dxa"/>
            <w:shd w:val="clear" w:color="auto" w:fill="auto"/>
            <w:noWrap/>
            <w:hideMark/>
          </w:tcPr>
          <w:p w14:paraId="66DDEE58"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Hospital</w:t>
            </w:r>
          </w:p>
        </w:tc>
        <w:tc>
          <w:tcPr>
            <w:tcW w:w="950" w:type="dxa"/>
            <w:shd w:val="clear" w:color="auto" w:fill="auto"/>
            <w:noWrap/>
            <w:hideMark/>
          </w:tcPr>
          <w:p w14:paraId="6B0DA2CC"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58.7</w:t>
            </w:r>
          </w:p>
        </w:tc>
        <w:tc>
          <w:tcPr>
            <w:tcW w:w="1043" w:type="dxa"/>
            <w:shd w:val="clear" w:color="auto" w:fill="auto"/>
            <w:noWrap/>
            <w:hideMark/>
          </w:tcPr>
          <w:p w14:paraId="052B5D7B"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60.7</w:t>
            </w:r>
          </w:p>
        </w:tc>
        <w:tc>
          <w:tcPr>
            <w:tcW w:w="941" w:type="dxa"/>
            <w:shd w:val="clear" w:color="auto" w:fill="auto"/>
            <w:noWrap/>
            <w:hideMark/>
          </w:tcPr>
          <w:p w14:paraId="6BADE46A"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61</w:t>
            </w:r>
          </w:p>
        </w:tc>
        <w:tc>
          <w:tcPr>
            <w:tcW w:w="1752" w:type="dxa"/>
            <w:shd w:val="clear" w:color="auto" w:fill="auto"/>
            <w:noWrap/>
            <w:hideMark/>
          </w:tcPr>
          <w:p w14:paraId="0920A136"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17 (27.9)</w:t>
            </w:r>
          </w:p>
        </w:tc>
        <w:tc>
          <w:tcPr>
            <w:tcW w:w="1701" w:type="dxa"/>
            <w:shd w:val="clear" w:color="auto" w:fill="auto"/>
            <w:noWrap/>
            <w:hideMark/>
          </w:tcPr>
          <w:p w14:paraId="43D53AE8"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380</w:t>
            </w:r>
          </w:p>
        </w:tc>
        <w:tc>
          <w:tcPr>
            <w:tcW w:w="1650" w:type="dxa"/>
            <w:shd w:val="clear" w:color="auto" w:fill="auto"/>
            <w:noWrap/>
            <w:hideMark/>
          </w:tcPr>
          <w:p w14:paraId="6641A926"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19 (5.0%)</w:t>
            </w:r>
          </w:p>
        </w:tc>
        <w:tc>
          <w:tcPr>
            <w:tcW w:w="1469" w:type="dxa"/>
            <w:shd w:val="clear" w:color="auto" w:fill="auto"/>
            <w:noWrap/>
            <w:hideMark/>
          </w:tcPr>
          <w:p w14:paraId="000312F7"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7.3 (3.1-17.2)</w:t>
            </w:r>
          </w:p>
        </w:tc>
      </w:tr>
      <w:tr w:rsidR="00726D98" w:rsidRPr="00436841" w14:paraId="44B7F2CF" w14:textId="77777777" w:rsidTr="002362A4">
        <w:trPr>
          <w:trHeight w:val="340"/>
        </w:trPr>
        <w:tc>
          <w:tcPr>
            <w:tcW w:w="1499" w:type="dxa"/>
            <w:shd w:val="clear" w:color="auto" w:fill="auto"/>
            <w:noWrap/>
            <w:hideMark/>
          </w:tcPr>
          <w:p w14:paraId="11E1C15A" w14:textId="77777777" w:rsidR="0042155D" w:rsidRPr="00475777"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 xml:space="preserve">Zhou </w:t>
            </w:r>
            <w:r w:rsidRPr="00436841">
              <w:rPr>
                <w:rFonts w:ascii="Book Antiqua" w:hAnsi="Book Antiqua" w:cstheme="minorHAnsi"/>
                <w:i/>
                <w:iCs/>
                <w:color w:val="000000"/>
                <w:lang w:eastAsia="el-GR"/>
              </w:rPr>
              <w:t>et al</w:t>
            </w:r>
            <w:r w:rsidR="00DA7CC7" w:rsidRPr="00475777">
              <w:rPr>
                <w:rFonts w:ascii="Book Antiqua" w:hAnsi="Book Antiqua" w:cstheme="minorHAnsi"/>
                <w:color w:val="000000"/>
                <w:lang w:eastAsia="el-GR"/>
              </w:rPr>
              <w:fldChar w:fldCharType="begin" w:fldLock="1"/>
            </w:r>
            <w:r w:rsidR="00D25B8E" w:rsidRPr="00436841">
              <w:rPr>
                <w:rFonts w:ascii="Book Antiqua" w:hAnsi="Book Antiqua" w:cstheme="minorHAnsi"/>
                <w:color w:val="000000"/>
                <w:lang w:eastAsia="el-GR"/>
              </w:rPr>
              <w:instrText>ADDIN CSL_CITATION {"citationItems":[{"id":"ITEM-1","itemData":{"DOI":"10.3748/wjg.v16.i7.881","ISSN":"2219-2840 (Electronic)","PMID":"20143468","abstract":"AIM: To investigate the prevalence, risk factors, and clinicopathologic characteristics of intrahepatic cholangiocarcinoma (ICC) in young patients. METHODS: A retrospective analysis was performed in ICC patients referred to the Eastern Hepatobiliary Surgery Hospital in Shanghai, China. Among 317 consecutively enrolled patients, 40 patients were aged &lt;or= 40 years (12.61%). We compared the risk factors and clinicopathologic characteristics of these patients (group I: n = 40) with those aged &gt; 40 years (group II: n = 277). RESULTS: Group I had distinct features compared with group II, including a low frequency of hepatolithiasis (P = 0.000); a high positive rate of serum hepatitis B surface antigen (P = 0.000) and hepatitis B virus (HBV)-associated cirrhosis (P = 0.038); a high frequency of alpha-fetoprotein (&gt; 400 microg/L) (P = 0.011); a low frequency of carbohydrate antigen 19-9 (&gt; 37 U/mL) (P = 0.017); and a high frequency of liver histological inflammation (P = 0.002). Although there was no significant difference between the two groups in regards to hepatic schistosomiasis, alcohol-associated cirrhosis and cirrhosis due to other causes (P &gt; 0.05), they only occurred in the elderly group. CONCLUSION: The risk factors are significantly different between young and elderly ICC patients. HBV and HBV-associated cirrhosis are the most important risk factors for young ICC patients.","author":[{"dropping-particle":"","family":"Zhou","given":"Hua-Bang","non-dropping-particle":"","parse-names":false,"suffix":""},{"dropping-particle":"","family":"Wang","given":"Hui","non-dropping-particle":"","parse-names":false,"suffix":""},{"dropping-particle":"","family":"Zhou","given":"Dong-Xun","non-dropping-particle":"","parse-names":false,"suffix":""},{"dropping-particle":"","family":"Wang","given":"Hao","non-dropping-particle":"","parse-names":false,"suffix":""},{"dropping-particle":"","family":"Wang","given":"Qing","non-dropping-particle":"","parse-names":false,"suffix":""},{"dropping-particle":"","family":"Zou","given":"Shan-Shan","non-dropping-particle":"","parse-names":false,"suffix":""},{"dropping-particle":"","family":"Hu","given":"He-Ping","non-dropping-particle":"","parse-names":false,"suffix":""}],"container-title":"World journal of gastroenterology","id":"ITEM-1","issue":"7","issued":{"date-parts":[["2010","2"]]},"language":"eng","page":"881-885","title":"Etiological and clinicopathologic characteristics of intrahepatic cholangiocarcinoma in young patients.","type":"article-journal","volume":"16"},"uris":["http://www.mendeley.com/documents/?uuid=0e9c631e-26f0-4848-82fd-fb6fa9202d4b","http://www.mendeley.com/documents/?uuid=b3cebe84-b07d-4de1-aef7-89e6f9e00130"]}],"mendeley":{"formattedCitation":"&lt;sup&gt;[15]&lt;/sup&gt;","plainTextFormattedCitation":"[15]","previouslyFormattedCitation":"&lt;sup&gt;[15]&lt;/sup&gt;"},"properties":{"noteIndex":0},"schema":"https://github.com/citation-style-language/schema/raw/master/csl-citation.json"}</w:instrText>
            </w:r>
            <w:r w:rsidR="00DA7CC7" w:rsidRPr="00D866CC">
              <w:rPr>
                <w:rFonts w:ascii="Book Antiqua" w:hAnsi="Book Antiqua" w:cstheme="minorHAnsi"/>
                <w:color w:val="000000"/>
                <w:lang w:eastAsia="el-GR"/>
              </w:rPr>
              <w:fldChar w:fldCharType="separate"/>
            </w:r>
            <w:r w:rsidR="00D25B8E" w:rsidRPr="00475777">
              <w:rPr>
                <w:rFonts w:ascii="Book Antiqua" w:hAnsi="Book Antiqua" w:cstheme="minorHAnsi"/>
                <w:noProof/>
                <w:color w:val="000000"/>
                <w:vertAlign w:val="superscript"/>
                <w:lang w:eastAsia="el-GR"/>
              </w:rPr>
              <w:t>[15]</w:t>
            </w:r>
            <w:r w:rsidR="00DA7CC7" w:rsidRPr="00475777">
              <w:rPr>
                <w:rFonts w:ascii="Book Antiqua" w:hAnsi="Book Antiqua" w:cstheme="minorHAnsi"/>
                <w:color w:val="000000"/>
                <w:lang w:eastAsia="el-GR"/>
              </w:rPr>
              <w:fldChar w:fldCharType="end"/>
            </w:r>
            <w:r w:rsidRPr="00436841">
              <w:rPr>
                <w:rFonts w:ascii="Book Antiqua" w:hAnsi="Book Antiqua" w:cstheme="minorHAnsi"/>
                <w:color w:val="000000"/>
                <w:lang w:eastAsia="el-GR"/>
              </w:rPr>
              <w:t>, 2010</w:t>
            </w:r>
          </w:p>
        </w:tc>
        <w:tc>
          <w:tcPr>
            <w:tcW w:w="968" w:type="dxa"/>
          </w:tcPr>
          <w:p w14:paraId="1CC36184" w14:textId="77777777" w:rsidR="0042155D" w:rsidRPr="00436841" w:rsidRDefault="0042155D" w:rsidP="00ED58D3">
            <w:pPr>
              <w:spacing w:line="360" w:lineRule="auto"/>
              <w:jc w:val="both"/>
              <w:rPr>
                <w:rFonts w:ascii="Book Antiqua" w:hAnsi="Book Antiqua" w:cstheme="minorHAnsi"/>
                <w:color w:val="000000"/>
                <w:lang w:eastAsia="el-GR"/>
              </w:rPr>
            </w:pPr>
            <w:r w:rsidRPr="00326C94">
              <w:rPr>
                <w:rFonts w:ascii="Book Antiqua" w:hAnsi="Book Antiqua" w:cstheme="minorHAnsi"/>
                <w:color w:val="000000"/>
                <w:lang w:eastAsia="el-GR"/>
              </w:rPr>
              <w:t>Case-control</w:t>
            </w:r>
          </w:p>
        </w:tc>
        <w:tc>
          <w:tcPr>
            <w:tcW w:w="1013" w:type="dxa"/>
            <w:shd w:val="clear" w:color="auto" w:fill="auto"/>
            <w:noWrap/>
            <w:hideMark/>
          </w:tcPr>
          <w:p w14:paraId="0E80CF8C"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China</w:t>
            </w:r>
          </w:p>
        </w:tc>
        <w:tc>
          <w:tcPr>
            <w:tcW w:w="843" w:type="dxa"/>
          </w:tcPr>
          <w:p w14:paraId="7EA6EDBB"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2003-2006</w:t>
            </w:r>
          </w:p>
        </w:tc>
        <w:tc>
          <w:tcPr>
            <w:tcW w:w="1390" w:type="dxa"/>
            <w:shd w:val="clear" w:color="auto" w:fill="auto"/>
            <w:noWrap/>
            <w:hideMark/>
          </w:tcPr>
          <w:p w14:paraId="64FB2C82"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Hospital</w:t>
            </w:r>
          </w:p>
        </w:tc>
        <w:tc>
          <w:tcPr>
            <w:tcW w:w="950" w:type="dxa"/>
            <w:shd w:val="clear" w:color="auto" w:fill="auto"/>
            <w:noWrap/>
            <w:hideMark/>
          </w:tcPr>
          <w:p w14:paraId="12E76C58"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53.1</w:t>
            </w:r>
          </w:p>
        </w:tc>
        <w:tc>
          <w:tcPr>
            <w:tcW w:w="1043" w:type="dxa"/>
            <w:shd w:val="clear" w:color="auto" w:fill="auto"/>
            <w:noWrap/>
            <w:hideMark/>
          </w:tcPr>
          <w:p w14:paraId="53341BC6"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70.3</w:t>
            </w:r>
          </w:p>
        </w:tc>
        <w:tc>
          <w:tcPr>
            <w:tcW w:w="941" w:type="dxa"/>
            <w:shd w:val="clear" w:color="auto" w:fill="auto"/>
            <w:noWrap/>
            <w:hideMark/>
          </w:tcPr>
          <w:p w14:paraId="111A506D"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317</w:t>
            </w:r>
          </w:p>
        </w:tc>
        <w:tc>
          <w:tcPr>
            <w:tcW w:w="1752" w:type="dxa"/>
            <w:shd w:val="clear" w:color="auto" w:fill="auto"/>
            <w:noWrap/>
            <w:hideMark/>
          </w:tcPr>
          <w:p w14:paraId="398C22BD"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154 (48.6)</w:t>
            </w:r>
          </w:p>
        </w:tc>
        <w:tc>
          <w:tcPr>
            <w:tcW w:w="1701" w:type="dxa"/>
            <w:shd w:val="clear" w:color="auto" w:fill="auto"/>
            <w:noWrap/>
            <w:hideMark/>
          </w:tcPr>
          <w:p w14:paraId="501D8EE4"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634</w:t>
            </w:r>
          </w:p>
        </w:tc>
        <w:tc>
          <w:tcPr>
            <w:tcW w:w="1650" w:type="dxa"/>
            <w:shd w:val="clear" w:color="auto" w:fill="auto"/>
            <w:noWrap/>
            <w:hideMark/>
          </w:tcPr>
          <w:p w14:paraId="18FF9FB1"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42 (6.6%)</w:t>
            </w:r>
          </w:p>
        </w:tc>
        <w:tc>
          <w:tcPr>
            <w:tcW w:w="1469" w:type="dxa"/>
            <w:shd w:val="clear" w:color="auto" w:fill="auto"/>
            <w:noWrap/>
            <w:hideMark/>
          </w:tcPr>
          <w:p w14:paraId="219DFB21"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9.67 (6.33-14.77)</w:t>
            </w:r>
          </w:p>
        </w:tc>
      </w:tr>
      <w:tr w:rsidR="00726D98" w:rsidRPr="00436841" w14:paraId="1C5E86F1" w14:textId="77777777" w:rsidTr="002362A4">
        <w:trPr>
          <w:trHeight w:val="340"/>
        </w:trPr>
        <w:tc>
          <w:tcPr>
            <w:tcW w:w="1499" w:type="dxa"/>
            <w:shd w:val="clear" w:color="auto" w:fill="auto"/>
            <w:noWrap/>
            <w:hideMark/>
          </w:tcPr>
          <w:p w14:paraId="5FEAD686" w14:textId="77777777" w:rsidR="0042155D" w:rsidRPr="00326C94"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 xml:space="preserve">Lee </w:t>
            </w:r>
            <w:r w:rsidRPr="00436841">
              <w:rPr>
                <w:rFonts w:ascii="Book Antiqua" w:hAnsi="Book Antiqua" w:cstheme="minorHAnsi"/>
                <w:i/>
                <w:iCs/>
                <w:color w:val="000000"/>
                <w:lang w:eastAsia="el-GR"/>
              </w:rPr>
              <w:t>et al</w:t>
            </w:r>
            <w:r w:rsidR="00DA7CC7" w:rsidRPr="00475777">
              <w:rPr>
                <w:rFonts w:ascii="Book Antiqua" w:hAnsi="Book Antiqua" w:cstheme="minorHAnsi"/>
                <w:color w:val="000000"/>
                <w:lang w:eastAsia="el-GR"/>
              </w:rPr>
              <w:fldChar w:fldCharType="begin" w:fldLock="1"/>
            </w:r>
            <w:r w:rsidR="00AE1AFA" w:rsidRPr="00436841">
              <w:rPr>
                <w:rFonts w:ascii="Book Antiqua" w:hAnsi="Book Antiqua" w:cstheme="minorHAnsi"/>
                <w:color w:val="000000"/>
                <w:lang w:eastAsia="el-GR"/>
              </w:rPr>
              <w:instrText>ADDIN CSL_CITATION {"citationItems":[{"id":"ITEM-1","itemData":{"DOI":"10.1038/sj.bjc.6605063","ISSN":"0007-0920","PMID":"19436294","author":[{"dropping-particle":"","family":"Lee","given":"C H","non-dropping-particle":"","parse-names":false,"suffix":""},{"dropping-particle":"","family":"Chang","given":"C J","non-dropping-particle":"","parse-names":false,"suffix":""},{"dropping-particle":"","family":"Lin","given":"Y J","non-dropping-particle":"","parse-names":false,"suffix":""},{"dropping-particle":"","family":"Yeh","given":"C N","non-dropping-particle":"","parse-names":false,"suffix":""},{"dropping-particle":"","family":"Chen","given":"M F","non-dropping-particle":"","parse-names":false,"suffix":""},{"dropping-particle":"","family":"Hsieh","given":"S Y","non-dropping-particle":"","parse-names":false,"suffix":""}],"container-title":"British Journal of Cancer","id":"ITEM-1","issue":"11","issued":{"date-parts":[["2009","6","12"]]},"page":"1765-1770","title":"Viral hepatitis-associated intrahepatic cholangiocarcinoma shares common disease processes with hepatocellular carcinoma","type":"article-journal","volume":"100"},"uris":["http://www.mendeley.com/documents/?uuid=6ac1dffe-5f64-4dc8-a7c6-a5483f9a3767"]}],"mendeley":{"formattedCitation":"&lt;sup&gt;[16]&lt;/sup&gt;","plainTextFormattedCitation":"[16]","previouslyFormattedCitation":"&lt;sup&gt;[16]&lt;/sup&gt;"},"properties":{"noteIndex":0},"schema":"https://github.com/citation-style-language/schema/raw/master/csl-citation.json"}</w:instrText>
            </w:r>
            <w:r w:rsidR="00DA7CC7" w:rsidRPr="00D866CC">
              <w:rPr>
                <w:rFonts w:ascii="Book Antiqua" w:hAnsi="Book Antiqua" w:cstheme="minorHAnsi"/>
                <w:color w:val="000000"/>
                <w:lang w:eastAsia="el-GR"/>
              </w:rPr>
              <w:fldChar w:fldCharType="separate"/>
            </w:r>
            <w:r w:rsidR="00AE1AFA" w:rsidRPr="00475777">
              <w:rPr>
                <w:rFonts w:ascii="Book Antiqua" w:hAnsi="Book Antiqua" w:cstheme="minorHAnsi"/>
                <w:noProof/>
                <w:color w:val="000000"/>
                <w:vertAlign w:val="superscript"/>
                <w:lang w:eastAsia="el-GR"/>
              </w:rPr>
              <w:t>[16]</w:t>
            </w:r>
            <w:r w:rsidR="00DA7CC7" w:rsidRPr="00475777">
              <w:rPr>
                <w:rFonts w:ascii="Book Antiqua" w:hAnsi="Book Antiqua" w:cstheme="minorHAnsi"/>
                <w:color w:val="000000"/>
                <w:lang w:eastAsia="el-GR"/>
              </w:rPr>
              <w:fldChar w:fldCharType="end"/>
            </w:r>
            <w:r w:rsidRPr="00436841">
              <w:rPr>
                <w:rFonts w:ascii="Book Antiqua" w:hAnsi="Book Antiqua" w:cstheme="minorHAnsi"/>
                <w:color w:val="000000"/>
                <w:lang w:eastAsia="el-GR"/>
              </w:rPr>
              <w:t>, 2009</w:t>
            </w:r>
          </w:p>
        </w:tc>
        <w:tc>
          <w:tcPr>
            <w:tcW w:w="968" w:type="dxa"/>
          </w:tcPr>
          <w:p w14:paraId="4F34BF07"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Case-control</w:t>
            </w:r>
          </w:p>
        </w:tc>
        <w:tc>
          <w:tcPr>
            <w:tcW w:w="1013" w:type="dxa"/>
            <w:shd w:val="clear" w:color="auto" w:fill="auto"/>
            <w:noWrap/>
            <w:hideMark/>
          </w:tcPr>
          <w:p w14:paraId="35913C0C"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eastAsia="Book Antiqua" w:hAnsi="Book Antiqua" w:cs="Book Antiqua"/>
                <w:color w:val="000000"/>
              </w:rPr>
              <w:t>Taiwan area of China</w:t>
            </w:r>
          </w:p>
        </w:tc>
        <w:tc>
          <w:tcPr>
            <w:tcW w:w="843" w:type="dxa"/>
          </w:tcPr>
          <w:p w14:paraId="1FB95D4C"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1991-2005</w:t>
            </w:r>
          </w:p>
        </w:tc>
        <w:tc>
          <w:tcPr>
            <w:tcW w:w="1390" w:type="dxa"/>
            <w:shd w:val="clear" w:color="auto" w:fill="auto"/>
            <w:noWrap/>
            <w:hideMark/>
          </w:tcPr>
          <w:p w14:paraId="253CE448"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Hospital</w:t>
            </w:r>
          </w:p>
        </w:tc>
        <w:tc>
          <w:tcPr>
            <w:tcW w:w="950" w:type="dxa"/>
            <w:shd w:val="clear" w:color="auto" w:fill="auto"/>
            <w:noWrap/>
            <w:hideMark/>
          </w:tcPr>
          <w:p w14:paraId="2C0E766C"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61.5</w:t>
            </w:r>
          </w:p>
        </w:tc>
        <w:tc>
          <w:tcPr>
            <w:tcW w:w="1043" w:type="dxa"/>
            <w:shd w:val="clear" w:color="auto" w:fill="auto"/>
            <w:noWrap/>
            <w:hideMark/>
          </w:tcPr>
          <w:p w14:paraId="41E1E606"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63.1</w:t>
            </w:r>
          </w:p>
        </w:tc>
        <w:tc>
          <w:tcPr>
            <w:tcW w:w="941" w:type="dxa"/>
            <w:shd w:val="clear" w:color="auto" w:fill="auto"/>
            <w:noWrap/>
            <w:hideMark/>
          </w:tcPr>
          <w:p w14:paraId="12425763"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160</w:t>
            </w:r>
          </w:p>
        </w:tc>
        <w:tc>
          <w:tcPr>
            <w:tcW w:w="1752" w:type="dxa"/>
            <w:shd w:val="clear" w:color="auto" w:fill="auto"/>
            <w:noWrap/>
            <w:hideMark/>
          </w:tcPr>
          <w:p w14:paraId="161F3753"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60 (37.5)</w:t>
            </w:r>
          </w:p>
        </w:tc>
        <w:tc>
          <w:tcPr>
            <w:tcW w:w="1701" w:type="dxa"/>
            <w:shd w:val="clear" w:color="auto" w:fill="auto"/>
            <w:noWrap/>
            <w:hideMark/>
          </w:tcPr>
          <w:p w14:paraId="469A3422"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160</w:t>
            </w:r>
          </w:p>
        </w:tc>
        <w:tc>
          <w:tcPr>
            <w:tcW w:w="1650" w:type="dxa"/>
            <w:shd w:val="clear" w:color="auto" w:fill="auto"/>
            <w:noWrap/>
            <w:hideMark/>
          </w:tcPr>
          <w:p w14:paraId="24CED30C"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22 (13.8%)</w:t>
            </w:r>
          </w:p>
        </w:tc>
        <w:tc>
          <w:tcPr>
            <w:tcW w:w="1469" w:type="dxa"/>
            <w:shd w:val="clear" w:color="auto" w:fill="auto"/>
            <w:noWrap/>
            <w:hideMark/>
          </w:tcPr>
          <w:p w14:paraId="2D832CE8"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4.99 (2.78-8.95)</w:t>
            </w:r>
          </w:p>
        </w:tc>
      </w:tr>
      <w:tr w:rsidR="00726D98" w:rsidRPr="00436841" w14:paraId="639A204C" w14:textId="77777777" w:rsidTr="002362A4">
        <w:trPr>
          <w:trHeight w:val="340"/>
        </w:trPr>
        <w:tc>
          <w:tcPr>
            <w:tcW w:w="1499" w:type="dxa"/>
            <w:shd w:val="clear" w:color="auto" w:fill="auto"/>
            <w:noWrap/>
            <w:hideMark/>
          </w:tcPr>
          <w:p w14:paraId="716B8A0A" w14:textId="77777777" w:rsidR="0042155D" w:rsidRPr="00326C94"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 xml:space="preserve">Lee </w:t>
            </w:r>
            <w:r w:rsidRPr="00436841">
              <w:rPr>
                <w:rFonts w:ascii="Book Antiqua" w:hAnsi="Book Antiqua" w:cstheme="minorHAnsi"/>
                <w:i/>
                <w:iCs/>
                <w:color w:val="000000"/>
                <w:lang w:eastAsia="el-GR"/>
              </w:rPr>
              <w:t>et al</w:t>
            </w:r>
            <w:r w:rsidR="00DA7CC7" w:rsidRPr="00475777">
              <w:rPr>
                <w:rFonts w:ascii="Book Antiqua" w:hAnsi="Book Antiqua" w:cstheme="minorHAnsi"/>
                <w:color w:val="000000"/>
                <w:lang w:eastAsia="el-GR"/>
              </w:rPr>
              <w:fldChar w:fldCharType="begin" w:fldLock="1"/>
            </w:r>
            <w:r w:rsidR="00AE1AFA" w:rsidRPr="00436841">
              <w:rPr>
                <w:rFonts w:ascii="Book Antiqua" w:hAnsi="Book Antiqua" w:cstheme="minorHAnsi"/>
                <w:color w:val="000000"/>
                <w:lang w:eastAsia="el-GR"/>
              </w:rPr>
              <w:instrText>ADDIN CSL_CITATION {"citationItems":[{"id":"ITEM-1","itemData":{"DOI":"10.1111/j.1572-0241.2008.01796.x","ISSN":"1572-0241","PMID":"18557716","abstract":"OBJECTIVES There is a wide variation in risk factors for intrahepatic cholangiocarcinoma (ICC) among various populations. Several studies have suggested that hepatitis C virus (HCV) infection may play a role in the development of ICC, whereas the role of hepatitis B virus (HBV) infection is less clear. METHODS To determine whether HBV or HCV infection is a risk factor of ICC, we compared baseline demographic and clinical factors in 622 patients diagnosed between 2000 and 2004 with histologically confirmed ICC and 2,488 healthy controls, matched 4:1 with ICC patients for sex and year of birth. RESULTS HBV infection (odds ratio [OR] 2.3, 95% confidence interval [CI] 1.6-3.3), but not HCV infection, was significantly related to ICC. Other significant risk factors for ICC included liver cirrhosis (OR 13.6), heavy alcohol consumption (OR 6.6), diabetes (OR 3.2), Clonorchis sinensis infection (OR 13.6), hepatolithiasis (OR 50.0), and choledochal cysts (OR 10.7). CONCLUSIONS Our results indicate that development of ICC seems to be more closely related to HBV infection than to HCV infection in Korea, where both HBV and ICC are endemic.","author":[{"dropping-particle":"","family":"Lee","given":"Tae Y","non-dropping-particle":"","parse-names":false,"suffix":""},{"dropping-particle":"","family":"Lee","given":"Sang S","non-dropping-particle":"","parse-names":false,"suffix":""},{"dropping-particle":"","family":"Jung","given":"Seok W","non-dropping-particle":"","parse-names":false,"suffix":""},{"dropping-particle":"","family":"Jeon","given":"Seong H","non-dropping-particle":"","parse-names":false,"suffix":""},{"dropping-particle":"","family":"Yun","given":"Sung-Cheol","non-dropping-particle":"","parse-names":false,"suffix":""},{"dropping-particle":"","family":"Oh","given":"Hyoung-Chul","non-dropping-particle":"","parse-names":false,"suffix":""},{"dropping-particle":"","family":"Kwon","given":"Seunghyun","non-dropping-particle":"","parse-names":false,"suffix":""},{"dropping-particle":"","family":"Lee","given":"Sung K","non-dropping-particle":"","parse-names":false,"suffix":""},{"dropping-particle":"","family":"Seo","given":"Dong W","non-dropping-particle":"","parse-names":false,"suffix":""},{"dropping-particle":"","family":"Kim","given":"Myung-Hwan","non-dropping-particle":"","parse-names":false,"suffix":""},{"dropping-particle":"","family":"Suh","given":"Dong J","non-dropping-particle":"","parse-names":false,"suffix":""}],"container-title":"The American journal of gastroenterology","id":"ITEM-1","issue":"7","issued":{"date-parts":[["2008","7"]]},"page":"1716-20","title":"Hepatitis B virus infection and intrahepatic cholangiocarcinoma in Korea: a case-control study.","type":"article-journal","volume":"103"},"uris":["http://www.mendeley.com/documents/?uuid=cb1b1685-1f49-49f1-ae0c-12be84f9fcca"]}],"mendeley":{"formattedCitation":"&lt;sup&gt;[17]&lt;/sup&gt;","plainTextFormattedCitation":"[17]","previouslyFormattedCitation":"&lt;sup&gt;[17]&lt;/sup&gt;"},"properties":{"noteIndex":0},"schema":"https://github.com/citation-style-language/schema/raw/master/csl-citation.json"}</w:instrText>
            </w:r>
            <w:r w:rsidR="00DA7CC7" w:rsidRPr="00D866CC">
              <w:rPr>
                <w:rFonts w:ascii="Book Antiqua" w:hAnsi="Book Antiqua" w:cstheme="minorHAnsi"/>
                <w:color w:val="000000"/>
                <w:lang w:eastAsia="el-GR"/>
              </w:rPr>
              <w:fldChar w:fldCharType="separate"/>
            </w:r>
            <w:r w:rsidR="00AE1AFA" w:rsidRPr="00475777">
              <w:rPr>
                <w:rFonts w:ascii="Book Antiqua" w:hAnsi="Book Antiqua" w:cstheme="minorHAnsi"/>
                <w:noProof/>
                <w:color w:val="000000"/>
                <w:vertAlign w:val="superscript"/>
                <w:lang w:eastAsia="el-GR"/>
              </w:rPr>
              <w:t>[17]</w:t>
            </w:r>
            <w:r w:rsidR="00DA7CC7" w:rsidRPr="00475777">
              <w:rPr>
                <w:rFonts w:ascii="Book Antiqua" w:hAnsi="Book Antiqua" w:cstheme="minorHAnsi"/>
                <w:color w:val="000000"/>
                <w:lang w:eastAsia="el-GR"/>
              </w:rPr>
              <w:fldChar w:fldCharType="end"/>
            </w:r>
            <w:r w:rsidRPr="00436841">
              <w:rPr>
                <w:rFonts w:ascii="Book Antiqua" w:hAnsi="Book Antiqua" w:cstheme="minorHAnsi"/>
                <w:color w:val="000000"/>
                <w:lang w:eastAsia="el-GR"/>
              </w:rPr>
              <w:t>, 2008</w:t>
            </w:r>
          </w:p>
        </w:tc>
        <w:tc>
          <w:tcPr>
            <w:tcW w:w="968" w:type="dxa"/>
          </w:tcPr>
          <w:p w14:paraId="459B8E34"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Case-control</w:t>
            </w:r>
          </w:p>
        </w:tc>
        <w:tc>
          <w:tcPr>
            <w:tcW w:w="1013" w:type="dxa"/>
            <w:shd w:val="clear" w:color="auto" w:fill="auto"/>
            <w:noWrap/>
            <w:hideMark/>
          </w:tcPr>
          <w:p w14:paraId="7BAB425E"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South Korea</w:t>
            </w:r>
          </w:p>
        </w:tc>
        <w:tc>
          <w:tcPr>
            <w:tcW w:w="843" w:type="dxa"/>
          </w:tcPr>
          <w:p w14:paraId="741E1C69"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2000-2004</w:t>
            </w:r>
          </w:p>
        </w:tc>
        <w:tc>
          <w:tcPr>
            <w:tcW w:w="1390" w:type="dxa"/>
            <w:shd w:val="clear" w:color="auto" w:fill="auto"/>
            <w:noWrap/>
            <w:hideMark/>
          </w:tcPr>
          <w:p w14:paraId="4234E98C"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Hospital</w:t>
            </w:r>
          </w:p>
        </w:tc>
        <w:tc>
          <w:tcPr>
            <w:tcW w:w="950" w:type="dxa"/>
            <w:shd w:val="clear" w:color="auto" w:fill="auto"/>
            <w:noWrap/>
            <w:hideMark/>
          </w:tcPr>
          <w:p w14:paraId="02F06E03"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60.7</w:t>
            </w:r>
          </w:p>
        </w:tc>
        <w:tc>
          <w:tcPr>
            <w:tcW w:w="1043" w:type="dxa"/>
            <w:shd w:val="clear" w:color="auto" w:fill="auto"/>
            <w:noWrap/>
            <w:hideMark/>
          </w:tcPr>
          <w:p w14:paraId="5CB92DDF"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69.1</w:t>
            </w:r>
          </w:p>
        </w:tc>
        <w:tc>
          <w:tcPr>
            <w:tcW w:w="941" w:type="dxa"/>
            <w:shd w:val="clear" w:color="auto" w:fill="auto"/>
            <w:noWrap/>
            <w:hideMark/>
          </w:tcPr>
          <w:p w14:paraId="4721BA7A"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622</w:t>
            </w:r>
          </w:p>
        </w:tc>
        <w:tc>
          <w:tcPr>
            <w:tcW w:w="1752" w:type="dxa"/>
            <w:shd w:val="clear" w:color="auto" w:fill="auto"/>
            <w:noWrap/>
            <w:hideMark/>
          </w:tcPr>
          <w:p w14:paraId="73FBAB77"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84 (13.5)</w:t>
            </w:r>
          </w:p>
        </w:tc>
        <w:tc>
          <w:tcPr>
            <w:tcW w:w="1701" w:type="dxa"/>
            <w:shd w:val="clear" w:color="auto" w:fill="auto"/>
            <w:noWrap/>
            <w:hideMark/>
          </w:tcPr>
          <w:p w14:paraId="18EDE992"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2488</w:t>
            </w:r>
          </w:p>
        </w:tc>
        <w:tc>
          <w:tcPr>
            <w:tcW w:w="1650" w:type="dxa"/>
            <w:shd w:val="clear" w:color="auto" w:fill="auto"/>
            <w:noWrap/>
            <w:hideMark/>
          </w:tcPr>
          <w:p w14:paraId="7A264AE5"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125 (5.0%)</w:t>
            </w:r>
          </w:p>
        </w:tc>
        <w:tc>
          <w:tcPr>
            <w:tcW w:w="1469" w:type="dxa"/>
            <w:shd w:val="clear" w:color="auto" w:fill="auto"/>
            <w:noWrap/>
            <w:hideMark/>
          </w:tcPr>
          <w:p w14:paraId="2A14309F"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2.3 (1.6-3.3)</w:t>
            </w:r>
          </w:p>
        </w:tc>
      </w:tr>
      <w:tr w:rsidR="00726D98" w:rsidRPr="00436841" w14:paraId="3FC99816" w14:textId="77777777" w:rsidTr="002362A4">
        <w:trPr>
          <w:trHeight w:val="340"/>
        </w:trPr>
        <w:tc>
          <w:tcPr>
            <w:tcW w:w="1499" w:type="dxa"/>
            <w:shd w:val="clear" w:color="auto" w:fill="auto"/>
            <w:noWrap/>
            <w:hideMark/>
          </w:tcPr>
          <w:p w14:paraId="2AD5E9F7" w14:textId="77777777" w:rsidR="0042155D" w:rsidRPr="00475777"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 xml:space="preserve">Zhou </w:t>
            </w:r>
            <w:r w:rsidRPr="00436841">
              <w:rPr>
                <w:rFonts w:ascii="Book Antiqua" w:hAnsi="Book Antiqua" w:cstheme="minorHAnsi"/>
                <w:i/>
                <w:iCs/>
                <w:color w:val="000000"/>
                <w:lang w:eastAsia="el-GR"/>
              </w:rPr>
              <w:t>et al</w:t>
            </w:r>
            <w:r w:rsidR="00DA7CC7" w:rsidRPr="00475777">
              <w:rPr>
                <w:rFonts w:ascii="Book Antiqua" w:hAnsi="Book Antiqua" w:cstheme="minorHAnsi"/>
                <w:color w:val="000000"/>
                <w:lang w:eastAsia="el-GR"/>
              </w:rPr>
              <w:fldChar w:fldCharType="begin" w:fldLock="1"/>
            </w:r>
            <w:r w:rsidR="00D25B8E" w:rsidRPr="00436841">
              <w:rPr>
                <w:rFonts w:ascii="Book Antiqua" w:hAnsi="Book Antiqua" w:cstheme="minorHAnsi"/>
                <w:color w:val="000000"/>
                <w:lang w:eastAsia="el-GR"/>
              </w:rPr>
              <w:instrText>ADDIN CSL_CITATION {"citationItems":[{"id":"ITEM-1","itemData":{"DOI":"10.3748/wjg.14.632","ISSN":"1007-9327","PMID":"18203300","abstract":"AIM To carry out a hospital-based case-control study to investigate risk factors for intrahepatic cholangiocarcinoma (ICC) in China. METHODS A total of 312 ICC cases and 438 matched controls were included in the study. The presence of diabetes mellitus, hypertension, hepatolithiasis, primary sclerosing cholangitis, liver fluke infection (Clonorchis sinensis), was investigated through clinical records. Blood from all participants was tested for hepatitis B surface antigen (HBsAg) and anti-HCV antibodies. Odds ratios (OR) and 95% confidence intervals (95% CI) were estimated using conditional logistic regression. RESULTS Compared with controls, ICC patients had a higher prevalence of HBsAg seropositivity (48.4% vs 9.6%, P&lt;0.000), and hepatolithiasis (5.4% vs 1.1%, P=0.001). By multivariate analysis, the significant risk factors for development of ICC were HBsAg seropositivity (adjusted OR, 8.876, 95% CI, 5.973-13.192), and hepatolithiasis (adjusted OR, 5.765, 95% CI, 1.972-16.851). The prevalence of anti-HCV seropositivity, diabetes mellitus, hypertension, cigarette smoking, and alcohol consumption were not significantly different between cases and controls. CONCLUSION These findings suggest that HBV infection and hepatolithiasis are strong risk factors for development of ICC in China.","author":[{"dropping-particle":"","family":"Zhou","given":"Yan-Ming","non-dropping-particle":"","parse-names":false,"suffix":""},{"dropping-particle":"","family":"Yin","given":"Zheng-Feng","non-dropping-particle":"","parse-names":false,"suffix":""},{"dropping-particle":"","family":"Yang","given":"Jia-Mei","non-dropping-particle":"","parse-names":false,"suffix":""},{"dropping-particle":"","family":"Li","given":"Bin","non-dropping-particle":"","parse-names":false,"suffix":""},{"dropping-particle":"","family":"Shao","given":"Wen-Yu","non-dropping-particle":"","parse-names":false,"suffix":""},{"dropping-particle":"","family":"Xu","given":"Feng","non-dropping-particle":"","parse-names":false,"suffix":""},{"dropping-particle":"","family":"Wang","given":"Yu-Lan","non-dropping-particle":"","parse-names":false,"suffix":""},{"dropping-particle":"","family":"Li","given":"Dian-Qi","non-dropping-particle":"","parse-names":false,"suffix":""}],"container-title":"World journal of gastroenterology","id":"ITEM-1","issue":"4","issued":{"date-parts":[["2008","1","28"]]},"page":"632-5","title":"Risk factors for intrahepatic cholangiocarcinoma: a case-control study in China.","type":"article-journal","volume":"14"},"uris":["http://www.mendeley.com/documents/?uuid=31ff064d-32f0-4c51-a66c-741d249b6888"]}],"mendeley":{"formattedCitation":"&lt;sup&gt;[18]&lt;/sup&gt;","plainTextFormattedCitation":"[18]","previouslyFormattedCitation":"&lt;sup&gt;[18]&lt;/sup&gt;"},"properties":{"noteIndex":0},"schema":"https://github.com/citation-style-language/schema/raw/master/csl-citation.json"}</w:instrText>
            </w:r>
            <w:r w:rsidR="00DA7CC7" w:rsidRPr="00D866CC">
              <w:rPr>
                <w:rFonts w:ascii="Book Antiqua" w:hAnsi="Book Antiqua" w:cstheme="minorHAnsi"/>
                <w:color w:val="000000"/>
                <w:lang w:eastAsia="el-GR"/>
              </w:rPr>
              <w:fldChar w:fldCharType="separate"/>
            </w:r>
            <w:r w:rsidR="00D25B8E" w:rsidRPr="00475777">
              <w:rPr>
                <w:rFonts w:ascii="Book Antiqua" w:hAnsi="Book Antiqua" w:cstheme="minorHAnsi"/>
                <w:noProof/>
                <w:color w:val="000000"/>
                <w:vertAlign w:val="superscript"/>
                <w:lang w:eastAsia="el-GR"/>
              </w:rPr>
              <w:t>[18]</w:t>
            </w:r>
            <w:r w:rsidR="00DA7CC7" w:rsidRPr="00475777">
              <w:rPr>
                <w:rFonts w:ascii="Book Antiqua" w:hAnsi="Book Antiqua" w:cstheme="minorHAnsi"/>
                <w:color w:val="000000"/>
                <w:lang w:eastAsia="el-GR"/>
              </w:rPr>
              <w:fldChar w:fldCharType="end"/>
            </w:r>
            <w:r w:rsidRPr="00436841">
              <w:rPr>
                <w:rFonts w:ascii="Book Antiqua" w:hAnsi="Book Antiqua" w:cstheme="minorHAnsi"/>
                <w:color w:val="000000"/>
                <w:lang w:eastAsia="el-GR"/>
              </w:rPr>
              <w:t>, 2008</w:t>
            </w:r>
          </w:p>
        </w:tc>
        <w:tc>
          <w:tcPr>
            <w:tcW w:w="968" w:type="dxa"/>
          </w:tcPr>
          <w:p w14:paraId="6B7D60D9" w14:textId="77777777" w:rsidR="0042155D" w:rsidRPr="00436841" w:rsidRDefault="0042155D" w:rsidP="00ED58D3">
            <w:pPr>
              <w:spacing w:line="360" w:lineRule="auto"/>
              <w:jc w:val="both"/>
              <w:rPr>
                <w:rFonts w:ascii="Book Antiqua" w:hAnsi="Book Antiqua" w:cstheme="minorHAnsi"/>
                <w:color w:val="000000"/>
                <w:lang w:eastAsia="el-GR"/>
              </w:rPr>
            </w:pPr>
            <w:r w:rsidRPr="00326C94">
              <w:rPr>
                <w:rFonts w:ascii="Book Antiqua" w:hAnsi="Book Antiqua" w:cstheme="minorHAnsi"/>
                <w:color w:val="000000"/>
                <w:lang w:eastAsia="el-GR"/>
              </w:rPr>
              <w:t>Case-control</w:t>
            </w:r>
          </w:p>
        </w:tc>
        <w:tc>
          <w:tcPr>
            <w:tcW w:w="1013" w:type="dxa"/>
            <w:shd w:val="clear" w:color="auto" w:fill="auto"/>
            <w:noWrap/>
            <w:hideMark/>
          </w:tcPr>
          <w:p w14:paraId="43F966E8"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China</w:t>
            </w:r>
          </w:p>
        </w:tc>
        <w:tc>
          <w:tcPr>
            <w:tcW w:w="843" w:type="dxa"/>
          </w:tcPr>
          <w:p w14:paraId="51EDB8B5"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2004-2006</w:t>
            </w:r>
          </w:p>
        </w:tc>
        <w:tc>
          <w:tcPr>
            <w:tcW w:w="1390" w:type="dxa"/>
            <w:shd w:val="clear" w:color="auto" w:fill="auto"/>
            <w:noWrap/>
            <w:hideMark/>
          </w:tcPr>
          <w:p w14:paraId="27D3DD35"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Hospital</w:t>
            </w:r>
          </w:p>
        </w:tc>
        <w:tc>
          <w:tcPr>
            <w:tcW w:w="950" w:type="dxa"/>
            <w:shd w:val="clear" w:color="auto" w:fill="auto"/>
            <w:noWrap/>
            <w:hideMark/>
          </w:tcPr>
          <w:p w14:paraId="05DA11D9"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53.2</w:t>
            </w:r>
          </w:p>
        </w:tc>
        <w:tc>
          <w:tcPr>
            <w:tcW w:w="1043" w:type="dxa"/>
            <w:shd w:val="clear" w:color="auto" w:fill="auto"/>
            <w:noWrap/>
            <w:hideMark/>
          </w:tcPr>
          <w:p w14:paraId="19EB7246"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66.0</w:t>
            </w:r>
          </w:p>
        </w:tc>
        <w:tc>
          <w:tcPr>
            <w:tcW w:w="941" w:type="dxa"/>
            <w:shd w:val="clear" w:color="auto" w:fill="auto"/>
            <w:noWrap/>
            <w:hideMark/>
          </w:tcPr>
          <w:p w14:paraId="788BA2FF"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312</w:t>
            </w:r>
          </w:p>
        </w:tc>
        <w:tc>
          <w:tcPr>
            <w:tcW w:w="1752" w:type="dxa"/>
            <w:shd w:val="clear" w:color="auto" w:fill="auto"/>
            <w:noWrap/>
            <w:hideMark/>
          </w:tcPr>
          <w:p w14:paraId="1FF8F9FD"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151 (48.4)</w:t>
            </w:r>
          </w:p>
        </w:tc>
        <w:tc>
          <w:tcPr>
            <w:tcW w:w="1701" w:type="dxa"/>
            <w:shd w:val="clear" w:color="auto" w:fill="auto"/>
            <w:noWrap/>
            <w:hideMark/>
          </w:tcPr>
          <w:p w14:paraId="2D9B215F"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438</w:t>
            </w:r>
          </w:p>
        </w:tc>
        <w:tc>
          <w:tcPr>
            <w:tcW w:w="1650" w:type="dxa"/>
            <w:shd w:val="clear" w:color="auto" w:fill="auto"/>
            <w:noWrap/>
            <w:hideMark/>
          </w:tcPr>
          <w:p w14:paraId="335C17C6"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42 (9.6%)</w:t>
            </w:r>
          </w:p>
        </w:tc>
        <w:tc>
          <w:tcPr>
            <w:tcW w:w="1469" w:type="dxa"/>
            <w:shd w:val="clear" w:color="auto" w:fill="auto"/>
            <w:noWrap/>
            <w:hideMark/>
          </w:tcPr>
          <w:p w14:paraId="6F08CDBC"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8.88 (5.97-13.19)</w:t>
            </w:r>
          </w:p>
        </w:tc>
      </w:tr>
      <w:tr w:rsidR="00726D98" w:rsidRPr="00436841" w14:paraId="13A5C6D7" w14:textId="77777777" w:rsidTr="002362A4">
        <w:trPr>
          <w:trHeight w:val="340"/>
        </w:trPr>
        <w:tc>
          <w:tcPr>
            <w:tcW w:w="1499" w:type="dxa"/>
            <w:shd w:val="clear" w:color="auto" w:fill="auto"/>
            <w:noWrap/>
            <w:hideMark/>
          </w:tcPr>
          <w:p w14:paraId="33DC6852" w14:textId="77777777" w:rsidR="0042155D" w:rsidRPr="00475777"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 xml:space="preserve">Shaib </w:t>
            </w:r>
            <w:r w:rsidRPr="00436841">
              <w:rPr>
                <w:rFonts w:ascii="Book Antiqua" w:hAnsi="Book Antiqua" w:cstheme="minorHAnsi"/>
                <w:i/>
                <w:iCs/>
                <w:color w:val="000000"/>
                <w:lang w:eastAsia="el-GR"/>
              </w:rPr>
              <w:t>et al</w:t>
            </w:r>
            <w:r w:rsidR="00DA7CC7" w:rsidRPr="00475777">
              <w:rPr>
                <w:rFonts w:ascii="Book Antiqua" w:hAnsi="Book Antiqua" w:cstheme="minorHAnsi"/>
                <w:color w:val="000000"/>
                <w:lang w:eastAsia="el-GR"/>
              </w:rPr>
              <w:fldChar w:fldCharType="begin" w:fldLock="1"/>
            </w:r>
            <w:r w:rsidR="00D25B8E" w:rsidRPr="00436841">
              <w:rPr>
                <w:rFonts w:ascii="Book Antiqua" w:hAnsi="Book Antiqua" w:cstheme="minorHAnsi"/>
                <w:color w:val="000000"/>
                <w:lang w:eastAsia="el-GR"/>
              </w:rPr>
              <w:instrText>ADDIN CSL_CITATION {"citationItems":[{"id":"ITEM-1","itemData":{"DOI":"10.1111/j.1572-0241.2007.01104.x","ISSN":"0002-9270","PMID":"17324130","abstract":"BACKGROUND The risk factors for cholangiocarcinoma are poorly defined in the United States. We evaluated hepatitis C virus (HCV), hepatitis B virus (HBV), and liver cirrhosis as risk factors for intrahepatic cholangiocarcinoma (ICC) and extrahepatic cholangiocarcinoma (ECC). METHODS A case-control study in which cases were cholangiocarcinoma patients referred to the M.D. Anderson Cancer Center between 1992 and 2002 and controls were healthy individuals. Information about liver diseases, family history, diabetes, smoking, and alcohol consumption were collected on both groups. Blood from all participants was tested for HBV and HCV markers. RESULTS We identified 246 cases (83 ICC and 163 ECC) and matched them to 236 controls. Compared with controls, ICC patients had a higher prevalence of anti-HCV antibodies (6.0%vs 0.8%, P=0.01), anti-HBc (9.6%vs 0%, P&lt;0.0001), and heavy alcohol consumption (21.7%vs 3.8%, P&lt;0.0001). The adjusted odds ratio and 95% confidence interval (CI) were 7.9 (95% CI 1.3-84.5), 28.6 (95% CI 3.9-1,268.1), and 5.9 (95% CI 2.1-17.4), respectively. Only heavy alcohol consumption was higher in patients with ECC than in controls (17.8%vs 3.8%, P=0.003). The prevalence of diabetes and smoking were not significantly different between cases (ICC or ECC) and controls. The prevalence of cirrhosis was higher in patients with ICC than those with ECC (24.1%vs 4.9%, P&lt;0.0001). CONCLUSIONS Liver cirrhosis and chronic HCV infection are possible risk factors for ICC but not ECC. Heavy alcohol consumption is a risk factor for both ICC and ECC.","author":[{"dropping-particle":"","family":"Shaib","given":"Yasser H","non-dropping-particle":"","parse-names":false,"suffix":""},{"dropping-particle":"","family":"El-Serag","given":"Hashem B","non-dropping-particle":"","parse-names":false,"suffix":""},{"dropping-particle":"","family":"Nooka","given":"Ajay K","non-dropping-particle":"","parse-names":false,"suffix":""},{"dropping-particle":"","family":"Thomas","given":"Melanie","non-dropping-particle":"","parse-names":false,"suffix":""},{"dropping-particle":"","family":"Brown","given":"Thomas D","non-dropping-particle":"","parse-names":false,"suffix":""},{"dropping-particle":"","family":"Patt","given":"Yehuda Z","non-dropping-particle":"","parse-names":false,"suffix":""},{"dropping-particle":"","family":"Hassan","given":"Manal M","non-dropping-particle":"","parse-names":false,"suffix":""}],"container-title":"The American journal of gastroenterology","id":"ITEM-1","issue":"5","issued":{"date-parts":[["2007","5"]]},"page":"1016-21","title":"Risk factors for intrahepatic and extrahepatic cholangiocarcinoma: a hospital-based case-control study.","type":"article-journal","volume":"102"},"uris":["http://www.mendeley.com/documents/?uuid=75218c03-cf50-4560-a4c6-fc7cc26d52e5"]}],"mendeley":{"formattedCitation":"&lt;sup&gt;[19]&lt;/sup&gt;","plainTextFormattedCitation":"[19]","previouslyFormattedCitation":"&lt;sup&gt;[19]&lt;/sup&gt;"},"properties":{"noteIndex":0},"schema":"https://github.com/citation-style-language/schema/raw/master/csl-citation.json"}</w:instrText>
            </w:r>
            <w:r w:rsidR="00DA7CC7" w:rsidRPr="00D866CC">
              <w:rPr>
                <w:rFonts w:ascii="Book Antiqua" w:hAnsi="Book Antiqua" w:cstheme="minorHAnsi"/>
                <w:color w:val="000000"/>
                <w:lang w:eastAsia="el-GR"/>
              </w:rPr>
              <w:fldChar w:fldCharType="separate"/>
            </w:r>
            <w:r w:rsidR="00D25B8E" w:rsidRPr="00475777">
              <w:rPr>
                <w:rFonts w:ascii="Book Antiqua" w:hAnsi="Book Antiqua" w:cstheme="minorHAnsi"/>
                <w:noProof/>
                <w:color w:val="000000"/>
                <w:vertAlign w:val="superscript"/>
                <w:lang w:eastAsia="el-GR"/>
              </w:rPr>
              <w:t>[19]</w:t>
            </w:r>
            <w:r w:rsidR="00DA7CC7" w:rsidRPr="00475777">
              <w:rPr>
                <w:rFonts w:ascii="Book Antiqua" w:hAnsi="Book Antiqua" w:cstheme="minorHAnsi"/>
                <w:color w:val="000000"/>
                <w:lang w:eastAsia="el-GR"/>
              </w:rPr>
              <w:fldChar w:fldCharType="end"/>
            </w:r>
            <w:r w:rsidRPr="00436841">
              <w:rPr>
                <w:rFonts w:ascii="Book Antiqua" w:hAnsi="Book Antiqua" w:cstheme="minorHAnsi"/>
                <w:color w:val="000000"/>
                <w:lang w:eastAsia="el-GR"/>
              </w:rPr>
              <w:t>, 2007</w:t>
            </w:r>
          </w:p>
        </w:tc>
        <w:tc>
          <w:tcPr>
            <w:tcW w:w="968" w:type="dxa"/>
          </w:tcPr>
          <w:p w14:paraId="299AF3F2" w14:textId="77777777" w:rsidR="0042155D" w:rsidRPr="00436841" w:rsidRDefault="0042155D" w:rsidP="00ED58D3">
            <w:pPr>
              <w:spacing w:line="360" w:lineRule="auto"/>
              <w:jc w:val="both"/>
              <w:rPr>
                <w:rFonts w:ascii="Book Antiqua" w:hAnsi="Book Antiqua" w:cstheme="minorHAnsi"/>
                <w:color w:val="000000"/>
                <w:lang w:eastAsia="el-GR"/>
              </w:rPr>
            </w:pPr>
            <w:r w:rsidRPr="00326C94">
              <w:rPr>
                <w:rFonts w:ascii="Book Antiqua" w:hAnsi="Book Antiqua" w:cstheme="minorHAnsi"/>
                <w:color w:val="000000"/>
                <w:lang w:eastAsia="el-GR"/>
              </w:rPr>
              <w:t>Case-control</w:t>
            </w:r>
          </w:p>
        </w:tc>
        <w:tc>
          <w:tcPr>
            <w:tcW w:w="1013" w:type="dxa"/>
            <w:shd w:val="clear" w:color="auto" w:fill="auto"/>
            <w:noWrap/>
            <w:hideMark/>
          </w:tcPr>
          <w:p w14:paraId="388D62CE"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U</w:t>
            </w:r>
            <w:r w:rsidR="00D25B8E" w:rsidRPr="00436841">
              <w:rPr>
                <w:rFonts w:ascii="Book Antiqua" w:hAnsi="Book Antiqua" w:cstheme="minorHAnsi"/>
                <w:color w:val="000000"/>
                <w:lang w:eastAsia="el-GR"/>
              </w:rPr>
              <w:t>nited States</w:t>
            </w:r>
          </w:p>
        </w:tc>
        <w:tc>
          <w:tcPr>
            <w:tcW w:w="843" w:type="dxa"/>
          </w:tcPr>
          <w:p w14:paraId="23145526"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1992-2002</w:t>
            </w:r>
          </w:p>
        </w:tc>
        <w:tc>
          <w:tcPr>
            <w:tcW w:w="1390" w:type="dxa"/>
            <w:shd w:val="clear" w:color="auto" w:fill="auto"/>
            <w:noWrap/>
            <w:hideMark/>
          </w:tcPr>
          <w:p w14:paraId="5E136440"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Hospital</w:t>
            </w:r>
          </w:p>
        </w:tc>
        <w:tc>
          <w:tcPr>
            <w:tcW w:w="950" w:type="dxa"/>
            <w:shd w:val="clear" w:color="auto" w:fill="auto"/>
            <w:noWrap/>
            <w:hideMark/>
          </w:tcPr>
          <w:p w14:paraId="28F9D619"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59.8</w:t>
            </w:r>
          </w:p>
        </w:tc>
        <w:tc>
          <w:tcPr>
            <w:tcW w:w="1043" w:type="dxa"/>
            <w:shd w:val="clear" w:color="auto" w:fill="auto"/>
            <w:noWrap/>
            <w:hideMark/>
          </w:tcPr>
          <w:p w14:paraId="139757AC"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55.4</w:t>
            </w:r>
          </w:p>
        </w:tc>
        <w:tc>
          <w:tcPr>
            <w:tcW w:w="941" w:type="dxa"/>
            <w:shd w:val="clear" w:color="auto" w:fill="auto"/>
            <w:noWrap/>
            <w:hideMark/>
          </w:tcPr>
          <w:p w14:paraId="300B2C1D"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83</w:t>
            </w:r>
          </w:p>
        </w:tc>
        <w:tc>
          <w:tcPr>
            <w:tcW w:w="1752" w:type="dxa"/>
            <w:shd w:val="clear" w:color="auto" w:fill="auto"/>
            <w:noWrap/>
            <w:hideMark/>
          </w:tcPr>
          <w:p w14:paraId="37A82B14"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 (1.2)</w:t>
            </w:r>
          </w:p>
        </w:tc>
        <w:tc>
          <w:tcPr>
            <w:tcW w:w="1701" w:type="dxa"/>
            <w:shd w:val="clear" w:color="auto" w:fill="auto"/>
            <w:noWrap/>
            <w:hideMark/>
          </w:tcPr>
          <w:p w14:paraId="4989703D"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236</w:t>
            </w:r>
          </w:p>
        </w:tc>
        <w:tc>
          <w:tcPr>
            <w:tcW w:w="1650" w:type="dxa"/>
            <w:shd w:val="clear" w:color="auto" w:fill="auto"/>
            <w:noWrap/>
            <w:hideMark/>
          </w:tcPr>
          <w:p w14:paraId="38A3A30F"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 (0.4%)</w:t>
            </w:r>
          </w:p>
        </w:tc>
        <w:tc>
          <w:tcPr>
            <w:tcW w:w="1469" w:type="dxa"/>
            <w:shd w:val="clear" w:color="auto" w:fill="auto"/>
            <w:noWrap/>
            <w:hideMark/>
          </w:tcPr>
          <w:p w14:paraId="78B35A8D"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2.9 (0.1-236.8)</w:t>
            </w:r>
          </w:p>
        </w:tc>
      </w:tr>
      <w:tr w:rsidR="00726D98" w:rsidRPr="00436841" w14:paraId="4948E696" w14:textId="77777777" w:rsidTr="002362A4">
        <w:trPr>
          <w:trHeight w:val="340"/>
        </w:trPr>
        <w:tc>
          <w:tcPr>
            <w:tcW w:w="1499" w:type="dxa"/>
            <w:shd w:val="clear" w:color="auto" w:fill="auto"/>
            <w:noWrap/>
            <w:hideMark/>
          </w:tcPr>
          <w:p w14:paraId="59C9E412"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 xml:space="preserve">Choi </w:t>
            </w:r>
            <w:r w:rsidRPr="00D866CC">
              <w:rPr>
                <w:rFonts w:ascii="Book Antiqua" w:hAnsi="Book Antiqua" w:cstheme="minorHAnsi"/>
                <w:i/>
                <w:iCs/>
                <w:color w:val="000000"/>
                <w:lang w:eastAsia="el-GR"/>
              </w:rPr>
              <w:t xml:space="preserve">et </w:t>
            </w:r>
            <w:r w:rsidRPr="00D866CC">
              <w:rPr>
                <w:rFonts w:ascii="Book Antiqua" w:hAnsi="Book Antiqua" w:cstheme="minorHAnsi"/>
                <w:i/>
                <w:iCs/>
                <w:color w:val="000000"/>
                <w:lang w:eastAsia="el-GR"/>
              </w:rPr>
              <w:lastRenderedPageBreak/>
              <w:t>al</w:t>
            </w:r>
            <w:r w:rsidRPr="00D866CC">
              <w:rPr>
                <w:rFonts w:ascii="Book Antiqua" w:hAnsi="Book Antiqua" w:cstheme="minorHAnsi"/>
                <w:color w:val="000000"/>
                <w:lang w:eastAsia="el-GR"/>
              </w:rPr>
              <w:fldChar w:fldCharType="begin" w:fldLock="1"/>
            </w:r>
            <w:r w:rsidRPr="00D866CC">
              <w:rPr>
                <w:rFonts w:ascii="Book Antiqua" w:hAnsi="Book Antiqua" w:cstheme="minorHAnsi"/>
                <w:color w:val="000000"/>
                <w:lang w:eastAsia="el-GR"/>
              </w:rPr>
              <w:instrText>ADDIN CSL_CITATION {"citationItems":[{"id":"ITEM-1","itemData":{"DOI":"10.1016/j.jhep.2005.11.040","ISSN":"0168-8278","PMID":"16480786","abstract":"BACKGROUND/AIMS The authors conducted a hospital-based case-control study to evaluate the role of Clonorchis sinensis infection as a risk factor for the development of cholangiocarcinoma (CC), including extrahepatic CC, in Korea. METHODS Cases of 185 patients with CC (intrahepatic, 51; hilar, 53; and distal extrahepatic, 81) and matched controls underwent stool microscopy, pathological examinations, serologic test for C. sinensis using ELISA, skin test for C. sinensis, radiologic examinations, and interview concerning history of eating raw freshwater fish. RESULTS Radiologic evidence of C. sinensis, history of eating raw freshwater fish, and positive serologic result for C. sinensis were found to be related to an increased risk of CC, with the odds ratios (OR)=8.615 (95% confidence interval [CI]=5.045-16.062), OR=2.385 (95% CI=1.527-3.832), and OR=2.272 (95% CI=1.147-4.811), respectively. The risk factors for distal extrahepatic CC were radiologic evidence of C. sinensis (OR=6.571; 95% CI=3.170-15.943) and history of eating raw freshwater fish (OR=2.6; 95% CI=1.294-5.66). CONCLUSIONS Radiologic evidence of C. sinensis, history of eating raw freshwater fish and positive serologic result for C. sinensis were significantly associated with CC, including extrahepatic CC.","author":[{"dropping-particle":"","family":"Choi","given":"Dongil","non-dropping-particle":"","parse-names":false,"suffix":""},{"dropping-particle":"","family":"Lim","given":"Jae Hoon","non-dropping-particle":"","parse-names":false,"suffix":""},{"dropping-particle":"","family":"Lee","given":"Kyu Taek","non-dropping-particle":"","parse-names":false,"suffix":""},{"dropping-particle":"","family":"Lee","given":"Jong Kyun","non-dropping-particle":"","parse-names":false,"suffix":""},{"dropping-particle":"","family":"Choi","given":"Seong Ho","non-dropping-particle":"","parse-names":false,"suffix":""},{"dropping-particle":"","family":"Heo","given":"Jin Seok","non-dropping-particle":"","parse-names":false,"suffix":""},{"dropping-particle":"","family":"Jang","given":"Kee-Taek","non-dropping-particle":"","parse-names":false,"suffix":""},{"dropping-particle":"","family":"Lee","given":"Nam Yong","non-dropping-particle":"","parse-names":false,"suffix":""},{"dropping-particle":"","family":"Kim","given":"Seonwoo","non-dropping-particle":"","parse-names":false,"suffix":""},{"dropping-particle":"","family":"Hong","given":"Sung-Tae","non-dropping-particle":"","parse-names":false,"suffix":""}],"container-title":"Journal of hepatology","id":"ITEM-1","issue":"6","issued":{"date-parts":[["2006","6"]]},"page":"1066-73","title":"Cholangiocarcinoma and Clonorchis sinensis infection: a case-control study in Korea.","type":"article-journal","volume":"44"},"uris":["http://www.mendeley.com/documents/?uuid=71f57640-af66-495e-8839-26cbb886800d"]}],"mendeley":{"formattedCitation":"&lt;sup&gt;[20]&lt;/sup&gt;","plainTextFormattedCitation":"[20]","previouslyFormattedCitation":"&lt;sup&gt;[20]&lt;/sup&gt;"},"properties":{"noteIndex":0},"schema":"https://github.com/citation-style-language/schema/raw/master/csl-citation.json"}</w:instrText>
            </w:r>
            <w:r w:rsidRPr="00D866CC">
              <w:rPr>
                <w:rFonts w:ascii="Book Antiqua" w:hAnsi="Book Antiqua" w:cstheme="minorHAnsi"/>
                <w:color w:val="000000"/>
                <w:lang w:eastAsia="el-GR"/>
              </w:rPr>
              <w:fldChar w:fldCharType="separate"/>
            </w:r>
            <w:r w:rsidRPr="00D866CC">
              <w:rPr>
                <w:rFonts w:ascii="Book Antiqua" w:hAnsi="Book Antiqua" w:cstheme="minorHAnsi"/>
                <w:noProof/>
                <w:color w:val="000000"/>
                <w:vertAlign w:val="superscript"/>
                <w:lang w:eastAsia="el-GR"/>
              </w:rPr>
              <w:t>[20]</w:t>
            </w:r>
            <w:r w:rsidRPr="00D866CC">
              <w:rPr>
                <w:rFonts w:ascii="Book Antiqua" w:hAnsi="Book Antiqua" w:cstheme="minorHAnsi"/>
                <w:color w:val="000000"/>
                <w:lang w:eastAsia="el-GR"/>
              </w:rPr>
              <w:fldChar w:fldCharType="end"/>
            </w:r>
            <w:r w:rsidRPr="00D866CC">
              <w:rPr>
                <w:rFonts w:ascii="Book Antiqua" w:hAnsi="Book Antiqua" w:cstheme="minorHAnsi"/>
                <w:color w:val="000000"/>
                <w:lang w:eastAsia="el-GR"/>
              </w:rPr>
              <w:t>, 2006</w:t>
            </w:r>
          </w:p>
        </w:tc>
        <w:tc>
          <w:tcPr>
            <w:tcW w:w="968" w:type="dxa"/>
          </w:tcPr>
          <w:p w14:paraId="313F68B2" w14:textId="77777777" w:rsidR="0042155D" w:rsidRPr="00D866CC"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lastRenderedPageBreak/>
              <w:t>Case-</w:t>
            </w:r>
            <w:r w:rsidRPr="00436841">
              <w:rPr>
                <w:rFonts w:ascii="Book Antiqua" w:hAnsi="Book Antiqua" w:cstheme="minorHAnsi"/>
                <w:color w:val="000000"/>
                <w:lang w:eastAsia="el-GR"/>
              </w:rPr>
              <w:lastRenderedPageBreak/>
              <w:t>control</w:t>
            </w:r>
          </w:p>
        </w:tc>
        <w:tc>
          <w:tcPr>
            <w:tcW w:w="1013" w:type="dxa"/>
            <w:shd w:val="clear" w:color="auto" w:fill="auto"/>
            <w:noWrap/>
            <w:hideMark/>
          </w:tcPr>
          <w:p w14:paraId="68A04C8E"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lastRenderedPageBreak/>
              <w:t xml:space="preserve">South </w:t>
            </w:r>
            <w:r w:rsidRPr="00D866CC">
              <w:rPr>
                <w:rFonts w:ascii="Book Antiqua" w:hAnsi="Book Antiqua" w:cstheme="minorHAnsi"/>
                <w:color w:val="000000"/>
                <w:lang w:eastAsia="el-GR"/>
              </w:rPr>
              <w:lastRenderedPageBreak/>
              <w:t>Korea</w:t>
            </w:r>
          </w:p>
        </w:tc>
        <w:tc>
          <w:tcPr>
            <w:tcW w:w="843" w:type="dxa"/>
          </w:tcPr>
          <w:p w14:paraId="68A5BFE5"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lastRenderedPageBreak/>
              <w:t>2003-</w:t>
            </w:r>
            <w:r w:rsidRPr="00D866CC">
              <w:rPr>
                <w:rFonts w:ascii="Book Antiqua" w:hAnsi="Book Antiqua" w:cstheme="minorHAnsi"/>
                <w:color w:val="000000"/>
                <w:lang w:eastAsia="el-GR"/>
              </w:rPr>
              <w:lastRenderedPageBreak/>
              <w:t>2004</w:t>
            </w:r>
          </w:p>
        </w:tc>
        <w:tc>
          <w:tcPr>
            <w:tcW w:w="1390" w:type="dxa"/>
            <w:shd w:val="clear" w:color="auto" w:fill="auto"/>
            <w:noWrap/>
            <w:hideMark/>
          </w:tcPr>
          <w:p w14:paraId="39BFAC01"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lastRenderedPageBreak/>
              <w:t>Hospital</w:t>
            </w:r>
          </w:p>
        </w:tc>
        <w:tc>
          <w:tcPr>
            <w:tcW w:w="950" w:type="dxa"/>
            <w:shd w:val="clear" w:color="auto" w:fill="auto"/>
            <w:noWrap/>
            <w:hideMark/>
          </w:tcPr>
          <w:p w14:paraId="093666DA"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64.0</w:t>
            </w:r>
          </w:p>
        </w:tc>
        <w:tc>
          <w:tcPr>
            <w:tcW w:w="1043" w:type="dxa"/>
            <w:shd w:val="clear" w:color="auto" w:fill="auto"/>
            <w:noWrap/>
            <w:hideMark/>
          </w:tcPr>
          <w:p w14:paraId="07146D6D"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62.2</w:t>
            </w:r>
          </w:p>
        </w:tc>
        <w:tc>
          <w:tcPr>
            <w:tcW w:w="941" w:type="dxa"/>
            <w:shd w:val="clear" w:color="auto" w:fill="auto"/>
            <w:noWrap/>
            <w:hideMark/>
          </w:tcPr>
          <w:p w14:paraId="35B692DD"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51</w:t>
            </w:r>
          </w:p>
        </w:tc>
        <w:tc>
          <w:tcPr>
            <w:tcW w:w="1752" w:type="dxa"/>
            <w:shd w:val="clear" w:color="auto" w:fill="auto"/>
            <w:noWrap/>
            <w:hideMark/>
          </w:tcPr>
          <w:p w14:paraId="382CFED4"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4 (7.8)</w:t>
            </w:r>
          </w:p>
        </w:tc>
        <w:tc>
          <w:tcPr>
            <w:tcW w:w="1701" w:type="dxa"/>
            <w:shd w:val="clear" w:color="auto" w:fill="auto"/>
            <w:noWrap/>
            <w:hideMark/>
          </w:tcPr>
          <w:p w14:paraId="3138DCFD"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51</w:t>
            </w:r>
          </w:p>
        </w:tc>
        <w:tc>
          <w:tcPr>
            <w:tcW w:w="1650" w:type="dxa"/>
            <w:shd w:val="clear" w:color="auto" w:fill="auto"/>
            <w:noWrap/>
            <w:hideMark/>
          </w:tcPr>
          <w:p w14:paraId="6D82A4CF"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5 (9.8%)</w:t>
            </w:r>
          </w:p>
        </w:tc>
        <w:tc>
          <w:tcPr>
            <w:tcW w:w="1469" w:type="dxa"/>
            <w:shd w:val="clear" w:color="auto" w:fill="auto"/>
            <w:noWrap/>
            <w:hideMark/>
          </w:tcPr>
          <w:p w14:paraId="47F97D4E"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0.8 (0.19-</w:t>
            </w:r>
            <w:r w:rsidRPr="00D866CC">
              <w:rPr>
                <w:rFonts w:ascii="Book Antiqua" w:hAnsi="Book Antiqua" w:cstheme="minorHAnsi"/>
                <w:color w:val="000000"/>
                <w:lang w:eastAsia="el-GR"/>
              </w:rPr>
              <w:lastRenderedPageBreak/>
              <w:t>3.02)</w:t>
            </w:r>
          </w:p>
        </w:tc>
      </w:tr>
      <w:tr w:rsidR="00726D98" w:rsidRPr="00436841" w14:paraId="25444198" w14:textId="77777777" w:rsidTr="002362A4">
        <w:trPr>
          <w:trHeight w:val="340"/>
        </w:trPr>
        <w:tc>
          <w:tcPr>
            <w:tcW w:w="1499" w:type="dxa"/>
            <w:shd w:val="clear" w:color="auto" w:fill="auto"/>
            <w:noWrap/>
            <w:hideMark/>
          </w:tcPr>
          <w:p w14:paraId="0CC2ECC0"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lastRenderedPageBreak/>
              <w:t xml:space="preserve">Shaib </w:t>
            </w:r>
            <w:r w:rsidRPr="00D866CC">
              <w:rPr>
                <w:rFonts w:ascii="Book Antiqua" w:hAnsi="Book Antiqua" w:cstheme="minorHAnsi"/>
                <w:i/>
                <w:iCs/>
                <w:color w:val="000000"/>
                <w:lang w:eastAsia="el-GR"/>
              </w:rPr>
              <w:t>et al</w:t>
            </w:r>
            <w:r w:rsidRPr="00D866CC">
              <w:rPr>
                <w:rFonts w:ascii="Book Antiqua" w:hAnsi="Book Antiqua" w:cstheme="minorHAnsi"/>
                <w:color w:val="000000"/>
                <w:lang w:eastAsia="el-GR"/>
              </w:rPr>
              <w:fldChar w:fldCharType="begin" w:fldLock="1"/>
            </w:r>
            <w:r w:rsidRPr="00D866CC">
              <w:rPr>
                <w:rFonts w:ascii="Book Antiqua" w:hAnsi="Book Antiqua" w:cstheme="minorHAnsi"/>
                <w:color w:val="000000"/>
                <w:lang w:eastAsia="el-GR"/>
              </w:rPr>
              <w:instrText>ADDIN CSL_CITATION {"citationItems":[{"id":"ITEM-1","itemData":{"DOI":"10.1053/j.gastro.2004.12.048","ISSN":"0016-5085","PMID":"15765398","abstract":"BACKGROUND &amp; AIMS The incidence of intrahepatic cholangiocarcinoma has been recently increasing in the United States. In this case-control study, we used the Surveillance, Epidemiology, and End Results-Medicare database to evaluate the prevalence of known risk factors for intrahepatic cholangiocarcinoma and explore other potential risk factors. METHODS We identified all patients with intrahepatic cholangiocarcinoma aged 65 years and older diagnosed between 1993 and 1999 in the population-based Surveillance, Epidemiology, and End Results registries (14% of the US population). Controls were randomly chosen from individuals without any cancer diagnosis in the underlying population of the Surveillance, Epidemiology, and End Results regions. We obtained information on risk factors from Medicare claims (parts A and B) for all cases and controls with at least 2 years of continuous Medicare enrollment. Unadjusted and adjusted odds ratios were calculated in logistic regression analysis. RESULTS A total of 625 cases and 90,834 controls satisfied the inclusion and exclusion criteria. Cases were older than controls (78.7 vs. 76.5 years; P=.02) and were more likely to be male (48.3% vs. 36.8%; P &lt;.0001). The racial composition was similar between cases and controls. Several risk factors were significantly more prevalent among cases. These included nonspecific cirrhosis (adjusted odds ratio, 27.2; P &lt;.0001), alcoholic liver disease (adjusted odds ratio, 7.4; P &lt;.0001), hepatitis C virus infection (adjusted odds ratio, 6.1; P &lt;.0001), human immunodeficiency virus infection (adjusted odds ratio, 5.9; P=.003), diabetes (adjusted odds ratio, 2.0; P &lt;.0001), and inflammatory bowel diseases (adjusted odds ratio, 2.3; P=.002). CONCLUSIONS This population-based study shows that in addition to previously well described risk factors, several others could be associated with intrahepatic cholangiocarcinoma. These include hepatitis C virus, human immunodeficiency virus, liver cirrhosis, and diabetes.","author":[{"dropping-particle":"","family":"Shaib","given":"Yasser H","non-dropping-particle":"","parse-names":false,"suffix":""},{"dropping-particle":"","family":"El-Serag","given":"Hashem B","non-dropping-particle":"","parse-names":false,"suffix":""},{"dropping-particle":"","family":"Davila","given":"Jessica A","non-dropping-particle":"","parse-names":false,"suffix":""},{"dropping-particle":"","family":"Morgan","given":"Robert","non-dropping-particle":"","parse-names":false,"suffix":""},{"dropping-particle":"","family":"McGlynn","given":"Katherine A","non-dropping-particle":"","parse-names":false,"suffix":""}],"container-title":"Gastroenterology","id":"ITEM-1","issue":"3","issued":{"date-parts":[["2005","3"]]},"page":"620-6","title":"Risk factors of intrahepatic cholangiocarcinoma in the United States: a case-control study.","type":"article-journal","volume":"128"},"uris":["http://www.mendeley.com/documents/?uuid=c9b636ad-7f22-46ce-8981-c2dd21f0b581"]}],"mendeley":{"formattedCitation":"&lt;sup&gt;[21]&lt;/sup&gt;","plainTextFormattedCitation":"[21]","previouslyFormattedCitation":"&lt;sup&gt;[21]&lt;/sup&gt;"},"properties":{"noteIndex":0},"schema":"https://github.com/citation-style-language/schema/raw/master/csl-citation.json"}</w:instrText>
            </w:r>
            <w:r w:rsidRPr="00D866CC">
              <w:rPr>
                <w:rFonts w:ascii="Book Antiqua" w:hAnsi="Book Antiqua" w:cstheme="minorHAnsi"/>
                <w:color w:val="000000"/>
                <w:lang w:eastAsia="el-GR"/>
              </w:rPr>
              <w:fldChar w:fldCharType="separate"/>
            </w:r>
            <w:r w:rsidRPr="00D866CC">
              <w:rPr>
                <w:rFonts w:ascii="Book Antiqua" w:hAnsi="Book Antiqua" w:cstheme="minorHAnsi"/>
                <w:noProof/>
                <w:color w:val="000000"/>
                <w:vertAlign w:val="superscript"/>
                <w:lang w:eastAsia="el-GR"/>
              </w:rPr>
              <w:t>[21]</w:t>
            </w:r>
            <w:r w:rsidRPr="00D866CC">
              <w:rPr>
                <w:rFonts w:ascii="Book Antiqua" w:hAnsi="Book Antiqua" w:cstheme="minorHAnsi"/>
                <w:color w:val="000000"/>
                <w:lang w:eastAsia="el-GR"/>
              </w:rPr>
              <w:fldChar w:fldCharType="end"/>
            </w:r>
            <w:r w:rsidRPr="00D866CC">
              <w:rPr>
                <w:rFonts w:ascii="Book Antiqua" w:hAnsi="Book Antiqua" w:cstheme="minorHAnsi"/>
                <w:color w:val="000000"/>
                <w:lang w:eastAsia="el-GR"/>
              </w:rPr>
              <w:t>, 2005</w:t>
            </w:r>
          </w:p>
        </w:tc>
        <w:tc>
          <w:tcPr>
            <w:tcW w:w="968" w:type="dxa"/>
          </w:tcPr>
          <w:p w14:paraId="2D013693" w14:textId="77777777" w:rsidR="0042155D" w:rsidRPr="00D866CC"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Case-control</w:t>
            </w:r>
          </w:p>
        </w:tc>
        <w:tc>
          <w:tcPr>
            <w:tcW w:w="1013" w:type="dxa"/>
            <w:shd w:val="clear" w:color="auto" w:fill="auto"/>
            <w:noWrap/>
            <w:hideMark/>
          </w:tcPr>
          <w:p w14:paraId="2297816B" w14:textId="77777777" w:rsidR="0042155D" w:rsidRPr="00D866CC" w:rsidRDefault="00D25B8E"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United States</w:t>
            </w:r>
          </w:p>
        </w:tc>
        <w:tc>
          <w:tcPr>
            <w:tcW w:w="843" w:type="dxa"/>
          </w:tcPr>
          <w:p w14:paraId="294C9B72"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1993-1999</w:t>
            </w:r>
          </w:p>
        </w:tc>
        <w:tc>
          <w:tcPr>
            <w:tcW w:w="1390" w:type="dxa"/>
            <w:shd w:val="clear" w:color="auto" w:fill="auto"/>
            <w:noWrap/>
            <w:hideMark/>
          </w:tcPr>
          <w:p w14:paraId="7AF43961" w14:textId="77777777" w:rsidR="0042155D" w:rsidRPr="00436841"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Population</w:t>
            </w:r>
          </w:p>
        </w:tc>
        <w:tc>
          <w:tcPr>
            <w:tcW w:w="950" w:type="dxa"/>
            <w:shd w:val="clear" w:color="auto" w:fill="auto"/>
            <w:noWrap/>
            <w:hideMark/>
          </w:tcPr>
          <w:p w14:paraId="064A3DB2" w14:textId="77777777" w:rsidR="0042155D" w:rsidRPr="00326C94" w:rsidRDefault="0042155D" w:rsidP="00ED58D3">
            <w:pPr>
              <w:spacing w:line="360" w:lineRule="auto"/>
              <w:jc w:val="both"/>
              <w:rPr>
                <w:rFonts w:ascii="Book Antiqua" w:hAnsi="Book Antiqua" w:cstheme="minorHAnsi"/>
                <w:color w:val="000000"/>
                <w:lang w:eastAsia="el-GR"/>
              </w:rPr>
            </w:pPr>
            <w:r w:rsidRPr="00326C94">
              <w:rPr>
                <w:rFonts w:ascii="Book Antiqua" w:hAnsi="Book Antiqua" w:cstheme="minorHAnsi"/>
                <w:color w:val="000000"/>
                <w:lang w:eastAsia="el-GR"/>
              </w:rPr>
              <w:t>78.7</w:t>
            </w:r>
          </w:p>
        </w:tc>
        <w:tc>
          <w:tcPr>
            <w:tcW w:w="1043" w:type="dxa"/>
            <w:shd w:val="clear" w:color="auto" w:fill="auto"/>
            <w:noWrap/>
            <w:hideMark/>
          </w:tcPr>
          <w:p w14:paraId="692D8817"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51.7</w:t>
            </w:r>
          </w:p>
        </w:tc>
        <w:tc>
          <w:tcPr>
            <w:tcW w:w="941" w:type="dxa"/>
            <w:shd w:val="clear" w:color="auto" w:fill="auto"/>
            <w:noWrap/>
            <w:hideMark/>
          </w:tcPr>
          <w:p w14:paraId="12CABD90"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625</w:t>
            </w:r>
          </w:p>
        </w:tc>
        <w:tc>
          <w:tcPr>
            <w:tcW w:w="1752" w:type="dxa"/>
            <w:shd w:val="clear" w:color="auto" w:fill="auto"/>
            <w:noWrap/>
            <w:hideMark/>
          </w:tcPr>
          <w:p w14:paraId="06D703AD"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 (0.2)</w:t>
            </w:r>
          </w:p>
        </w:tc>
        <w:tc>
          <w:tcPr>
            <w:tcW w:w="1701" w:type="dxa"/>
            <w:shd w:val="clear" w:color="auto" w:fill="auto"/>
            <w:noWrap/>
            <w:hideMark/>
          </w:tcPr>
          <w:p w14:paraId="01B4A678"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90834</w:t>
            </w:r>
          </w:p>
        </w:tc>
        <w:tc>
          <w:tcPr>
            <w:tcW w:w="1650" w:type="dxa"/>
            <w:shd w:val="clear" w:color="auto" w:fill="auto"/>
            <w:noWrap/>
            <w:hideMark/>
          </w:tcPr>
          <w:p w14:paraId="0A62F9ED"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182 (0.2%)</w:t>
            </w:r>
          </w:p>
        </w:tc>
        <w:tc>
          <w:tcPr>
            <w:tcW w:w="1469" w:type="dxa"/>
            <w:shd w:val="clear" w:color="auto" w:fill="auto"/>
            <w:noWrap/>
            <w:hideMark/>
          </w:tcPr>
          <w:p w14:paraId="121AB2A6"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0.8 (0.1-5.9)</w:t>
            </w:r>
          </w:p>
        </w:tc>
      </w:tr>
      <w:tr w:rsidR="00726D98" w:rsidRPr="00436841" w14:paraId="3FAAABD0" w14:textId="77777777" w:rsidTr="002362A4">
        <w:trPr>
          <w:trHeight w:val="340"/>
        </w:trPr>
        <w:tc>
          <w:tcPr>
            <w:tcW w:w="1499" w:type="dxa"/>
            <w:shd w:val="clear" w:color="auto" w:fill="auto"/>
            <w:noWrap/>
            <w:hideMark/>
          </w:tcPr>
          <w:p w14:paraId="469530C2" w14:textId="77777777" w:rsidR="0042155D" w:rsidRPr="00475777"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 xml:space="preserve">Yamamoto </w:t>
            </w:r>
            <w:r w:rsidRPr="00436841">
              <w:rPr>
                <w:rFonts w:ascii="Book Antiqua" w:hAnsi="Book Antiqua" w:cstheme="minorHAnsi"/>
                <w:i/>
                <w:iCs/>
                <w:color w:val="000000"/>
                <w:lang w:eastAsia="el-GR"/>
              </w:rPr>
              <w:t>et al</w:t>
            </w:r>
            <w:r w:rsidR="00DA7CC7" w:rsidRPr="00475777">
              <w:rPr>
                <w:rFonts w:ascii="Book Antiqua" w:hAnsi="Book Antiqua" w:cstheme="minorHAnsi"/>
                <w:color w:val="000000"/>
                <w:lang w:eastAsia="el-GR"/>
              </w:rPr>
              <w:fldChar w:fldCharType="begin" w:fldLock="1"/>
            </w:r>
            <w:r w:rsidR="00D25B8E" w:rsidRPr="00436841">
              <w:rPr>
                <w:rFonts w:ascii="Book Antiqua" w:hAnsi="Book Antiqua" w:cstheme="minorHAnsi"/>
                <w:color w:val="000000"/>
                <w:lang w:eastAsia="el-GR"/>
              </w:rPr>
              <w:instrText>ADDIN CSL_CITATION {"citationItems":[{"id":"ITEM-1","itemData":{"DOI":"10.1111/j.1349-7006.2004.tb02492.x","ISSN":"1347-9032","PMID":"15245596","abstract":"Although hepatitis C virus (HCV)-related cirrhosis has been suggested as a risk factor for intrahepatic cholangiocarcinoma (ICC), few sizeable studies have tested this hypothesis. We investigated ICC risk factors, with special reference to HCV infection. We conducted a hospital-based case-control study including 50 ICC patients and 205 other surgical patients without primary liver cancer. HCV seropositivity was detected in 36% of ICC patients and 3% of controls. By univariate analysis, the odds ratio (OR) for association of anti-HCV antibodies with development was 16.87 (95% confidence interval (CI), 5.69 to 50.00). History of blood transfusion or diabetes mellitus, elevated serum total bilirubin, elevated aspartate aminotransferase and alanine aminotransferase, decreased serum albumin and decreased platelet count were identified as other possible ICC risk factors. By multivariate analysis, anti-HCV antibodies (adjusted OR, 6.02; 95% CI, 1.51 to 24.1), elevated alanine aminotransferase, decreased serum albumin, and decreased platelet count were found to be independent risk factors for ICC development. As liver status worsened, the adjusted OR for ICC tended to increase. HCV infection is a likely etiology of ICC in Japan.","author":[{"dropping-particle":"","family":"Yamamoto","given":"Satoshi","non-dropping-particle":"","parse-names":false,"suffix":""},{"dropping-particle":"","family":"Kubo","given":"Shoji","non-dropping-particle":"","parse-names":false,"suffix":""},{"dropping-particle":"","family":"Hai","given":"Seikan","non-dropping-particle":"","parse-names":false,"suffix":""},{"dropping-particle":"","family":"Uenishi","given":"Takahiro","non-dropping-particle":"","parse-names":false,"suffix":""},{"dropping-particle":"","family":"Yamamoto","given":"Takatsugu","non-dropping-particle":"","parse-names":false,"suffix":""},{"dropping-particle":"","family":"Shuto","given":"Taichi","non-dropping-particle":"","parse-names":false,"suffix":""},{"dropping-particle":"","family":"Takemura","given":"Shigekazu","non-dropping-particle":"","parse-names":false,"suffix":""},{"dropping-particle":"","family":"Tanaka","given":"Hiromu","non-dropping-particle":"","parse-names":false,"suffix":""},{"dropping-particle":"","family":"Yamazaki","given":"Osamu","non-dropping-particle":"","parse-names":false,"suffix":""},{"dropping-particle":"","family":"Hirohashi","given":"Kazuhiro","non-dropping-particle":"","parse-names":false,"suffix":""},{"dropping-particle":"","family":"Tanaka","given":"Takashi","non-dropping-particle":"","parse-names":false,"suffix":""}],"container-title":"Cancer science","id":"ITEM-1","issue":"7","issued":{"date-parts":[["2004","7"]]},"page":"592-5","title":"Hepatitis C virus infection as a likely etiology of intrahepatic cholangiocarcinoma.","type":"article-journal","volume":"95"},"uris":["http://www.mendeley.com/documents/?uuid=4f9716d8-6ded-4e25-b4f7-ad728c2f7eac"]}],"mendeley":{"formattedCitation":"&lt;sup&gt;[22]&lt;/sup&gt;","plainTextFormattedCitation":"[22]","previouslyFormattedCitation":"&lt;sup&gt;[22]&lt;/sup&gt;"},"properties":{"noteIndex":0},"schema":"https://github.com/citation-style-language/schema/raw/master/csl-citation.json"}</w:instrText>
            </w:r>
            <w:r w:rsidR="00DA7CC7" w:rsidRPr="00D866CC">
              <w:rPr>
                <w:rFonts w:ascii="Book Antiqua" w:hAnsi="Book Antiqua" w:cstheme="minorHAnsi"/>
                <w:color w:val="000000"/>
                <w:lang w:eastAsia="el-GR"/>
              </w:rPr>
              <w:fldChar w:fldCharType="separate"/>
            </w:r>
            <w:r w:rsidR="00D25B8E" w:rsidRPr="00475777">
              <w:rPr>
                <w:rFonts w:ascii="Book Antiqua" w:hAnsi="Book Antiqua" w:cstheme="minorHAnsi"/>
                <w:noProof/>
                <w:color w:val="000000"/>
                <w:vertAlign w:val="superscript"/>
                <w:lang w:eastAsia="el-GR"/>
              </w:rPr>
              <w:t>[22]</w:t>
            </w:r>
            <w:r w:rsidR="00DA7CC7" w:rsidRPr="00475777">
              <w:rPr>
                <w:rFonts w:ascii="Book Antiqua" w:hAnsi="Book Antiqua" w:cstheme="minorHAnsi"/>
                <w:color w:val="000000"/>
                <w:lang w:eastAsia="el-GR"/>
              </w:rPr>
              <w:fldChar w:fldCharType="end"/>
            </w:r>
            <w:r w:rsidRPr="00436841">
              <w:rPr>
                <w:rFonts w:ascii="Book Antiqua" w:hAnsi="Book Antiqua" w:cstheme="minorHAnsi"/>
                <w:color w:val="000000"/>
                <w:lang w:eastAsia="el-GR"/>
              </w:rPr>
              <w:t>, 2004</w:t>
            </w:r>
          </w:p>
        </w:tc>
        <w:tc>
          <w:tcPr>
            <w:tcW w:w="968" w:type="dxa"/>
          </w:tcPr>
          <w:p w14:paraId="647C5E13" w14:textId="77777777" w:rsidR="0042155D" w:rsidRPr="00436841" w:rsidRDefault="0042155D" w:rsidP="00ED58D3">
            <w:pPr>
              <w:spacing w:line="360" w:lineRule="auto"/>
              <w:jc w:val="both"/>
              <w:rPr>
                <w:rFonts w:ascii="Book Antiqua" w:hAnsi="Book Antiqua" w:cstheme="minorHAnsi"/>
                <w:color w:val="000000"/>
                <w:lang w:eastAsia="el-GR"/>
              </w:rPr>
            </w:pPr>
            <w:r w:rsidRPr="00326C94">
              <w:rPr>
                <w:rFonts w:ascii="Book Antiqua" w:hAnsi="Book Antiqua" w:cstheme="minorHAnsi"/>
                <w:color w:val="000000"/>
                <w:lang w:eastAsia="el-GR"/>
              </w:rPr>
              <w:t>Case-</w:t>
            </w:r>
            <w:r w:rsidRPr="00436841">
              <w:rPr>
                <w:rFonts w:ascii="Book Antiqua" w:hAnsi="Book Antiqua" w:cstheme="minorHAnsi"/>
                <w:color w:val="000000"/>
                <w:lang w:eastAsia="el-GR"/>
              </w:rPr>
              <w:t>control</w:t>
            </w:r>
          </w:p>
        </w:tc>
        <w:tc>
          <w:tcPr>
            <w:tcW w:w="1013" w:type="dxa"/>
            <w:shd w:val="clear" w:color="auto" w:fill="auto"/>
            <w:noWrap/>
            <w:hideMark/>
          </w:tcPr>
          <w:p w14:paraId="1231EE19"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Japan</w:t>
            </w:r>
          </w:p>
        </w:tc>
        <w:tc>
          <w:tcPr>
            <w:tcW w:w="843" w:type="dxa"/>
          </w:tcPr>
          <w:p w14:paraId="2087FDD7"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1991-2002</w:t>
            </w:r>
          </w:p>
        </w:tc>
        <w:tc>
          <w:tcPr>
            <w:tcW w:w="1390" w:type="dxa"/>
            <w:shd w:val="clear" w:color="auto" w:fill="auto"/>
            <w:noWrap/>
            <w:hideMark/>
          </w:tcPr>
          <w:p w14:paraId="1C21E2E5"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Hospital</w:t>
            </w:r>
          </w:p>
        </w:tc>
        <w:tc>
          <w:tcPr>
            <w:tcW w:w="950" w:type="dxa"/>
            <w:shd w:val="clear" w:color="auto" w:fill="auto"/>
            <w:noWrap/>
            <w:hideMark/>
          </w:tcPr>
          <w:p w14:paraId="5B0A3119"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64.6</w:t>
            </w:r>
          </w:p>
        </w:tc>
        <w:tc>
          <w:tcPr>
            <w:tcW w:w="1043" w:type="dxa"/>
            <w:shd w:val="clear" w:color="auto" w:fill="auto"/>
            <w:noWrap/>
            <w:hideMark/>
          </w:tcPr>
          <w:p w14:paraId="310A77FB"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58.0</w:t>
            </w:r>
          </w:p>
        </w:tc>
        <w:tc>
          <w:tcPr>
            <w:tcW w:w="941" w:type="dxa"/>
            <w:shd w:val="clear" w:color="auto" w:fill="auto"/>
            <w:noWrap/>
            <w:hideMark/>
          </w:tcPr>
          <w:p w14:paraId="79A9A13C"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50</w:t>
            </w:r>
          </w:p>
        </w:tc>
        <w:tc>
          <w:tcPr>
            <w:tcW w:w="1752" w:type="dxa"/>
            <w:shd w:val="clear" w:color="auto" w:fill="auto"/>
            <w:noWrap/>
            <w:hideMark/>
          </w:tcPr>
          <w:p w14:paraId="7B9B7ED1"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2 (4.0)</w:t>
            </w:r>
          </w:p>
        </w:tc>
        <w:tc>
          <w:tcPr>
            <w:tcW w:w="1701" w:type="dxa"/>
            <w:shd w:val="clear" w:color="auto" w:fill="auto"/>
            <w:noWrap/>
            <w:hideMark/>
          </w:tcPr>
          <w:p w14:paraId="175D1A3B"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205</w:t>
            </w:r>
          </w:p>
        </w:tc>
        <w:tc>
          <w:tcPr>
            <w:tcW w:w="1650" w:type="dxa"/>
            <w:shd w:val="clear" w:color="auto" w:fill="auto"/>
            <w:noWrap/>
            <w:hideMark/>
          </w:tcPr>
          <w:p w14:paraId="69C3F81D"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5 (2.5%)</w:t>
            </w:r>
          </w:p>
        </w:tc>
        <w:tc>
          <w:tcPr>
            <w:tcW w:w="1469" w:type="dxa"/>
            <w:shd w:val="clear" w:color="auto" w:fill="auto"/>
            <w:noWrap/>
            <w:hideMark/>
          </w:tcPr>
          <w:p w14:paraId="1E125098"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1.84 (0.34-10.11)</w:t>
            </w:r>
          </w:p>
        </w:tc>
      </w:tr>
      <w:tr w:rsidR="00726D98" w:rsidRPr="00436841" w14:paraId="0DCA8D57" w14:textId="77777777" w:rsidTr="002362A4">
        <w:trPr>
          <w:trHeight w:val="340"/>
        </w:trPr>
        <w:tc>
          <w:tcPr>
            <w:tcW w:w="1499" w:type="dxa"/>
            <w:shd w:val="clear" w:color="auto" w:fill="auto"/>
            <w:noWrap/>
            <w:hideMark/>
          </w:tcPr>
          <w:p w14:paraId="118E272D" w14:textId="77777777" w:rsidR="0042155D" w:rsidRPr="00475777"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 xml:space="preserve">Donato </w:t>
            </w:r>
            <w:r w:rsidRPr="00436841">
              <w:rPr>
                <w:rFonts w:ascii="Book Antiqua" w:hAnsi="Book Antiqua" w:cstheme="minorHAnsi"/>
                <w:i/>
                <w:iCs/>
                <w:color w:val="000000"/>
                <w:lang w:eastAsia="el-GR"/>
              </w:rPr>
              <w:t>et al</w:t>
            </w:r>
            <w:r w:rsidR="00DA7CC7" w:rsidRPr="00475777">
              <w:rPr>
                <w:rFonts w:ascii="Book Antiqua" w:hAnsi="Book Antiqua" w:cstheme="minorHAnsi"/>
                <w:color w:val="000000"/>
                <w:lang w:eastAsia="el-GR"/>
              </w:rPr>
              <w:fldChar w:fldCharType="begin" w:fldLock="1"/>
            </w:r>
            <w:r w:rsidR="00D25B8E" w:rsidRPr="00436841">
              <w:rPr>
                <w:rFonts w:ascii="Book Antiqua" w:hAnsi="Book Antiqua" w:cstheme="minorHAnsi"/>
                <w:color w:val="000000"/>
                <w:lang w:eastAsia="el-GR"/>
              </w:rPr>
              <w:instrText>ADDIN CSL_CITATION {"citationItems":[{"id":"ITEM-1","itemData":{"DOI":"10.1023/a:1013747228572","ISSN":"0957-5243","PMID":"11808716","abstract":"OBJECTIVE Intrahepatic cholangiocarcinoma (ICC) is a rare type of primary liver cancer (PLC) arising from intrahepatic bile ducts. We carried out a case-control study to assess the association between ICC and hepatitis B and C virus (HBV and HCV) infections, alcohol intake, and hepatolithiasis in Brescia, North Italy. METHODS Among 370 subjects with histology-based diagnosis of PLC who were resident in the area and hospitalized in 1995-2000, 26 (7%) ICC cases were identified. A total of 824 subjects unaffected by hepatic diseases and frequency-matched with PLC cases by age, sex, date, and hospital of admission were recruited as controls. RESULTS Among ICC cases the mean age was 65 years, 80.8% were males, and 38.5% had cirrhosis. Seropositivity for anti-HCV, HBsAg, alcohol intake &gt;80 g/day and history of hepatolithiasis were found in 25%, 13%, 23.1%, and 26.9% of ICC cases and in 5.8%, 6.7%, 32.9%, and 10.6% of controls, respectively. The odds ratios adjusted for demographic factors by logistic regression (95% confidence interval; 95% CI) were 9.7 (1.6-58.9) for anti-HCV, 2.7 (0.4-18.4) for HBsAg, and 6.7 (1.3-33.4) for hepatolithiasis, whereas no association was found with alcohol drinking. CONCLUSIONS HCV and hepatolithiasis may be risk factors for ICC in Western countries.","author":[{"dropping-particle":"","family":"Donato","given":"F","non-dropping-particle":"","parse-names":false,"suffix":""},{"dropping-particle":"","family":"Gelatti","given":"U","non-dropping-particle":"","parse-names":false,"suffix":""},{"dropping-particle":"","family":"Tagger","given":"A","non-dropping-particle":"","parse-names":false,"suffix":""},{"dropping-particle":"","family":"Favret","given":"M","non-dropping-particle":"","parse-names":false,"suffix":""},{"dropping-particle":"","family":"Ribero","given":"M L","non-dropping-particle":"","parse-names":false,"suffix":""},{"dropping-particle":"","family":"Callea","given":"F","non-dropping-particle":"","parse-names":false,"suffix":""},{"dropping-particle":"","family":"Martelli","given":"C","non-dropping-particle":"","parse-names":false,"suffix":""},{"dropping-particle":"","family":"Savio","given":"A","non-dropping-particle":"","parse-names":false,"suffix":""},{"dropping-particle":"","family":"Trevisi","given":"P","non-dropping-particle":"","parse-names":false,"suffix":""},{"dropping-particle":"","family":"Nardi","given":"G","non-dropping-particle":"","parse-names":false,"suffix":""}],"container-title":"Cancer causes &amp; control : CCC","id":"ITEM-1","issue":"10","issued":{"date-parts":[["2001","12"]]},"page":"959-64","title":"Intrahepatic cholangiocarcinoma and hepatitis C and B virus infection, alcohol intake, and hepatolithiasis: a case-control study in Italy.","type":"article-journal","volume":"12"},"uris":["http://www.mendeley.com/documents/?uuid=be9b7dcb-68cb-453b-9107-c6e579193182"]}],"mendeley":{"formattedCitation":"&lt;sup&gt;[23]&lt;/sup&gt;","plainTextFormattedCitation":"[23]","previouslyFormattedCitation":"&lt;sup&gt;[23]&lt;/sup&gt;"},"properties":{"noteIndex":0},"schema":"https://github.com/citation-style-language/schema/raw/master/csl-citation.json"}</w:instrText>
            </w:r>
            <w:r w:rsidR="00DA7CC7" w:rsidRPr="00D866CC">
              <w:rPr>
                <w:rFonts w:ascii="Book Antiqua" w:hAnsi="Book Antiqua" w:cstheme="minorHAnsi"/>
                <w:color w:val="000000"/>
                <w:lang w:eastAsia="el-GR"/>
              </w:rPr>
              <w:fldChar w:fldCharType="separate"/>
            </w:r>
            <w:r w:rsidR="00D25B8E" w:rsidRPr="00475777">
              <w:rPr>
                <w:rFonts w:ascii="Book Antiqua" w:hAnsi="Book Antiqua" w:cstheme="minorHAnsi"/>
                <w:noProof/>
                <w:color w:val="000000"/>
                <w:vertAlign w:val="superscript"/>
                <w:lang w:eastAsia="el-GR"/>
              </w:rPr>
              <w:t>[23]</w:t>
            </w:r>
            <w:r w:rsidR="00DA7CC7" w:rsidRPr="00475777">
              <w:rPr>
                <w:rFonts w:ascii="Book Antiqua" w:hAnsi="Book Antiqua" w:cstheme="minorHAnsi"/>
                <w:color w:val="000000"/>
                <w:lang w:eastAsia="el-GR"/>
              </w:rPr>
              <w:fldChar w:fldCharType="end"/>
            </w:r>
            <w:r w:rsidRPr="00436841">
              <w:rPr>
                <w:rFonts w:ascii="Book Antiqua" w:hAnsi="Book Antiqua" w:cstheme="minorHAnsi"/>
                <w:color w:val="000000"/>
                <w:lang w:eastAsia="el-GR"/>
              </w:rPr>
              <w:t>, 2001</w:t>
            </w:r>
          </w:p>
        </w:tc>
        <w:tc>
          <w:tcPr>
            <w:tcW w:w="968" w:type="dxa"/>
          </w:tcPr>
          <w:p w14:paraId="1581B04F" w14:textId="77777777" w:rsidR="0042155D" w:rsidRPr="00436841" w:rsidRDefault="0042155D" w:rsidP="00ED58D3">
            <w:pPr>
              <w:spacing w:line="360" w:lineRule="auto"/>
              <w:jc w:val="both"/>
              <w:rPr>
                <w:rFonts w:ascii="Book Antiqua" w:hAnsi="Book Antiqua" w:cstheme="minorHAnsi"/>
                <w:color w:val="000000"/>
                <w:lang w:eastAsia="el-GR"/>
              </w:rPr>
            </w:pPr>
            <w:r w:rsidRPr="00326C94">
              <w:rPr>
                <w:rFonts w:ascii="Book Antiqua" w:hAnsi="Book Antiqua" w:cstheme="minorHAnsi"/>
                <w:color w:val="000000"/>
                <w:lang w:eastAsia="el-GR"/>
              </w:rPr>
              <w:t>Case-control</w:t>
            </w:r>
          </w:p>
        </w:tc>
        <w:tc>
          <w:tcPr>
            <w:tcW w:w="1013" w:type="dxa"/>
            <w:shd w:val="clear" w:color="auto" w:fill="auto"/>
            <w:noWrap/>
            <w:hideMark/>
          </w:tcPr>
          <w:p w14:paraId="2B557AB3"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Italy</w:t>
            </w:r>
          </w:p>
        </w:tc>
        <w:tc>
          <w:tcPr>
            <w:tcW w:w="843" w:type="dxa"/>
          </w:tcPr>
          <w:p w14:paraId="0951011E"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1995-2000</w:t>
            </w:r>
          </w:p>
        </w:tc>
        <w:tc>
          <w:tcPr>
            <w:tcW w:w="1390" w:type="dxa"/>
            <w:shd w:val="clear" w:color="auto" w:fill="auto"/>
            <w:noWrap/>
            <w:hideMark/>
          </w:tcPr>
          <w:p w14:paraId="03A49872"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Hospital</w:t>
            </w:r>
          </w:p>
        </w:tc>
        <w:tc>
          <w:tcPr>
            <w:tcW w:w="950" w:type="dxa"/>
            <w:shd w:val="clear" w:color="auto" w:fill="auto"/>
            <w:noWrap/>
            <w:hideMark/>
          </w:tcPr>
          <w:p w14:paraId="5C78F7E6"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65.0</w:t>
            </w:r>
          </w:p>
        </w:tc>
        <w:tc>
          <w:tcPr>
            <w:tcW w:w="1043" w:type="dxa"/>
            <w:shd w:val="clear" w:color="auto" w:fill="auto"/>
            <w:noWrap/>
            <w:hideMark/>
          </w:tcPr>
          <w:p w14:paraId="27CB0C05"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80.8</w:t>
            </w:r>
          </w:p>
        </w:tc>
        <w:tc>
          <w:tcPr>
            <w:tcW w:w="941" w:type="dxa"/>
            <w:shd w:val="clear" w:color="auto" w:fill="auto"/>
            <w:noWrap/>
            <w:hideMark/>
          </w:tcPr>
          <w:p w14:paraId="3398F103"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23</w:t>
            </w:r>
          </w:p>
        </w:tc>
        <w:tc>
          <w:tcPr>
            <w:tcW w:w="1752" w:type="dxa"/>
            <w:shd w:val="clear" w:color="auto" w:fill="auto"/>
            <w:noWrap/>
            <w:hideMark/>
          </w:tcPr>
          <w:p w14:paraId="0D62C7BA"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3 (13.0)</w:t>
            </w:r>
          </w:p>
        </w:tc>
        <w:tc>
          <w:tcPr>
            <w:tcW w:w="1701" w:type="dxa"/>
            <w:shd w:val="clear" w:color="auto" w:fill="auto"/>
            <w:noWrap/>
            <w:hideMark/>
          </w:tcPr>
          <w:p w14:paraId="2194D090"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824</w:t>
            </w:r>
          </w:p>
        </w:tc>
        <w:tc>
          <w:tcPr>
            <w:tcW w:w="1650" w:type="dxa"/>
            <w:shd w:val="clear" w:color="auto" w:fill="auto"/>
            <w:noWrap/>
            <w:hideMark/>
          </w:tcPr>
          <w:p w14:paraId="6511DB4F"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45 (5.5%)</w:t>
            </w:r>
          </w:p>
        </w:tc>
        <w:tc>
          <w:tcPr>
            <w:tcW w:w="1469" w:type="dxa"/>
            <w:shd w:val="clear" w:color="auto" w:fill="auto"/>
            <w:noWrap/>
            <w:hideMark/>
          </w:tcPr>
          <w:p w14:paraId="79174BF9"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2.7 (0.4-18.5)</w:t>
            </w:r>
          </w:p>
        </w:tc>
      </w:tr>
      <w:tr w:rsidR="00ED58D3" w:rsidRPr="00436841" w14:paraId="40334237" w14:textId="77777777" w:rsidTr="002362A4">
        <w:trPr>
          <w:trHeight w:val="340"/>
        </w:trPr>
        <w:tc>
          <w:tcPr>
            <w:tcW w:w="1499" w:type="dxa"/>
            <w:shd w:val="clear" w:color="auto" w:fill="auto"/>
            <w:noWrap/>
          </w:tcPr>
          <w:p w14:paraId="2E9CFC14" w14:textId="77777777" w:rsidR="0042155D" w:rsidRPr="00D866CC"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 xml:space="preserve">Tanaka </w:t>
            </w:r>
            <w:r w:rsidRPr="00436841">
              <w:rPr>
                <w:rFonts w:ascii="Book Antiqua" w:hAnsi="Book Antiqua" w:cstheme="minorHAnsi"/>
                <w:i/>
                <w:iCs/>
                <w:color w:val="000000"/>
                <w:lang w:eastAsia="el-GR"/>
              </w:rPr>
              <w:t>et al</w:t>
            </w:r>
            <w:r w:rsidR="00DA7CC7" w:rsidRPr="00475777">
              <w:rPr>
                <w:rFonts w:ascii="Book Antiqua" w:hAnsi="Book Antiqua" w:cstheme="minorHAnsi"/>
                <w:color w:val="000000"/>
                <w:lang w:eastAsia="el-GR"/>
              </w:rPr>
              <w:fldChar w:fldCharType="begin" w:fldLock="1"/>
            </w:r>
            <w:r w:rsidR="00D25B8E" w:rsidRPr="00436841">
              <w:rPr>
                <w:rFonts w:ascii="Book Antiqua" w:hAnsi="Book Antiqua" w:cstheme="minorHAnsi"/>
                <w:color w:val="000000"/>
                <w:lang w:eastAsia="el-GR"/>
              </w:rPr>
              <w:instrText>ADDIN CSL_CITATION {"citationItems":[{"id":"ITEM-1","itemData":{"DOI":"10.1111/j.1365-2893.2009.01243.x","ISSN":"1365-2893","PMID":"20002305","abstract":"There are several established risk factors for intrahepatic cholangiocarcinoma (ICC), namely primary sclerosing cholangitis, fibropolycystic liver disease, parasitic infection, intrahepatic biliary stones and chemical carcinogen exposure. However, the majority of patients with ICC do not have any of these risk factors. Therefore, identification of other risk factors is warranted for the prevention and early detection of ICC. We evaluated the risk factors for ICC in a large-scale cohort study in the province of Osaka, Japan. This retrospective cohort study included 154,814 apparently healthy individual blood donors, aged 40-64 years at the time of blood donation in the period 1991-1993. The average observation period was 7.6 years, resulting in 1.25 million person-years of observation. Incident ICC cases were identified by linking the blood-donor database to the records in the population-based cancer registry for the province. There were 11 incident ICC cases during follow-up, with an incidence rate of 0.88 per 100,000 person-years. Compared with subjects aged 40-49 years, the subjects aged 50-54 years and 55-59 years had a significantly higher risk for ICC (hazard ratio [HR] = 5.90; 95%CI:1.08-32.31 and 11.07; 95%CI:1.98-61.79, respectively). Compared with those with ALT level of 19 Karmen Units (KU) or less, subjects with ALT level of 40 KU or higher had a significantly higher risk for ICC (HR: 8.30; 95%CI:1.47-46.83). Compared with those who tested negative for both HBsAg and anti-HCV, those who tested HBsAg-positive had a significantly higher risk for ICC (HR: 8.56; 95%CI: 1.33-55.20). Our results suggest that HBV infection and liver inflammation are independently associated with ICC development. These findings need to be verified by further large cohort studies.","author":[{"dropping-particle":"","family":"Tanaka","given":"M","non-dropping-particle":"","parse-names":false,"suffix":""},{"dropping-particle":"","family":"Tanaka","given":"H","non-dropping-particle":"","parse-names":false,"suffix":""},{"dropping-particle":"","family":"Tsukuma","given":"H","non-dropping-particle":"","parse-names":false,"suffix":""},{"dropping-particle":"","family":"Ioka","given":"A","non-dropping-particle":"","parse-names":false,"suffix":""},{"dropping-particle":"","family":"Oshima","given":"A","non-dropping-particle":"","parse-names":false,"suffix":""},{"dropping-particle":"","family":"Nakahara","given":"T","non-dropping-particle":"","parse-names":false,"suffix":""}],"container-title":"Journal of viral hepatitis","id":"ITEM-1","issue":"10","issued":{"date-parts":[["2010","10"]]},"page":"742-8","title":"Risk factors for intrahepatic cholangiocarcinoma: a possible role of hepatitis B virus.","type":"article-journal","volume":"17"},"uris":["http://www.mendeley.com/documents/?uuid=9ea31a78-bcb8-4280-8630-7364e363d6b6"]}],"mendeley":{"formattedCitation":"&lt;sup&gt;[24]&lt;/sup&gt;","plainTextFormattedCitation":"[24]","previouslyFormattedCitation":"&lt;sup&gt;[24]&lt;/sup&gt;"},"properties":{"noteIndex":0},"schema":"https://github.com/citation-style-language/schema/raw/master/csl-citation.json"}</w:instrText>
            </w:r>
            <w:r w:rsidR="00DA7CC7" w:rsidRPr="00D866CC">
              <w:rPr>
                <w:rFonts w:ascii="Book Antiqua" w:hAnsi="Book Antiqua" w:cstheme="minorHAnsi"/>
                <w:color w:val="000000"/>
                <w:lang w:eastAsia="el-GR"/>
              </w:rPr>
              <w:fldChar w:fldCharType="separate"/>
            </w:r>
            <w:r w:rsidR="00DA7CC7" w:rsidRPr="00D866CC">
              <w:rPr>
                <w:rFonts w:ascii="Book Antiqua" w:hAnsi="Book Antiqua" w:cstheme="minorHAnsi"/>
                <w:noProof/>
                <w:color w:val="000000"/>
                <w:vertAlign w:val="superscript"/>
                <w:lang w:eastAsia="el-GR"/>
              </w:rPr>
              <w:t>[24]</w:t>
            </w:r>
            <w:r w:rsidR="00DA7CC7" w:rsidRPr="00475777">
              <w:rPr>
                <w:rFonts w:ascii="Book Antiqua" w:hAnsi="Book Antiqua" w:cstheme="minorHAnsi"/>
                <w:color w:val="000000"/>
                <w:lang w:eastAsia="el-GR"/>
              </w:rPr>
              <w:fldChar w:fldCharType="end"/>
            </w:r>
            <w:r w:rsidRPr="00436841">
              <w:rPr>
                <w:rFonts w:ascii="Book Antiqua" w:hAnsi="Book Antiqua" w:cstheme="minorHAnsi"/>
                <w:color w:val="000000"/>
                <w:lang w:eastAsia="el-GR"/>
              </w:rPr>
              <w:t>, 20</w:t>
            </w:r>
            <w:r w:rsidR="00D25B8E" w:rsidRPr="00475777">
              <w:rPr>
                <w:rFonts w:ascii="Book Antiqua" w:hAnsi="Book Antiqua" w:cstheme="minorHAnsi"/>
                <w:color w:val="000000"/>
                <w:lang w:eastAsia="el-GR"/>
              </w:rPr>
              <w:t>10</w:t>
            </w:r>
          </w:p>
        </w:tc>
        <w:tc>
          <w:tcPr>
            <w:tcW w:w="968" w:type="dxa"/>
          </w:tcPr>
          <w:p w14:paraId="577F4AF4"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Cohort</w:t>
            </w:r>
          </w:p>
        </w:tc>
        <w:tc>
          <w:tcPr>
            <w:tcW w:w="1013" w:type="dxa"/>
            <w:shd w:val="clear" w:color="auto" w:fill="auto"/>
            <w:noWrap/>
          </w:tcPr>
          <w:p w14:paraId="496B5B9D"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Japan</w:t>
            </w:r>
          </w:p>
        </w:tc>
        <w:tc>
          <w:tcPr>
            <w:tcW w:w="843" w:type="dxa"/>
          </w:tcPr>
          <w:p w14:paraId="36A6823C"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1991-1993</w:t>
            </w:r>
          </w:p>
        </w:tc>
        <w:tc>
          <w:tcPr>
            <w:tcW w:w="1390" w:type="dxa"/>
            <w:shd w:val="clear" w:color="auto" w:fill="auto"/>
            <w:noWrap/>
          </w:tcPr>
          <w:p w14:paraId="2CDEF65D"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Population</w:t>
            </w:r>
          </w:p>
        </w:tc>
        <w:tc>
          <w:tcPr>
            <w:tcW w:w="950" w:type="dxa"/>
            <w:shd w:val="clear" w:color="auto" w:fill="auto"/>
            <w:noWrap/>
          </w:tcPr>
          <w:p w14:paraId="009E1AF7"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40-60</w:t>
            </w:r>
          </w:p>
        </w:tc>
        <w:tc>
          <w:tcPr>
            <w:tcW w:w="1043" w:type="dxa"/>
            <w:shd w:val="clear" w:color="auto" w:fill="auto"/>
            <w:noWrap/>
          </w:tcPr>
          <w:p w14:paraId="4C7D2CA7"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54.4</w:t>
            </w:r>
          </w:p>
        </w:tc>
        <w:tc>
          <w:tcPr>
            <w:tcW w:w="2693" w:type="dxa"/>
            <w:gridSpan w:val="2"/>
            <w:shd w:val="clear" w:color="auto" w:fill="auto"/>
            <w:noWrap/>
          </w:tcPr>
          <w:p w14:paraId="7926E1FA"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9.08/100000 p-yrs</w:t>
            </w:r>
          </w:p>
        </w:tc>
        <w:tc>
          <w:tcPr>
            <w:tcW w:w="3351" w:type="dxa"/>
            <w:gridSpan w:val="2"/>
            <w:shd w:val="clear" w:color="auto" w:fill="auto"/>
            <w:noWrap/>
          </w:tcPr>
          <w:p w14:paraId="63B81AEB"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0.66/100000 p-yrs</w:t>
            </w:r>
          </w:p>
        </w:tc>
        <w:tc>
          <w:tcPr>
            <w:tcW w:w="1469" w:type="dxa"/>
            <w:shd w:val="clear" w:color="auto" w:fill="auto"/>
            <w:noWrap/>
          </w:tcPr>
          <w:p w14:paraId="28EDA72D" w14:textId="77777777" w:rsidR="0042155D" w:rsidRPr="00D866CC"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8.56 (1.33-55.20)</w:t>
            </w:r>
          </w:p>
        </w:tc>
      </w:tr>
      <w:tr w:rsidR="00ED58D3" w:rsidRPr="00436841" w14:paraId="041EC81D" w14:textId="77777777" w:rsidTr="002362A4">
        <w:trPr>
          <w:trHeight w:val="340"/>
        </w:trPr>
        <w:tc>
          <w:tcPr>
            <w:tcW w:w="1499" w:type="dxa"/>
            <w:shd w:val="clear" w:color="auto" w:fill="auto"/>
            <w:noWrap/>
          </w:tcPr>
          <w:p w14:paraId="097FFBCB" w14:textId="77777777" w:rsidR="0042155D" w:rsidRPr="00436841" w:rsidRDefault="00DA7CC7" w:rsidP="00ED58D3">
            <w:pPr>
              <w:spacing w:line="360" w:lineRule="auto"/>
              <w:jc w:val="both"/>
              <w:rPr>
                <w:rFonts w:ascii="Book Antiqua" w:hAnsi="Book Antiqua" w:cstheme="minorHAnsi"/>
                <w:color w:val="000000"/>
                <w:lang w:eastAsia="el-GR"/>
              </w:rPr>
            </w:pPr>
            <w:r w:rsidRPr="00D866CC">
              <w:rPr>
                <w:rFonts w:ascii="Book Antiqua" w:hAnsi="Book Antiqua" w:cstheme="minorHAnsi"/>
                <w:color w:val="000000"/>
                <w:lang w:eastAsia="el-GR"/>
              </w:rPr>
              <w:t xml:space="preserve">Fwu </w:t>
            </w:r>
            <w:r w:rsidRPr="00D866CC">
              <w:rPr>
                <w:rFonts w:ascii="Book Antiqua" w:hAnsi="Book Antiqua" w:cstheme="minorHAnsi"/>
                <w:i/>
                <w:iCs/>
                <w:color w:val="000000"/>
                <w:lang w:eastAsia="el-GR"/>
              </w:rPr>
              <w:t>et al</w:t>
            </w:r>
            <w:r w:rsidRPr="00475777">
              <w:rPr>
                <w:rFonts w:ascii="Book Antiqua" w:hAnsi="Book Antiqua" w:cstheme="minorHAnsi"/>
                <w:color w:val="000000"/>
                <w:lang w:eastAsia="el-GR"/>
              </w:rPr>
              <w:fldChar w:fldCharType="begin" w:fldLock="1"/>
            </w:r>
            <w:r w:rsidRPr="00D866CC">
              <w:rPr>
                <w:rFonts w:ascii="Book Antiqua" w:hAnsi="Book Antiqua" w:cstheme="minorHAnsi"/>
                <w:color w:val="000000"/>
                <w:lang w:eastAsia="el-GR"/>
              </w:rPr>
              <w:instrText>ADDIN CSL_CITATION {"citationItems":[{"id":"ITEM-1","itemData":{"DOI":"10.1002/hep.24150","ISSN":"1527-3350","PMID":"21480326","abstract":"UNLABELLED Few studies have evaluated the risk of cancers other than hepatocellular carcinoma associated with hepatitis B virus (HBV) infection. This study aimed to estimate incidence rates of intrahepatic cholangiocarcinoma (ICC) and non-Hodgkin lymphoma (NHL) and its major subtypes in a nationwide cohort of parous women and to assess their associations with chronic HBV infection. We conducted a cohort study including 1,782,401 pregnant Taiwanese women whose HBV serostatus was obtained from the National Hepatitis B Vaccination Registry. Newly diagnosed ICCs and NHLs were ascertained through data linkage with the National Cancer Registry. Risks of ICC and NHL were assessed using Cox proportional hazards regression models. After a mean of 6.91 years of follow-up, there were 18 cases of ICC and 192 cases of NHL, including 99 cases of diffuse large B-cell lymphoma (DLBCL). Incidence rates of ICC were 0.09 and 0.43 per 100,000 person-years, respectively, among women who were hepatitis B surface antigen (HBsAg)-seronegative and HBsAg-seropositive, showing an age-adjusted hazard ratio (HR(adj) ) (95% confidence interval [CI]) of 4.80 (1.88-12.20). The incidence rates of NHL overall for HBsAg-seronegative and HBsAg-seropositive women were 1.23 and 3.18 per 100,000 person-years, respectively, with an HR(adj) (95% CI) of 2.63 (1.95-3.54). Among NHL subtypes, HBsAg-seropositive women had an increased risk of DLBCL compared with those who were HBsAg-seronegative (incidence rates: 1.81 and 0.60 per 100,000 person-years, respectively; HR(adj) [95% CI]: 3.09 [2.06-4.64]). The significantly increased risk was not observed for other specific subtypes of NHL. CONCLUSIONS Chronic HBV infection was associated with an increased risk of ICC and DLBCL in women. Our data suggested a possible etiological role of HBV in the development of ICC and specific subtypes of NHL.","author":[{"dropping-particle":"","family":"Fwu","given":"Chyng-Wen","non-dropping-particle":"","parse-names":false,"suffix":""},{"dropping-particle":"","family":"Chien","given":"Yin-Chu","non-dropping-particle":"","parse-names":false,"suffix":""},{"dropping-particle":"","family":"You","given":"San-Lin","non-dropping-particle":"","parse-names":false,"suffix":""},{"dropping-particle":"","family":"Nelson","given":"Kenrad E","non-dropping-particle":"","parse-names":false,"suffix":""},{"dropping-particle":"","family":"Kirk","given":"Gregory D","non-dropping-particle":"","parse-names":false,"suffix":""},{"dropping-particle":"","family":"Kuo","given":"Hsu-Sung","non-dropping-particle":"","parse-names":false,"suffix":""},{"dropping-particle":"","family":"Feinleib","given":"Manning","non-dropping-particle":"","parse-names":false,"suffix":""},{"dropping-particle":"","family":"Chen","given":"Chien-Jen","non-dropping-particle":"","parse-names":false,"suffix":""}],"container-title":"Hepatology (Baltimore, Md.)","id":"ITEM-1","issue":"4","issued":{"date-parts":[["2011","4"]]},"page":"1217-25","title":"Hepatitis B virus infection and risk of intrahepatic cholangiocarcinoma and non-Hodgkin lymphoma: a cohort study of parous women in Taiwan.","type":"article-journal","volume":"53"},"uris":["http://www.mendeley.com/documents/?uuid=1c1596cd-ad3e-4af8-912a-120a45af4ef7"]}],"mendeley":{"formattedCitation":"&lt;sup&gt;[25]&lt;/sup&gt;","plainTextFormattedCitation":"[25]","previouslyFormattedCitation":"&lt;sup&gt;[25]&lt;/sup&gt;"},"properties":{"noteIndex":0},"schema":"https://github.com/citation-style-language/schema/raw/master/csl-citation.json"}</w:instrText>
            </w:r>
            <w:r w:rsidRPr="00D866CC">
              <w:rPr>
                <w:rFonts w:ascii="Book Antiqua" w:hAnsi="Book Antiqua" w:cstheme="minorHAnsi"/>
                <w:color w:val="000000"/>
                <w:lang w:eastAsia="el-GR"/>
              </w:rPr>
              <w:fldChar w:fldCharType="separate"/>
            </w:r>
            <w:r w:rsidR="00D25B8E" w:rsidRPr="00475777">
              <w:rPr>
                <w:rFonts w:ascii="Book Antiqua" w:hAnsi="Book Antiqua" w:cstheme="minorHAnsi"/>
                <w:noProof/>
                <w:color w:val="000000"/>
                <w:vertAlign w:val="superscript"/>
                <w:lang w:eastAsia="el-GR"/>
              </w:rPr>
              <w:t>[25]</w:t>
            </w:r>
            <w:r w:rsidRPr="00475777">
              <w:rPr>
                <w:rFonts w:ascii="Book Antiqua" w:hAnsi="Book Antiqua" w:cstheme="minorHAnsi"/>
                <w:color w:val="000000"/>
                <w:lang w:eastAsia="el-GR"/>
              </w:rPr>
              <w:fldChar w:fldCharType="end"/>
            </w:r>
            <w:r w:rsidRPr="00D866CC">
              <w:rPr>
                <w:rFonts w:ascii="Book Antiqua" w:hAnsi="Book Antiqua" w:cstheme="minorHAnsi"/>
                <w:color w:val="000000"/>
                <w:lang w:eastAsia="el-GR"/>
              </w:rPr>
              <w:t>, 2011</w:t>
            </w:r>
          </w:p>
        </w:tc>
        <w:tc>
          <w:tcPr>
            <w:tcW w:w="968" w:type="dxa"/>
          </w:tcPr>
          <w:p w14:paraId="0DEB5CFC" w14:textId="77777777" w:rsidR="0042155D" w:rsidRPr="00326C94" w:rsidRDefault="0042155D" w:rsidP="00ED58D3">
            <w:pPr>
              <w:spacing w:line="360" w:lineRule="auto"/>
              <w:jc w:val="both"/>
              <w:rPr>
                <w:rFonts w:ascii="Book Antiqua" w:hAnsi="Book Antiqua" w:cstheme="minorHAnsi"/>
                <w:color w:val="000000"/>
                <w:lang w:eastAsia="el-GR"/>
              </w:rPr>
            </w:pPr>
            <w:r w:rsidRPr="00326C94">
              <w:rPr>
                <w:rFonts w:ascii="Book Antiqua" w:hAnsi="Book Antiqua" w:cstheme="minorHAnsi"/>
                <w:color w:val="000000"/>
                <w:lang w:eastAsia="el-GR"/>
              </w:rPr>
              <w:t>Cohort</w:t>
            </w:r>
          </w:p>
        </w:tc>
        <w:tc>
          <w:tcPr>
            <w:tcW w:w="1013" w:type="dxa"/>
            <w:shd w:val="clear" w:color="auto" w:fill="auto"/>
            <w:noWrap/>
          </w:tcPr>
          <w:p w14:paraId="195AF8E8"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eastAsia="Book Antiqua" w:hAnsi="Book Antiqua" w:cs="Book Antiqua"/>
                <w:color w:val="000000"/>
              </w:rPr>
              <w:t>Taiwan area of China</w:t>
            </w:r>
          </w:p>
        </w:tc>
        <w:tc>
          <w:tcPr>
            <w:tcW w:w="843" w:type="dxa"/>
          </w:tcPr>
          <w:p w14:paraId="520B8916"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1983-2000</w:t>
            </w:r>
          </w:p>
        </w:tc>
        <w:tc>
          <w:tcPr>
            <w:tcW w:w="1390" w:type="dxa"/>
            <w:shd w:val="clear" w:color="auto" w:fill="auto"/>
            <w:noWrap/>
          </w:tcPr>
          <w:p w14:paraId="1F9702A9"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Population</w:t>
            </w:r>
          </w:p>
        </w:tc>
        <w:tc>
          <w:tcPr>
            <w:tcW w:w="950" w:type="dxa"/>
            <w:shd w:val="clear" w:color="auto" w:fill="auto"/>
            <w:noWrap/>
          </w:tcPr>
          <w:p w14:paraId="7F4DD5EC"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28.29</w:t>
            </w:r>
          </w:p>
        </w:tc>
        <w:tc>
          <w:tcPr>
            <w:tcW w:w="1043" w:type="dxa"/>
            <w:shd w:val="clear" w:color="auto" w:fill="auto"/>
            <w:noWrap/>
          </w:tcPr>
          <w:p w14:paraId="6814B857"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0</w:t>
            </w:r>
          </w:p>
        </w:tc>
        <w:tc>
          <w:tcPr>
            <w:tcW w:w="2693" w:type="dxa"/>
            <w:gridSpan w:val="2"/>
            <w:shd w:val="clear" w:color="auto" w:fill="auto"/>
            <w:noWrap/>
          </w:tcPr>
          <w:p w14:paraId="7DF0DA50"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0.43/100000 p-yrs</w:t>
            </w:r>
          </w:p>
        </w:tc>
        <w:tc>
          <w:tcPr>
            <w:tcW w:w="3351" w:type="dxa"/>
            <w:gridSpan w:val="2"/>
            <w:shd w:val="clear" w:color="auto" w:fill="auto"/>
            <w:noWrap/>
          </w:tcPr>
          <w:p w14:paraId="1BF420CE"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0.09/100000 p-yrs</w:t>
            </w:r>
          </w:p>
        </w:tc>
        <w:tc>
          <w:tcPr>
            <w:tcW w:w="1469" w:type="dxa"/>
            <w:shd w:val="clear" w:color="auto" w:fill="auto"/>
            <w:noWrap/>
          </w:tcPr>
          <w:p w14:paraId="7F9B4E7B" w14:textId="77777777" w:rsidR="0042155D" w:rsidRPr="00436841" w:rsidRDefault="0042155D" w:rsidP="00ED58D3">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4.80 (1.88-12.20)</w:t>
            </w:r>
          </w:p>
        </w:tc>
      </w:tr>
    </w:tbl>
    <w:p w14:paraId="2BEFA4BA" w14:textId="42EB22F7" w:rsidR="00424BA6" w:rsidRPr="00436841" w:rsidRDefault="000A3D85" w:rsidP="00ED58D3">
      <w:pPr>
        <w:spacing w:line="360" w:lineRule="auto"/>
        <w:jc w:val="both"/>
        <w:rPr>
          <w:rFonts w:ascii="Book Antiqua" w:hAnsi="Book Antiqua" w:cstheme="minorHAnsi"/>
        </w:rPr>
      </w:pPr>
      <w:r w:rsidRPr="00436841">
        <w:rPr>
          <w:rFonts w:ascii="Book Antiqua" w:hAnsi="Book Antiqua" w:cstheme="minorHAnsi"/>
        </w:rPr>
        <w:t xml:space="preserve">Hepatitis B virus infection status was identified by positive serum </w:t>
      </w:r>
      <w:r w:rsidR="00280434" w:rsidRPr="00436841">
        <w:rPr>
          <w:rFonts w:ascii="Book Antiqua" w:hAnsi="Book Antiqua" w:cstheme="minorHAnsi"/>
        </w:rPr>
        <w:t>Hepatitis B surface antigen (</w:t>
      </w:r>
      <w:r w:rsidRPr="00436841">
        <w:rPr>
          <w:rFonts w:ascii="Book Antiqua" w:hAnsi="Book Antiqua" w:cstheme="minorHAnsi"/>
        </w:rPr>
        <w:t>HBsAg</w:t>
      </w:r>
      <w:r w:rsidR="00280434" w:rsidRPr="00436841">
        <w:rPr>
          <w:rFonts w:ascii="Book Antiqua" w:hAnsi="Book Antiqua" w:cstheme="minorHAnsi"/>
        </w:rPr>
        <w:t>)</w:t>
      </w:r>
      <w:r w:rsidRPr="00436841">
        <w:rPr>
          <w:rFonts w:ascii="Book Antiqua" w:hAnsi="Book Antiqua" w:cstheme="minorHAnsi"/>
        </w:rPr>
        <w:t xml:space="preserve">, unless reported otherwise. Cohort studies reported incidence rates of intrahepatic cholangiocarcinoma </w:t>
      </w:r>
      <w:r w:rsidR="00DA7CC7" w:rsidRPr="00D866CC">
        <w:rPr>
          <w:rFonts w:ascii="Book Antiqua" w:hAnsi="Book Antiqua" w:cstheme="minorHAnsi"/>
        </w:rPr>
        <w:t>per</w:t>
      </w:r>
      <w:r w:rsidRPr="00E110C5">
        <w:rPr>
          <w:rFonts w:ascii="Book Antiqua" w:hAnsi="Book Antiqua" w:cstheme="minorHAnsi"/>
        </w:rPr>
        <w:t xml:space="preserve"> 100000 HBsAg seropositive person-years (p-yrs). </w:t>
      </w:r>
      <w:r w:rsidR="00E110C5" w:rsidRPr="009A1362">
        <w:rPr>
          <w:rFonts w:ascii="Book Antiqua" w:hAnsi="Book Antiqua" w:cstheme="minorHAnsi"/>
        </w:rPr>
        <w:t>CI: Confidence interval; HBsAg: Hepatitis B surface antigen;</w:t>
      </w:r>
      <w:r w:rsidR="00E110C5">
        <w:rPr>
          <w:rFonts w:ascii="Book Antiqua" w:hAnsi="Book Antiqua" w:cstheme="minorHAnsi"/>
        </w:rPr>
        <w:t xml:space="preserve"> </w:t>
      </w:r>
      <w:r w:rsidR="00E110C5" w:rsidRPr="009A1362">
        <w:rPr>
          <w:rFonts w:ascii="Book Antiqua" w:hAnsi="Book Antiqua" w:cstheme="minorHAnsi"/>
        </w:rPr>
        <w:t>HBV: Hepatitis B virus; iCCA: Intrahepatic cholangiocarcinoma</w:t>
      </w:r>
      <w:r w:rsidR="00E110C5">
        <w:rPr>
          <w:rFonts w:ascii="Book Antiqua" w:hAnsi="Book Antiqua" w:cstheme="minorHAnsi"/>
        </w:rPr>
        <w:t xml:space="preserve">; </w:t>
      </w:r>
      <w:r w:rsidR="00424BA6" w:rsidRPr="00E110C5">
        <w:rPr>
          <w:rFonts w:ascii="Book Antiqua" w:hAnsi="Book Antiqua" w:cstheme="minorHAnsi"/>
        </w:rPr>
        <w:t xml:space="preserve">NR: Not </w:t>
      </w:r>
      <w:r w:rsidRPr="00E110C5">
        <w:rPr>
          <w:rFonts w:ascii="Book Antiqua" w:hAnsi="Book Antiqua" w:cstheme="minorHAnsi"/>
        </w:rPr>
        <w:t>r</w:t>
      </w:r>
      <w:r w:rsidR="00424BA6" w:rsidRPr="00E110C5">
        <w:rPr>
          <w:rFonts w:ascii="Book Antiqua" w:hAnsi="Book Antiqua" w:cstheme="minorHAnsi"/>
        </w:rPr>
        <w:t>eported</w:t>
      </w:r>
      <w:r w:rsidRPr="00E110C5">
        <w:rPr>
          <w:rFonts w:ascii="Book Antiqua" w:hAnsi="Book Antiqua" w:cstheme="minorHAnsi"/>
        </w:rPr>
        <w:t>;</w:t>
      </w:r>
      <w:r w:rsidR="00424BA6" w:rsidRPr="00E110C5">
        <w:rPr>
          <w:rFonts w:ascii="Book Antiqua" w:hAnsi="Book Antiqua" w:cstheme="minorHAnsi"/>
        </w:rPr>
        <w:t xml:space="preserve"> OR: Odds </w:t>
      </w:r>
      <w:r w:rsidRPr="00E110C5">
        <w:rPr>
          <w:rFonts w:ascii="Book Antiqua" w:hAnsi="Book Antiqua" w:cstheme="minorHAnsi"/>
        </w:rPr>
        <w:t>r</w:t>
      </w:r>
      <w:r w:rsidR="00424BA6" w:rsidRPr="00E110C5">
        <w:rPr>
          <w:rFonts w:ascii="Book Antiqua" w:hAnsi="Book Antiqua" w:cstheme="minorHAnsi"/>
        </w:rPr>
        <w:t>atio</w:t>
      </w:r>
      <w:r w:rsidR="00E110C5">
        <w:rPr>
          <w:rFonts w:ascii="Book Antiqua" w:hAnsi="Book Antiqua" w:cstheme="minorHAnsi"/>
        </w:rPr>
        <w:t>.</w:t>
      </w:r>
    </w:p>
    <w:p w14:paraId="238F4325" w14:textId="77777777" w:rsidR="00DC5861" w:rsidRPr="00436841" w:rsidRDefault="00DC5861" w:rsidP="00ED58D3">
      <w:pPr>
        <w:spacing w:line="360" w:lineRule="auto"/>
        <w:jc w:val="both"/>
        <w:rPr>
          <w:rFonts w:ascii="Book Antiqua" w:hAnsi="Book Antiqua" w:cstheme="minorHAnsi"/>
        </w:rPr>
      </w:pPr>
    </w:p>
    <w:p w14:paraId="4A0FB889" w14:textId="77777777" w:rsidR="00DC5861" w:rsidRPr="00436841" w:rsidRDefault="00DC5861" w:rsidP="00ED58D3">
      <w:pPr>
        <w:spacing w:line="360" w:lineRule="auto"/>
        <w:jc w:val="both"/>
        <w:rPr>
          <w:rFonts w:ascii="Book Antiqua" w:hAnsi="Book Antiqua"/>
        </w:rPr>
        <w:sectPr w:rsidR="00DC5861" w:rsidRPr="00436841" w:rsidSect="00D17D0D">
          <w:pgSz w:w="15840" w:h="12240" w:orient="landscape"/>
          <w:pgMar w:top="1440" w:right="1440" w:bottom="1440" w:left="1440" w:header="720" w:footer="720" w:gutter="0"/>
          <w:cols w:space="720"/>
          <w:docGrid w:linePitch="360"/>
        </w:sectPr>
      </w:pPr>
    </w:p>
    <w:p w14:paraId="58272E4B" w14:textId="77777777" w:rsidR="00DC5861" w:rsidRPr="00187865" w:rsidRDefault="00DC5861" w:rsidP="00ED58D3">
      <w:pPr>
        <w:spacing w:line="360" w:lineRule="auto"/>
        <w:jc w:val="both"/>
        <w:rPr>
          <w:rFonts w:ascii="Book Antiqua" w:eastAsia="Calibri" w:hAnsi="Book Antiqua" w:cstheme="minorHAnsi"/>
        </w:rPr>
      </w:pPr>
      <w:r w:rsidRPr="00436841">
        <w:rPr>
          <w:rFonts w:ascii="Book Antiqua" w:hAnsi="Book Antiqua" w:cstheme="minorHAnsi"/>
          <w:b/>
        </w:rPr>
        <w:lastRenderedPageBreak/>
        <w:t xml:space="preserve">Table 2 Summary of meta-analyses evaluating </w:t>
      </w:r>
      <w:r w:rsidR="006D00FA" w:rsidRPr="00E110C5">
        <w:rPr>
          <w:rFonts w:ascii="Book Antiqua" w:hAnsi="Book Antiqua" w:cstheme="minorHAnsi"/>
          <w:b/>
          <w:bCs/>
        </w:rPr>
        <w:t>hepatitis B virus</w:t>
      </w:r>
      <w:r w:rsidRPr="00E110C5">
        <w:rPr>
          <w:rFonts w:ascii="Book Antiqua" w:hAnsi="Book Antiqua" w:cstheme="minorHAnsi"/>
          <w:b/>
        </w:rPr>
        <w:t xml:space="preserve"> infection as </w:t>
      </w:r>
      <w:r w:rsidR="00E110C5">
        <w:rPr>
          <w:rFonts w:ascii="Book Antiqua" w:hAnsi="Book Antiqua" w:cstheme="minorHAnsi"/>
          <w:b/>
        </w:rPr>
        <w:t xml:space="preserve">a </w:t>
      </w:r>
      <w:r w:rsidRPr="00E110C5">
        <w:rPr>
          <w:rFonts w:ascii="Book Antiqua" w:hAnsi="Book Antiqua" w:cstheme="minorHAnsi"/>
          <w:b/>
        </w:rPr>
        <w:t xml:space="preserve">risk factor for </w:t>
      </w:r>
      <w:r w:rsidR="006D00FA" w:rsidRPr="00E110C5">
        <w:rPr>
          <w:rFonts w:ascii="Book Antiqua" w:hAnsi="Book Antiqua" w:cstheme="minorHAnsi"/>
          <w:b/>
          <w:bCs/>
        </w:rPr>
        <w:t>intrahepatic cholangiocarcinoma</w:t>
      </w:r>
      <w:r w:rsidRPr="00326C94">
        <w:rPr>
          <w:rFonts w:ascii="Book Antiqua" w:eastAsia="Calibri" w:hAnsi="Book Antiqua" w:cstheme="minorHAnsi"/>
          <w:b/>
          <w:bCs/>
        </w:rPr>
        <w:t xml:space="preserve"> </w:t>
      </w:r>
    </w:p>
    <w:tbl>
      <w:tblPr>
        <w:tblW w:w="15168" w:type="dxa"/>
        <w:tblInd w:w="-1026" w:type="dxa"/>
        <w:tblBorders>
          <w:top w:val="single" w:sz="4" w:space="0" w:color="auto"/>
          <w:bottom w:val="single" w:sz="4" w:space="0" w:color="auto"/>
        </w:tblBorders>
        <w:tblLayout w:type="fixed"/>
        <w:tblLook w:val="04A0" w:firstRow="1" w:lastRow="0" w:firstColumn="1" w:lastColumn="0" w:noHBand="0" w:noVBand="1"/>
      </w:tblPr>
      <w:tblGrid>
        <w:gridCol w:w="1276"/>
        <w:gridCol w:w="1418"/>
        <w:gridCol w:w="1417"/>
        <w:gridCol w:w="1418"/>
        <w:gridCol w:w="992"/>
        <w:gridCol w:w="992"/>
        <w:gridCol w:w="1843"/>
        <w:gridCol w:w="2268"/>
        <w:gridCol w:w="3544"/>
      </w:tblGrid>
      <w:tr w:rsidR="004825E1" w:rsidRPr="00436841" w14:paraId="6AF399E4" w14:textId="77777777" w:rsidTr="009278CB">
        <w:trPr>
          <w:trHeight w:val="660"/>
        </w:trPr>
        <w:tc>
          <w:tcPr>
            <w:tcW w:w="1276" w:type="dxa"/>
            <w:tcBorders>
              <w:top w:val="single" w:sz="4" w:space="0" w:color="auto"/>
              <w:bottom w:val="single" w:sz="4" w:space="0" w:color="auto"/>
            </w:tcBorders>
            <w:shd w:val="clear" w:color="auto" w:fill="auto"/>
            <w:noWrap/>
          </w:tcPr>
          <w:p w14:paraId="7227DADF" w14:textId="77777777" w:rsidR="00DC5861" w:rsidRPr="00436841" w:rsidRDefault="00121C3C" w:rsidP="004825E1">
            <w:pPr>
              <w:spacing w:line="360" w:lineRule="auto"/>
              <w:jc w:val="both"/>
              <w:rPr>
                <w:rFonts w:ascii="Book Antiqua" w:hAnsi="Book Antiqua" w:cstheme="minorHAnsi"/>
                <w:b/>
                <w:color w:val="000000"/>
                <w:lang w:eastAsia="el-GR"/>
              </w:rPr>
            </w:pPr>
            <w:r w:rsidRPr="00436841">
              <w:rPr>
                <w:rFonts w:ascii="Book Antiqua" w:hAnsi="Book Antiqua" w:cstheme="minorHAnsi"/>
                <w:b/>
                <w:color w:val="000000"/>
                <w:lang w:eastAsia="el-GR"/>
              </w:rPr>
              <w:t>Ref.</w:t>
            </w:r>
          </w:p>
        </w:tc>
        <w:tc>
          <w:tcPr>
            <w:tcW w:w="1418" w:type="dxa"/>
            <w:tcBorders>
              <w:top w:val="single" w:sz="4" w:space="0" w:color="auto"/>
              <w:bottom w:val="single" w:sz="4" w:space="0" w:color="auto"/>
            </w:tcBorders>
            <w:shd w:val="clear" w:color="auto" w:fill="auto"/>
            <w:noWrap/>
          </w:tcPr>
          <w:p w14:paraId="7E047EDD" w14:textId="77777777" w:rsidR="00DC5861" w:rsidRPr="00436841" w:rsidRDefault="00DC5861" w:rsidP="004825E1">
            <w:pPr>
              <w:spacing w:line="360" w:lineRule="auto"/>
              <w:jc w:val="both"/>
              <w:rPr>
                <w:rFonts w:ascii="Book Antiqua" w:hAnsi="Book Antiqua" w:cstheme="minorHAnsi"/>
                <w:b/>
                <w:color w:val="000000"/>
                <w:lang w:eastAsia="el-GR"/>
              </w:rPr>
            </w:pPr>
            <w:r w:rsidRPr="00436841">
              <w:rPr>
                <w:rFonts w:ascii="Book Antiqua" w:hAnsi="Book Antiqua" w:cstheme="minorHAnsi"/>
                <w:b/>
                <w:color w:val="000000"/>
                <w:lang w:eastAsia="el-GR"/>
              </w:rPr>
              <w:t>Number of included studies</w:t>
            </w:r>
          </w:p>
        </w:tc>
        <w:tc>
          <w:tcPr>
            <w:tcW w:w="1417" w:type="dxa"/>
            <w:tcBorders>
              <w:top w:val="single" w:sz="4" w:space="0" w:color="auto"/>
              <w:bottom w:val="single" w:sz="4" w:space="0" w:color="auto"/>
            </w:tcBorders>
            <w:shd w:val="clear" w:color="auto" w:fill="auto"/>
            <w:noWrap/>
          </w:tcPr>
          <w:p w14:paraId="0D83ED2F" w14:textId="77777777" w:rsidR="00DC5861" w:rsidRPr="00436841" w:rsidRDefault="00DC5861" w:rsidP="004825E1">
            <w:pPr>
              <w:spacing w:line="360" w:lineRule="auto"/>
              <w:jc w:val="both"/>
              <w:rPr>
                <w:rFonts w:ascii="Book Antiqua" w:hAnsi="Book Antiqua" w:cstheme="minorHAnsi"/>
                <w:b/>
                <w:color w:val="000000"/>
                <w:lang w:eastAsia="el-GR"/>
              </w:rPr>
            </w:pPr>
            <w:r w:rsidRPr="00436841">
              <w:rPr>
                <w:rFonts w:ascii="Book Antiqua" w:hAnsi="Book Antiqua" w:cstheme="minorHAnsi"/>
                <w:b/>
                <w:color w:val="000000"/>
                <w:lang w:eastAsia="el-GR"/>
              </w:rPr>
              <w:t xml:space="preserve">Data </w:t>
            </w:r>
            <w:r w:rsidR="00121C3C" w:rsidRPr="00436841">
              <w:rPr>
                <w:rFonts w:ascii="Book Antiqua" w:hAnsi="Book Antiqua" w:cstheme="minorHAnsi"/>
                <w:b/>
                <w:color w:val="000000"/>
                <w:lang w:eastAsia="el-GR"/>
              </w:rPr>
              <w:t>c</w:t>
            </w:r>
            <w:r w:rsidRPr="00436841">
              <w:rPr>
                <w:rFonts w:ascii="Book Antiqua" w:hAnsi="Book Antiqua" w:cstheme="minorHAnsi"/>
                <w:b/>
                <w:color w:val="000000"/>
                <w:lang w:eastAsia="el-GR"/>
              </w:rPr>
              <w:t xml:space="preserve">ollection </w:t>
            </w:r>
            <w:r w:rsidR="00121C3C" w:rsidRPr="00436841">
              <w:rPr>
                <w:rFonts w:ascii="Book Antiqua" w:hAnsi="Book Antiqua" w:cstheme="minorHAnsi"/>
                <w:b/>
                <w:color w:val="000000"/>
                <w:lang w:eastAsia="el-GR"/>
              </w:rPr>
              <w:t>p</w:t>
            </w:r>
            <w:r w:rsidRPr="00436841">
              <w:rPr>
                <w:rFonts w:ascii="Book Antiqua" w:hAnsi="Book Antiqua" w:cstheme="minorHAnsi"/>
                <w:b/>
                <w:color w:val="000000"/>
                <w:lang w:eastAsia="el-GR"/>
              </w:rPr>
              <w:t>eriod</w:t>
            </w:r>
          </w:p>
        </w:tc>
        <w:tc>
          <w:tcPr>
            <w:tcW w:w="1418" w:type="dxa"/>
            <w:tcBorders>
              <w:top w:val="single" w:sz="4" w:space="0" w:color="auto"/>
              <w:bottom w:val="single" w:sz="4" w:space="0" w:color="auto"/>
            </w:tcBorders>
          </w:tcPr>
          <w:p w14:paraId="192ED228" w14:textId="77777777" w:rsidR="00DC5861" w:rsidRPr="00436841" w:rsidRDefault="00DC5861" w:rsidP="004825E1">
            <w:pPr>
              <w:spacing w:line="360" w:lineRule="auto"/>
              <w:jc w:val="both"/>
              <w:rPr>
                <w:rFonts w:ascii="Book Antiqua" w:hAnsi="Book Antiqua" w:cstheme="minorHAnsi"/>
                <w:b/>
                <w:color w:val="000000"/>
                <w:lang w:eastAsia="el-GR"/>
              </w:rPr>
            </w:pPr>
            <w:r w:rsidRPr="00436841">
              <w:rPr>
                <w:rFonts w:ascii="Book Antiqua" w:hAnsi="Book Antiqua" w:cstheme="minorHAnsi"/>
                <w:b/>
                <w:color w:val="000000"/>
                <w:lang w:eastAsia="el-GR"/>
              </w:rPr>
              <w:t>Regions</w:t>
            </w:r>
          </w:p>
        </w:tc>
        <w:tc>
          <w:tcPr>
            <w:tcW w:w="992" w:type="dxa"/>
            <w:tcBorders>
              <w:top w:val="single" w:sz="4" w:space="0" w:color="auto"/>
              <w:bottom w:val="single" w:sz="4" w:space="0" w:color="auto"/>
            </w:tcBorders>
          </w:tcPr>
          <w:p w14:paraId="34411735" w14:textId="77777777" w:rsidR="00DC5861" w:rsidRPr="00436841" w:rsidRDefault="00DC5861" w:rsidP="004825E1">
            <w:pPr>
              <w:spacing w:line="360" w:lineRule="auto"/>
              <w:jc w:val="both"/>
              <w:rPr>
                <w:rFonts w:ascii="Book Antiqua" w:hAnsi="Book Antiqua" w:cstheme="minorHAnsi"/>
                <w:b/>
                <w:color w:val="000000"/>
                <w:lang w:eastAsia="el-GR"/>
              </w:rPr>
            </w:pPr>
            <w:r w:rsidRPr="00436841">
              <w:rPr>
                <w:rFonts w:ascii="Book Antiqua" w:hAnsi="Book Antiqua" w:cstheme="minorHAnsi"/>
                <w:b/>
                <w:color w:val="000000"/>
                <w:lang w:eastAsia="el-GR"/>
              </w:rPr>
              <w:t>Cases</w:t>
            </w:r>
          </w:p>
        </w:tc>
        <w:tc>
          <w:tcPr>
            <w:tcW w:w="992" w:type="dxa"/>
            <w:tcBorders>
              <w:top w:val="single" w:sz="4" w:space="0" w:color="auto"/>
              <w:bottom w:val="single" w:sz="4" w:space="0" w:color="auto"/>
            </w:tcBorders>
          </w:tcPr>
          <w:p w14:paraId="40241B74" w14:textId="77777777" w:rsidR="00DC5861" w:rsidRPr="00436841" w:rsidRDefault="00DC5861" w:rsidP="004825E1">
            <w:pPr>
              <w:spacing w:line="360" w:lineRule="auto"/>
              <w:jc w:val="both"/>
              <w:rPr>
                <w:rFonts w:ascii="Book Antiqua" w:hAnsi="Book Antiqua" w:cstheme="minorHAnsi"/>
                <w:b/>
                <w:color w:val="000000"/>
                <w:lang w:eastAsia="el-GR"/>
              </w:rPr>
            </w:pPr>
            <w:r w:rsidRPr="00436841">
              <w:rPr>
                <w:rFonts w:ascii="Book Antiqua" w:hAnsi="Book Antiqua" w:cstheme="minorHAnsi"/>
                <w:b/>
                <w:color w:val="000000"/>
                <w:lang w:eastAsia="el-GR"/>
              </w:rPr>
              <w:t>Controls</w:t>
            </w:r>
          </w:p>
        </w:tc>
        <w:tc>
          <w:tcPr>
            <w:tcW w:w="1843" w:type="dxa"/>
            <w:tcBorders>
              <w:top w:val="single" w:sz="4" w:space="0" w:color="auto"/>
              <w:bottom w:val="single" w:sz="4" w:space="0" w:color="auto"/>
            </w:tcBorders>
          </w:tcPr>
          <w:p w14:paraId="443E0AC1" w14:textId="77777777" w:rsidR="00DC5861" w:rsidRPr="00436841" w:rsidRDefault="00DC5861" w:rsidP="004825E1">
            <w:pPr>
              <w:spacing w:line="360" w:lineRule="auto"/>
              <w:jc w:val="both"/>
              <w:rPr>
                <w:rFonts w:ascii="Book Antiqua" w:hAnsi="Book Antiqua" w:cstheme="minorHAnsi"/>
                <w:b/>
                <w:color w:val="000000"/>
                <w:lang w:eastAsia="el-GR"/>
              </w:rPr>
            </w:pPr>
            <w:r w:rsidRPr="00436841">
              <w:rPr>
                <w:rFonts w:ascii="Book Antiqua" w:hAnsi="Book Antiqua" w:cstheme="minorHAnsi"/>
                <w:b/>
                <w:color w:val="000000"/>
                <w:lang w:eastAsia="el-GR"/>
              </w:rPr>
              <w:t>Pooled OR (95%CI) for HBV infection</w:t>
            </w:r>
          </w:p>
        </w:tc>
        <w:tc>
          <w:tcPr>
            <w:tcW w:w="2268" w:type="dxa"/>
            <w:tcBorders>
              <w:top w:val="single" w:sz="4" w:space="0" w:color="auto"/>
              <w:bottom w:val="single" w:sz="4" w:space="0" w:color="auto"/>
            </w:tcBorders>
          </w:tcPr>
          <w:p w14:paraId="1B2F713F" w14:textId="77777777" w:rsidR="00DC5861" w:rsidRPr="00436841" w:rsidRDefault="00DC5861" w:rsidP="004825E1">
            <w:pPr>
              <w:spacing w:line="360" w:lineRule="auto"/>
              <w:jc w:val="both"/>
              <w:rPr>
                <w:rFonts w:ascii="Book Antiqua" w:hAnsi="Book Antiqua" w:cstheme="minorHAnsi"/>
                <w:b/>
                <w:color w:val="000000"/>
                <w:lang w:eastAsia="el-GR"/>
              </w:rPr>
            </w:pPr>
            <w:r w:rsidRPr="00436841">
              <w:rPr>
                <w:rFonts w:ascii="Book Antiqua" w:hAnsi="Book Antiqua" w:cstheme="minorHAnsi"/>
                <w:b/>
                <w:color w:val="000000"/>
                <w:lang w:eastAsia="el-GR"/>
              </w:rPr>
              <w:t>Heterogeneity</w:t>
            </w:r>
          </w:p>
        </w:tc>
        <w:tc>
          <w:tcPr>
            <w:tcW w:w="3544" w:type="dxa"/>
            <w:tcBorders>
              <w:top w:val="single" w:sz="4" w:space="0" w:color="auto"/>
              <w:bottom w:val="single" w:sz="4" w:space="0" w:color="auto"/>
            </w:tcBorders>
            <w:shd w:val="clear" w:color="auto" w:fill="auto"/>
          </w:tcPr>
          <w:p w14:paraId="06183D48" w14:textId="77777777" w:rsidR="00DC5861" w:rsidRPr="00436841" w:rsidRDefault="00DC5861" w:rsidP="004825E1">
            <w:pPr>
              <w:spacing w:line="360" w:lineRule="auto"/>
              <w:jc w:val="both"/>
              <w:rPr>
                <w:rFonts w:ascii="Book Antiqua" w:hAnsi="Book Antiqua" w:cstheme="minorHAnsi"/>
                <w:b/>
                <w:color w:val="000000"/>
                <w:lang w:eastAsia="el-GR"/>
              </w:rPr>
            </w:pPr>
            <w:r w:rsidRPr="00436841">
              <w:rPr>
                <w:rFonts w:ascii="Book Antiqua" w:hAnsi="Book Antiqua" w:cstheme="minorHAnsi"/>
                <w:b/>
                <w:color w:val="000000"/>
                <w:lang w:eastAsia="el-GR"/>
              </w:rPr>
              <w:t>Publication bias</w:t>
            </w:r>
          </w:p>
        </w:tc>
      </w:tr>
      <w:tr w:rsidR="004825E1" w:rsidRPr="00436841" w14:paraId="2DFECE8C" w14:textId="77777777" w:rsidTr="009278CB">
        <w:trPr>
          <w:trHeight w:val="794"/>
        </w:trPr>
        <w:tc>
          <w:tcPr>
            <w:tcW w:w="1276" w:type="dxa"/>
            <w:tcBorders>
              <w:top w:val="single" w:sz="4" w:space="0" w:color="auto"/>
            </w:tcBorders>
            <w:shd w:val="clear" w:color="auto" w:fill="auto"/>
            <w:noWrap/>
            <w:hideMark/>
          </w:tcPr>
          <w:p w14:paraId="1E63BC83" w14:textId="77777777" w:rsidR="00DC5861" w:rsidRPr="00326C94"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 xml:space="preserve">Clements </w:t>
            </w:r>
            <w:r w:rsidRPr="00436841">
              <w:rPr>
                <w:rFonts w:ascii="Book Antiqua" w:hAnsi="Book Antiqua" w:cstheme="minorHAnsi"/>
                <w:i/>
                <w:iCs/>
                <w:color w:val="000000"/>
                <w:lang w:eastAsia="el-GR"/>
              </w:rPr>
              <w:t>et al</w:t>
            </w:r>
            <w:r w:rsidR="00DA7CC7" w:rsidRPr="00475777">
              <w:rPr>
                <w:rFonts w:ascii="Book Antiqua" w:hAnsi="Book Antiqua" w:cstheme="minorHAnsi"/>
                <w:color w:val="000000"/>
                <w:lang w:eastAsia="el-GR"/>
              </w:rPr>
              <w:fldChar w:fldCharType="begin" w:fldLock="1"/>
            </w:r>
            <w:r w:rsidR="00121C3C" w:rsidRPr="00436841">
              <w:rPr>
                <w:rFonts w:ascii="Book Antiqua" w:hAnsi="Book Antiqua" w:cstheme="minorHAnsi"/>
                <w:color w:val="000000"/>
                <w:lang w:eastAsia="el-GR"/>
              </w:rPr>
              <w:instrText>ADDIN CSL_CITATION {"citationItems":[{"id":"ITEM-1","itemData":{"DOI":"10.1016/j.jhep.2019.09.007","ISSN":"1600-0641 (Electronic)","PMID":"31536748","abstract":"BACKGROUND &amp; AIMS: Cholangiocarcinoma (CCA) carries a poor prognosis, is increasing in incidence and its causes are poorly understood. Although some risk factors are known, they vary globally and collectively account for a minority of cases. The aim of this study was to perform a comprehensive meta-analysis of risk factors for intrahepatic (iCCA) and extrahepatic cholangiocarcinoma (eCCA), from Eastern and Western world studies. METHODS: A literature search of case-control studies was performed to identify potential risk factors for iCCA and eCCA. Pooled odds ratios (ORs) with 95% CIs and heterogeneity were calculated. Funnel plots were used to assess publication bias, and meta-regression was used to select risk factors for comparison between Eastern and Western studies. RESULTS: A total of 13 risk factors were selected from 25 case-control studies in 7 geographically diverse countries. The strongest risk factors for both iCCA and eCCA were biliary cysts and stones, cirrhosis, hepatitis B and hepatitis C. Choledochal cysts conferred the greatest risk of both iCCA and eCCA with pooled ORs of 26.71 (95% CI 15.80-45.16) and 34.94 (24.36-50.12), respectively. No significant associations were found between hypertension and obesity for either iCCA or eCCA. Comparing Eastern and Western populations, there was a difference for the association of hepatitis B with iCCA (coefficient = -0.15195; 95% CI -0.278 to -0.025; p = 0.022). CONCLUSION: This is the most comprehensive meta-analysis of CCA risk factors to date. Some risk factors, such as diabetes, although less strong, are increasing globally and may be contributing to rising rates of this cancer. LAY SUMMARY: Cholangiocarcinoma (CCA) is a cancer arising in the bile ducts inside (intrahepatic CCA) and connected to the liver (extrahepatic CCA). It is a very aggressive cancer: 95% of patients die within 5 years. CCA rates are increasing globally, but the causes of CCA are poorly understood. The few risk factors that are known account for only a minority of cases. In this study, we found that the strongest risk factors for both intrahepatic and extrahepatic CCA are cysts and stones in the bile ducts, cirrhosis, and hepatitis B and C viruses. Some risk factors for CCA, such as diabetes, although less strong, are increasing globally and may be contributing to rising rates of CCA.","author":[{"dropping-particle":"","family":"Clements","given":"Oliver","non-dropping-particle":"","parse-names":false,"suffix":""},{"dropping-particle":"","family":"Eliahoo","given":"Joseph","non-dropping-particle":"","parse-names":false,"suffix":""},{"dropping-particle":"","family":"Kim","given":"Jin Un","non-dropping-particle":"","parse-names":false,"suffix":""},{"dropping-particle":"","family":"Taylor-Robinson","given":"Simon D","non-dropping-particle":"","parse-names":false,"suffix":""},{"dropping-particle":"","family":"Khan","given":"Shahid A","non-dropping-particle":"","parse-names":false,"suffix":""}],"container-title":"Journal of hepatology","id":"ITEM-1","issue":"1","issued":{"date-parts":[["2020","1"]]},"language":"eng","page":"95-103","publisher-place":"Netherlands","title":"Risk factors for intrahepatic and extrahepatic cholangiocarcinoma: A systematic review and meta-analysis.","type":"article-journal","volume":"72"},"uris":["http://www.mendeley.com/documents/?uuid=599b7e4f-f72c-4a31-bc2a-91298e97e096"]}],"mendeley":{"formattedCitation":"&lt;sup&gt;[3]&lt;/sup&gt;","plainTextFormattedCitation":"[3]","previouslyFormattedCitation":"&lt;sup&gt;[3]&lt;/sup&gt;"},"properties":{"noteIndex":0},"schema":"https://github.com/citation-style-language/schema/raw/master/csl-citation.json"}</w:instrText>
            </w:r>
            <w:r w:rsidR="00DA7CC7" w:rsidRPr="00D866CC">
              <w:rPr>
                <w:rFonts w:ascii="Book Antiqua" w:hAnsi="Book Antiqua" w:cstheme="minorHAnsi"/>
                <w:color w:val="000000"/>
                <w:lang w:eastAsia="el-GR"/>
              </w:rPr>
              <w:fldChar w:fldCharType="separate"/>
            </w:r>
            <w:r w:rsidR="00121C3C" w:rsidRPr="00475777">
              <w:rPr>
                <w:rFonts w:ascii="Book Antiqua" w:hAnsi="Book Antiqua" w:cstheme="minorHAnsi"/>
                <w:noProof/>
                <w:color w:val="000000"/>
                <w:vertAlign w:val="superscript"/>
                <w:lang w:eastAsia="el-GR"/>
              </w:rPr>
              <w:t>[3]</w:t>
            </w:r>
            <w:r w:rsidR="00DA7CC7" w:rsidRPr="00475777">
              <w:rPr>
                <w:rFonts w:ascii="Book Antiqua" w:hAnsi="Book Antiqua" w:cstheme="minorHAnsi"/>
                <w:color w:val="000000"/>
                <w:lang w:eastAsia="el-GR"/>
              </w:rPr>
              <w:fldChar w:fldCharType="end"/>
            </w:r>
            <w:r w:rsidRPr="00436841">
              <w:rPr>
                <w:rFonts w:ascii="Book Antiqua" w:hAnsi="Book Antiqua" w:cstheme="minorHAnsi"/>
                <w:color w:val="000000"/>
                <w:lang w:eastAsia="el-GR"/>
              </w:rPr>
              <w:t xml:space="preserve">, 2020 </w:t>
            </w:r>
          </w:p>
        </w:tc>
        <w:tc>
          <w:tcPr>
            <w:tcW w:w="1418" w:type="dxa"/>
            <w:tcBorders>
              <w:top w:val="single" w:sz="4" w:space="0" w:color="auto"/>
            </w:tcBorders>
            <w:shd w:val="clear" w:color="auto" w:fill="auto"/>
            <w:noWrap/>
            <w:hideMark/>
          </w:tcPr>
          <w:p w14:paraId="7343AAA7"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Case-control = 18</w:t>
            </w:r>
          </w:p>
        </w:tc>
        <w:tc>
          <w:tcPr>
            <w:tcW w:w="1417" w:type="dxa"/>
            <w:tcBorders>
              <w:top w:val="single" w:sz="4" w:space="0" w:color="auto"/>
            </w:tcBorders>
            <w:shd w:val="clear" w:color="auto" w:fill="auto"/>
            <w:noWrap/>
            <w:hideMark/>
          </w:tcPr>
          <w:p w14:paraId="05F6CA4C"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1991-2014</w:t>
            </w:r>
          </w:p>
        </w:tc>
        <w:tc>
          <w:tcPr>
            <w:tcW w:w="1418" w:type="dxa"/>
            <w:tcBorders>
              <w:top w:val="single" w:sz="4" w:space="0" w:color="auto"/>
            </w:tcBorders>
          </w:tcPr>
          <w:p w14:paraId="67BB8260"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Eastern = 12</w:t>
            </w:r>
            <w:r w:rsidR="002A67B9"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Western = 6</w:t>
            </w:r>
          </w:p>
        </w:tc>
        <w:tc>
          <w:tcPr>
            <w:tcW w:w="992" w:type="dxa"/>
            <w:tcBorders>
              <w:top w:val="single" w:sz="4" w:space="0" w:color="auto"/>
            </w:tcBorders>
          </w:tcPr>
          <w:p w14:paraId="1F8582A1"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14825</w:t>
            </w:r>
          </w:p>
        </w:tc>
        <w:tc>
          <w:tcPr>
            <w:tcW w:w="992" w:type="dxa"/>
            <w:tcBorders>
              <w:top w:val="single" w:sz="4" w:space="0" w:color="auto"/>
            </w:tcBorders>
          </w:tcPr>
          <w:p w14:paraId="5FF12796"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681181</w:t>
            </w:r>
          </w:p>
        </w:tc>
        <w:tc>
          <w:tcPr>
            <w:tcW w:w="1843" w:type="dxa"/>
            <w:tcBorders>
              <w:top w:val="single" w:sz="4" w:space="0" w:color="auto"/>
            </w:tcBorders>
          </w:tcPr>
          <w:p w14:paraId="4188A22C"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4.57 (3.43-6.09)</w:t>
            </w:r>
          </w:p>
        </w:tc>
        <w:tc>
          <w:tcPr>
            <w:tcW w:w="2268" w:type="dxa"/>
            <w:tcBorders>
              <w:top w:val="single" w:sz="4" w:space="0" w:color="auto"/>
            </w:tcBorders>
          </w:tcPr>
          <w:p w14:paraId="31C2556A"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i/>
                <w:color w:val="000000"/>
                <w:lang w:eastAsia="el-GR"/>
              </w:rPr>
              <w:t>I</w:t>
            </w:r>
            <w:r w:rsidRPr="00436841">
              <w:rPr>
                <w:rFonts w:ascii="Book Antiqua" w:hAnsi="Book Antiqua" w:cstheme="minorHAnsi"/>
                <w:i/>
                <w:color w:val="000000"/>
                <w:vertAlign w:val="superscript"/>
                <w:lang w:eastAsia="el-GR"/>
              </w:rPr>
              <w:t>2</w:t>
            </w:r>
            <w:r w:rsidR="002A67B9" w:rsidRPr="00436841">
              <w:rPr>
                <w:rFonts w:ascii="Book Antiqua" w:hAnsi="Book Antiqua" w:cstheme="minorHAnsi"/>
                <w:color w:val="000000"/>
                <w:vertAlign w:val="superscript"/>
                <w:lang w:eastAsia="el-GR"/>
              </w:rPr>
              <w:t xml:space="preserve"> </w:t>
            </w:r>
            <w:r w:rsidRPr="00436841">
              <w:rPr>
                <w:rFonts w:ascii="Book Antiqua" w:hAnsi="Book Antiqua" w:cstheme="minorHAnsi"/>
                <w:color w:val="000000"/>
                <w:lang w:eastAsia="el-GR"/>
              </w:rPr>
              <w:t>=</w:t>
            </w:r>
            <w:r w:rsidR="002A67B9"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83%</w:t>
            </w:r>
            <w:r w:rsidR="00E6747B"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Q</w:t>
            </w:r>
            <w:r w:rsidR="00E15E65"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w:t>
            </w:r>
            <w:r w:rsidR="00E15E65"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100.88 (</w:t>
            </w:r>
            <w:r w:rsidRPr="00436841">
              <w:rPr>
                <w:rFonts w:ascii="Book Antiqua" w:hAnsi="Book Antiqua" w:cstheme="minorHAnsi"/>
                <w:i/>
                <w:iCs/>
                <w:color w:val="000000"/>
                <w:lang w:eastAsia="el-GR"/>
              </w:rPr>
              <w:t>P</w:t>
            </w:r>
            <w:r w:rsidR="002A67B9"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&lt;</w:t>
            </w:r>
            <w:r w:rsidR="002A67B9"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 xml:space="preserve">0.001) </w:t>
            </w:r>
          </w:p>
        </w:tc>
        <w:tc>
          <w:tcPr>
            <w:tcW w:w="3544" w:type="dxa"/>
            <w:tcBorders>
              <w:top w:val="single" w:sz="4" w:space="0" w:color="auto"/>
            </w:tcBorders>
            <w:shd w:val="clear" w:color="auto" w:fill="auto"/>
            <w:hideMark/>
          </w:tcPr>
          <w:p w14:paraId="07539EC6"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Funnel plot: Symmetrical</w:t>
            </w:r>
            <w:r w:rsidR="00E6747B"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No bias</w:t>
            </w:r>
          </w:p>
        </w:tc>
      </w:tr>
      <w:tr w:rsidR="004825E1" w:rsidRPr="00436841" w14:paraId="1AC37F85" w14:textId="77777777" w:rsidTr="009278CB">
        <w:trPr>
          <w:trHeight w:val="794"/>
        </w:trPr>
        <w:tc>
          <w:tcPr>
            <w:tcW w:w="1276" w:type="dxa"/>
            <w:shd w:val="clear" w:color="auto" w:fill="auto"/>
            <w:noWrap/>
            <w:hideMark/>
          </w:tcPr>
          <w:p w14:paraId="2346A8AD" w14:textId="77777777" w:rsidR="00DC5861" w:rsidRPr="00475777"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 xml:space="preserve">Tan </w:t>
            </w:r>
            <w:r w:rsidRPr="00436841">
              <w:rPr>
                <w:rFonts w:ascii="Book Antiqua" w:hAnsi="Book Antiqua" w:cstheme="minorHAnsi"/>
                <w:i/>
                <w:iCs/>
                <w:color w:val="000000"/>
                <w:lang w:eastAsia="el-GR"/>
              </w:rPr>
              <w:t>et al</w:t>
            </w:r>
            <w:r w:rsidR="00DA7CC7" w:rsidRPr="00475777">
              <w:rPr>
                <w:rFonts w:ascii="Book Antiqua" w:hAnsi="Book Antiqua" w:cstheme="minorHAnsi"/>
                <w:color w:val="000000"/>
                <w:lang w:eastAsia="el-GR"/>
              </w:rPr>
              <w:fldChar w:fldCharType="begin" w:fldLock="1"/>
            </w:r>
            <w:r w:rsidR="00D47000" w:rsidRPr="00436841">
              <w:rPr>
                <w:rFonts w:ascii="Book Antiqua" w:hAnsi="Book Antiqua" w:cstheme="minorHAnsi"/>
                <w:color w:val="000000"/>
                <w:lang w:eastAsia="el-GR"/>
              </w:rPr>
              <w:instrText>ADDIN CSL_CITATION {"citationItems":[{"id":"ITEM-1","itemData":{"DOI":"10.5152/tjg.2020.19056","ISSN":"2148-5607 (Electronic)","PMID":"32343237","abstract":"BACKGROUND/AIMS: Previous study has shown a positive relationship between the hepatitis B virus (HBV) or hepatitis C virus (HCV) infection and cholangiocarcinoma (CCA); however, their correlation with different anatomical sites of CCA (i.e. ICC and ECC) has not been revealed. This study aims to evaluate the association of HBV or HCV infection with CCA, including the intrahepatic cholangiocarcinoma (ICC) and extrahepatic cholangiocarcinoma (ECC), and to determine the roles of α-1 fetoprotein (AFP), CA19-9, and lymph node involvement in CCA with HBV infection. MATERIALS AND METHODS: Relevant studies published between 2004 and 2016 were systematically searched and retrieved from PubMed, SpringerLink, and Science Direct using key terms such as \"cholangiocarcinoma\", \"bile duct cancer\", \"extrahepatic cholangiocarcinoma\", and \"intrahepatic cholangiocarcinoma\". The demographic, clinical, and laboratory data were extracted from the included studies, and the meta-analysis was performed using RevMan and STATA 11.0 software. RESULTS: A total of 13 studies with CCA matched the inclusion criteria in this meta-analysis, including 7,113 CCA patients and 24,763 controls. This meta-analysis showed that the HBV or HCV infections can significantly increase the risk of CCA, including ICC and ECC. In addition, the higher levels of AFP, lower levels of CA19-9, and lymph node involvement were detected in the CCA patients with HBV infection as compared to those without. CONCLUSION: The HBV and HCV infections significantly increased the risk of CCA, as well as ICC and ECC. The involvement of AFP, CA19-9, and lymph nodes may play an important role in the diagnosis of CCA.","author":[{"dropping-particle":"","family":"Tan","given":"Jie-Hui","non-dropping-particle":"","parse-names":false,"suffix":""},{"dropping-particle":"","family":"Zhou","given":"Wan-Yan","non-dropping-particle":"","parse-names":false,"suffix":""},{"dropping-particle":"","family":"Zhou","given":"Lei","non-dropping-particle":"","parse-names":false,"suffix":""},{"dropping-particle":"","family":"Cao","given":"Rong-Chang","non-dropping-particle":"","parse-names":false,"suffix":""},{"dropping-particle":"","family":"Zhang","given":"Guo-Wei","non-dropping-particle":"","parse-names":false,"suffix":""}],"container-title":"The Turkish journal of gastroenterology : the official journal of Turkish Society of Gastroenterology","id":"ITEM-1","issue":"3","issued":{"date-parts":[["2020","3"]]},"language":"eng","page":"246-256","title":"Viral hepatitis B and C infections increase the risks of intrahepatic and extrahepatic cholangiocarcinoma: Evidence from a systematic review and meta-analysis.","type":"article-journal","volume":"31"},"uris":["http://www.mendeley.com/documents/?uuid=072f0193-7c39-419f-b05d-1b98cc7941d2"]}],"mendeley":{"formattedCitation":"&lt;sup&gt;[38]&lt;/sup&gt;","plainTextFormattedCitation":"[38]","previouslyFormattedCitation":"&lt;sup&gt;[38]&lt;/sup&gt;"},"properties":{"noteIndex":0},"schema":"https://github.com/citation-style-language/schema/raw/master/csl-citation.json"}</w:instrText>
            </w:r>
            <w:r w:rsidR="00DA7CC7" w:rsidRPr="00D866CC">
              <w:rPr>
                <w:rFonts w:ascii="Book Antiqua" w:hAnsi="Book Antiqua" w:cstheme="minorHAnsi"/>
                <w:color w:val="000000"/>
                <w:lang w:eastAsia="el-GR"/>
              </w:rPr>
              <w:fldChar w:fldCharType="separate"/>
            </w:r>
            <w:r w:rsidR="00D47000" w:rsidRPr="00475777">
              <w:rPr>
                <w:rFonts w:ascii="Book Antiqua" w:hAnsi="Book Antiqua" w:cstheme="minorHAnsi"/>
                <w:noProof/>
                <w:color w:val="000000"/>
                <w:vertAlign w:val="superscript"/>
                <w:lang w:eastAsia="el-GR"/>
              </w:rPr>
              <w:t>[38]</w:t>
            </w:r>
            <w:r w:rsidR="00DA7CC7" w:rsidRPr="00475777">
              <w:rPr>
                <w:rFonts w:ascii="Book Antiqua" w:hAnsi="Book Antiqua" w:cstheme="minorHAnsi"/>
                <w:color w:val="000000"/>
                <w:lang w:eastAsia="el-GR"/>
              </w:rPr>
              <w:fldChar w:fldCharType="end"/>
            </w:r>
            <w:r w:rsidRPr="00436841">
              <w:rPr>
                <w:rFonts w:ascii="Book Antiqua" w:hAnsi="Book Antiqua" w:cstheme="minorHAnsi"/>
                <w:color w:val="000000"/>
                <w:lang w:eastAsia="el-GR"/>
              </w:rPr>
              <w:t>, 2020</w:t>
            </w:r>
          </w:p>
        </w:tc>
        <w:tc>
          <w:tcPr>
            <w:tcW w:w="1418" w:type="dxa"/>
            <w:shd w:val="clear" w:color="auto" w:fill="auto"/>
            <w:noWrap/>
            <w:hideMark/>
          </w:tcPr>
          <w:p w14:paraId="68C1CA30" w14:textId="77777777" w:rsidR="00DC5861" w:rsidRPr="00436841" w:rsidRDefault="00DC5861" w:rsidP="004825E1">
            <w:pPr>
              <w:spacing w:line="360" w:lineRule="auto"/>
              <w:jc w:val="both"/>
              <w:rPr>
                <w:rFonts w:ascii="Book Antiqua" w:hAnsi="Book Antiqua" w:cstheme="minorHAnsi"/>
                <w:color w:val="000000"/>
                <w:lang w:eastAsia="el-GR"/>
              </w:rPr>
            </w:pPr>
            <w:r w:rsidRPr="00326C94">
              <w:rPr>
                <w:rFonts w:ascii="Book Antiqua" w:hAnsi="Book Antiqua" w:cstheme="minorHAnsi"/>
                <w:color w:val="000000"/>
                <w:lang w:eastAsia="el-GR"/>
              </w:rPr>
              <w:t>Case-control = 6</w:t>
            </w:r>
          </w:p>
        </w:tc>
        <w:tc>
          <w:tcPr>
            <w:tcW w:w="1417" w:type="dxa"/>
            <w:shd w:val="clear" w:color="auto" w:fill="auto"/>
            <w:noWrap/>
            <w:hideMark/>
          </w:tcPr>
          <w:p w14:paraId="6D768F5E"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1998-2013</w:t>
            </w:r>
          </w:p>
        </w:tc>
        <w:tc>
          <w:tcPr>
            <w:tcW w:w="1418" w:type="dxa"/>
          </w:tcPr>
          <w:p w14:paraId="7866F39E"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Eastern = 6</w:t>
            </w:r>
          </w:p>
        </w:tc>
        <w:tc>
          <w:tcPr>
            <w:tcW w:w="992" w:type="dxa"/>
          </w:tcPr>
          <w:p w14:paraId="209CF8F3"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3623</w:t>
            </w:r>
          </w:p>
        </w:tc>
        <w:tc>
          <w:tcPr>
            <w:tcW w:w="992" w:type="dxa"/>
          </w:tcPr>
          <w:p w14:paraId="41074231"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13597</w:t>
            </w:r>
          </w:p>
        </w:tc>
        <w:tc>
          <w:tcPr>
            <w:tcW w:w="1843" w:type="dxa"/>
          </w:tcPr>
          <w:p w14:paraId="4E832951"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5.98 (4.08-8.76)</w:t>
            </w:r>
          </w:p>
        </w:tc>
        <w:tc>
          <w:tcPr>
            <w:tcW w:w="2268" w:type="dxa"/>
          </w:tcPr>
          <w:p w14:paraId="18D4E843"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i/>
                <w:color w:val="000000"/>
                <w:lang w:eastAsia="el-GR"/>
              </w:rPr>
              <w:t>I</w:t>
            </w:r>
            <w:r w:rsidRPr="00436841">
              <w:rPr>
                <w:rFonts w:ascii="Book Antiqua" w:hAnsi="Book Antiqua" w:cstheme="minorHAnsi"/>
                <w:i/>
                <w:color w:val="000000"/>
                <w:vertAlign w:val="superscript"/>
                <w:lang w:eastAsia="el-GR"/>
              </w:rPr>
              <w:t>2</w:t>
            </w:r>
            <w:r w:rsidR="00504D26" w:rsidRPr="00436841">
              <w:rPr>
                <w:rFonts w:ascii="Book Antiqua" w:hAnsi="Book Antiqua" w:cstheme="minorHAnsi"/>
                <w:color w:val="000000"/>
                <w:vertAlign w:val="superscript"/>
                <w:lang w:eastAsia="el-GR"/>
              </w:rPr>
              <w:t xml:space="preserve"> </w:t>
            </w:r>
            <w:r w:rsidRPr="00436841">
              <w:rPr>
                <w:rFonts w:ascii="Book Antiqua" w:hAnsi="Book Antiqua" w:cstheme="minorHAnsi"/>
                <w:color w:val="000000"/>
                <w:lang w:eastAsia="el-GR"/>
              </w:rPr>
              <w:t>=</w:t>
            </w:r>
            <w:r w:rsidR="00504D26"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69%</w:t>
            </w:r>
            <w:r w:rsidR="00504D26"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Q</w:t>
            </w:r>
            <w:r w:rsidR="00504D26"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w:t>
            </w:r>
            <w:r w:rsidR="00504D26"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16.01 (</w:t>
            </w:r>
            <w:r w:rsidRPr="00436841">
              <w:rPr>
                <w:rFonts w:ascii="Book Antiqua" w:hAnsi="Book Antiqua" w:cstheme="minorHAnsi"/>
                <w:i/>
                <w:iCs/>
                <w:color w:val="000000"/>
                <w:lang w:eastAsia="el-GR"/>
              </w:rPr>
              <w:t>P</w:t>
            </w:r>
            <w:r w:rsidR="007465DA"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w:t>
            </w:r>
            <w:r w:rsidR="007465DA"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 xml:space="preserve">0.07) </w:t>
            </w:r>
          </w:p>
        </w:tc>
        <w:tc>
          <w:tcPr>
            <w:tcW w:w="3544" w:type="dxa"/>
            <w:shd w:val="clear" w:color="auto" w:fill="auto"/>
            <w:hideMark/>
          </w:tcPr>
          <w:p w14:paraId="3ADF1208"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Funnel plot: Relatively symmetrical</w:t>
            </w:r>
            <w:r w:rsidR="00E6747B"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Moderate bias</w:t>
            </w:r>
          </w:p>
        </w:tc>
      </w:tr>
      <w:tr w:rsidR="004825E1" w:rsidRPr="00436841" w14:paraId="11308425" w14:textId="77777777" w:rsidTr="009278CB">
        <w:trPr>
          <w:trHeight w:val="794"/>
        </w:trPr>
        <w:tc>
          <w:tcPr>
            <w:tcW w:w="1276" w:type="dxa"/>
            <w:shd w:val="clear" w:color="auto" w:fill="auto"/>
            <w:noWrap/>
            <w:hideMark/>
          </w:tcPr>
          <w:p w14:paraId="58FFD726" w14:textId="77777777" w:rsidR="00DC5861" w:rsidRPr="00E110C5"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 xml:space="preserve">Zhang </w:t>
            </w:r>
            <w:r w:rsidRPr="00436841">
              <w:rPr>
                <w:rFonts w:ascii="Book Antiqua" w:hAnsi="Book Antiqua" w:cstheme="minorHAnsi"/>
                <w:i/>
                <w:iCs/>
                <w:color w:val="000000"/>
                <w:lang w:eastAsia="el-GR"/>
              </w:rPr>
              <w:t>et al</w:t>
            </w:r>
            <w:r w:rsidR="00DA7CC7" w:rsidRPr="00475777">
              <w:rPr>
                <w:rFonts w:ascii="Book Antiqua" w:hAnsi="Book Antiqua" w:cstheme="minorHAnsi"/>
                <w:color w:val="000000"/>
                <w:lang w:eastAsia="el-GR"/>
              </w:rPr>
              <w:fldChar w:fldCharType="begin" w:fldLock="1"/>
            </w:r>
            <w:r w:rsidR="00146FE6" w:rsidRPr="00436841">
              <w:rPr>
                <w:rFonts w:ascii="Book Antiqua" w:hAnsi="Book Antiqua" w:cstheme="minorHAnsi"/>
                <w:color w:val="000000"/>
                <w:lang w:eastAsia="el-GR"/>
              </w:rPr>
              <w:instrText>ADDIN CSL_CITATION {"citationItems":[{"id":"ITEM-1","itemData":{"DOI":"10.1155/2016/3417976","ISSN":"2314-6141 (Electronic)","PMID":"27999794","abstract":"Background. The inconsistent finding was between hepatitis B virus (HBV) infections and cholangiocarcinoma (CCA). This meta-analysis is to explore this relationship in Asia. Methods. A literature search was performed using PubMed, Web of Science, and Cochrane Library to October 30, 2015. Pooled incidence rate and OR with 95% CI were calculated using STATA 11.0. Results. Thirty-nine studies were included. The pooled incidence rate of CCA patients with HBV infection was 31% (95% CI 22%-39%). The pooled OR showed increased risk of CCA incidence with HBV infection (OR = 2.72, 95% CI 1.90-3.88), especially in ICC (OR = 3.184, 95% CI 2.356-4.302), while it showed no risk in ECC (OR = 1.407, 95% CI 0.925-2.141). Also, the pooled OR showed increased risk of ICC and ECC incidence (OR = 6.857, 95% CI 4.421-10.633 and OR = 1.740, 95% CI 1.260-2.404) in patients with HBsAg+/HBcAb+. The pooled OR showed increased risk of ICC incidence (OR = 1.410, 95% CI 1.095-1.816) in patients with HBsAg-/HBcAb+. Conclusion. It is suggested that HBV infection is associated with an increased risk of CCA in Asia. Two HBV infection models (HBsAg+/HBcAb+ and HBsAg-/HBcAb+) increase the risk of CCA, and patients with HBsAg-/HBcAb+ also had a risk of ICC. This trial is registered with PROSPERO CRD42015029264.","author":[{"dropping-particle":"","family":"Zhang","given":"Hao","non-dropping-particle":"","parse-names":false,"suffix":""},{"dropping-particle":"","family":"Zhu","given":"Biqing","non-dropping-particle":"","parse-names":false,"suffix":""},{"dropping-particle":"","family":"Zhang","given":"He","non-dropping-particle":"","parse-names":false,"suffix":""},{"dropping-particle":"","family":"Liang","given":"Jianxin","non-dropping-particle":"","parse-names":false,"suffix":""},{"dropping-particle":"","family":"Zeng","given":"Wenting","non-dropping-particle":"","parse-names":false,"suffix":""}],"container-title":"BioMed research international","id":"ITEM-1","issued":{"date-parts":[["2016"]]},"language":"eng","page":"3417976","title":"HBV Infection Status and the Risk of Cholangiocarcinoma in Asia: A Meta-Analysis.","type":"article-journal","volume":"2016"},"uris":["http://www.mendeley.com/documents/?uuid=7d3226fc-294c-4a55-b6db-a61c1fb440e2"]}],"mendeley":{"formattedCitation":"&lt;sup&gt;[39]&lt;/sup&gt;","plainTextFormattedCitation":"[39]","previouslyFormattedCitation":"&lt;sup&gt;[39]&lt;/sup&gt;"},"properties":{"noteIndex":0},"schema":"https://github.com/citation-style-language/schema/raw/master/csl-citation.json"}</w:instrText>
            </w:r>
            <w:r w:rsidR="00DA7CC7" w:rsidRPr="00D866CC">
              <w:rPr>
                <w:rFonts w:ascii="Book Antiqua" w:hAnsi="Book Antiqua" w:cstheme="minorHAnsi"/>
                <w:color w:val="000000"/>
                <w:lang w:eastAsia="el-GR"/>
              </w:rPr>
              <w:fldChar w:fldCharType="separate"/>
            </w:r>
            <w:r w:rsidR="00146FE6" w:rsidRPr="00475777">
              <w:rPr>
                <w:rFonts w:ascii="Book Antiqua" w:hAnsi="Book Antiqua" w:cstheme="minorHAnsi"/>
                <w:noProof/>
                <w:color w:val="000000"/>
                <w:vertAlign w:val="superscript"/>
                <w:lang w:eastAsia="el-GR"/>
              </w:rPr>
              <w:t>[39]</w:t>
            </w:r>
            <w:r w:rsidR="00DA7CC7" w:rsidRPr="00475777">
              <w:rPr>
                <w:rFonts w:ascii="Book Antiqua" w:hAnsi="Book Antiqua" w:cstheme="minorHAnsi"/>
                <w:color w:val="000000"/>
                <w:lang w:eastAsia="el-GR"/>
              </w:rPr>
              <w:fldChar w:fldCharType="end"/>
            </w:r>
            <w:r w:rsidRPr="00436841">
              <w:rPr>
                <w:rFonts w:ascii="Book Antiqua" w:hAnsi="Book Antiqua" w:cstheme="minorHAnsi"/>
                <w:color w:val="000000"/>
                <w:lang w:eastAsia="el-GR"/>
              </w:rPr>
              <w:t xml:space="preserve">, </w:t>
            </w:r>
            <w:r w:rsidRPr="00475777">
              <w:rPr>
                <w:rFonts w:ascii="Book Antiqua" w:hAnsi="Book Antiqua" w:cstheme="minorHAnsi"/>
                <w:color w:val="000000"/>
                <w:lang w:eastAsia="el-GR"/>
              </w:rPr>
              <w:t>2016</w:t>
            </w:r>
          </w:p>
        </w:tc>
        <w:tc>
          <w:tcPr>
            <w:tcW w:w="1418" w:type="dxa"/>
            <w:shd w:val="clear" w:color="auto" w:fill="auto"/>
            <w:noWrap/>
            <w:hideMark/>
          </w:tcPr>
          <w:p w14:paraId="69EDB1BB" w14:textId="77777777" w:rsidR="00DC5861" w:rsidRPr="00436841" w:rsidRDefault="00DC5861" w:rsidP="004825E1">
            <w:pPr>
              <w:spacing w:line="360" w:lineRule="auto"/>
              <w:jc w:val="both"/>
              <w:rPr>
                <w:rFonts w:ascii="Book Antiqua" w:hAnsi="Book Antiqua" w:cstheme="minorHAnsi"/>
                <w:color w:val="000000"/>
                <w:lang w:eastAsia="el-GR"/>
              </w:rPr>
            </w:pPr>
            <w:r w:rsidRPr="00326C94">
              <w:rPr>
                <w:rFonts w:ascii="Book Antiqua" w:hAnsi="Book Antiqua" w:cstheme="minorHAnsi"/>
                <w:color w:val="000000"/>
                <w:lang w:eastAsia="el-GR"/>
              </w:rPr>
              <w:t>Case-control = 11</w:t>
            </w:r>
          </w:p>
        </w:tc>
        <w:tc>
          <w:tcPr>
            <w:tcW w:w="1417" w:type="dxa"/>
            <w:shd w:val="clear" w:color="auto" w:fill="auto"/>
            <w:noWrap/>
            <w:hideMark/>
          </w:tcPr>
          <w:p w14:paraId="5EC84679"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1991-2013</w:t>
            </w:r>
          </w:p>
        </w:tc>
        <w:tc>
          <w:tcPr>
            <w:tcW w:w="1418" w:type="dxa"/>
          </w:tcPr>
          <w:p w14:paraId="44446D3E"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Eastern = 11</w:t>
            </w:r>
          </w:p>
        </w:tc>
        <w:tc>
          <w:tcPr>
            <w:tcW w:w="992" w:type="dxa"/>
          </w:tcPr>
          <w:p w14:paraId="101FC2D6"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4966</w:t>
            </w:r>
          </w:p>
        </w:tc>
        <w:tc>
          <w:tcPr>
            <w:tcW w:w="992" w:type="dxa"/>
          </w:tcPr>
          <w:p w14:paraId="2D824105"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17752</w:t>
            </w:r>
          </w:p>
        </w:tc>
        <w:tc>
          <w:tcPr>
            <w:tcW w:w="1843" w:type="dxa"/>
          </w:tcPr>
          <w:p w14:paraId="790515E9"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3.18 (2.35-4.30)</w:t>
            </w:r>
          </w:p>
        </w:tc>
        <w:tc>
          <w:tcPr>
            <w:tcW w:w="2268" w:type="dxa"/>
          </w:tcPr>
          <w:p w14:paraId="53267538"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i/>
                <w:color w:val="000000"/>
                <w:lang w:eastAsia="el-GR"/>
              </w:rPr>
              <w:t>I</w:t>
            </w:r>
            <w:r w:rsidRPr="00436841">
              <w:rPr>
                <w:rFonts w:ascii="Book Antiqua" w:hAnsi="Book Antiqua" w:cstheme="minorHAnsi"/>
                <w:i/>
                <w:color w:val="000000"/>
                <w:vertAlign w:val="superscript"/>
                <w:lang w:eastAsia="el-GR"/>
              </w:rPr>
              <w:t>2</w:t>
            </w:r>
            <w:r w:rsidR="00EF1CCF" w:rsidRPr="00436841">
              <w:rPr>
                <w:rFonts w:ascii="Book Antiqua" w:hAnsi="Book Antiqua" w:cstheme="minorHAnsi"/>
                <w:color w:val="000000"/>
                <w:vertAlign w:val="superscript"/>
                <w:lang w:eastAsia="el-GR"/>
              </w:rPr>
              <w:t xml:space="preserve"> </w:t>
            </w:r>
            <w:r w:rsidRPr="00436841">
              <w:rPr>
                <w:rFonts w:ascii="Book Antiqua" w:hAnsi="Book Antiqua" w:cstheme="minorHAnsi"/>
                <w:color w:val="000000"/>
                <w:lang w:eastAsia="el-GR"/>
              </w:rPr>
              <w:t>=</w:t>
            </w:r>
            <w:r w:rsidR="00EF1CCF"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84%</w:t>
            </w:r>
            <w:r w:rsidR="00EF1CCF"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 xml:space="preserve">Q: </w:t>
            </w:r>
            <w:r w:rsidRPr="00436841">
              <w:rPr>
                <w:rFonts w:ascii="Book Antiqua" w:hAnsi="Book Antiqua" w:cstheme="minorHAnsi"/>
                <w:i/>
                <w:iCs/>
                <w:color w:val="000000"/>
                <w:lang w:eastAsia="el-GR"/>
              </w:rPr>
              <w:t>P</w:t>
            </w:r>
            <w:r w:rsidR="00EF1CCF"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&lt;</w:t>
            </w:r>
            <w:r w:rsidR="00EF1CCF"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 xml:space="preserve">0.001 </w:t>
            </w:r>
          </w:p>
        </w:tc>
        <w:tc>
          <w:tcPr>
            <w:tcW w:w="3544" w:type="dxa"/>
            <w:shd w:val="clear" w:color="auto" w:fill="auto"/>
            <w:hideMark/>
          </w:tcPr>
          <w:p w14:paraId="056BBCA4"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 xml:space="preserve">Begg's test: </w:t>
            </w:r>
            <w:r w:rsidRPr="00436841">
              <w:rPr>
                <w:rFonts w:ascii="Book Antiqua" w:hAnsi="Book Antiqua" w:cstheme="minorHAnsi"/>
                <w:i/>
                <w:iCs/>
                <w:color w:val="000000"/>
                <w:lang w:eastAsia="el-GR"/>
              </w:rPr>
              <w:t>P</w:t>
            </w:r>
            <w:r w:rsidR="00405742"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w:t>
            </w:r>
            <w:r w:rsidR="00405742"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 xml:space="preserve">0.75, Egger's test: </w:t>
            </w:r>
            <w:r w:rsidRPr="00436841">
              <w:rPr>
                <w:rFonts w:ascii="Book Antiqua" w:hAnsi="Book Antiqua" w:cstheme="minorHAnsi"/>
                <w:i/>
                <w:iCs/>
                <w:color w:val="000000"/>
                <w:lang w:eastAsia="el-GR"/>
              </w:rPr>
              <w:t>P</w:t>
            </w:r>
            <w:r w:rsidR="00405742"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w:t>
            </w:r>
            <w:r w:rsidR="00405742"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0.42</w:t>
            </w:r>
            <w:r w:rsidR="00405742"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No bias</w:t>
            </w:r>
          </w:p>
        </w:tc>
      </w:tr>
      <w:tr w:rsidR="004825E1" w:rsidRPr="00436841" w14:paraId="2206B86B" w14:textId="77777777" w:rsidTr="009278CB">
        <w:trPr>
          <w:trHeight w:val="794"/>
        </w:trPr>
        <w:tc>
          <w:tcPr>
            <w:tcW w:w="1276" w:type="dxa"/>
            <w:shd w:val="clear" w:color="000000" w:fill="FFFFFF"/>
            <w:noWrap/>
            <w:hideMark/>
          </w:tcPr>
          <w:p w14:paraId="0D4A4B7F" w14:textId="77777777" w:rsidR="00DC5861" w:rsidRPr="00326C94"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 xml:space="preserve">Li </w:t>
            </w:r>
            <w:r w:rsidRPr="00436841">
              <w:rPr>
                <w:rFonts w:ascii="Book Antiqua" w:hAnsi="Book Antiqua" w:cstheme="minorHAnsi"/>
                <w:i/>
                <w:iCs/>
                <w:color w:val="000000"/>
                <w:lang w:eastAsia="el-GR"/>
              </w:rPr>
              <w:t>et al</w:t>
            </w:r>
            <w:r w:rsidR="00DA7CC7" w:rsidRPr="00475777">
              <w:rPr>
                <w:rFonts w:ascii="Book Antiqua" w:hAnsi="Book Antiqua" w:cstheme="minorHAnsi"/>
                <w:color w:val="000000"/>
                <w:lang w:eastAsia="el-GR"/>
              </w:rPr>
              <w:fldChar w:fldCharType="begin" w:fldLock="1"/>
            </w:r>
            <w:r w:rsidR="00146FE6" w:rsidRPr="00436841">
              <w:rPr>
                <w:rFonts w:ascii="Book Antiqua" w:hAnsi="Book Antiqua" w:cstheme="minorHAnsi"/>
                <w:color w:val="000000"/>
                <w:lang w:eastAsia="el-GR"/>
              </w:rPr>
              <w:instrText>ADDIN CSL_CITATION {"citationItems":[{"id":"ITEM-1","itemData":{"DOI":"10.1111/j.1440-1746.2012.07207.x","ISSN":"1440-1746 (Electronic)","PMID":"22694354","abstract":"BACKGROUND AND AIM: A number of studies have shown that hepatitis virus infections may be associated with cholangiocarcinoma (CC). However, the relationship between hepatitis B virus (HBV) infection and CC, especially intrahepatic cholangiocarcinoma (ICC), is still controversial. METHODS: Relevant studies were identified by searching PUBMED, EMBASE and Web of Science Datebases up to September 2011. Pooled risk estimates were calculated using a random-effects model. Potential sources of heterogeneity were performed by subgroup analyses. A total of 18 papers were included in this meta-analysis. RESULTS: The pooled risk estimate of all studies showed a statistically significant increased risk of CC among individuals with HBV infection (rate ratio [RR]: 2.66; 95% confidence interval [CI]: 1.97, 3.60). Compared with those without HBV infection, persons with HBV infection had an increased risk of intra-CC (ICC) (RR: 3.42; 95% CI: 2.46, 43.74), extrahepatic CC (OR: 1.46; 95% CI: 0.98, 2.17), and CC (OR: 2.03; 95% CI: 1.15, 3.56). In a subgroup analysis of HBV infection and risk of ICC, the pooled risk estimate of studies in Asians (RR: 3.63; 95% CI: 2.56, 5.13) was higher than that in non-Asians (RR: 1.93; 95% CI: 0.78, 4.76). A Begg funnel plot and Egger test revealed no evidence for publication bias. CONCLUSIONS: This meta-analysis shows that HBV is associated with increased risk of CC, especially for ICC. Further investigation is needed to focus on the mechanism by which HBV may be involved in the pathogenesis of CC.","author":[{"dropping-particle":"","family":"Li","given":"Min","non-dropping-particle":"","parse-names":false,"suffix":""},{"dropping-particle":"","family":"Li","given":"Jinzheng","non-dropping-particle":"","parse-names":false,"suffix":""},{"dropping-particle":"","family":"Li","given":"Peizhi","non-dropping-particle":"","parse-names":false,"suffix":""},{"dropping-particle":"","family":"Li","given":"Hongyang","non-dropping-particle":"","parse-names":false,"suffix":""},{"dropping-particle":"","family":"Su","given":"Tianyi","non-dropping-particle":"","parse-names":false,"suffix":""},{"dropping-particle":"","family":"Zhu","given":"Rongtao","non-dropping-particle":"","parse-names":false,"suffix":""},{"dropping-particle":"","family":"Gong","given":"Jianping","non-dropping-particle":"","parse-names":false,"suffix":""}],"container-title":"Journal of gastroenterology and hepatology","id":"ITEM-1","issue":"10","issued":{"date-parts":[["2012","10"]]},"language":"eng","page":"1561-1568","publisher-place":"Australia","title":"Hepatitis B virus infection increases the risk of cholangiocarcinoma: a meta-analysis and systematic review.","type":"article-journal","volume":"27"},"uris":["http://www.mendeley.com/documents/?uuid=ae894c9d-57ae-4464-a273-ab5f448545fd"]}],"mendeley":{"formattedCitation":"&lt;sup&gt;[40]&lt;/sup&gt;","plainTextFormattedCitation":"[40]","previouslyFormattedCitation":"&lt;sup&gt;[40]&lt;/sup&gt;"},"properties":{"noteIndex":0},"schema":"https://github.com/citation-style-language/schema/raw/master/csl-citation.json"}</w:instrText>
            </w:r>
            <w:r w:rsidR="00DA7CC7" w:rsidRPr="00D866CC">
              <w:rPr>
                <w:rFonts w:ascii="Book Antiqua" w:hAnsi="Book Antiqua" w:cstheme="minorHAnsi"/>
                <w:color w:val="000000"/>
                <w:lang w:eastAsia="el-GR"/>
              </w:rPr>
              <w:fldChar w:fldCharType="separate"/>
            </w:r>
            <w:r w:rsidR="00146FE6" w:rsidRPr="00475777">
              <w:rPr>
                <w:rFonts w:ascii="Book Antiqua" w:hAnsi="Book Antiqua" w:cstheme="minorHAnsi"/>
                <w:noProof/>
                <w:color w:val="000000"/>
                <w:vertAlign w:val="superscript"/>
                <w:lang w:eastAsia="el-GR"/>
              </w:rPr>
              <w:t>[40]</w:t>
            </w:r>
            <w:r w:rsidR="00DA7CC7" w:rsidRPr="00475777">
              <w:rPr>
                <w:rFonts w:ascii="Book Antiqua" w:hAnsi="Book Antiqua" w:cstheme="minorHAnsi"/>
                <w:color w:val="000000"/>
                <w:lang w:eastAsia="el-GR"/>
              </w:rPr>
              <w:fldChar w:fldCharType="end"/>
            </w:r>
            <w:r w:rsidRPr="00436841">
              <w:rPr>
                <w:rFonts w:ascii="Book Antiqua" w:hAnsi="Book Antiqua" w:cstheme="minorHAnsi"/>
                <w:color w:val="000000"/>
                <w:lang w:eastAsia="el-GR"/>
              </w:rPr>
              <w:t>, 2012</w:t>
            </w:r>
          </w:p>
        </w:tc>
        <w:tc>
          <w:tcPr>
            <w:tcW w:w="1418" w:type="dxa"/>
            <w:shd w:val="clear" w:color="000000" w:fill="FFFFFF"/>
            <w:hideMark/>
          </w:tcPr>
          <w:p w14:paraId="763F089F"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Case-control = 11</w:t>
            </w:r>
            <w:r w:rsidR="00146FE6"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Cohort = 2</w:t>
            </w:r>
          </w:p>
        </w:tc>
        <w:tc>
          <w:tcPr>
            <w:tcW w:w="1417" w:type="dxa"/>
            <w:shd w:val="clear" w:color="000000" w:fill="FFFFFF"/>
            <w:noWrap/>
            <w:hideMark/>
          </w:tcPr>
          <w:p w14:paraId="6B3AB285"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1991-2008</w:t>
            </w:r>
          </w:p>
        </w:tc>
        <w:tc>
          <w:tcPr>
            <w:tcW w:w="1418" w:type="dxa"/>
            <w:shd w:val="clear" w:color="000000" w:fill="FFFFFF"/>
          </w:tcPr>
          <w:p w14:paraId="45DF94C6"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Eastern = 10</w:t>
            </w:r>
            <w:r w:rsidR="00EB08C2"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Western = 3</w:t>
            </w:r>
          </w:p>
        </w:tc>
        <w:tc>
          <w:tcPr>
            <w:tcW w:w="992" w:type="dxa"/>
            <w:shd w:val="clear" w:color="000000" w:fill="FFFFFF"/>
          </w:tcPr>
          <w:p w14:paraId="2D5B3E88"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2402</w:t>
            </w:r>
            <w:r w:rsidR="001005B5"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NA</w:t>
            </w:r>
          </w:p>
        </w:tc>
        <w:tc>
          <w:tcPr>
            <w:tcW w:w="992" w:type="dxa"/>
            <w:shd w:val="clear" w:color="000000" w:fill="FFFFFF"/>
          </w:tcPr>
          <w:p w14:paraId="207AAFA4"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96266</w:t>
            </w:r>
            <w:r w:rsidR="00AC0CA9"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NA</w:t>
            </w:r>
          </w:p>
        </w:tc>
        <w:tc>
          <w:tcPr>
            <w:tcW w:w="1843" w:type="dxa"/>
            <w:shd w:val="clear" w:color="000000" w:fill="FFFFFF"/>
          </w:tcPr>
          <w:p w14:paraId="1DB0DDF4"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3.42 (2.46-4.74)</w:t>
            </w:r>
          </w:p>
        </w:tc>
        <w:tc>
          <w:tcPr>
            <w:tcW w:w="2268" w:type="dxa"/>
            <w:shd w:val="clear" w:color="000000" w:fill="FFFFFF"/>
          </w:tcPr>
          <w:p w14:paraId="253F9609"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i/>
                <w:color w:val="000000"/>
                <w:lang w:eastAsia="el-GR"/>
              </w:rPr>
              <w:t>I</w:t>
            </w:r>
            <w:r w:rsidRPr="00436841">
              <w:rPr>
                <w:rFonts w:ascii="Book Antiqua" w:hAnsi="Book Antiqua" w:cstheme="minorHAnsi"/>
                <w:i/>
                <w:color w:val="000000"/>
                <w:vertAlign w:val="superscript"/>
                <w:lang w:eastAsia="el-GR"/>
              </w:rPr>
              <w:t>2</w:t>
            </w:r>
            <w:r w:rsidR="001005B5" w:rsidRPr="00436841">
              <w:rPr>
                <w:rFonts w:ascii="Book Antiqua" w:hAnsi="Book Antiqua" w:cstheme="minorHAnsi"/>
                <w:color w:val="000000"/>
                <w:vertAlign w:val="superscript"/>
                <w:lang w:eastAsia="el-GR"/>
              </w:rPr>
              <w:t xml:space="preserve"> </w:t>
            </w:r>
            <w:r w:rsidRPr="00436841">
              <w:rPr>
                <w:rFonts w:ascii="Book Antiqua" w:hAnsi="Book Antiqua" w:cstheme="minorHAnsi"/>
                <w:color w:val="000000"/>
                <w:lang w:eastAsia="el-GR"/>
              </w:rPr>
              <w:t>=</w:t>
            </w:r>
            <w:r w:rsidR="001005B5"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75%</w:t>
            </w:r>
            <w:r w:rsidR="001005B5"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Q</w:t>
            </w:r>
            <w:r w:rsidR="001005B5"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w:t>
            </w:r>
            <w:r w:rsidR="001005B5"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48.37 (</w:t>
            </w:r>
            <w:r w:rsidRPr="00436841">
              <w:rPr>
                <w:rFonts w:ascii="Book Antiqua" w:hAnsi="Book Antiqua" w:cstheme="minorHAnsi"/>
                <w:i/>
                <w:iCs/>
                <w:color w:val="000000"/>
                <w:lang w:eastAsia="el-GR"/>
              </w:rPr>
              <w:t>P</w:t>
            </w:r>
            <w:r w:rsidR="001005B5"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&lt;</w:t>
            </w:r>
            <w:r w:rsidR="001005B5"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 xml:space="preserve">0.001) </w:t>
            </w:r>
          </w:p>
        </w:tc>
        <w:tc>
          <w:tcPr>
            <w:tcW w:w="3544" w:type="dxa"/>
            <w:shd w:val="clear" w:color="000000" w:fill="FFFFFF"/>
            <w:hideMark/>
          </w:tcPr>
          <w:p w14:paraId="136B9A2F"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 xml:space="preserve">Funnel plot: Symmetrical Begg's test: </w:t>
            </w:r>
            <w:r w:rsidRPr="00436841">
              <w:rPr>
                <w:rFonts w:ascii="Book Antiqua" w:hAnsi="Book Antiqua" w:cstheme="minorHAnsi"/>
                <w:i/>
                <w:iCs/>
                <w:color w:val="000000"/>
                <w:lang w:eastAsia="el-GR"/>
              </w:rPr>
              <w:t>P</w:t>
            </w:r>
            <w:r w:rsidR="001005B5"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w:t>
            </w:r>
            <w:r w:rsidR="001005B5"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 xml:space="preserve">0.70, Egger's test: </w:t>
            </w:r>
            <w:r w:rsidRPr="00436841">
              <w:rPr>
                <w:rFonts w:ascii="Book Antiqua" w:hAnsi="Book Antiqua" w:cstheme="minorHAnsi"/>
                <w:i/>
                <w:iCs/>
                <w:color w:val="000000"/>
                <w:lang w:eastAsia="el-GR"/>
              </w:rPr>
              <w:t>P</w:t>
            </w:r>
            <w:r w:rsidR="001005B5"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w:t>
            </w:r>
            <w:r w:rsidR="001005B5"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0.26</w:t>
            </w:r>
            <w:r w:rsidR="001005B5"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No bias</w:t>
            </w:r>
          </w:p>
        </w:tc>
      </w:tr>
      <w:tr w:rsidR="004825E1" w:rsidRPr="00436841" w14:paraId="73DE673B" w14:textId="77777777" w:rsidTr="009278CB">
        <w:trPr>
          <w:trHeight w:val="794"/>
        </w:trPr>
        <w:tc>
          <w:tcPr>
            <w:tcW w:w="1276" w:type="dxa"/>
            <w:shd w:val="clear" w:color="000000" w:fill="FFFFFF"/>
            <w:noWrap/>
            <w:hideMark/>
          </w:tcPr>
          <w:p w14:paraId="76DDB550" w14:textId="77777777" w:rsidR="00DC5861" w:rsidRPr="00475777"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 xml:space="preserve">Palmer </w:t>
            </w:r>
            <w:r w:rsidRPr="00436841">
              <w:rPr>
                <w:rFonts w:ascii="Book Antiqua" w:hAnsi="Book Antiqua" w:cstheme="minorHAnsi"/>
                <w:i/>
                <w:iCs/>
                <w:color w:val="000000"/>
                <w:lang w:eastAsia="el-GR"/>
              </w:rPr>
              <w:t>et al</w:t>
            </w:r>
            <w:r w:rsidR="00DA7CC7" w:rsidRPr="00475777">
              <w:rPr>
                <w:rFonts w:ascii="Book Antiqua" w:hAnsi="Book Antiqua" w:cstheme="minorHAnsi"/>
                <w:color w:val="000000"/>
                <w:lang w:eastAsia="el-GR"/>
              </w:rPr>
              <w:fldChar w:fldCharType="begin" w:fldLock="1"/>
            </w:r>
            <w:r w:rsidR="00A6171D" w:rsidRPr="00436841">
              <w:rPr>
                <w:rFonts w:ascii="Book Antiqua" w:hAnsi="Book Antiqua" w:cstheme="minorHAnsi"/>
                <w:color w:val="000000"/>
                <w:lang w:eastAsia="el-GR"/>
              </w:rPr>
              <w:instrText>ADDIN CSL_CITATION {"citationItems":[{"id":"ITEM-1","itemData":{"DOI":"10.1016/j.jhep.2012.02.022","ISSN":"01688278","PMID":"22420979","author":[{"dropping-particle":"","family":"Palmer","given":"William C.","non-dropping-particle":"","parse-names":false,"suffix":""},{"dropping-particle":"","family":"Patel","given":"Tushar","non-dropping-particle":"","parse-names":false,"suffix":""}],"container-title":"Journal of Hepatology","id":"ITEM-1","issue":"1","issued":{"date-parts":[["2012","7"]]},"page":"69-76","title":"Are common factors involved in the pathogenesis of primary liver cancers? A meta-analysis of risk factors for intrahepatic cholangiocarcinoma","type":"article-journal","volume":"57"},"uris":["http://www.mendeley.com/documents/?uuid=7fc98d5d-9661-4273-9918-62d11b149d1d"]}],"mendeley":{"formattedCitation":"&lt;sup&gt;[41]&lt;/sup&gt;","plainTextFormattedCitation":"[41]","previouslyFormattedCitation":"&lt;sup&gt;[41]&lt;/sup&gt;"},"properties":{"noteIndex":0},"schema":"https://github.com/citation-style-language/schema/raw/master/csl-citation.json"}</w:instrText>
            </w:r>
            <w:r w:rsidR="00DA7CC7" w:rsidRPr="00D866CC">
              <w:rPr>
                <w:rFonts w:ascii="Book Antiqua" w:hAnsi="Book Antiqua" w:cstheme="minorHAnsi"/>
                <w:color w:val="000000"/>
                <w:lang w:eastAsia="el-GR"/>
              </w:rPr>
              <w:fldChar w:fldCharType="separate"/>
            </w:r>
            <w:r w:rsidR="00A6171D" w:rsidRPr="00475777">
              <w:rPr>
                <w:rFonts w:ascii="Book Antiqua" w:hAnsi="Book Antiqua" w:cstheme="minorHAnsi"/>
                <w:noProof/>
                <w:color w:val="000000"/>
                <w:vertAlign w:val="superscript"/>
                <w:lang w:eastAsia="el-GR"/>
              </w:rPr>
              <w:t>[41]</w:t>
            </w:r>
            <w:r w:rsidR="00DA7CC7" w:rsidRPr="00475777">
              <w:rPr>
                <w:rFonts w:ascii="Book Antiqua" w:hAnsi="Book Antiqua" w:cstheme="minorHAnsi"/>
                <w:color w:val="000000"/>
                <w:lang w:eastAsia="el-GR"/>
              </w:rPr>
              <w:fldChar w:fldCharType="end"/>
            </w:r>
            <w:r w:rsidRPr="00436841">
              <w:rPr>
                <w:rFonts w:ascii="Book Antiqua" w:hAnsi="Book Antiqua" w:cstheme="minorHAnsi"/>
                <w:color w:val="000000"/>
                <w:lang w:eastAsia="el-GR"/>
              </w:rPr>
              <w:t>, 2012</w:t>
            </w:r>
          </w:p>
        </w:tc>
        <w:tc>
          <w:tcPr>
            <w:tcW w:w="1418" w:type="dxa"/>
            <w:shd w:val="clear" w:color="000000" w:fill="FFFFFF"/>
            <w:noWrap/>
            <w:hideMark/>
          </w:tcPr>
          <w:p w14:paraId="3281B31A" w14:textId="77777777" w:rsidR="00DC5861" w:rsidRPr="00436841" w:rsidRDefault="00DC5861" w:rsidP="004825E1">
            <w:pPr>
              <w:spacing w:line="360" w:lineRule="auto"/>
              <w:jc w:val="both"/>
              <w:rPr>
                <w:rFonts w:ascii="Book Antiqua" w:hAnsi="Book Antiqua" w:cstheme="minorHAnsi"/>
                <w:color w:val="000000"/>
                <w:lang w:eastAsia="el-GR"/>
              </w:rPr>
            </w:pPr>
            <w:r w:rsidRPr="00326C94">
              <w:rPr>
                <w:rFonts w:ascii="Book Antiqua" w:hAnsi="Book Antiqua" w:cstheme="minorHAnsi"/>
                <w:color w:val="000000"/>
                <w:lang w:eastAsia="el-GR"/>
              </w:rPr>
              <w:t>Case-control = 8</w:t>
            </w:r>
          </w:p>
        </w:tc>
        <w:tc>
          <w:tcPr>
            <w:tcW w:w="1417" w:type="dxa"/>
            <w:shd w:val="clear" w:color="000000" w:fill="FFFFFF"/>
            <w:noWrap/>
            <w:hideMark/>
          </w:tcPr>
          <w:p w14:paraId="34C0BBCC"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1991-2008</w:t>
            </w:r>
          </w:p>
        </w:tc>
        <w:tc>
          <w:tcPr>
            <w:tcW w:w="1418" w:type="dxa"/>
            <w:shd w:val="clear" w:color="000000" w:fill="FFFFFF"/>
          </w:tcPr>
          <w:p w14:paraId="60F1424C"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Eastern = 5</w:t>
            </w:r>
            <w:r w:rsidR="00FA4DF7"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 xml:space="preserve">Western </w:t>
            </w:r>
            <w:r w:rsidRPr="00436841">
              <w:rPr>
                <w:rFonts w:ascii="Book Antiqua" w:hAnsi="Book Antiqua" w:cstheme="minorHAnsi"/>
                <w:color w:val="000000"/>
                <w:lang w:eastAsia="el-GR"/>
              </w:rPr>
              <w:lastRenderedPageBreak/>
              <w:t>= 3</w:t>
            </w:r>
          </w:p>
        </w:tc>
        <w:tc>
          <w:tcPr>
            <w:tcW w:w="992" w:type="dxa"/>
            <w:shd w:val="clear" w:color="000000" w:fill="FFFFFF"/>
          </w:tcPr>
          <w:p w14:paraId="22893880"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lastRenderedPageBreak/>
              <w:t>2753</w:t>
            </w:r>
          </w:p>
        </w:tc>
        <w:tc>
          <w:tcPr>
            <w:tcW w:w="992" w:type="dxa"/>
            <w:shd w:val="clear" w:color="000000" w:fill="FFFFFF"/>
          </w:tcPr>
          <w:p w14:paraId="054946A4"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291756</w:t>
            </w:r>
          </w:p>
        </w:tc>
        <w:tc>
          <w:tcPr>
            <w:tcW w:w="1843" w:type="dxa"/>
            <w:shd w:val="clear" w:color="000000" w:fill="FFFFFF"/>
          </w:tcPr>
          <w:p w14:paraId="6727C7A2"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5.54 (3.19-9.63)</w:t>
            </w:r>
          </w:p>
        </w:tc>
        <w:tc>
          <w:tcPr>
            <w:tcW w:w="2268" w:type="dxa"/>
            <w:shd w:val="clear" w:color="000000" w:fill="FFFFFF"/>
          </w:tcPr>
          <w:p w14:paraId="7C228BAE"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i/>
                <w:color w:val="000000"/>
                <w:lang w:eastAsia="el-GR"/>
              </w:rPr>
              <w:t>I</w:t>
            </w:r>
            <w:r w:rsidRPr="00436841">
              <w:rPr>
                <w:rFonts w:ascii="Book Antiqua" w:hAnsi="Book Antiqua" w:cstheme="minorHAnsi"/>
                <w:i/>
                <w:color w:val="000000"/>
                <w:vertAlign w:val="superscript"/>
                <w:lang w:eastAsia="el-GR"/>
              </w:rPr>
              <w:t>2</w:t>
            </w:r>
            <w:r w:rsidR="00FA4DF7" w:rsidRPr="00436841">
              <w:rPr>
                <w:rFonts w:ascii="Book Antiqua" w:hAnsi="Book Antiqua" w:cstheme="minorHAnsi"/>
                <w:color w:val="000000"/>
                <w:vertAlign w:val="superscript"/>
                <w:lang w:eastAsia="el-GR"/>
              </w:rPr>
              <w:t xml:space="preserve"> </w:t>
            </w:r>
            <w:r w:rsidRPr="00436841">
              <w:rPr>
                <w:rFonts w:ascii="Book Antiqua" w:hAnsi="Book Antiqua" w:cstheme="minorHAnsi"/>
                <w:color w:val="000000"/>
                <w:lang w:eastAsia="el-GR"/>
              </w:rPr>
              <w:t>=</w:t>
            </w:r>
            <w:r w:rsidR="00FA4DF7"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86.3%</w:t>
            </w:r>
            <w:r w:rsidR="00FA4DF7"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Q</w:t>
            </w:r>
            <w:r w:rsidR="00FA4DF7"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w:t>
            </w:r>
            <w:r w:rsidR="00FA4DF7"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51.2 (</w:t>
            </w:r>
            <w:r w:rsidRPr="00436841">
              <w:rPr>
                <w:rFonts w:ascii="Book Antiqua" w:hAnsi="Book Antiqua" w:cstheme="minorHAnsi"/>
                <w:i/>
                <w:iCs/>
                <w:color w:val="000000"/>
                <w:lang w:eastAsia="el-GR"/>
              </w:rPr>
              <w:t>P</w:t>
            </w:r>
            <w:r w:rsidR="00FA4DF7"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&lt;</w:t>
            </w:r>
            <w:r w:rsidR="00FA4DF7"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 xml:space="preserve">0.001) </w:t>
            </w:r>
          </w:p>
        </w:tc>
        <w:tc>
          <w:tcPr>
            <w:tcW w:w="3544" w:type="dxa"/>
            <w:shd w:val="clear" w:color="000000" w:fill="FFFFFF"/>
            <w:hideMark/>
          </w:tcPr>
          <w:p w14:paraId="54559FC0"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Funnel plot: Symmetrical</w:t>
            </w:r>
            <w:r w:rsidR="00146FE6"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No bias</w:t>
            </w:r>
          </w:p>
        </w:tc>
      </w:tr>
      <w:tr w:rsidR="004825E1" w:rsidRPr="00436841" w14:paraId="3BECE10F" w14:textId="77777777" w:rsidTr="009278CB">
        <w:trPr>
          <w:trHeight w:val="794"/>
        </w:trPr>
        <w:tc>
          <w:tcPr>
            <w:tcW w:w="1276" w:type="dxa"/>
            <w:shd w:val="clear" w:color="000000" w:fill="FFFFFF"/>
            <w:noWrap/>
            <w:hideMark/>
          </w:tcPr>
          <w:p w14:paraId="362B4483" w14:textId="77777777" w:rsidR="00DC5861" w:rsidRPr="00475777"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 xml:space="preserve">Zhou </w:t>
            </w:r>
            <w:r w:rsidRPr="00436841">
              <w:rPr>
                <w:rFonts w:ascii="Book Antiqua" w:hAnsi="Book Antiqua" w:cstheme="minorHAnsi"/>
                <w:i/>
                <w:iCs/>
                <w:color w:val="000000"/>
                <w:lang w:eastAsia="el-GR"/>
              </w:rPr>
              <w:t>et al</w:t>
            </w:r>
            <w:r w:rsidR="00DA7CC7" w:rsidRPr="00475777">
              <w:rPr>
                <w:rFonts w:ascii="Book Antiqua" w:hAnsi="Book Antiqua" w:cstheme="minorHAnsi"/>
                <w:color w:val="000000"/>
                <w:lang w:eastAsia="el-GR"/>
              </w:rPr>
              <w:fldChar w:fldCharType="begin" w:fldLock="1"/>
            </w:r>
            <w:r w:rsidR="00A6171D" w:rsidRPr="00436841">
              <w:rPr>
                <w:rFonts w:ascii="Book Antiqua" w:hAnsi="Book Antiqua" w:cstheme="minorHAnsi"/>
                <w:color w:val="000000"/>
                <w:lang w:eastAsia="el-GR"/>
              </w:rPr>
              <w:instrText>ADDIN CSL_CITATION {"citationItems":[{"id":"ITEM-1","itemData":{"DOI":"10.1186/1471-2407-12-289","ISSN":"1471-2407","PMID":"22799744","author":[{"dropping-particle":"","family":"Zhou","given":"Yanming","non-dropping-particle":"","parse-names":false,"suffix":""},{"dropping-particle":"","family":"Zhao","given":"Yanfang","non-dropping-particle":"","parse-names":false,"suffix":""},{"dropping-particle":"","family":"Li","given":"Bin","non-dropping-particle":"","parse-names":false,"suffix":""},{"dropping-particle":"","family":"Huang","given":"Jiyi","non-dropping-particle":"","parse-names":false,"suffix":""},{"dropping-particle":"","family":"Wu","given":"Lupeng","non-dropping-particle":"","parse-names":false,"suffix":""},{"dropping-particle":"","family":"Xu","given":"Donghui","non-dropping-particle":"","parse-names":false,"suffix":""},{"dropping-particle":"","family":"Yang","given":"Jiamei","non-dropping-particle":"","parse-names":false,"suffix":""},{"dropping-particle":"","family":"He","given":"Jia","non-dropping-particle":"","parse-names":false,"suffix":""}],"container-title":"BMC Cancer","id":"ITEM-1","issue":"1","issued":{"date-parts":[["2012","12","16"]]},"page":"289","title":"Hepatitis viruses infection and risk of intrahepatic cholangiocarcinoma: evidence from a meta-analysis","type":"article-journal","volume":"12"},"uris":["http://www.mendeley.com/documents/?uuid=f1ad889e-ebff-46e1-82b5-b4e7f249a63a"]}],"mendeley":{"formattedCitation":"&lt;sup&gt;[42]&lt;/sup&gt;","plainTextFormattedCitation":"[42]","previouslyFormattedCitation":"&lt;sup&gt;[42]&lt;/sup&gt;"},"properties":{"noteIndex":0},"schema":"https://github.com/citation-style-language/schema/raw/master/csl-citation.json"}</w:instrText>
            </w:r>
            <w:r w:rsidR="00DA7CC7" w:rsidRPr="00D866CC">
              <w:rPr>
                <w:rFonts w:ascii="Book Antiqua" w:hAnsi="Book Antiqua" w:cstheme="minorHAnsi"/>
                <w:color w:val="000000"/>
                <w:lang w:eastAsia="el-GR"/>
              </w:rPr>
              <w:fldChar w:fldCharType="separate"/>
            </w:r>
            <w:r w:rsidR="00A6171D" w:rsidRPr="00475777">
              <w:rPr>
                <w:rFonts w:ascii="Book Antiqua" w:hAnsi="Book Antiqua" w:cstheme="minorHAnsi"/>
                <w:noProof/>
                <w:color w:val="000000"/>
                <w:vertAlign w:val="superscript"/>
                <w:lang w:eastAsia="el-GR"/>
              </w:rPr>
              <w:t>[42]</w:t>
            </w:r>
            <w:r w:rsidR="00DA7CC7" w:rsidRPr="00475777">
              <w:rPr>
                <w:rFonts w:ascii="Book Antiqua" w:hAnsi="Book Antiqua" w:cstheme="minorHAnsi"/>
                <w:color w:val="000000"/>
                <w:lang w:eastAsia="el-GR"/>
              </w:rPr>
              <w:fldChar w:fldCharType="end"/>
            </w:r>
            <w:r w:rsidRPr="00436841">
              <w:rPr>
                <w:rFonts w:ascii="Book Antiqua" w:hAnsi="Book Antiqua" w:cstheme="minorHAnsi"/>
                <w:color w:val="000000"/>
                <w:lang w:eastAsia="el-GR"/>
              </w:rPr>
              <w:t>, 2012</w:t>
            </w:r>
          </w:p>
        </w:tc>
        <w:tc>
          <w:tcPr>
            <w:tcW w:w="1418" w:type="dxa"/>
            <w:shd w:val="clear" w:color="000000" w:fill="FFFFFF"/>
            <w:hideMark/>
          </w:tcPr>
          <w:p w14:paraId="34F015A8" w14:textId="77777777" w:rsidR="00DC5861" w:rsidRPr="00436841" w:rsidRDefault="00DC5861" w:rsidP="004825E1">
            <w:pPr>
              <w:spacing w:line="360" w:lineRule="auto"/>
              <w:jc w:val="both"/>
              <w:rPr>
                <w:rFonts w:ascii="Book Antiqua" w:hAnsi="Book Antiqua" w:cstheme="minorHAnsi"/>
                <w:color w:val="000000"/>
                <w:lang w:eastAsia="el-GR"/>
              </w:rPr>
            </w:pPr>
            <w:r w:rsidRPr="00326C94">
              <w:rPr>
                <w:rFonts w:ascii="Book Antiqua" w:hAnsi="Book Antiqua" w:cstheme="minorHAnsi"/>
                <w:color w:val="000000"/>
                <w:lang w:eastAsia="el-GR"/>
              </w:rPr>
              <w:t>Case-control = 12</w:t>
            </w:r>
            <w:r w:rsidR="003018D6"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Cohort: = 2</w:t>
            </w:r>
          </w:p>
        </w:tc>
        <w:tc>
          <w:tcPr>
            <w:tcW w:w="1417" w:type="dxa"/>
            <w:shd w:val="clear" w:color="000000" w:fill="FFFFFF"/>
            <w:noWrap/>
            <w:hideMark/>
          </w:tcPr>
          <w:p w14:paraId="797B8D1E"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1987-2009</w:t>
            </w:r>
          </w:p>
        </w:tc>
        <w:tc>
          <w:tcPr>
            <w:tcW w:w="1418" w:type="dxa"/>
            <w:shd w:val="clear" w:color="000000" w:fill="FFFFFF"/>
          </w:tcPr>
          <w:p w14:paraId="13E1B5DB"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Eastern = 11</w:t>
            </w:r>
            <w:r w:rsidR="003018D6"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Western = 3</w:t>
            </w:r>
          </w:p>
        </w:tc>
        <w:tc>
          <w:tcPr>
            <w:tcW w:w="992" w:type="dxa"/>
            <w:shd w:val="clear" w:color="000000" w:fill="FFFFFF"/>
          </w:tcPr>
          <w:p w14:paraId="550A5312"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2362</w:t>
            </w:r>
            <w:r w:rsidR="006F77E3"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NA</w:t>
            </w:r>
          </w:p>
        </w:tc>
        <w:tc>
          <w:tcPr>
            <w:tcW w:w="992" w:type="dxa"/>
            <w:shd w:val="clear" w:color="000000" w:fill="FFFFFF"/>
          </w:tcPr>
          <w:p w14:paraId="0821C271"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9645</w:t>
            </w:r>
            <w:r w:rsidR="00F50E40" w:rsidRPr="00436841">
              <w:rPr>
                <w:rFonts w:ascii="Book Antiqua" w:hAnsi="Book Antiqua" w:cstheme="minorHAnsi"/>
                <w:color w:val="000000"/>
                <w:lang w:eastAsia="el-GR"/>
              </w:rPr>
              <w:t xml:space="preserve">2. </w:t>
            </w:r>
            <w:r w:rsidRPr="00436841">
              <w:rPr>
                <w:rFonts w:ascii="Book Antiqua" w:hAnsi="Book Antiqua" w:cstheme="minorHAnsi"/>
                <w:color w:val="000000"/>
                <w:lang w:eastAsia="el-GR"/>
              </w:rPr>
              <w:t>NA</w:t>
            </w:r>
          </w:p>
        </w:tc>
        <w:tc>
          <w:tcPr>
            <w:tcW w:w="1843" w:type="dxa"/>
            <w:shd w:val="clear" w:color="000000" w:fill="FFFFFF"/>
          </w:tcPr>
          <w:p w14:paraId="122D27EB"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3.17 (1.88-5.34)</w:t>
            </w:r>
          </w:p>
        </w:tc>
        <w:tc>
          <w:tcPr>
            <w:tcW w:w="2268" w:type="dxa"/>
            <w:shd w:val="clear" w:color="000000" w:fill="FFFFFF"/>
          </w:tcPr>
          <w:p w14:paraId="6961250E"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i/>
                <w:color w:val="000000"/>
                <w:lang w:eastAsia="el-GR"/>
              </w:rPr>
              <w:t>I</w:t>
            </w:r>
            <w:r w:rsidRPr="00436841">
              <w:rPr>
                <w:rFonts w:ascii="Book Antiqua" w:hAnsi="Book Antiqua" w:cstheme="minorHAnsi"/>
                <w:i/>
                <w:color w:val="000000"/>
                <w:vertAlign w:val="superscript"/>
                <w:lang w:eastAsia="el-GR"/>
              </w:rPr>
              <w:t>2</w:t>
            </w:r>
            <w:r w:rsidR="00FA4DF7" w:rsidRPr="00436841">
              <w:rPr>
                <w:rFonts w:ascii="Book Antiqua" w:hAnsi="Book Antiqua" w:cstheme="minorHAnsi"/>
                <w:color w:val="000000"/>
                <w:vertAlign w:val="superscript"/>
                <w:lang w:eastAsia="el-GR"/>
              </w:rPr>
              <w:t xml:space="preserve"> </w:t>
            </w:r>
            <w:r w:rsidRPr="00436841">
              <w:rPr>
                <w:rFonts w:ascii="Book Antiqua" w:hAnsi="Book Antiqua" w:cstheme="minorHAnsi"/>
                <w:color w:val="000000"/>
                <w:lang w:eastAsia="el-GR"/>
              </w:rPr>
              <w:t>=</w:t>
            </w:r>
            <w:r w:rsidR="00FA4DF7"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81%</w:t>
            </w:r>
            <w:r w:rsidR="00FA4DF7"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 xml:space="preserve">Q: </w:t>
            </w:r>
            <w:r w:rsidRPr="00436841">
              <w:rPr>
                <w:rFonts w:ascii="Book Antiqua" w:hAnsi="Book Antiqua" w:cstheme="minorHAnsi"/>
                <w:i/>
                <w:iCs/>
                <w:color w:val="000000"/>
                <w:lang w:eastAsia="el-GR"/>
              </w:rPr>
              <w:t>P</w:t>
            </w:r>
            <w:r w:rsidR="00FA4DF7"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&lt;</w:t>
            </w:r>
            <w:r w:rsidR="00FA4DF7"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0.001</w:t>
            </w:r>
          </w:p>
        </w:tc>
        <w:tc>
          <w:tcPr>
            <w:tcW w:w="3544" w:type="dxa"/>
            <w:shd w:val="clear" w:color="000000" w:fill="FFFFFF"/>
            <w:hideMark/>
          </w:tcPr>
          <w:p w14:paraId="4ED77D40" w14:textId="77777777" w:rsidR="00DC5861" w:rsidRPr="00436841" w:rsidRDefault="00DC5861" w:rsidP="004825E1">
            <w:pPr>
              <w:spacing w:line="360" w:lineRule="auto"/>
              <w:jc w:val="both"/>
              <w:rPr>
                <w:rFonts w:ascii="Book Antiqua" w:hAnsi="Book Antiqua" w:cstheme="minorHAnsi"/>
                <w:color w:val="000000"/>
                <w:lang w:eastAsia="el-GR"/>
              </w:rPr>
            </w:pPr>
            <w:r w:rsidRPr="00436841">
              <w:rPr>
                <w:rFonts w:ascii="Book Antiqua" w:hAnsi="Book Antiqua" w:cstheme="minorHAnsi"/>
                <w:color w:val="000000"/>
                <w:lang w:eastAsia="el-GR"/>
              </w:rPr>
              <w:t>Funnel plot: Asymmetry</w:t>
            </w:r>
            <w:r w:rsidR="00146FE6" w:rsidRPr="00436841">
              <w:rPr>
                <w:rFonts w:ascii="Book Antiqua" w:hAnsi="Book Antiqua" w:cstheme="minorHAnsi"/>
                <w:color w:val="000000"/>
                <w:lang w:eastAsia="el-GR"/>
              </w:rPr>
              <w:t xml:space="preserve">. </w:t>
            </w:r>
            <w:r w:rsidRPr="00436841">
              <w:rPr>
                <w:rFonts w:ascii="Book Antiqua" w:hAnsi="Book Antiqua" w:cstheme="minorHAnsi"/>
                <w:color w:val="000000"/>
                <w:lang w:eastAsia="el-GR"/>
              </w:rPr>
              <w:t>Moderate bias</w:t>
            </w:r>
          </w:p>
        </w:tc>
      </w:tr>
    </w:tbl>
    <w:p w14:paraId="0982CA01" w14:textId="374DDA95" w:rsidR="00DC5861" w:rsidRPr="00436841" w:rsidRDefault="00DC5861" w:rsidP="00ED58D3">
      <w:pPr>
        <w:spacing w:line="360" w:lineRule="auto"/>
        <w:jc w:val="both"/>
        <w:rPr>
          <w:rFonts w:ascii="Book Antiqua" w:hAnsi="Book Antiqua" w:cstheme="minorHAnsi"/>
        </w:rPr>
      </w:pPr>
      <w:r w:rsidRPr="00436841">
        <w:rPr>
          <w:rFonts w:ascii="Book Antiqua" w:hAnsi="Book Antiqua" w:cstheme="minorHAnsi"/>
        </w:rPr>
        <w:t xml:space="preserve">Statistical heterogeneity was assessed by the Cochran’s Q statistic and </w:t>
      </w:r>
      <w:r w:rsidRPr="00436841">
        <w:rPr>
          <w:rFonts w:ascii="Book Antiqua" w:hAnsi="Book Antiqua" w:cstheme="minorHAnsi"/>
          <w:i/>
        </w:rPr>
        <w:t>I</w:t>
      </w:r>
      <w:r w:rsidRPr="00436841">
        <w:rPr>
          <w:rFonts w:ascii="Book Antiqua" w:hAnsi="Book Antiqua" w:cstheme="minorHAnsi"/>
          <w:i/>
          <w:vertAlign w:val="superscript"/>
        </w:rPr>
        <w:t>2</w:t>
      </w:r>
      <w:r w:rsidRPr="00436841">
        <w:rPr>
          <w:rFonts w:ascii="Book Antiqua" w:hAnsi="Book Antiqua" w:cstheme="minorHAnsi"/>
          <w:vertAlign w:val="superscript"/>
        </w:rPr>
        <w:t xml:space="preserve"> </w:t>
      </w:r>
      <w:r w:rsidRPr="00436841">
        <w:rPr>
          <w:rFonts w:ascii="Book Antiqua" w:hAnsi="Book Antiqua" w:cstheme="minorHAnsi"/>
        </w:rPr>
        <w:t xml:space="preserve">statistic. Significant heterogeneity is considered if Q: </w:t>
      </w:r>
      <w:r w:rsidRPr="00436841">
        <w:rPr>
          <w:rFonts w:ascii="Book Antiqua" w:hAnsi="Book Antiqua" w:cstheme="minorHAnsi"/>
          <w:i/>
          <w:iCs/>
        </w:rPr>
        <w:t>P</w:t>
      </w:r>
      <w:r w:rsidR="00BF2EEB" w:rsidRPr="00436841">
        <w:rPr>
          <w:rFonts w:ascii="Book Antiqua" w:hAnsi="Book Antiqua" w:cstheme="minorHAnsi"/>
        </w:rPr>
        <w:t xml:space="preserve"> </w:t>
      </w:r>
      <w:r w:rsidRPr="00436841">
        <w:rPr>
          <w:rFonts w:ascii="Book Antiqua" w:hAnsi="Book Antiqua" w:cstheme="minorHAnsi"/>
        </w:rPr>
        <w:t>&lt;</w:t>
      </w:r>
      <w:r w:rsidR="00BF2EEB" w:rsidRPr="00436841">
        <w:rPr>
          <w:rFonts w:ascii="Book Antiqua" w:hAnsi="Book Antiqua" w:cstheme="minorHAnsi"/>
        </w:rPr>
        <w:t xml:space="preserve"> </w:t>
      </w:r>
      <w:r w:rsidRPr="00436841">
        <w:rPr>
          <w:rFonts w:ascii="Book Antiqua" w:hAnsi="Book Antiqua" w:cstheme="minorHAnsi"/>
        </w:rPr>
        <w:t xml:space="preserve">0.10 or </w:t>
      </w:r>
      <w:r w:rsidRPr="00436841">
        <w:rPr>
          <w:rFonts w:ascii="Book Antiqua" w:hAnsi="Book Antiqua" w:cstheme="minorHAnsi"/>
          <w:i/>
        </w:rPr>
        <w:t>I</w:t>
      </w:r>
      <w:r w:rsidRPr="00436841">
        <w:rPr>
          <w:rFonts w:ascii="Book Antiqua" w:hAnsi="Book Antiqua" w:cstheme="minorHAnsi"/>
          <w:i/>
          <w:vertAlign w:val="superscript"/>
        </w:rPr>
        <w:t>2</w:t>
      </w:r>
      <w:r w:rsidR="00BF2EEB" w:rsidRPr="00436841">
        <w:rPr>
          <w:rFonts w:ascii="Book Antiqua" w:hAnsi="Book Antiqua" w:cstheme="minorHAnsi"/>
          <w:vertAlign w:val="superscript"/>
        </w:rPr>
        <w:t xml:space="preserve"> </w:t>
      </w:r>
      <w:r w:rsidRPr="00436841">
        <w:rPr>
          <w:rFonts w:ascii="Book Antiqua" w:hAnsi="Book Antiqua" w:cstheme="minorHAnsi"/>
        </w:rPr>
        <w:t>&gt;</w:t>
      </w:r>
      <w:r w:rsidR="00BF2EEB" w:rsidRPr="00436841">
        <w:rPr>
          <w:rFonts w:ascii="Book Antiqua" w:hAnsi="Book Antiqua" w:cstheme="minorHAnsi"/>
        </w:rPr>
        <w:t xml:space="preserve"> </w:t>
      </w:r>
      <w:r w:rsidRPr="00436841">
        <w:rPr>
          <w:rFonts w:ascii="Book Antiqua" w:hAnsi="Book Antiqua" w:cstheme="minorHAnsi"/>
        </w:rPr>
        <w:t xml:space="preserve">60%. Publication bias was evaluated using the Begg’s funnel plot and Egger’s test with </w:t>
      </w:r>
      <w:r w:rsidRPr="00436841">
        <w:rPr>
          <w:rFonts w:ascii="Book Antiqua" w:hAnsi="Book Antiqua" w:cstheme="minorHAnsi"/>
          <w:i/>
          <w:iCs/>
        </w:rPr>
        <w:t>P</w:t>
      </w:r>
      <w:r w:rsidR="00BF2EEB" w:rsidRPr="00436841">
        <w:rPr>
          <w:rFonts w:ascii="Book Antiqua" w:hAnsi="Book Antiqua" w:cstheme="minorHAnsi"/>
        </w:rPr>
        <w:t xml:space="preserve"> </w:t>
      </w:r>
      <w:r w:rsidRPr="00436841">
        <w:rPr>
          <w:rFonts w:ascii="Book Antiqua" w:hAnsi="Book Antiqua" w:cstheme="minorHAnsi"/>
        </w:rPr>
        <w:t>&lt;</w:t>
      </w:r>
      <w:r w:rsidR="00BF2EEB" w:rsidRPr="00436841">
        <w:rPr>
          <w:rFonts w:ascii="Book Antiqua" w:hAnsi="Book Antiqua" w:cstheme="minorHAnsi"/>
        </w:rPr>
        <w:t xml:space="preserve"> </w:t>
      </w:r>
      <w:r w:rsidRPr="00436841">
        <w:rPr>
          <w:rFonts w:ascii="Book Antiqua" w:hAnsi="Book Antiqua" w:cstheme="minorHAnsi"/>
        </w:rPr>
        <w:t>0.10 as an indication of publication bias.</w:t>
      </w:r>
      <w:r w:rsidR="00BF2EEB" w:rsidRPr="00436841">
        <w:rPr>
          <w:rFonts w:ascii="Book Antiqua" w:hAnsi="Book Antiqua" w:cstheme="minorHAnsi"/>
        </w:rPr>
        <w:t xml:space="preserve"> </w:t>
      </w:r>
      <w:r w:rsidR="00E110C5" w:rsidRPr="009A1362">
        <w:rPr>
          <w:rFonts w:ascii="Book Antiqua" w:hAnsi="Book Antiqua" w:cstheme="minorHAnsi"/>
        </w:rPr>
        <w:t>CI: Confidence interval; HBV: Hepatitis B virus; ICC: Intrahepatic cholangiocarcinoma</w:t>
      </w:r>
      <w:r w:rsidR="00E110C5">
        <w:rPr>
          <w:rFonts w:ascii="Book Antiqua" w:hAnsi="Book Antiqua" w:cstheme="minorHAnsi"/>
        </w:rPr>
        <w:t xml:space="preserve">; </w:t>
      </w:r>
      <w:r w:rsidRPr="00E110C5">
        <w:rPr>
          <w:rFonts w:ascii="Book Antiqua" w:hAnsi="Book Antiqua" w:cstheme="minorHAnsi"/>
        </w:rPr>
        <w:t xml:space="preserve">NA: </w:t>
      </w:r>
      <w:r w:rsidR="00BF2EEB" w:rsidRPr="00E110C5">
        <w:rPr>
          <w:rFonts w:ascii="Book Antiqua" w:hAnsi="Book Antiqua" w:cstheme="minorHAnsi"/>
        </w:rPr>
        <w:t>N</w:t>
      </w:r>
      <w:r w:rsidRPr="00E110C5">
        <w:rPr>
          <w:rFonts w:ascii="Book Antiqua" w:hAnsi="Book Antiqua" w:cstheme="minorHAnsi"/>
        </w:rPr>
        <w:t>ot applicable</w:t>
      </w:r>
      <w:r w:rsidR="00BF2EEB" w:rsidRPr="00E110C5">
        <w:rPr>
          <w:rFonts w:ascii="Book Antiqua" w:hAnsi="Book Antiqua" w:cstheme="minorHAnsi"/>
        </w:rPr>
        <w:t>;</w:t>
      </w:r>
      <w:r w:rsidRPr="00E110C5">
        <w:rPr>
          <w:rFonts w:ascii="Book Antiqua" w:hAnsi="Book Antiqua" w:cstheme="minorHAnsi"/>
        </w:rPr>
        <w:t xml:space="preserve"> OR: Odds </w:t>
      </w:r>
      <w:r w:rsidR="00BF2EEB" w:rsidRPr="00E110C5">
        <w:rPr>
          <w:rFonts w:ascii="Book Antiqua" w:hAnsi="Book Antiqua" w:cstheme="minorHAnsi"/>
        </w:rPr>
        <w:t>r</w:t>
      </w:r>
      <w:r w:rsidRPr="00E110C5">
        <w:rPr>
          <w:rFonts w:ascii="Book Antiqua" w:hAnsi="Book Antiqua" w:cstheme="minorHAnsi"/>
        </w:rPr>
        <w:t>atio</w:t>
      </w:r>
      <w:r w:rsidR="00E110C5">
        <w:rPr>
          <w:rFonts w:ascii="Book Antiqua" w:hAnsi="Book Antiqua" w:cstheme="minorHAnsi"/>
        </w:rPr>
        <w:t>.</w:t>
      </w:r>
      <w:r w:rsidRPr="00436841">
        <w:rPr>
          <w:rFonts w:ascii="Book Antiqua" w:hAnsi="Book Antiqua" w:cstheme="minorHAnsi"/>
        </w:rPr>
        <w:t xml:space="preserve"> </w:t>
      </w:r>
    </w:p>
    <w:p w14:paraId="798C3BC3" w14:textId="77777777" w:rsidR="00DC5861" w:rsidRPr="00436841" w:rsidRDefault="00DC5861" w:rsidP="00ED58D3">
      <w:pPr>
        <w:spacing w:line="360" w:lineRule="auto"/>
        <w:jc w:val="both"/>
        <w:rPr>
          <w:rFonts w:ascii="Book Antiqua" w:hAnsi="Book Antiqua"/>
        </w:rPr>
        <w:sectPr w:rsidR="00DC5861" w:rsidRPr="00436841" w:rsidSect="00D17D0D">
          <w:pgSz w:w="15840" w:h="12240" w:orient="landscape"/>
          <w:pgMar w:top="1440" w:right="1440" w:bottom="1440" w:left="1440" w:header="720" w:footer="720" w:gutter="0"/>
          <w:cols w:space="720"/>
          <w:docGrid w:linePitch="360"/>
        </w:sectPr>
      </w:pPr>
    </w:p>
    <w:p w14:paraId="13DD98E9" w14:textId="77777777" w:rsidR="00424BA6" w:rsidRPr="00436841" w:rsidRDefault="000612BA" w:rsidP="00ED58D3">
      <w:pPr>
        <w:spacing w:line="360" w:lineRule="auto"/>
        <w:jc w:val="both"/>
        <w:rPr>
          <w:rFonts w:ascii="Book Antiqua" w:eastAsia="Calibri" w:hAnsi="Book Antiqua" w:cstheme="minorHAnsi"/>
          <w:b/>
          <w:bCs/>
        </w:rPr>
      </w:pPr>
      <w:r w:rsidRPr="00436841">
        <w:rPr>
          <w:rFonts w:ascii="Book Antiqua" w:eastAsia="Calibri" w:hAnsi="Book Antiqua" w:cstheme="minorHAnsi"/>
          <w:b/>
          <w:bCs/>
        </w:rPr>
        <w:lastRenderedPageBreak/>
        <w:t xml:space="preserve">Table 3 </w:t>
      </w:r>
      <w:r w:rsidR="00043A13" w:rsidRPr="00326C94">
        <w:rPr>
          <w:rFonts w:ascii="Book Antiqua" w:hAnsi="Book Antiqua" w:cstheme="minorHAnsi"/>
          <w:b/>
          <w:bCs/>
          <w:color w:val="000000" w:themeColor="text1"/>
        </w:rPr>
        <w:t>American Joint Committee on Cancer</w:t>
      </w:r>
      <w:r w:rsidRPr="00436841">
        <w:rPr>
          <w:rFonts w:ascii="Book Antiqua" w:eastAsia="Calibri" w:hAnsi="Book Antiqua" w:cstheme="minorHAnsi"/>
          <w:b/>
          <w:bCs/>
        </w:rPr>
        <w:t xml:space="preserve"> staging classification for </w:t>
      </w:r>
      <w:r w:rsidR="00043A13" w:rsidRPr="00436841">
        <w:rPr>
          <w:rFonts w:ascii="Book Antiqua" w:hAnsi="Book Antiqua" w:cstheme="minorHAnsi"/>
          <w:b/>
          <w:bCs/>
          <w:color w:val="000000" w:themeColor="text1"/>
        </w:rPr>
        <w:t>intrahepatic cholangiocarcinoma</w:t>
      </w:r>
      <w:r w:rsidRPr="00436841">
        <w:rPr>
          <w:rFonts w:ascii="Book Antiqua" w:eastAsia="Calibri" w:hAnsi="Book Antiqua" w:cstheme="minorHAnsi"/>
          <w:b/>
          <w:bCs/>
        </w:rPr>
        <w:t xml:space="preserve"> (8</w:t>
      </w:r>
      <w:r w:rsidRPr="00436841">
        <w:rPr>
          <w:rFonts w:ascii="Book Antiqua" w:eastAsia="Calibri" w:hAnsi="Book Antiqua" w:cstheme="minorHAnsi"/>
          <w:b/>
          <w:bCs/>
          <w:vertAlign w:val="superscript"/>
        </w:rPr>
        <w:t xml:space="preserve">th </w:t>
      </w:r>
      <w:r w:rsidRPr="00436841">
        <w:rPr>
          <w:rFonts w:ascii="Book Antiqua" w:eastAsia="Calibri" w:hAnsi="Book Antiqua" w:cstheme="minorHAnsi"/>
          <w:b/>
          <w:bCs/>
        </w:rPr>
        <w:t>edition, 2017)</w:t>
      </w:r>
    </w:p>
    <w:tbl>
      <w:tblPr>
        <w:tblStyle w:val="PlainTable41"/>
        <w:tblW w:w="5000" w:type="pct"/>
        <w:tblLook w:val="04A0" w:firstRow="1" w:lastRow="0" w:firstColumn="1" w:lastColumn="0" w:noHBand="0" w:noVBand="1"/>
      </w:tblPr>
      <w:tblGrid>
        <w:gridCol w:w="1656"/>
        <w:gridCol w:w="7704"/>
      </w:tblGrid>
      <w:tr w:rsidR="00361F5A" w:rsidRPr="00436841" w14:paraId="3DEA3CBF" w14:textId="77777777" w:rsidTr="00361F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pct"/>
            <w:tcBorders>
              <w:top w:val="single" w:sz="4" w:space="0" w:color="auto"/>
            </w:tcBorders>
            <w:shd w:val="clear" w:color="auto" w:fill="auto"/>
          </w:tcPr>
          <w:p w14:paraId="373FD9DE" w14:textId="77777777" w:rsidR="00361F5A" w:rsidRPr="00D866CC" w:rsidRDefault="00361F5A" w:rsidP="00ED58D3">
            <w:pPr>
              <w:spacing w:line="360" w:lineRule="auto"/>
              <w:jc w:val="both"/>
              <w:rPr>
                <w:rFonts w:ascii="Book Antiqua" w:eastAsia="Calibri" w:hAnsi="Book Antiqua" w:cstheme="minorHAnsi"/>
                <w:sz w:val="22"/>
                <w:szCs w:val="22"/>
                <w:lang w:val="en-US"/>
              </w:rPr>
            </w:pPr>
            <w:r w:rsidRPr="00436841">
              <w:rPr>
                <w:rFonts w:ascii="Book Antiqua" w:eastAsia="Calibri" w:hAnsi="Book Antiqua" w:cstheme="minorHAnsi"/>
              </w:rPr>
              <w:t>Staging classification</w:t>
            </w:r>
          </w:p>
        </w:tc>
        <w:tc>
          <w:tcPr>
            <w:tcW w:w="4129" w:type="pct"/>
            <w:tcBorders>
              <w:top w:val="single" w:sz="4" w:space="0" w:color="auto"/>
            </w:tcBorders>
            <w:shd w:val="clear" w:color="auto" w:fill="auto"/>
          </w:tcPr>
          <w:p w14:paraId="2795EE78" w14:textId="77777777" w:rsidR="00361F5A" w:rsidRPr="00D866CC" w:rsidRDefault="00361F5A" w:rsidP="00ED58D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theme="minorHAnsi"/>
                <w:sz w:val="22"/>
                <w:szCs w:val="22"/>
                <w:lang w:val="en-US"/>
              </w:rPr>
            </w:pPr>
          </w:p>
        </w:tc>
      </w:tr>
      <w:tr w:rsidR="00424BA6" w:rsidRPr="00436841" w14:paraId="70BF0506" w14:textId="77777777" w:rsidTr="00361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pct"/>
            <w:tcBorders>
              <w:top w:val="single" w:sz="4" w:space="0" w:color="auto"/>
            </w:tcBorders>
            <w:shd w:val="clear" w:color="auto" w:fill="auto"/>
          </w:tcPr>
          <w:p w14:paraId="5E294C58" w14:textId="77777777" w:rsidR="00424BA6" w:rsidRPr="00436841" w:rsidRDefault="00424BA6" w:rsidP="00ED58D3">
            <w:pPr>
              <w:spacing w:line="360" w:lineRule="auto"/>
              <w:jc w:val="both"/>
              <w:rPr>
                <w:rFonts w:ascii="Book Antiqua" w:eastAsia="Calibri" w:hAnsi="Book Antiqua" w:cstheme="minorHAnsi"/>
                <w:b w:val="0"/>
                <w:bCs w:val="0"/>
                <w:lang w:val="en-US"/>
              </w:rPr>
            </w:pPr>
            <w:r w:rsidRPr="00436841">
              <w:rPr>
                <w:rFonts w:ascii="Book Antiqua" w:eastAsia="Calibri" w:hAnsi="Book Antiqua" w:cstheme="minorHAnsi"/>
              </w:rPr>
              <w:t>T1a</w:t>
            </w:r>
          </w:p>
        </w:tc>
        <w:tc>
          <w:tcPr>
            <w:tcW w:w="4129" w:type="pct"/>
            <w:tcBorders>
              <w:top w:val="single" w:sz="4" w:space="0" w:color="auto"/>
            </w:tcBorders>
            <w:shd w:val="clear" w:color="auto" w:fill="auto"/>
          </w:tcPr>
          <w:p w14:paraId="7162A774" w14:textId="77777777" w:rsidR="00424BA6" w:rsidRPr="00436841"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F243DB">
              <w:rPr>
                <w:rFonts w:ascii="Book Antiqua" w:eastAsia="Calibri" w:hAnsi="Book Antiqua" w:cstheme="minorHAnsi"/>
                <w:lang w:val="en-US"/>
              </w:rPr>
              <w:t>Solitary tumor ≤</w:t>
            </w:r>
            <w:r w:rsidR="00341DFD" w:rsidRPr="00F243DB">
              <w:rPr>
                <w:rFonts w:ascii="Book Antiqua" w:eastAsia="Calibri" w:hAnsi="Book Antiqua" w:cstheme="minorHAnsi"/>
                <w:lang w:val="en-US"/>
              </w:rPr>
              <w:t xml:space="preserve"> </w:t>
            </w:r>
            <w:r w:rsidRPr="00F243DB">
              <w:rPr>
                <w:rFonts w:ascii="Book Antiqua" w:eastAsia="Calibri" w:hAnsi="Book Antiqua" w:cstheme="minorHAnsi"/>
                <w:lang w:val="en-US"/>
              </w:rPr>
              <w:t>5</w:t>
            </w:r>
            <w:r w:rsidR="00341DFD" w:rsidRPr="00F243DB">
              <w:rPr>
                <w:rFonts w:ascii="Book Antiqua" w:eastAsia="Calibri" w:hAnsi="Book Antiqua" w:cstheme="minorHAnsi"/>
                <w:lang w:val="en-US"/>
              </w:rPr>
              <w:t xml:space="preserve"> </w:t>
            </w:r>
            <w:r w:rsidRPr="00F243DB">
              <w:rPr>
                <w:rFonts w:ascii="Book Antiqua" w:eastAsia="Calibri" w:hAnsi="Book Antiqua" w:cstheme="minorHAnsi"/>
                <w:lang w:val="en-US"/>
              </w:rPr>
              <w:t>cm without vascular invasion</w:t>
            </w:r>
          </w:p>
        </w:tc>
      </w:tr>
      <w:tr w:rsidR="00424BA6" w:rsidRPr="00436841" w14:paraId="7DC957C1" w14:textId="77777777" w:rsidTr="00361F5A">
        <w:tc>
          <w:tcPr>
            <w:cnfStyle w:val="001000000000" w:firstRow="0" w:lastRow="0" w:firstColumn="1" w:lastColumn="0" w:oddVBand="0" w:evenVBand="0" w:oddHBand="0" w:evenHBand="0" w:firstRowFirstColumn="0" w:firstRowLastColumn="0" w:lastRowFirstColumn="0" w:lastRowLastColumn="0"/>
            <w:tcW w:w="871" w:type="pct"/>
            <w:shd w:val="clear" w:color="auto" w:fill="auto"/>
          </w:tcPr>
          <w:p w14:paraId="6B30A8FE" w14:textId="77777777" w:rsidR="00424BA6" w:rsidRPr="00436841" w:rsidRDefault="00424BA6" w:rsidP="00ED58D3">
            <w:pPr>
              <w:spacing w:line="360" w:lineRule="auto"/>
              <w:jc w:val="both"/>
              <w:rPr>
                <w:rFonts w:ascii="Book Antiqua" w:eastAsia="Calibri" w:hAnsi="Book Antiqua" w:cstheme="minorHAnsi"/>
                <w:b w:val="0"/>
                <w:bCs w:val="0"/>
                <w:lang w:val="en-US"/>
              </w:rPr>
            </w:pPr>
            <w:r w:rsidRPr="00436841">
              <w:rPr>
                <w:rFonts w:ascii="Book Antiqua" w:eastAsia="Calibri" w:hAnsi="Book Antiqua" w:cstheme="minorHAnsi"/>
              </w:rPr>
              <w:t>T1b</w:t>
            </w:r>
          </w:p>
        </w:tc>
        <w:tc>
          <w:tcPr>
            <w:tcW w:w="4129" w:type="pct"/>
            <w:shd w:val="clear" w:color="auto" w:fill="auto"/>
          </w:tcPr>
          <w:p w14:paraId="44D0152E" w14:textId="77777777" w:rsidR="00424BA6" w:rsidRPr="00436841" w:rsidRDefault="00424BA6" w:rsidP="00ED58D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heme="minorHAnsi"/>
                <w:lang w:val="en-US"/>
              </w:rPr>
            </w:pPr>
            <w:r w:rsidRPr="00F243DB">
              <w:rPr>
                <w:rFonts w:ascii="Book Antiqua" w:eastAsia="Calibri" w:hAnsi="Book Antiqua" w:cstheme="minorHAnsi"/>
                <w:lang w:val="en-US"/>
              </w:rPr>
              <w:t>Solitary tumor &gt;</w:t>
            </w:r>
            <w:r w:rsidR="00341DFD" w:rsidRPr="00F243DB">
              <w:rPr>
                <w:rFonts w:ascii="Book Antiqua" w:eastAsia="Calibri" w:hAnsi="Book Antiqua" w:cstheme="minorHAnsi"/>
                <w:lang w:val="en-US"/>
              </w:rPr>
              <w:t xml:space="preserve"> </w:t>
            </w:r>
            <w:r w:rsidRPr="00F243DB">
              <w:rPr>
                <w:rFonts w:ascii="Book Antiqua" w:eastAsia="Calibri" w:hAnsi="Book Antiqua" w:cstheme="minorHAnsi"/>
                <w:lang w:val="en-US"/>
              </w:rPr>
              <w:t>5</w:t>
            </w:r>
            <w:r w:rsidR="00341DFD" w:rsidRPr="00F243DB">
              <w:rPr>
                <w:rFonts w:ascii="Book Antiqua" w:eastAsia="Calibri" w:hAnsi="Book Antiqua" w:cstheme="minorHAnsi"/>
                <w:lang w:val="en-US"/>
              </w:rPr>
              <w:t xml:space="preserve"> </w:t>
            </w:r>
            <w:r w:rsidRPr="00F243DB">
              <w:rPr>
                <w:rFonts w:ascii="Book Antiqua" w:eastAsia="Calibri" w:hAnsi="Book Antiqua" w:cstheme="minorHAnsi"/>
                <w:lang w:val="en-US"/>
              </w:rPr>
              <w:t>cm without vascular invasion</w:t>
            </w:r>
          </w:p>
        </w:tc>
      </w:tr>
      <w:tr w:rsidR="00424BA6" w:rsidRPr="00436841" w14:paraId="23FE6C02" w14:textId="77777777" w:rsidTr="00361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pct"/>
            <w:shd w:val="clear" w:color="auto" w:fill="auto"/>
          </w:tcPr>
          <w:p w14:paraId="30388358" w14:textId="77777777" w:rsidR="00424BA6" w:rsidRPr="00436841" w:rsidRDefault="00424BA6" w:rsidP="00ED58D3">
            <w:pPr>
              <w:spacing w:line="360" w:lineRule="auto"/>
              <w:jc w:val="both"/>
              <w:rPr>
                <w:rFonts w:ascii="Book Antiqua" w:eastAsia="Calibri" w:hAnsi="Book Antiqua" w:cstheme="minorHAnsi"/>
                <w:b w:val="0"/>
                <w:bCs w:val="0"/>
                <w:lang w:val="en-US"/>
              </w:rPr>
            </w:pPr>
            <w:r w:rsidRPr="00436841">
              <w:rPr>
                <w:rFonts w:ascii="Book Antiqua" w:eastAsia="Calibri" w:hAnsi="Book Antiqua" w:cstheme="minorHAnsi"/>
              </w:rPr>
              <w:t>T2</w:t>
            </w:r>
          </w:p>
        </w:tc>
        <w:tc>
          <w:tcPr>
            <w:tcW w:w="4129" w:type="pct"/>
            <w:shd w:val="clear" w:color="auto" w:fill="auto"/>
          </w:tcPr>
          <w:p w14:paraId="0313A71B" w14:textId="77777777" w:rsidR="00424BA6" w:rsidRPr="00436841"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F243DB">
              <w:rPr>
                <w:rFonts w:ascii="Book Antiqua" w:eastAsia="Calibri" w:hAnsi="Book Antiqua" w:cstheme="minorHAnsi"/>
                <w:lang w:val="en-US"/>
              </w:rPr>
              <w:t>Solitary tumor with vascular invasion, or multiple tumors with or without vascular invasion</w:t>
            </w:r>
          </w:p>
        </w:tc>
      </w:tr>
      <w:tr w:rsidR="00424BA6" w:rsidRPr="00436841" w14:paraId="22A70410" w14:textId="77777777" w:rsidTr="00361F5A">
        <w:tc>
          <w:tcPr>
            <w:cnfStyle w:val="001000000000" w:firstRow="0" w:lastRow="0" w:firstColumn="1" w:lastColumn="0" w:oddVBand="0" w:evenVBand="0" w:oddHBand="0" w:evenHBand="0" w:firstRowFirstColumn="0" w:firstRowLastColumn="0" w:lastRowFirstColumn="0" w:lastRowLastColumn="0"/>
            <w:tcW w:w="871" w:type="pct"/>
            <w:shd w:val="clear" w:color="auto" w:fill="auto"/>
          </w:tcPr>
          <w:p w14:paraId="72826137" w14:textId="77777777" w:rsidR="00424BA6" w:rsidRPr="00436841" w:rsidRDefault="00424BA6" w:rsidP="00ED58D3">
            <w:pPr>
              <w:spacing w:line="360" w:lineRule="auto"/>
              <w:jc w:val="both"/>
              <w:rPr>
                <w:rFonts w:ascii="Book Antiqua" w:eastAsia="Calibri" w:hAnsi="Book Antiqua" w:cstheme="minorHAnsi"/>
                <w:b w:val="0"/>
                <w:bCs w:val="0"/>
                <w:lang w:val="en-US"/>
              </w:rPr>
            </w:pPr>
            <w:r w:rsidRPr="00436841">
              <w:rPr>
                <w:rFonts w:ascii="Book Antiqua" w:eastAsia="Calibri" w:hAnsi="Book Antiqua" w:cstheme="minorHAnsi"/>
              </w:rPr>
              <w:t>T3</w:t>
            </w:r>
          </w:p>
        </w:tc>
        <w:tc>
          <w:tcPr>
            <w:tcW w:w="4129" w:type="pct"/>
            <w:shd w:val="clear" w:color="auto" w:fill="auto"/>
          </w:tcPr>
          <w:p w14:paraId="0ED87FAF" w14:textId="77777777" w:rsidR="00424BA6" w:rsidRPr="00436841" w:rsidRDefault="00424BA6" w:rsidP="00ED58D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heme="minorHAnsi"/>
                <w:lang w:val="en-US"/>
              </w:rPr>
            </w:pPr>
            <w:r w:rsidRPr="00F243DB">
              <w:rPr>
                <w:rFonts w:ascii="Book Antiqua" w:eastAsia="Calibri" w:hAnsi="Book Antiqua" w:cstheme="minorHAnsi"/>
                <w:lang w:val="en-US"/>
              </w:rPr>
              <w:t>Tumor perforating the visceral peritoneum</w:t>
            </w:r>
          </w:p>
        </w:tc>
      </w:tr>
      <w:tr w:rsidR="00424BA6" w:rsidRPr="00436841" w14:paraId="4EFF937C" w14:textId="77777777" w:rsidTr="00361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pct"/>
            <w:shd w:val="clear" w:color="auto" w:fill="auto"/>
          </w:tcPr>
          <w:p w14:paraId="7C53A915" w14:textId="77777777" w:rsidR="00424BA6" w:rsidRPr="00436841" w:rsidRDefault="00424BA6" w:rsidP="00ED58D3">
            <w:pPr>
              <w:spacing w:line="360" w:lineRule="auto"/>
              <w:jc w:val="both"/>
              <w:rPr>
                <w:rFonts w:ascii="Book Antiqua" w:eastAsia="Calibri" w:hAnsi="Book Antiqua" w:cstheme="minorHAnsi"/>
                <w:b w:val="0"/>
                <w:bCs w:val="0"/>
                <w:lang w:val="en-US"/>
              </w:rPr>
            </w:pPr>
            <w:r w:rsidRPr="00436841">
              <w:rPr>
                <w:rFonts w:ascii="Book Antiqua" w:eastAsia="Calibri" w:hAnsi="Book Antiqua" w:cstheme="minorHAnsi"/>
              </w:rPr>
              <w:t>T4</w:t>
            </w:r>
          </w:p>
        </w:tc>
        <w:tc>
          <w:tcPr>
            <w:tcW w:w="4129" w:type="pct"/>
            <w:shd w:val="clear" w:color="auto" w:fill="auto"/>
          </w:tcPr>
          <w:p w14:paraId="308A9193" w14:textId="77777777" w:rsidR="00424BA6" w:rsidRPr="00436841"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F243DB">
              <w:rPr>
                <w:rFonts w:ascii="Book Antiqua" w:eastAsia="Calibri" w:hAnsi="Book Antiqua" w:cstheme="minorHAnsi"/>
                <w:lang w:val="en-US"/>
              </w:rPr>
              <w:t>Tumor involving the local extrahepatic structures by direct invasion</w:t>
            </w:r>
          </w:p>
        </w:tc>
      </w:tr>
      <w:tr w:rsidR="00424BA6" w:rsidRPr="00436841" w14:paraId="14436102" w14:textId="77777777" w:rsidTr="00361F5A">
        <w:tc>
          <w:tcPr>
            <w:cnfStyle w:val="001000000000" w:firstRow="0" w:lastRow="0" w:firstColumn="1" w:lastColumn="0" w:oddVBand="0" w:evenVBand="0" w:oddHBand="0" w:evenHBand="0" w:firstRowFirstColumn="0" w:firstRowLastColumn="0" w:lastRowFirstColumn="0" w:lastRowLastColumn="0"/>
            <w:tcW w:w="871" w:type="pct"/>
            <w:shd w:val="clear" w:color="auto" w:fill="auto"/>
          </w:tcPr>
          <w:p w14:paraId="3DC9E925" w14:textId="77777777" w:rsidR="00424BA6" w:rsidRPr="00436841" w:rsidRDefault="00424BA6" w:rsidP="00ED58D3">
            <w:pPr>
              <w:spacing w:line="360" w:lineRule="auto"/>
              <w:jc w:val="both"/>
              <w:rPr>
                <w:rFonts w:ascii="Book Antiqua" w:eastAsia="Calibri" w:hAnsi="Book Antiqua" w:cstheme="minorHAnsi"/>
                <w:b w:val="0"/>
                <w:bCs w:val="0"/>
                <w:lang w:val="en-US"/>
              </w:rPr>
            </w:pPr>
            <w:r w:rsidRPr="00436841">
              <w:rPr>
                <w:rFonts w:ascii="Book Antiqua" w:eastAsia="Calibri" w:hAnsi="Book Antiqua" w:cstheme="minorHAnsi"/>
              </w:rPr>
              <w:t>N0</w:t>
            </w:r>
          </w:p>
        </w:tc>
        <w:tc>
          <w:tcPr>
            <w:tcW w:w="4129" w:type="pct"/>
            <w:shd w:val="clear" w:color="auto" w:fill="auto"/>
          </w:tcPr>
          <w:p w14:paraId="0601F5E7" w14:textId="77777777" w:rsidR="00424BA6" w:rsidRPr="00436841" w:rsidRDefault="00424BA6" w:rsidP="00ED58D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heme="minorHAnsi"/>
                <w:lang w:val="en-US"/>
              </w:rPr>
            </w:pPr>
            <w:r w:rsidRPr="00F243DB">
              <w:rPr>
                <w:rFonts w:ascii="Book Antiqua" w:eastAsia="Calibri" w:hAnsi="Book Antiqua" w:cstheme="minorHAnsi"/>
                <w:lang w:val="en-US"/>
              </w:rPr>
              <w:t>No regional lymph node metastasis</w:t>
            </w:r>
          </w:p>
        </w:tc>
      </w:tr>
      <w:tr w:rsidR="00424BA6" w:rsidRPr="00436841" w14:paraId="7C3CD71C" w14:textId="77777777" w:rsidTr="00361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pct"/>
            <w:shd w:val="clear" w:color="auto" w:fill="auto"/>
          </w:tcPr>
          <w:p w14:paraId="77ED4524" w14:textId="77777777" w:rsidR="00424BA6" w:rsidRPr="00436841" w:rsidRDefault="00424BA6" w:rsidP="00ED58D3">
            <w:pPr>
              <w:spacing w:line="360" w:lineRule="auto"/>
              <w:jc w:val="both"/>
              <w:rPr>
                <w:rFonts w:ascii="Book Antiqua" w:eastAsia="Calibri" w:hAnsi="Book Antiqua" w:cstheme="minorHAnsi"/>
                <w:b w:val="0"/>
                <w:bCs w:val="0"/>
                <w:lang w:val="en-US"/>
              </w:rPr>
            </w:pPr>
            <w:r w:rsidRPr="00436841">
              <w:rPr>
                <w:rFonts w:ascii="Book Antiqua" w:eastAsia="Calibri" w:hAnsi="Book Antiqua" w:cstheme="minorHAnsi"/>
              </w:rPr>
              <w:t>N1</w:t>
            </w:r>
          </w:p>
        </w:tc>
        <w:tc>
          <w:tcPr>
            <w:tcW w:w="4129" w:type="pct"/>
            <w:shd w:val="clear" w:color="auto" w:fill="auto"/>
          </w:tcPr>
          <w:p w14:paraId="648277DA" w14:textId="77777777" w:rsidR="00424BA6" w:rsidRPr="00436841"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F243DB">
              <w:rPr>
                <w:rFonts w:ascii="Book Antiqua" w:eastAsia="Calibri" w:hAnsi="Book Antiqua" w:cstheme="minorHAnsi"/>
                <w:lang w:val="en-US"/>
              </w:rPr>
              <w:t>Regional lymph node metastasis present</w:t>
            </w:r>
          </w:p>
        </w:tc>
      </w:tr>
      <w:tr w:rsidR="00424BA6" w:rsidRPr="00436841" w14:paraId="64A541F8" w14:textId="77777777" w:rsidTr="00361F5A">
        <w:tc>
          <w:tcPr>
            <w:cnfStyle w:val="001000000000" w:firstRow="0" w:lastRow="0" w:firstColumn="1" w:lastColumn="0" w:oddVBand="0" w:evenVBand="0" w:oddHBand="0" w:evenHBand="0" w:firstRowFirstColumn="0" w:firstRowLastColumn="0" w:lastRowFirstColumn="0" w:lastRowLastColumn="0"/>
            <w:tcW w:w="871" w:type="pct"/>
            <w:shd w:val="clear" w:color="auto" w:fill="auto"/>
          </w:tcPr>
          <w:p w14:paraId="4515431C" w14:textId="77777777" w:rsidR="00424BA6" w:rsidRPr="00436841" w:rsidRDefault="00424BA6" w:rsidP="00ED58D3">
            <w:pPr>
              <w:spacing w:line="360" w:lineRule="auto"/>
              <w:jc w:val="both"/>
              <w:rPr>
                <w:rFonts w:ascii="Book Antiqua" w:eastAsia="Calibri" w:hAnsi="Book Antiqua" w:cstheme="minorHAnsi"/>
                <w:b w:val="0"/>
                <w:bCs w:val="0"/>
                <w:lang w:val="en-US"/>
              </w:rPr>
            </w:pPr>
            <w:r w:rsidRPr="00436841">
              <w:rPr>
                <w:rFonts w:ascii="Book Antiqua" w:eastAsia="Calibri" w:hAnsi="Book Antiqua" w:cstheme="minorHAnsi"/>
              </w:rPr>
              <w:t>M0</w:t>
            </w:r>
          </w:p>
        </w:tc>
        <w:tc>
          <w:tcPr>
            <w:tcW w:w="4129" w:type="pct"/>
            <w:shd w:val="clear" w:color="auto" w:fill="auto"/>
          </w:tcPr>
          <w:p w14:paraId="5BBC5F6A" w14:textId="77777777" w:rsidR="00424BA6" w:rsidRPr="00436841" w:rsidRDefault="00424BA6" w:rsidP="00ED58D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heme="minorHAnsi"/>
                <w:lang w:val="en-US"/>
              </w:rPr>
            </w:pPr>
            <w:r w:rsidRPr="00436841">
              <w:rPr>
                <w:rFonts w:ascii="Book Antiqua" w:eastAsia="Calibri" w:hAnsi="Book Antiqua" w:cstheme="minorHAnsi"/>
              </w:rPr>
              <w:t>No distant metastasis</w:t>
            </w:r>
          </w:p>
        </w:tc>
      </w:tr>
      <w:tr w:rsidR="00424BA6" w:rsidRPr="00436841" w14:paraId="3CAEF770" w14:textId="77777777" w:rsidTr="00361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pct"/>
            <w:tcBorders>
              <w:bottom w:val="single" w:sz="4" w:space="0" w:color="auto"/>
            </w:tcBorders>
            <w:shd w:val="clear" w:color="auto" w:fill="auto"/>
          </w:tcPr>
          <w:p w14:paraId="32E0A67B" w14:textId="77777777" w:rsidR="00424BA6" w:rsidRPr="00436841" w:rsidRDefault="00424BA6" w:rsidP="00ED58D3">
            <w:pPr>
              <w:spacing w:line="360" w:lineRule="auto"/>
              <w:jc w:val="both"/>
              <w:rPr>
                <w:rFonts w:ascii="Book Antiqua" w:eastAsia="Calibri" w:hAnsi="Book Antiqua" w:cstheme="minorHAnsi"/>
                <w:b w:val="0"/>
                <w:bCs w:val="0"/>
                <w:lang w:val="en-US"/>
              </w:rPr>
            </w:pPr>
            <w:r w:rsidRPr="00436841">
              <w:rPr>
                <w:rFonts w:ascii="Book Antiqua" w:eastAsia="Calibri" w:hAnsi="Book Antiqua" w:cstheme="minorHAnsi"/>
              </w:rPr>
              <w:t>M1</w:t>
            </w:r>
          </w:p>
        </w:tc>
        <w:tc>
          <w:tcPr>
            <w:tcW w:w="4129" w:type="pct"/>
            <w:tcBorders>
              <w:bottom w:val="single" w:sz="4" w:space="0" w:color="auto"/>
            </w:tcBorders>
            <w:shd w:val="clear" w:color="auto" w:fill="auto"/>
          </w:tcPr>
          <w:p w14:paraId="6F5F78EC" w14:textId="77777777" w:rsidR="00424BA6" w:rsidRPr="00436841"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436841">
              <w:rPr>
                <w:rFonts w:ascii="Book Antiqua" w:eastAsia="Calibri" w:hAnsi="Book Antiqua" w:cstheme="minorHAnsi"/>
              </w:rPr>
              <w:t>Distant metastasis present</w:t>
            </w:r>
          </w:p>
        </w:tc>
      </w:tr>
    </w:tbl>
    <w:p w14:paraId="1F57475A" w14:textId="77777777" w:rsidR="00424BA6" w:rsidRPr="00436841" w:rsidRDefault="00424BA6" w:rsidP="00ED58D3">
      <w:pPr>
        <w:spacing w:line="360" w:lineRule="auto"/>
        <w:jc w:val="both"/>
        <w:rPr>
          <w:rFonts w:ascii="Book Antiqua" w:eastAsia="Calibri" w:hAnsi="Book Antiqua" w:cstheme="minorHAnsi"/>
          <w:b/>
          <w:bCs/>
        </w:rPr>
      </w:pPr>
      <w:r w:rsidRPr="00436841">
        <w:rPr>
          <w:rFonts w:ascii="Book Antiqua" w:eastAsia="Calibri" w:hAnsi="Book Antiqua" w:cstheme="minorHAnsi"/>
          <w:b/>
        </w:rPr>
        <w:br w:type="page"/>
      </w:r>
      <w:r w:rsidR="00D7487F" w:rsidRPr="00436841">
        <w:rPr>
          <w:rFonts w:ascii="Book Antiqua" w:eastAsia="Calibri" w:hAnsi="Book Antiqua" w:cstheme="minorHAnsi"/>
          <w:b/>
          <w:bCs/>
        </w:rPr>
        <w:lastRenderedPageBreak/>
        <w:t xml:space="preserve">Table 4 </w:t>
      </w:r>
      <w:r w:rsidR="00F31D97" w:rsidRPr="00436841">
        <w:rPr>
          <w:rFonts w:ascii="Book Antiqua" w:hAnsi="Book Antiqua" w:cstheme="minorHAnsi"/>
          <w:b/>
          <w:bCs/>
          <w:color w:val="000000" w:themeColor="text1"/>
        </w:rPr>
        <w:t>American Joint Committee on Cancer</w:t>
      </w:r>
      <w:r w:rsidR="00D7487F" w:rsidRPr="00436841">
        <w:rPr>
          <w:rFonts w:ascii="Book Antiqua" w:eastAsia="Calibri" w:hAnsi="Book Antiqua" w:cstheme="minorHAnsi"/>
          <w:b/>
          <w:bCs/>
        </w:rPr>
        <w:t xml:space="preserve"> staging classification for </w:t>
      </w:r>
      <w:r w:rsidR="00E608C8" w:rsidRPr="00436841">
        <w:rPr>
          <w:rFonts w:ascii="Book Antiqua" w:hAnsi="Book Antiqua" w:cstheme="minorHAnsi"/>
          <w:b/>
          <w:bCs/>
          <w:color w:val="000000" w:themeColor="text1"/>
        </w:rPr>
        <w:t>intrahepatic cholangiocarcinoma</w:t>
      </w:r>
      <w:r w:rsidR="00D7487F" w:rsidRPr="00436841">
        <w:rPr>
          <w:rFonts w:ascii="Book Antiqua" w:eastAsia="Calibri" w:hAnsi="Book Antiqua" w:cstheme="minorHAnsi"/>
          <w:b/>
          <w:bCs/>
        </w:rPr>
        <w:t xml:space="preserve"> (8</w:t>
      </w:r>
      <w:r w:rsidR="00D7487F" w:rsidRPr="00436841">
        <w:rPr>
          <w:rFonts w:ascii="Book Antiqua" w:eastAsia="Calibri" w:hAnsi="Book Antiqua" w:cstheme="minorHAnsi"/>
          <w:b/>
          <w:bCs/>
          <w:vertAlign w:val="superscript"/>
        </w:rPr>
        <w:t xml:space="preserve">th </w:t>
      </w:r>
      <w:r w:rsidR="00D7487F" w:rsidRPr="00436841">
        <w:rPr>
          <w:rFonts w:ascii="Book Antiqua" w:eastAsia="Calibri" w:hAnsi="Book Antiqua" w:cstheme="minorHAnsi"/>
          <w:b/>
          <w:bCs/>
        </w:rPr>
        <w:t>edition, 2017)</w:t>
      </w:r>
    </w:p>
    <w:tbl>
      <w:tblPr>
        <w:tblStyle w:val="PlainTable41"/>
        <w:tblW w:w="5000" w:type="pct"/>
        <w:tblLook w:val="04A0" w:firstRow="1" w:lastRow="0" w:firstColumn="1" w:lastColumn="0" w:noHBand="0" w:noVBand="1"/>
      </w:tblPr>
      <w:tblGrid>
        <w:gridCol w:w="2340"/>
        <w:gridCol w:w="2340"/>
        <w:gridCol w:w="2340"/>
        <w:gridCol w:w="2340"/>
      </w:tblGrid>
      <w:tr w:rsidR="00424BA6" w:rsidRPr="00436841" w14:paraId="1AB7BC92" w14:textId="77777777" w:rsidTr="00121B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auto"/>
              <w:bottom w:val="single" w:sz="4" w:space="0" w:color="auto"/>
            </w:tcBorders>
            <w:shd w:val="clear" w:color="auto" w:fill="auto"/>
          </w:tcPr>
          <w:p w14:paraId="7258FBFE" w14:textId="77777777" w:rsidR="00424BA6" w:rsidRPr="00436841" w:rsidRDefault="00424BA6" w:rsidP="00ED58D3">
            <w:pPr>
              <w:spacing w:line="360" w:lineRule="auto"/>
              <w:jc w:val="both"/>
              <w:rPr>
                <w:rFonts w:ascii="Book Antiqua" w:eastAsia="Calibri" w:hAnsi="Book Antiqua" w:cstheme="minorHAnsi"/>
                <w:lang w:val="en-US"/>
              </w:rPr>
            </w:pPr>
            <w:r w:rsidRPr="00436841">
              <w:rPr>
                <w:rFonts w:ascii="Book Antiqua" w:eastAsia="Calibri" w:hAnsi="Book Antiqua" w:cstheme="minorHAnsi"/>
              </w:rPr>
              <w:t>Stage</w:t>
            </w:r>
          </w:p>
        </w:tc>
        <w:tc>
          <w:tcPr>
            <w:tcW w:w="1250" w:type="pct"/>
            <w:tcBorders>
              <w:top w:val="single" w:sz="4" w:space="0" w:color="auto"/>
              <w:bottom w:val="single" w:sz="4" w:space="0" w:color="auto"/>
            </w:tcBorders>
            <w:shd w:val="clear" w:color="auto" w:fill="auto"/>
          </w:tcPr>
          <w:p w14:paraId="5AC8373B" w14:textId="77777777" w:rsidR="00424BA6" w:rsidRPr="00436841" w:rsidRDefault="00424BA6" w:rsidP="00ED58D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theme="minorHAnsi"/>
                <w:b w:val="0"/>
                <w:lang w:val="en-US"/>
              </w:rPr>
            </w:pPr>
            <w:r w:rsidRPr="00436841">
              <w:rPr>
                <w:rFonts w:ascii="Book Antiqua" w:eastAsia="Calibri" w:hAnsi="Book Antiqua" w:cstheme="minorHAnsi"/>
              </w:rPr>
              <w:t>T</w:t>
            </w:r>
          </w:p>
        </w:tc>
        <w:tc>
          <w:tcPr>
            <w:tcW w:w="1250" w:type="pct"/>
            <w:tcBorders>
              <w:top w:val="single" w:sz="4" w:space="0" w:color="auto"/>
              <w:bottom w:val="single" w:sz="4" w:space="0" w:color="auto"/>
            </w:tcBorders>
            <w:shd w:val="clear" w:color="auto" w:fill="auto"/>
          </w:tcPr>
          <w:p w14:paraId="4DFBCB4B" w14:textId="77777777" w:rsidR="00424BA6" w:rsidRPr="00436841" w:rsidRDefault="00424BA6" w:rsidP="00ED58D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theme="minorHAnsi"/>
                <w:b w:val="0"/>
                <w:lang w:val="en-US"/>
              </w:rPr>
            </w:pPr>
            <w:r w:rsidRPr="00436841">
              <w:rPr>
                <w:rFonts w:ascii="Book Antiqua" w:eastAsia="Calibri" w:hAnsi="Book Antiqua" w:cstheme="minorHAnsi"/>
              </w:rPr>
              <w:t>N</w:t>
            </w:r>
          </w:p>
        </w:tc>
        <w:tc>
          <w:tcPr>
            <w:tcW w:w="1250" w:type="pct"/>
            <w:tcBorders>
              <w:top w:val="single" w:sz="4" w:space="0" w:color="auto"/>
              <w:bottom w:val="single" w:sz="4" w:space="0" w:color="auto"/>
            </w:tcBorders>
            <w:shd w:val="clear" w:color="auto" w:fill="auto"/>
          </w:tcPr>
          <w:p w14:paraId="4FB2D58F" w14:textId="77777777" w:rsidR="00424BA6" w:rsidRPr="00436841" w:rsidRDefault="00424BA6" w:rsidP="00ED58D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theme="minorHAnsi"/>
                <w:b w:val="0"/>
                <w:lang w:val="en-US"/>
              </w:rPr>
            </w:pPr>
            <w:r w:rsidRPr="00436841">
              <w:rPr>
                <w:rFonts w:ascii="Book Antiqua" w:eastAsia="Calibri" w:hAnsi="Book Antiqua" w:cstheme="minorHAnsi"/>
              </w:rPr>
              <w:t>M</w:t>
            </w:r>
          </w:p>
        </w:tc>
      </w:tr>
      <w:tr w:rsidR="00424BA6" w:rsidRPr="00436841" w14:paraId="26189AC7" w14:textId="77777777" w:rsidTr="00121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auto"/>
            </w:tcBorders>
            <w:shd w:val="clear" w:color="auto" w:fill="auto"/>
          </w:tcPr>
          <w:p w14:paraId="15C9FCEA" w14:textId="77777777" w:rsidR="00424BA6" w:rsidRPr="00436841" w:rsidRDefault="00424BA6" w:rsidP="00ED58D3">
            <w:pPr>
              <w:spacing w:line="360" w:lineRule="auto"/>
              <w:jc w:val="both"/>
              <w:rPr>
                <w:rFonts w:ascii="Book Antiqua" w:eastAsia="Calibri" w:hAnsi="Book Antiqua" w:cstheme="minorHAnsi"/>
                <w:b w:val="0"/>
                <w:bCs w:val="0"/>
                <w:lang w:val="en-US"/>
              </w:rPr>
            </w:pPr>
            <w:r w:rsidRPr="00436841">
              <w:rPr>
                <w:rFonts w:ascii="Book Antiqua" w:eastAsia="Calibri" w:hAnsi="Book Antiqua" w:cstheme="minorHAnsi"/>
              </w:rPr>
              <w:t>Ia</w:t>
            </w:r>
          </w:p>
        </w:tc>
        <w:tc>
          <w:tcPr>
            <w:tcW w:w="1250" w:type="pct"/>
            <w:tcBorders>
              <w:top w:val="single" w:sz="4" w:space="0" w:color="auto"/>
            </w:tcBorders>
            <w:shd w:val="clear" w:color="auto" w:fill="auto"/>
          </w:tcPr>
          <w:p w14:paraId="00F8689D" w14:textId="77777777" w:rsidR="00424BA6" w:rsidRPr="00436841"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436841">
              <w:rPr>
                <w:rFonts w:ascii="Book Antiqua" w:eastAsia="Calibri" w:hAnsi="Book Antiqua" w:cstheme="minorHAnsi"/>
              </w:rPr>
              <w:t>T1a</w:t>
            </w:r>
          </w:p>
        </w:tc>
        <w:tc>
          <w:tcPr>
            <w:tcW w:w="1250" w:type="pct"/>
            <w:tcBorders>
              <w:top w:val="single" w:sz="4" w:space="0" w:color="auto"/>
            </w:tcBorders>
            <w:shd w:val="clear" w:color="auto" w:fill="auto"/>
          </w:tcPr>
          <w:p w14:paraId="54D20D13" w14:textId="77777777" w:rsidR="00424BA6" w:rsidRPr="00436841"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436841">
              <w:rPr>
                <w:rFonts w:ascii="Book Antiqua" w:eastAsia="Calibri" w:hAnsi="Book Antiqua" w:cstheme="minorHAnsi"/>
              </w:rPr>
              <w:t>N0</w:t>
            </w:r>
          </w:p>
        </w:tc>
        <w:tc>
          <w:tcPr>
            <w:tcW w:w="1250" w:type="pct"/>
            <w:tcBorders>
              <w:top w:val="single" w:sz="4" w:space="0" w:color="auto"/>
            </w:tcBorders>
            <w:shd w:val="clear" w:color="auto" w:fill="auto"/>
          </w:tcPr>
          <w:p w14:paraId="194C7B08" w14:textId="77777777" w:rsidR="00424BA6" w:rsidRPr="00436841"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436841">
              <w:rPr>
                <w:rFonts w:ascii="Book Antiqua" w:eastAsia="Calibri" w:hAnsi="Book Antiqua" w:cstheme="minorHAnsi"/>
              </w:rPr>
              <w:t>M0</w:t>
            </w:r>
          </w:p>
        </w:tc>
      </w:tr>
      <w:tr w:rsidR="00424BA6" w:rsidRPr="00436841" w14:paraId="77310A11" w14:textId="77777777" w:rsidTr="00A12392">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18F698F7" w14:textId="77777777" w:rsidR="00424BA6" w:rsidRPr="00436841" w:rsidRDefault="00424BA6" w:rsidP="00ED58D3">
            <w:pPr>
              <w:spacing w:line="360" w:lineRule="auto"/>
              <w:jc w:val="both"/>
              <w:rPr>
                <w:rFonts w:ascii="Book Antiqua" w:eastAsia="Calibri" w:hAnsi="Book Antiqua" w:cstheme="minorHAnsi"/>
                <w:b w:val="0"/>
                <w:bCs w:val="0"/>
                <w:lang w:val="en-US"/>
              </w:rPr>
            </w:pPr>
            <w:r w:rsidRPr="00436841">
              <w:rPr>
                <w:rFonts w:ascii="Book Antiqua" w:eastAsia="Calibri" w:hAnsi="Book Antiqua" w:cstheme="minorHAnsi"/>
              </w:rPr>
              <w:t>Ib</w:t>
            </w:r>
          </w:p>
        </w:tc>
        <w:tc>
          <w:tcPr>
            <w:tcW w:w="1250" w:type="pct"/>
            <w:shd w:val="clear" w:color="auto" w:fill="auto"/>
          </w:tcPr>
          <w:p w14:paraId="4756F8F2" w14:textId="77777777" w:rsidR="00424BA6" w:rsidRPr="00436841" w:rsidRDefault="00424BA6" w:rsidP="00ED58D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heme="minorHAnsi"/>
                <w:lang w:val="en-US"/>
              </w:rPr>
            </w:pPr>
            <w:r w:rsidRPr="00436841">
              <w:rPr>
                <w:rFonts w:ascii="Book Antiqua" w:eastAsia="Calibri" w:hAnsi="Book Antiqua" w:cstheme="minorHAnsi"/>
              </w:rPr>
              <w:t>T1b</w:t>
            </w:r>
          </w:p>
        </w:tc>
        <w:tc>
          <w:tcPr>
            <w:tcW w:w="1250" w:type="pct"/>
            <w:shd w:val="clear" w:color="auto" w:fill="auto"/>
          </w:tcPr>
          <w:p w14:paraId="6E99451C" w14:textId="77777777" w:rsidR="00424BA6" w:rsidRPr="00436841" w:rsidRDefault="00424BA6" w:rsidP="00ED58D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heme="minorHAnsi"/>
                <w:lang w:val="en-US"/>
              </w:rPr>
            </w:pPr>
            <w:r w:rsidRPr="00436841">
              <w:rPr>
                <w:rFonts w:ascii="Book Antiqua" w:eastAsia="Calibri" w:hAnsi="Book Antiqua" w:cstheme="minorHAnsi"/>
              </w:rPr>
              <w:t>N0</w:t>
            </w:r>
          </w:p>
        </w:tc>
        <w:tc>
          <w:tcPr>
            <w:tcW w:w="1250" w:type="pct"/>
            <w:shd w:val="clear" w:color="auto" w:fill="auto"/>
          </w:tcPr>
          <w:p w14:paraId="08FD4447" w14:textId="77777777" w:rsidR="00424BA6" w:rsidRPr="00436841" w:rsidRDefault="00424BA6" w:rsidP="00ED58D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heme="minorHAnsi"/>
                <w:lang w:val="en-US"/>
              </w:rPr>
            </w:pPr>
            <w:r w:rsidRPr="00436841">
              <w:rPr>
                <w:rFonts w:ascii="Book Antiqua" w:eastAsia="Calibri" w:hAnsi="Book Antiqua" w:cstheme="minorHAnsi"/>
              </w:rPr>
              <w:t>M0</w:t>
            </w:r>
          </w:p>
        </w:tc>
      </w:tr>
      <w:tr w:rsidR="00424BA6" w:rsidRPr="00436841" w14:paraId="682A4186" w14:textId="77777777" w:rsidTr="00A12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2F5C29CF" w14:textId="77777777" w:rsidR="00424BA6" w:rsidRPr="00436841" w:rsidRDefault="00424BA6" w:rsidP="00ED58D3">
            <w:pPr>
              <w:spacing w:line="360" w:lineRule="auto"/>
              <w:jc w:val="both"/>
              <w:rPr>
                <w:rFonts w:ascii="Book Antiqua" w:eastAsia="Calibri" w:hAnsi="Book Antiqua" w:cstheme="minorHAnsi"/>
                <w:b w:val="0"/>
                <w:bCs w:val="0"/>
                <w:lang w:val="en-US"/>
              </w:rPr>
            </w:pPr>
            <w:r w:rsidRPr="00436841">
              <w:rPr>
                <w:rFonts w:ascii="Book Antiqua" w:eastAsia="Calibri" w:hAnsi="Book Antiqua" w:cstheme="minorHAnsi"/>
              </w:rPr>
              <w:t>II</w:t>
            </w:r>
          </w:p>
        </w:tc>
        <w:tc>
          <w:tcPr>
            <w:tcW w:w="1250" w:type="pct"/>
            <w:shd w:val="clear" w:color="auto" w:fill="auto"/>
          </w:tcPr>
          <w:p w14:paraId="7DBCB8F2" w14:textId="77777777" w:rsidR="00424BA6" w:rsidRPr="00436841"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436841">
              <w:rPr>
                <w:rFonts w:ascii="Book Antiqua" w:eastAsia="Calibri" w:hAnsi="Book Antiqua" w:cstheme="minorHAnsi"/>
              </w:rPr>
              <w:t>T2</w:t>
            </w:r>
          </w:p>
        </w:tc>
        <w:tc>
          <w:tcPr>
            <w:tcW w:w="1250" w:type="pct"/>
            <w:shd w:val="clear" w:color="auto" w:fill="auto"/>
          </w:tcPr>
          <w:p w14:paraId="4C101872" w14:textId="77777777" w:rsidR="00424BA6" w:rsidRPr="00436841"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436841">
              <w:rPr>
                <w:rFonts w:ascii="Book Antiqua" w:eastAsia="Calibri" w:hAnsi="Book Antiqua" w:cstheme="minorHAnsi"/>
              </w:rPr>
              <w:t>N0</w:t>
            </w:r>
          </w:p>
        </w:tc>
        <w:tc>
          <w:tcPr>
            <w:tcW w:w="1250" w:type="pct"/>
            <w:shd w:val="clear" w:color="auto" w:fill="auto"/>
          </w:tcPr>
          <w:p w14:paraId="2086A30F" w14:textId="77777777" w:rsidR="00424BA6" w:rsidRPr="00436841"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436841">
              <w:rPr>
                <w:rFonts w:ascii="Book Antiqua" w:eastAsia="Calibri" w:hAnsi="Book Antiqua" w:cstheme="minorHAnsi"/>
              </w:rPr>
              <w:t>M0</w:t>
            </w:r>
          </w:p>
        </w:tc>
      </w:tr>
      <w:tr w:rsidR="00424BA6" w:rsidRPr="00436841" w14:paraId="051924F3" w14:textId="77777777" w:rsidTr="00A12392">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3820B208" w14:textId="77777777" w:rsidR="00424BA6" w:rsidRPr="00436841" w:rsidRDefault="00424BA6" w:rsidP="00ED58D3">
            <w:pPr>
              <w:spacing w:line="360" w:lineRule="auto"/>
              <w:jc w:val="both"/>
              <w:rPr>
                <w:rFonts w:ascii="Book Antiqua" w:eastAsia="Calibri" w:hAnsi="Book Antiqua" w:cstheme="minorHAnsi"/>
                <w:b w:val="0"/>
                <w:bCs w:val="0"/>
                <w:lang w:val="en-US"/>
              </w:rPr>
            </w:pPr>
            <w:r w:rsidRPr="00436841">
              <w:rPr>
                <w:rFonts w:ascii="Book Antiqua" w:eastAsia="Calibri" w:hAnsi="Book Antiqua" w:cstheme="minorHAnsi"/>
              </w:rPr>
              <w:t>IIIa</w:t>
            </w:r>
          </w:p>
        </w:tc>
        <w:tc>
          <w:tcPr>
            <w:tcW w:w="1250" w:type="pct"/>
            <w:shd w:val="clear" w:color="auto" w:fill="auto"/>
          </w:tcPr>
          <w:p w14:paraId="595ABC83" w14:textId="77777777" w:rsidR="00424BA6" w:rsidRPr="00436841" w:rsidRDefault="00424BA6" w:rsidP="00ED58D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heme="minorHAnsi"/>
                <w:lang w:val="en-US"/>
              </w:rPr>
            </w:pPr>
            <w:r w:rsidRPr="00436841">
              <w:rPr>
                <w:rFonts w:ascii="Book Antiqua" w:eastAsia="Calibri" w:hAnsi="Book Antiqua" w:cstheme="minorHAnsi"/>
              </w:rPr>
              <w:t>T3</w:t>
            </w:r>
          </w:p>
        </w:tc>
        <w:tc>
          <w:tcPr>
            <w:tcW w:w="1250" w:type="pct"/>
            <w:shd w:val="clear" w:color="auto" w:fill="auto"/>
          </w:tcPr>
          <w:p w14:paraId="08FEE51B" w14:textId="77777777" w:rsidR="00424BA6" w:rsidRPr="00436841" w:rsidRDefault="00424BA6" w:rsidP="00ED58D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heme="minorHAnsi"/>
                <w:lang w:val="en-US"/>
              </w:rPr>
            </w:pPr>
            <w:r w:rsidRPr="00436841">
              <w:rPr>
                <w:rFonts w:ascii="Book Antiqua" w:eastAsia="Calibri" w:hAnsi="Book Antiqua" w:cstheme="minorHAnsi"/>
              </w:rPr>
              <w:t>N0</w:t>
            </w:r>
          </w:p>
        </w:tc>
        <w:tc>
          <w:tcPr>
            <w:tcW w:w="1250" w:type="pct"/>
            <w:shd w:val="clear" w:color="auto" w:fill="auto"/>
          </w:tcPr>
          <w:p w14:paraId="35A7E56C" w14:textId="77777777" w:rsidR="00424BA6" w:rsidRPr="00436841" w:rsidRDefault="00424BA6" w:rsidP="00ED58D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heme="minorHAnsi"/>
                <w:lang w:val="en-US"/>
              </w:rPr>
            </w:pPr>
            <w:r w:rsidRPr="00436841">
              <w:rPr>
                <w:rFonts w:ascii="Book Antiqua" w:eastAsia="Calibri" w:hAnsi="Book Antiqua" w:cstheme="minorHAnsi"/>
              </w:rPr>
              <w:t>M0</w:t>
            </w:r>
          </w:p>
        </w:tc>
      </w:tr>
      <w:tr w:rsidR="00424BA6" w:rsidRPr="00436841" w14:paraId="27A0F8FB" w14:textId="77777777" w:rsidTr="00A12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30AB210C" w14:textId="77777777" w:rsidR="00424BA6" w:rsidRPr="00436841" w:rsidRDefault="00424BA6" w:rsidP="00ED58D3">
            <w:pPr>
              <w:spacing w:line="360" w:lineRule="auto"/>
              <w:jc w:val="both"/>
              <w:rPr>
                <w:rFonts w:ascii="Book Antiqua" w:eastAsia="Calibri" w:hAnsi="Book Antiqua" w:cstheme="minorHAnsi"/>
                <w:b w:val="0"/>
                <w:bCs w:val="0"/>
                <w:lang w:val="en-US"/>
              </w:rPr>
            </w:pPr>
            <w:r w:rsidRPr="00436841">
              <w:rPr>
                <w:rFonts w:ascii="Book Antiqua" w:eastAsia="Calibri" w:hAnsi="Book Antiqua" w:cstheme="minorHAnsi"/>
              </w:rPr>
              <w:t>IIIb</w:t>
            </w:r>
          </w:p>
        </w:tc>
        <w:tc>
          <w:tcPr>
            <w:tcW w:w="1250" w:type="pct"/>
            <w:shd w:val="clear" w:color="auto" w:fill="auto"/>
          </w:tcPr>
          <w:p w14:paraId="301F87A0" w14:textId="77777777" w:rsidR="00424BA6" w:rsidRPr="00436841"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436841">
              <w:rPr>
                <w:rFonts w:ascii="Book Antiqua" w:eastAsia="Calibri" w:hAnsi="Book Antiqua" w:cstheme="minorHAnsi"/>
              </w:rPr>
              <w:t>T4</w:t>
            </w:r>
          </w:p>
        </w:tc>
        <w:tc>
          <w:tcPr>
            <w:tcW w:w="1250" w:type="pct"/>
            <w:shd w:val="clear" w:color="auto" w:fill="auto"/>
          </w:tcPr>
          <w:p w14:paraId="44A2DCCB" w14:textId="77777777" w:rsidR="00424BA6" w:rsidRPr="00436841"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436841">
              <w:rPr>
                <w:rFonts w:ascii="Book Antiqua" w:eastAsia="Calibri" w:hAnsi="Book Antiqua" w:cstheme="minorHAnsi"/>
              </w:rPr>
              <w:t>N0</w:t>
            </w:r>
          </w:p>
        </w:tc>
        <w:tc>
          <w:tcPr>
            <w:tcW w:w="1250" w:type="pct"/>
            <w:shd w:val="clear" w:color="auto" w:fill="auto"/>
          </w:tcPr>
          <w:p w14:paraId="36FD1F27" w14:textId="77777777" w:rsidR="00424BA6" w:rsidRPr="00436841"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436841">
              <w:rPr>
                <w:rFonts w:ascii="Book Antiqua" w:eastAsia="Calibri" w:hAnsi="Book Antiqua" w:cstheme="minorHAnsi"/>
              </w:rPr>
              <w:t>M0</w:t>
            </w:r>
          </w:p>
        </w:tc>
      </w:tr>
      <w:tr w:rsidR="00424BA6" w:rsidRPr="00436841" w14:paraId="47D6F9C5" w14:textId="77777777" w:rsidTr="00A12392">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657C788B" w14:textId="77777777" w:rsidR="00424BA6" w:rsidRPr="00436841" w:rsidRDefault="00424BA6" w:rsidP="00ED58D3">
            <w:pPr>
              <w:spacing w:line="360" w:lineRule="auto"/>
              <w:jc w:val="both"/>
              <w:rPr>
                <w:rFonts w:ascii="Book Antiqua" w:eastAsia="Calibri" w:hAnsi="Book Antiqua" w:cstheme="minorHAnsi"/>
                <w:b w:val="0"/>
                <w:bCs w:val="0"/>
                <w:lang w:val="en-US"/>
              </w:rPr>
            </w:pPr>
          </w:p>
        </w:tc>
        <w:tc>
          <w:tcPr>
            <w:tcW w:w="1250" w:type="pct"/>
            <w:shd w:val="clear" w:color="auto" w:fill="auto"/>
          </w:tcPr>
          <w:p w14:paraId="732951A6" w14:textId="77777777" w:rsidR="00424BA6" w:rsidRPr="00436841" w:rsidRDefault="00424BA6" w:rsidP="00ED58D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heme="minorHAnsi"/>
                <w:lang w:val="en-US"/>
              </w:rPr>
            </w:pPr>
            <w:r w:rsidRPr="00436841">
              <w:rPr>
                <w:rFonts w:ascii="Book Antiqua" w:eastAsia="Calibri" w:hAnsi="Book Antiqua" w:cstheme="minorHAnsi"/>
              </w:rPr>
              <w:t>Any T</w:t>
            </w:r>
          </w:p>
        </w:tc>
        <w:tc>
          <w:tcPr>
            <w:tcW w:w="1250" w:type="pct"/>
            <w:shd w:val="clear" w:color="auto" w:fill="auto"/>
          </w:tcPr>
          <w:p w14:paraId="132E2F64" w14:textId="77777777" w:rsidR="00424BA6" w:rsidRPr="00436841" w:rsidRDefault="00424BA6" w:rsidP="00ED58D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heme="minorHAnsi"/>
                <w:lang w:val="en-US"/>
              </w:rPr>
            </w:pPr>
            <w:r w:rsidRPr="00436841">
              <w:rPr>
                <w:rFonts w:ascii="Book Antiqua" w:eastAsia="Calibri" w:hAnsi="Book Antiqua" w:cstheme="minorHAnsi"/>
              </w:rPr>
              <w:t>N1</w:t>
            </w:r>
          </w:p>
        </w:tc>
        <w:tc>
          <w:tcPr>
            <w:tcW w:w="1250" w:type="pct"/>
            <w:shd w:val="clear" w:color="auto" w:fill="auto"/>
          </w:tcPr>
          <w:p w14:paraId="6DDCB9F6" w14:textId="77777777" w:rsidR="00424BA6" w:rsidRPr="00436841" w:rsidRDefault="00424BA6" w:rsidP="00ED58D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heme="minorHAnsi"/>
                <w:lang w:val="en-US"/>
              </w:rPr>
            </w:pPr>
            <w:r w:rsidRPr="00436841">
              <w:rPr>
                <w:rFonts w:ascii="Book Antiqua" w:eastAsia="Calibri" w:hAnsi="Book Antiqua" w:cstheme="minorHAnsi"/>
              </w:rPr>
              <w:t>M0</w:t>
            </w:r>
          </w:p>
        </w:tc>
      </w:tr>
      <w:tr w:rsidR="00424BA6" w:rsidRPr="00436841" w14:paraId="661EDC23" w14:textId="77777777" w:rsidTr="00A12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bottom w:val="single" w:sz="4" w:space="0" w:color="auto"/>
            </w:tcBorders>
            <w:shd w:val="clear" w:color="auto" w:fill="auto"/>
          </w:tcPr>
          <w:p w14:paraId="1D38C785" w14:textId="77777777" w:rsidR="00424BA6" w:rsidRPr="00436841" w:rsidRDefault="00424BA6" w:rsidP="00ED58D3">
            <w:pPr>
              <w:spacing w:line="360" w:lineRule="auto"/>
              <w:jc w:val="both"/>
              <w:rPr>
                <w:rFonts w:ascii="Book Antiqua" w:eastAsia="Calibri" w:hAnsi="Book Antiqua" w:cstheme="minorHAnsi"/>
                <w:b w:val="0"/>
                <w:bCs w:val="0"/>
                <w:lang w:val="en-US"/>
              </w:rPr>
            </w:pPr>
            <w:r w:rsidRPr="00436841">
              <w:rPr>
                <w:rFonts w:ascii="Book Antiqua" w:eastAsia="Calibri" w:hAnsi="Book Antiqua" w:cstheme="minorHAnsi"/>
              </w:rPr>
              <w:t>IV</w:t>
            </w:r>
          </w:p>
        </w:tc>
        <w:tc>
          <w:tcPr>
            <w:tcW w:w="1250" w:type="pct"/>
            <w:tcBorders>
              <w:bottom w:val="single" w:sz="4" w:space="0" w:color="auto"/>
            </w:tcBorders>
            <w:shd w:val="clear" w:color="auto" w:fill="auto"/>
          </w:tcPr>
          <w:p w14:paraId="264B01B3" w14:textId="77777777" w:rsidR="00424BA6" w:rsidRPr="00436841"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436841">
              <w:rPr>
                <w:rFonts w:ascii="Book Antiqua" w:eastAsia="Calibri" w:hAnsi="Book Antiqua" w:cstheme="minorHAnsi"/>
              </w:rPr>
              <w:t>Any T</w:t>
            </w:r>
          </w:p>
        </w:tc>
        <w:tc>
          <w:tcPr>
            <w:tcW w:w="1250" w:type="pct"/>
            <w:tcBorders>
              <w:bottom w:val="single" w:sz="4" w:space="0" w:color="auto"/>
            </w:tcBorders>
            <w:shd w:val="clear" w:color="auto" w:fill="auto"/>
          </w:tcPr>
          <w:p w14:paraId="268CF557" w14:textId="77777777" w:rsidR="00424BA6" w:rsidRPr="00436841"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436841">
              <w:rPr>
                <w:rFonts w:ascii="Book Antiqua" w:eastAsia="Calibri" w:hAnsi="Book Antiqua" w:cstheme="minorHAnsi"/>
              </w:rPr>
              <w:t>Any N</w:t>
            </w:r>
          </w:p>
        </w:tc>
        <w:tc>
          <w:tcPr>
            <w:tcW w:w="1250" w:type="pct"/>
            <w:tcBorders>
              <w:bottom w:val="single" w:sz="4" w:space="0" w:color="auto"/>
            </w:tcBorders>
            <w:shd w:val="clear" w:color="auto" w:fill="auto"/>
          </w:tcPr>
          <w:p w14:paraId="08ACBEC2" w14:textId="77777777" w:rsidR="00424BA6" w:rsidRPr="00436841" w:rsidRDefault="00424BA6" w:rsidP="00ED58D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heme="minorHAnsi"/>
                <w:lang w:val="en-US"/>
              </w:rPr>
            </w:pPr>
            <w:r w:rsidRPr="00436841">
              <w:rPr>
                <w:rFonts w:ascii="Book Antiqua" w:eastAsia="Calibri" w:hAnsi="Book Antiqua" w:cstheme="minorHAnsi"/>
              </w:rPr>
              <w:t>M1</w:t>
            </w:r>
          </w:p>
        </w:tc>
      </w:tr>
    </w:tbl>
    <w:p w14:paraId="48F00561" w14:textId="77777777" w:rsidR="00424BA6" w:rsidRPr="00436841" w:rsidRDefault="00424BA6" w:rsidP="00ED58D3">
      <w:pPr>
        <w:spacing w:line="360" w:lineRule="auto"/>
        <w:jc w:val="both"/>
        <w:rPr>
          <w:rFonts w:ascii="Book Antiqua" w:hAnsi="Book Antiqua"/>
        </w:rPr>
      </w:pPr>
    </w:p>
    <w:sectPr w:rsidR="00424BA6" w:rsidRPr="00436841" w:rsidSect="0076448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20C7A6" w14:textId="77777777" w:rsidR="002A7F05" w:rsidRDefault="002A7F05" w:rsidP="001C05A8">
      <w:r>
        <w:separator/>
      </w:r>
    </w:p>
  </w:endnote>
  <w:endnote w:type="continuationSeparator" w:id="0">
    <w:p w14:paraId="5BD30E1D" w14:textId="77777777" w:rsidR="002A7F05" w:rsidRDefault="002A7F05" w:rsidP="001C0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A1"/>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668F0" w14:textId="77777777" w:rsidR="00F243DB" w:rsidRPr="00436841" w:rsidRDefault="00F243DB" w:rsidP="001C05A8">
    <w:pPr>
      <w:pStyle w:val="Footer"/>
      <w:jc w:val="right"/>
      <w:rPr>
        <w:rFonts w:ascii="Book Antiqua" w:hAnsi="Book Antiqua"/>
        <w:sz w:val="24"/>
        <w:szCs w:val="24"/>
      </w:rPr>
    </w:pPr>
    <w:r w:rsidRPr="001C05A8">
      <w:rPr>
        <w:rFonts w:ascii="Book Antiqua" w:hAnsi="Book Antiqua"/>
        <w:sz w:val="24"/>
        <w:szCs w:val="24"/>
        <w:lang w:val="zh-CN" w:eastAsia="zh-CN"/>
      </w:rPr>
      <w:t xml:space="preserve"> </w:t>
    </w:r>
    <w:r w:rsidR="00DA7CC7" w:rsidRPr="00436841">
      <w:rPr>
        <w:rFonts w:ascii="Book Antiqua" w:hAnsi="Book Antiqua"/>
        <w:sz w:val="24"/>
        <w:szCs w:val="24"/>
      </w:rPr>
      <w:fldChar w:fldCharType="begin"/>
    </w:r>
    <w:r w:rsidRPr="00436841">
      <w:rPr>
        <w:rFonts w:ascii="Book Antiqua" w:hAnsi="Book Antiqua"/>
        <w:sz w:val="24"/>
        <w:szCs w:val="24"/>
      </w:rPr>
      <w:instrText>PAGE  \* Arabic  \* MERGEFORMAT</w:instrText>
    </w:r>
    <w:r w:rsidR="00DA7CC7" w:rsidRPr="00436841">
      <w:rPr>
        <w:rFonts w:ascii="Book Antiqua" w:hAnsi="Book Antiqua"/>
        <w:sz w:val="24"/>
        <w:szCs w:val="24"/>
      </w:rPr>
      <w:fldChar w:fldCharType="separate"/>
    </w:r>
    <w:r w:rsidR="00FF414A" w:rsidRPr="00FF414A">
      <w:rPr>
        <w:rFonts w:ascii="Book Antiqua" w:hAnsi="Book Antiqua"/>
        <w:noProof/>
        <w:sz w:val="24"/>
        <w:szCs w:val="24"/>
        <w:lang w:val="zh-CN" w:eastAsia="zh-CN"/>
      </w:rPr>
      <w:t>15</w:t>
    </w:r>
    <w:r w:rsidR="00DA7CC7" w:rsidRPr="00436841">
      <w:rPr>
        <w:rFonts w:ascii="Book Antiqua" w:hAnsi="Book Antiqua"/>
        <w:sz w:val="24"/>
        <w:szCs w:val="24"/>
      </w:rPr>
      <w:fldChar w:fldCharType="end"/>
    </w:r>
    <w:r w:rsidRPr="00436841">
      <w:rPr>
        <w:rFonts w:ascii="Book Antiqua" w:hAnsi="Book Antiqua"/>
        <w:sz w:val="24"/>
        <w:szCs w:val="24"/>
        <w:lang w:val="zh-CN" w:eastAsia="zh-CN"/>
      </w:rPr>
      <w:t xml:space="preserve"> / </w:t>
    </w:r>
    <w:r w:rsidR="00DA7CC7" w:rsidRPr="00D866CC">
      <w:rPr>
        <w:rFonts w:ascii="Book Antiqua" w:hAnsi="Book Antiqua"/>
        <w:sz w:val="24"/>
        <w:szCs w:val="24"/>
      </w:rPr>
      <w:fldChar w:fldCharType="begin"/>
    </w:r>
    <w:r w:rsidR="00DA7CC7" w:rsidRPr="00D866CC">
      <w:rPr>
        <w:rFonts w:ascii="Book Antiqua" w:hAnsi="Book Antiqua"/>
        <w:sz w:val="24"/>
        <w:szCs w:val="24"/>
      </w:rPr>
      <w:instrText>NUMPAGES  \* Arabic  \* MERGEFORMAT</w:instrText>
    </w:r>
    <w:r w:rsidR="00DA7CC7" w:rsidRPr="00D866CC">
      <w:rPr>
        <w:rFonts w:ascii="Book Antiqua" w:hAnsi="Book Antiqua"/>
        <w:sz w:val="24"/>
        <w:szCs w:val="24"/>
      </w:rPr>
      <w:fldChar w:fldCharType="separate"/>
    </w:r>
    <w:r w:rsidR="00FF414A" w:rsidRPr="00FF414A">
      <w:rPr>
        <w:rFonts w:ascii="Book Antiqua" w:hAnsi="Book Antiqua"/>
        <w:noProof/>
        <w:sz w:val="24"/>
        <w:szCs w:val="24"/>
        <w:lang w:val="zh-CN" w:eastAsia="zh-CN"/>
      </w:rPr>
      <w:t>63</w:t>
    </w:r>
    <w:r w:rsidR="00DA7CC7" w:rsidRPr="00D866CC">
      <w:rPr>
        <w:rFonts w:ascii="Book Antiqua" w:hAnsi="Book Antiqua"/>
        <w:noProof/>
        <w:sz w:val="24"/>
        <w:szCs w:val="24"/>
        <w:lang w:val="zh-CN" w:eastAsia="zh-CN"/>
      </w:rPr>
      <w:fldChar w:fldCharType="end"/>
    </w:r>
  </w:p>
  <w:p w14:paraId="6AE49DF8" w14:textId="77777777" w:rsidR="00F243DB" w:rsidRDefault="00F243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D4396F" w14:textId="77777777" w:rsidR="002A7F05" w:rsidRDefault="002A7F05" w:rsidP="001C05A8">
      <w:r>
        <w:separator/>
      </w:r>
    </w:p>
  </w:footnote>
  <w:footnote w:type="continuationSeparator" w:id="0">
    <w:p w14:paraId="3C42E5CB" w14:textId="77777777" w:rsidR="002A7F05" w:rsidRDefault="002A7F05" w:rsidP="001C05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705"/>
    <w:rsid w:val="000132CB"/>
    <w:rsid w:val="00022273"/>
    <w:rsid w:val="00025D3E"/>
    <w:rsid w:val="000354F0"/>
    <w:rsid w:val="00043A13"/>
    <w:rsid w:val="0004511E"/>
    <w:rsid w:val="000612BA"/>
    <w:rsid w:val="000A3D85"/>
    <w:rsid w:val="000B55BF"/>
    <w:rsid w:val="000E7B19"/>
    <w:rsid w:val="001005B5"/>
    <w:rsid w:val="00121BE6"/>
    <w:rsid w:val="00121C3C"/>
    <w:rsid w:val="00146474"/>
    <w:rsid w:val="00146FE6"/>
    <w:rsid w:val="00164B79"/>
    <w:rsid w:val="00166DAE"/>
    <w:rsid w:val="00170936"/>
    <w:rsid w:val="00187865"/>
    <w:rsid w:val="001A02A0"/>
    <w:rsid w:val="001A4C7F"/>
    <w:rsid w:val="001A5112"/>
    <w:rsid w:val="001A556E"/>
    <w:rsid w:val="001C05A8"/>
    <w:rsid w:val="001F05FE"/>
    <w:rsid w:val="002362A4"/>
    <w:rsid w:val="00244FD1"/>
    <w:rsid w:val="00245044"/>
    <w:rsid w:val="00272934"/>
    <w:rsid w:val="00275253"/>
    <w:rsid w:val="00277196"/>
    <w:rsid w:val="00280434"/>
    <w:rsid w:val="0029097D"/>
    <w:rsid w:val="00293CFA"/>
    <w:rsid w:val="002A67B9"/>
    <w:rsid w:val="002A6EE0"/>
    <w:rsid w:val="002A7F05"/>
    <w:rsid w:val="002D47A3"/>
    <w:rsid w:val="002E0D71"/>
    <w:rsid w:val="002E64A0"/>
    <w:rsid w:val="002E64DD"/>
    <w:rsid w:val="003018D6"/>
    <w:rsid w:val="00316AB4"/>
    <w:rsid w:val="00324D30"/>
    <w:rsid w:val="00326C94"/>
    <w:rsid w:val="00340D63"/>
    <w:rsid w:val="00341DFD"/>
    <w:rsid w:val="00361F5A"/>
    <w:rsid w:val="003B1842"/>
    <w:rsid w:val="003B3C7B"/>
    <w:rsid w:val="003C63F2"/>
    <w:rsid w:val="00404769"/>
    <w:rsid w:val="00405742"/>
    <w:rsid w:val="004174CA"/>
    <w:rsid w:val="0042155D"/>
    <w:rsid w:val="00424BA6"/>
    <w:rsid w:val="00426783"/>
    <w:rsid w:val="00436841"/>
    <w:rsid w:val="00456AB9"/>
    <w:rsid w:val="00471A49"/>
    <w:rsid w:val="00475777"/>
    <w:rsid w:val="004825E1"/>
    <w:rsid w:val="0048774A"/>
    <w:rsid w:val="004A0B84"/>
    <w:rsid w:val="004D5BF0"/>
    <w:rsid w:val="00504D26"/>
    <w:rsid w:val="0050640C"/>
    <w:rsid w:val="005078F4"/>
    <w:rsid w:val="005164FF"/>
    <w:rsid w:val="005216A8"/>
    <w:rsid w:val="00540C4D"/>
    <w:rsid w:val="00545390"/>
    <w:rsid w:val="00576955"/>
    <w:rsid w:val="00586FDA"/>
    <w:rsid w:val="005A3D35"/>
    <w:rsid w:val="0062120E"/>
    <w:rsid w:val="006517D1"/>
    <w:rsid w:val="00657123"/>
    <w:rsid w:val="006A6C2B"/>
    <w:rsid w:val="006B03A6"/>
    <w:rsid w:val="006B1A0F"/>
    <w:rsid w:val="006B48D6"/>
    <w:rsid w:val="006B6B7F"/>
    <w:rsid w:val="006B72D3"/>
    <w:rsid w:val="006C001F"/>
    <w:rsid w:val="006D00FA"/>
    <w:rsid w:val="006D67C5"/>
    <w:rsid w:val="006D6A6B"/>
    <w:rsid w:val="006E7874"/>
    <w:rsid w:val="006F74AE"/>
    <w:rsid w:val="006F77E3"/>
    <w:rsid w:val="00717D91"/>
    <w:rsid w:val="00722F42"/>
    <w:rsid w:val="00726D98"/>
    <w:rsid w:val="007322E0"/>
    <w:rsid w:val="007436C7"/>
    <w:rsid w:val="007465DA"/>
    <w:rsid w:val="0076448B"/>
    <w:rsid w:val="007935A6"/>
    <w:rsid w:val="007A6783"/>
    <w:rsid w:val="007C6607"/>
    <w:rsid w:val="007D4069"/>
    <w:rsid w:val="00817E56"/>
    <w:rsid w:val="008521A8"/>
    <w:rsid w:val="008A6BCE"/>
    <w:rsid w:val="008A7C4C"/>
    <w:rsid w:val="008B6795"/>
    <w:rsid w:val="008E41FE"/>
    <w:rsid w:val="009278CB"/>
    <w:rsid w:val="00950B8C"/>
    <w:rsid w:val="00964EF0"/>
    <w:rsid w:val="00965725"/>
    <w:rsid w:val="0097275A"/>
    <w:rsid w:val="009A0712"/>
    <w:rsid w:val="009B0A43"/>
    <w:rsid w:val="009E25B9"/>
    <w:rsid w:val="009E5F85"/>
    <w:rsid w:val="00A10464"/>
    <w:rsid w:val="00A12392"/>
    <w:rsid w:val="00A17531"/>
    <w:rsid w:val="00A5305B"/>
    <w:rsid w:val="00A6171D"/>
    <w:rsid w:val="00A72501"/>
    <w:rsid w:val="00A72810"/>
    <w:rsid w:val="00A77B3E"/>
    <w:rsid w:val="00AA57C1"/>
    <w:rsid w:val="00AC0CA9"/>
    <w:rsid w:val="00AC1F52"/>
    <w:rsid w:val="00AC7F2C"/>
    <w:rsid w:val="00AD09ED"/>
    <w:rsid w:val="00AE1AFA"/>
    <w:rsid w:val="00B03F32"/>
    <w:rsid w:val="00B1526F"/>
    <w:rsid w:val="00B47E98"/>
    <w:rsid w:val="00BA3635"/>
    <w:rsid w:val="00BB2B7B"/>
    <w:rsid w:val="00BC0A0E"/>
    <w:rsid w:val="00BF2EEB"/>
    <w:rsid w:val="00BF744B"/>
    <w:rsid w:val="00C24F0F"/>
    <w:rsid w:val="00C5113C"/>
    <w:rsid w:val="00C85C64"/>
    <w:rsid w:val="00C96810"/>
    <w:rsid w:val="00CA2A55"/>
    <w:rsid w:val="00CB726F"/>
    <w:rsid w:val="00CD047D"/>
    <w:rsid w:val="00D17D0D"/>
    <w:rsid w:val="00D25B8E"/>
    <w:rsid w:val="00D47000"/>
    <w:rsid w:val="00D5268A"/>
    <w:rsid w:val="00D53DBF"/>
    <w:rsid w:val="00D7472F"/>
    <w:rsid w:val="00D7487F"/>
    <w:rsid w:val="00D866CC"/>
    <w:rsid w:val="00DA7CC7"/>
    <w:rsid w:val="00DB64F3"/>
    <w:rsid w:val="00DC5861"/>
    <w:rsid w:val="00E10A9E"/>
    <w:rsid w:val="00E110C5"/>
    <w:rsid w:val="00E15E65"/>
    <w:rsid w:val="00E302E9"/>
    <w:rsid w:val="00E41898"/>
    <w:rsid w:val="00E608C8"/>
    <w:rsid w:val="00E6747B"/>
    <w:rsid w:val="00E67B78"/>
    <w:rsid w:val="00E74923"/>
    <w:rsid w:val="00EA3D65"/>
    <w:rsid w:val="00EB08C2"/>
    <w:rsid w:val="00EB7576"/>
    <w:rsid w:val="00ED58D3"/>
    <w:rsid w:val="00EE09F2"/>
    <w:rsid w:val="00EF1CCF"/>
    <w:rsid w:val="00EF6F4D"/>
    <w:rsid w:val="00F17193"/>
    <w:rsid w:val="00F243DB"/>
    <w:rsid w:val="00F31D97"/>
    <w:rsid w:val="00F50E40"/>
    <w:rsid w:val="00F61A42"/>
    <w:rsid w:val="00F8262E"/>
    <w:rsid w:val="00F856BD"/>
    <w:rsid w:val="00F92089"/>
    <w:rsid w:val="00FA4DF7"/>
    <w:rsid w:val="00FE38C2"/>
    <w:rsid w:val="00FF02A4"/>
    <w:rsid w:val="00FF414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5E94C4"/>
  <w15:docId w15:val="{DB923433-F7F6-F942-8D6B-905AD5F29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6C94"/>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C05A8"/>
    <w:pPr>
      <w:pBdr>
        <w:bottom w:val="single" w:sz="6" w:space="1" w:color="auto"/>
      </w:pBdr>
      <w:tabs>
        <w:tab w:val="center" w:pos="4153"/>
        <w:tab w:val="right" w:pos="8306"/>
      </w:tabs>
      <w:snapToGrid w:val="0"/>
      <w:jc w:val="center"/>
    </w:pPr>
    <w:rPr>
      <w:rFonts w:eastAsiaTheme="minorEastAsia"/>
      <w:sz w:val="18"/>
      <w:szCs w:val="18"/>
    </w:rPr>
  </w:style>
  <w:style w:type="character" w:customStyle="1" w:styleId="HeaderChar">
    <w:name w:val="Header Char"/>
    <w:basedOn w:val="DefaultParagraphFont"/>
    <w:link w:val="Header"/>
    <w:rsid w:val="001C05A8"/>
    <w:rPr>
      <w:sz w:val="18"/>
      <w:szCs w:val="18"/>
    </w:rPr>
  </w:style>
  <w:style w:type="paragraph" w:styleId="Footer">
    <w:name w:val="footer"/>
    <w:basedOn w:val="Normal"/>
    <w:link w:val="FooterChar"/>
    <w:uiPriority w:val="99"/>
    <w:unhideWhenUsed/>
    <w:rsid w:val="001C05A8"/>
    <w:pPr>
      <w:tabs>
        <w:tab w:val="center" w:pos="4153"/>
        <w:tab w:val="right" w:pos="8306"/>
      </w:tabs>
      <w:snapToGrid w:val="0"/>
    </w:pPr>
    <w:rPr>
      <w:rFonts w:eastAsiaTheme="minorEastAsia"/>
      <w:sz w:val="18"/>
      <w:szCs w:val="18"/>
    </w:rPr>
  </w:style>
  <w:style w:type="character" w:customStyle="1" w:styleId="FooterChar">
    <w:name w:val="Footer Char"/>
    <w:basedOn w:val="DefaultParagraphFont"/>
    <w:link w:val="Footer"/>
    <w:uiPriority w:val="99"/>
    <w:rsid w:val="001C05A8"/>
    <w:rPr>
      <w:sz w:val="18"/>
      <w:szCs w:val="18"/>
    </w:rPr>
  </w:style>
  <w:style w:type="paragraph" w:styleId="NoSpacing">
    <w:name w:val="No Spacing"/>
    <w:uiPriority w:val="1"/>
    <w:qFormat/>
    <w:rsid w:val="00424BA6"/>
    <w:rPr>
      <w:rFonts w:asciiTheme="minorHAnsi" w:hAnsiTheme="minorHAnsi" w:cstheme="minorBidi"/>
      <w:sz w:val="22"/>
      <w:szCs w:val="22"/>
      <w:lang w:val="el-GR"/>
    </w:rPr>
  </w:style>
  <w:style w:type="table" w:customStyle="1" w:styleId="PlainTable41">
    <w:name w:val="Plain Table 41"/>
    <w:basedOn w:val="TableNormal"/>
    <w:next w:val="TableNormal"/>
    <w:uiPriority w:val="44"/>
    <w:rsid w:val="00424BA6"/>
    <w:rPr>
      <w:rFonts w:asciiTheme="minorHAnsi" w:hAnsiTheme="minorHAnsi" w:cstheme="minorBidi"/>
      <w:sz w:val="22"/>
      <w:szCs w:val="22"/>
      <w:lang w:val="el-G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BalloonText">
    <w:name w:val="Balloon Text"/>
    <w:basedOn w:val="Normal"/>
    <w:link w:val="BalloonTextChar"/>
    <w:rsid w:val="00245044"/>
    <w:rPr>
      <w:rFonts w:eastAsiaTheme="minorEastAsia"/>
      <w:sz w:val="18"/>
      <w:szCs w:val="18"/>
    </w:rPr>
  </w:style>
  <w:style w:type="character" w:customStyle="1" w:styleId="BalloonTextChar">
    <w:name w:val="Balloon Text Char"/>
    <w:basedOn w:val="DefaultParagraphFont"/>
    <w:link w:val="BalloonText"/>
    <w:rsid w:val="0024504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8913739">
      <w:bodyDiv w:val="1"/>
      <w:marLeft w:val="0"/>
      <w:marRight w:val="0"/>
      <w:marTop w:val="0"/>
      <w:marBottom w:val="0"/>
      <w:divBdr>
        <w:top w:val="none" w:sz="0" w:space="0" w:color="auto"/>
        <w:left w:val="none" w:sz="0" w:space="0" w:color="auto"/>
        <w:bottom w:val="none" w:sz="0" w:space="0" w:color="auto"/>
        <w:right w:val="none" w:sz="0" w:space="0" w:color="auto"/>
      </w:divBdr>
    </w:div>
    <w:div w:id="9842346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ABD04-242C-4090-92A9-EBE2C4FB7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29143</Words>
  <Characters>166116</Characters>
  <Application>Microsoft Office Word</Application>
  <DocSecurity>0</DocSecurity>
  <Lines>1384</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 Fragkou</dc:creator>
  <cp:lastModifiedBy>Donna Fox</cp:lastModifiedBy>
  <cp:revision>2</cp:revision>
  <dcterms:created xsi:type="dcterms:W3CDTF">2021-06-25T04:42:00Z</dcterms:created>
  <dcterms:modified xsi:type="dcterms:W3CDTF">2021-06-25T04:42:00Z</dcterms:modified>
</cp:coreProperties>
</file>