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FAC1" w14:textId="39515BD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Name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Journal: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color w:val="000000"/>
        </w:rPr>
        <w:t>World</w:t>
      </w:r>
      <w:r w:rsidR="00F30469" w:rsidRPr="002910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color w:val="000000"/>
        </w:rPr>
        <w:t>Journal</w:t>
      </w:r>
      <w:r w:rsidR="00F30469" w:rsidRPr="002910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color w:val="000000"/>
        </w:rPr>
        <w:t>Virology</w:t>
      </w:r>
    </w:p>
    <w:p w14:paraId="25C0AD75" w14:textId="1016F47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Manuscript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NO: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63465</w:t>
      </w:r>
    </w:p>
    <w:p w14:paraId="6BCB3832" w14:textId="262D00A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Manuscript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Type: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MINIREVIEWS</w:t>
      </w:r>
    </w:p>
    <w:p w14:paraId="6E37B612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50BD8F" w14:textId="79E00515" w:rsidR="00A77B3E" w:rsidRPr="00291035" w:rsidRDefault="005271BF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r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eceptors,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hronic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l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iver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d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iseases,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ommon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m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edications,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linical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o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utcomes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8"/>
      <w:bookmarkStart w:id="1" w:name="OLE_LINK9"/>
      <w:r w:rsidR="00AF5DB9" w:rsidRPr="00291035">
        <w:rPr>
          <w:rFonts w:ascii="Book Antiqua" w:eastAsia="Book Antiqua" w:hAnsi="Book Antiqua" w:cs="Book Antiqua"/>
          <w:b/>
          <w:color w:val="000000"/>
        </w:rPr>
        <w:t>coronavirus disease 2019</w:t>
      </w:r>
      <w:bookmarkEnd w:id="0"/>
      <w:bookmarkEnd w:id="1"/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p</w:t>
      </w:r>
      <w:r w:rsidR="0003714C" w:rsidRPr="00291035">
        <w:rPr>
          <w:rFonts w:ascii="Book Antiqua" w:eastAsia="Book Antiqua" w:hAnsi="Book Antiqua" w:cs="Book Antiqua"/>
          <w:b/>
          <w:color w:val="000000"/>
        </w:rPr>
        <w:t>atients</w:t>
      </w:r>
    </w:p>
    <w:p w14:paraId="3684FBE1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BFB3EB" w14:textId="44644C46" w:rsidR="00A77B3E" w:rsidRPr="00291035" w:rsidRDefault="005271BF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91035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931"/>
      <w:bookmarkStart w:id="3" w:name="OLE_LINK2932"/>
      <w:r w:rsidR="0003714C" w:rsidRPr="00291035">
        <w:rPr>
          <w:rFonts w:ascii="Book Antiqua" w:eastAsia="Book Antiqua" w:hAnsi="Book Antiqua" w:cs="Book Antiqua"/>
          <w:color w:val="000000"/>
        </w:rPr>
        <w:t>ACE2,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CLD</w:t>
      </w:r>
      <w:r w:rsidR="00AF5DB9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291035">
        <w:rPr>
          <w:rFonts w:ascii="Book Antiqua" w:eastAsia="Book Antiqua" w:hAnsi="Book Antiqua" w:cs="Book Antiqua"/>
          <w:color w:val="000000"/>
        </w:rPr>
        <w:t>COVID-19</w:t>
      </w:r>
      <w:bookmarkEnd w:id="2"/>
      <w:bookmarkEnd w:id="3"/>
    </w:p>
    <w:p w14:paraId="2365F54C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801D8F" w14:textId="1013765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91035">
        <w:rPr>
          <w:rFonts w:ascii="Book Antiqua" w:eastAsia="Book Antiqua" w:hAnsi="Book Antiqua" w:cs="Book Antiqua"/>
          <w:color w:val="000000"/>
        </w:rPr>
        <w:t>Wattana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62FAAC39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ADE62A" w14:textId="76D034D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Wattana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291035">
        <w:rPr>
          <w:rFonts w:ascii="Book Antiqua" w:eastAsia="Book Antiqua" w:hAnsi="Book Antiqua" w:cs="Book Antiqua"/>
          <w:b/>
          <w:bCs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Tropical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Faculty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Tropical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Mahidol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University,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Bangkok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10400,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Thailand</w:t>
      </w:r>
    </w:p>
    <w:p w14:paraId="3B63C2D5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363C98" w14:textId="607BAB3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3"/>
      <w:bookmarkStart w:id="5" w:name="OLE_LINK4"/>
      <w:proofErr w:type="spellStart"/>
      <w:r w:rsidRPr="00291035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collected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wrote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paper.</w:t>
      </w:r>
    </w:p>
    <w:bookmarkEnd w:id="4"/>
    <w:bookmarkEnd w:id="5"/>
    <w:p w14:paraId="715C2077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566B64" w14:textId="4EA578AE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Wattana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291035">
        <w:rPr>
          <w:rFonts w:ascii="Book Antiqua" w:eastAsia="Book Antiqua" w:hAnsi="Book Antiqua" w:cs="Book Antiqua"/>
          <w:b/>
          <w:bCs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Tropical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Faculty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Tropical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Mahidol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University,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420/6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46BD" w:rsidRPr="00291035">
        <w:rPr>
          <w:rFonts w:ascii="Book Antiqua" w:eastAsia="Book Antiqua" w:hAnsi="Book Antiqua" w:cs="Book Antiqua"/>
          <w:color w:val="000000"/>
        </w:rPr>
        <w:t>R</w:t>
      </w:r>
      <w:r w:rsidRPr="00291035">
        <w:rPr>
          <w:rFonts w:ascii="Book Antiqua" w:eastAsia="Book Antiqua" w:hAnsi="Book Antiqua" w:cs="Book Antiqua"/>
          <w:color w:val="000000"/>
        </w:rPr>
        <w:t>ajavithi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A3639" w:rsidRPr="00291035">
        <w:rPr>
          <w:rFonts w:ascii="Book Antiqua" w:eastAsia="Book Antiqua" w:hAnsi="Book Antiqua" w:cs="Book Antiqua"/>
          <w:color w:val="000000"/>
        </w:rPr>
        <w:t>Road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A3639" w:rsidRPr="00291035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Bangkok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10400,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Thailand.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wattana.leo@mahidol.ac.th</w:t>
      </w:r>
    </w:p>
    <w:p w14:paraId="6C62C666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6226A0" w14:textId="360BB43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January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28,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</w:t>
      </w:r>
    </w:p>
    <w:p w14:paraId="64708D6F" w14:textId="1CFB0A6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March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</w:t>
      </w:r>
    </w:p>
    <w:p w14:paraId="4CEEB5D6" w14:textId="4229295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023FF" w:rsidRPr="00291035">
        <w:rPr>
          <w:rFonts w:ascii="Book Antiqua" w:eastAsia="Book Antiqua" w:hAnsi="Book Antiqua" w:cs="Book Antiqua"/>
          <w:color w:val="000000"/>
        </w:rPr>
        <w:t>April 26, 2021</w:t>
      </w:r>
    </w:p>
    <w:p w14:paraId="5F26596F" w14:textId="77777777" w:rsidR="00875AF4" w:rsidRPr="00291035" w:rsidRDefault="0003714C" w:rsidP="00875AF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5AF4" w:rsidRPr="00291035">
        <w:rPr>
          <w:rFonts w:ascii="Book Antiqua" w:eastAsia="Book Antiqua" w:hAnsi="Book Antiqua" w:cs="Book Antiqua"/>
          <w:bCs/>
          <w:color w:val="000000"/>
        </w:rPr>
        <w:t>May 25, 2021</w:t>
      </w:r>
    </w:p>
    <w:p w14:paraId="7CC2BCC3" w14:textId="2D8131AE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D085DE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91035" w:rsidSect="00143C22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AC6765" w14:textId="7777777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076E0C" w14:textId="74C9EB0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syndrome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5271BF" w:rsidRPr="00291035">
        <w:rPr>
          <w:rFonts w:ascii="Book Antiqua" w:eastAsia="Book Antiqua" w:hAnsi="Book Antiqua" w:cs="Book Antiqua"/>
          <w:color w:val="000000"/>
        </w:rPr>
        <w:t>)</w:t>
      </w:r>
      <w:r w:rsidR="0092067B" w:rsidRPr="00291035">
        <w:rPr>
          <w:rFonts w:ascii="Book Antiqua" w:eastAsia="Book Antiqua" w:hAnsi="Book Antiqua" w:cs="Book Antiqua"/>
          <w:color w:val="000000"/>
        </w:rPr>
        <w:t>, the virus responsible for coronavirus disease 2019 (COVID-19),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affected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5271BF"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alveolar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enterocytes,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cough,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breathing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difficulty,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interstitial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pneumonia,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2067B" w:rsidRPr="00291035">
        <w:rPr>
          <w:rFonts w:ascii="Book Antiqua" w:eastAsia="Book Antiqua" w:hAnsi="Book Antiqua" w:cs="Book Antiqua"/>
          <w:color w:val="000000"/>
        </w:rPr>
        <w:t xml:space="preserve">and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increasingly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recognized.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evident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(CLD)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2067B" w:rsidRPr="00291035">
        <w:rPr>
          <w:rFonts w:ascii="Book Antiqua" w:eastAsia="Book Antiqua" w:hAnsi="Book Antiqua" w:cs="Book Antiqua"/>
          <w:color w:val="000000"/>
        </w:rPr>
        <w:t>has not 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elucidated.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limited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AF5DB9" w:rsidRPr="00291035">
        <w:rPr>
          <w:rFonts w:ascii="Book Antiqua" w:eastAsia="Book Antiqua" w:hAnsi="Book Antiqua" w:cs="Book Antiqua"/>
          <w:color w:val="000000"/>
        </w:rPr>
        <w:t xml:space="preserve">that </w:t>
      </w:r>
      <w:r w:rsidRPr="00291035">
        <w:rPr>
          <w:rFonts w:ascii="Book Antiqua" w:eastAsia="Book Antiqua" w:hAnsi="Book Antiqua" w:cs="Book Antiqua"/>
          <w:color w:val="000000"/>
        </w:rPr>
        <w:t>affect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Additionally,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AF5DB9" w:rsidRPr="00291035">
        <w:rPr>
          <w:rFonts w:ascii="Book Antiqua" w:eastAsia="Book Antiqua" w:hAnsi="Book Antiqua" w:cs="Book Antiqua"/>
          <w:color w:val="000000"/>
        </w:rPr>
        <w:t xml:space="preserve">have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AF5DB9" w:rsidRPr="00291035">
        <w:rPr>
          <w:rFonts w:ascii="Book Antiqua" w:eastAsia="Book Antiqua" w:hAnsi="Book Antiqua" w:cs="Book Antiqua"/>
          <w:color w:val="000000"/>
        </w:rPr>
        <w:t>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clarified.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summarized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current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situation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regarding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2067B" w:rsidRPr="00291035">
        <w:rPr>
          <w:rFonts w:ascii="Book Antiqua" w:eastAsia="Book Antiqua" w:hAnsi="Book Antiqua" w:cs="Book Antiqua"/>
          <w:color w:val="000000"/>
        </w:rPr>
        <w:t>chronic liver 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AF5DB9" w:rsidRPr="00291035">
        <w:rPr>
          <w:rFonts w:ascii="Book Antiqua" w:eastAsia="Book Antiqua" w:hAnsi="Book Antiqua" w:cs="Book Antiqua"/>
          <w:color w:val="000000"/>
        </w:rPr>
        <w:t xml:space="preserve">is </w:t>
      </w:r>
      <w:r w:rsidRPr="00291035">
        <w:rPr>
          <w:rFonts w:ascii="Book Antiqua" w:eastAsia="Book Antiqua" w:hAnsi="Book Antiqua" w:cs="Book Antiqua"/>
          <w:color w:val="000000"/>
        </w:rPr>
        <w:t>discussed.</w:t>
      </w:r>
    </w:p>
    <w:p w14:paraId="1815B2D4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7A3B25" w14:textId="6443C8CD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2933"/>
      <w:bookmarkStart w:id="7" w:name="OLE_LINK2934"/>
      <w:r w:rsidR="00F30469" w:rsidRPr="00291035">
        <w:rPr>
          <w:rFonts w:ascii="Book Antiqua" w:eastAsia="Book Antiqua" w:hAnsi="Book Antiqua" w:cs="Book Antiqua"/>
          <w:color w:val="000000"/>
        </w:rPr>
        <w:t>SARS-CoV-2</w:t>
      </w:r>
      <w:r w:rsidRPr="00291035">
        <w:rPr>
          <w:rFonts w:ascii="Book Antiqua" w:eastAsia="Book Antiqua" w:hAnsi="Book Antiqua" w:cs="Book Antiqua"/>
          <w:color w:val="000000"/>
        </w:rPr>
        <w:t>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COVID-19;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</w:t>
      </w:r>
    </w:p>
    <w:bookmarkEnd w:id="6"/>
    <w:bookmarkEnd w:id="7"/>
    <w:p w14:paraId="2C418400" w14:textId="77777777" w:rsidR="00D83E99" w:rsidRPr="00291035" w:rsidRDefault="00D83E99" w:rsidP="00D83E99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871CB4A" w14:textId="77777777" w:rsidR="00D83E99" w:rsidRPr="00291035" w:rsidRDefault="00D83E99" w:rsidP="00D83E9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103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1035">
        <w:rPr>
          <w:rFonts w:ascii="Book Antiqua" w:eastAsia="Book Antiqua" w:hAnsi="Book Antiqua" w:cs="Book Antiqua"/>
          <w:b/>
          <w:color w:val="000000"/>
        </w:rPr>
        <w:t>The</w:t>
      </w:r>
      <w:r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291035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33BC2E5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8B296C7" w14:textId="12808254" w:rsidR="00875AF4" w:rsidRPr="00291035" w:rsidRDefault="0003714C" w:rsidP="00875AF4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proofErr w:type="spellStart"/>
      <w:proofErr w:type="gramStart"/>
      <w:r w:rsidRPr="00291035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r</w:t>
      </w:r>
      <w:r w:rsidRPr="00291035">
        <w:rPr>
          <w:rFonts w:ascii="Book Antiqua" w:eastAsia="Book Antiqua" w:hAnsi="Book Antiqua" w:cs="Book Antiqua"/>
          <w:color w:val="000000"/>
        </w:rPr>
        <w:t>eceptors,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c</w:t>
      </w:r>
      <w:r w:rsidRPr="00291035">
        <w:rPr>
          <w:rFonts w:ascii="Book Antiqua" w:eastAsia="Book Antiqua" w:hAnsi="Book Antiqua" w:cs="Book Antiqua"/>
          <w:color w:val="000000"/>
        </w:rPr>
        <w:t>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d</w:t>
      </w:r>
      <w:r w:rsidRPr="00291035">
        <w:rPr>
          <w:rFonts w:ascii="Book Antiqua" w:eastAsia="Book Antiqua" w:hAnsi="Book Antiqua" w:cs="Book Antiqua"/>
          <w:color w:val="000000"/>
        </w:rPr>
        <w:t>iseases,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c</w:t>
      </w:r>
      <w:r w:rsidRPr="00291035">
        <w:rPr>
          <w:rFonts w:ascii="Book Antiqua" w:eastAsia="Book Antiqua" w:hAnsi="Book Antiqua" w:cs="Book Antiqua"/>
          <w:color w:val="000000"/>
        </w:rPr>
        <w:t>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edications,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c</w:t>
      </w:r>
      <w:r w:rsidRPr="00291035">
        <w:rPr>
          <w:rFonts w:ascii="Book Antiqua" w:eastAsia="Book Antiqua" w:hAnsi="Book Antiqua" w:cs="Book Antiqua"/>
          <w:color w:val="000000"/>
        </w:rPr>
        <w:t>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o</w:t>
      </w:r>
      <w:r w:rsidRPr="00291035">
        <w:rPr>
          <w:rFonts w:ascii="Book Antiqua" w:eastAsia="Book Antiqua" w:hAnsi="Book Antiqua" w:cs="Book Antiqua"/>
          <w:color w:val="000000"/>
        </w:rPr>
        <w:t>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AF5DB9" w:rsidRPr="00291035">
        <w:rPr>
          <w:rFonts w:ascii="Book Antiqua" w:eastAsia="Book Antiqua" w:hAnsi="Book Antiqua" w:cs="Book Antiqua"/>
          <w:color w:val="000000"/>
        </w:rPr>
        <w:t>coronavirus disease 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p</w:t>
      </w:r>
      <w:r w:rsidRPr="00291035">
        <w:rPr>
          <w:rFonts w:ascii="Book Antiqua" w:eastAsia="Book Antiqua" w:hAnsi="Book Antiqua" w:cs="Book Antiqua"/>
          <w:color w:val="000000"/>
        </w:rPr>
        <w:t>atients.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75AF4" w:rsidRPr="00291035">
        <w:rPr>
          <w:rFonts w:ascii="Book Antiqua" w:eastAsia="Book Antiqua" w:hAnsi="Book Antiqua" w:cs="Book Antiqua"/>
          <w:color w:val="000000"/>
        </w:rPr>
        <w:t xml:space="preserve">10(3): </w:t>
      </w:r>
      <w:r w:rsidR="00D83E99" w:rsidRPr="00291035">
        <w:rPr>
          <w:rFonts w:ascii="Book Antiqua" w:hAnsi="Book Antiqua" w:cs="Book Antiqua" w:hint="eastAsia"/>
          <w:color w:val="000000"/>
          <w:lang w:eastAsia="zh-CN"/>
        </w:rPr>
        <w:t>86-96</w:t>
      </w:r>
      <w:r w:rsidR="00875AF4" w:rsidRPr="00291035">
        <w:rPr>
          <w:rFonts w:ascii="Book Antiqua" w:eastAsia="Book Antiqua" w:hAnsi="Book Antiqua" w:cs="Book Antiqua"/>
          <w:color w:val="000000"/>
        </w:rPr>
        <w:t xml:space="preserve"> URL: </w:t>
      </w:r>
      <w:r w:rsidR="00875AF4" w:rsidRPr="00291035">
        <w:rPr>
          <w:rFonts w:ascii="Book Antiqua" w:eastAsia="Book Antiqua" w:hAnsi="Book Antiqua" w:cs="Book Antiqua"/>
          <w:color w:val="000000"/>
        </w:rPr>
        <w:lastRenderedPageBreak/>
        <w:t>https://www.wjgnet.com/2220-3249/full/v10/i3/</w:t>
      </w:r>
      <w:r w:rsidR="00D83E99" w:rsidRPr="00291035">
        <w:rPr>
          <w:rFonts w:ascii="Book Antiqua" w:hAnsi="Book Antiqua" w:cs="Book Antiqua" w:hint="eastAsia"/>
          <w:color w:val="000000"/>
          <w:lang w:eastAsia="zh-CN"/>
        </w:rPr>
        <w:t>86</w:t>
      </w:r>
      <w:r w:rsidR="00875AF4" w:rsidRPr="00291035">
        <w:rPr>
          <w:rFonts w:ascii="Book Antiqua" w:eastAsia="Book Antiqua" w:hAnsi="Book Antiqua" w:cs="Book Antiqua"/>
          <w:color w:val="000000"/>
        </w:rPr>
        <w:t>.htm DOI: https://dx.doi.org/10.5501/wjv.v10.i3.</w:t>
      </w:r>
      <w:r w:rsidR="00D83E99" w:rsidRPr="00291035">
        <w:rPr>
          <w:rFonts w:ascii="Book Antiqua" w:hAnsi="Book Antiqua" w:cs="Book Antiqua" w:hint="eastAsia"/>
          <w:color w:val="000000"/>
          <w:lang w:eastAsia="zh-CN"/>
        </w:rPr>
        <w:t>86</w:t>
      </w:r>
    </w:p>
    <w:p w14:paraId="36B0BDD5" w14:textId="42A896EB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6F6AC6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FF1F8" w14:textId="6E01C9F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million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confirmed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worldwide,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291035">
        <w:rPr>
          <w:rFonts w:ascii="Book Antiqua" w:eastAsia="Book Antiqua" w:hAnsi="Book Antiqua" w:cs="Book Antiqua"/>
          <w:color w:val="000000"/>
        </w:rPr>
        <w:t>(COVID-19)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refers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B3094" w:rsidRPr="00291035">
        <w:rPr>
          <w:rFonts w:ascii="Book Antiqua" w:eastAsia="Book Antiqua" w:hAnsi="Book Antiqua" w:cs="Book Antiqua"/>
          <w:color w:val="000000"/>
        </w:rPr>
        <w:t>A</w:t>
      </w:r>
      <w:r w:rsidR="00360259" w:rsidRPr="00291035">
        <w:rPr>
          <w:rFonts w:ascii="Book Antiqua" w:eastAsia="Book Antiqua" w:hAnsi="Book Antiqua" w:cs="Book Antiqua"/>
          <w:color w:val="000000"/>
        </w:rPr>
        <w:t>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derangement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</w:t>
      </w:r>
      <w:r w:rsidR="0092067B" w:rsidRPr="00291035">
        <w:rPr>
          <w:rFonts w:ascii="Book Antiqua" w:eastAsia="Book Antiqua" w:hAnsi="Book Antiqua" w:cs="Book Antiqua"/>
          <w:color w:val="000000"/>
        </w:rPr>
        <w:t>ion 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</w:t>
      </w:r>
      <w:r w:rsidR="0092067B" w:rsidRPr="00291035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point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syndrome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coronaviruses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291035">
        <w:rPr>
          <w:rFonts w:ascii="Book Antiqua" w:eastAsia="Book Antiqua" w:hAnsi="Book Antiqua" w:cs="Book Antiqua"/>
          <w:color w:val="000000"/>
        </w:rPr>
        <w:t>2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drug-induced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cytokine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storm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monitoring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mandatory.</w:t>
      </w:r>
    </w:p>
    <w:p w14:paraId="4FE7B95E" w14:textId="463CBB20" w:rsidR="00A77B3E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hAnsi="Book Antiqua"/>
        </w:rPr>
        <w:br w:type="page"/>
      </w:r>
      <w:r w:rsidR="0003714C" w:rsidRPr="0029103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BF1F72" w14:textId="6EADCA4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Knowledge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fundamental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physiology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(ACE2)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cumulated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discovery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92067B" w:rsidRPr="00291035">
        <w:rPr>
          <w:rFonts w:ascii="Book Antiqua" w:eastAsia="Book Antiqua" w:hAnsi="Book Antiqua" w:cs="Book Antiqua"/>
          <w:color w:val="000000"/>
        </w:rPr>
        <w:t>greatly increased our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understanding</w:t>
      </w:r>
      <w:r w:rsidR="0092067B" w:rsidRPr="00291035">
        <w:rPr>
          <w:rFonts w:ascii="Book Antiqua" w:eastAsia="Book Antiqua" w:hAnsi="Book Antiqua" w:cs="Book Antiqua"/>
          <w:color w:val="000000"/>
        </w:rPr>
        <w:t xml:space="preserve"> 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(RAS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)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essential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hormone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pressure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biology,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nervous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electrolyte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homeostasis,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lipid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homeostasis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key-driven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classical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hand,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protective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counterbalances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classical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deleterious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92067B" w:rsidRPr="00291035">
        <w:rPr>
          <w:rFonts w:ascii="Book Antiqua" w:eastAsia="Book Antiqua" w:hAnsi="Book Antiqua" w:cs="Book Antiqua"/>
          <w:color w:val="000000"/>
        </w:rPr>
        <w:t xml:space="preserve"> of the </w:t>
      </w:r>
      <w:proofErr w:type="gramStart"/>
      <w:r w:rsidR="0092067B" w:rsidRPr="00291035">
        <w:rPr>
          <w:rFonts w:ascii="Book Antiqua" w:eastAsia="Book Antiqua" w:hAnsi="Book Antiqua" w:cs="Book Antiqua"/>
          <w:color w:val="000000"/>
        </w:rPr>
        <w:t>RAS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definite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ranging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catalytic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activities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numerous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substrates,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syndrome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amino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transporter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360259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</w:t>
      </w:r>
      <w:r w:rsidR="00F30469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1–7,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respectively.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animal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physiological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pathophysiological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aspect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cardiovascular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(CVD),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activating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evoke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protective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against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hypertension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CVD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360259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4A261927" w14:textId="7C868721" w:rsidR="00A77B3E" w:rsidRPr="00291035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Since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amassed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interest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C51CD" w:rsidRPr="00291035">
        <w:rPr>
          <w:rFonts w:ascii="Book Antiqua" w:eastAsia="Book Antiqua" w:hAnsi="Book Antiqua" w:cs="Book Antiqua"/>
          <w:color w:val="000000"/>
        </w:rPr>
        <w:t>c</w:t>
      </w:r>
      <w:r w:rsidR="00551A0A" w:rsidRPr="00291035">
        <w:rPr>
          <w:rFonts w:ascii="Book Antiqua" w:eastAsia="Book Antiqua" w:hAnsi="Book Antiqua" w:cs="Book Antiqua"/>
          <w:color w:val="000000"/>
        </w:rPr>
        <w:t>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(COVID-19)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pandemic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emerged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Wuhan,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rapidly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spread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China</w:t>
      </w:r>
      <w:r w:rsidR="00CC51CD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crossed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global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borders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countries,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C51CD"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101529722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people</w:t>
      </w:r>
      <w:r w:rsidR="00CC51CD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2186606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deaths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2.15%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rate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cough,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throat,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diarrhea,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sense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taste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smell.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</w:t>
      </w:r>
      <w:r w:rsidR="00CC51CD" w:rsidRPr="00291035">
        <w:rPr>
          <w:rFonts w:ascii="Book Antiqua" w:eastAsia="Book Antiqua" w:hAnsi="Book Antiqua" w:cs="Book Antiqua"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14%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CC51CD" w:rsidRPr="00291035">
        <w:rPr>
          <w:rFonts w:ascii="Book Antiqua" w:eastAsia="Book Antiqua" w:hAnsi="Book Antiqua" w:cs="Book Antiqua"/>
          <w:color w:val="000000"/>
        </w:rPr>
        <w:t xml:space="preserve"> symptoms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illness.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Older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co-morbidities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course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suffering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particles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hepatocytes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patients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ranging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14%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53%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aspartate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aminotransferase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(AST)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alanine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aminotransferase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(ALT)</w:t>
      </w:r>
      <w:r w:rsidR="00F30469" w:rsidRPr="0029103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known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disease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360259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frequency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degree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transient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psychological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stress,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inflammation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response,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toxicity,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(CLD),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factors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Hence,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possible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scenarios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postulated.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Firstly,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co-morbidity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oxygen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desaturation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hypoxemia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pneumonia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cytokine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storm.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Secondly,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consequence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toxicity.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Thirdly,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directly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indirectly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injury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360259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Although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abundantly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alveolar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tract,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endothelium,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hepatocytes,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clarify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relationship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</w:p>
    <w:p w14:paraId="2E867E12" w14:textId="77777777" w:rsidR="00360259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aps/>
          <w:color w:val="000000"/>
          <w:u w:val="single"/>
        </w:rPr>
      </w:pPr>
    </w:p>
    <w:p w14:paraId="7A415206" w14:textId="347C365E" w:rsidR="00360259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aps/>
          <w:color w:val="000000"/>
          <w:u w:val="single"/>
        </w:rPr>
      </w:pPr>
      <w:r w:rsidRPr="00291035">
        <w:rPr>
          <w:rFonts w:ascii="Book Antiqua" w:hAnsi="Book Antiqua"/>
          <w:b/>
          <w:bCs/>
          <w:caps/>
          <w:color w:val="000000"/>
          <w:u w:val="single"/>
        </w:rPr>
        <w:t>ACE2</w:t>
      </w:r>
      <w:r w:rsidR="00F30469" w:rsidRPr="00291035">
        <w:rPr>
          <w:rFonts w:ascii="Book Antiqua" w:hAnsi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hAnsi="Book Antiqua"/>
          <w:b/>
          <w:bCs/>
          <w:caps/>
          <w:color w:val="000000"/>
          <w:u w:val="single"/>
        </w:rPr>
        <w:t>RECEPTOR</w:t>
      </w:r>
    </w:p>
    <w:p w14:paraId="788BBF29" w14:textId="304D8C8C" w:rsidR="00360259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Physiology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receptor</w:t>
      </w:r>
    </w:p>
    <w:p w14:paraId="5BE1A826" w14:textId="44BBF61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resembles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plays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crucial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renin-angiotensin-aldosterone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(RAAS),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pressure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control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electrolyte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homeostasis.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produced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angiotensinogen,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i</w:t>
      </w:r>
      <w:r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cleaved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kidney,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</w:t>
      </w:r>
      <w:r w:rsidR="00DE4C61"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After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catalyzes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conversion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exerts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4C61"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DE4C61" w:rsidRPr="00291035">
        <w:rPr>
          <w:rFonts w:ascii="Book Antiqua" w:eastAsia="Book Antiqua" w:hAnsi="Book Antiqua" w:cs="Book Antiqua"/>
          <w:color w:val="000000"/>
        </w:rPr>
        <w:t xml:space="preserve"> II type 1 receptor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II's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vasoconstriction,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sodium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reabsorption,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potassium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excretion,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aldosterone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synthesis,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pressure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induction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pro-inflammatory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pro-fibrotic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pathways.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splits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</w:t>
      </w:r>
      <w:r w:rsidR="00F30469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7)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lastRenderedPageBreak/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(1-9).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(1-9)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cleaved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(1-7).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(1-7)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exerts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vasodilatation,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anti-inflammatory,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anti-fibrotic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hAnsi="Book Antiqua"/>
          <w:color w:val="000000"/>
        </w:rPr>
        <w:t>Mas</w:t>
      </w:r>
      <w:r w:rsidR="00F30469" w:rsidRPr="00291035">
        <w:rPr>
          <w:rFonts w:ascii="Book Antiqua" w:hAnsi="Book Antiqua"/>
          <w:color w:val="000000"/>
        </w:rPr>
        <w:t xml:space="preserve"> </w:t>
      </w:r>
      <w:r w:rsidR="00360259" w:rsidRPr="00291035">
        <w:rPr>
          <w:rFonts w:ascii="Book Antiqua" w:hAnsi="Book Antiqua"/>
          <w:color w:val="000000"/>
        </w:rPr>
        <w:t>receptor</w:t>
      </w:r>
      <w:r w:rsidR="00F30469" w:rsidRPr="00291035">
        <w:rPr>
          <w:rFonts w:ascii="Book Antiqua" w:hAnsi="Book Antiqua"/>
          <w:lang w:eastAsia="zh-CN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counterbalance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II's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Notably,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functionally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counteracts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physiological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creates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balance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determines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pro-inflammatory,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pro-fibrotic,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anti-inflammatory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anti-fibrotic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pathways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(Figure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prescribed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condition</w:t>
      </w:r>
      <w:r w:rsidR="00DE4C61"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balance.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dietary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sodium,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fructose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intake)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shift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ACE/ACE2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balance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towards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pro-inflammatory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pro-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fibrotic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360259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91035">
        <w:rPr>
          <w:rFonts w:ascii="Book Antiqua" w:eastAsia="Book Antiqua" w:hAnsi="Book Antiqua" w:cs="Book Antiqua"/>
          <w:color w:val="000000"/>
        </w:rPr>
        <w:t>.</w:t>
      </w:r>
    </w:p>
    <w:p w14:paraId="1F8E841A" w14:textId="77777777" w:rsidR="00360259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AFCA985" w14:textId="6EC0AD76" w:rsidR="00A77B3E" w:rsidRPr="00291035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291035">
        <w:rPr>
          <w:rFonts w:ascii="Book Antiqua" w:hAnsi="Book Antiqua"/>
          <w:b/>
          <w:bCs/>
          <w:i/>
          <w:iCs/>
          <w:lang w:eastAsia="zh-CN"/>
        </w:rPr>
        <w:t>Expression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of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ACE2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receptor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in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hepatobiliary</w:t>
      </w:r>
      <w:r w:rsidR="00F30469" w:rsidRPr="00291035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291035">
        <w:rPr>
          <w:rFonts w:ascii="Book Antiqua" w:hAnsi="Book Antiqua"/>
          <w:b/>
          <w:bCs/>
          <w:i/>
          <w:iCs/>
          <w:lang w:eastAsia="zh-CN"/>
        </w:rPr>
        <w:t>tissue</w:t>
      </w:r>
    </w:p>
    <w:p w14:paraId="5312B6EF" w14:textId="0E82335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2004,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Hamming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investigated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immuno-localization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specimens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endothelial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arteries,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large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arteries,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veins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Marked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immuno-staining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alveolar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epithelial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abundantly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enterocytes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intestine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enterocytes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large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intestine.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lymphoid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hepatocytes.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Recently,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46FB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6FB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6FB5" w:rsidRPr="0029103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investigated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cavity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mucosa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various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</w:t>
      </w:r>
      <w:r w:rsidR="00DE4C61" w:rsidRPr="00291035">
        <w:rPr>
          <w:rFonts w:ascii="Book Antiqua" w:eastAsia="Book Antiqua" w:hAnsi="Book Antiqua" w:cs="Book Antiqua"/>
          <w:color w:val="000000"/>
        </w:rPr>
        <w:t>, 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intestine,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kidney,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stomach,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duct,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thyroid,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esophagus,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bladder,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breasts,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uterus,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prostate.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various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duct,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</w:t>
      </w:r>
      <w:r w:rsidR="00DE4C61"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6.86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±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1.35,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7.23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±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1.16,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5.83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±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0.71,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respectively.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different.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identified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sparsely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ductal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organoids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immuno-staining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confirmed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explored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underlying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mechanism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profiling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CLD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DE4C6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non-alcoholic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steatohepatitis,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simple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dysplasia</w:t>
      </w:r>
      <w:r w:rsidR="00DE4C6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0900FCEE" w14:textId="05F3EA2A" w:rsidR="00471E21" w:rsidRPr="00291035" w:rsidRDefault="00471E21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6B0D78" w14:textId="16A696DA" w:rsidR="00471E21" w:rsidRPr="00291035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relationship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</w:p>
    <w:p w14:paraId="5065F84D" w14:textId="3BD8CA6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Sinha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performed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studies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identify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approved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modify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(ACEIs)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type-I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(ARBs)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upregulate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DE4C6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anti-adrenergic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alpha/beta-blockers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down-regulate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calcium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channel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(CCBs)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consistent with the finding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RAAS.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provides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preliminary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support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CCBs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alternative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hypertension.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approved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anti-diabetic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that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altered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Surprisingly,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intravenous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dexamethasone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vancomycin</w:t>
      </w:r>
      <w:r w:rsidR="00DE4C6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Saheb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Sharif</w:t>
      </w:r>
      <w:r w:rsidRPr="00291035">
        <w:rPr>
          <w:rFonts w:ascii="Book Antiqua" w:eastAsia="Book Antiqua" w:hAnsi="Book Antiqua" w:cs="Book Antiqua"/>
          <w:color w:val="000000"/>
        </w:rPr>
        <w:noBreakHyphen/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Askari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</w:t>
      </w:r>
      <w:r w:rsidR="00DE4C61" w:rsidRPr="00291035">
        <w:rPr>
          <w:rFonts w:ascii="Book Antiqua" w:eastAsia="Book Antiqua" w:hAnsi="Book Antiqua" w:cs="Book Antiqua"/>
          <w:color w:val="000000"/>
        </w:rPr>
        <w:t>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primary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hepatocytes.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three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penicillamine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ethambutol,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vitamin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five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 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colchicine,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acetaminophen,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sulindac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diazepam,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nimesulide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five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that did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ibuprofen,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lornoxicam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mefenamic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acid,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meloxicam,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methyltestosterone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75B3FB9B" w14:textId="77777777" w:rsidR="00B46FB5" w:rsidRPr="00291035" w:rsidRDefault="00B46FB5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14:paraId="00C7F8EA" w14:textId="65A6233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HEPATOBILIARY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5788E70B" w14:textId="2007AA9E" w:rsidR="00471E21" w:rsidRPr="00291035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51A91D0" w14:textId="07A98503" w:rsidR="00DE4C61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shown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B46FB5" w:rsidRPr="00291035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antigens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reverse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transcription-polymerase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color w:val="000000"/>
        </w:rPr>
        <w:t>chain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71E21" w:rsidRPr="00291035">
        <w:rPr>
          <w:rFonts w:ascii="Book Antiqua" w:eastAsia="Book Antiqua" w:hAnsi="Book Antiqua" w:cs="Book Antiqua"/>
          <w:color w:val="000000"/>
        </w:rPr>
        <w:t>reaction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transaminase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linked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first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(43.4%)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lactic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dehydrogenase.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very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7590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U/L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1445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U/L.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Recently,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Kulkarni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20874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23.1%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(19.3%-27.3%)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initial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presentation.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24.4%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(13.5%-40%)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illness.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underlying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3.6%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15407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drug-induced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25.4%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(14.2%-41.4%).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odds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ratio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(OR)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0.81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>[</w:t>
      </w:r>
      <w:r w:rsidR="00551A0A" w:rsidRPr="00291035">
        <w:rPr>
          <w:rFonts w:ascii="Book Antiqua" w:eastAsia="Book Antiqua" w:hAnsi="Book Antiqua" w:cs="Book Antiqua"/>
          <w:color w:val="000000"/>
        </w:rPr>
        <w:t>95%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="00551A0A" w:rsidRPr="00291035">
        <w:rPr>
          <w:rFonts w:ascii="Book Antiqua" w:eastAsia="Book Antiqua" w:hAnsi="Book Antiqua" w:cs="Book Antiqua"/>
          <w:color w:val="000000"/>
        </w:rPr>
        <w:t>CI</w:t>
      </w:r>
      <w:r w:rsidR="00DE4C61" w:rsidRPr="00291035">
        <w:rPr>
          <w:rFonts w:ascii="Book Antiqua" w:eastAsia="Book Antiqua" w:hAnsi="Book Antiqua" w:cs="Book Antiqua"/>
          <w:color w:val="000000"/>
        </w:rPr>
        <w:t>)</w:t>
      </w:r>
      <w:r w:rsidR="00551A0A"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0.31</w:t>
      </w:r>
      <w:r w:rsidR="00471E21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2.09</w:t>
      </w:r>
      <w:r w:rsidR="00DE4C61" w:rsidRPr="00291035">
        <w:rPr>
          <w:rFonts w:ascii="Book Antiqua" w:eastAsia="Book Antiqua" w:hAnsi="Book Antiqua" w:cs="Book Antiqua"/>
          <w:color w:val="000000"/>
        </w:rPr>
        <w:t>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(OR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3.46,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95%CI: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2.42</w:t>
      </w:r>
      <w:r w:rsidR="00471E21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4.95,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&lt;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0.001)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</w:t>
      </w:r>
      <w:r w:rsidR="00551A0A" w:rsidRPr="00291035">
        <w:rPr>
          <w:rFonts w:ascii="Book Antiqua" w:eastAsia="Book Antiqua" w:hAnsi="Book Antiqua" w:cs="Book Antiqua"/>
          <w:color w:val="000000"/>
        </w:rPr>
        <w:t>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(OR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2.87,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291035">
        <w:rPr>
          <w:rFonts w:ascii="Book Antiqua" w:eastAsia="Book Antiqua" w:hAnsi="Book Antiqua" w:cs="Book Antiqua"/>
          <w:color w:val="000000"/>
        </w:rPr>
        <w:t>95%CI: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2.29</w:t>
      </w:r>
      <w:r w:rsidR="00471E21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3.6,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291035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&lt;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0.001)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2A58C483" w14:textId="77777777" w:rsidR="00DE4C61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t>Recently,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Zompo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46FB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6FB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6FB5" w:rsidRPr="00291035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elucidate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20724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tests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(LFTs)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46.9%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26.5%,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22.8%,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gamma-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glutamyl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transferase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(GGT)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22.5%,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alkaline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phosphatase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(ALP)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5.7%,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6F46BD"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bilirubin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8.0%].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DE4C61" w:rsidRPr="00291035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independent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predictors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in-hospital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mortality.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degree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5961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Pr="00291035">
        <w:rPr>
          <w:rFonts w:eastAsia="Book Antiqua"/>
          <w:color w:val="000000"/>
        </w:rPr>
        <w:t> </w:t>
      </w:r>
      <w:r w:rsidRPr="00291035">
        <w:rPr>
          <w:rFonts w:ascii="Book Antiqua" w:eastAsia="Book Antiqua" w:hAnsi="Book Antiqua" w:cs="Book Antiqua"/>
          <w:color w:val="000000"/>
        </w:rPr>
        <w:t>2.5,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3.4,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hyperbilirubinemia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Pr="00291035">
        <w:rPr>
          <w:rFonts w:eastAsia="Book Antiqua"/>
          <w:color w:val="000000"/>
        </w:rPr>
        <w:t> </w:t>
      </w:r>
      <w:r w:rsidRPr="00291035">
        <w:rPr>
          <w:rFonts w:ascii="Book Antiqua" w:eastAsia="Book Antiqua" w:hAnsi="Book Antiqua" w:cs="Book Antiqua"/>
          <w:color w:val="000000"/>
        </w:rPr>
        <w:t>1.7,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eastAsia="Book Antiqua"/>
          <w:color w:val="000000"/>
        </w:rPr>
        <w:t> </w:t>
      </w:r>
      <w:r w:rsidRPr="00291035">
        <w:rPr>
          <w:rFonts w:ascii="Book Antiqua" w:eastAsia="Book Antiqua" w:hAnsi="Book Antiqua" w:cs="Book Antiqua"/>
          <w:color w:val="000000"/>
        </w:rPr>
        <w:t>7.1,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126F5CB4" w14:textId="77777777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t>Mao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6686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co-morbidities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hepatitis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1267)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19%.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21%,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albumin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6%.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LFT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76C03ACD" w14:textId="77777777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t>Kumar-M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stratified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estimated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ratio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(RR),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estimated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standardized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(SMD)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parameters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number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28659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subjects.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frequent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(61.27%),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GGT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27.94%,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23.28%,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23.41%.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(RR)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2.65;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GGT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2.31;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2.30;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1.76).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co-morbidity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2.64%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1.69</w:t>
      </w:r>
      <w:r w:rsidR="00E31E38" w:rsidRPr="00291035">
        <w:rPr>
          <w:rFonts w:ascii="Book Antiqua" w:eastAsia="Book Antiqua" w:hAnsi="Book Antiqua" w:cs="Book Antiqua"/>
          <w:color w:val="000000"/>
        </w:rPr>
        <w:t>%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respectively.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frequent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followed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GGT,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 xml:space="preserve">elevated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2F452D5B" w14:textId="0D6079E4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Youssef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3428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elucidate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relationship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(SMD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0.68),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(SMD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0.36),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(SMD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0.44),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(SMD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0.40).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1.93).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</w:t>
      </w:r>
      <w:r w:rsidR="00B46FB5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monitoring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beneficial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warning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unfavorable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2CF5B76F" w14:textId="716C1C36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(GIS)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3024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53%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degree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relatively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diarrhea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9.1%,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nausea/vomiting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5.2%,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abdominal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pain</w:t>
      </w:r>
      <w:r w:rsidR="00E31E38" w:rsidRPr="00291035">
        <w:rPr>
          <w:rFonts w:ascii="Book Antiqua" w:eastAsia="Book Antiqua" w:hAnsi="Book Antiqua" w:cs="Book Antiqua"/>
          <w:color w:val="000000"/>
        </w:rPr>
        <w:t xml:space="preserve"> of 3.5%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4473A2E1" w14:textId="5AA57E98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9738B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9738B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explore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probable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their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3722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connection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1.98.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4.48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weighted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3.35.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1.91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weighted mean difference</w:t>
      </w:r>
      <w:r w:rsidR="00E31E38" w:rsidRPr="00291035" w:rsidDel="00E31E38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1.18).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1F369619" w14:textId="3E689278" w:rsidR="00E31E38" w:rsidRPr="00291035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291035">
        <w:rPr>
          <w:rFonts w:ascii="Book Antiqua" w:eastAsia="Book Antiqua" w:hAnsi="Book Antiqua" w:cs="Book Antiqua"/>
          <w:color w:val="000000"/>
        </w:rPr>
        <w:t>Samidoust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investigate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4191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19.5%.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 xml:space="preserve">system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frequently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outside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explore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tests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7228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biochemistry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parameters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hospitalization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27.2%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36%,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respectively.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hypoalbuminemia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followed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GGT,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(39.8%,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35.8%,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21.8%,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20.4%,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8.8%,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4.7%).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critical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biochemistry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parameters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moderate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Non-survival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indicators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survival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(RR</w:t>
      </w:r>
      <w:r w:rsidRPr="00291035">
        <w:rPr>
          <w:rFonts w:ascii="MS Gothic" w:eastAsia="MS Gothic" w:hAnsi="MS Gothic" w:cs="MS Gothic"/>
          <w:color w:val="000000"/>
        </w:rPr>
        <w:t> 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Pr="00291035">
        <w:rPr>
          <w:rFonts w:ascii="MS Gothic" w:eastAsia="MS Gothic" w:hAnsi="MS Gothic" w:cs="MS Gothic"/>
          <w:color w:val="000000"/>
        </w:rPr>
        <w:t> </w:t>
      </w:r>
      <w:r w:rsidRPr="00291035">
        <w:rPr>
          <w:rFonts w:ascii="Book Antiqua" w:eastAsia="Book Antiqua" w:hAnsi="Book Antiqua" w:cs="Book Antiqua"/>
          <w:color w:val="000000"/>
        </w:rPr>
        <w:t>1.34).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tests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closely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56E272CB" w14:textId="128BFB5B" w:rsidR="00A77B3E" w:rsidRPr="00291035" w:rsidRDefault="0003714C" w:rsidP="00F42004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291035">
        <w:rPr>
          <w:rFonts w:ascii="Book Antiqua" w:eastAsia="Book Antiqua" w:hAnsi="Book Antiqua" w:cs="Book Antiqua"/>
          <w:color w:val="000000"/>
        </w:rPr>
        <w:t>Mantovani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2034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baseline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3%,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relevant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coagulation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profile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innate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immune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response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against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Sultan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summarize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international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color w:val="000000"/>
        </w:rPr>
        <w:t>GI</w:t>
      </w:r>
      <w:r w:rsidR="00B46FB5"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10890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tBIL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observed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approximately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15%</w:t>
      </w:r>
      <w:r w:rsidR="00471E21" w:rsidRPr="00291035">
        <w:rPr>
          <w:rFonts w:ascii="Book Antiqua" w:eastAsia="Book Antiqua" w:hAnsi="Book Antiqua" w:cs="Book Antiqua"/>
          <w:color w:val="000000"/>
        </w:rPr>
        <w:t>-</w:t>
      </w:r>
      <w:r w:rsidRPr="00291035">
        <w:rPr>
          <w:rFonts w:ascii="Book Antiqua" w:eastAsia="Book Antiqua" w:hAnsi="Book Antiqua" w:cs="Book Antiqua"/>
          <w:color w:val="000000"/>
        </w:rPr>
        <w:t>20%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inform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clinician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perform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careful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new-onset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classic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atypical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hospitalized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benefit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monitoring,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particularly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known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hepatotoxic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potential.</w:t>
      </w:r>
    </w:p>
    <w:p w14:paraId="3F842552" w14:textId="77777777" w:rsidR="0008358D" w:rsidRPr="00291035" w:rsidRDefault="0008358D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5AACDA" w14:textId="5310EFFF" w:rsidR="00A77B3E" w:rsidRPr="00291035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Pathological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finding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hepa</w:t>
      </w:r>
      <w:r w:rsidR="0008358D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tobiliary</w:t>
      </w:r>
      <w:r w:rsidR="00F30469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358D" w:rsidRPr="00291035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E8B7E93" w14:textId="4B0DA3D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first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post-mortem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succumbed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histology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moderate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microvesicular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inflammatory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infiltrates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lobule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tract.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know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whether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changes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direct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toxicity.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Wichmann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cohort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perform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autopsies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consecutive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deaths,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post-mortem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computed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tomography</w:t>
      </w:r>
      <w:r w:rsidR="00E31E38" w:rsidRPr="00291035">
        <w:rPr>
          <w:rFonts w:ascii="Book Antiqua" w:eastAsia="Book Antiqua" w:hAnsi="Book Antiqua" w:cs="Book Antiqua"/>
          <w:color w:val="000000"/>
        </w:rPr>
        <w:t xml:space="preserve"> 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histopathologic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virologic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analys</w:t>
      </w:r>
      <w:r w:rsidR="00E31E38" w:rsidRPr="00291035">
        <w:rPr>
          <w:rFonts w:ascii="Book Antiqua" w:eastAsia="Book Antiqua" w:hAnsi="Book Antiqua" w:cs="Book Antiqua"/>
          <w:color w:val="000000"/>
        </w:rPr>
        <w:t>e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(52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years),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75%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male,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death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occurred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hospital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outpatient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department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histopathology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however,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291035">
        <w:rPr>
          <w:rFonts w:ascii="Book Antiqua" w:eastAsia="Book Antiqua" w:hAnsi="Book Antiqua" w:cs="Book Antiqua"/>
          <w:color w:val="000000"/>
        </w:rPr>
        <w:t>ribonucleic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291035">
        <w:rPr>
          <w:rFonts w:ascii="Book Antiqua" w:eastAsia="Book Antiqua" w:hAnsi="Book Antiqua" w:cs="Book Antiqua"/>
          <w:color w:val="000000"/>
        </w:rPr>
        <w:t>acid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(1.2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×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×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copies/mL)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pharynx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nine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291035">
        <w:rPr>
          <w:rFonts w:ascii="Book Antiqua" w:eastAsia="Book Antiqua" w:hAnsi="Book Antiqua" w:cs="Book Antiqua"/>
          <w:color w:val="000000"/>
        </w:rPr>
        <w:t>ribonucleic acid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heart,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kidney.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might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spread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bloodstream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</w:t>
      </w:r>
      <w:r w:rsidR="00E31E38" w:rsidRPr="00291035">
        <w:rPr>
          <w:rFonts w:ascii="Book Antiqua" w:eastAsia="Book Antiqua" w:hAnsi="Book Antiqua" w:cs="Book Antiqua"/>
          <w:color w:val="000000"/>
        </w:rPr>
        <w:t>, 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performed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post-mortem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needle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biopsies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pneumonia.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histopathology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lobular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infiltration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lymphocytes,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centrilobular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sinusoidal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dilatation,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macrovesicular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patchy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necrosis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periportal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centrilobular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areas.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Tabary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multiple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tract,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kidney,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skin,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heart,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spleen,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lymph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nodes,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brain,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blood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vessels,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placenta,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alterations.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hepatocyte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degeneration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lobular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necrosis,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congestion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sinuses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microthrombus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fibrosis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tract,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proliferation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vein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branches,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mononuclear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leukocyte,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neutrophil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infiltration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moderate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microvascular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histopathology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exhibits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sinusoidal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dilation,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lymphocytes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infiltration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sinusoidal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spaces.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moderate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multifocal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necrosis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confirmed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hepatocellular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considered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severity.</w:t>
      </w:r>
    </w:p>
    <w:p w14:paraId="58839F13" w14:textId="77777777" w:rsidR="00A77B3E" w:rsidRPr="00291035" w:rsidRDefault="00A77B3E" w:rsidP="00105F38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C7A754B" w14:textId="1B60375D" w:rsidR="00A77B3E" w:rsidRPr="00291035" w:rsidRDefault="00F3046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CLD </w:t>
      </w:r>
      <w:r w:rsidR="0003714C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3714C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3714C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</w:p>
    <w:p w14:paraId="10F28C79" w14:textId="29A3FE0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usually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relatively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established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CVDs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upregulated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type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d</w:t>
      </w:r>
      <w:r w:rsidR="006F46BD" w:rsidRPr="00291035">
        <w:rPr>
          <w:rFonts w:ascii="Book Antiqua" w:eastAsia="Book Antiqua" w:hAnsi="Book Antiqua" w:cs="Book Antiqua"/>
          <w:color w:val="000000"/>
        </w:rPr>
        <w:t>ia</w:t>
      </w:r>
      <w:r w:rsidR="00B46FB5" w:rsidRPr="00291035">
        <w:rPr>
          <w:rFonts w:ascii="Book Antiqua" w:eastAsia="Book Antiqua" w:hAnsi="Book Antiqua" w:cs="Book Antiqua"/>
          <w:color w:val="000000"/>
        </w:rPr>
        <w:t>betes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color w:val="000000"/>
        </w:rPr>
        <w:t>T2D</w:t>
      </w:r>
      <w:r w:rsidR="00B46FB5"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individuals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T2D.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non-alcoholic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steatohepatitis,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simple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steatosis,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levels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upregulation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greater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susceptibility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APASL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Spectrum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r w:rsidR="00B46FB5" w:rsidRPr="00291035">
        <w:rPr>
          <w:rFonts w:ascii="Book Antiqua" w:eastAsia="Book Antiqua" w:hAnsi="Book Antiqua" w:cs="Book Antiqua"/>
          <w:color w:val="000000"/>
        </w:rPr>
        <w:t>APCOLIS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291035">
        <w:rPr>
          <w:rFonts w:ascii="Book Antiqua" w:eastAsia="Book Antiqua" w:hAnsi="Book Antiqua" w:cs="Book Antiqua"/>
          <w:color w:val="000000"/>
        </w:rPr>
        <w:t>Study</w:t>
      </w:r>
      <w:r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patterns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813C2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like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metabolic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fatty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obesity,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diabetes</w:t>
      </w:r>
      <w:r w:rsidR="00813C21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</w:t>
      </w:r>
      <w:r w:rsidR="00813C21"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produces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43%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Nearly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half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complications,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13C21" w:rsidRPr="00291035">
        <w:rPr>
          <w:rFonts w:ascii="Book Antiqua" w:eastAsia="Book Antiqua" w:hAnsi="Book Antiqua" w:cs="Book Antiqua"/>
          <w:color w:val="000000"/>
        </w:rPr>
        <w:t xml:space="preserve">had </w:t>
      </w:r>
      <w:r w:rsidRPr="00291035">
        <w:rPr>
          <w:rFonts w:ascii="Book Antiqua" w:eastAsia="Book Antiqua" w:hAnsi="Book Antiqua" w:cs="Book Antiqua"/>
          <w:color w:val="000000"/>
        </w:rPr>
        <w:t>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pattern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hepatocellular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Notably,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serum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GGT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detected,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indicating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failure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(ACLF)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indicated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hepatotropic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directly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precipitate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failure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complications,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complications,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reserve.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Moreover,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813C21" w:rsidRPr="00291035">
        <w:rPr>
          <w:rFonts w:ascii="Book Antiqua" w:eastAsia="Book Antiqua" w:hAnsi="Book Antiqua" w:cs="Book Antiqua"/>
          <w:color w:val="000000"/>
        </w:rPr>
        <w:t xml:space="preserve"> 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13C21" w:rsidRPr="00291035">
        <w:rPr>
          <w:rFonts w:ascii="Book Antiqua" w:eastAsia="Book Antiqua" w:hAnsi="Book Antiqua" w:cs="Book Antiqua"/>
          <w:color w:val="000000"/>
        </w:rPr>
        <w:t xml:space="preserve">more </w:t>
      </w:r>
      <w:r w:rsidRPr="00291035">
        <w:rPr>
          <w:rFonts w:ascii="Book Antiqua" w:eastAsia="Book Antiqua" w:hAnsi="Book Antiqua" w:cs="Book Antiqua"/>
          <w:color w:val="000000"/>
        </w:rPr>
        <w:t>progressive</w:t>
      </w:r>
      <w:r w:rsidR="00813C21" w:rsidRPr="00291035">
        <w:rPr>
          <w:rFonts w:ascii="Book Antiqua" w:eastAsia="Book Antiqua" w:hAnsi="Book Antiqua" w:cs="Book Antiqua"/>
          <w:color w:val="000000"/>
        </w:rPr>
        <w:t xml:space="preserve"> with higher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</w:p>
    <w:p w14:paraId="4403C9B6" w14:textId="494072FC" w:rsidR="00A77B3E" w:rsidRPr="00291035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91035">
        <w:rPr>
          <w:rFonts w:ascii="Book Antiqua" w:eastAsia="Book Antiqua" w:hAnsi="Book Antiqua" w:cs="Book Antiqua"/>
          <w:color w:val="000000"/>
        </w:rPr>
        <w:t>Marjot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international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registry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impact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recruited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745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(386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359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according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Child-Pugh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(19%),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(35%),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(51%)]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71%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death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syndrome.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620),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propensity-score-matched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revealed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Child-Pugh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(+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20.0%)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Child-Pugh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(+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38.1%).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46%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21%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Half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ACLF.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baseline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alcohol-related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independent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death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group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investigators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Korea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multicenter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1005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predictors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pneumonia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pneumonia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(4.5%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0.9%).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survival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761B6" w:rsidRPr="00291035">
        <w:rPr>
          <w:rFonts w:ascii="Book Antiqua" w:eastAsia="Book Antiqua" w:hAnsi="Book Antiqua" w:cs="Book Antiqua"/>
          <w:color w:val="000000"/>
        </w:rPr>
        <w:t xml:space="preserve">in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cirrhosis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independent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predictor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suggested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robust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personal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protection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intensive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761B6" w:rsidRPr="00291035">
        <w:rPr>
          <w:rFonts w:ascii="Book Antiqua" w:eastAsia="Book Antiqua" w:hAnsi="Book Antiqua" w:cs="Book Antiqua"/>
          <w:color w:val="000000"/>
        </w:rPr>
        <w:t xml:space="preserve">should be </w:t>
      </w:r>
      <w:r w:rsidRPr="00291035">
        <w:rPr>
          <w:rFonts w:ascii="Book Antiqua" w:eastAsia="Book Antiqua" w:hAnsi="Book Antiqua" w:cs="Book Antiqua"/>
          <w:color w:val="000000"/>
        </w:rPr>
        <w:t>highly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recommended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291035">
        <w:rPr>
          <w:rFonts w:ascii="Book Antiqua" w:eastAsia="Book Antiqua" w:hAnsi="Book Antiqua" w:cs="Book Antiqua"/>
          <w:color w:val="000000"/>
        </w:rPr>
        <w:t>.</w:t>
      </w:r>
    </w:p>
    <w:p w14:paraId="605E1718" w14:textId="57097A23" w:rsidR="00A77B3E" w:rsidRPr="00291035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Del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Zompo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elucidate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explored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including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20724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LFTs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alterations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47%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unselected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in-hospital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decompensation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Váncsa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value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on-admission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LFTs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course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evaluated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17205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platelet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elevated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291035">
        <w:rPr>
          <w:rFonts w:ascii="Book Antiqua" w:eastAsia="Book Antiqua" w:hAnsi="Book Antiqua" w:cs="Book Antiqua"/>
          <w:color w:val="000000"/>
        </w:rPr>
        <w:t>C-reactive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291035">
        <w:rPr>
          <w:rFonts w:ascii="Book Antiqua" w:eastAsia="Book Antiqua" w:hAnsi="Book Antiqua" w:cs="Book Antiqua"/>
          <w:color w:val="000000"/>
        </w:rPr>
        <w:t>protein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predict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Significantly,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combined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important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predicting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rate.</w:t>
      </w:r>
    </w:p>
    <w:p w14:paraId="14A8D49B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F0EC77" w14:textId="24BD923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COMMON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MEDICATIONS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30469"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p w14:paraId="54AC66DF" w14:textId="1E7FF5C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8" w:name="OLE_LINK7"/>
      <w:r w:rsidRPr="00291035">
        <w:rPr>
          <w:rFonts w:ascii="Book Antiqua" w:eastAsia="Book Antiqua" w:hAnsi="Book Antiqua" w:cs="Book Antiqua"/>
          <w:color w:val="000000"/>
        </w:rPr>
        <w:t>Several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publications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definitive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indicating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harmful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inhibitors.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Because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making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class'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harmful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unlikely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1035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="0008358D" w:rsidRPr="002910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761B6" w:rsidRPr="00291035">
        <w:rPr>
          <w:rFonts w:ascii="Book Antiqua" w:eastAsia="Book Antiqua" w:hAnsi="Book Antiqua" w:cs="Book Antiqua"/>
          <w:color w:val="000000"/>
        </w:rPr>
        <w:t>O</w:t>
      </w:r>
      <w:r w:rsidRPr="00291035">
        <w:rPr>
          <w:rFonts w:ascii="Book Antiqua" w:eastAsia="Book Antiqua" w:hAnsi="Book Antiqua" w:cs="Book Antiqua"/>
          <w:color w:val="000000"/>
        </w:rPr>
        <w:t>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anti-hypertensive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</w:t>
      </w:r>
      <w:r w:rsidR="00C761B6"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C761B6"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ARBs,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shown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upregulate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animal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translate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observations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Pr="00291035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Drager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38B" w:rsidRPr="00291035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summarized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available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points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neutral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beneficial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received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ARBs.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0995" w:rsidRPr="0029103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995" w:rsidRPr="00291035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conducted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retrospective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non-users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283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hospitalized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diabetes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(104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C761B6"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179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found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in-hospital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lower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group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291035">
        <w:rPr>
          <w:rFonts w:ascii="Book Antiqua" w:eastAsia="Book Antiqua" w:hAnsi="Book Antiqua" w:cs="Book Antiqua"/>
          <w:color w:val="000000"/>
        </w:rPr>
        <w:t>[</w:t>
      </w:r>
      <w:r w:rsidRPr="00291035">
        <w:rPr>
          <w:rFonts w:ascii="Book Antiqua" w:eastAsia="Book Antiqua" w:hAnsi="Book Antiqua" w:cs="Book Antiqua"/>
          <w:color w:val="000000"/>
        </w:rPr>
        <w:t>3/104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(2.9%)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22/179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(12.3%),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=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0.01</w:t>
      </w:r>
      <w:r w:rsidR="000708E7" w:rsidRPr="00291035">
        <w:rPr>
          <w:rFonts w:ascii="Book Antiqua" w:eastAsia="Book Antiqua" w:hAnsi="Book Antiqua" w:cs="Book Antiqua"/>
          <w:color w:val="000000"/>
        </w:rPr>
        <w:t>]</w:t>
      </w:r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concluded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might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offer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benefits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However,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mention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relationship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between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their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co-morbidities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cardiovascular,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metabolic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disorders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often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requires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continuous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additive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combined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susceptibility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Although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direct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vigilant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possible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medications.</w:t>
      </w:r>
    </w:p>
    <w:bookmarkEnd w:id="8"/>
    <w:p w14:paraId="74F36A73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47BE21" w14:textId="7777777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55D7AD" w14:textId="2FD49B6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" w:name="OLE_LINK5"/>
      <w:bookmarkStart w:id="10" w:name="OLE_LINK6"/>
      <w:r w:rsidRPr="00291035">
        <w:rPr>
          <w:rFonts w:ascii="Book Antiqua" w:eastAsia="Book Antiqua" w:hAnsi="Book Antiqua" w:cs="Book Antiqua"/>
          <w:color w:val="000000"/>
        </w:rPr>
        <w:t>Several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alteration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progression.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Although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widely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various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determinants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recognized,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ACE2-expressing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equally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participate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pathophysiology,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implicating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involved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orchestrating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resulting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LFTs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half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3B7EEA" w:rsidRPr="00291035">
        <w:rPr>
          <w:rFonts w:ascii="Book Antiqua" w:eastAsia="Book Antiqua" w:hAnsi="Book Antiqua" w:cs="Book Antiqua"/>
          <w:color w:val="000000"/>
        </w:rPr>
        <w:t>It has been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demonstrate</w:t>
      </w:r>
      <w:r w:rsidR="003B7EEA" w:rsidRPr="00291035">
        <w:rPr>
          <w:rFonts w:ascii="Book Antiqua" w:eastAsia="Book Antiqua" w:hAnsi="Book Antiqua" w:cs="Book Antiqua"/>
          <w:color w:val="000000"/>
        </w:rPr>
        <w:t>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directly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positive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However,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upregulate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hepatobiliary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Furthermore,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contributing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mechanisms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drug-induced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activation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immune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cytokine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storm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may</w:t>
      </w:r>
      <w:r w:rsidR="0045782C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contributing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outcomes.</w:t>
      </w:r>
    </w:p>
    <w:p w14:paraId="483FB99A" w14:textId="77777777" w:rsidR="00A77B3E" w:rsidRPr="00291035" w:rsidRDefault="00A77B3E" w:rsidP="00105F38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bookmarkEnd w:id="9"/>
    <w:bookmarkEnd w:id="10"/>
    <w:p w14:paraId="4FC013CC" w14:textId="7777777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C4648F" w14:textId="7EABD0FE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1" w:name="OLE_LINK10"/>
      <w:bookmarkStart w:id="12" w:name="OLE_LINK11"/>
      <w:bookmarkStart w:id="13" w:name="OLE_LINK2930"/>
      <w:r w:rsidRPr="00291035">
        <w:rPr>
          <w:rFonts w:ascii="Book Antiqua" w:eastAsia="Book Antiqua" w:hAnsi="Book Antiqua" w:cs="Book Antiqua"/>
          <w:color w:val="000000"/>
        </w:rPr>
        <w:t>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Tipnis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Hooper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Karran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Christie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Turner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AJ.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homolog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Cloning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captopril-insensitive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carboxypeptidase.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33238-33243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10924499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10.1074/jbc.M002615200]</w:t>
      </w:r>
    </w:p>
    <w:p w14:paraId="07528790" w14:textId="350AD75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Donoghue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Hsieh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Baronas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Godbout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Gosselin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Stagliano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Donovan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Woolf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Robison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Jeyaseelan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Breitbart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novel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carboxypeptidase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(ACE2)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converts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1-9.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Circ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E1-E9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10969042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10.1161/01.res.87.5.e1]</w:t>
      </w:r>
    </w:p>
    <w:p w14:paraId="042748FA" w14:textId="2C8173E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Rauf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Izneid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Renin-angiotensin-aldosterone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(RAAS):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ubiquitous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homeostasis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2017;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317-325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28772209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10.1016/j.biopha.2017.07.091]</w:t>
      </w:r>
    </w:p>
    <w:p w14:paraId="722751FE" w14:textId="78D8105D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Arnold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cardiovascular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autonomic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control: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developments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implications.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231-243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30413906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10.1007/s10286-018-0572-5]</w:t>
      </w:r>
    </w:p>
    <w:p w14:paraId="69817FCC" w14:textId="2D5CC3C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RAS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Sampaio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Alzamora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Motta-Santos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Alenina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Bader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Campagnole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-Santos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MJ.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ACE2/Angiotensin-(1-7)/MAS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Axis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Focus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Angiotensin-(1-7).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2018;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505-553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29351514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10.1152/physrev.00023.2016]</w:t>
      </w:r>
    </w:p>
    <w:p w14:paraId="28109F22" w14:textId="44C1E22E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Paz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Ocaranza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Riquelme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Jalil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Chiong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Santos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Lavandero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Counter-regulatory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cardiovascular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116-129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31427727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10.1038/s41569-019-0244-8]</w:t>
      </w:r>
    </w:p>
    <w:p w14:paraId="20B5B604" w14:textId="732FF8C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Grace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Herath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Burrell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PW.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Update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aspects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implications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therapeutic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options.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291035">
        <w:rPr>
          <w:rFonts w:ascii="Book Antiqua" w:eastAsia="Book Antiqua" w:hAnsi="Book Antiqua" w:cs="Book Antiqua"/>
          <w:i/>
          <w:iCs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2012;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225-239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22548407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10.1042/CS20120030]</w:t>
      </w:r>
    </w:p>
    <w:p w14:paraId="7614890C" w14:textId="117013B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Herath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Lubel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Velkoska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Casley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Brown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Tikellis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Burrell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Portal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pressure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responses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peptide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production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determined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relative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activity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2009;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297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G98-G106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19389807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10.1152/ajpgi.00045.2009]</w:t>
      </w:r>
    </w:p>
    <w:p w14:paraId="0CDA8A26" w14:textId="09B910B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Perlot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Rehman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Trichereau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Ishiguro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Paolino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Sigl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Lipinski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Camargo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Singer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Richter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Kuba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Fukamizu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Schreiber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Clevers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Verrey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Rosenstiel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Links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amino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malnutrition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microbial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ecology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inflammation.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2012;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477-481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22837003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10.1038/nature11228]</w:t>
      </w:r>
    </w:p>
    <w:p w14:paraId="36F27FCA" w14:textId="5C98A45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10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Hiscox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Hooper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vasopeptidase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2004;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291-294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15165741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10.1016/j.tips.2004.04.001]</w:t>
      </w:r>
    </w:p>
    <w:p w14:paraId="101D33C4" w14:textId="46049E7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11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Gheblawi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Oudit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GY.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Double-Edged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Sword.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426-428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32213097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10.1161/CIRCULATIONAHA.120.047049]</w:t>
      </w:r>
    </w:p>
    <w:p w14:paraId="4B578F57" w14:textId="0D5E6C3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VB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Grant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Oudit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Role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ACE2/Angiotensin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1-7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Axis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Failure.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Circ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2016;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1313-1326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27081112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10.1161/CIRCRESAHA.116.307708]</w:t>
      </w:r>
    </w:p>
    <w:p w14:paraId="7922CBBA" w14:textId="24C6FED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13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McKinney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Fattah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Loughrey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Milligan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Nicklin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Angiotensin-(1-7)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angiotensin-(1-9):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cardiac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vascular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291035">
        <w:rPr>
          <w:rFonts w:ascii="Book Antiqua" w:eastAsia="Book Antiqua" w:hAnsi="Book Antiqua" w:cs="Book Antiqua"/>
          <w:i/>
          <w:iCs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2014;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815-827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24593683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10.1042/CS20130436]</w:t>
      </w:r>
    </w:p>
    <w:p w14:paraId="46EE9794" w14:textId="5538AA06" w:rsidR="00A77B3E" w:rsidRPr="00291035" w:rsidRDefault="0003714C" w:rsidP="00105F38">
      <w:pPr>
        <w:pStyle w:val="1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  <w:sz w:val="24"/>
          <w:szCs w:val="24"/>
        </w:rPr>
        <w:t>14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14" w:name="OLE_LINK12"/>
      <w:bookmarkStart w:id="15" w:name="OLE_LINK13"/>
      <w:proofErr w:type="spellStart"/>
      <w:r w:rsidRPr="00291035">
        <w:rPr>
          <w:rFonts w:ascii="Book Antiqua" w:eastAsia="Book Antiqua" w:hAnsi="Book Antiqua" w:cs="Book Antiqua"/>
          <w:b/>
          <w:color w:val="000000"/>
          <w:sz w:val="24"/>
          <w:szCs w:val="24"/>
        </w:rPr>
        <w:t>Worldometer</w:t>
      </w:r>
      <w:proofErr w:type="spellEnd"/>
      <w:r w:rsidR="006012C7" w:rsidRPr="00291035">
        <w:rPr>
          <w:rFonts w:ascii="Book Antiqua" w:eastAsia="Book Antiqua" w:hAnsi="Book Antiqua" w:cs="Book Antiqua"/>
          <w:b/>
          <w:color w:val="000000"/>
          <w:sz w:val="24"/>
          <w:szCs w:val="24"/>
        </w:rPr>
        <w:t>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bookmarkEnd w:id="14"/>
      <w:bookmarkEnd w:id="15"/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2021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[</w:t>
      </w:r>
      <w:proofErr w:type="gramStart"/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cited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March</w:t>
      </w:r>
      <w:r w:rsidR="00F30469" w:rsidRPr="002910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2021]</w:t>
      </w:r>
      <w:r w:rsidR="0008358D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F30469" w:rsidRPr="00291035">
        <w:rPr>
          <w:rFonts w:ascii="Book Antiqua" w:hAnsi="Book Antiqua" w:cs="Arial"/>
          <w:bCs/>
          <w:sz w:val="24"/>
          <w:szCs w:val="24"/>
        </w:rPr>
        <w:t xml:space="preserve"> </w:t>
      </w:r>
      <w:r w:rsidR="0008358D" w:rsidRPr="00291035">
        <w:rPr>
          <w:rFonts w:ascii="Book Antiqua" w:hAnsi="Book Antiqua" w:cs="Arial"/>
          <w:bCs/>
          <w:sz w:val="24"/>
          <w:szCs w:val="24"/>
        </w:rPr>
        <w:t>Available</w:t>
      </w:r>
      <w:r w:rsidR="00F30469" w:rsidRPr="00291035">
        <w:rPr>
          <w:rFonts w:ascii="Book Antiqua" w:hAnsi="Book Antiqua" w:cs="Arial"/>
          <w:bCs/>
          <w:sz w:val="24"/>
          <w:szCs w:val="24"/>
        </w:rPr>
        <w:t xml:space="preserve"> </w:t>
      </w:r>
      <w:r w:rsidR="0008358D" w:rsidRPr="00291035">
        <w:rPr>
          <w:rFonts w:ascii="Book Antiqua" w:hAnsi="Book Antiqua" w:cs="Arial"/>
          <w:bCs/>
          <w:sz w:val="24"/>
          <w:szCs w:val="24"/>
        </w:rPr>
        <w:t>from:</w:t>
      </w:r>
      <w:r w:rsidR="00F30469" w:rsidRPr="00291035">
        <w:rPr>
          <w:rFonts w:ascii="Book Antiqua" w:hAnsi="Book Antiqua" w:cs="Arial"/>
          <w:bCs/>
          <w:sz w:val="24"/>
          <w:szCs w:val="24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  <w:sz w:val="24"/>
          <w:szCs w:val="24"/>
        </w:rPr>
        <w:t>https://www.worldometers.info/coronavirus/?fbclid=IwAR3fVhmfOSlgc6Hm_hwkpJv7-MjFFwfmHBlHbIcQQC80wFA_15DQ2RHMZho</w:t>
      </w:r>
    </w:p>
    <w:p w14:paraId="4A39F017" w14:textId="7C06967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15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McGoogan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JM.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Characteristics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Important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Lessons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(COVID-19)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Outbreak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China: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Summary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72</w:t>
      </w:r>
      <w:r w:rsidRPr="00291035">
        <w:rPr>
          <w:rFonts w:eastAsia="Book Antiqua"/>
          <w:color w:val="000000"/>
        </w:rPr>
        <w:t> </w:t>
      </w:r>
      <w:r w:rsidRPr="00291035">
        <w:rPr>
          <w:rFonts w:ascii="Book Antiqua" w:eastAsia="Book Antiqua" w:hAnsi="Book Antiqua" w:cs="Book Antiqua"/>
          <w:color w:val="000000"/>
        </w:rPr>
        <w:t>314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Chinese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Center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Control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Prevention.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1239-1242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32091533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10.1001/jama.2020.2648]</w:t>
      </w:r>
    </w:p>
    <w:p w14:paraId="2BBC8EB4" w14:textId="11292F3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16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Weng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distribution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syndrome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(SARS)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implications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pathogenesis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transmission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pathways.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2004;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622-630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15141376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10.1002/path.1560]</w:t>
      </w:r>
    </w:p>
    <w:p w14:paraId="7BBB5BE4" w14:textId="5D8BD32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17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FS.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management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challenges.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428-430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32145190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5DC12520" w14:textId="104C375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18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pathogenic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998-1004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32170806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</w:t>
      </w:r>
      <w:r w:rsidR="00F30469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iv.14435]</w:t>
      </w:r>
    </w:p>
    <w:p w14:paraId="55BA1AA9" w14:textId="3DC44D1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Lian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characteristics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non-ICU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hospitalized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retrospective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1321-1326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32239591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</w:t>
      </w:r>
      <w:r w:rsidR="00F30469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iv.14449]</w:t>
      </w:r>
    </w:p>
    <w:p w14:paraId="5F9D9DA9" w14:textId="04A0697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Features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Abnormality.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1561-1566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32283325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10.1016/j.cgh.2020.04.002]</w:t>
      </w:r>
    </w:p>
    <w:p w14:paraId="3CB6352F" w14:textId="4908A61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21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JG.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Characteristics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Mechanism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13-17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32274341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10.14218/JCTH.2020.00019]</w:t>
      </w:r>
    </w:p>
    <w:p w14:paraId="35232F48" w14:textId="21D0BE9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IFN,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PPY,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TWH,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Yip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CCY,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AJX,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KKW,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WK.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Load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Samples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Hong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Cohort: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81-95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32251668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10.1053/j.gastro.2020.03.065]</w:t>
      </w:r>
    </w:p>
    <w:p w14:paraId="21D9A384" w14:textId="1E12657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impairment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retrospective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115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from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single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2095-2103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32239796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</w:t>
      </w:r>
      <w:r w:rsidR="00F30469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iv.14455]</w:t>
      </w:r>
    </w:p>
    <w:p w14:paraId="3562C7EF" w14:textId="703F48A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Pirola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Sookoian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Putative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mechanisms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involvement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2038-2040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32352224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</w:t>
      </w:r>
      <w:r w:rsidR="00F30469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iv.14500]</w:t>
      </w:r>
    </w:p>
    <w:p w14:paraId="299CF285" w14:textId="18CDC2A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Tikellis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Thomas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MC.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(ACE2)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Modulator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Health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Pept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2012;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256294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22536270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10.1155/2012/256294]</w:t>
      </w:r>
    </w:p>
    <w:p w14:paraId="051091DE" w14:textId="1110FBE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Cooper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Haagmans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Hooper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Korstanje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Osterhaus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Timens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Turner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Navis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emerging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role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physiology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2007;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212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1-11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17464936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10.1002/path.2162]</w:t>
      </w:r>
    </w:p>
    <w:p w14:paraId="67B891F1" w14:textId="429A4FB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Turner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Rushworth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Michaud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Corvol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Navis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Differential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(ACE)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during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dietary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sodium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restriction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healthy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2008;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631-638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18192334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10.1113/expphysiol.2007.041855]</w:t>
      </w:r>
    </w:p>
    <w:p w14:paraId="2EC3AF68" w14:textId="52E2417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Bernardi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Toffoli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Zennaro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Tikellis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Monticone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Losurdo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Bellini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Thomas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Fallo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Veglio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Johnston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High-salt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diet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increases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glomerular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ACE/ACE2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ratio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leading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oxidative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kidney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2012;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1793-1800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22036945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/gfr600]</w:t>
      </w:r>
    </w:p>
    <w:p w14:paraId="242CEEFE" w14:textId="1EA3D4D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29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Gupte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Boustany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-Kari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Bharadwaj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Police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Thatcher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English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adipocytes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high-fat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diet.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Regul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Integr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Comp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2008;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295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R781-R788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18650320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10.1152/ajpregu.00183.2008]</w:t>
      </w:r>
    </w:p>
    <w:p w14:paraId="6AD94151" w14:textId="5B3141FC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Timens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Bulthuis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Navis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distribution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protein,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functional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first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step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understanding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pathogenesis.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2004;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631-637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15141377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10.1002/path.1570]</w:t>
      </w:r>
    </w:p>
    <w:p w14:paraId="2BAB9F5D" w14:textId="0E58DCBF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High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2019-nCoV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epithelial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cells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mucosa.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32094336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10.1038/s41368-020-0074-x]</w:t>
      </w:r>
    </w:p>
    <w:p w14:paraId="720D6BA7" w14:textId="3CB3032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Recapitulation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damage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human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ductal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organoids.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771-775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32303993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10.1007/s13238-020-00718-6]</w:t>
      </w:r>
    </w:p>
    <w:p w14:paraId="07E7E0B4" w14:textId="12A3D41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profiling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diverse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physiological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conditions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COVID-19/SARS-CoV-2.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9478-9482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32639084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10.1111/jcmm.15607]</w:t>
      </w:r>
    </w:p>
    <w:p w14:paraId="65A416C1" w14:textId="09755C8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Sinha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Schäffer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Aldape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Schiff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Ruppin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vitro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vivo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identification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approved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drugs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modify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e9628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32729248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10.15252/msb.20209628]</w:t>
      </w:r>
    </w:p>
    <w:p w14:paraId="6309E13F" w14:textId="2D8642F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Saheb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Sharif-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Askari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Saheb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Sharif-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Askari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Mdkhana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Heialy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Ratemi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Alghamdi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Abusnana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Kashour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Hamid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Halwani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expression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tissue.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4037-4041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32808185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10.1007/s00204-020-02869-1]</w:t>
      </w:r>
    </w:p>
    <w:p w14:paraId="0D1326C0" w14:textId="6E47A4E9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Tsang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Chan-Yeung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Ip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cluster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severe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syndrome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Kong.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2003;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1977-1985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12671062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10.1056/NEJMoa030666]</w:t>
      </w:r>
    </w:p>
    <w:p w14:paraId="32C246B4" w14:textId="238C192F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37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Tsang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Chow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Choi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Tso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viral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hepatitis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caused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novel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2004;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302-310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14767982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10.1002/hep.20111]</w:t>
      </w:r>
    </w:p>
    <w:p w14:paraId="621F2EA5" w14:textId="3256C5BF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Zhou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Epidemiological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characteristics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novel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pneumonia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Wuhan,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China: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descriptive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507-513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32007143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614D662D" w14:textId="20396EF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39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Kulkarni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Kumar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Tevethia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HV,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Arab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Candia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Talukdar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Sharma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Reddy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DN.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584-599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32638436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10.1111/apt.15916]</w:t>
      </w:r>
    </w:p>
    <w:p w14:paraId="7155BE50" w14:textId="6FDB4AC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Zompo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Siena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Pompili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Ponziani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correlation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13072-13088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33378061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10.26355/eurrev_202012_24215]</w:t>
      </w:r>
    </w:p>
    <w:p w14:paraId="0172E778" w14:textId="398F3CE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Kumar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Fock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Teo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627-634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32882393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10.1016/j.aohep.2020.08.064]</w:t>
      </w:r>
    </w:p>
    <w:p w14:paraId="3026A95B" w14:textId="69CEDDE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Ghosh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MH.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involvement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667-678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32405603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10.1016/S2468-1253(20)30126-6]</w:t>
      </w:r>
    </w:p>
    <w:p w14:paraId="563BDBD4" w14:textId="34D8978F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Kumar-M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Mishra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Jha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Shukla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Choudhury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Mohindra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Mandavdhare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Dutta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Sharma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(COVID-19)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comprehensive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711-722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32623633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10.1007/s12072-020-10071-9]</w:t>
      </w:r>
    </w:p>
    <w:p w14:paraId="516D3C34" w14:textId="5FA8399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44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Youssef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Hussein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Attia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Elshazli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Omar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Zora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Farhoud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Elnahla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Shihabi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Toraih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Fawzy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Kandil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retrospective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studies.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1825-1833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32445489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10.1002/jmv.26055]</w:t>
      </w:r>
    </w:p>
    <w:p w14:paraId="66AB7380" w14:textId="373FE89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symptoms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653-661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32418852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10.1016/j.clinre.2020.04.012]</w:t>
      </w:r>
    </w:p>
    <w:p w14:paraId="5A7AE2D2" w14:textId="2891C666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impact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dysfunction.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33148326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10.1186/s40001-020-00454-x]</w:t>
      </w:r>
    </w:p>
    <w:p w14:paraId="375C6CA7" w14:textId="2B8787B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Samidoust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Samidoust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Samadani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Khoshdoz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hepatic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failure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Infez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96-103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32532945]</w:t>
      </w:r>
    </w:p>
    <w:p w14:paraId="6FC11EC1" w14:textId="67F404FC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Yoshida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Mendez-Sanchez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Levi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Sandri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Teschke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Romeiro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Shukla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Incidence,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abnormal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biochemical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tests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621-637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32710250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10.1007/s12072-020-10074-6]</w:t>
      </w:r>
    </w:p>
    <w:p w14:paraId="5EC5B504" w14:textId="0C7ABD35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49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Mantovani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Beatrice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Dalbeni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prevalence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1316-1320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32329563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10.1111/</w:t>
      </w:r>
      <w:r w:rsidR="00F30469" w:rsidRPr="00291035">
        <w:rPr>
          <w:rFonts w:ascii="Book Antiqua" w:eastAsia="Book Antiqua" w:hAnsi="Book Antiqua" w:cs="Book Antiqua"/>
          <w:color w:val="000000"/>
        </w:rPr>
        <w:t>l</w:t>
      </w:r>
      <w:r w:rsidRPr="00291035">
        <w:rPr>
          <w:rFonts w:ascii="Book Antiqua" w:eastAsia="Book Antiqua" w:hAnsi="Book Antiqua" w:cs="Book Antiqua"/>
          <w:color w:val="000000"/>
        </w:rPr>
        <w:t>iv.14465]</w:t>
      </w:r>
    </w:p>
    <w:p w14:paraId="61BE51AA" w14:textId="5762890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Sultan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Altayar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Siddique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Davitkov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Feuerstein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Falck-Ytter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HB;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AGA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Institute.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Electronic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address: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ewilson@gastro.org.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AGA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Institute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Rapid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Gastrointestinal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Manifestations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International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Data,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Recommendations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Consultative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Management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320-334.e27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32407808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10.1053/j.gastro.2020.05.001]</w:t>
      </w:r>
    </w:p>
    <w:p w14:paraId="5D4FC039" w14:textId="096FD2C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51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acute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respiratory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syndrome.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420-422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32085846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10.1016/S2213-2600(20)30076-X]</w:t>
      </w:r>
    </w:p>
    <w:p w14:paraId="578E1FE6" w14:textId="791E09C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Wichmann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Sperhake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Steurer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Edler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Heinemann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Heinrich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Mushumba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Kniep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Schröder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Burdelski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Nierhaus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Frings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Pfefferle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Becker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Bredereke-Wiedling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Weerth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Paschen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Sheikhzadeh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-Eggers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Stang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Schmiedel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Bokemeyer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Addo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Aepfelbacher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Püschel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Kluge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Autopsy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Findings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Venous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Thromboembolism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Cohort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268-277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32374815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10.7326/M20-2003]</w:t>
      </w:r>
    </w:p>
    <w:p w14:paraId="026AA88E" w14:textId="501800E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Pathological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novel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(COVID-19)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through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postmortem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biopsies.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1007-1014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32291399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10.1038/s41379-020-0536-x]</w:t>
      </w:r>
    </w:p>
    <w:p w14:paraId="50D0F593" w14:textId="6797AD9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Tabary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Khanmohammadi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Araghi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Dadkhahfar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Tavangar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SM.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features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concise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153097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32825963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10.1016/j.prp.2020.153097]</w:t>
      </w:r>
    </w:p>
    <w:p w14:paraId="7B69E5C3" w14:textId="4330470E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Luo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Cui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[A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pathological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report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three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minimal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invasive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autopsies].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Za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411-417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32172546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10.3760/cma.j.cn112151-20200312-00193]</w:t>
      </w:r>
    </w:p>
    <w:p w14:paraId="28A0671F" w14:textId="57017C4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Choudhury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Abd-Elsalam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Cua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Putcharoen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Kaewdech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Treeprasertsuk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Wejnaruemarn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Baatarkhuu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Alonzo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Chinbayar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Loho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Yokosuka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Jafri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Anand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Esmail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Khalaf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Chuang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lastRenderedPageBreak/>
        <w:t>WL,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Soin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Garg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Kalista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Batsukh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Purnomo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Dara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VP,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Rathi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Shukla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Sharma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APASL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Task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Force,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APASL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Spectrum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(APCOLIS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Study-NCT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04345640).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APCOLIS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(APASL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Injury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Spectrum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Study).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690-700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32623632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10.1007/s12072-020-10072-8]</w:t>
      </w:r>
    </w:p>
    <w:p w14:paraId="2CA0DEB7" w14:textId="392B406A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Marjot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Cook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Abd-Elsalam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Aloman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Armstrong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Brenner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Cargill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Catana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Dhanasekaran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Eshraghian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García-Juárez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Gill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Jones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Kennedy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Marshall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Matthews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Mells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Mercer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Perumalswami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PV,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Avitabile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Ufere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Barnes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Barritt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4th,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Webb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GJ.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following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infection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chronic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international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registry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567-577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935"/>
      <w:bookmarkStart w:id="17" w:name="OLE_LINK2936"/>
      <w:r w:rsidRPr="00291035">
        <w:rPr>
          <w:rFonts w:ascii="Book Antiqua" w:eastAsia="Book Antiqua" w:hAnsi="Book Antiqua" w:cs="Book Antiqua"/>
          <w:color w:val="000000"/>
        </w:rPr>
        <w:t>33035628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bookmarkEnd w:id="16"/>
      <w:bookmarkEnd w:id="17"/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10.1016/j.jhep.2021.09.024]</w:t>
      </w:r>
    </w:p>
    <w:p w14:paraId="328CCCC7" w14:textId="7C682D7C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Kweon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Tak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JG,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Lee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Suh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JI,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Chung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Clinical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outcomes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coronavirus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multicenter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study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South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Korea.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562-576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33053932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10.3350/cmh.2020.0126]</w:t>
      </w:r>
    </w:p>
    <w:p w14:paraId="5E98ADE8" w14:textId="7B274C7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59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Váncsa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Hegyi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Zádori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Szakó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Vörhendi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Ocskay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Földi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Dembrovszky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Dömötör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Jánosi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Rakonczay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Jr,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Hartmann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Horváth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Erőss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Kiss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Szakács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Németh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Hegyi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Pár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Pre-existing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Diseases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On-Admission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Liver-Related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Laboratory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Tests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Accuracy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Meta-Analysis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Systematic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572115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33282888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10.3389/fmed.2020.572115]</w:t>
      </w:r>
    </w:p>
    <w:p w14:paraId="22547F4A" w14:textId="1B983B0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60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Vaduganathan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Michel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McMurray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JJV,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Pfeffer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Solomon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Renin-Angiotensin-Aldosterone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Inhibitors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1653-1659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32227760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10.1056/NEJMsr2005760]</w:t>
      </w:r>
    </w:p>
    <w:p w14:paraId="1EA403D7" w14:textId="3391A3AE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lastRenderedPageBreak/>
        <w:t>61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Danser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AHJ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Epstein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Batlle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Pandemic: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Evidence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Abandon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Blockers.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1382-1385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32208987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10.1161/HYPERTENSIONAHA.120.15082]</w:t>
      </w:r>
    </w:p>
    <w:p w14:paraId="15340D4D" w14:textId="3B261EF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62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Gheblawi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Viveiros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Nguyen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JC,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Turner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Raizada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MK,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Grant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MB,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Oudit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SARS-CoV-2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Renin-Angiotensin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System: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Celebrating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Anniversary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Discovery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Circ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1456-1474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32264791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10.1161/CIRCRESAHA.120.317015]</w:t>
      </w:r>
    </w:p>
    <w:p w14:paraId="08EEED50" w14:textId="0A87459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63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Yuan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Jiang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Q,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Zou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effects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angiotensin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type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receptor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blockers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regulation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ACE-AngII-AT1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ACE2-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Ang(</w:t>
      </w:r>
      <w:proofErr w:type="gramEnd"/>
      <w:r w:rsidRPr="00291035">
        <w:rPr>
          <w:rFonts w:ascii="Book Antiqua" w:eastAsia="Book Antiqua" w:hAnsi="Book Antiqua" w:cs="Book Antiqua"/>
          <w:color w:val="000000"/>
        </w:rPr>
        <w:t>1-7)-Mas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axes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pressure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overload-induced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cardiac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remodeling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male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mice.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2016;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180-190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27210827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10.1016/j.yjmcc.2016.05.012]</w:t>
      </w:r>
    </w:p>
    <w:p w14:paraId="5112BB3A" w14:textId="6F45B00D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91035">
        <w:rPr>
          <w:rFonts w:ascii="Book Antiqua" w:eastAsia="Book Antiqua" w:hAnsi="Book Antiqua" w:cs="Book Antiqua"/>
          <w:color w:val="000000"/>
        </w:rPr>
        <w:t>64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b/>
          <w:bCs/>
          <w:color w:val="000000"/>
        </w:rPr>
        <w:t>Drager</w:t>
      </w:r>
      <w:proofErr w:type="spell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Pio</w:t>
      </w:r>
      <w:proofErr w:type="spellEnd"/>
      <w:r w:rsidRPr="00291035">
        <w:rPr>
          <w:rFonts w:ascii="Book Antiqua" w:eastAsia="Book Antiqua" w:hAnsi="Book Antiqua" w:cs="Book Antiqua"/>
          <w:color w:val="000000"/>
        </w:rPr>
        <w:t>-Abreu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Lopes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Bortolotto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LA.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Hypertension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Risk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Factor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Poor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Prognosis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Pandemic?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43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32535705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10.1007/s11906-020-01057-x]</w:t>
      </w:r>
    </w:p>
    <w:p w14:paraId="56A57D81" w14:textId="1ED7321C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65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91035">
        <w:rPr>
          <w:rFonts w:ascii="Book Antiqua" w:eastAsia="Book Antiqua" w:hAnsi="Book Antiqua" w:cs="Book Antiqua"/>
          <w:color w:val="000000"/>
        </w:rPr>
        <w:t>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XL,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JL,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Liu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Metformin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Treatment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Associated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Decreased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Mortality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COVID-19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Patients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Diabetes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Retrospective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Analysis.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 w:rsidRPr="002910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2020;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291035">
        <w:rPr>
          <w:rFonts w:ascii="Book Antiqua" w:eastAsia="Book Antiqua" w:hAnsi="Book Antiqua" w:cs="Book Antiqua"/>
          <w:color w:val="000000"/>
        </w:rPr>
        <w:t>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69-72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[PMID: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32446312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DOI: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10.4269/ajtmh.20-0375]</w:t>
      </w:r>
    </w:p>
    <w:bookmarkEnd w:id="11"/>
    <w:bookmarkEnd w:id="12"/>
    <w:bookmarkEnd w:id="13"/>
    <w:p w14:paraId="25CCAB1C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91035" w:rsidSect="00143C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CD2491" w14:textId="7777777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400AEE2" w14:textId="7E9B7520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author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declares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conflict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interest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article.</w:t>
      </w:r>
    </w:p>
    <w:p w14:paraId="3941F6A2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9F7939" w14:textId="0FC67FC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bCs/>
          <w:color w:val="000000"/>
        </w:rPr>
        <w:t>Open-Access:</w:t>
      </w:r>
      <w:bookmarkStart w:id="18" w:name="OLE_LINK1"/>
      <w:bookmarkStart w:id="19" w:name="OLE_LINK2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article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open-access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article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was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selected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in-house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editor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fully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peer-reviewed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external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reviewers.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distributed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accordance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with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Creative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Commons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Attribution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103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(CC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BY-NC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4.0)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license,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which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permits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others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to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distribute,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remix,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adapt,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build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upon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non-commercially,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license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their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derivative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works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on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different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terms,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provided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original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work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properly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cited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use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is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non-commercial.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See: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AFA476A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8"/>
    <w:bookmarkEnd w:id="19"/>
    <w:p w14:paraId="5E9280D4" w14:textId="1B68B1C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Manuscript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source: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Invited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</w:rPr>
        <w:t>manuscript</w:t>
      </w:r>
    </w:p>
    <w:p w14:paraId="35651E42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468A45" w14:textId="5F44327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Peer-review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started: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January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28,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</w:t>
      </w:r>
    </w:p>
    <w:p w14:paraId="443326B3" w14:textId="0F0FEF6D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First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decision: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February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24,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2021</w:t>
      </w:r>
    </w:p>
    <w:p w14:paraId="79606C41" w14:textId="36D3A33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Article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in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press: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5AF4" w:rsidRPr="00291035">
        <w:rPr>
          <w:rFonts w:ascii="Book Antiqua" w:eastAsia="Book Antiqua" w:hAnsi="Book Antiqua" w:cs="Book Antiqua"/>
          <w:color w:val="000000"/>
        </w:rPr>
        <w:t>April 26, 2021</w:t>
      </w:r>
    </w:p>
    <w:p w14:paraId="0325F88C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BCBAF2" w14:textId="2880DE17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Specialty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type: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Medicine,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</w:rPr>
        <w:t>general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</w:rPr>
        <w:t>internal</w:t>
      </w:r>
    </w:p>
    <w:p w14:paraId="7D5CB692" w14:textId="64A5B96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Country/Territory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origin: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Thailand</w:t>
      </w:r>
    </w:p>
    <w:p w14:paraId="68D4FC04" w14:textId="7A338293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t>Peer-review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report’s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scientific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quality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D524C1" w14:textId="31F31C9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Grade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(Excellent):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</w:t>
      </w:r>
    </w:p>
    <w:p w14:paraId="04EFF142" w14:textId="6CBA526D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Grade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B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(Very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good):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</w:t>
      </w:r>
    </w:p>
    <w:p w14:paraId="04072F19" w14:textId="0A92720B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Grade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(Good):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C</w:t>
      </w:r>
    </w:p>
    <w:p w14:paraId="22A67573" w14:textId="4EB15388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Grade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(Fair):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</w:t>
      </w:r>
    </w:p>
    <w:p w14:paraId="66F48C6D" w14:textId="640FBE11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eastAsia="Book Antiqua" w:hAnsi="Book Antiqua" w:cs="Book Antiqua"/>
          <w:color w:val="000000"/>
        </w:rPr>
        <w:t>Grade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E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(Poor):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0</w:t>
      </w:r>
    </w:p>
    <w:p w14:paraId="4EBC0EA8" w14:textId="77777777" w:rsidR="00A77B3E" w:rsidRPr="00291035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8B33CD" w14:textId="52AEBD12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91035" w:rsidSect="00143C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91035">
        <w:rPr>
          <w:rFonts w:ascii="Book Antiqua" w:eastAsia="Book Antiqua" w:hAnsi="Book Antiqua" w:cs="Book Antiqua"/>
          <w:b/>
          <w:color w:val="000000"/>
        </w:rPr>
        <w:t>P-Reviewer: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Deng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K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S-Editor: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Zhang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color w:val="000000"/>
        </w:rPr>
        <w:t>L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L-Editor:</w:t>
      </w:r>
      <w:r w:rsidR="002419AA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419AA" w:rsidRPr="00291035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P-Editor: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5392" w:rsidRPr="00291035">
        <w:rPr>
          <w:rFonts w:ascii="Book Antiqua" w:eastAsia="Book Antiqua" w:hAnsi="Book Antiqua" w:cs="Book Antiqua"/>
          <w:color w:val="000000"/>
        </w:rPr>
        <w:t>Xing YX</w:t>
      </w:r>
    </w:p>
    <w:p w14:paraId="3A4F011C" w14:textId="3D8829B4" w:rsidR="00A77B3E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103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30469" w:rsidRPr="002910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color w:val="000000"/>
        </w:rPr>
        <w:t>Legends</w:t>
      </w:r>
    </w:p>
    <w:p w14:paraId="0D95CD89" w14:textId="23E9679A" w:rsidR="0008358D" w:rsidRPr="00291035" w:rsidRDefault="0008358D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91035">
        <w:rPr>
          <w:rFonts w:ascii="Book Antiqua" w:hAnsi="Book Antiqua"/>
          <w:noProof/>
          <w:lang w:eastAsia="zh-CN"/>
        </w:rPr>
        <w:drawing>
          <wp:inline distT="0" distB="0" distL="0" distR="0" wp14:anchorId="4C3856E9" wp14:editId="2CDD4004">
            <wp:extent cx="5943600" cy="4274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6D83" w14:textId="44110618" w:rsidR="00D83E99" w:rsidRPr="00291035" w:rsidRDefault="0003714C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0" w:name="OLE_LINK14"/>
      <w:bookmarkStart w:id="21" w:name="OLE_LINK15"/>
      <w:r w:rsidRPr="0029103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1035">
        <w:rPr>
          <w:rFonts w:ascii="Book Antiqua" w:eastAsia="Book Antiqua" w:hAnsi="Book Antiqua" w:cs="Book Antiqua"/>
          <w:b/>
          <w:bCs/>
          <w:color w:val="000000"/>
        </w:rPr>
        <w:t>The</w:t>
      </w:r>
      <w:proofErr w:type="gramEnd"/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renin-angiotensin-aldosterone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782C" w:rsidRPr="0029103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291035">
        <w:rPr>
          <w:rFonts w:ascii="Book Antiqua" w:eastAsia="Book Antiqua" w:hAnsi="Book Antiqua" w:cs="Book Antiqua"/>
          <w:b/>
          <w:bCs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291035"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29103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291035">
        <w:rPr>
          <w:rFonts w:ascii="Book Antiqua" w:eastAsia="Book Antiqua" w:hAnsi="Book Antiqua" w:cs="Book Antiqua"/>
          <w:b/>
          <w:bCs/>
          <w:color w:val="000000"/>
        </w:rPr>
        <w:t>.</w:t>
      </w:r>
      <w:r w:rsidR="00F30469" w:rsidRPr="002910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bCs/>
          <w:color w:val="000000"/>
        </w:rPr>
        <w:t>ACE:</w:t>
      </w:r>
      <w:r w:rsidR="00F30469" w:rsidRPr="0029103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</w:rPr>
        <w:t>Angiotensin-converting</w:t>
      </w:r>
      <w:r w:rsidR="00F30469" w:rsidRPr="00291035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291035">
        <w:rPr>
          <w:rFonts w:ascii="Book Antiqua" w:eastAsia="Book Antiqua" w:hAnsi="Book Antiqua" w:cs="Book Antiqua"/>
          <w:color w:val="000000"/>
        </w:rPr>
        <w:t>enzyme.</w:t>
      </w:r>
      <w:bookmarkEnd w:id="20"/>
      <w:bookmarkEnd w:id="21"/>
    </w:p>
    <w:p w14:paraId="5C2396D1" w14:textId="77777777" w:rsidR="00D83E99" w:rsidRPr="00291035" w:rsidRDefault="00D83E99">
      <w:pPr>
        <w:rPr>
          <w:rFonts w:ascii="Book Antiqua" w:eastAsia="Book Antiqua" w:hAnsi="Book Antiqua" w:cs="Book Antiqua"/>
          <w:color w:val="000000"/>
        </w:rPr>
      </w:pPr>
      <w:r w:rsidRPr="00291035">
        <w:rPr>
          <w:rFonts w:ascii="Book Antiqua" w:eastAsia="Book Antiqua" w:hAnsi="Book Antiqua" w:cs="Book Antiqua"/>
          <w:color w:val="000000"/>
        </w:rPr>
        <w:br w:type="page"/>
      </w:r>
    </w:p>
    <w:p w14:paraId="12B68E7A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0084A38F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7B835221" w14:textId="77777777" w:rsidR="00D83E99" w:rsidRPr="00291035" w:rsidRDefault="00D83E99" w:rsidP="00D83E99">
      <w:pPr>
        <w:jc w:val="center"/>
        <w:rPr>
          <w:rFonts w:ascii="Book Antiqua" w:hAnsi="Book Antiqua"/>
        </w:rPr>
      </w:pPr>
      <w:r w:rsidRPr="00291035">
        <w:rPr>
          <w:rFonts w:ascii="Book Antiqua" w:hAnsi="Book Antiqua"/>
          <w:noProof/>
        </w:rPr>
        <w:drawing>
          <wp:inline distT="0" distB="0" distL="0" distR="0" wp14:anchorId="0BB09E5C" wp14:editId="11B7EA7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AA22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3375C02E" w14:textId="77777777" w:rsidR="00D83E99" w:rsidRPr="00291035" w:rsidRDefault="00D83E99" w:rsidP="00D83E9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9103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75A78DB" w14:textId="77777777" w:rsidR="00D83E99" w:rsidRPr="00291035" w:rsidRDefault="00D83E99" w:rsidP="00D83E9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9103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4DB42B8" w14:textId="77777777" w:rsidR="00D83E99" w:rsidRPr="00291035" w:rsidRDefault="00D83E99" w:rsidP="00D83E9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9103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9B92E5" w14:textId="77777777" w:rsidR="00D83E99" w:rsidRPr="00291035" w:rsidRDefault="00D83E99" w:rsidP="00D83E9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9103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D5F0D04" w14:textId="77777777" w:rsidR="00D83E99" w:rsidRPr="00291035" w:rsidRDefault="00D83E99" w:rsidP="00D83E9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9103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9103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2834AA4" w14:textId="77777777" w:rsidR="00D83E99" w:rsidRPr="00291035" w:rsidRDefault="00D83E99" w:rsidP="00D83E99">
      <w:pPr>
        <w:jc w:val="center"/>
        <w:rPr>
          <w:rFonts w:ascii="Book Antiqua" w:hAnsi="Book Antiqua"/>
        </w:rPr>
      </w:pPr>
      <w:r w:rsidRPr="0029103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D3368B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3EE0387B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3AE39330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47925D5F" w14:textId="77777777" w:rsidR="00D83E99" w:rsidRPr="00291035" w:rsidRDefault="00D83E99" w:rsidP="00D83E99">
      <w:pPr>
        <w:jc w:val="center"/>
        <w:rPr>
          <w:rFonts w:ascii="Book Antiqua" w:hAnsi="Book Antiqua"/>
        </w:rPr>
      </w:pPr>
      <w:r w:rsidRPr="00291035">
        <w:rPr>
          <w:rFonts w:ascii="Book Antiqua" w:hAnsi="Book Antiqua"/>
          <w:noProof/>
        </w:rPr>
        <w:drawing>
          <wp:inline distT="0" distB="0" distL="0" distR="0" wp14:anchorId="57AAB62A" wp14:editId="4B1B486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E38C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1D6A4A21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11AA866B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55F373B6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77AAF9D6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753F7615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1EA200B0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4801198F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6D3E5093" w14:textId="77777777" w:rsidR="00D83E99" w:rsidRPr="00291035" w:rsidRDefault="00D83E99" w:rsidP="00D83E99">
      <w:pPr>
        <w:jc w:val="center"/>
        <w:rPr>
          <w:rFonts w:ascii="Book Antiqua" w:hAnsi="Book Antiqua"/>
        </w:rPr>
      </w:pPr>
    </w:p>
    <w:p w14:paraId="0AA5F823" w14:textId="77777777" w:rsidR="00D83E99" w:rsidRPr="00291035" w:rsidRDefault="00D83E99" w:rsidP="00D83E99">
      <w:pPr>
        <w:jc w:val="right"/>
        <w:rPr>
          <w:rFonts w:ascii="Book Antiqua" w:hAnsi="Book Antiqua"/>
          <w:color w:val="000000" w:themeColor="text1"/>
        </w:rPr>
      </w:pPr>
    </w:p>
    <w:p w14:paraId="1C2D1D60" w14:textId="77777777" w:rsidR="00D83E99" w:rsidRPr="00763D22" w:rsidRDefault="00D83E99" w:rsidP="00D83E99">
      <w:pPr>
        <w:jc w:val="center"/>
        <w:rPr>
          <w:rFonts w:ascii="Book Antiqua" w:hAnsi="Book Antiqua"/>
          <w:color w:val="000000" w:themeColor="text1"/>
        </w:rPr>
      </w:pPr>
      <w:r w:rsidRPr="0029103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291035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9103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91035">
        <w:rPr>
          <w:rFonts w:ascii="Book Antiqua" w:hAnsi="Book Antiqua"/>
          <w:color w:val="000000" w:themeColor="text1"/>
        </w:rPr>
        <w:fldChar w:fldCharType="begin"/>
      </w:r>
      <w:r w:rsidRPr="00291035">
        <w:rPr>
          <w:rFonts w:ascii="Book Antiqua" w:hAnsi="Book Antiqua"/>
          <w:color w:val="000000" w:themeColor="text1"/>
        </w:rPr>
        <w:instrText xml:space="preserve"> ADDIN EN.REFLIST </w:instrText>
      </w:r>
      <w:r w:rsidRPr="00291035">
        <w:rPr>
          <w:rFonts w:ascii="Book Antiqua" w:hAnsi="Book Antiqua"/>
          <w:color w:val="000000" w:themeColor="text1"/>
        </w:rPr>
        <w:fldChar w:fldCharType="end"/>
      </w:r>
      <w:bookmarkStart w:id="22" w:name="_GoBack"/>
      <w:bookmarkEnd w:id="22"/>
    </w:p>
    <w:p w14:paraId="09CCAA5E" w14:textId="77777777" w:rsidR="00D83E99" w:rsidRPr="00D1521C" w:rsidRDefault="00D83E99" w:rsidP="00D83E99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70E2B39A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</w:p>
    <w:sectPr w:rsidR="00A77B3E" w:rsidRPr="005206F9" w:rsidSect="00143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CC5B" w14:textId="77777777" w:rsidR="00320E34" w:rsidRDefault="00320E34" w:rsidP="005271BF">
      <w:r>
        <w:separator/>
      </w:r>
    </w:p>
  </w:endnote>
  <w:endnote w:type="continuationSeparator" w:id="0">
    <w:p w14:paraId="26AE125B" w14:textId="77777777" w:rsidR="00320E34" w:rsidRDefault="00320E34" w:rsidP="005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501008540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4AF3" w14:textId="6B21323A" w:rsidR="005271BF" w:rsidRPr="00AF5DB9" w:rsidRDefault="005271BF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F5DB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4200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91035">
              <w:rPr>
                <w:rFonts w:ascii="Book Antiqua" w:hAnsi="Book Antiqua"/>
                <w:noProof/>
                <w:sz w:val="24"/>
                <w:szCs w:val="24"/>
              </w:rPr>
              <w:t>28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F5DB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4200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91035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7F2266A" w14:textId="77777777" w:rsidR="005271BF" w:rsidRDefault="005271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E36B" w14:textId="77777777" w:rsidR="00320E34" w:rsidRDefault="00320E34" w:rsidP="005271BF">
      <w:r>
        <w:separator/>
      </w:r>
    </w:p>
  </w:footnote>
  <w:footnote w:type="continuationSeparator" w:id="0">
    <w:p w14:paraId="05012629" w14:textId="77777777" w:rsidR="00320E34" w:rsidRDefault="00320E34" w:rsidP="0052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14C"/>
    <w:rsid w:val="000708E7"/>
    <w:rsid w:val="0008358D"/>
    <w:rsid w:val="000E3A0C"/>
    <w:rsid w:val="001023FF"/>
    <w:rsid w:val="00105F38"/>
    <w:rsid w:val="00143C22"/>
    <w:rsid w:val="00173295"/>
    <w:rsid w:val="001F5EDF"/>
    <w:rsid w:val="002419AA"/>
    <w:rsid w:val="00263F90"/>
    <w:rsid w:val="00285392"/>
    <w:rsid w:val="00291035"/>
    <w:rsid w:val="002E1549"/>
    <w:rsid w:val="002F753E"/>
    <w:rsid w:val="00305333"/>
    <w:rsid w:val="00320E34"/>
    <w:rsid w:val="00360259"/>
    <w:rsid w:val="003A241C"/>
    <w:rsid w:val="003B7EEA"/>
    <w:rsid w:val="003E7237"/>
    <w:rsid w:val="0045782C"/>
    <w:rsid w:val="00466DBA"/>
    <w:rsid w:val="00471E21"/>
    <w:rsid w:val="004C0662"/>
    <w:rsid w:val="00513888"/>
    <w:rsid w:val="005206F9"/>
    <w:rsid w:val="005271BF"/>
    <w:rsid w:val="00551A0A"/>
    <w:rsid w:val="005C5000"/>
    <w:rsid w:val="006012C7"/>
    <w:rsid w:val="00637968"/>
    <w:rsid w:val="006A303E"/>
    <w:rsid w:val="006D4B2C"/>
    <w:rsid w:val="006F46BD"/>
    <w:rsid w:val="007638ED"/>
    <w:rsid w:val="00813C21"/>
    <w:rsid w:val="00840995"/>
    <w:rsid w:val="00875AF4"/>
    <w:rsid w:val="0089738B"/>
    <w:rsid w:val="008D311D"/>
    <w:rsid w:val="0092067B"/>
    <w:rsid w:val="009A3639"/>
    <w:rsid w:val="009B3094"/>
    <w:rsid w:val="00A40EC4"/>
    <w:rsid w:val="00A77B3E"/>
    <w:rsid w:val="00AF5DB9"/>
    <w:rsid w:val="00B164FB"/>
    <w:rsid w:val="00B46FB5"/>
    <w:rsid w:val="00C45E7C"/>
    <w:rsid w:val="00C761B6"/>
    <w:rsid w:val="00CA2A55"/>
    <w:rsid w:val="00CC51CD"/>
    <w:rsid w:val="00D422F0"/>
    <w:rsid w:val="00D83E99"/>
    <w:rsid w:val="00DE4C61"/>
    <w:rsid w:val="00E31E38"/>
    <w:rsid w:val="00F30469"/>
    <w:rsid w:val="00F42004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6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BF"/>
    <w:rPr>
      <w:sz w:val="18"/>
      <w:szCs w:val="18"/>
    </w:rPr>
  </w:style>
  <w:style w:type="paragraph" w:customStyle="1" w:styleId="1">
    <w:name w:val="正文1"/>
    <w:rsid w:val="0008358D"/>
    <w:pPr>
      <w:jc w:val="both"/>
    </w:pPr>
    <w:rPr>
      <w:rFonts w:eastAsia="宋体"/>
      <w:kern w:val="2"/>
      <w:sz w:val="21"/>
      <w:szCs w:val="21"/>
      <w:lang w:eastAsia="zh-CN"/>
    </w:rPr>
  </w:style>
  <w:style w:type="character" w:styleId="a5">
    <w:name w:val="annotation reference"/>
    <w:basedOn w:val="a0"/>
    <w:semiHidden/>
    <w:unhideWhenUsed/>
    <w:rsid w:val="000E3A0C"/>
    <w:rPr>
      <w:sz w:val="16"/>
      <w:szCs w:val="18"/>
    </w:rPr>
  </w:style>
  <w:style w:type="paragraph" w:styleId="a6">
    <w:name w:val="annotation text"/>
    <w:basedOn w:val="a"/>
    <w:link w:val="Char1"/>
    <w:semiHidden/>
    <w:unhideWhenUsed/>
    <w:rsid w:val="000E3A0C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0E3A0C"/>
  </w:style>
  <w:style w:type="paragraph" w:styleId="a7">
    <w:name w:val="annotation subject"/>
    <w:basedOn w:val="a6"/>
    <w:next w:val="a6"/>
    <w:link w:val="Char2"/>
    <w:semiHidden/>
    <w:unhideWhenUsed/>
    <w:rsid w:val="000E3A0C"/>
    <w:rPr>
      <w:b/>
      <w:bCs/>
    </w:rPr>
  </w:style>
  <w:style w:type="character" w:customStyle="1" w:styleId="Char2">
    <w:name w:val="批注主题 Char"/>
    <w:basedOn w:val="Char1"/>
    <w:link w:val="a7"/>
    <w:semiHidden/>
    <w:rsid w:val="000E3A0C"/>
    <w:rPr>
      <w:b/>
      <w:bCs/>
    </w:rPr>
  </w:style>
  <w:style w:type="paragraph" w:styleId="a8">
    <w:name w:val="Balloon Text"/>
    <w:basedOn w:val="a"/>
    <w:link w:val="Char3"/>
    <w:rsid w:val="000E3A0C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rsid w:val="000E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BF"/>
    <w:rPr>
      <w:sz w:val="18"/>
      <w:szCs w:val="18"/>
    </w:rPr>
  </w:style>
  <w:style w:type="paragraph" w:customStyle="1" w:styleId="1">
    <w:name w:val="正文1"/>
    <w:rsid w:val="0008358D"/>
    <w:pPr>
      <w:jc w:val="both"/>
    </w:pPr>
    <w:rPr>
      <w:rFonts w:eastAsia="宋体"/>
      <w:kern w:val="2"/>
      <w:sz w:val="21"/>
      <w:szCs w:val="21"/>
      <w:lang w:eastAsia="zh-CN"/>
    </w:rPr>
  </w:style>
  <w:style w:type="character" w:styleId="a5">
    <w:name w:val="annotation reference"/>
    <w:basedOn w:val="a0"/>
    <w:semiHidden/>
    <w:unhideWhenUsed/>
    <w:rsid w:val="000E3A0C"/>
    <w:rPr>
      <w:sz w:val="16"/>
      <w:szCs w:val="18"/>
    </w:rPr>
  </w:style>
  <w:style w:type="paragraph" w:styleId="a6">
    <w:name w:val="annotation text"/>
    <w:basedOn w:val="a"/>
    <w:link w:val="Char1"/>
    <w:semiHidden/>
    <w:unhideWhenUsed/>
    <w:rsid w:val="000E3A0C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0E3A0C"/>
  </w:style>
  <w:style w:type="paragraph" w:styleId="a7">
    <w:name w:val="annotation subject"/>
    <w:basedOn w:val="a6"/>
    <w:next w:val="a6"/>
    <w:link w:val="Char2"/>
    <w:semiHidden/>
    <w:unhideWhenUsed/>
    <w:rsid w:val="000E3A0C"/>
    <w:rPr>
      <w:b/>
      <w:bCs/>
    </w:rPr>
  </w:style>
  <w:style w:type="character" w:customStyle="1" w:styleId="Char2">
    <w:name w:val="批注主题 Char"/>
    <w:basedOn w:val="Char1"/>
    <w:link w:val="a7"/>
    <w:semiHidden/>
    <w:rsid w:val="000E3A0C"/>
    <w:rPr>
      <w:b/>
      <w:bCs/>
    </w:rPr>
  </w:style>
  <w:style w:type="paragraph" w:styleId="a8">
    <w:name w:val="Balloon Text"/>
    <w:basedOn w:val="a"/>
    <w:link w:val="Char3"/>
    <w:rsid w:val="000E3A0C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rsid w:val="000E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邢燕霞</cp:lastModifiedBy>
  <cp:revision>6</cp:revision>
  <dcterms:created xsi:type="dcterms:W3CDTF">2021-05-14T19:46:00Z</dcterms:created>
  <dcterms:modified xsi:type="dcterms:W3CDTF">2021-05-18T07:21:00Z</dcterms:modified>
</cp:coreProperties>
</file>