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9F34A"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color w:val="000000"/>
        </w:rPr>
        <w:t xml:space="preserve">Name of Journal: </w:t>
      </w:r>
      <w:r w:rsidRPr="002215D5">
        <w:rPr>
          <w:rFonts w:ascii="Book Antiqua" w:eastAsia="Book Antiqua" w:hAnsi="Book Antiqua" w:cs="Book Antiqua"/>
          <w:i/>
          <w:color w:val="000000"/>
        </w:rPr>
        <w:t>World Journal of Gastroenterology</w:t>
      </w:r>
    </w:p>
    <w:p w14:paraId="7BD7230A"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color w:val="000000"/>
        </w:rPr>
        <w:t xml:space="preserve">Manuscript NO: </w:t>
      </w:r>
      <w:r w:rsidRPr="002215D5">
        <w:rPr>
          <w:rFonts w:ascii="Book Antiqua" w:eastAsia="Book Antiqua" w:hAnsi="Book Antiqua" w:cs="Book Antiqua"/>
          <w:color w:val="000000"/>
        </w:rPr>
        <w:t>63490</w:t>
      </w:r>
    </w:p>
    <w:p w14:paraId="07682994"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color w:val="000000"/>
        </w:rPr>
        <w:t xml:space="preserve">Manuscript Type: </w:t>
      </w:r>
      <w:bookmarkStart w:id="0" w:name="OLE_LINK138"/>
      <w:bookmarkStart w:id="1" w:name="OLE_LINK139"/>
      <w:r w:rsidRPr="002215D5">
        <w:rPr>
          <w:rFonts w:ascii="Book Antiqua" w:eastAsia="Book Antiqua" w:hAnsi="Book Antiqua" w:cs="Book Antiqua"/>
          <w:color w:val="000000"/>
        </w:rPr>
        <w:t>MINIREVIEWS</w:t>
      </w:r>
      <w:bookmarkEnd w:id="0"/>
      <w:bookmarkEnd w:id="1"/>
    </w:p>
    <w:p w14:paraId="420FB874" w14:textId="77777777" w:rsidR="00A77B3E" w:rsidRPr="002215D5" w:rsidRDefault="00A77B3E" w:rsidP="002215D5">
      <w:pPr>
        <w:spacing w:line="360" w:lineRule="auto"/>
        <w:jc w:val="both"/>
        <w:rPr>
          <w:rFonts w:ascii="Book Antiqua" w:hAnsi="Book Antiqua"/>
        </w:rPr>
      </w:pPr>
    </w:p>
    <w:p w14:paraId="702421FD"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bCs/>
          <w:caps/>
          <w:color w:val="000000"/>
        </w:rPr>
        <w:t>i</w:t>
      </w:r>
      <w:r w:rsidRPr="002215D5">
        <w:rPr>
          <w:rFonts w:ascii="Book Antiqua" w:eastAsia="Book Antiqua" w:hAnsi="Book Antiqua" w:cs="Book Antiqua"/>
          <w:b/>
          <w:bCs/>
          <w:color w:val="000000"/>
        </w:rPr>
        <w:t>mpact of COVID-19 on inflammatory bowel disease practice and perspectives for the future</w:t>
      </w:r>
    </w:p>
    <w:p w14:paraId="3538DDAC" w14:textId="77777777" w:rsidR="00A77B3E" w:rsidRPr="002215D5" w:rsidRDefault="00A77B3E" w:rsidP="002215D5">
      <w:pPr>
        <w:spacing w:line="360" w:lineRule="auto"/>
        <w:jc w:val="both"/>
        <w:rPr>
          <w:rFonts w:ascii="Book Antiqua" w:hAnsi="Book Antiqua"/>
        </w:rPr>
      </w:pPr>
    </w:p>
    <w:p w14:paraId="619CE593" w14:textId="77777777" w:rsidR="00A77B3E" w:rsidRPr="002215D5" w:rsidRDefault="002825DF" w:rsidP="002215D5">
      <w:pPr>
        <w:spacing w:line="360" w:lineRule="auto"/>
        <w:jc w:val="both"/>
        <w:rPr>
          <w:rFonts w:ascii="Book Antiqua" w:hAnsi="Book Antiqua"/>
        </w:rPr>
      </w:pPr>
      <w:r w:rsidRPr="002215D5">
        <w:rPr>
          <w:rFonts w:ascii="Book Antiqua" w:eastAsia="Book Antiqua" w:hAnsi="Book Antiqua" w:cs="Book Antiqua"/>
          <w:color w:val="000000"/>
        </w:rPr>
        <w:t>Viganò</w:t>
      </w:r>
      <w:r w:rsidRPr="002215D5">
        <w:rPr>
          <w:rFonts w:ascii="Book Antiqua" w:hAnsi="Book Antiqua" w:cs="Book Antiqua"/>
          <w:color w:val="000000"/>
          <w:lang w:eastAsia="zh-CN"/>
        </w:rPr>
        <w:t xml:space="preserve"> C </w:t>
      </w:r>
      <w:r w:rsidRPr="002215D5">
        <w:rPr>
          <w:rFonts w:ascii="Book Antiqua" w:hAnsi="Book Antiqua" w:cs="Book Antiqua"/>
          <w:i/>
          <w:color w:val="000000"/>
          <w:lang w:eastAsia="zh-CN"/>
        </w:rPr>
        <w:t>et al</w:t>
      </w:r>
      <w:r w:rsidRPr="002215D5">
        <w:rPr>
          <w:rFonts w:ascii="Book Antiqua" w:hAnsi="Book Antiqua" w:cs="Book Antiqua"/>
          <w:color w:val="000000"/>
          <w:lang w:eastAsia="zh-CN"/>
        </w:rPr>
        <w:t xml:space="preserve">. </w:t>
      </w:r>
      <w:r w:rsidR="00BF1368" w:rsidRPr="002215D5">
        <w:rPr>
          <w:rFonts w:ascii="Book Antiqua" w:eastAsia="Book Antiqua" w:hAnsi="Book Antiqua" w:cs="Book Antiqua"/>
          <w:color w:val="000000"/>
        </w:rPr>
        <w:t>COVID-19 in IBD review</w:t>
      </w:r>
    </w:p>
    <w:p w14:paraId="5B202D4A" w14:textId="77777777" w:rsidR="00A77B3E" w:rsidRPr="002215D5" w:rsidRDefault="00A77B3E" w:rsidP="002215D5">
      <w:pPr>
        <w:spacing w:line="360" w:lineRule="auto"/>
        <w:jc w:val="both"/>
        <w:rPr>
          <w:rFonts w:ascii="Book Antiqua" w:hAnsi="Book Antiqua"/>
        </w:rPr>
      </w:pPr>
    </w:p>
    <w:p w14:paraId="7C765781"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Chiara Viganò, Giacomo Mulinacci, Andrea Palermo, Donatella Barisani, Lorena Pirola, Maria Fichera, Pietro Invernizzi, Sara Massironi</w:t>
      </w:r>
    </w:p>
    <w:p w14:paraId="6307F815" w14:textId="77777777" w:rsidR="00A77B3E" w:rsidRPr="002215D5" w:rsidRDefault="00A77B3E" w:rsidP="002215D5">
      <w:pPr>
        <w:spacing w:line="360" w:lineRule="auto"/>
        <w:jc w:val="both"/>
        <w:rPr>
          <w:rFonts w:ascii="Book Antiqua" w:hAnsi="Book Antiqua"/>
        </w:rPr>
      </w:pPr>
    </w:p>
    <w:p w14:paraId="43C52029"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bCs/>
          <w:color w:val="000000"/>
        </w:rPr>
        <w:t xml:space="preserve">Chiara Viganò, Giacomo Mulinacci, Andrea Palermo, Lorena Pirola, Maria Fichera, Pietro Invernizzi, Sara Massironi, </w:t>
      </w:r>
      <w:r w:rsidRPr="002215D5">
        <w:rPr>
          <w:rFonts w:ascii="Book Antiqua" w:eastAsia="Book Antiqua" w:hAnsi="Book Antiqua" w:cs="Book Antiqua"/>
          <w:color w:val="000000"/>
        </w:rPr>
        <w:t>Division of Gastroenterology and Center for Autoimmune Liver Diseases, Department of Medicine and Surgery, University of Milano-Bicocca, Monza 20900, Italy</w:t>
      </w:r>
    </w:p>
    <w:p w14:paraId="7C6F9943" w14:textId="77777777" w:rsidR="00A77B3E" w:rsidRPr="002215D5" w:rsidRDefault="00A77B3E" w:rsidP="002215D5">
      <w:pPr>
        <w:spacing w:line="360" w:lineRule="auto"/>
        <w:jc w:val="both"/>
        <w:rPr>
          <w:rFonts w:ascii="Book Antiqua" w:hAnsi="Book Antiqua"/>
        </w:rPr>
      </w:pPr>
    </w:p>
    <w:p w14:paraId="60578D68"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bCs/>
          <w:color w:val="000000"/>
        </w:rPr>
        <w:t xml:space="preserve">Chiara Viganò, Giacomo Mulinacci, Andrea Palermo, Lorena Pirola, Maria Fichera, Pietro Invernizzi, Sara Massironi, </w:t>
      </w:r>
      <w:r w:rsidRPr="002215D5">
        <w:rPr>
          <w:rFonts w:ascii="Book Antiqua" w:eastAsia="Book Antiqua" w:hAnsi="Book Antiqua" w:cs="Book Antiqua"/>
          <w:color w:val="000000"/>
        </w:rPr>
        <w:t>European Reference Network on Hepatological Diseases, San Gerardo Hospital, Monza 20900, Italy</w:t>
      </w:r>
    </w:p>
    <w:p w14:paraId="19D8C88B" w14:textId="77777777" w:rsidR="00A77B3E" w:rsidRPr="002215D5" w:rsidRDefault="00A77B3E" w:rsidP="002215D5">
      <w:pPr>
        <w:spacing w:line="360" w:lineRule="auto"/>
        <w:jc w:val="both"/>
        <w:rPr>
          <w:rFonts w:ascii="Book Antiqua" w:hAnsi="Book Antiqua"/>
        </w:rPr>
      </w:pPr>
    </w:p>
    <w:p w14:paraId="2C923658"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bCs/>
          <w:color w:val="000000"/>
        </w:rPr>
        <w:t xml:space="preserve">Donatella Barisani, </w:t>
      </w:r>
      <w:r w:rsidRPr="002215D5">
        <w:rPr>
          <w:rFonts w:ascii="Book Antiqua" w:eastAsia="Book Antiqua" w:hAnsi="Book Antiqua" w:cs="Book Antiqua"/>
          <w:color w:val="000000"/>
        </w:rPr>
        <w:t>School of Medicine and Surgery, University of Milano-Bicocca, Monza 20900, Italy</w:t>
      </w:r>
    </w:p>
    <w:p w14:paraId="003B8A24" w14:textId="77777777" w:rsidR="00A77B3E" w:rsidRPr="002215D5" w:rsidRDefault="00A77B3E" w:rsidP="002215D5">
      <w:pPr>
        <w:spacing w:line="360" w:lineRule="auto"/>
        <w:jc w:val="both"/>
        <w:rPr>
          <w:rFonts w:ascii="Book Antiqua" w:hAnsi="Book Antiqua"/>
        </w:rPr>
      </w:pPr>
    </w:p>
    <w:p w14:paraId="072F3517" w14:textId="02CE5538"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bCs/>
          <w:color w:val="000000"/>
        </w:rPr>
        <w:t>Author contributions:</w:t>
      </w:r>
      <w:r w:rsidR="002825DF" w:rsidRPr="002215D5">
        <w:rPr>
          <w:rFonts w:ascii="Book Antiqua" w:hAnsi="Book Antiqua" w:cs="Book Antiqua"/>
          <w:b/>
          <w:bCs/>
          <w:color w:val="000000"/>
          <w:lang w:eastAsia="zh-CN"/>
        </w:rPr>
        <w:t xml:space="preserve"> </w:t>
      </w:r>
      <w:r w:rsidRPr="002215D5">
        <w:rPr>
          <w:rFonts w:ascii="Book Antiqua" w:eastAsia="Book Antiqua" w:hAnsi="Book Antiqua" w:cs="Book Antiqua"/>
          <w:color w:val="000000"/>
        </w:rPr>
        <w:t xml:space="preserve">Viganò C and Massironi S planned the work; Viganò C, Mulinacci G and Massironi S contributed to the design and conceptualization of the study; Mulinacci G and Palermo A wrote the first draft of the manuscript and edited figures and tables; Viganò C, Barisani D, Pirola L and Fichera M edited the subsequent versions of the manuscript; Viganò C and Massironi S revised the manuscript for relevant intellectual </w:t>
      </w:r>
      <w:r w:rsidRPr="002215D5">
        <w:rPr>
          <w:rFonts w:ascii="Book Antiqua" w:eastAsia="Book Antiqua" w:hAnsi="Book Antiqua" w:cs="Book Antiqua"/>
          <w:color w:val="000000"/>
        </w:rPr>
        <w:lastRenderedPageBreak/>
        <w:t xml:space="preserve">content; Invernizzi P corrected the final version; </w:t>
      </w:r>
      <w:r w:rsidR="00C46A9D">
        <w:rPr>
          <w:rFonts w:ascii="Book Antiqua" w:eastAsia="Book Antiqua" w:hAnsi="Book Antiqua" w:cs="Book Antiqua"/>
          <w:color w:val="000000"/>
        </w:rPr>
        <w:t>A</w:t>
      </w:r>
      <w:r w:rsidRPr="002215D5">
        <w:rPr>
          <w:rFonts w:ascii="Book Antiqua" w:eastAsia="Book Antiqua" w:hAnsi="Book Antiqua" w:cs="Book Antiqua"/>
          <w:color w:val="000000"/>
        </w:rPr>
        <w:t>ll the authors read and approved the final version of the manuscript.</w:t>
      </w:r>
    </w:p>
    <w:p w14:paraId="391454B3" w14:textId="77777777" w:rsidR="00A77B3E" w:rsidRPr="002215D5" w:rsidRDefault="00A77B3E" w:rsidP="002215D5">
      <w:pPr>
        <w:spacing w:line="360" w:lineRule="auto"/>
        <w:jc w:val="both"/>
        <w:rPr>
          <w:rFonts w:ascii="Book Antiqua" w:hAnsi="Book Antiqua"/>
          <w:lang w:eastAsia="zh-CN"/>
        </w:rPr>
      </w:pPr>
    </w:p>
    <w:p w14:paraId="5C0238B9"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bCs/>
          <w:color w:val="000000"/>
        </w:rPr>
        <w:t xml:space="preserve">Corresponding author: Chiara Viganò, MD, Doctor, </w:t>
      </w:r>
      <w:r w:rsidRPr="002215D5">
        <w:rPr>
          <w:rFonts w:ascii="Book Antiqua" w:eastAsia="Book Antiqua" w:hAnsi="Book Antiqua" w:cs="Book Antiqua"/>
          <w:color w:val="000000"/>
        </w:rPr>
        <w:t>Division of Gastroenterology and Center for Autoimmune Liver Diseases, Department of Medicine and Surgery, University of Milano-Bicocca, Via G. B. Pergolesi 33, Monza 20900, Italy. c.vigano@asst-monza.it</w:t>
      </w:r>
    </w:p>
    <w:p w14:paraId="5C46FCBA" w14:textId="77777777" w:rsidR="00A77B3E" w:rsidRPr="002215D5" w:rsidRDefault="00A77B3E" w:rsidP="002215D5">
      <w:pPr>
        <w:spacing w:line="360" w:lineRule="auto"/>
        <w:jc w:val="both"/>
        <w:rPr>
          <w:rFonts w:ascii="Book Antiqua" w:hAnsi="Book Antiqua"/>
        </w:rPr>
      </w:pPr>
    </w:p>
    <w:p w14:paraId="2A5A5E83"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bCs/>
          <w:color w:val="000000"/>
        </w:rPr>
        <w:t xml:space="preserve">Received: </w:t>
      </w:r>
      <w:r w:rsidRPr="002215D5">
        <w:rPr>
          <w:rFonts w:ascii="Book Antiqua" w:eastAsia="Book Antiqua" w:hAnsi="Book Antiqua" w:cs="Book Antiqua"/>
          <w:color w:val="000000"/>
        </w:rPr>
        <w:t>January 28, 2021</w:t>
      </w:r>
    </w:p>
    <w:p w14:paraId="67E8937D"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bCs/>
          <w:color w:val="000000"/>
        </w:rPr>
        <w:t xml:space="preserve">Revised: </w:t>
      </w:r>
      <w:r w:rsidRPr="002215D5">
        <w:rPr>
          <w:rFonts w:ascii="Book Antiqua" w:eastAsia="Book Antiqua" w:hAnsi="Book Antiqua" w:cs="Book Antiqua"/>
          <w:color w:val="000000"/>
        </w:rPr>
        <w:t>May 13, 2021</w:t>
      </w:r>
    </w:p>
    <w:p w14:paraId="606F22B0" w14:textId="34E2E082"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bCs/>
          <w:color w:val="000000"/>
        </w:rPr>
        <w:t xml:space="preserve">Accepted: </w:t>
      </w:r>
      <w:bookmarkStart w:id="2" w:name="OLE_LINK15"/>
      <w:bookmarkStart w:id="3" w:name="OLE_LINK33"/>
      <w:bookmarkStart w:id="4" w:name="OLE_LINK48"/>
      <w:r w:rsidR="00F90D33" w:rsidRPr="002215D5">
        <w:rPr>
          <w:rFonts w:ascii="Book Antiqua" w:eastAsia="SimSun" w:hAnsi="Book Antiqua"/>
          <w:color w:val="000000" w:themeColor="text1"/>
        </w:rPr>
        <w:t>A</w:t>
      </w:r>
      <w:r w:rsidR="00F90D33" w:rsidRPr="002215D5">
        <w:rPr>
          <w:rFonts w:ascii="Book Antiqua" w:eastAsia="SimSun" w:hAnsi="Book Antiqua"/>
          <w:color w:val="000000" w:themeColor="text1"/>
          <w:lang w:eastAsia="zh-CN"/>
        </w:rPr>
        <w:t>u</w:t>
      </w:r>
      <w:r w:rsidR="00F90D33" w:rsidRPr="002215D5">
        <w:rPr>
          <w:rFonts w:ascii="Book Antiqua" w:eastAsia="SimSun" w:hAnsi="Book Antiqua"/>
          <w:color w:val="000000" w:themeColor="text1"/>
        </w:rPr>
        <w:t>gust 2, 2021</w:t>
      </w:r>
      <w:bookmarkEnd w:id="2"/>
      <w:bookmarkEnd w:id="3"/>
      <w:bookmarkEnd w:id="4"/>
    </w:p>
    <w:p w14:paraId="22929294"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bCs/>
          <w:color w:val="000000"/>
        </w:rPr>
        <w:t xml:space="preserve">Published online: </w:t>
      </w:r>
    </w:p>
    <w:p w14:paraId="6C0E0D08" w14:textId="77777777" w:rsidR="00A77B3E" w:rsidRPr="002215D5" w:rsidRDefault="00A77B3E" w:rsidP="002215D5">
      <w:pPr>
        <w:spacing w:line="360" w:lineRule="auto"/>
        <w:jc w:val="both"/>
        <w:rPr>
          <w:rFonts w:ascii="Book Antiqua" w:hAnsi="Book Antiqua"/>
        </w:rPr>
        <w:sectPr w:rsidR="00A77B3E" w:rsidRPr="002215D5" w:rsidSect="002215D5">
          <w:footerReference w:type="default" r:id="rId7"/>
          <w:pgSz w:w="12240" w:h="15840"/>
          <w:pgMar w:top="1440" w:right="1440" w:bottom="1440" w:left="1440" w:header="720" w:footer="720" w:gutter="0"/>
          <w:cols w:space="720"/>
          <w:docGrid w:linePitch="360"/>
        </w:sectPr>
      </w:pPr>
    </w:p>
    <w:p w14:paraId="7216E0DE"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color w:val="000000"/>
        </w:rPr>
        <w:lastRenderedPageBreak/>
        <w:t>Abstract</w:t>
      </w:r>
    </w:p>
    <w:p w14:paraId="6DC96F34" w14:textId="35BD6B6C"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Coronavirus disease </w:t>
      </w:r>
      <w:r w:rsidR="00470EA4">
        <w:rPr>
          <w:rFonts w:ascii="Book Antiqua" w:eastAsia="Book Antiqua" w:hAnsi="Book Antiqua" w:cs="Book Antiqua"/>
          <w:color w:val="000000"/>
        </w:rPr>
        <w:t>20</w:t>
      </w:r>
      <w:r w:rsidRPr="002215D5">
        <w:rPr>
          <w:rFonts w:ascii="Book Antiqua" w:eastAsia="Book Antiqua" w:hAnsi="Book Antiqua" w:cs="Book Antiqua"/>
          <w:color w:val="000000"/>
        </w:rPr>
        <w:t xml:space="preserve">19 (COVID-19) is an infectious disease caused by the novel coronavirus </w:t>
      </w:r>
      <w:r w:rsidR="00F90D33" w:rsidRPr="002215D5">
        <w:rPr>
          <w:rFonts w:ascii="Book Antiqua" w:eastAsia="Book Antiqua" w:hAnsi="Book Antiqua" w:cs="Book Antiqua"/>
          <w:color w:val="000000"/>
        </w:rPr>
        <w:t>severe acute respiratory syndrome coronavirus</w:t>
      </w:r>
      <w:r w:rsidRPr="002215D5">
        <w:rPr>
          <w:rFonts w:ascii="Book Antiqua" w:eastAsia="Book Antiqua" w:hAnsi="Book Antiqua" w:cs="Book Antiqua"/>
          <w:color w:val="000000"/>
        </w:rPr>
        <w:t xml:space="preserve"> </w:t>
      </w:r>
      <w:r w:rsidR="00F90D33" w:rsidRPr="002215D5">
        <w:rPr>
          <w:rFonts w:ascii="Book Antiqua" w:eastAsia="Book Antiqua" w:hAnsi="Book Antiqua" w:cs="Book Antiqua"/>
          <w:color w:val="000000"/>
        </w:rPr>
        <w:t xml:space="preserve">2 </w:t>
      </w:r>
      <w:r w:rsidRPr="002215D5">
        <w:rPr>
          <w:rFonts w:ascii="Book Antiqua" w:eastAsia="Book Antiqua" w:hAnsi="Book Antiqua" w:cs="Book Antiqua"/>
          <w:color w:val="000000"/>
        </w:rPr>
        <w:t>(SARS-CoV-2</w:t>
      </w:r>
      <w:r w:rsidR="00F90D33" w:rsidRPr="002215D5">
        <w:rPr>
          <w:rFonts w:ascii="Book Antiqua" w:eastAsia="Book Antiqua" w:hAnsi="Book Antiqua" w:cs="Book Antiqua"/>
          <w:color w:val="000000"/>
        </w:rPr>
        <w:t>)</w:t>
      </w:r>
      <w:r w:rsidR="00A477C9" w:rsidRPr="002215D5">
        <w:rPr>
          <w:rFonts w:ascii="Book Antiqua" w:eastAsia="Book Antiqua" w:hAnsi="Book Antiqua" w:cs="Book Antiqua"/>
          <w:color w:val="000000"/>
        </w:rPr>
        <w:t>;</w:t>
      </w:r>
      <w:r w:rsidRPr="002215D5">
        <w:rPr>
          <w:rFonts w:ascii="Book Antiqua" w:eastAsia="Book Antiqua" w:hAnsi="Book Antiqua" w:cs="Book Antiqua"/>
          <w:color w:val="000000"/>
        </w:rPr>
        <w:t xml:space="preserve"> since its first description in </w:t>
      </w:r>
      <w:r w:rsidRPr="002215D5">
        <w:rPr>
          <w:rFonts w:ascii="Book Antiqua" w:eastAsia="Book Antiqua" w:hAnsi="Book Antiqua" w:cs="Book Antiqua"/>
          <w:caps/>
          <w:color w:val="000000"/>
        </w:rPr>
        <w:t>d</w:t>
      </w:r>
      <w:r w:rsidRPr="002215D5">
        <w:rPr>
          <w:rFonts w:ascii="Book Antiqua" w:eastAsia="Book Antiqua" w:hAnsi="Book Antiqua" w:cs="Book Antiqua"/>
          <w:color w:val="000000"/>
        </w:rPr>
        <w:t xml:space="preserve">ecember 2019, </w:t>
      </w:r>
      <w:r w:rsidR="00A477C9" w:rsidRPr="002215D5">
        <w:rPr>
          <w:rFonts w:ascii="Book Antiqua" w:eastAsia="Book Antiqua" w:hAnsi="Book Antiqua" w:cs="Book Antiqua"/>
          <w:color w:val="000000"/>
        </w:rPr>
        <w:t xml:space="preserve">it </w:t>
      </w:r>
      <w:r w:rsidRPr="002215D5">
        <w:rPr>
          <w:rFonts w:ascii="Book Antiqua" w:eastAsia="Book Antiqua" w:hAnsi="Book Antiqua" w:cs="Book Antiqua"/>
          <w:color w:val="000000"/>
        </w:rPr>
        <w:t>has rapidly spread to a global pandemic. Specific concerns have been raised concerning patients with inflammatory bowel diseases (IBD), which are chronic autoimmune inflammatory disorders of the gut that frequently require immunosuppressive and biological therapies to control the</w:t>
      </w:r>
      <w:r w:rsidR="001773B2">
        <w:rPr>
          <w:rFonts w:ascii="Book Antiqua" w:eastAsia="Book Antiqua" w:hAnsi="Book Antiqua" w:cs="Book Antiqua"/>
          <w:color w:val="000000"/>
        </w:rPr>
        <w:t>ir</w:t>
      </w:r>
      <w:r w:rsidRPr="002215D5">
        <w:rPr>
          <w:rFonts w:ascii="Book Antiqua" w:eastAsia="Book Antiqua" w:hAnsi="Book Antiqua" w:cs="Book Antiqua"/>
          <w:color w:val="000000"/>
        </w:rPr>
        <w:t xml:space="preserve"> activity. Accumulating evidence has so far demonstrated that patients with IBD are not at increased risk of contracting </w:t>
      </w:r>
      <w:r w:rsidR="00D21401" w:rsidRPr="002215D5">
        <w:rPr>
          <w:rFonts w:ascii="Book Antiqua" w:eastAsia="Book Antiqua" w:hAnsi="Book Antiqua" w:cs="Book Antiqua"/>
          <w:color w:val="000000"/>
        </w:rPr>
        <w:t xml:space="preserve">severe acute respiratory syndrome coronavirus 2 </w:t>
      </w:r>
      <w:r w:rsidRPr="002215D5">
        <w:rPr>
          <w:rFonts w:ascii="Book Antiqua" w:eastAsia="Book Antiqua" w:hAnsi="Book Antiqua" w:cs="Book Antiqua"/>
          <w:color w:val="000000"/>
        </w:rPr>
        <w:t>infection. As for the general population, the identified risk factors for severe COVID-19 course among IBD patients have been established to be advanced age and the presence of comorbidities. Treatment with high-dose corticosteroids has also been associated with an increased risk of death in IBD patients with COVID-19. Information on COVID-19 is constantly evolving, with data growing at a rapid pace. This will guarantee better knowledge and stronger evidence to help physicians in the choice of the best therapeutic approach for each patient, concurrently controlling for the risk of IBD disease under</w:t>
      </w:r>
      <w:r w:rsidR="001F5E4E">
        <w:rPr>
          <w:rFonts w:ascii="Book Antiqua" w:eastAsia="Book Antiqua" w:hAnsi="Book Antiqua" w:cs="Book Antiqua"/>
          <w:color w:val="000000"/>
        </w:rPr>
        <w:t xml:space="preserve"> </w:t>
      </w:r>
      <w:r w:rsidRPr="002215D5">
        <w:rPr>
          <w:rFonts w:ascii="Book Antiqua" w:eastAsia="Book Antiqua" w:hAnsi="Book Antiqua" w:cs="Book Antiqua"/>
          <w:color w:val="000000"/>
        </w:rPr>
        <w:t xml:space="preserve">treatment and the risk of COVID-19 adverse outcomes and balancing the two. Moreover, the impact of the enormous number of severe respiratory patients on healthcare systems and facilities has led to an unprecedented redeployment of healthcare resources, significantly impacting the care of patients with chronic diseases. In this newly changed environment, the primary aim is to avoid harm whilst still providing adequate management. Telemedicine has been applied and is strongly encouraged for patients without the necessity of infusion therapy and whose conditions are stable. The </w:t>
      </w:r>
      <w:r w:rsidR="00D21401" w:rsidRPr="002215D5">
        <w:rPr>
          <w:rFonts w:ascii="Book Antiqua" w:eastAsia="Book Antiqua" w:hAnsi="Book Antiqua" w:cs="Book Antiqua"/>
          <w:color w:val="000000"/>
        </w:rPr>
        <w:t xml:space="preserve">severe acute respiratory syndrome coronavirus 2 </w:t>
      </w:r>
      <w:r w:rsidRPr="002215D5">
        <w:rPr>
          <w:rFonts w:ascii="Book Antiqua" w:eastAsia="Book Antiqua" w:hAnsi="Book Antiqua" w:cs="Book Antiqua"/>
          <w:color w:val="000000"/>
        </w:rPr>
        <w:t>pandemic has already revolutionized the management of patients with chronic immune-mediated diseases such as IBD. Direct and indirect effects of the COVID-19 pandemic will be present for some time</w:t>
      </w:r>
      <w:r w:rsidR="001F5E4E">
        <w:rPr>
          <w:rFonts w:ascii="Book Antiqua" w:eastAsia="Book Antiqua" w:hAnsi="Book Antiqua" w:cs="Book Antiqua"/>
          <w:color w:val="000000"/>
        </w:rPr>
        <w:t>.</w:t>
      </w:r>
      <w:r w:rsidRPr="002215D5">
        <w:rPr>
          <w:rFonts w:ascii="Book Antiqua" w:eastAsia="Book Antiqua" w:hAnsi="Book Antiqua" w:cs="Book Antiqua"/>
          <w:color w:val="000000"/>
        </w:rPr>
        <w:t xml:space="preserve"> </w:t>
      </w:r>
      <w:r w:rsidR="001F5E4E">
        <w:rPr>
          <w:rFonts w:ascii="Book Antiqua" w:eastAsia="Book Antiqua" w:hAnsi="Book Antiqua" w:cs="Book Antiqua"/>
          <w:color w:val="000000"/>
        </w:rPr>
        <w:t>T</w:t>
      </w:r>
      <w:r w:rsidRPr="002215D5">
        <w:rPr>
          <w:rFonts w:ascii="Book Antiqua" w:eastAsia="Book Antiqua" w:hAnsi="Book Antiqua" w:cs="Book Antiqua"/>
          <w:color w:val="000000"/>
        </w:rPr>
        <w:t xml:space="preserve">his is the reason why continuous research, rapid solutions and constantly updated guidelines are of utmost importance. The aim of the present review is, therefore, to point out what has been learned so far as well as to pinpoint the unanswered questions and perspectives for the future. </w:t>
      </w:r>
    </w:p>
    <w:p w14:paraId="63BC0391" w14:textId="77777777" w:rsidR="00A77B3E" w:rsidRPr="002215D5" w:rsidRDefault="00A77B3E" w:rsidP="002215D5">
      <w:pPr>
        <w:spacing w:line="360" w:lineRule="auto"/>
        <w:jc w:val="both"/>
        <w:rPr>
          <w:rFonts w:ascii="Book Antiqua" w:hAnsi="Book Antiqua"/>
        </w:rPr>
      </w:pPr>
    </w:p>
    <w:p w14:paraId="3EE1BE3F"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bCs/>
          <w:color w:val="000000"/>
        </w:rPr>
        <w:lastRenderedPageBreak/>
        <w:t xml:space="preserve">Key Words: </w:t>
      </w:r>
      <w:r w:rsidRPr="002215D5">
        <w:rPr>
          <w:rFonts w:ascii="Book Antiqua" w:eastAsia="Book Antiqua" w:hAnsi="Book Antiqua" w:cs="Book Antiqua"/>
          <w:color w:val="000000"/>
        </w:rPr>
        <w:t>Inflammatory bowel disease; Ulcerative colitis; Crohn disease; COVID-19; SARS-CoV-2; Autoimmunity</w:t>
      </w:r>
    </w:p>
    <w:p w14:paraId="754C584A" w14:textId="77777777" w:rsidR="00A77B3E" w:rsidRPr="002215D5" w:rsidRDefault="00A77B3E" w:rsidP="002215D5">
      <w:pPr>
        <w:spacing w:line="360" w:lineRule="auto"/>
        <w:jc w:val="both"/>
        <w:rPr>
          <w:rFonts w:ascii="Book Antiqua" w:hAnsi="Book Antiqua"/>
        </w:rPr>
      </w:pPr>
    </w:p>
    <w:p w14:paraId="0CE4142F"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Viganò C, Mulinacci G, Palermo A, Barisani D, Pirola L, Fichera M, Invernizzi P, Massironi S. Impact of COVID-19 on inflammatory bowel disease practice and perspectives for the future. </w:t>
      </w:r>
      <w:r w:rsidRPr="002215D5">
        <w:rPr>
          <w:rFonts w:ascii="Book Antiqua" w:eastAsia="Book Antiqua" w:hAnsi="Book Antiqua" w:cs="Book Antiqua"/>
          <w:i/>
          <w:iCs/>
          <w:color w:val="000000"/>
        </w:rPr>
        <w:t>World J Gastroenterol</w:t>
      </w:r>
      <w:r w:rsidRPr="002215D5">
        <w:rPr>
          <w:rFonts w:ascii="Book Antiqua" w:eastAsia="Book Antiqua" w:hAnsi="Book Antiqua" w:cs="Book Antiqua"/>
          <w:color w:val="000000"/>
        </w:rPr>
        <w:t xml:space="preserve"> 2021; In press</w:t>
      </w:r>
    </w:p>
    <w:p w14:paraId="24E707F2" w14:textId="77777777" w:rsidR="00A77B3E" w:rsidRPr="002215D5" w:rsidRDefault="00A77B3E" w:rsidP="002215D5">
      <w:pPr>
        <w:spacing w:line="360" w:lineRule="auto"/>
        <w:jc w:val="both"/>
        <w:rPr>
          <w:rFonts w:ascii="Book Antiqua" w:hAnsi="Book Antiqua"/>
        </w:rPr>
      </w:pPr>
    </w:p>
    <w:p w14:paraId="4E28A395" w14:textId="6FB2215E"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bCs/>
          <w:color w:val="000000"/>
        </w:rPr>
        <w:t>Core Tip:</w:t>
      </w:r>
      <w:r w:rsidR="00066F4C">
        <w:rPr>
          <w:rFonts w:ascii="Book Antiqua" w:eastAsia="Book Antiqua" w:hAnsi="Book Antiqua" w:cs="Book Antiqua"/>
          <w:b/>
          <w:bCs/>
          <w:color w:val="000000"/>
        </w:rPr>
        <w:t xml:space="preserve"> </w:t>
      </w:r>
      <w:r w:rsidR="00066F4C" w:rsidRPr="004651CF">
        <w:rPr>
          <w:rFonts w:ascii="Book Antiqua" w:eastAsia="Book Antiqua" w:hAnsi="Book Antiqua" w:cs="Book Antiqua"/>
          <w:color w:val="000000"/>
        </w:rPr>
        <w:t>The</w:t>
      </w:r>
      <w:r w:rsidRPr="002215D5">
        <w:rPr>
          <w:rFonts w:ascii="Book Antiqua" w:eastAsia="Book Antiqua" w:hAnsi="Book Antiqua" w:cs="Book Antiqua"/>
          <w:b/>
          <w:bCs/>
          <w:color w:val="000000"/>
        </w:rPr>
        <w:t xml:space="preserve"> </w:t>
      </w:r>
      <w:r w:rsidR="00066F4C">
        <w:rPr>
          <w:rFonts w:ascii="Book Antiqua" w:eastAsia="Book Antiqua" w:hAnsi="Book Antiqua" w:cs="Book Antiqua"/>
          <w:caps/>
          <w:color w:val="000000"/>
        </w:rPr>
        <w:t>s</w:t>
      </w:r>
      <w:r w:rsidRPr="002215D5">
        <w:rPr>
          <w:rFonts w:ascii="Book Antiqua" w:eastAsia="Book Antiqua" w:hAnsi="Book Antiqua" w:cs="Book Antiqua"/>
          <w:color w:val="000000"/>
        </w:rPr>
        <w:t xml:space="preserve">evere </w:t>
      </w:r>
      <w:r w:rsidR="00A477C9" w:rsidRPr="002215D5">
        <w:rPr>
          <w:rFonts w:ascii="Book Antiqua" w:eastAsia="Book Antiqua" w:hAnsi="Book Antiqua" w:cs="Book Antiqua"/>
          <w:color w:val="000000"/>
        </w:rPr>
        <w:t>a</w:t>
      </w:r>
      <w:r w:rsidRPr="002215D5">
        <w:rPr>
          <w:rFonts w:ascii="Book Antiqua" w:eastAsia="Book Antiqua" w:hAnsi="Book Antiqua" w:cs="Book Antiqua"/>
          <w:color w:val="000000"/>
        </w:rPr>
        <w:t>cute respiratory syndrome coronavirus</w:t>
      </w:r>
      <w:r w:rsidR="00066F4C">
        <w:rPr>
          <w:rFonts w:ascii="Book Antiqua" w:eastAsia="Book Antiqua" w:hAnsi="Book Antiqua" w:cs="Book Antiqua"/>
          <w:color w:val="000000"/>
        </w:rPr>
        <w:t xml:space="preserve"> </w:t>
      </w:r>
      <w:r w:rsidRPr="002215D5">
        <w:rPr>
          <w:rFonts w:ascii="Book Antiqua" w:eastAsia="Book Antiqua" w:hAnsi="Book Antiqua" w:cs="Book Antiqua"/>
          <w:color w:val="000000"/>
        </w:rPr>
        <w:t>2 pandemic has abruptly impacted the management of patients with chronic immune-mediated diseases such as inflammatory bowel diseases. In a setting of general uncertainty, gastroenterologists have faced the need to rapidly reorganize facilities and redefine priorities in</w:t>
      </w:r>
      <w:r w:rsidR="00932776" w:rsidRPr="00932776">
        <w:rPr>
          <w:rFonts w:ascii="Book Antiqua" w:eastAsia="Book Antiqua" w:hAnsi="Book Antiqua" w:cs="Book Antiqua"/>
          <w:color w:val="000000"/>
        </w:rPr>
        <w:t xml:space="preserve"> </w:t>
      </w:r>
      <w:r w:rsidR="00932776" w:rsidRPr="002215D5">
        <w:rPr>
          <w:rFonts w:ascii="Book Antiqua" w:eastAsia="Book Antiqua" w:hAnsi="Book Antiqua" w:cs="Book Antiqua"/>
          <w:color w:val="000000"/>
        </w:rPr>
        <w:t>inflammatory bowel disease</w:t>
      </w:r>
      <w:r w:rsidRPr="002215D5">
        <w:rPr>
          <w:rFonts w:ascii="Book Antiqua" w:eastAsia="Book Antiqua" w:hAnsi="Book Antiqua" w:cs="Book Antiqua"/>
          <w:color w:val="000000"/>
        </w:rPr>
        <w:t xml:space="preserve"> clinical management. With an enormous research effort, accumulating evidence is deepening our understanding of the multifaceted interaction of</w:t>
      </w:r>
      <w:r w:rsidR="00932776" w:rsidRPr="00932776">
        <w:rPr>
          <w:rFonts w:ascii="Book Antiqua" w:eastAsia="Book Antiqua" w:hAnsi="Book Antiqua" w:cs="Book Antiqua"/>
          <w:color w:val="000000"/>
        </w:rPr>
        <w:t xml:space="preserve"> </w:t>
      </w:r>
      <w:r w:rsidR="00932776" w:rsidRPr="002215D5">
        <w:rPr>
          <w:rFonts w:ascii="Book Antiqua" w:eastAsia="Book Antiqua" w:hAnsi="Book Antiqua" w:cs="Book Antiqua"/>
          <w:color w:val="000000"/>
        </w:rPr>
        <w:t>inflammatory bowel disease</w:t>
      </w:r>
      <w:r w:rsidRPr="002215D5">
        <w:rPr>
          <w:rFonts w:ascii="Book Antiqua" w:eastAsia="Book Antiqua" w:hAnsi="Book Antiqua" w:cs="Book Antiqua"/>
          <w:color w:val="000000"/>
        </w:rPr>
        <w:t xml:space="preserve"> care and coronavirus disease </w:t>
      </w:r>
      <w:r w:rsidR="00932776">
        <w:rPr>
          <w:rFonts w:ascii="Book Antiqua" w:eastAsia="Book Antiqua" w:hAnsi="Book Antiqua" w:cs="Book Antiqua"/>
          <w:color w:val="000000"/>
        </w:rPr>
        <w:t>20</w:t>
      </w:r>
      <w:r w:rsidRPr="002215D5">
        <w:rPr>
          <w:rFonts w:ascii="Book Antiqua" w:eastAsia="Book Antiqua" w:hAnsi="Book Antiqua" w:cs="Book Antiqua"/>
          <w:color w:val="000000"/>
        </w:rPr>
        <w:t>19. Direct and indirect effects of the pandemic will be present for some time</w:t>
      </w:r>
      <w:r w:rsidR="00932776">
        <w:rPr>
          <w:rFonts w:ascii="Book Antiqua" w:eastAsia="Book Antiqua" w:hAnsi="Book Antiqua" w:cs="Book Antiqua"/>
          <w:color w:val="000000"/>
        </w:rPr>
        <w:t>;</w:t>
      </w:r>
      <w:r w:rsidRPr="002215D5">
        <w:rPr>
          <w:rFonts w:ascii="Book Antiqua" w:eastAsia="Book Antiqua" w:hAnsi="Book Antiqua" w:cs="Book Antiqua"/>
          <w:color w:val="000000"/>
        </w:rPr>
        <w:t xml:space="preserve"> it is, therefore, necessary to keep recommendations constantly updated.</w:t>
      </w:r>
    </w:p>
    <w:p w14:paraId="08186EB6" w14:textId="77777777" w:rsidR="00A77B3E" w:rsidRPr="002215D5" w:rsidRDefault="00A77B3E" w:rsidP="002215D5">
      <w:pPr>
        <w:spacing w:line="360" w:lineRule="auto"/>
        <w:jc w:val="both"/>
        <w:rPr>
          <w:rFonts w:ascii="Book Antiqua" w:hAnsi="Book Antiqua"/>
        </w:rPr>
      </w:pPr>
    </w:p>
    <w:p w14:paraId="46E81099" w14:textId="77777777" w:rsidR="00932776" w:rsidRDefault="00932776">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2C5BFEF4" w14:textId="586C1ED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caps/>
          <w:color w:val="000000"/>
          <w:u w:val="single"/>
        </w:rPr>
        <w:lastRenderedPageBreak/>
        <w:t>INTRODUCTION</w:t>
      </w:r>
    </w:p>
    <w:p w14:paraId="6050B161" w14:textId="76F53CAE"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Until the beginning of this century, coronaviruses were known to cause common colds in humans. However, in 2002 and 2013</w:t>
      </w:r>
      <w:r w:rsidR="00B52266">
        <w:rPr>
          <w:rFonts w:ascii="Book Antiqua" w:eastAsia="Book Antiqua" w:hAnsi="Book Antiqua" w:cs="Book Antiqua"/>
          <w:color w:val="000000"/>
        </w:rPr>
        <w:t>,</w:t>
      </w:r>
      <w:r w:rsidRPr="002215D5">
        <w:rPr>
          <w:rFonts w:ascii="Book Antiqua" w:eastAsia="Book Antiqua" w:hAnsi="Book Antiqua" w:cs="Book Antiqua"/>
          <w:color w:val="000000"/>
        </w:rPr>
        <w:t xml:space="preserve"> respectively, the </w:t>
      </w:r>
      <w:r w:rsidR="00F90D33" w:rsidRPr="002215D5">
        <w:rPr>
          <w:rFonts w:ascii="Book Antiqua" w:eastAsia="Book Antiqua" w:hAnsi="Book Antiqua" w:cs="Book Antiqua"/>
          <w:color w:val="000000"/>
        </w:rPr>
        <w:t>severe acute respiratory syndrome</w:t>
      </w:r>
      <w:r w:rsidRPr="002215D5">
        <w:rPr>
          <w:rFonts w:ascii="Book Antiqua" w:eastAsia="Book Antiqua" w:hAnsi="Book Antiqua" w:cs="Book Antiqua"/>
          <w:color w:val="000000"/>
        </w:rPr>
        <w:t xml:space="preserve"> coronavirus (SARS-CoV) and the Middle East Respiratory Syndrome-CoV emerged. Both viruses caused severe respiratory syndromes and were highly pathogenic for humans, with more than 8000 people infected and 919 death caused by SARS-CoV and 2494 cases and 858 death by </w:t>
      </w:r>
      <w:r w:rsidR="00B52266" w:rsidRPr="002215D5">
        <w:rPr>
          <w:rFonts w:ascii="Book Antiqua" w:eastAsia="Book Antiqua" w:hAnsi="Book Antiqua" w:cs="Book Antiqua"/>
          <w:color w:val="000000"/>
        </w:rPr>
        <w:t>Middle East Respiratory Syndrome</w:t>
      </w:r>
      <w:r w:rsidRPr="002215D5">
        <w:rPr>
          <w:rFonts w:ascii="Book Antiqua" w:eastAsia="Book Antiqua" w:hAnsi="Book Antiqua" w:cs="Book Antiqua"/>
          <w:color w:val="000000"/>
        </w:rPr>
        <w:t>-CoV</w:t>
      </w:r>
      <w:r w:rsidRPr="002215D5">
        <w:rPr>
          <w:rFonts w:ascii="Book Antiqua" w:eastAsia="Book Antiqua" w:hAnsi="Book Antiqua" w:cs="Book Antiqua"/>
          <w:color w:val="000000"/>
          <w:vertAlign w:val="superscript"/>
        </w:rPr>
        <w:t>[1,2]</w:t>
      </w:r>
      <w:r w:rsidRPr="002215D5">
        <w:rPr>
          <w:rFonts w:ascii="Book Antiqua" w:eastAsia="Book Antiqua" w:hAnsi="Book Antiqua" w:cs="Book Antiqua"/>
          <w:color w:val="000000"/>
        </w:rPr>
        <w:t xml:space="preserve">. The third coronavirus epidemic was first reported in December 2019 in Wuhan, China. A new coronavirus, firstly named 2019-nCov and then </w:t>
      </w:r>
      <w:r w:rsidR="00F90D33" w:rsidRPr="002215D5">
        <w:rPr>
          <w:rFonts w:ascii="Book Antiqua" w:eastAsia="Book Antiqua" w:hAnsi="Book Antiqua" w:cs="Book Antiqua"/>
          <w:color w:val="000000"/>
        </w:rPr>
        <w:t>severe acute respiratory syndrome coronavirus 2</w:t>
      </w:r>
      <w:r w:rsidRPr="002215D5">
        <w:rPr>
          <w:rFonts w:ascii="Book Antiqua" w:eastAsia="Book Antiqua" w:hAnsi="Book Antiqua" w:cs="Book Antiqua"/>
          <w:color w:val="000000"/>
        </w:rPr>
        <w:t xml:space="preserve"> (SARS-CoV-2), was isolated</w:t>
      </w:r>
      <w:r w:rsidRPr="002215D5">
        <w:rPr>
          <w:rFonts w:ascii="Book Antiqua" w:eastAsia="Book Antiqua" w:hAnsi="Book Antiqua" w:cs="Book Antiqua"/>
          <w:color w:val="000000"/>
          <w:vertAlign w:val="superscript"/>
        </w:rPr>
        <w:t>[3]</w:t>
      </w:r>
      <w:r w:rsidRPr="002215D5">
        <w:rPr>
          <w:rFonts w:ascii="Book Antiqua" w:eastAsia="Book Antiqua" w:hAnsi="Book Antiqua" w:cs="Book Antiqua"/>
          <w:color w:val="000000"/>
        </w:rPr>
        <w:t xml:space="preserve">. The World Health Organization then proceeded to name the disease produced by SARS-CoV-2 as </w:t>
      </w:r>
      <w:r w:rsidR="00F90D33" w:rsidRPr="002215D5">
        <w:rPr>
          <w:rFonts w:ascii="Book Antiqua" w:eastAsia="Book Antiqua" w:hAnsi="Book Antiqua" w:cs="Book Antiqua"/>
          <w:color w:val="000000"/>
        </w:rPr>
        <w:t>coronavirus disease</w:t>
      </w:r>
      <w:r w:rsidRPr="002215D5">
        <w:rPr>
          <w:rFonts w:ascii="Book Antiqua" w:eastAsia="Book Antiqua" w:hAnsi="Book Antiqua" w:cs="Book Antiqua"/>
          <w:color w:val="000000"/>
        </w:rPr>
        <w:t xml:space="preserve"> 2019 (COVID-19). COVID-19 has rapidly spread to become a global pandemic, affecting populations in nearly all areas of the world, with high morbidity and mortality rates especially in elderly patients and those affected by chronic illnesses</w:t>
      </w:r>
      <w:r w:rsidRPr="002215D5">
        <w:rPr>
          <w:rFonts w:ascii="Book Antiqua" w:eastAsia="Book Antiqua" w:hAnsi="Book Antiqua" w:cs="Book Antiqua"/>
          <w:color w:val="000000"/>
          <w:vertAlign w:val="superscript"/>
        </w:rPr>
        <w:t>[4]</w:t>
      </w:r>
      <w:r w:rsidRPr="002215D5">
        <w:rPr>
          <w:rFonts w:ascii="Book Antiqua" w:eastAsia="Book Antiqua" w:hAnsi="Book Antiqua" w:cs="Book Antiqua"/>
          <w:color w:val="000000"/>
        </w:rPr>
        <w:t>. So far, COVID-19 has infected more than one hundred million people worldwide, causing more than two million deaths</w:t>
      </w:r>
      <w:r w:rsidRPr="002215D5">
        <w:rPr>
          <w:rFonts w:ascii="Book Antiqua" w:eastAsia="Book Antiqua" w:hAnsi="Book Antiqua" w:cs="Book Antiqua"/>
          <w:color w:val="000000"/>
          <w:vertAlign w:val="superscript"/>
        </w:rPr>
        <w:t>[5]</w:t>
      </w:r>
      <w:r w:rsidRPr="002215D5">
        <w:rPr>
          <w:rFonts w:ascii="Book Antiqua" w:eastAsia="Book Antiqua" w:hAnsi="Book Antiqua" w:cs="Book Antiqua"/>
          <w:color w:val="000000"/>
        </w:rPr>
        <w:t>.</w:t>
      </w:r>
    </w:p>
    <w:p w14:paraId="458BE323" w14:textId="70BC6508" w:rsidR="00A77B3E" w:rsidRPr="002215D5" w:rsidRDefault="00BF1368" w:rsidP="00E83EB0">
      <w:pPr>
        <w:spacing w:line="360" w:lineRule="auto"/>
        <w:ind w:firstLine="480"/>
        <w:jc w:val="both"/>
        <w:rPr>
          <w:rFonts w:ascii="Book Antiqua" w:hAnsi="Book Antiqua"/>
        </w:rPr>
      </w:pPr>
      <w:r w:rsidRPr="002215D5">
        <w:rPr>
          <w:rFonts w:ascii="Book Antiqua" w:eastAsia="Book Antiqua" w:hAnsi="Book Antiqua" w:cs="Book Antiqua"/>
          <w:color w:val="000000"/>
        </w:rPr>
        <w:t>Inflammatory bowel diseases (IBD) encompass ulcerative colitis and Crohn’s disease. They are chronic, relapsing, autoimmune inflammatory disorders of the gut, frequently requiring immunosuppressive and biological therapies to control disease activity. Patients with IBD, treated with immune suppressants, are at an increased risk of opportunistic and serious infections</w:t>
      </w:r>
      <w:r w:rsidRPr="002215D5">
        <w:rPr>
          <w:rFonts w:ascii="Book Antiqua" w:eastAsia="Book Antiqua" w:hAnsi="Book Antiqua" w:cs="Book Antiqua"/>
          <w:color w:val="000000"/>
          <w:vertAlign w:val="superscript"/>
        </w:rPr>
        <w:t>[6]</w:t>
      </w:r>
      <w:r w:rsidRPr="002215D5">
        <w:rPr>
          <w:rFonts w:ascii="Book Antiqua" w:eastAsia="Book Antiqua" w:hAnsi="Book Antiqua" w:cs="Book Antiqua"/>
          <w:color w:val="000000"/>
        </w:rPr>
        <w:t>, including viral infection</w:t>
      </w:r>
      <w:r w:rsidRPr="002215D5">
        <w:rPr>
          <w:rFonts w:ascii="Book Antiqua" w:eastAsia="Book Antiqua" w:hAnsi="Book Antiqua" w:cs="Book Antiqua"/>
          <w:color w:val="000000"/>
          <w:vertAlign w:val="superscript"/>
        </w:rPr>
        <w:t>[7,8]</w:t>
      </w:r>
      <w:r w:rsidRPr="002215D5">
        <w:rPr>
          <w:rFonts w:ascii="Book Antiqua" w:eastAsia="Book Antiqua" w:hAnsi="Book Antiqua" w:cs="Book Antiqua"/>
          <w:color w:val="000000"/>
        </w:rPr>
        <w:t>. Hence, particular concerns have been raised for patients suffering from IBD throughout the SARS-CoV-2 pandemic</w:t>
      </w:r>
      <w:r w:rsidRPr="002215D5">
        <w:rPr>
          <w:rFonts w:ascii="Book Antiqua" w:eastAsia="Book Antiqua" w:hAnsi="Book Antiqua" w:cs="Book Antiqua"/>
          <w:color w:val="000000"/>
          <w:vertAlign w:val="superscript"/>
        </w:rPr>
        <w:t>[8]</w:t>
      </w:r>
      <w:r w:rsidRPr="002215D5">
        <w:rPr>
          <w:rFonts w:ascii="Book Antiqua" w:eastAsia="Book Antiqua" w:hAnsi="Book Antiqua" w:cs="Book Antiqua"/>
          <w:color w:val="000000"/>
        </w:rPr>
        <w:t>, leading the medical community to rapidly generat</w:t>
      </w:r>
      <w:r w:rsidR="00E83EB0">
        <w:rPr>
          <w:rFonts w:ascii="Book Antiqua" w:eastAsia="Book Antiqua" w:hAnsi="Book Antiqua" w:cs="Book Antiqua"/>
          <w:color w:val="000000"/>
        </w:rPr>
        <w:t>e</w:t>
      </w:r>
      <w:r w:rsidRPr="002215D5">
        <w:rPr>
          <w:rFonts w:ascii="Book Antiqua" w:eastAsia="Book Antiqua" w:hAnsi="Book Antiqua" w:cs="Book Antiqua"/>
          <w:color w:val="000000"/>
        </w:rPr>
        <w:t xml:space="preserve"> research in this field and international organizations to releas</w:t>
      </w:r>
      <w:r w:rsidR="00E83EB0">
        <w:rPr>
          <w:rFonts w:ascii="Book Antiqua" w:eastAsia="Book Antiqua" w:hAnsi="Book Antiqua" w:cs="Book Antiqua"/>
          <w:color w:val="000000"/>
        </w:rPr>
        <w:t>e</w:t>
      </w:r>
      <w:r w:rsidRPr="002215D5">
        <w:rPr>
          <w:rFonts w:ascii="Book Antiqua" w:eastAsia="Book Antiqua" w:hAnsi="Book Antiqua" w:cs="Book Antiqua"/>
          <w:color w:val="000000"/>
        </w:rPr>
        <w:t xml:space="preserve"> timely recommendations under constant and frequent review. </w:t>
      </w:r>
    </w:p>
    <w:p w14:paraId="22958870" w14:textId="7D65193A"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 xml:space="preserve">The gastroenterological community has faced an unprecedented challenge, requiring not only to adapt the therapeutic management of IBD patients and redefine medical priorities but also to reorganize health care facilities. </w:t>
      </w:r>
    </w:p>
    <w:p w14:paraId="5D9FF88B" w14:textId="77777777" w:rsidR="00A77B3E" w:rsidRPr="002215D5" w:rsidRDefault="00A77B3E" w:rsidP="002215D5">
      <w:pPr>
        <w:spacing w:line="360" w:lineRule="auto"/>
        <w:ind w:firstLine="480"/>
        <w:jc w:val="both"/>
        <w:rPr>
          <w:rFonts w:ascii="Book Antiqua" w:hAnsi="Book Antiqua"/>
        </w:rPr>
      </w:pPr>
    </w:p>
    <w:p w14:paraId="5D0ECDC0"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bCs/>
          <w:caps/>
          <w:color w:val="000000"/>
          <w:u w:val="single"/>
        </w:rPr>
        <w:t>COVID-19 in IBD patients</w:t>
      </w:r>
    </w:p>
    <w:p w14:paraId="1BF8361D" w14:textId="1F421D84"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lastRenderedPageBreak/>
        <w:t xml:space="preserve">Accumulating evidence has demonstrated that </w:t>
      </w:r>
      <w:r w:rsidR="00F90D33" w:rsidRPr="002215D5">
        <w:rPr>
          <w:rFonts w:ascii="Book Antiqua" w:eastAsia="Book Antiqua" w:hAnsi="Book Antiqua" w:cs="Book Antiqua"/>
          <w:color w:val="000000"/>
        </w:rPr>
        <w:t>angiotensin-converting enzyme</w:t>
      </w:r>
      <w:r w:rsidRPr="002215D5">
        <w:rPr>
          <w:rFonts w:ascii="Book Antiqua" w:eastAsia="Book Antiqua" w:hAnsi="Book Antiqua" w:cs="Book Antiqua"/>
          <w:color w:val="000000"/>
        </w:rPr>
        <w:t xml:space="preserve"> 2 (ACE2) can mediate SARS-C</w:t>
      </w:r>
      <w:r w:rsidR="0079368A">
        <w:rPr>
          <w:rFonts w:ascii="Book Antiqua" w:eastAsia="Book Antiqua" w:hAnsi="Book Antiqua" w:cs="Book Antiqua"/>
          <w:color w:val="000000"/>
        </w:rPr>
        <w:t>o</w:t>
      </w:r>
      <w:r w:rsidRPr="002215D5">
        <w:rPr>
          <w:rFonts w:ascii="Book Antiqua" w:eastAsia="Book Antiqua" w:hAnsi="Book Antiqua" w:cs="Book Antiqua"/>
          <w:color w:val="000000"/>
        </w:rPr>
        <w:t>V-2 entry into cells</w:t>
      </w:r>
      <w:r w:rsidRPr="002215D5">
        <w:rPr>
          <w:rFonts w:ascii="Book Antiqua" w:eastAsia="Book Antiqua" w:hAnsi="Book Antiqua" w:cs="Book Antiqua"/>
          <w:color w:val="000000"/>
          <w:vertAlign w:val="superscript"/>
        </w:rPr>
        <w:t>[9]</w:t>
      </w:r>
      <w:r w:rsidRPr="002215D5">
        <w:rPr>
          <w:rFonts w:ascii="Book Antiqua" w:eastAsia="Book Antiqua" w:hAnsi="Book Antiqua" w:cs="Book Antiqua"/>
          <w:color w:val="000000"/>
        </w:rPr>
        <w:t>. Briefly, the spike protein of SARS-C</w:t>
      </w:r>
      <w:r w:rsidR="0079368A">
        <w:rPr>
          <w:rFonts w:ascii="Book Antiqua" w:eastAsia="Book Antiqua" w:hAnsi="Book Antiqua" w:cs="Book Antiqua"/>
          <w:color w:val="000000"/>
        </w:rPr>
        <w:t>o</w:t>
      </w:r>
      <w:r w:rsidRPr="002215D5">
        <w:rPr>
          <w:rFonts w:ascii="Book Antiqua" w:eastAsia="Book Antiqua" w:hAnsi="Book Antiqua" w:cs="Book Antiqua"/>
          <w:color w:val="000000"/>
        </w:rPr>
        <w:t>V</w:t>
      </w:r>
      <w:r w:rsidR="0079368A">
        <w:rPr>
          <w:rFonts w:ascii="Book Antiqua" w:eastAsia="Book Antiqua" w:hAnsi="Book Antiqua" w:cs="Book Antiqua"/>
          <w:color w:val="000000"/>
        </w:rPr>
        <w:t>-</w:t>
      </w:r>
      <w:r w:rsidRPr="002215D5">
        <w:rPr>
          <w:rFonts w:ascii="Book Antiqua" w:eastAsia="Book Antiqua" w:hAnsi="Book Antiqua" w:cs="Book Antiqua"/>
          <w:color w:val="000000"/>
        </w:rPr>
        <w:t xml:space="preserve">2 binds to the extracellular portion of ACE2, resulting in the internalization of the complex receptor-virus. This internalization process is favored by the presence of another protein, </w:t>
      </w:r>
      <w:r w:rsidRPr="002215D5">
        <w:rPr>
          <w:rFonts w:ascii="Book Antiqua" w:eastAsia="Book Antiqua" w:hAnsi="Book Antiqua" w:cs="Book Antiqua"/>
          <w:i/>
          <w:color w:val="000000"/>
        </w:rPr>
        <w:t>i.e.</w:t>
      </w:r>
      <w:r w:rsidRPr="002215D5">
        <w:rPr>
          <w:rFonts w:ascii="Book Antiqua" w:eastAsia="Book Antiqua" w:hAnsi="Book Antiqua" w:cs="Book Antiqua"/>
          <w:color w:val="000000"/>
        </w:rPr>
        <w:t xml:space="preserve"> TMPRSS2, a protease that cleaves the intracellular portion of ACE2. Conversely, another transmembrane protein, called ADAM17, can cleave ACE2 generating its soluble form that could in turn act as a decoy receptor for the virus</w:t>
      </w:r>
      <w:r w:rsidRPr="002215D5">
        <w:rPr>
          <w:rFonts w:ascii="Book Antiqua" w:eastAsia="Book Antiqua" w:hAnsi="Book Antiqua" w:cs="Book Antiqua"/>
          <w:color w:val="000000"/>
          <w:vertAlign w:val="superscript"/>
        </w:rPr>
        <w:t>[10]</w:t>
      </w:r>
      <w:r w:rsidRPr="002215D5">
        <w:rPr>
          <w:rFonts w:ascii="Book Antiqua" w:eastAsia="Book Antiqua" w:hAnsi="Book Antiqua" w:cs="Book Antiqua"/>
          <w:color w:val="000000"/>
        </w:rPr>
        <w:t xml:space="preserve">. </w:t>
      </w:r>
    </w:p>
    <w:p w14:paraId="1C40B793" w14:textId="45F95C12"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 xml:space="preserve">ACE2 and TMPRSS2 are physiologically expressed by different cells within the human body, including in the gastrointestinal tract, with peaking concentrations in the terminal ileum and colon. Various single nucleotide polymorphisms have been detected in both genes, but the data so far obtained studying different populations are controversial, not demonstrating a clear </w:t>
      </w:r>
      <w:r w:rsidR="00992FA8" w:rsidRPr="002215D5">
        <w:rPr>
          <w:rFonts w:ascii="Book Antiqua" w:eastAsia="Book Antiqua" w:hAnsi="Book Antiqua" w:cs="Book Antiqua"/>
          <w:color w:val="000000"/>
        </w:rPr>
        <w:t xml:space="preserve">genetic </w:t>
      </w:r>
      <w:r w:rsidRPr="002215D5">
        <w:rPr>
          <w:rFonts w:ascii="Book Antiqua" w:eastAsia="Book Antiqua" w:hAnsi="Book Antiqua" w:cs="Book Antiqua"/>
          <w:color w:val="000000"/>
        </w:rPr>
        <w:t>predisposition to SARS-C</w:t>
      </w:r>
      <w:r w:rsidR="007C6C47">
        <w:rPr>
          <w:rFonts w:ascii="Book Antiqua" w:eastAsia="Book Antiqua" w:hAnsi="Book Antiqua" w:cs="Book Antiqua"/>
          <w:color w:val="000000"/>
        </w:rPr>
        <w:t>o</w:t>
      </w:r>
      <w:r w:rsidRPr="002215D5">
        <w:rPr>
          <w:rFonts w:ascii="Book Antiqua" w:eastAsia="Book Antiqua" w:hAnsi="Book Antiqua" w:cs="Book Antiqua"/>
          <w:color w:val="000000"/>
        </w:rPr>
        <w:t>V</w:t>
      </w:r>
      <w:r w:rsidR="007C6C47">
        <w:rPr>
          <w:rFonts w:ascii="Book Antiqua" w:eastAsia="Book Antiqua" w:hAnsi="Book Antiqua" w:cs="Book Antiqua"/>
          <w:color w:val="000000"/>
        </w:rPr>
        <w:t>-</w:t>
      </w:r>
      <w:r w:rsidRPr="002215D5">
        <w:rPr>
          <w:rFonts w:ascii="Book Antiqua" w:eastAsia="Book Antiqua" w:hAnsi="Book Antiqua" w:cs="Book Antiqua"/>
          <w:color w:val="000000"/>
        </w:rPr>
        <w:t>2 infection</w:t>
      </w:r>
      <w:r w:rsidRPr="002215D5">
        <w:rPr>
          <w:rFonts w:ascii="Book Antiqua" w:eastAsia="Book Antiqua" w:hAnsi="Book Antiqua" w:cs="Book Antiqua"/>
          <w:color w:val="000000"/>
          <w:vertAlign w:val="superscript"/>
        </w:rPr>
        <w:t>[11,12]</w:t>
      </w:r>
      <w:r w:rsidRPr="002215D5">
        <w:rPr>
          <w:rFonts w:ascii="Book Antiqua" w:eastAsia="Book Antiqua" w:hAnsi="Book Antiqua" w:cs="Book Antiqua"/>
          <w:color w:val="000000"/>
        </w:rPr>
        <w:t>. Nonetheless, in IBD-affected patients, levels of ACE2 are higher than in the general population</w:t>
      </w:r>
      <w:r w:rsidRPr="002215D5">
        <w:rPr>
          <w:rFonts w:ascii="Book Antiqua" w:eastAsia="Book Antiqua" w:hAnsi="Book Antiqua" w:cs="Book Antiqua"/>
          <w:color w:val="000000"/>
          <w:vertAlign w:val="superscript"/>
        </w:rPr>
        <w:t>[13]</w:t>
      </w:r>
      <w:r w:rsidRPr="002215D5">
        <w:rPr>
          <w:rFonts w:ascii="Book Antiqua" w:eastAsia="Book Antiqua" w:hAnsi="Book Antiqua" w:cs="Book Antiqua"/>
          <w:color w:val="000000"/>
        </w:rPr>
        <w:t>, being the latter independently and differently regulated in the large and small intestines upon inflammation</w:t>
      </w:r>
      <w:r w:rsidRPr="002215D5">
        <w:rPr>
          <w:rFonts w:ascii="Book Antiqua" w:eastAsia="Book Antiqua" w:hAnsi="Book Antiqua" w:cs="Book Antiqua"/>
          <w:color w:val="000000"/>
          <w:vertAlign w:val="superscript"/>
        </w:rPr>
        <w:t>[14,15]</w:t>
      </w:r>
      <w:r w:rsidRPr="002215D5">
        <w:rPr>
          <w:rFonts w:ascii="Book Antiqua" w:eastAsia="Book Antiqua" w:hAnsi="Book Antiqua" w:cs="Book Antiqua"/>
          <w:color w:val="000000"/>
        </w:rPr>
        <w:t>. This feature could represent a significantly increased risk of contracting SARS-CoV-2 for IBD patients, even though inflammation also triggers the expression of ADAM17</w:t>
      </w:r>
      <w:r w:rsidRPr="002215D5">
        <w:rPr>
          <w:rFonts w:ascii="Book Antiqua" w:eastAsia="Book Antiqua" w:hAnsi="Book Antiqua" w:cs="Book Antiqua"/>
          <w:color w:val="000000"/>
          <w:vertAlign w:val="superscript"/>
        </w:rPr>
        <w:t>[16]</w:t>
      </w:r>
      <w:r w:rsidRPr="002215D5">
        <w:rPr>
          <w:rFonts w:ascii="Book Antiqua" w:eastAsia="Book Antiqua" w:hAnsi="Book Antiqua" w:cs="Book Antiqua"/>
          <w:color w:val="000000"/>
        </w:rPr>
        <w:t xml:space="preserve">, which could have an opposite effect. </w:t>
      </w:r>
    </w:p>
    <w:p w14:paraId="79CF4F5A" w14:textId="734FD591"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Another protein with an increased expression in both IBD and COVID-19 is interleukin 17 (IL-17)</w:t>
      </w:r>
      <w:r w:rsidRPr="002215D5">
        <w:rPr>
          <w:rFonts w:ascii="Book Antiqua" w:eastAsia="Book Antiqua" w:hAnsi="Book Antiqua" w:cs="Book Antiqua"/>
          <w:color w:val="000000"/>
          <w:vertAlign w:val="superscript"/>
        </w:rPr>
        <w:t>[17,18]</w:t>
      </w:r>
      <w:r w:rsidRPr="002215D5">
        <w:rPr>
          <w:rFonts w:ascii="Book Antiqua" w:eastAsia="Book Antiqua" w:hAnsi="Book Antiqua" w:cs="Book Antiqua"/>
          <w:color w:val="000000"/>
        </w:rPr>
        <w:t>.</w:t>
      </w:r>
      <w:r w:rsidR="00992FA8" w:rsidRPr="002215D5">
        <w:rPr>
          <w:rFonts w:ascii="Book Antiqua" w:eastAsia="Book Antiqua" w:hAnsi="Book Antiqua" w:cs="Book Antiqua"/>
          <w:color w:val="000000"/>
        </w:rPr>
        <w:t xml:space="preserve"> </w:t>
      </w:r>
      <w:r w:rsidRPr="002215D5">
        <w:rPr>
          <w:rFonts w:ascii="Book Antiqua" w:eastAsia="Book Antiqua" w:hAnsi="Book Antiqua" w:cs="Book Antiqua"/>
          <w:color w:val="000000"/>
        </w:rPr>
        <w:t>It is a cytokine produced and released by T</w:t>
      </w:r>
      <w:r w:rsidR="00B83CD1">
        <w:rPr>
          <w:rFonts w:ascii="Book Antiqua" w:eastAsia="Book Antiqua" w:hAnsi="Book Antiqua" w:cs="Book Antiqua"/>
          <w:color w:val="000000"/>
        </w:rPr>
        <w:t xml:space="preserve"> </w:t>
      </w:r>
      <w:r w:rsidRPr="002215D5">
        <w:rPr>
          <w:rFonts w:ascii="Book Antiqua" w:eastAsia="Book Antiqua" w:hAnsi="Book Antiqua" w:cs="Book Antiqua"/>
          <w:color w:val="000000"/>
        </w:rPr>
        <w:t>helper 17 lymphocytes, displaying complex and variegate immune functions, and involved in the immune pathogenesis of IBD.</w:t>
      </w:r>
      <w:r w:rsidRPr="002215D5">
        <w:rPr>
          <w:rFonts w:ascii="Book Antiqua" w:eastAsia="Book Antiqua" w:hAnsi="Book Antiqua" w:cs="Book Antiqua"/>
          <w:color w:val="000000"/>
          <w:shd w:val="clear" w:color="auto" w:fill="FFFFFF"/>
        </w:rPr>
        <w:t xml:space="preserve"> </w:t>
      </w:r>
      <w:r w:rsidRPr="002215D5">
        <w:rPr>
          <w:rFonts w:ascii="Book Antiqua" w:eastAsia="Book Antiqua" w:hAnsi="Book Antiqua" w:cs="Book Antiqua"/>
          <w:color w:val="000000"/>
        </w:rPr>
        <w:t xml:space="preserve">In </w:t>
      </w:r>
      <w:r w:rsidR="00B83CD1">
        <w:rPr>
          <w:rFonts w:ascii="Book Antiqua" w:eastAsia="Book Antiqua" w:hAnsi="Book Antiqua" w:cs="Book Antiqua"/>
          <w:color w:val="000000"/>
        </w:rPr>
        <w:t>a</w:t>
      </w:r>
      <w:r w:rsidRPr="002215D5">
        <w:rPr>
          <w:rFonts w:ascii="Book Antiqua" w:eastAsia="Book Antiqua" w:hAnsi="Book Antiqua" w:cs="Book Antiqua"/>
          <w:color w:val="000000"/>
        </w:rPr>
        <w:t xml:space="preserve">cute </w:t>
      </w:r>
      <w:r w:rsidR="00B83CD1">
        <w:rPr>
          <w:rFonts w:ascii="Book Antiqua" w:eastAsia="Book Antiqua" w:hAnsi="Book Antiqua" w:cs="Book Antiqua"/>
          <w:color w:val="000000"/>
        </w:rPr>
        <w:t>r</w:t>
      </w:r>
      <w:r w:rsidRPr="002215D5">
        <w:rPr>
          <w:rFonts w:ascii="Book Antiqua" w:eastAsia="Book Antiqua" w:hAnsi="Book Antiqua" w:cs="Book Antiqua"/>
          <w:color w:val="000000"/>
        </w:rPr>
        <w:t xml:space="preserve">espiratory </w:t>
      </w:r>
      <w:r w:rsidR="00B83CD1">
        <w:rPr>
          <w:rFonts w:ascii="Book Antiqua" w:eastAsia="Book Antiqua" w:hAnsi="Book Antiqua" w:cs="Book Antiqua"/>
          <w:color w:val="000000"/>
        </w:rPr>
        <w:t>d</w:t>
      </w:r>
      <w:r w:rsidRPr="002215D5">
        <w:rPr>
          <w:rFonts w:ascii="Book Antiqua" w:eastAsia="Book Antiqua" w:hAnsi="Book Antiqua" w:cs="Book Antiqua"/>
          <w:color w:val="000000"/>
        </w:rPr>
        <w:t xml:space="preserve">istress </w:t>
      </w:r>
      <w:r w:rsidR="00B83CD1">
        <w:rPr>
          <w:rFonts w:ascii="Book Antiqua" w:eastAsia="Book Antiqua" w:hAnsi="Book Antiqua" w:cs="Book Antiqua"/>
          <w:color w:val="000000"/>
        </w:rPr>
        <w:t>s</w:t>
      </w:r>
      <w:r w:rsidRPr="002215D5">
        <w:rPr>
          <w:rFonts w:ascii="Book Antiqua" w:eastAsia="Book Antiqua" w:hAnsi="Book Antiqua" w:cs="Book Antiqua"/>
          <w:color w:val="000000"/>
        </w:rPr>
        <w:t xml:space="preserve">yndrome induced both by SARS-CoV-2 infection and other betacoronaviruses, IL-17 </w:t>
      </w:r>
      <w:r w:rsidR="00992FA8" w:rsidRPr="002215D5">
        <w:rPr>
          <w:rFonts w:ascii="Book Antiqua" w:eastAsia="Book Antiqua" w:hAnsi="Book Antiqua" w:cs="Book Antiqua"/>
          <w:color w:val="000000"/>
        </w:rPr>
        <w:t>l</w:t>
      </w:r>
      <w:r w:rsidRPr="002215D5">
        <w:rPr>
          <w:rFonts w:ascii="Book Antiqua" w:eastAsia="Book Antiqua" w:hAnsi="Book Antiqua" w:cs="Book Antiqua"/>
          <w:color w:val="000000"/>
        </w:rPr>
        <w:t>evels have been reported to be significantly elevated</w:t>
      </w:r>
      <w:r w:rsidR="004C107D">
        <w:rPr>
          <w:rFonts w:ascii="Book Antiqua" w:eastAsia="Book Antiqua" w:hAnsi="Book Antiqua" w:cs="Book Antiqua"/>
          <w:color w:val="000000"/>
        </w:rPr>
        <w:t>,</w:t>
      </w:r>
      <w:r w:rsidRPr="002215D5">
        <w:rPr>
          <w:rFonts w:ascii="Book Antiqua" w:eastAsia="Book Antiqua" w:hAnsi="Book Antiqua" w:cs="Book Antiqua"/>
          <w:color w:val="000000"/>
        </w:rPr>
        <w:t xml:space="preserve"> and preliminary evidence support</w:t>
      </w:r>
      <w:r w:rsidR="00992FA8" w:rsidRPr="002215D5">
        <w:rPr>
          <w:rFonts w:ascii="Book Antiqua" w:eastAsia="Book Antiqua" w:hAnsi="Book Antiqua" w:cs="Book Antiqua"/>
          <w:color w:val="000000"/>
        </w:rPr>
        <w:t>s</w:t>
      </w:r>
      <w:r w:rsidRPr="002215D5">
        <w:rPr>
          <w:rFonts w:ascii="Book Antiqua" w:eastAsia="Book Antiqua" w:hAnsi="Book Antiqua" w:cs="Book Antiqua"/>
          <w:color w:val="000000"/>
        </w:rPr>
        <w:t xml:space="preserve"> its contribution to immunopathology</w:t>
      </w:r>
      <w:r w:rsidRPr="002215D5">
        <w:rPr>
          <w:rFonts w:ascii="Book Antiqua" w:eastAsia="Book Antiqua" w:hAnsi="Book Antiqua" w:cs="Book Antiqua"/>
          <w:color w:val="000000"/>
          <w:vertAlign w:val="superscript"/>
        </w:rPr>
        <w:t>[19]</w:t>
      </w:r>
      <w:r w:rsidRPr="002215D5">
        <w:rPr>
          <w:rFonts w:ascii="Book Antiqua" w:eastAsia="Book Antiqua" w:hAnsi="Book Antiqua" w:cs="Book Antiqua"/>
          <w:color w:val="000000"/>
        </w:rPr>
        <w:t xml:space="preserve">. </w:t>
      </w:r>
      <w:r w:rsidRPr="002215D5">
        <w:rPr>
          <w:rFonts w:ascii="Book Antiqua" w:eastAsia="Book Antiqua" w:hAnsi="Book Antiqua" w:cs="Book Antiqua"/>
          <w:color w:val="000000"/>
          <w:shd w:val="clear" w:color="auto" w:fill="FFFFFF"/>
        </w:rPr>
        <w:t xml:space="preserve">Furthermore, it seems that synergism between IL-17 and other cytokines, </w:t>
      </w:r>
      <w:r w:rsidRPr="002215D5">
        <w:rPr>
          <w:rFonts w:ascii="Book Antiqua" w:eastAsia="Book Antiqua" w:hAnsi="Book Antiqua" w:cs="Book Antiqua"/>
          <w:i/>
          <w:color w:val="000000"/>
          <w:shd w:val="clear" w:color="auto" w:fill="FFFFFF"/>
        </w:rPr>
        <w:t>i.e.</w:t>
      </w:r>
      <w:r w:rsidRPr="002215D5">
        <w:rPr>
          <w:rFonts w:ascii="Book Antiqua" w:eastAsia="Book Antiqua" w:hAnsi="Book Antiqua" w:cs="Book Antiqua"/>
          <w:color w:val="000000"/>
          <w:shd w:val="clear" w:color="auto" w:fill="FFFFFF"/>
        </w:rPr>
        <w:t xml:space="preserve"> IL-6, can promote viral replication</w:t>
      </w:r>
      <w:r w:rsidRPr="002215D5">
        <w:rPr>
          <w:rFonts w:ascii="Book Antiqua" w:eastAsia="Book Antiqua" w:hAnsi="Book Antiqua" w:cs="Book Antiqua"/>
          <w:color w:val="000000"/>
          <w:shd w:val="clear" w:color="auto" w:fill="FFFFFF"/>
          <w:vertAlign w:val="superscript"/>
        </w:rPr>
        <w:t>[20]</w:t>
      </w:r>
      <w:r w:rsidRPr="002215D5">
        <w:rPr>
          <w:rFonts w:ascii="Book Antiqua" w:eastAsia="Book Antiqua" w:hAnsi="Book Antiqua" w:cs="Book Antiqua"/>
          <w:color w:val="000000"/>
          <w:shd w:val="clear" w:color="auto" w:fill="FFFFFF"/>
        </w:rPr>
        <w:t>.</w:t>
      </w:r>
      <w:r w:rsidR="00992FA8" w:rsidRPr="002215D5">
        <w:rPr>
          <w:rFonts w:ascii="Book Antiqua" w:eastAsia="Book Antiqua" w:hAnsi="Book Antiqua" w:cs="Book Antiqua"/>
          <w:color w:val="000000"/>
          <w:shd w:val="clear" w:color="auto" w:fill="FFFFFF"/>
        </w:rPr>
        <w:t xml:space="preserve"> </w:t>
      </w:r>
      <w:r w:rsidRPr="002215D5">
        <w:rPr>
          <w:rFonts w:ascii="Book Antiqua" w:eastAsia="Book Antiqua" w:hAnsi="Book Antiqua" w:cs="Book Antiqua"/>
          <w:color w:val="000000"/>
          <w:shd w:val="clear" w:color="auto" w:fill="FFFFFF"/>
        </w:rPr>
        <w:t>The exact role of IL-17 expression and the risk of SARS-CoV-2 infection or COVID-19 disease course is still to be determined; however, a</w:t>
      </w:r>
      <w:r w:rsidRPr="002215D5">
        <w:rPr>
          <w:rFonts w:ascii="Book Antiqua" w:eastAsia="Book Antiqua" w:hAnsi="Book Antiqua" w:cs="Book Antiqua"/>
          <w:color w:val="000000"/>
        </w:rPr>
        <w:t xml:space="preserve">gents endowed with anti-IL-17 function, among which probiotic strains of </w:t>
      </w:r>
      <w:r w:rsidRPr="004651CF">
        <w:rPr>
          <w:rFonts w:ascii="Book Antiqua" w:eastAsia="Book Antiqua" w:hAnsi="Book Antiqua" w:cs="Book Antiqua"/>
          <w:i/>
          <w:iCs/>
          <w:color w:val="000000"/>
        </w:rPr>
        <w:t>Bifidobacteria</w:t>
      </w:r>
      <w:r w:rsidRPr="002215D5">
        <w:rPr>
          <w:rFonts w:ascii="Book Antiqua" w:eastAsia="Book Antiqua" w:hAnsi="Book Antiqua" w:cs="Book Antiqua"/>
          <w:color w:val="000000"/>
        </w:rPr>
        <w:t>, have already been proposed as an adjunct therapeutic approach</w:t>
      </w:r>
      <w:r w:rsidRPr="002215D5">
        <w:rPr>
          <w:rFonts w:ascii="Book Antiqua" w:eastAsia="Book Antiqua" w:hAnsi="Book Antiqua" w:cs="Book Antiqua"/>
          <w:color w:val="000000"/>
          <w:vertAlign w:val="superscript"/>
        </w:rPr>
        <w:t>[21,22]</w:t>
      </w:r>
      <w:r w:rsidRPr="002215D5">
        <w:rPr>
          <w:rFonts w:ascii="Book Antiqua" w:eastAsia="Book Antiqua" w:hAnsi="Book Antiqua" w:cs="Book Antiqua"/>
          <w:color w:val="000000"/>
        </w:rPr>
        <w:t>.</w:t>
      </w:r>
    </w:p>
    <w:p w14:paraId="21241E71" w14:textId="58C0FF08"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lastRenderedPageBreak/>
        <w:t>Based on these findings, it was initially hypothesized that patients with IBD could have an increased risk to become infected with SARS-CoV-2. However, the evidence collected so far suggests that the cumulative incidence of the infection [assessed through nasopharyngeal swab (NPS) tests] in IBD patients is similar or even lower to that observed in the general background population during the same pandemic period</w:t>
      </w:r>
      <w:r w:rsidRPr="002215D5">
        <w:rPr>
          <w:rFonts w:ascii="Book Antiqua" w:eastAsia="Book Antiqua" w:hAnsi="Book Antiqua" w:cs="Book Antiqua"/>
          <w:color w:val="000000"/>
          <w:vertAlign w:val="superscript"/>
        </w:rPr>
        <w:t>[23–26]</w:t>
      </w:r>
      <w:r w:rsidRPr="002215D5">
        <w:rPr>
          <w:rFonts w:ascii="Book Antiqua" w:eastAsia="Book Antiqua" w:hAnsi="Book Antiqua" w:cs="Book Antiqua"/>
          <w:color w:val="000000"/>
        </w:rPr>
        <w:t xml:space="preserve">. In a recent Danish nationwide population-based study on IBD-affected patients, the latter displayed a significantly lower prevalence than the general population (2.55% </w:t>
      </w:r>
      <w:r w:rsidRPr="002215D5">
        <w:rPr>
          <w:rFonts w:ascii="Book Antiqua" w:eastAsia="Book Antiqua" w:hAnsi="Book Antiqua" w:cs="Book Antiqua"/>
          <w:i/>
          <w:iCs/>
          <w:color w:val="000000"/>
        </w:rPr>
        <w:t>vs</w:t>
      </w:r>
      <w:r w:rsidRPr="002215D5">
        <w:rPr>
          <w:rFonts w:ascii="Book Antiqua" w:eastAsia="Book Antiqua" w:hAnsi="Book Antiqua" w:cs="Book Antiqua"/>
          <w:color w:val="000000"/>
        </w:rPr>
        <w:t xml:space="preserve"> 3.7%</w:t>
      </w:r>
      <w:r w:rsidR="00F40DD0">
        <w:rPr>
          <w:rFonts w:ascii="Book Antiqua" w:eastAsia="Book Antiqua" w:hAnsi="Book Antiqua" w:cs="Book Antiqua"/>
          <w:color w:val="000000"/>
        </w:rPr>
        <w:t>;</w:t>
      </w:r>
      <w:r w:rsidRPr="002215D5">
        <w:rPr>
          <w:rFonts w:ascii="Book Antiqua" w:eastAsia="Book Antiqua" w:hAnsi="Book Antiqua" w:cs="Book Antiqua"/>
          <w:color w:val="000000"/>
        </w:rPr>
        <w:t xml:space="preserve"> </w:t>
      </w:r>
      <w:r w:rsidRPr="002215D5">
        <w:rPr>
          <w:rFonts w:ascii="Book Antiqua" w:eastAsia="Book Antiqua" w:hAnsi="Book Antiqua" w:cs="Book Antiqua"/>
          <w:i/>
          <w:iCs/>
          <w:caps/>
          <w:color w:val="000000"/>
        </w:rPr>
        <w:t>p</w:t>
      </w:r>
      <w:r w:rsidRPr="002215D5">
        <w:rPr>
          <w:rFonts w:ascii="Book Antiqua" w:eastAsia="Book Antiqua" w:hAnsi="Book Antiqua" w:cs="Book Antiqua"/>
          <w:color w:val="000000"/>
        </w:rPr>
        <w:t xml:space="preserve"> &lt; 0.01). Whether this occurred secondarily to a more stringent self-isolation and shielding of IBD patients as compared to healthy subjects is yet to be understood. </w:t>
      </w:r>
    </w:p>
    <w:p w14:paraId="01B09A83" w14:textId="77777777"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Furthermore, it seems that immunosuppressive treatments do not increase the risk of contracting SARS-CoV-2</w:t>
      </w:r>
      <w:r w:rsidRPr="002215D5">
        <w:rPr>
          <w:rFonts w:ascii="Book Antiqua" w:eastAsia="Book Antiqua" w:hAnsi="Book Antiqua" w:cs="Book Antiqua"/>
          <w:color w:val="000000"/>
          <w:vertAlign w:val="superscript"/>
        </w:rPr>
        <w:t>[27,28]</w:t>
      </w:r>
      <w:r w:rsidRPr="002215D5">
        <w:rPr>
          <w:rFonts w:ascii="Book Antiqua" w:eastAsia="Book Antiqua" w:hAnsi="Book Antiqua" w:cs="Book Antiqua"/>
          <w:color w:val="000000"/>
        </w:rPr>
        <w:t>. This aspect was also confirmed by seroprevalence studies, which showed similar seroprevalence in IBD patients treated with biological agents to the one determined in the general population from the same geographical region</w:t>
      </w:r>
      <w:r w:rsidRPr="002215D5">
        <w:rPr>
          <w:rFonts w:ascii="Book Antiqua" w:eastAsia="Book Antiqua" w:hAnsi="Book Antiqua" w:cs="Book Antiqua"/>
          <w:color w:val="000000"/>
          <w:vertAlign w:val="superscript"/>
        </w:rPr>
        <w:t>[29,30]</w:t>
      </w:r>
      <w:r w:rsidRPr="002215D5">
        <w:rPr>
          <w:rFonts w:ascii="Book Antiqua" w:eastAsia="Book Antiqua" w:hAnsi="Book Antiqua" w:cs="Book Antiqua"/>
          <w:color w:val="000000"/>
        </w:rPr>
        <w:t>.</w:t>
      </w:r>
    </w:p>
    <w:p w14:paraId="6F2455AD" w14:textId="5CF5C4DC" w:rsidR="00604CC0" w:rsidRPr="002215D5" w:rsidRDefault="00BF1368" w:rsidP="002215D5">
      <w:pPr>
        <w:spacing w:line="360" w:lineRule="auto"/>
        <w:ind w:firstLine="480"/>
        <w:jc w:val="both"/>
        <w:rPr>
          <w:rFonts w:ascii="Book Antiqua" w:eastAsia="Book Antiqua" w:hAnsi="Book Antiqua" w:cs="Book Antiqua"/>
          <w:color w:val="000000"/>
        </w:rPr>
      </w:pPr>
      <w:r w:rsidRPr="002215D5">
        <w:rPr>
          <w:rFonts w:ascii="Book Antiqua" w:eastAsia="Book Antiqua" w:hAnsi="Book Antiqua" w:cs="Book Antiqua"/>
          <w:color w:val="000000"/>
        </w:rPr>
        <w:t>Regarding the clinical presentation of COVID</w:t>
      </w:r>
      <w:r w:rsidR="00604CC0" w:rsidRPr="002215D5">
        <w:rPr>
          <w:rFonts w:ascii="Book Antiqua" w:eastAsia="Book Antiqua" w:hAnsi="Book Antiqua" w:cs="Book Antiqua"/>
          <w:color w:val="000000"/>
        </w:rPr>
        <w:t>-</w:t>
      </w:r>
      <w:r w:rsidRPr="002215D5">
        <w:rPr>
          <w:rFonts w:ascii="Book Antiqua" w:eastAsia="Book Antiqua" w:hAnsi="Book Antiqua" w:cs="Book Antiqua"/>
          <w:color w:val="000000"/>
        </w:rPr>
        <w:t>19 in IBD patients, the most frequent symptoms were fever and cough</w:t>
      </w:r>
      <w:r w:rsidRPr="002215D5">
        <w:rPr>
          <w:rFonts w:ascii="Book Antiqua" w:eastAsia="Book Antiqua" w:hAnsi="Book Antiqua" w:cs="Book Antiqua"/>
          <w:color w:val="000000"/>
          <w:vertAlign w:val="superscript"/>
        </w:rPr>
        <w:t>[31]</w:t>
      </w:r>
      <w:r w:rsidRPr="002215D5">
        <w:rPr>
          <w:rFonts w:ascii="Book Antiqua" w:eastAsia="Book Antiqua" w:hAnsi="Book Antiqua" w:cs="Book Antiqua"/>
          <w:color w:val="000000"/>
        </w:rPr>
        <w:t>. Yet, diarrhea was more commonly reported in IBD patients with SARS-CoV-2 compared to non-IBD patients, with a prevalence ranging from 8% to 49% in different studies</w:t>
      </w:r>
      <w:r w:rsidRPr="002215D5">
        <w:rPr>
          <w:rFonts w:ascii="Book Antiqua" w:eastAsia="Book Antiqua" w:hAnsi="Book Antiqua" w:cs="Book Antiqua"/>
          <w:color w:val="000000"/>
          <w:vertAlign w:val="superscript"/>
        </w:rPr>
        <w:t xml:space="preserve">[25,31–36] </w:t>
      </w:r>
      <w:r w:rsidRPr="002215D5">
        <w:rPr>
          <w:rFonts w:ascii="Book Antiqua" w:eastAsia="Book Antiqua" w:hAnsi="Book Antiqua" w:cs="Book Antiqua"/>
          <w:color w:val="000000"/>
        </w:rPr>
        <w:t xml:space="preserve">and a pooled estimate of 20%, </w:t>
      </w:r>
      <w:r w:rsidR="00353FCB">
        <w:rPr>
          <w:rFonts w:ascii="Book Antiqua" w:eastAsia="Book Antiqua" w:hAnsi="Book Antiqua" w:cs="Book Antiqua"/>
          <w:color w:val="000000"/>
        </w:rPr>
        <w:t xml:space="preserve">which was </w:t>
      </w:r>
      <w:r w:rsidRPr="002215D5">
        <w:rPr>
          <w:rFonts w:ascii="Book Antiqua" w:eastAsia="Book Antiqua" w:hAnsi="Book Antiqua" w:cs="Book Antiqua"/>
          <w:color w:val="000000"/>
        </w:rPr>
        <w:t>twice as high as the cumulative prevalence of diarrhea in the general population of COVID-19 patients</w:t>
      </w:r>
      <w:r w:rsidRPr="002215D5">
        <w:rPr>
          <w:rFonts w:ascii="Book Antiqua" w:eastAsia="Book Antiqua" w:hAnsi="Book Antiqua" w:cs="Book Antiqua"/>
          <w:color w:val="000000"/>
          <w:vertAlign w:val="superscript"/>
        </w:rPr>
        <w:t>[31]</w:t>
      </w:r>
      <w:r w:rsidRPr="002215D5">
        <w:rPr>
          <w:rFonts w:ascii="Book Antiqua" w:eastAsia="Book Antiqua" w:hAnsi="Book Antiqua" w:cs="Book Antiqua"/>
          <w:color w:val="000000"/>
        </w:rPr>
        <w:t>. This could be attributed to the inflammatory disease itself, but it could also occur as a consequence of exacerbation of intestinal inflammation through a direct viral action on the intestinal epithelium, as suggested by the higher concentration of fecal calprotectin in infected patients with diarrhea</w:t>
      </w:r>
      <w:r w:rsidRPr="002215D5">
        <w:rPr>
          <w:rFonts w:ascii="Book Antiqua" w:eastAsia="Book Antiqua" w:hAnsi="Book Antiqua" w:cs="Book Antiqua"/>
          <w:color w:val="000000"/>
          <w:vertAlign w:val="superscript"/>
        </w:rPr>
        <w:t>[33]</w:t>
      </w:r>
      <w:r w:rsidRPr="002215D5">
        <w:rPr>
          <w:rFonts w:ascii="Book Antiqua" w:eastAsia="Book Antiqua" w:hAnsi="Book Antiqua" w:cs="Book Antiqua"/>
          <w:color w:val="000000"/>
        </w:rPr>
        <w:t>. Indeed, a recent cohort study reported a higher prevalence of diarrhea among IBD patients with COVID-19 as compared to non-infected patients, independently from baseline disease activity at multiple regression analyses</w:t>
      </w:r>
      <w:r w:rsidRPr="002215D5">
        <w:rPr>
          <w:rFonts w:ascii="Book Antiqua" w:eastAsia="Book Antiqua" w:hAnsi="Book Antiqua" w:cs="Book Antiqua"/>
          <w:color w:val="000000"/>
          <w:vertAlign w:val="superscript"/>
        </w:rPr>
        <w:t>[32]</w:t>
      </w:r>
      <w:r w:rsidRPr="002215D5">
        <w:rPr>
          <w:rFonts w:ascii="Book Antiqua" w:eastAsia="Book Antiqua" w:hAnsi="Book Antiqua" w:cs="Book Antiqua"/>
          <w:color w:val="000000"/>
        </w:rPr>
        <w:t xml:space="preserve">. </w:t>
      </w:r>
    </w:p>
    <w:p w14:paraId="5FF7AFA1" w14:textId="77777777"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Moreover, gastrointestinal (GI) symptoms, including diarrhea, have been described as the sole manifestations of COVID-19 in about 10% of patients</w:t>
      </w:r>
      <w:r w:rsidRPr="002215D5">
        <w:rPr>
          <w:rFonts w:ascii="Book Antiqua" w:eastAsia="Book Antiqua" w:hAnsi="Book Antiqua" w:cs="Book Antiqua"/>
          <w:color w:val="000000"/>
          <w:vertAlign w:val="superscript"/>
        </w:rPr>
        <w:t>[25,37]</w:t>
      </w:r>
      <w:r w:rsidRPr="002215D5">
        <w:rPr>
          <w:rFonts w:ascii="Book Antiqua" w:eastAsia="Book Antiqua" w:hAnsi="Book Antiqua" w:cs="Book Antiqua"/>
          <w:color w:val="000000"/>
        </w:rPr>
        <w:t xml:space="preserve">, which is of particular relevance in patients with IBD since the infection could be misinterpreted as disease reactivation. It is therefore of paramount importance to raise awareness among </w:t>
      </w:r>
      <w:r w:rsidRPr="002215D5">
        <w:rPr>
          <w:rFonts w:ascii="Book Antiqua" w:eastAsia="Book Antiqua" w:hAnsi="Book Antiqua" w:cs="Book Antiqua"/>
          <w:color w:val="000000"/>
        </w:rPr>
        <w:lastRenderedPageBreak/>
        <w:t xml:space="preserve">clinicians on these specific clinical features of COVID-19 in patients with IBD and on the need for testing patients accordingly. </w:t>
      </w:r>
    </w:p>
    <w:p w14:paraId="3C19A5E8" w14:textId="5165DF14"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GI manifestations may actually help to spot SARS-CoV-2 infection in patients with negative NPS tests, through the assessment of stool samples. PCR testing for SARS-CoV-2 infection with NPS is the currently recommended diagnostic approach, yet false-negative results have occurred</w:t>
      </w:r>
      <w:r w:rsidRPr="002215D5">
        <w:rPr>
          <w:rFonts w:ascii="Book Antiqua" w:eastAsia="Book Antiqua" w:hAnsi="Book Antiqua" w:cs="Book Antiqua"/>
          <w:color w:val="000000"/>
          <w:vertAlign w:val="superscript"/>
        </w:rPr>
        <w:t>[38–43]</w:t>
      </w:r>
      <w:r w:rsidRPr="002215D5">
        <w:rPr>
          <w:rFonts w:ascii="Book Antiqua" w:eastAsia="Book Antiqua" w:hAnsi="Book Antiqua" w:cs="Book Antiqua"/>
          <w:color w:val="000000"/>
        </w:rPr>
        <w:t xml:space="preserve">. Explanations for this have included, besides poor specimen collection, absent or intermittent viral shedding from the upper airways and viral recovery in the oropharyngeal mucosa, whilst the virus may still be present in other tissues. Solid data demonstrated that fecal viral shedding may persist for up to nearly </w:t>
      </w:r>
      <w:r w:rsidR="00CF15EE">
        <w:rPr>
          <w:rFonts w:ascii="Book Antiqua" w:eastAsia="Book Antiqua" w:hAnsi="Book Antiqua" w:cs="Book Antiqua"/>
          <w:color w:val="000000"/>
        </w:rPr>
        <w:t>5</w:t>
      </w:r>
      <w:r w:rsidRPr="002215D5">
        <w:rPr>
          <w:rFonts w:ascii="Book Antiqua" w:eastAsia="Book Antiqua" w:hAnsi="Book Antiqua" w:cs="Book Antiqua"/>
          <w:color w:val="000000"/>
        </w:rPr>
        <w:t xml:space="preserve"> wk following the negativity of NPS</w:t>
      </w:r>
      <w:r w:rsidRPr="002215D5">
        <w:rPr>
          <w:rFonts w:ascii="Book Antiqua" w:eastAsia="Book Antiqua" w:hAnsi="Book Antiqua" w:cs="Book Antiqua"/>
          <w:color w:val="000000"/>
          <w:vertAlign w:val="superscript"/>
        </w:rPr>
        <w:t>[44–48]</w:t>
      </w:r>
      <w:r w:rsidRPr="002215D5">
        <w:rPr>
          <w:rFonts w:ascii="Book Antiqua" w:eastAsia="Book Antiqua" w:hAnsi="Book Antiqua" w:cs="Book Antiqua"/>
          <w:color w:val="000000"/>
        </w:rPr>
        <w:t xml:space="preserve">, being more prevalent in patients with GI symptoms in comparison to those with respiratory symptoms alone (73.3% </w:t>
      </w:r>
      <w:r w:rsidRPr="002215D5">
        <w:rPr>
          <w:rFonts w:ascii="Book Antiqua" w:eastAsia="Book Antiqua" w:hAnsi="Book Antiqua" w:cs="Book Antiqua"/>
          <w:i/>
          <w:iCs/>
          <w:color w:val="000000"/>
        </w:rPr>
        <w:t>vs</w:t>
      </w:r>
      <w:r w:rsidRPr="002215D5">
        <w:rPr>
          <w:rFonts w:ascii="Book Antiqua" w:eastAsia="Book Antiqua" w:hAnsi="Book Antiqua" w:cs="Book Antiqua"/>
          <w:color w:val="000000"/>
        </w:rPr>
        <w:t xml:space="preserve"> 14.3%; </w:t>
      </w:r>
      <w:r w:rsidRPr="002215D5">
        <w:rPr>
          <w:rFonts w:ascii="Book Antiqua" w:eastAsia="Book Antiqua" w:hAnsi="Book Antiqua" w:cs="Book Antiqua"/>
          <w:i/>
          <w:iCs/>
          <w:color w:val="000000"/>
        </w:rPr>
        <w:t>P</w:t>
      </w:r>
      <w:r w:rsidRPr="002215D5">
        <w:rPr>
          <w:rFonts w:ascii="Book Antiqua" w:eastAsia="Book Antiqua" w:hAnsi="Book Antiqua" w:cs="Book Antiqua"/>
          <w:color w:val="000000"/>
        </w:rPr>
        <w:t xml:space="preserve"> = 0.033)</w:t>
      </w:r>
      <w:r w:rsidRPr="002215D5">
        <w:rPr>
          <w:rFonts w:ascii="Book Antiqua" w:eastAsia="Book Antiqua" w:hAnsi="Book Antiqua" w:cs="Book Antiqua"/>
          <w:color w:val="000000"/>
          <w:vertAlign w:val="superscript"/>
        </w:rPr>
        <w:t>[49]</w:t>
      </w:r>
      <w:r w:rsidRPr="002215D5">
        <w:rPr>
          <w:rFonts w:ascii="Book Antiqua" w:eastAsia="Book Antiqua" w:hAnsi="Book Antiqua" w:cs="Book Antiqua"/>
          <w:color w:val="000000"/>
        </w:rPr>
        <w:t>. This may indicate that the virus can continue to replicate in the gut after being cleared from the respiratory tract, thus implying the possibility of fecal-oral transmission</w:t>
      </w:r>
      <w:r w:rsidRPr="002215D5">
        <w:rPr>
          <w:rFonts w:ascii="Book Antiqua" w:eastAsia="Book Antiqua" w:hAnsi="Book Antiqua" w:cs="Book Antiqua"/>
          <w:color w:val="000000"/>
          <w:vertAlign w:val="superscript"/>
        </w:rPr>
        <w:t>[45]</w:t>
      </w:r>
      <w:r w:rsidRPr="002215D5">
        <w:rPr>
          <w:rFonts w:ascii="Book Antiqua" w:eastAsia="Book Antiqua" w:hAnsi="Book Antiqua" w:cs="Book Antiqua"/>
          <w:color w:val="000000"/>
        </w:rPr>
        <w:t>. Although no clear evidence on the diagnostic performances of PCR testing on stools is available to date, patients with negative NPS and PCR positive stool samples were reported</w:t>
      </w:r>
      <w:r w:rsidRPr="002215D5">
        <w:rPr>
          <w:rFonts w:ascii="Book Antiqua" w:eastAsia="Book Antiqua" w:hAnsi="Book Antiqua" w:cs="Book Antiqua"/>
          <w:color w:val="000000"/>
          <w:vertAlign w:val="superscript"/>
        </w:rPr>
        <w:t>[46,50]</w:t>
      </w:r>
      <w:r w:rsidRPr="002215D5">
        <w:rPr>
          <w:rFonts w:ascii="Book Antiqua" w:eastAsia="Book Antiqua" w:hAnsi="Book Antiqua" w:cs="Book Antiqua"/>
          <w:color w:val="000000"/>
        </w:rPr>
        <w:t xml:space="preserve">, and research in this field is rapidly evolving. The current knowledge allows us to speculate that testing for fecal SARS-CoV-2 RNA may be helpful as a complementary tool to the NPS, at least in patients presenting GI alterations and particularly in patients with IBD to distinguish infection from disease reactivation. </w:t>
      </w:r>
    </w:p>
    <w:p w14:paraId="3EFE76C5" w14:textId="4C2BDECD"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On the other hand, it is currently unknown if SARS-CoV-2 infection can interfere with IBD natural history, possibly inducing a disease reactivation. Very preliminary data from a Danish population study demonstrated no risk of relapse in a very small number of patients at 35 d of follow-up</w:t>
      </w:r>
      <w:r w:rsidRPr="002215D5">
        <w:rPr>
          <w:rFonts w:ascii="Book Antiqua" w:eastAsia="Book Antiqua" w:hAnsi="Book Antiqua" w:cs="Book Antiqua"/>
          <w:color w:val="000000"/>
          <w:vertAlign w:val="superscript"/>
        </w:rPr>
        <w:t>[51]</w:t>
      </w:r>
      <w:r w:rsidRPr="002215D5">
        <w:rPr>
          <w:rFonts w:ascii="Book Antiqua" w:eastAsia="Book Antiqua" w:hAnsi="Book Antiqua" w:cs="Book Antiqua"/>
          <w:color w:val="000000"/>
        </w:rPr>
        <w:t xml:space="preserve">; ongoing studies will help to clarify this point. </w:t>
      </w:r>
    </w:p>
    <w:p w14:paraId="431F33F7" w14:textId="46D03123"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It has been very recently reported that patients with COVID-19 exhibit significant alterations in fecal microbiota composition, including an increase in opportunistic pathogens and the depletion of commensals. These alterations correlated both with fecal levels of SARS-CoV2 and COVID-19 severity, irrespective of the medications received, and persisted up to 30 d after disease resolution</w:t>
      </w:r>
      <w:r w:rsidRPr="002215D5">
        <w:rPr>
          <w:rFonts w:ascii="Book Antiqua" w:eastAsia="Book Antiqua" w:hAnsi="Book Antiqua" w:cs="Book Antiqua"/>
          <w:color w:val="000000"/>
          <w:vertAlign w:val="superscript"/>
        </w:rPr>
        <w:t>[52,53]</w:t>
      </w:r>
      <w:r w:rsidRPr="002215D5">
        <w:rPr>
          <w:rFonts w:ascii="Book Antiqua" w:eastAsia="Book Antiqua" w:hAnsi="Book Antiqua" w:cs="Book Antiqua"/>
          <w:color w:val="000000"/>
        </w:rPr>
        <w:t xml:space="preserve">. Whether this persistent dysbiosis could have a role in the development of de novo IBD or in the progression of a pre-existing disease remains to be investigated. </w:t>
      </w:r>
    </w:p>
    <w:p w14:paraId="1F1960C0" w14:textId="3B55F6A2"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lastRenderedPageBreak/>
        <w:t xml:space="preserve">When compared to non-IBD patients, the clinical course and severity of COVID-19 might be somewhat more severe, although definitive evidence is lacking. Data from the SECURE-IBD registry demonstrated, at the earlier stages of the pandemic, a trend toward increased age and sex-standardized mortality ratios compared to the general population in China, </w:t>
      </w:r>
      <w:r w:rsidR="001A265A">
        <w:rPr>
          <w:rFonts w:ascii="Book Antiqua" w:eastAsia="Book Antiqua" w:hAnsi="Book Antiqua" w:cs="Book Antiqua"/>
          <w:color w:val="000000"/>
        </w:rPr>
        <w:t xml:space="preserve">the </w:t>
      </w:r>
      <w:r w:rsidRPr="002215D5">
        <w:rPr>
          <w:rFonts w:ascii="Book Antiqua" w:eastAsia="Book Antiqua" w:hAnsi="Book Antiqua" w:cs="Book Antiqua"/>
          <w:color w:val="000000"/>
        </w:rPr>
        <w:t>United States and Italy, indicating up to 50% higher mortality in patients with IBD</w:t>
      </w:r>
      <w:r w:rsidRPr="002215D5">
        <w:rPr>
          <w:rFonts w:ascii="Book Antiqua" w:eastAsia="Book Antiqua" w:hAnsi="Book Antiqua" w:cs="Book Antiqua"/>
          <w:color w:val="000000"/>
          <w:vertAlign w:val="superscript"/>
        </w:rPr>
        <w:t>[54]</w:t>
      </w:r>
      <w:r w:rsidRPr="002215D5">
        <w:rPr>
          <w:rFonts w:ascii="Book Antiqua" w:eastAsia="Book Antiqua" w:hAnsi="Book Antiqua" w:cs="Book Antiqua"/>
          <w:color w:val="000000"/>
        </w:rPr>
        <w:t>. Though the data were originally not statistically significant, a more recent analysis, based on a total of 3493 reported cases, confirmed earlier findings and reached stati</w:t>
      </w:r>
      <w:r w:rsidR="00604CC0" w:rsidRPr="002215D5">
        <w:rPr>
          <w:rFonts w:ascii="Book Antiqua" w:eastAsia="Book Antiqua" w:hAnsi="Book Antiqua" w:cs="Book Antiqua"/>
          <w:color w:val="000000"/>
        </w:rPr>
        <w:t>sti</w:t>
      </w:r>
      <w:r w:rsidRPr="002215D5">
        <w:rPr>
          <w:rFonts w:ascii="Book Antiqua" w:eastAsia="Book Antiqua" w:hAnsi="Book Antiqua" w:cs="Book Antiqua"/>
          <w:color w:val="000000"/>
        </w:rPr>
        <w:t>cal significance</w:t>
      </w:r>
      <w:r w:rsidRPr="002215D5">
        <w:rPr>
          <w:rFonts w:ascii="Book Antiqua" w:eastAsia="Book Antiqua" w:hAnsi="Book Antiqua" w:cs="Book Antiqua"/>
          <w:color w:val="000000"/>
          <w:vertAlign w:val="superscript"/>
        </w:rPr>
        <w:t>[55]</w:t>
      </w:r>
      <w:r w:rsidRPr="002215D5">
        <w:rPr>
          <w:rFonts w:ascii="Book Antiqua" w:eastAsia="Book Antiqua" w:hAnsi="Book Antiqua" w:cs="Book Antiqua"/>
          <w:color w:val="000000"/>
        </w:rPr>
        <w:t>. However, this finding must be interpreted with caution due to the voluntary nature of reporting in the registry, which is therefore affected by several biases. Indeed, a recent population-based retrospective cohort study with propensity score matching for demographic and comorbidities found no difference in hospitalization and mortality for COVID-19 in IBD patients</w:t>
      </w:r>
      <w:r w:rsidRPr="002215D5">
        <w:rPr>
          <w:rFonts w:ascii="Book Antiqua" w:eastAsia="Book Antiqua" w:hAnsi="Book Antiqua" w:cs="Book Antiqua"/>
          <w:color w:val="000000"/>
          <w:vertAlign w:val="superscript"/>
        </w:rPr>
        <w:t>[36]</w:t>
      </w:r>
      <w:r w:rsidRPr="002215D5">
        <w:rPr>
          <w:rFonts w:ascii="Book Antiqua" w:eastAsia="Book Antiqua" w:hAnsi="Book Antiqua" w:cs="Book Antiqua"/>
          <w:color w:val="000000"/>
        </w:rPr>
        <w:t xml:space="preserve">. </w:t>
      </w:r>
    </w:p>
    <w:p w14:paraId="2BA16D4F" w14:textId="77777777"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As in the case of the general population, identified risk factors for severe SARS-CoV-2 infection among IBD patients are advanced age and the presence of comorbidities</w:t>
      </w:r>
      <w:r w:rsidRPr="002215D5">
        <w:rPr>
          <w:rFonts w:ascii="Book Antiqua" w:eastAsia="Book Antiqua" w:hAnsi="Book Antiqua" w:cs="Book Antiqua"/>
          <w:color w:val="000000"/>
          <w:vertAlign w:val="superscript"/>
        </w:rPr>
        <w:t>[26,36,51,54,56]</w:t>
      </w:r>
      <w:r w:rsidRPr="002215D5">
        <w:rPr>
          <w:rFonts w:ascii="Book Antiqua" w:eastAsia="Book Antiqua" w:hAnsi="Book Antiqua" w:cs="Book Antiqua"/>
          <w:color w:val="000000"/>
        </w:rPr>
        <w:t xml:space="preserve">. </w:t>
      </w:r>
    </w:p>
    <w:p w14:paraId="6AEB3515" w14:textId="6BE37C97"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When considering the risk connected with IBD medications at the time of viral infection, in the SECURE-IBD registry data analysis, systemic corticosteroid administration was positively associated with an increased risk of death (a</w:t>
      </w:r>
      <w:r w:rsidR="00834453">
        <w:rPr>
          <w:rFonts w:ascii="Book Antiqua" w:eastAsia="Book Antiqua" w:hAnsi="Book Antiqua" w:cs="Book Antiqua"/>
          <w:color w:val="000000"/>
        </w:rPr>
        <w:t>djusted odds ratio (</w:t>
      </w:r>
      <w:r w:rsidRPr="002215D5">
        <w:rPr>
          <w:rFonts w:ascii="Book Antiqua" w:eastAsia="Book Antiqua" w:hAnsi="Book Antiqua" w:cs="Book Antiqua"/>
          <w:color w:val="000000"/>
        </w:rPr>
        <w:t>OR</w:t>
      </w:r>
      <w:r w:rsidR="00834453">
        <w:rPr>
          <w:rFonts w:ascii="Book Antiqua" w:eastAsia="Book Antiqua" w:hAnsi="Book Antiqua" w:cs="Book Antiqua"/>
          <w:color w:val="000000"/>
        </w:rPr>
        <w:t>)</w:t>
      </w:r>
      <w:r w:rsidRPr="002215D5">
        <w:rPr>
          <w:rFonts w:ascii="Book Antiqua" w:eastAsia="Book Antiqua" w:hAnsi="Book Antiqua" w:cs="Book Antiqua"/>
          <w:color w:val="000000"/>
        </w:rPr>
        <w:t xml:space="preserve"> = 11.62, 95%</w:t>
      </w:r>
      <w:r w:rsidR="00834453">
        <w:rPr>
          <w:rFonts w:ascii="Book Antiqua" w:eastAsia="Book Antiqua" w:hAnsi="Book Antiqua" w:cs="Book Antiqua"/>
          <w:color w:val="000000"/>
        </w:rPr>
        <w:t xml:space="preserve"> confidence interval (</w:t>
      </w:r>
      <w:r w:rsidRPr="002215D5">
        <w:rPr>
          <w:rFonts w:ascii="Book Antiqua" w:eastAsia="Book Antiqua" w:hAnsi="Book Antiqua" w:cs="Book Antiqua"/>
          <w:color w:val="000000"/>
        </w:rPr>
        <w:t>CI</w:t>
      </w:r>
      <w:r w:rsidR="00834453">
        <w:rPr>
          <w:rFonts w:ascii="Book Antiqua" w:eastAsia="Book Antiqua" w:hAnsi="Book Antiqua" w:cs="Book Antiqua"/>
          <w:color w:val="000000"/>
        </w:rPr>
        <w:t>)</w:t>
      </w:r>
      <w:r w:rsidRPr="002215D5">
        <w:rPr>
          <w:rFonts w:ascii="Book Antiqua" w:eastAsia="Book Antiqua" w:hAnsi="Book Antiqua" w:cs="Book Antiqua"/>
          <w:color w:val="000000"/>
        </w:rPr>
        <w:t>: 2.1-64.7); conversely, the use of anti-</w:t>
      </w:r>
      <w:r w:rsidR="00834453">
        <w:rPr>
          <w:rFonts w:ascii="Book Antiqua" w:eastAsia="Book Antiqua" w:hAnsi="Book Antiqua" w:cs="Book Antiqua"/>
          <w:color w:val="000000"/>
        </w:rPr>
        <w:t>tumor necrosis factor (</w:t>
      </w:r>
      <w:r w:rsidRPr="002215D5">
        <w:rPr>
          <w:rFonts w:ascii="Book Antiqua" w:eastAsia="Book Antiqua" w:hAnsi="Book Antiqua" w:cs="Book Antiqua"/>
          <w:color w:val="000000"/>
        </w:rPr>
        <w:t>TNF</w:t>
      </w:r>
      <w:r w:rsidR="00834453">
        <w:rPr>
          <w:rFonts w:ascii="Book Antiqua" w:eastAsia="Book Antiqua" w:hAnsi="Book Antiqua" w:cs="Book Antiqua"/>
          <w:color w:val="000000"/>
        </w:rPr>
        <w:t>)</w:t>
      </w:r>
      <w:r w:rsidRPr="002215D5">
        <w:rPr>
          <w:rFonts w:ascii="Book Antiqua" w:eastAsia="Book Antiqua" w:hAnsi="Book Antiqua" w:cs="Book Antiqua"/>
          <w:color w:val="000000"/>
        </w:rPr>
        <w:t xml:space="preserve"> was associated with a lower rate of hospitalization or death (a</w:t>
      </w:r>
      <w:r w:rsidR="000D0D1D">
        <w:rPr>
          <w:rFonts w:ascii="Book Antiqua" w:eastAsia="Book Antiqua" w:hAnsi="Book Antiqua" w:cs="Book Antiqua"/>
          <w:color w:val="000000"/>
        </w:rPr>
        <w:t xml:space="preserve">djusted </w:t>
      </w:r>
      <w:r w:rsidRPr="002215D5">
        <w:rPr>
          <w:rFonts w:ascii="Book Antiqua" w:eastAsia="Book Antiqua" w:hAnsi="Book Antiqua" w:cs="Book Antiqua"/>
          <w:color w:val="000000"/>
        </w:rPr>
        <w:t>OR = 0.60, 95%CI: 0.38-0.96)</w:t>
      </w:r>
      <w:r w:rsidRPr="002215D5">
        <w:rPr>
          <w:rFonts w:ascii="Book Antiqua" w:eastAsia="Book Antiqua" w:hAnsi="Book Antiqua" w:cs="Book Antiqua"/>
          <w:color w:val="000000"/>
          <w:vertAlign w:val="superscript"/>
        </w:rPr>
        <w:t>[57]</w:t>
      </w:r>
      <w:r w:rsidRPr="002215D5">
        <w:rPr>
          <w:rFonts w:ascii="Book Antiqua" w:eastAsia="Book Antiqua" w:hAnsi="Book Antiqua" w:cs="Book Antiqua"/>
          <w:color w:val="000000"/>
        </w:rPr>
        <w:t>. A recently published retrospective multicenter study has also confirmed the negative impact of corticosteroid</w:t>
      </w:r>
      <w:r w:rsidR="000D0D1D">
        <w:rPr>
          <w:rFonts w:ascii="Book Antiqua" w:eastAsia="Book Antiqua" w:hAnsi="Book Antiqua" w:cs="Book Antiqua"/>
          <w:color w:val="000000"/>
        </w:rPr>
        <w:t>s</w:t>
      </w:r>
      <w:r w:rsidRPr="002215D5">
        <w:rPr>
          <w:rFonts w:ascii="Book Antiqua" w:eastAsia="Book Antiqua" w:hAnsi="Book Antiqua" w:cs="Book Antiqua"/>
          <w:color w:val="000000"/>
        </w:rPr>
        <w:t xml:space="preserve"> in IBD patients with COVID-19</w:t>
      </w:r>
      <w:r w:rsidRPr="002215D5">
        <w:rPr>
          <w:rFonts w:ascii="Book Antiqua" w:eastAsia="Book Antiqua" w:hAnsi="Book Antiqua" w:cs="Book Antiqua"/>
          <w:color w:val="000000"/>
          <w:vertAlign w:val="superscript"/>
        </w:rPr>
        <w:t>[36]</w:t>
      </w:r>
      <w:r w:rsidRPr="002215D5">
        <w:rPr>
          <w:rFonts w:ascii="Book Antiqua" w:eastAsia="Book Antiqua" w:hAnsi="Book Antiqua" w:cs="Book Antiqua"/>
          <w:color w:val="000000"/>
        </w:rPr>
        <w:t xml:space="preserve">. Similar data emerged from an analysis of 600 patients with rheumatic diseases in which glucocorticoid exposure correlated with </w:t>
      </w:r>
      <w:r w:rsidRPr="002215D5">
        <w:rPr>
          <w:rFonts w:ascii="Book Antiqua" w:eastAsia="Book Antiqua" w:hAnsi="Book Antiqua" w:cs="Book Antiqua"/>
          <w:strike/>
          <w:color w:val="000000"/>
        </w:rPr>
        <w:t>a</w:t>
      </w:r>
      <w:r w:rsidRPr="002215D5">
        <w:rPr>
          <w:rFonts w:ascii="Book Antiqua" w:eastAsia="Book Antiqua" w:hAnsi="Book Antiqua" w:cs="Book Antiqua"/>
          <w:color w:val="000000"/>
        </w:rPr>
        <w:t xml:space="preserve"> higher odds of hospitalization (OR = 2.05, 95%CI: 1.06-3.96), while the opposite occurred for anti-TNF agents (</w:t>
      </w:r>
      <w:r w:rsidRPr="002215D5">
        <w:rPr>
          <w:rFonts w:ascii="Book Antiqua" w:eastAsia="Book Antiqua" w:hAnsi="Book Antiqua" w:cs="Book Antiqua"/>
          <w:color w:val="000000"/>
          <w:shd w:val="clear" w:color="auto" w:fill="FFFFFF"/>
        </w:rPr>
        <w:t>OR = 0.40, 95%CI: 0.19-0.81)</w:t>
      </w:r>
      <w:r w:rsidRPr="002215D5">
        <w:rPr>
          <w:rFonts w:ascii="Book Antiqua" w:eastAsia="Book Antiqua" w:hAnsi="Book Antiqua" w:cs="Book Antiqua"/>
          <w:color w:val="000000"/>
          <w:vertAlign w:val="superscript"/>
        </w:rPr>
        <w:t>[58]</w:t>
      </w:r>
      <w:r w:rsidRPr="002215D5">
        <w:rPr>
          <w:rFonts w:ascii="Book Antiqua" w:eastAsia="Book Antiqua" w:hAnsi="Book Antiqua" w:cs="Book Antiqua"/>
          <w:color w:val="000000"/>
        </w:rPr>
        <w:t xml:space="preserve">. </w:t>
      </w:r>
    </w:p>
    <w:p w14:paraId="5C60481C" w14:textId="112FA199"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 xml:space="preserve">This might be explained by a selective action of targeted therapies in contrasting some key mediators of the cytokine storm, a major factor in the occurrence of </w:t>
      </w:r>
      <w:r w:rsidR="00B83CD1">
        <w:rPr>
          <w:rFonts w:ascii="Book Antiqua" w:eastAsia="Book Antiqua" w:hAnsi="Book Antiqua" w:cs="Book Antiqua"/>
          <w:color w:val="000000"/>
        </w:rPr>
        <w:t>a</w:t>
      </w:r>
      <w:r w:rsidR="00B83CD1" w:rsidRPr="002215D5">
        <w:rPr>
          <w:rFonts w:ascii="Book Antiqua" w:eastAsia="Book Antiqua" w:hAnsi="Book Antiqua" w:cs="Book Antiqua"/>
          <w:color w:val="000000"/>
        </w:rPr>
        <w:t xml:space="preserve">cute </w:t>
      </w:r>
      <w:r w:rsidR="00B83CD1">
        <w:rPr>
          <w:rFonts w:ascii="Book Antiqua" w:eastAsia="Book Antiqua" w:hAnsi="Book Antiqua" w:cs="Book Antiqua"/>
          <w:color w:val="000000"/>
        </w:rPr>
        <w:t>r</w:t>
      </w:r>
      <w:r w:rsidR="00B83CD1" w:rsidRPr="002215D5">
        <w:rPr>
          <w:rFonts w:ascii="Book Antiqua" w:eastAsia="Book Antiqua" w:hAnsi="Book Antiqua" w:cs="Book Antiqua"/>
          <w:color w:val="000000"/>
        </w:rPr>
        <w:t xml:space="preserve">espiratory </w:t>
      </w:r>
      <w:r w:rsidR="00B83CD1">
        <w:rPr>
          <w:rFonts w:ascii="Book Antiqua" w:eastAsia="Book Antiqua" w:hAnsi="Book Antiqua" w:cs="Book Antiqua"/>
          <w:color w:val="000000"/>
        </w:rPr>
        <w:t>d</w:t>
      </w:r>
      <w:r w:rsidR="00B83CD1" w:rsidRPr="002215D5">
        <w:rPr>
          <w:rFonts w:ascii="Book Antiqua" w:eastAsia="Book Antiqua" w:hAnsi="Book Antiqua" w:cs="Book Antiqua"/>
          <w:color w:val="000000"/>
        </w:rPr>
        <w:t xml:space="preserve">istress </w:t>
      </w:r>
      <w:r w:rsidR="00B83CD1">
        <w:rPr>
          <w:rFonts w:ascii="Book Antiqua" w:eastAsia="Book Antiqua" w:hAnsi="Book Antiqua" w:cs="Book Antiqua"/>
          <w:color w:val="000000"/>
        </w:rPr>
        <w:t>s</w:t>
      </w:r>
      <w:r w:rsidR="00B83CD1" w:rsidRPr="002215D5">
        <w:rPr>
          <w:rFonts w:ascii="Book Antiqua" w:eastAsia="Book Antiqua" w:hAnsi="Book Antiqua" w:cs="Book Antiqua"/>
          <w:color w:val="000000"/>
        </w:rPr>
        <w:t>yndrome</w:t>
      </w:r>
      <w:r w:rsidRPr="002215D5">
        <w:rPr>
          <w:rFonts w:ascii="Book Antiqua" w:eastAsia="Book Antiqua" w:hAnsi="Book Antiqua" w:cs="Book Antiqua"/>
          <w:color w:val="000000"/>
          <w:vertAlign w:val="superscript"/>
        </w:rPr>
        <w:t>[59]</w:t>
      </w:r>
      <w:r w:rsidRPr="002215D5">
        <w:rPr>
          <w:rFonts w:ascii="Book Antiqua" w:eastAsia="Book Antiqua" w:hAnsi="Book Antiqua" w:cs="Book Antiqua"/>
          <w:color w:val="000000"/>
        </w:rPr>
        <w:t xml:space="preserve">, which could counterpart the hypothetic risk of reduced viral clearance. </w:t>
      </w:r>
    </w:p>
    <w:p w14:paraId="74BB4025" w14:textId="0828F720"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lastRenderedPageBreak/>
        <w:t>Conversely, the results from the RECOVERY Trial, the largest randomized controlled trial examining corticosteroids in the treatment of COVID-19 to date, demonstrated that treatment with dexamethasone in dose equivalents similar to those used for IBD</w:t>
      </w:r>
      <w:r w:rsidR="0032334B">
        <w:rPr>
          <w:rFonts w:ascii="Book Antiqua" w:eastAsia="Book Antiqua" w:hAnsi="Book Antiqua" w:cs="Book Antiqua"/>
          <w:color w:val="000000"/>
        </w:rPr>
        <w:t xml:space="preserve"> </w:t>
      </w:r>
      <w:r w:rsidRPr="002215D5">
        <w:rPr>
          <w:rFonts w:ascii="Book Antiqua" w:eastAsia="Book Antiqua" w:hAnsi="Book Antiqua" w:cs="Book Antiqua"/>
          <w:color w:val="000000"/>
        </w:rPr>
        <w:t>treatment are indeed protective against adverse outcomes and mortality for patients hospitalized with COVID-19</w:t>
      </w:r>
      <w:r w:rsidRPr="002215D5">
        <w:rPr>
          <w:rFonts w:ascii="Book Antiqua" w:eastAsia="Book Antiqua" w:hAnsi="Book Antiqua" w:cs="Book Antiqua"/>
          <w:color w:val="000000"/>
          <w:vertAlign w:val="superscript"/>
        </w:rPr>
        <w:t>[60]</w:t>
      </w:r>
      <w:r w:rsidRPr="002215D5">
        <w:rPr>
          <w:rFonts w:ascii="Book Antiqua" w:eastAsia="Book Antiqua" w:hAnsi="Book Antiqua" w:cs="Book Antiqua"/>
          <w:color w:val="000000"/>
        </w:rPr>
        <w:t>. These data were confirmed by a recent meta-analysis considering a large number of SARS-CoV-2 infected patients included in seven clinical trials</w:t>
      </w:r>
      <w:r w:rsidRPr="002215D5">
        <w:rPr>
          <w:rFonts w:ascii="Book Antiqua" w:eastAsia="Book Antiqua" w:hAnsi="Book Antiqua" w:cs="Book Antiqua"/>
          <w:color w:val="000000"/>
          <w:vertAlign w:val="superscript"/>
        </w:rPr>
        <w:t>[61]</w:t>
      </w:r>
      <w:r w:rsidRPr="002215D5">
        <w:rPr>
          <w:rFonts w:ascii="Book Antiqua" w:eastAsia="Book Antiqua" w:hAnsi="Book Antiqua" w:cs="Book Antiqua"/>
          <w:color w:val="000000"/>
        </w:rPr>
        <w:t xml:space="preserve">. </w:t>
      </w:r>
    </w:p>
    <w:p w14:paraId="4E98D3CF" w14:textId="78BF49A2"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 xml:space="preserve">A possible explanation for such contrasting results may be related to the differential timing of steroid treatment, perhaps leading to diverse clinical scenarios. Indeed, we can speculate that the use of systemic steroids before contraction of a viral infection hampers the immune-system response, thus fostering viral replication. Conversely, treatment at later stages may quench the cytokine storm responsible for the onset of </w:t>
      </w:r>
      <w:r w:rsidR="00B83CD1">
        <w:rPr>
          <w:rFonts w:ascii="Book Antiqua" w:eastAsia="Book Antiqua" w:hAnsi="Book Antiqua" w:cs="Book Antiqua"/>
          <w:color w:val="000000"/>
        </w:rPr>
        <w:t>a</w:t>
      </w:r>
      <w:r w:rsidR="00B83CD1" w:rsidRPr="002215D5">
        <w:rPr>
          <w:rFonts w:ascii="Book Antiqua" w:eastAsia="Book Antiqua" w:hAnsi="Book Antiqua" w:cs="Book Antiqua"/>
          <w:color w:val="000000"/>
        </w:rPr>
        <w:t xml:space="preserve">cute </w:t>
      </w:r>
      <w:r w:rsidR="00B83CD1">
        <w:rPr>
          <w:rFonts w:ascii="Book Antiqua" w:eastAsia="Book Antiqua" w:hAnsi="Book Antiqua" w:cs="Book Antiqua"/>
          <w:color w:val="000000"/>
        </w:rPr>
        <w:t>r</w:t>
      </w:r>
      <w:r w:rsidR="00B83CD1" w:rsidRPr="002215D5">
        <w:rPr>
          <w:rFonts w:ascii="Book Antiqua" w:eastAsia="Book Antiqua" w:hAnsi="Book Antiqua" w:cs="Book Antiqua"/>
          <w:color w:val="000000"/>
        </w:rPr>
        <w:t xml:space="preserve">espiratory </w:t>
      </w:r>
      <w:r w:rsidR="00B83CD1">
        <w:rPr>
          <w:rFonts w:ascii="Book Antiqua" w:eastAsia="Book Antiqua" w:hAnsi="Book Antiqua" w:cs="Book Antiqua"/>
          <w:color w:val="000000"/>
        </w:rPr>
        <w:t>d</w:t>
      </w:r>
      <w:r w:rsidR="00B83CD1" w:rsidRPr="002215D5">
        <w:rPr>
          <w:rFonts w:ascii="Book Antiqua" w:eastAsia="Book Antiqua" w:hAnsi="Book Antiqua" w:cs="Book Antiqua"/>
          <w:color w:val="000000"/>
        </w:rPr>
        <w:t xml:space="preserve">istress </w:t>
      </w:r>
      <w:r w:rsidR="00B83CD1">
        <w:rPr>
          <w:rFonts w:ascii="Book Antiqua" w:eastAsia="Book Antiqua" w:hAnsi="Book Antiqua" w:cs="Book Antiqua"/>
          <w:color w:val="000000"/>
        </w:rPr>
        <w:t>s</w:t>
      </w:r>
      <w:r w:rsidR="00B83CD1" w:rsidRPr="002215D5">
        <w:rPr>
          <w:rFonts w:ascii="Book Antiqua" w:eastAsia="Book Antiqua" w:hAnsi="Book Antiqua" w:cs="Book Antiqua"/>
          <w:color w:val="000000"/>
        </w:rPr>
        <w:t>yndrome</w:t>
      </w:r>
      <w:r w:rsidRPr="002215D5">
        <w:rPr>
          <w:rFonts w:ascii="Book Antiqua" w:eastAsia="Book Antiqua" w:hAnsi="Book Antiqua" w:cs="Book Antiqua"/>
          <w:color w:val="000000"/>
        </w:rPr>
        <w:t>, positively impacting overall survival.</w:t>
      </w:r>
    </w:p>
    <w:p w14:paraId="58029C84" w14:textId="5D78B5B9"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In the most recent analysis of the SECURE-IBD registry collecting 1439 cases and specifically analyzing the effect of IBD medications on COVID-19 course, thiopurine therapy, both alone and in combination with anti-TNF, has emerged as an independent risk factor for severe COVID-19 (aOR of 4.08 and 4.01, respectively) when compared with TNFα antagonist monotherapy</w:t>
      </w:r>
      <w:r w:rsidRPr="002215D5">
        <w:rPr>
          <w:rFonts w:ascii="Book Antiqua" w:eastAsia="Book Antiqua" w:hAnsi="Book Antiqua" w:cs="Book Antiqua"/>
          <w:color w:val="000000"/>
          <w:vertAlign w:val="superscript"/>
        </w:rPr>
        <w:t>[62]</w:t>
      </w:r>
      <w:r w:rsidRPr="002215D5">
        <w:rPr>
          <w:rFonts w:ascii="Book Antiqua" w:eastAsia="Book Antiqua" w:hAnsi="Book Antiqua" w:cs="Book Antiqua"/>
          <w:color w:val="000000"/>
        </w:rPr>
        <w:t>. Thiopurines have indeed previously been associated with increased risk of viral infection compared to anti-TNF agents</w:t>
      </w:r>
      <w:r w:rsidRPr="002215D5">
        <w:rPr>
          <w:rFonts w:ascii="Book Antiqua" w:eastAsia="Book Antiqua" w:hAnsi="Book Antiqua" w:cs="Book Antiqua"/>
          <w:color w:val="000000"/>
          <w:vertAlign w:val="superscript"/>
        </w:rPr>
        <w:t>[6]</w:t>
      </w:r>
      <w:r w:rsidRPr="002215D5">
        <w:rPr>
          <w:rFonts w:ascii="Book Antiqua" w:eastAsia="Book Antiqua" w:hAnsi="Book Antiqua" w:cs="Book Antiqua"/>
          <w:color w:val="000000"/>
        </w:rPr>
        <w:t>. However, data from the SECURE-IBD, though extremely helpful, need to be interpreted with caution since they are subject to reporting bias</w:t>
      </w:r>
      <w:r w:rsidR="00C67473">
        <w:rPr>
          <w:rFonts w:ascii="Book Antiqua" w:eastAsia="Book Antiqua" w:hAnsi="Book Antiqua" w:cs="Book Antiqua"/>
          <w:color w:val="000000"/>
        </w:rPr>
        <w:t>,</w:t>
      </w:r>
      <w:r w:rsidRPr="002215D5">
        <w:rPr>
          <w:rFonts w:ascii="Book Antiqua" w:eastAsia="Book Antiqua" w:hAnsi="Book Antiqua" w:cs="Book Antiqua"/>
          <w:color w:val="000000"/>
        </w:rPr>
        <w:t xml:space="preserve"> and considering the high proportion of patients treated with anti-TNF agents, they might have overestimated the effect of thiopurines. Recently collected data from a nationwide population-based study of IBD patients with COVID-19, for instance, revealed no impact of immune modulators or biological therapies on the risk of hospitalization or death</w:t>
      </w:r>
      <w:r w:rsidR="00163713" w:rsidRPr="002215D5">
        <w:rPr>
          <w:rFonts w:ascii="Book Antiqua" w:eastAsia="Book Antiqua" w:hAnsi="Book Antiqua" w:cs="Book Antiqua"/>
          <w:color w:val="000000"/>
          <w:vertAlign w:val="superscript"/>
        </w:rPr>
        <w:t>[51]</w:t>
      </w:r>
      <w:r w:rsidRPr="002215D5">
        <w:rPr>
          <w:rFonts w:ascii="Book Antiqua" w:eastAsia="Book Antiqua" w:hAnsi="Book Antiqua" w:cs="Book Antiqua"/>
          <w:color w:val="000000"/>
        </w:rPr>
        <w:t xml:space="preserve">. </w:t>
      </w:r>
    </w:p>
    <w:p w14:paraId="773B5881" w14:textId="77777777"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For what concerns anti-interleukin</w:t>
      </w:r>
      <w:r w:rsidR="00163713" w:rsidRPr="002215D5">
        <w:rPr>
          <w:rFonts w:ascii="Book Antiqua" w:eastAsia="Book Antiqua" w:hAnsi="Book Antiqua" w:cs="Book Antiqua"/>
          <w:color w:val="000000"/>
        </w:rPr>
        <w:t>-</w:t>
      </w:r>
      <w:r w:rsidRPr="002215D5">
        <w:rPr>
          <w:rFonts w:ascii="Book Antiqua" w:eastAsia="Book Antiqua" w:hAnsi="Book Antiqua" w:cs="Book Antiqua"/>
          <w:color w:val="000000"/>
        </w:rPr>
        <w:t>12/23 and anti-integrins, limited data are available on their impact on the course of COVID-19, though general safety data suggests that they are not associated with a significant increased infectious risk. To date, the SECURE-IBD analysis demonstrated no differences compared to anti-TNF drugs</w:t>
      </w:r>
      <w:r w:rsidRPr="002215D5">
        <w:rPr>
          <w:rFonts w:ascii="Book Antiqua" w:eastAsia="Book Antiqua" w:hAnsi="Book Antiqua" w:cs="Book Antiqua"/>
          <w:color w:val="000000"/>
          <w:vertAlign w:val="superscript"/>
        </w:rPr>
        <w:t>[54]</w:t>
      </w:r>
      <w:r w:rsidRPr="002215D5">
        <w:rPr>
          <w:rFonts w:ascii="Book Antiqua" w:eastAsia="Book Antiqua" w:hAnsi="Book Antiqua" w:cs="Book Antiqua"/>
          <w:color w:val="000000"/>
        </w:rPr>
        <w:t>.</w:t>
      </w:r>
    </w:p>
    <w:p w14:paraId="3ABF43ED" w14:textId="2EDE245F"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lastRenderedPageBreak/>
        <w:t xml:space="preserve">Some concerns have been raised for tofacitinib since it may blunt the innate immune response to viral infection, including inhibition of </w:t>
      </w:r>
      <w:r w:rsidR="00AD6E45">
        <w:rPr>
          <w:rFonts w:ascii="Book Antiqua" w:eastAsia="Book Antiqua" w:hAnsi="Book Antiqua" w:cs="Book Antiqua"/>
          <w:color w:val="000000"/>
        </w:rPr>
        <w:t>interferon</w:t>
      </w:r>
      <w:r w:rsidRPr="002215D5">
        <w:rPr>
          <w:rFonts w:ascii="Book Antiqua" w:eastAsia="Book Antiqua" w:hAnsi="Book Antiqua" w:cs="Book Antiqua"/>
          <w:color w:val="000000"/>
        </w:rPr>
        <w:t>-gamma activity. Tofacitinib has so far been associated, both in clinical trials and in post-marketing monitoring, with an increased risk of infection, particularly of herpes zoster reactivation</w:t>
      </w:r>
      <w:r w:rsidRPr="002215D5">
        <w:rPr>
          <w:rFonts w:ascii="Book Antiqua" w:eastAsia="Book Antiqua" w:hAnsi="Book Antiqua" w:cs="Book Antiqua"/>
          <w:color w:val="000000"/>
          <w:vertAlign w:val="superscript"/>
        </w:rPr>
        <w:t>[63]</w:t>
      </w:r>
      <w:r w:rsidRPr="002215D5">
        <w:rPr>
          <w:rFonts w:ascii="Book Antiqua" w:eastAsia="Book Antiqua" w:hAnsi="Book Antiqua" w:cs="Book Antiqua"/>
          <w:color w:val="000000"/>
        </w:rPr>
        <w:t xml:space="preserve">. However preliminary data from the SECURE-IBD registry, though focused on a very small number of patients, showed no significant differences between tofacitinib-treated patients and other IBD patients in the occurrence of hospitalization, </w:t>
      </w:r>
      <w:r w:rsidR="00AD6E45">
        <w:rPr>
          <w:rFonts w:ascii="Book Antiqua" w:eastAsia="Book Antiqua" w:hAnsi="Book Antiqua" w:cs="Book Antiqua"/>
          <w:color w:val="000000"/>
        </w:rPr>
        <w:t>intensive care unit</w:t>
      </w:r>
      <w:r w:rsidRPr="002215D5">
        <w:rPr>
          <w:rFonts w:ascii="Book Antiqua" w:eastAsia="Book Antiqua" w:hAnsi="Book Antiqua" w:cs="Book Antiqua"/>
          <w:color w:val="000000"/>
        </w:rPr>
        <w:t xml:space="preserve"> admission and severe COVID-19</w:t>
      </w:r>
      <w:r w:rsidRPr="002215D5">
        <w:rPr>
          <w:rFonts w:ascii="Book Antiqua" w:eastAsia="Book Antiqua" w:hAnsi="Book Antiqua" w:cs="Book Antiqua"/>
          <w:color w:val="000000"/>
          <w:vertAlign w:val="superscript"/>
        </w:rPr>
        <w:t>[64]</w:t>
      </w:r>
      <w:r w:rsidRPr="002215D5">
        <w:rPr>
          <w:rFonts w:ascii="Book Antiqua" w:eastAsia="Book Antiqua" w:hAnsi="Book Antiqua" w:cs="Book Antiqua"/>
          <w:color w:val="000000"/>
        </w:rPr>
        <w:t xml:space="preserve">. Moreover, recent preclinical evidence is emerging that </w:t>
      </w:r>
      <w:r w:rsidRPr="002215D5">
        <w:rPr>
          <w:rFonts w:ascii="Book Antiqua" w:eastAsia="Book Antiqua" w:hAnsi="Book Antiqua" w:cs="Book Antiqua"/>
          <w:color w:val="000000"/>
          <w:shd w:val="clear" w:color="auto" w:fill="FFFFFF"/>
        </w:rPr>
        <w:t>tofacitinib treatment might in fact reduce ACE2 upregulation and ACE2-mediated intestinal viral uptake</w:t>
      </w:r>
      <w:r w:rsidRPr="002215D5">
        <w:rPr>
          <w:rFonts w:ascii="Book Antiqua" w:eastAsia="Book Antiqua" w:hAnsi="Book Antiqua" w:cs="Book Antiqua"/>
          <w:color w:val="000000"/>
          <w:shd w:val="clear" w:color="auto" w:fill="FFFFFF"/>
          <w:vertAlign w:val="superscript"/>
        </w:rPr>
        <w:t>[65]</w:t>
      </w:r>
      <w:r w:rsidRPr="002215D5">
        <w:rPr>
          <w:rFonts w:ascii="Book Antiqua" w:eastAsia="Book Antiqua" w:hAnsi="Book Antiqua" w:cs="Book Antiqua"/>
          <w:color w:val="000000"/>
          <w:shd w:val="clear" w:color="auto" w:fill="FFFFFF"/>
        </w:rPr>
        <w:t xml:space="preserve">, and randomized clinical trials for the treatment of COVID-19 pneumonia are ongoing. </w:t>
      </w:r>
    </w:p>
    <w:p w14:paraId="569DA6B3" w14:textId="3B91B6CE"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Last but not least, it should be kept in mind that the treatment-related risk of infection should be balanced against the disease</w:t>
      </w:r>
      <w:r w:rsidR="001A41B2">
        <w:rPr>
          <w:rFonts w:ascii="Book Antiqua" w:eastAsia="Book Antiqua" w:hAnsi="Book Antiqua" w:cs="Book Antiqua"/>
          <w:color w:val="000000"/>
        </w:rPr>
        <w:t xml:space="preserve"> </w:t>
      </w:r>
      <w:r w:rsidRPr="002215D5">
        <w:rPr>
          <w:rFonts w:ascii="Book Antiqua" w:eastAsia="Book Antiqua" w:hAnsi="Book Antiqua" w:cs="Book Antiqua"/>
          <w:color w:val="000000"/>
        </w:rPr>
        <w:t>activity</w:t>
      </w:r>
      <w:r w:rsidR="001A41B2">
        <w:rPr>
          <w:rFonts w:ascii="Book Antiqua" w:eastAsia="Book Antiqua" w:hAnsi="Book Antiqua" w:cs="Book Antiqua"/>
          <w:color w:val="000000"/>
        </w:rPr>
        <w:t xml:space="preserve"> </w:t>
      </w:r>
      <w:r w:rsidRPr="002215D5">
        <w:rPr>
          <w:rFonts w:ascii="Book Antiqua" w:eastAsia="Book Antiqua" w:hAnsi="Book Antiqua" w:cs="Book Antiqua"/>
          <w:color w:val="000000"/>
        </w:rPr>
        <w:t>related risk of infection. It has been previously demonstrated that the risk for systemic viral infections (</w:t>
      </w:r>
      <w:r w:rsidR="001A41B2">
        <w:rPr>
          <w:rFonts w:ascii="Book Antiqua" w:eastAsia="Book Antiqua" w:hAnsi="Book Antiqua" w:cs="Book Antiqua"/>
          <w:color w:val="000000"/>
        </w:rPr>
        <w:t>cytomegalovirus</w:t>
      </w:r>
      <w:r w:rsidRPr="002215D5">
        <w:rPr>
          <w:rFonts w:ascii="Book Antiqua" w:eastAsia="Book Antiqua" w:hAnsi="Book Antiqua" w:cs="Book Antiqua"/>
          <w:color w:val="000000"/>
        </w:rPr>
        <w:t xml:space="preserve"> and E</w:t>
      </w:r>
      <w:r w:rsidR="001A41B2">
        <w:rPr>
          <w:rFonts w:ascii="Book Antiqua" w:eastAsia="Book Antiqua" w:hAnsi="Book Antiqua" w:cs="Book Antiqua"/>
          <w:color w:val="000000"/>
        </w:rPr>
        <w:t>pstein</w:t>
      </w:r>
      <w:r w:rsidR="00FA1DDA">
        <w:rPr>
          <w:rFonts w:ascii="Book Antiqua" w:eastAsia="Book Antiqua" w:hAnsi="Book Antiqua" w:cs="Book Antiqua"/>
          <w:color w:val="000000"/>
        </w:rPr>
        <w:t>-</w:t>
      </w:r>
      <w:r w:rsidRPr="002215D5">
        <w:rPr>
          <w:rFonts w:ascii="Book Antiqua" w:eastAsia="Book Antiqua" w:hAnsi="Book Antiqua" w:cs="Book Antiqua"/>
          <w:color w:val="000000"/>
        </w:rPr>
        <w:t>B</w:t>
      </w:r>
      <w:r w:rsidR="001A41B2">
        <w:rPr>
          <w:rFonts w:ascii="Book Antiqua" w:eastAsia="Book Antiqua" w:hAnsi="Book Antiqua" w:cs="Book Antiqua"/>
          <w:color w:val="000000"/>
        </w:rPr>
        <w:t>arr virus</w:t>
      </w:r>
      <w:r w:rsidRPr="002215D5">
        <w:rPr>
          <w:rFonts w:ascii="Book Antiqua" w:eastAsia="Book Antiqua" w:hAnsi="Book Antiqua" w:cs="Book Antiqua"/>
          <w:color w:val="000000"/>
        </w:rPr>
        <w:t xml:space="preserve"> primary infections and reactivations) in IBD is significantly higher in patients with a clinically active disease</w:t>
      </w:r>
      <w:r w:rsidRPr="002215D5">
        <w:rPr>
          <w:rFonts w:ascii="Book Antiqua" w:eastAsia="Book Antiqua" w:hAnsi="Book Antiqua" w:cs="Book Antiqua"/>
          <w:color w:val="000000"/>
          <w:vertAlign w:val="superscript"/>
        </w:rPr>
        <w:t>[7]</w:t>
      </w:r>
      <w:r w:rsidRPr="002215D5">
        <w:rPr>
          <w:rFonts w:ascii="Book Antiqua" w:eastAsia="Book Antiqua" w:hAnsi="Book Antiqua" w:cs="Book Antiqua"/>
          <w:color w:val="000000"/>
        </w:rPr>
        <w:t>. Moreover, active disease is a known risk factor for malnutrition and may lead to hospitalization, thus again raising the infectious risk.</w:t>
      </w:r>
    </w:p>
    <w:p w14:paraId="7911056E" w14:textId="77777777"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As for SARS-CoV-2 infection, preliminary data coming from two Italian studies identified a correlation between IBD activity and COVID-19 negative outcome</w:t>
      </w:r>
      <w:r w:rsidRPr="002215D5">
        <w:rPr>
          <w:rFonts w:ascii="Book Antiqua" w:eastAsia="Book Antiqua" w:hAnsi="Book Antiqua" w:cs="Book Antiqua"/>
          <w:color w:val="000000"/>
          <w:vertAlign w:val="superscript"/>
        </w:rPr>
        <w:t>[32,56]</w:t>
      </w:r>
      <w:r w:rsidRPr="002215D5">
        <w:rPr>
          <w:rFonts w:ascii="Book Antiqua" w:eastAsia="Book Antiqua" w:hAnsi="Book Antiqua" w:cs="Book Antiqua"/>
          <w:color w:val="000000"/>
        </w:rPr>
        <w:t xml:space="preserve">, including a higher risk for pneumonia (OR = 10.25, </w:t>
      </w:r>
      <w:r w:rsidRPr="002215D5">
        <w:rPr>
          <w:rFonts w:ascii="Book Antiqua" w:eastAsia="Book Antiqua" w:hAnsi="Book Antiqua" w:cs="Book Antiqua"/>
          <w:i/>
          <w:iCs/>
          <w:color w:val="000000"/>
        </w:rPr>
        <w:t>P</w:t>
      </w:r>
      <w:r w:rsidRPr="002215D5">
        <w:rPr>
          <w:rFonts w:ascii="Book Antiqua" w:eastAsia="Book Antiqua" w:hAnsi="Book Antiqua" w:cs="Book Antiqua"/>
          <w:color w:val="000000"/>
        </w:rPr>
        <w:t xml:space="preserve"> = 0.003) and death (OR = 8.45, </w:t>
      </w:r>
      <w:r w:rsidRPr="002215D5">
        <w:rPr>
          <w:rFonts w:ascii="Book Antiqua" w:eastAsia="Book Antiqua" w:hAnsi="Book Antiqua" w:cs="Book Antiqua"/>
          <w:i/>
          <w:iCs/>
          <w:color w:val="000000"/>
        </w:rPr>
        <w:t>P</w:t>
      </w:r>
      <w:r w:rsidRPr="002215D5">
        <w:rPr>
          <w:rFonts w:ascii="Book Antiqua" w:eastAsia="Book Antiqua" w:hAnsi="Book Antiqua" w:cs="Book Antiqua"/>
          <w:color w:val="000000"/>
        </w:rPr>
        <w:t xml:space="preserve"> = 0.02)</w:t>
      </w:r>
      <w:r w:rsidRPr="002215D5">
        <w:rPr>
          <w:rFonts w:ascii="Book Antiqua" w:eastAsia="Book Antiqua" w:hAnsi="Book Antiqua" w:cs="Book Antiqua"/>
          <w:color w:val="000000"/>
          <w:vertAlign w:val="superscript"/>
        </w:rPr>
        <w:t>[56]</w:t>
      </w:r>
      <w:r w:rsidRPr="002215D5">
        <w:rPr>
          <w:rFonts w:ascii="Book Antiqua" w:eastAsia="Book Antiqua" w:hAnsi="Book Antiqua" w:cs="Book Antiqua"/>
          <w:color w:val="000000"/>
        </w:rPr>
        <w:t>.</w:t>
      </w:r>
    </w:p>
    <w:p w14:paraId="1D0A3616" w14:textId="77777777" w:rsidR="00A77B3E" w:rsidRPr="002215D5" w:rsidRDefault="00A77B3E" w:rsidP="002215D5">
      <w:pPr>
        <w:spacing w:line="360" w:lineRule="auto"/>
        <w:ind w:firstLine="480"/>
        <w:jc w:val="both"/>
        <w:rPr>
          <w:rFonts w:ascii="Book Antiqua" w:hAnsi="Book Antiqua"/>
        </w:rPr>
      </w:pPr>
    </w:p>
    <w:p w14:paraId="2BC9BDD7"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bCs/>
          <w:caps/>
          <w:color w:val="000000"/>
          <w:u w:val="single"/>
        </w:rPr>
        <w:t>concept of frailty for IBD patients</w:t>
      </w:r>
    </w:p>
    <w:p w14:paraId="75849E65" w14:textId="1A12FD0A"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Intensive efforts have been made by the scientific community to identify frail patients requiring more stringent social distancing and further precautions taken to limit the risk for SARS-CoV-2 infection. Since the presence of comorbidities correlates with a higher risk of severe COVID-19, most patients with chronic disorders are considered frail. Specifically regarding IBD patients, while initial data seem reassuring, they should also be regarded as frail. This has been recently supported by the data emerg</w:t>
      </w:r>
      <w:r w:rsidR="003D3004">
        <w:rPr>
          <w:rFonts w:ascii="Book Antiqua" w:eastAsia="Book Antiqua" w:hAnsi="Book Antiqua" w:cs="Book Antiqua"/>
          <w:color w:val="000000"/>
        </w:rPr>
        <w:t>ing</w:t>
      </w:r>
      <w:r w:rsidRPr="002215D5">
        <w:rPr>
          <w:rFonts w:ascii="Book Antiqua" w:eastAsia="Book Antiqua" w:hAnsi="Book Antiqua" w:cs="Book Antiqua"/>
          <w:color w:val="000000"/>
        </w:rPr>
        <w:t xml:space="preserve"> from the </w:t>
      </w:r>
      <w:r w:rsidRPr="002215D5">
        <w:rPr>
          <w:rFonts w:ascii="Book Antiqua" w:eastAsia="Book Antiqua" w:hAnsi="Book Antiqua" w:cs="Book Antiqua"/>
          <w:color w:val="000000"/>
        </w:rPr>
        <w:lastRenderedPageBreak/>
        <w:t xml:space="preserve">SECURE-IBD registry, pointing towards increased </w:t>
      </w:r>
      <w:r w:rsidR="00771C59" w:rsidRPr="002215D5">
        <w:rPr>
          <w:rFonts w:ascii="Book Antiqua" w:eastAsia="Book Antiqua" w:hAnsi="Book Antiqua" w:cs="Book Antiqua"/>
          <w:color w:val="000000"/>
        </w:rPr>
        <w:t xml:space="preserve">sex-standardized mortality ratios </w:t>
      </w:r>
      <w:r w:rsidRPr="002215D5">
        <w:rPr>
          <w:rFonts w:ascii="Book Antiqua" w:eastAsia="Book Antiqua" w:hAnsi="Book Antiqua" w:cs="Book Antiqua"/>
          <w:color w:val="000000"/>
        </w:rPr>
        <w:t>in patients with IBD infected with COVID-19</w:t>
      </w:r>
      <w:r w:rsidRPr="002215D5">
        <w:rPr>
          <w:rFonts w:ascii="Book Antiqua" w:eastAsia="Book Antiqua" w:hAnsi="Book Antiqua" w:cs="Book Antiqua"/>
          <w:color w:val="000000"/>
          <w:vertAlign w:val="superscript"/>
        </w:rPr>
        <w:t>[55]</w:t>
      </w:r>
      <w:r w:rsidRPr="002215D5">
        <w:rPr>
          <w:rFonts w:ascii="Book Antiqua" w:eastAsia="Book Antiqua" w:hAnsi="Book Antiqua" w:cs="Book Antiqua"/>
          <w:color w:val="000000"/>
        </w:rPr>
        <w:t xml:space="preserve">. </w:t>
      </w:r>
    </w:p>
    <w:p w14:paraId="7BBD78DB" w14:textId="348CB38A"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 xml:space="preserve">With these regards, early in the pandemic, the British Society of Gastroenterology categorized IBD patients into </w:t>
      </w:r>
      <w:r w:rsidR="00047B1F">
        <w:rPr>
          <w:rFonts w:ascii="Book Antiqua" w:eastAsia="Book Antiqua" w:hAnsi="Book Antiqua" w:cs="Book Antiqua"/>
          <w:color w:val="000000"/>
        </w:rPr>
        <w:t>three</w:t>
      </w:r>
      <w:r w:rsidRPr="002215D5">
        <w:rPr>
          <w:rFonts w:ascii="Book Antiqua" w:eastAsia="Book Antiqua" w:hAnsi="Book Antiqua" w:cs="Book Antiqua"/>
          <w:color w:val="000000"/>
        </w:rPr>
        <w:t xml:space="preserve"> risk groups, each associated with different necessities of social isolation (Table 1)</w:t>
      </w:r>
      <w:r w:rsidRPr="002215D5">
        <w:rPr>
          <w:rFonts w:ascii="Book Antiqua" w:eastAsia="Book Antiqua" w:hAnsi="Book Antiqua" w:cs="Book Antiqua"/>
          <w:color w:val="000000"/>
          <w:vertAlign w:val="superscript"/>
        </w:rPr>
        <w:t>[66]</w:t>
      </w:r>
      <w:r w:rsidRPr="002215D5">
        <w:rPr>
          <w:rFonts w:ascii="Book Antiqua" w:eastAsia="Book Antiqua" w:hAnsi="Book Antiqua" w:cs="Book Antiqua"/>
          <w:color w:val="000000"/>
        </w:rPr>
        <w:t xml:space="preserve">. This risk profiling remains substantially valid, also bearing in mind the newly accumulated evidence. Yet, since the pandemic diffusion varies greatly between countries and constantly fluctuates in severity across time, it is necessary to adapt preventive measures applied to each category accordingly. This would allow tailored preventive measures, according to individual fragility, risk of viral exposure and subsequent negative outcomes upon infection, avoiding on the other hand unnecessary limitations that can negatively impact patient quality of life. </w:t>
      </w:r>
    </w:p>
    <w:p w14:paraId="2ED2669E" w14:textId="77777777" w:rsidR="00A77B3E" w:rsidRPr="002215D5" w:rsidRDefault="00A77B3E" w:rsidP="002215D5">
      <w:pPr>
        <w:spacing w:line="360" w:lineRule="auto"/>
        <w:ind w:firstLine="480"/>
        <w:jc w:val="both"/>
        <w:rPr>
          <w:rFonts w:ascii="Book Antiqua" w:hAnsi="Book Antiqua"/>
        </w:rPr>
      </w:pPr>
    </w:p>
    <w:p w14:paraId="58B77504" w14:textId="14D08E86"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bCs/>
          <w:caps/>
          <w:color w:val="000000"/>
          <w:u w:val="single"/>
        </w:rPr>
        <w:t>General recommendations and clinic reorganization</w:t>
      </w:r>
    </w:p>
    <w:p w14:paraId="11110E72"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Strict social distancing, regular use of face masks and meticulous sanitization of hands and frequently used surfaces, such as phones, tablets, desks, </w:t>
      </w:r>
      <w:r w:rsidRPr="002215D5">
        <w:rPr>
          <w:rFonts w:ascii="Book Antiqua" w:eastAsia="Book Antiqua" w:hAnsi="Book Antiqua" w:cs="Book Antiqua"/>
          <w:i/>
          <w:iCs/>
          <w:color w:val="000000"/>
        </w:rPr>
        <w:t>etc</w:t>
      </w:r>
      <w:r w:rsidRPr="002215D5">
        <w:rPr>
          <w:rFonts w:ascii="Book Antiqua" w:eastAsia="Book Antiqua" w:hAnsi="Book Antiqua" w:cs="Book Antiqua"/>
          <w:color w:val="000000"/>
        </w:rPr>
        <w:t xml:space="preserve">., with alcohol-based solutions remain the most important recommendations for the general population and should therefore apply to IBD patients as well. </w:t>
      </w:r>
    </w:p>
    <w:p w14:paraId="5173169A" w14:textId="1FF878E8" w:rsidR="00A77B3E" w:rsidRPr="002215D5" w:rsidRDefault="00BF1368" w:rsidP="00B76EB5">
      <w:pPr>
        <w:spacing w:line="360" w:lineRule="auto"/>
        <w:ind w:firstLine="480"/>
        <w:jc w:val="both"/>
        <w:rPr>
          <w:rFonts w:ascii="Book Antiqua" w:hAnsi="Book Antiqua"/>
        </w:rPr>
      </w:pPr>
      <w:r w:rsidRPr="002215D5">
        <w:rPr>
          <w:rFonts w:ascii="Book Antiqua" w:eastAsia="Book Antiqua" w:hAnsi="Book Antiqua" w:cs="Book Antiqua"/>
          <w:color w:val="000000"/>
        </w:rPr>
        <w:t>Patients with IBD, still require regular medical follow-up and to some degree hospital access. In this setting, among the adopted general measures to reduce the risk of viral exposure, there has been the postponing of non-urgent outpatient visits and elective endoscopic procedures. As for the latter, the reduced distance between patients and hospital workers, and the air insufflation required by the procedure may increase the risk of SARS-CoV-2 transmission. Specific recommendations on endoscopy in IBD during the COVID</w:t>
      </w:r>
      <w:r w:rsidR="008F5051" w:rsidRPr="002215D5">
        <w:rPr>
          <w:rFonts w:ascii="Book Antiqua" w:eastAsia="Book Antiqua" w:hAnsi="Book Antiqua" w:cs="Book Antiqua"/>
          <w:color w:val="000000"/>
        </w:rPr>
        <w:t>-</w:t>
      </w:r>
      <w:r w:rsidRPr="002215D5">
        <w:rPr>
          <w:rFonts w:ascii="Book Antiqua" w:eastAsia="Book Antiqua" w:hAnsi="Book Antiqua" w:cs="Book Antiqua"/>
          <w:color w:val="000000"/>
        </w:rPr>
        <w:t>19 pandemic have been released</w:t>
      </w:r>
      <w:r w:rsidRPr="002215D5">
        <w:rPr>
          <w:rFonts w:ascii="Book Antiqua" w:eastAsia="Book Antiqua" w:hAnsi="Book Antiqua" w:cs="Book Antiqua"/>
          <w:color w:val="000000"/>
          <w:vertAlign w:val="superscript"/>
        </w:rPr>
        <w:t>[67]</w:t>
      </w:r>
      <w:r w:rsidRPr="002215D5">
        <w:rPr>
          <w:rFonts w:ascii="Book Antiqua" w:eastAsia="Book Antiqua" w:hAnsi="Book Antiqua" w:cs="Book Antiqua"/>
          <w:color w:val="000000"/>
        </w:rPr>
        <w:t xml:space="preserve">. </w:t>
      </w:r>
    </w:p>
    <w:p w14:paraId="4736EFD5" w14:textId="1D63AD40"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The use of noninvasive inflammatory markers, such as C-reactive protein and fecal calprotectin for monitoring disease activity, should be encouraged during the pandemic</w:t>
      </w:r>
      <w:r w:rsidRPr="002215D5">
        <w:rPr>
          <w:rFonts w:ascii="Book Antiqua" w:eastAsia="Book Antiqua" w:hAnsi="Book Antiqua" w:cs="Book Antiqua"/>
          <w:color w:val="000000"/>
          <w:vertAlign w:val="superscript"/>
        </w:rPr>
        <w:t>[68]</w:t>
      </w:r>
      <w:r w:rsidRPr="002215D5">
        <w:rPr>
          <w:rFonts w:ascii="Book Antiqua" w:eastAsia="Book Antiqua" w:hAnsi="Book Antiqua" w:cs="Book Antiqua"/>
          <w:color w:val="000000"/>
        </w:rPr>
        <w:t>. Fecal calprotectin has been prove</w:t>
      </w:r>
      <w:r w:rsidR="00ED33DA">
        <w:rPr>
          <w:rFonts w:ascii="Book Antiqua" w:eastAsia="Book Antiqua" w:hAnsi="Book Antiqua" w:cs="Book Antiqua"/>
          <w:color w:val="000000"/>
        </w:rPr>
        <w:t>n</w:t>
      </w:r>
      <w:r w:rsidRPr="002215D5">
        <w:rPr>
          <w:rFonts w:ascii="Book Antiqua" w:eastAsia="Book Antiqua" w:hAnsi="Book Antiqua" w:cs="Book Antiqua"/>
          <w:color w:val="000000"/>
        </w:rPr>
        <w:t xml:space="preserve"> to correlate with endoscopic disease extension, mucosal healing and histological activity</w:t>
      </w:r>
      <w:r w:rsidRPr="002215D5">
        <w:rPr>
          <w:rFonts w:ascii="Book Antiqua" w:eastAsia="Book Antiqua" w:hAnsi="Book Antiqua" w:cs="Book Antiqua"/>
          <w:color w:val="000000"/>
          <w:vertAlign w:val="superscript"/>
        </w:rPr>
        <w:t>[69,70]</w:t>
      </w:r>
      <w:r w:rsidRPr="002215D5">
        <w:rPr>
          <w:rFonts w:ascii="Book Antiqua" w:eastAsia="Book Antiqua" w:hAnsi="Book Antiqua" w:cs="Book Antiqua"/>
          <w:color w:val="000000"/>
        </w:rPr>
        <w:t>. Home-test measurements of fecal calprotectin could be a valuable alternative, as evidence has demonstrated a good correlation with laboratory determinations</w:t>
      </w:r>
      <w:r w:rsidRPr="002215D5">
        <w:rPr>
          <w:rFonts w:ascii="Book Antiqua" w:eastAsia="Book Antiqua" w:hAnsi="Book Antiqua" w:cs="Book Antiqua"/>
          <w:color w:val="000000"/>
          <w:vertAlign w:val="superscript"/>
        </w:rPr>
        <w:t>[71]</w:t>
      </w:r>
      <w:r w:rsidRPr="002215D5">
        <w:rPr>
          <w:rFonts w:ascii="Book Antiqua" w:eastAsia="Book Antiqua" w:hAnsi="Book Antiqua" w:cs="Book Antiqua"/>
          <w:color w:val="000000"/>
        </w:rPr>
        <w:t xml:space="preserve">. </w:t>
      </w:r>
    </w:p>
    <w:p w14:paraId="219B88B6" w14:textId="473D442E" w:rsidR="008F5051" w:rsidRPr="002215D5" w:rsidRDefault="00BF1368" w:rsidP="002215D5">
      <w:pPr>
        <w:spacing w:line="360" w:lineRule="auto"/>
        <w:ind w:firstLine="480"/>
        <w:jc w:val="both"/>
        <w:rPr>
          <w:rFonts w:ascii="Book Antiqua" w:eastAsia="Book Antiqua" w:hAnsi="Book Antiqua" w:cs="Book Antiqua"/>
          <w:color w:val="000000"/>
        </w:rPr>
      </w:pPr>
      <w:r w:rsidRPr="002215D5">
        <w:rPr>
          <w:rFonts w:ascii="Book Antiqua" w:eastAsia="Book Antiqua" w:hAnsi="Book Antiqua" w:cs="Book Antiqua"/>
          <w:color w:val="000000"/>
        </w:rPr>
        <w:lastRenderedPageBreak/>
        <w:t>Virtual clinics or online consultan</w:t>
      </w:r>
      <w:r w:rsidR="008740ED">
        <w:rPr>
          <w:rFonts w:ascii="Book Antiqua" w:eastAsia="Book Antiqua" w:hAnsi="Book Antiqua" w:cs="Book Antiqua"/>
          <w:color w:val="000000"/>
        </w:rPr>
        <w:t>ts</w:t>
      </w:r>
      <w:r w:rsidRPr="002215D5">
        <w:rPr>
          <w:rFonts w:ascii="Book Antiqua" w:eastAsia="Book Antiqua" w:hAnsi="Book Antiqua" w:cs="Book Antiqua"/>
          <w:color w:val="000000"/>
        </w:rPr>
        <w:t xml:space="preserve"> are encouraged for patients without the necessity of infusion therapy and with stable disease, maintaining as much </w:t>
      </w:r>
      <w:r w:rsidR="008F5051" w:rsidRPr="002215D5">
        <w:rPr>
          <w:rFonts w:ascii="Book Antiqua" w:eastAsia="Book Antiqua" w:hAnsi="Book Antiqua" w:cs="Book Antiqua"/>
          <w:color w:val="000000"/>
        </w:rPr>
        <w:t xml:space="preserve">as </w:t>
      </w:r>
      <w:r w:rsidRPr="002215D5">
        <w:rPr>
          <w:rFonts w:ascii="Book Antiqua" w:eastAsia="Book Antiqua" w:hAnsi="Book Antiqua" w:cs="Book Antiqua"/>
          <w:color w:val="000000"/>
        </w:rPr>
        <w:t>possible the same timing as the originally scheduled visit. Several accessible and widely available digital technologies have been explored with exciting results</w:t>
      </w:r>
      <w:r w:rsidRPr="002215D5">
        <w:rPr>
          <w:rFonts w:ascii="Book Antiqua" w:eastAsia="Book Antiqua" w:hAnsi="Book Antiqua" w:cs="Book Antiqua"/>
          <w:color w:val="000000"/>
          <w:vertAlign w:val="superscript"/>
        </w:rPr>
        <w:t>[72]</w:t>
      </w:r>
      <w:r w:rsidRPr="002215D5">
        <w:rPr>
          <w:rFonts w:ascii="Book Antiqua" w:eastAsia="Book Antiqua" w:hAnsi="Book Antiqua" w:cs="Book Antiqua"/>
          <w:color w:val="000000"/>
        </w:rPr>
        <w:t xml:space="preserve">. Whenever hospital visits cannot be avoided, symptoms and fever checks at hospital entry, the social distancing of at least </w:t>
      </w:r>
      <w:r w:rsidR="008740ED">
        <w:rPr>
          <w:rFonts w:ascii="Book Antiqua" w:eastAsia="Book Antiqua" w:hAnsi="Book Antiqua" w:cs="Book Antiqua"/>
          <w:color w:val="000000"/>
        </w:rPr>
        <w:t>2</w:t>
      </w:r>
      <w:r w:rsidRPr="002215D5">
        <w:rPr>
          <w:rFonts w:ascii="Book Antiqua" w:eastAsia="Book Antiqua" w:hAnsi="Book Antiqua" w:cs="Book Antiqua"/>
          <w:color w:val="000000"/>
        </w:rPr>
        <w:t xml:space="preserve"> m, the use of face masks and strict handwashing policies are highly recommended, even whenever not imposed by state laws. </w:t>
      </w:r>
    </w:p>
    <w:p w14:paraId="66D868C9" w14:textId="77777777"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 xml:space="preserve">Patients should ideally be provided with an emergency helpline, given the paramount importance of promptly controlling a disease flare. </w:t>
      </w:r>
    </w:p>
    <w:p w14:paraId="1738C97A" w14:textId="21264E53"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 xml:space="preserve">Infusion units are dedicated spaces, often located within hospitals, which provide high-quality care during the administration of intravenous drugs for the treatment of several chronic disorders, </w:t>
      </w:r>
      <w:r w:rsidR="00240B95">
        <w:rPr>
          <w:rFonts w:ascii="Book Antiqua" w:eastAsia="Book Antiqua" w:hAnsi="Book Antiqua" w:cs="Book Antiqua"/>
          <w:color w:val="000000"/>
        </w:rPr>
        <w:t>including</w:t>
      </w:r>
      <w:r w:rsidRPr="002215D5">
        <w:rPr>
          <w:rFonts w:ascii="Book Antiqua" w:eastAsia="Book Antiqua" w:hAnsi="Book Antiqua" w:cs="Book Antiqua"/>
          <w:color w:val="000000"/>
        </w:rPr>
        <w:t xml:space="preserve"> IBD. The infusion unit should be regarded as an essential service. A proper organization of the infusion unit is essential to guarantee the safety of both patients and healthcare workers, again through symptoms and fever checks at hospital entry, distancing of beds/chairs of at least </w:t>
      </w:r>
      <w:r w:rsidR="00240B95">
        <w:rPr>
          <w:rFonts w:ascii="Book Antiqua" w:eastAsia="Book Antiqua" w:hAnsi="Book Antiqua" w:cs="Book Antiqua"/>
          <w:color w:val="000000"/>
        </w:rPr>
        <w:t>2</w:t>
      </w:r>
      <w:r w:rsidRPr="002215D5">
        <w:rPr>
          <w:rFonts w:ascii="Book Antiqua" w:eastAsia="Book Antiqua" w:hAnsi="Book Antiqua" w:cs="Book Antiqua"/>
          <w:color w:val="000000"/>
        </w:rPr>
        <w:t xml:space="preserve"> m, the use of face masks and strict hand and surface sanitization policies. Furthermore, the turnover of healthcare workers should be limited as </w:t>
      </w:r>
      <w:r w:rsidR="00D87BBA">
        <w:rPr>
          <w:rFonts w:ascii="Book Antiqua" w:eastAsia="Book Antiqua" w:hAnsi="Book Antiqua" w:cs="Book Antiqua"/>
          <w:color w:val="000000"/>
        </w:rPr>
        <w:t xml:space="preserve">much as </w:t>
      </w:r>
      <w:r w:rsidRPr="002215D5">
        <w:rPr>
          <w:rFonts w:ascii="Book Antiqua" w:eastAsia="Book Antiqua" w:hAnsi="Book Antiqua" w:cs="Book Antiqua"/>
          <w:color w:val="000000"/>
        </w:rPr>
        <w:t>possible to reduce the risk of viral spread</w:t>
      </w:r>
      <w:r w:rsidRPr="002215D5">
        <w:rPr>
          <w:rFonts w:ascii="Book Antiqua" w:eastAsia="Book Antiqua" w:hAnsi="Book Antiqua" w:cs="Book Antiqua"/>
          <w:color w:val="000000"/>
          <w:vertAlign w:val="superscript"/>
        </w:rPr>
        <w:t>[73]</w:t>
      </w:r>
      <w:r w:rsidRPr="002215D5">
        <w:rPr>
          <w:rFonts w:ascii="Book Antiqua" w:eastAsia="Book Antiqua" w:hAnsi="Book Antiqua" w:cs="Book Antiqua"/>
          <w:color w:val="000000"/>
        </w:rPr>
        <w:t xml:space="preserve">. A telephone screening for symptoms before the scheduled appointment time and rapid SARS-CoV-2 testing can also be considered, based on local epidemiology and resource availability. </w:t>
      </w:r>
    </w:p>
    <w:p w14:paraId="78961AB8" w14:textId="77777777"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 xml:space="preserve">Finally, home delivery of subcutaneous drugs should be implemented. </w:t>
      </w:r>
    </w:p>
    <w:p w14:paraId="318BF709" w14:textId="55977BA6"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 xml:space="preserve">The stress on the healthcare system, with an extremely increased number of severe respiratory patients, has turned the spotlights on the importance to vaccinate people for common influenza virus and </w:t>
      </w:r>
      <w:r w:rsidR="00D87BBA" w:rsidRPr="004651CF">
        <w:rPr>
          <w:rFonts w:ascii="Book Antiqua" w:eastAsia="Book Antiqua" w:hAnsi="Book Antiqua" w:cs="Book Antiqua"/>
          <w:i/>
          <w:iCs/>
          <w:color w:val="000000"/>
        </w:rPr>
        <w:t>S</w:t>
      </w:r>
      <w:r w:rsidRPr="004651CF">
        <w:rPr>
          <w:rFonts w:ascii="Book Antiqua" w:eastAsia="Book Antiqua" w:hAnsi="Book Antiqua" w:cs="Book Antiqua"/>
          <w:i/>
          <w:iCs/>
          <w:color w:val="000000"/>
        </w:rPr>
        <w:t>treptococcus</w:t>
      </w:r>
      <w:r w:rsidRPr="002215D5">
        <w:rPr>
          <w:rFonts w:ascii="Book Antiqua" w:eastAsia="Book Antiqua" w:hAnsi="Book Antiqua" w:cs="Book Antiqua"/>
          <w:color w:val="000000"/>
        </w:rPr>
        <w:t xml:space="preserve"> </w:t>
      </w:r>
      <w:r w:rsidRPr="004651CF">
        <w:rPr>
          <w:rFonts w:ascii="Book Antiqua" w:eastAsia="Book Antiqua" w:hAnsi="Book Antiqua" w:cs="Book Antiqua"/>
          <w:i/>
          <w:iCs/>
          <w:color w:val="000000"/>
        </w:rPr>
        <w:t>pneumoniae</w:t>
      </w:r>
      <w:r w:rsidRPr="002215D5">
        <w:rPr>
          <w:rFonts w:ascii="Book Antiqua" w:eastAsia="Book Antiqua" w:hAnsi="Book Antiqua" w:cs="Book Antiqua"/>
          <w:color w:val="000000"/>
          <w:vertAlign w:val="superscript"/>
        </w:rPr>
        <w:t>[74]</w:t>
      </w:r>
      <w:r w:rsidRPr="002215D5">
        <w:rPr>
          <w:rFonts w:ascii="Book Antiqua" w:eastAsia="Book Antiqua" w:hAnsi="Book Antiqua" w:cs="Book Antiqua"/>
          <w:color w:val="000000"/>
        </w:rPr>
        <w:t xml:space="preserve">. It is recommended that all patients with IBD are offered both vaccinations. </w:t>
      </w:r>
    </w:p>
    <w:p w14:paraId="6190E737" w14:textId="641B1454"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 xml:space="preserve">It is </w:t>
      </w:r>
      <w:r w:rsidR="00D87BBA">
        <w:rPr>
          <w:rFonts w:ascii="Book Antiqua" w:eastAsia="Book Antiqua" w:hAnsi="Book Antiqua" w:cs="Book Antiqua"/>
          <w:color w:val="000000"/>
        </w:rPr>
        <w:t xml:space="preserve">too </w:t>
      </w:r>
      <w:r w:rsidRPr="002215D5">
        <w:rPr>
          <w:rFonts w:ascii="Book Antiqua" w:eastAsia="Book Antiqua" w:hAnsi="Book Antiqua" w:cs="Book Antiqua"/>
          <w:color w:val="000000"/>
        </w:rPr>
        <w:t>early to bring conclusions</w:t>
      </w:r>
      <w:r w:rsidR="00D87BBA">
        <w:rPr>
          <w:rFonts w:ascii="Book Antiqua" w:eastAsia="Book Antiqua" w:hAnsi="Book Antiqua" w:cs="Book Antiqua"/>
          <w:color w:val="000000"/>
        </w:rPr>
        <w:t>;</w:t>
      </w:r>
      <w:r w:rsidRPr="002215D5">
        <w:rPr>
          <w:rFonts w:ascii="Book Antiqua" w:eastAsia="Book Antiqua" w:hAnsi="Book Antiqua" w:cs="Book Antiqua"/>
          <w:color w:val="000000"/>
        </w:rPr>
        <w:t xml:space="preserve"> however</w:t>
      </w:r>
      <w:r w:rsidR="00D87BBA">
        <w:rPr>
          <w:rFonts w:ascii="Book Antiqua" w:eastAsia="Book Antiqua" w:hAnsi="Book Antiqua" w:cs="Book Antiqua"/>
          <w:color w:val="000000"/>
        </w:rPr>
        <w:t>,</w:t>
      </w:r>
      <w:r w:rsidRPr="002215D5">
        <w:rPr>
          <w:rFonts w:ascii="Book Antiqua" w:eastAsia="Book Antiqua" w:hAnsi="Book Antiqua" w:cs="Book Antiqua"/>
          <w:color w:val="000000"/>
        </w:rPr>
        <w:t xml:space="preserve"> this pandemic might have sped up the process of a technological revolution in medicine, which will likely change the landscape for the management of patients with chronic diseases, including IBD, also with long</w:t>
      </w:r>
      <w:r w:rsidR="000E6A7B">
        <w:rPr>
          <w:rFonts w:ascii="Book Antiqua" w:eastAsia="Book Antiqua" w:hAnsi="Book Antiqua" w:cs="Book Antiqua"/>
          <w:color w:val="000000"/>
        </w:rPr>
        <w:t>-</w:t>
      </w:r>
      <w:r w:rsidRPr="002215D5">
        <w:rPr>
          <w:rFonts w:ascii="Book Antiqua" w:eastAsia="Book Antiqua" w:hAnsi="Book Antiqua" w:cs="Book Antiqua"/>
          <w:color w:val="000000"/>
        </w:rPr>
        <w:t>term benefit.</w:t>
      </w:r>
    </w:p>
    <w:p w14:paraId="0F0305BF" w14:textId="77777777" w:rsidR="00A77B3E" w:rsidRPr="002215D5" w:rsidRDefault="00A77B3E" w:rsidP="002215D5">
      <w:pPr>
        <w:spacing w:line="360" w:lineRule="auto"/>
        <w:ind w:firstLine="480"/>
        <w:jc w:val="both"/>
        <w:rPr>
          <w:rFonts w:ascii="Book Antiqua" w:hAnsi="Book Antiqua"/>
        </w:rPr>
      </w:pPr>
    </w:p>
    <w:p w14:paraId="02001EEC"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bCs/>
          <w:caps/>
          <w:color w:val="000000"/>
          <w:u w:val="single"/>
        </w:rPr>
        <w:t>Therapeutic management of IBD during SARS-CoV-2 pandemic</w:t>
      </w:r>
    </w:p>
    <w:p w14:paraId="59AEEF7E"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lastRenderedPageBreak/>
        <w:t xml:space="preserve">During this turbulent historical period, the care of chronic patients, including patients with IBD, has necessarily changed and is constantly evolving, reacting and adapting to the evolution of the pandemic. </w:t>
      </w:r>
    </w:p>
    <w:p w14:paraId="2726919D" w14:textId="4285191A"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 xml:space="preserve">As a general principle, we must not depart from solid evidence for the therapeutic management of IBD based solely on emergent data that, though extremely valuable, are certainly subject to many biases. Therefore, the principles of IBD management should remain largely unchanged during the pandemic, yet we certainly need to tailor patient care considering whether the patient is infected with SARS-CoV-2, has symptomatic manifestations of COVID-19 and shows underlying activity of the IBD. </w:t>
      </w:r>
    </w:p>
    <w:p w14:paraId="0DAD008A" w14:textId="77777777" w:rsidR="00A77B3E" w:rsidRPr="002215D5" w:rsidRDefault="00A77B3E" w:rsidP="002215D5">
      <w:pPr>
        <w:spacing w:line="360" w:lineRule="auto"/>
        <w:ind w:firstLine="480"/>
        <w:jc w:val="both"/>
        <w:rPr>
          <w:rFonts w:ascii="Book Antiqua" w:hAnsi="Book Antiqua"/>
        </w:rPr>
      </w:pPr>
    </w:p>
    <w:p w14:paraId="40FA7311"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bCs/>
          <w:i/>
          <w:iCs/>
          <w:color w:val="000000"/>
        </w:rPr>
        <w:t>Stable IBD course</w:t>
      </w:r>
    </w:p>
    <w:p w14:paraId="631D3135" w14:textId="0720D9AF"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Published guidelines, position statements and expert opinions agree in affirming that IBD patients with stable disease course and without SARS-CoV-2 infection should maintain the ongoing immunomodulatory treatment since the risk of disease reactivation outweighs the risk of SARS-CoV-2 infection (Table 2)</w:t>
      </w:r>
      <w:r w:rsidRPr="002215D5">
        <w:rPr>
          <w:rFonts w:ascii="Book Antiqua" w:eastAsia="Book Antiqua" w:hAnsi="Book Antiqua" w:cs="Book Antiqua"/>
          <w:color w:val="000000"/>
          <w:vertAlign w:val="superscript"/>
        </w:rPr>
        <w:t>[55,74–78]</w:t>
      </w:r>
      <w:r w:rsidRPr="002215D5">
        <w:rPr>
          <w:rFonts w:ascii="Book Antiqua" w:eastAsia="Book Antiqua" w:hAnsi="Book Antiqua" w:cs="Book Antiqua"/>
          <w:color w:val="000000"/>
        </w:rPr>
        <w:t>. As the pandemic ensued, the impossibility to reach hospitals has led to treatment discontinuation in some areas. Among 386 Chinese IBD patients on maintenance therapy during the epidemic</w:t>
      </w:r>
      <w:r w:rsidRPr="002215D5">
        <w:rPr>
          <w:rFonts w:ascii="Book Antiqua" w:eastAsia="Book Antiqua" w:hAnsi="Book Antiqua" w:cs="Book Antiqua"/>
          <w:color w:val="000000"/>
          <w:vertAlign w:val="superscript"/>
        </w:rPr>
        <w:t>[79]</w:t>
      </w:r>
      <w:r w:rsidRPr="002215D5">
        <w:rPr>
          <w:rFonts w:ascii="Book Antiqua" w:eastAsia="Book Antiqua" w:hAnsi="Book Antiqua" w:cs="Book Antiqua"/>
          <w:color w:val="000000"/>
        </w:rPr>
        <w:t xml:space="preserve">, 107 (27.7%) have suspended medications, mostly biologics, with resulting disease relapses and hospitalization rates of approximately 25% and 50%, respectively. </w:t>
      </w:r>
    </w:p>
    <w:p w14:paraId="71F5BCE1" w14:textId="7E99E751"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Based on the available data, patients on high-dose corticosteroids (prednisolone dose ≥ 20 mg daily) should be informed a</w:t>
      </w:r>
      <w:r w:rsidR="00987C33" w:rsidRPr="002215D5">
        <w:rPr>
          <w:rFonts w:ascii="Book Antiqua" w:eastAsia="Book Antiqua" w:hAnsi="Book Antiqua" w:cs="Book Antiqua"/>
          <w:color w:val="000000"/>
        </w:rPr>
        <w:t xml:space="preserve">bout </w:t>
      </w:r>
      <w:r w:rsidRPr="002215D5">
        <w:rPr>
          <w:rFonts w:ascii="Book Antiqua" w:eastAsia="Book Antiqua" w:hAnsi="Book Antiqua" w:cs="Book Antiqua"/>
          <w:color w:val="000000"/>
        </w:rPr>
        <w:t>the higher risks they are exposed to and therefore encouraged to observe extra</w:t>
      </w:r>
      <w:r w:rsidR="00CD4665">
        <w:rPr>
          <w:rFonts w:ascii="Book Antiqua" w:eastAsia="Book Antiqua" w:hAnsi="Book Antiqua" w:cs="Book Antiqua"/>
          <w:color w:val="000000"/>
        </w:rPr>
        <w:t xml:space="preserve"> </w:t>
      </w:r>
      <w:r w:rsidRPr="002215D5">
        <w:rPr>
          <w:rFonts w:ascii="Book Antiqua" w:eastAsia="Book Antiqua" w:hAnsi="Book Antiqua" w:cs="Book Antiqua"/>
          <w:color w:val="000000"/>
        </w:rPr>
        <w:t>protective measures. It is more important than ever to minimize corticosteroid exposure and consider corticosteroid-sparing therapies where appropriate</w:t>
      </w:r>
      <w:r w:rsidRPr="002215D5">
        <w:rPr>
          <w:rFonts w:ascii="Book Antiqua" w:eastAsia="Book Antiqua" w:hAnsi="Book Antiqua" w:cs="Book Antiqua"/>
          <w:color w:val="000000"/>
          <w:vertAlign w:val="superscript"/>
        </w:rPr>
        <w:t>[57,62]</w:t>
      </w:r>
      <w:r w:rsidRPr="002215D5">
        <w:rPr>
          <w:rFonts w:ascii="Book Antiqua" w:eastAsia="Book Antiqua" w:hAnsi="Book Antiqua" w:cs="Book Antiqua"/>
          <w:color w:val="000000"/>
        </w:rPr>
        <w:t>.</w:t>
      </w:r>
    </w:p>
    <w:p w14:paraId="7B5C02E3" w14:textId="5552DEAA"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In patients with stable disease, a de-escalation of combination therapy with thiopurine and anti</w:t>
      </w:r>
      <w:r w:rsidR="00F23CE5">
        <w:rPr>
          <w:rFonts w:ascii="Book Antiqua" w:eastAsia="Book Antiqua" w:hAnsi="Book Antiqua" w:cs="Book Antiqua"/>
          <w:color w:val="000000"/>
        </w:rPr>
        <w:t>-</w:t>
      </w:r>
      <w:r w:rsidRPr="002215D5">
        <w:rPr>
          <w:rFonts w:ascii="Book Antiqua" w:eastAsia="Book Antiqua" w:hAnsi="Book Antiqua" w:cs="Book Antiqua"/>
          <w:color w:val="000000"/>
        </w:rPr>
        <w:t>TNF should be considered</w:t>
      </w:r>
      <w:r w:rsidRPr="002215D5">
        <w:rPr>
          <w:rFonts w:ascii="Book Antiqua" w:eastAsia="Book Antiqua" w:hAnsi="Book Antiqua" w:cs="Book Antiqua"/>
          <w:color w:val="000000"/>
          <w:vertAlign w:val="superscript"/>
        </w:rPr>
        <w:t>[62]</w:t>
      </w:r>
      <w:r w:rsidRPr="002215D5">
        <w:rPr>
          <w:rFonts w:ascii="Book Antiqua" w:eastAsia="Book Antiqua" w:hAnsi="Book Antiqua" w:cs="Book Antiqua"/>
          <w:color w:val="000000"/>
        </w:rPr>
        <w:t xml:space="preserve">. </w:t>
      </w:r>
    </w:p>
    <w:p w14:paraId="13E7C81C" w14:textId="0A678FDE"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If necessary, it could also be considered to extend dose intervals of intravenous drug injection to reduce hospital visits; for instance, infliximab and vedolizumab infusions can be postponed up to every 8 wk and 10 wk, respectively</w:t>
      </w:r>
      <w:r w:rsidRPr="002215D5">
        <w:rPr>
          <w:rFonts w:ascii="Book Antiqua" w:eastAsia="Book Antiqua" w:hAnsi="Book Antiqua" w:cs="Book Antiqua"/>
          <w:color w:val="000000"/>
          <w:vertAlign w:val="superscript"/>
        </w:rPr>
        <w:t>[80,81]</w:t>
      </w:r>
      <w:r w:rsidRPr="002215D5">
        <w:rPr>
          <w:rFonts w:ascii="Book Antiqua" w:eastAsia="Book Antiqua" w:hAnsi="Book Antiqua" w:cs="Book Antiqua"/>
          <w:color w:val="000000"/>
        </w:rPr>
        <w:t xml:space="preserve">. The switch from infliximab to subcutaneous adalimumab treatment is not recommended, unless intravenous </w:t>
      </w:r>
      <w:r w:rsidRPr="002215D5">
        <w:rPr>
          <w:rFonts w:ascii="Book Antiqua" w:eastAsia="Book Antiqua" w:hAnsi="Book Antiqua" w:cs="Book Antiqua"/>
          <w:color w:val="000000"/>
        </w:rPr>
        <w:lastRenderedPageBreak/>
        <w:t xml:space="preserve">infusions cannot be performed safely; in fact, this elective shift is associated with loss of tolerance and efficacy within </w:t>
      </w:r>
      <w:r w:rsidR="00F23CE5">
        <w:rPr>
          <w:rFonts w:ascii="Book Antiqua" w:eastAsia="Book Antiqua" w:hAnsi="Book Antiqua" w:cs="Book Antiqua"/>
          <w:color w:val="000000"/>
        </w:rPr>
        <w:t>1</w:t>
      </w:r>
      <w:r w:rsidRPr="002215D5">
        <w:rPr>
          <w:rFonts w:ascii="Book Antiqua" w:eastAsia="Book Antiqua" w:hAnsi="Book Antiqua" w:cs="Book Antiqua"/>
          <w:color w:val="000000"/>
        </w:rPr>
        <w:t xml:space="preserve"> year</w:t>
      </w:r>
      <w:r w:rsidRPr="002215D5">
        <w:rPr>
          <w:rFonts w:ascii="Book Antiqua" w:eastAsia="Book Antiqua" w:hAnsi="Book Antiqua" w:cs="Book Antiqua"/>
          <w:color w:val="000000"/>
          <w:vertAlign w:val="superscript"/>
        </w:rPr>
        <w:t>[82]</w:t>
      </w:r>
      <w:r w:rsidRPr="002215D5">
        <w:rPr>
          <w:rFonts w:ascii="Book Antiqua" w:eastAsia="Book Antiqua" w:hAnsi="Book Antiqua" w:cs="Book Antiqua"/>
          <w:color w:val="000000"/>
        </w:rPr>
        <w:t xml:space="preserve">. </w:t>
      </w:r>
    </w:p>
    <w:p w14:paraId="3DF4A793" w14:textId="77777777"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 xml:space="preserve">Patients with stable IBD and positivity for SARS-CoV-2 infection should be considered individually, simultaneously balancing the risk of inflammatory disease reactivation with the risk of severe COVID-19 course (Table 3). </w:t>
      </w:r>
    </w:p>
    <w:p w14:paraId="6DCD7E3A" w14:textId="1E48FE5E"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Treatment with non-immunosuppressive medications (5-aminosalicylates) should be continued irrespectively of viral symptoms</w:t>
      </w:r>
      <w:r w:rsidRPr="002215D5">
        <w:rPr>
          <w:rFonts w:ascii="Book Antiqua" w:eastAsia="Book Antiqua" w:hAnsi="Book Antiqua" w:cs="Book Antiqua"/>
          <w:color w:val="000000"/>
          <w:vertAlign w:val="superscript"/>
        </w:rPr>
        <w:t xml:space="preserve">[74,78] </w:t>
      </w:r>
      <w:r w:rsidRPr="002215D5">
        <w:rPr>
          <w:rFonts w:ascii="Book Antiqua" w:eastAsia="Book Antiqua" w:hAnsi="Book Antiqua" w:cs="Book Antiqua"/>
          <w:color w:val="000000"/>
        </w:rPr>
        <w:t>,</w:t>
      </w:r>
      <w:r w:rsidR="00987C33" w:rsidRPr="002215D5">
        <w:rPr>
          <w:rFonts w:ascii="Book Antiqua" w:eastAsia="Book Antiqua" w:hAnsi="Book Antiqua" w:cs="Book Antiqua"/>
          <w:color w:val="000000"/>
        </w:rPr>
        <w:t xml:space="preserve"> </w:t>
      </w:r>
      <w:r w:rsidRPr="002215D5">
        <w:rPr>
          <w:rFonts w:ascii="Book Antiqua" w:eastAsia="Book Antiqua" w:hAnsi="Book Antiqua" w:cs="Book Antiqua"/>
          <w:color w:val="000000"/>
        </w:rPr>
        <w:t>despite data from the SECURE-IBD registry indicat</w:t>
      </w:r>
      <w:r w:rsidR="00343FC0">
        <w:rPr>
          <w:rFonts w:ascii="Book Antiqua" w:eastAsia="Book Antiqua" w:hAnsi="Book Antiqua" w:cs="Book Antiqua"/>
          <w:color w:val="000000"/>
        </w:rPr>
        <w:t>ing</w:t>
      </w:r>
      <w:r w:rsidRPr="002215D5">
        <w:rPr>
          <w:rFonts w:ascii="Book Antiqua" w:eastAsia="Book Antiqua" w:hAnsi="Book Antiqua" w:cs="Book Antiqua"/>
          <w:color w:val="000000"/>
        </w:rPr>
        <w:t xml:space="preserve"> their association with severe COVID-19 disease course</w:t>
      </w:r>
      <w:r w:rsidRPr="002215D5">
        <w:rPr>
          <w:rFonts w:ascii="Book Antiqua" w:eastAsia="Book Antiqua" w:hAnsi="Book Antiqua" w:cs="Book Antiqua"/>
          <w:color w:val="000000"/>
          <w:vertAlign w:val="superscript"/>
        </w:rPr>
        <w:t>[57,62]</w:t>
      </w:r>
      <w:r w:rsidRPr="002215D5">
        <w:rPr>
          <w:rFonts w:ascii="Book Antiqua" w:eastAsia="Book Antiqua" w:hAnsi="Book Antiqua" w:cs="Book Antiqua"/>
          <w:color w:val="000000"/>
        </w:rPr>
        <w:t xml:space="preserve">. The unexpected nature of this finding from a biological perspective and the presence of potential unmeasured confounders linked to data collection make further investigations necessary to confirm this association. </w:t>
      </w:r>
    </w:p>
    <w:p w14:paraId="7F707060" w14:textId="1E9BCFFC"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Corticosteroids should ideally be rapidly tapered off to the lowest possible dose in patients without symptoms or with mild symptoms. IBD patients presenting COVID-19 symptoms and requiring oxygen supplementation should probably maintain the dose equivalent to prednisone 40 mg/d since data from the RECOVERY trial has demonstrated the beneficial role of 6 mg of dexamethasone (equal to 40 mg prednisone) for up to 10 d in reducing 28</w:t>
      </w:r>
      <w:r w:rsidR="003F4066">
        <w:rPr>
          <w:rFonts w:ascii="Book Antiqua" w:eastAsia="Book Antiqua" w:hAnsi="Book Antiqua" w:cs="Book Antiqua"/>
          <w:color w:val="000000"/>
        </w:rPr>
        <w:t xml:space="preserve"> </w:t>
      </w:r>
      <w:r w:rsidRPr="002215D5">
        <w:rPr>
          <w:rFonts w:ascii="Book Antiqua" w:eastAsia="Book Antiqua" w:hAnsi="Book Antiqua" w:cs="Book Antiqua"/>
          <w:color w:val="000000"/>
        </w:rPr>
        <w:t>d mortality in patients receiving either invasive mechanical ventilation or oxygen supplementation</w:t>
      </w:r>
      <w:r w:rsidRPr="002215D5">
        <w:rPr>
          <w:rFonts w:ascii="Book Antiqua" w:eastAsia="Book Antiqua" w:hAnsi="Book Antiqua" w:cs="Book Antiqua"/>
          <w:color w:val="000000"/>
          <w:vertAlign w:val="superscript"/>
        </w:rPr>
        <w:t>[60]</w:t>
      </w:r>
      <w:r w:rsidRPr="002215D5">
        <w:rPr>
          <w:rFonts w:ascii="Book Antiqua" w:eastAsia="Book Antiqua" w:hAnsi="Book Antiqua" w:cs="Book Antiqua"/>
          <w:color w:val="000000"/>
        </w:rPr>
        <w:t xml:space="preserve">. </w:t>
      </w:r>
    </w:p>
    <w:p w14:paraId="17941614" w14:textId="33DDFBE6"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 xml:space="preserve">The major guidelines state that patients positive for SARS-CoV-2 should interrupt the treatment with azathioprine, 6-mercaptopurine, biologics and Janus </w:t>
      </w:r>
      <w:r w:rsidR="003F4066">
        <w:rPr>
          <w:rFonts w:ascii="Book Antiqua" w:eastAsia="Book Antiqua" w:hAnsi="Book Antiqua" w:cs="Book Antiqua"/>
          <w:color w:val="000000"/>
        </w:rPr>
        <w:t>k</w:t>
      </w:r>
      <w:r w:rsidRPr="002215D5">
        <w:rPr>
          <w:rFonts w:ascii="Book Antiqua" w:eastAsia="Book Antiqua" w:hAnsi="Book Antiqua" w:cs="Book Antiqua"/>
          <w:color w:val="000000"/>
        </w:rPr>
        <w:t>inase inhibitors irrespective of the presence of COVID-19 symptoms</w:t>
      </w:r>
      <w:r w:rsidRPr="002215D5">
        <w:rPr>
          <w:rFonts w:ascii="Book Antiqua" w:eastAsia="Book Antiqua" w:hAnsi="Book Antiqua" w:cs="Book Antiqua"/>
          <w:color w:val="000000"/>
          <w:vertAlign w:val="superscript"/>
        </w:rPr>
        <w:t>[74,76]</w:t>
      </w:r>
      <w:r w:rsidRPr="002215D5">
        <w:rPr>
          <w:rFonts w:ascii="Book Antiqua" w:eastAsia="Book Antiqua" w:hAnsi="Book Antiqua" w:cs="Book Antiqua"/>
          <w:color w:val="000000"/>
        </w:rPr>
        <w:t xml:space="preserve">. </w:t>
      </w:r>
    </w:p>
    <w:p w14:paraId="271FB2D7" w14:textId="77777777"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However, uncertainty remains on the possibility of continuation of maintenance therapy with biologics in asymptomatic patients, with data from the SECURE-IBD registry and recent evidence suggesting no harm</w:t>
      </w:r>
      <w:r w:rsidRPr="002215D5">
        <w:rPr>
          <w:rFonts w:ascii="Book Antiqua" w:eastAsia="Book Antiqua" w:hAnsi="Book Antiqua" w:cs="Book Antiqua"/>
          <w:color w:val="000000"/>
          <w:vertAlign w:val="superscript"/>
        </w:rPr>
        <w:t>[54,83]</w:t>
      </w:r>
      <w:r w:rsidRPr="002215D5">
        <w:rPr>
          <w:rFonts w:ascii="Book Antiqua" w:eastAsia="Book Antiqua" w:hAnsi="Book Antiqua" w:cs="Book Antiqua"/>
          <w:color w:val="000000"/>
        </w:rPr>
        <w:t xml:space="preserve">. Even if these findings are insufficient to drive any solid conclusion, we might consider maintaining biologic agents in those patients with a high risk of IBD reactivation. </w:t>
      </w:r>
    </w:p>
    <w:p w14:paraId="061CB714" w14:textId="77777777" w:rsidR="00A77B3E" w:rsidRPr="002215D5" w:rsidRDefault="00A77B3E" w:rsidP="002215D5">
      <w:pPr>
        <w:spacing w:line="360" w:lineRule="auto"/>
        <w:ind w:firstLine="480"/>
        <w:jc w:val="both"/>
        <w:rPr>
          <w:rFonts w:ascii="Book Antiqua" w:hAnsi="Book Antiqua"/>
        </w:rPr>
      </w:pPr>
    </w:p>
    <w:p w14:paraId="16A82CFF" w14:textId="66158856"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bCs/>
          <w:i/>
          <w:iCs/>
          <w:color w:val="000000"/>
        </w:rPr>
        <w:t>IBD</w:t>
      </w:r>
      <w:r w:rsidR="00B76EB5">
        <w:rPr>
          <w:rFonts w:ascii="Book Antiqua" w:eastAsia="Book Antiqua" w:hAnsi="Book Antiqua" w:cs="Book Antiqua"/>
          <w:b/>
          <w:bCs/>
          <w:i/>
          <w:iCs/>
          <w:color w:val="000000"/>
        </w:rPr>
        <w:t xml:space="preserve"> </w:t>
      </w:r>
      <w:r w:rsidRPr="002215D5">
        <w:rPr>
          <w:rFonts w:ascii="Book Antiqua" w:eastAsia="Book Antiqua" w:hAnsi="Book Antiqua" w:cs="Book Antiqua"/>
          <w:b/>
          <w:bCs/>
          <w:i/>
          <w:iCs/>
          <w:color w:val="000000"/>
        </w:rPr>
        <w:t>disease reactivation</w:t>
      </w:r>
    </w:p>
    <w:p w14:paraId="4CD2E4FD" w14:textId="0DBFDB12"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Telemedicine visits are encouraged as a first approach to gain insights into type and severity of symptoms reported by a patien</w:t>
      </w:r>
      <w:r w:rsidR="00B76EB5">
        <w:rPr>
          <w:rFonts w:ascii="Book Antiqua" w:eastAsia="Book Antiqua" w:hAnsi="Book Antiqua" w:cs="Book Antiqua"/>
          <w:color w:val="000000"/>
        </w:rPr>
        <w:t>t</w:t>
      </w:r>
      <w:r w:rsidRPr="002215D5">
        <w:rPr>
          <w:rFonts w:ascii="Book Antiqua" w:eastAsia="Book Antiqua" w:hAnsi="Book Antiqua" w:cs="Book Antiqua"/>
          <w:color w:val="000000"/>
        </w:rPr>
        <w:t xml:space="preserve">. The cause underlying the symptoms should </w:t>
      </w:r>
      <w:r w:rsidRPr="002215D5">
        <w:rPr>
          <w:rFonts w:ascii="Book Antiqua" w:eastAsia="Book Antiqua" w:hAnsi="Book Antiqua" w:cs="Book Antiqua"/>
          <w:color w:val="000000"/>
        </w:rPr>
        <w:lastRenderedPageBreak/>
        <w:t>be deeply addressed in order to exclude an alternative diagnosis. In particular, all patients with IBD reactivation should undergo SARS-CoV-2 testing through NPS irrespective of respiratory symptoms</w:t>
      </w:r>
      <w:r w:rsidRPr="002215D5">
        <w:rPr>
          <w:rFonts w:ascii="Book Antiqua" w:eastAsia="Book Antiqua" w:hAnsi="Book Antiqua" w:cs="Book Antiqua"/>
          <w:color w:val="000000"/>
          <w:vertAlign w:val="superscript"/>
        </w:rPr>
        <w:t>[84]</w:t>
      </w:r>
      <w:r w:rsidRPr="002215D5">
        <w:rPr>
          <w:rFonts w:ascii="Book Antiqua" w:eastAsia="Book Antiqua" w:hAnsi="Book Antiqua" w:cs="Book Antiqua"/>
          <w:color w:val="000000"/>
        </w:rPr>
        <w:t xml:space="preserve">. Standard stool testing for bacterial and parasitic infections, including test for </w:t>
      </w:r>
      <w:r w:rsidRPr="004651CF">
        <w:rPr>
          <w:rFonts w:ascii="Book Antiqua" w:eastAsia="Book Antiqua" w:hAnsi="Book Antiqua" w:cs="Book Antiqua"/>
          <w:i/>
          <w:iCs/>
          <w:color w:val="000000"/>
        </w:rPr>
        <w:t>Clostridioides</w:t>
      </w:r>
      <w:r w:rsidRPr="002215D5">
        <w:rPr>
          <w:rFonts w:ascii="Book Antiqua" w:eastAsia="Book Antiqua" w:hAnsi="Book Antiqua" w:cs="Book Antiqua"/>
          <w:color w:val="000000"/>
        </w:rPr>
        <w:t xml:space="preserve"> </w:t>
      </w:r>
      <w:r w:rsidR="00F87BDC" w:rsidRPr="004651CF">
        <w:rPr>
          <w:rFonts w:ascii="Book Antiqua" w:eastAsia="Book Antiqua" w:hAnsi="Book Antiqua" w:cs="Book Antiqua"/>
          <w:i/>
          <w:iCs/>
          <w:color w:val="000000"/>
        </w:rPr>
        <w:t>d</w:t>
      </w:r>
      <w:r w:rsidRPr="004651CF">
        <w:rPr>
          <w:rFonts w:ascii="Book Antiqua" w:eastAsia="Book Antiqua" w:hAnsi="Book Antiqua" w:cs="Book Antiqua"/>
          <w:i/>
          <w:iCs/>
          <w:color w:val="000000"/>
        </w:rPr>
        <w:t>ifficile</w:t>
      </w:r>
      <w:r w:rsidRPr="002215D5">
        <w:rPr>
          <w:rFonts w:ascii="Book Antiqua" w:eastAsia="Book Antiqua" w:hAnsi="Book Antiqua" w:cs="Book Antiqua"/>
          <w:color w:val="000000"/>
        </w:rPr>
        <w:t xml:space="preserve"> toxins, should always be performed in patients presenting with diarrhea. Functional symptoms should also be considered during this stressful period. </w:t>
      </w:r>
    </w:p>
    <w:p w14:paraId="51A79A25" w14:textId="0D8BB298"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A rapid assessment of the severity of disease activity is advisable, coupling clinical evaluation with noninvasive tests, including blood tests and fecal calprotectin. The reason for a disease flare should be quickly addressed (</w:t>
      </w:r>
      <w:r w:rsidRPr="002215D5">
        <w:rPr>
          <w:rFonts w:ascii="Book Antiqua" w:eastAsia="Book Antiqua" w:hAnsi="Book Antiqua" w:cs="Book Antiqua"/>
          <w:i/>
          <w:iCs/>
          <w:color w:val="000000"/>
        </w:rPr>
        <w:t>i.e.</w:t>
      </w:r>
      <w:r w:rsidRPr="002215D5">
        <w:rPr>
          <w:rFonts w:ascii="Book Antiqua" w:eastAsia="Book Antiqua" w:hAnsi="Book Antiqua" w:cs="Book Antiqua"/>
          <w:color w:val="000000"/>
        </w:rPr>
        <w:t xml:space="preserve"> coinfection, drug immunogenicity or drug resistance) in order to be able to rapidly adjust medical therapy. </w:t>
      </w:r>
    </w:p>
    <w:p w14:paraId="25D16E49" w14:textId="77777777"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The need for face-to-face evaluation should be considered on a case-by-case basis, evaluating both clinical and biochemical parameters. Endoscopic procedures should be limited to what is strictly necessary for treatment decision; whenever possible, it should be replaced with ultrasound examinations or cross-sectional imaging</w:t>
      </w:r>
      <w:r w:rsidRPr="002215D5">
        <w:rPr>
          <w:rFonts w:ascii="Book Antiqua" w:eastAsia="Book Antiqua" w:hAnsi="Book Antiqua" w:cs="Book Antiqua"/>
          <w:color w:val="000000"/>
          <w:vertAlign w:val="superscript"/>
        </w:rPr>
        <w:t>[68]</w:t>
      </w:r>
      <w:r w:rsidRPr="002215D5">
        <w:rPr>
          <w:rFonts w:ascii="Book Antiqua" w:eastAsia="Book Antiqua" w:hAnsi="Book Antiqua" w:cs="Book Antiqua"/>
          <w:color w:val="000000"/>
        </w:rPr>
        <w:t xml:space="preserve">. </w:t>
      </w:r>
    </w:p>
    <w:p w14:paraId="6E80AF1F" w14:textId="77777777" w:rsidR="00A77B3E" w:rsidRPr="002215D5" w:rsidRDefault="00A77B3E" w:rsidP="002215D5">
      <w:pPr>
        <w:spacing w:line="360" w:lineRule="auto"/>
        <w:ind w:firstLine="480"/>
        <w:jc w:val="both"/>
        <w:rPr>
          <w:rFonts w:ascii="Book Antiqua" w:hAnsi="Book Antiqua"/>
        </w:rPr>
      </w:pPr>
    </w:p>
    <w:p w14:paraId="59CB38D6"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bCs/>
          <w:color w:val="000000"/>
        </w:rPr>
        <w:t>SARS-CoV-2 negative patients</w:t>
      </w:r>
      <w:r w:rsidR="00086D6B" w:rsidRPr="002215D5">
        <w:rPr>
          <w:rFonts w:ascii="Book Antiqua" w:eastAsia="Book Antiqua" w:hAnsi="Book Antiqua" w:cs="Book Antiqua"/>
          <w:b/>
          <w:bCs/>
          <w:color w:val="000000"/>
        </w:rPr>
        <w:t>.</w:t>
      </w:r>
      <w:r w:rsidRPr="002215D5">
        <w:rPr>
          <w:rFonts w:ascii="Book Antiqua" w:eastAsia="Book Antiqua" w:hAnsi="Book Antiqua" w:cs="Book Antiqua"/>
          <w:b/>
          <w:bCs/>
          <w:color w:val="000000"/>
        </w:rPr>
        <w:t xml:space="preserve"> </w:t>
      </w:r>
      <w:r w:rsidRPr="002215D5">
        <w:rPr>
          <w:rFonts w:ascii="Book Antiqua" w:eastAsia="Book Antiqua" w:hAnsi="Book Antiqua" w:cs="Book Antiqua"/>
          <w:color w:val="000000"/>
        </w:rPr>
        <w:t>The management of IBD reactivation in SARS-CoV-2 negative patients should follow the current local and international guidelines, as it occurred in the pre-COVID era</w:t>
      </w:r>
      <w:r w:rsidRPr="002215D5">
        <w:rPr>
          <w:rFonts w:ascii="Book Antiqua" w:eastAsia="Book Antiqua" w:hAnsi="Book Antiqua" w:cs="Book Antiqua"/>
          <w:color w:val="000000"/>
          <w:vertAlign w:val="superscript"/>
        </w:rPr>
        <w:t>[74]</w:t>
      </w:r>
      <w:r w:rsidRPr="002215D5">
        <w:rPr>
          <w:rFonts w:ascii="Book Antiqua" w:eastAsia="Book Antiqua" w:hAnsi="Book Antiqua" w:cs="Book Antiqua"/>
          <w:color w:val="000000"/>
        </w:rPr>
        <w:t xml:space="preserve">. </w:t>
      </w:r>
    </w:p>
    <w:p w14:paraId="64505E41" w14:textId="77777777"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 xml:space="preserve">As stated, it appears to be even more important to minimize steroid exposure and consider steroid-sparing maintenance treatments if appropriate. There is currently no conclusive evidence to prefer one agent over another. </w:t>
      </w:r>
    </w:p>
    <w:p w14:paraId="7A3CCEC2" w14:textId="77777777"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 xml:space="preserve">Patients must follow general and specific recommendations to reduce the risk of being infected with SARS-CoV-2, considering that active disease may represent an additional risk factor (Table 1). </w:t>
      </w:r>
    </w:p>
    <w:p w14:paraId="09D4DEF1" w14:textId="77777777" w:rsidR="00A77B3E" w:rsidRPr="002215D5" w:rsidRDefault="00A77B3E" w:rsidP="002215D5">
      <w:pPr>
        <w:spacing w:line="360" w:lineRule="auto"/>
        <w:ind w:firstLine="480"/>
        <w:jc w:val="both"/>
        <w:rPr>
          <w:rFonts w:ascii="Book Antiqua" w:hAnsi="Book Antiqua"/>
        </w:rPr>
      </w:pPr>
    </w:p>
    <w:p w14:paraId="46797DC5" w14:textId="3A79E284"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bCs/>
          <w:color w:val="000000"/>
        </w:rPr>
        <w:t>SARS-CoV-2 positive patients</w:t>
      </w:r>
      <w:r w:rsidR="00086D6B" w:rsidRPr="002215D5">
        <w:rPr>
          <w:rFonts w:ascii="Book Antiqua" w:eastAsia="Book Antiqua" w:hAnsi="Book Antiqua" w:cs="Book Antiqua"/>
          <w:b/>
          <w:bCs/>
          <w:color w:val="000000"/>
        </w:rPr>
        <w:t>.</w:t>
      </w:r>
      <w:r w:rsidRPr="002215D5">
        <w:rPr>
          <w:rFonts w:ascii="Book Antiqua" w:eastAsia="Book Antiqua" w:hAnsi="Book Antiqua" w:cs="Book Antiqua"/>
          <w:b/>
          <w:bCs/>
          <w:color w:val="000000"/>
        </w:rPr>
        <w:t xml:space="preserve"> </w:t>
      </w:r>
      <w:r w:rsidRPr="002215D5">
        <w:rPr>
          <w:rFonts w:ascii="Book Antiqua" w:eastAsia="Book Antiqua" w:hAnsi="Book Antiqua" w:cs="Book Antiqua"/>
          <w:color w:val="000000"/>
        </w:rPr>
        <w:t>In mildly active disease a course of locally acting steroid</w:t>
      </w:r>
      <w:r w:rsidR="00D07904">
        <w:rPr>
          <w:rFonts w:ascii="Book Antiqua" w:eastAsia="Book Antiqua" w:hAnsi="Book Antiqua" w:cs="Book Antiqua"/>
          <w:color w:val="000000"/>
        </w:rPr>
        <w:t>s</w:t>
      </w:r>
      <w:r w:rsidRPr="002215D5">
        <w:rPr>
          <w:rFonts w:ascii="Book Antiqua" w:eastAsia="Book Antiqua" w:hAnsi="Book Antiqua" w:cs="Book Antiqua"/>
          <w:color w:val="000000"/>
        </w:rPr>
        <w:t xml:space="preserve"> can be instituted, despite the lack of specific evidence on the course of COVID-19. Alternatively, a reasonable approach would be to postpone treatment for </w:t>
      </w:r>
      <w:r w:rsidR="00D07904">
        <w:rPr>
          <w:rFonts w:ascii="Book Antiqua" w:eastAsia="Book Antiqua" w:hAnsi="Book Antiqua" w:cs="Book Antiqua"/>
          <w:color w:val="000000"/>
        </w:rPr>
        <w:t>2</w:t>
      </w:r>
      <w:r w:rsidR="00D07904" w:rsidRPr="002215D5">
        <w:rPr>
          <w:rFonts w:ascii="Book Antiqua" w:eastAsia="Book Antiqua" w:hAnsi="Book Antiqua" w:cs="Book Antiqua"/>
          <w:color w:val="000000"/>
        </w:rPr>
        <w:t xml:space="preserve"> </w:t>
      </w:r>
      <w:r w:rsidRPr="002215D5">
        <w:rPr>
          <w:rFonts w:ascii="Book Antiqua" w:eastAsia="Book Antiqua" w:hAnsi="Book Antiqua" w:cs="Book Antiqua"/>
          <w:color w:val="000000"/>
        </w:rPr>
        <w:t>wk in order to observe the clinical course of COVID-19 and/or allow resolution of infection</w:t>
      </w:r>
      <w:r w:rsidRPr="002215D5">
        <w:rPr>
          <w:rFonts w:ascii="Book Antiqua" w:eastAsia="Book Antiqua" w:hAnsi="Book Antiqua" w:cs="Book Antiqua"/>
          <w:color w:val="000000"/>
          <w:vertAlign w:val="superscript"/>
        </w:rPr>
        <w:t>[85]</w:t>
      </w:r>
      <w:r w:rsidRPr="002215D5">
        <w:rPr>
          <w:rFonts w:ascii="Book Antiqua" w:eastAsia="Book Antiqua" w:hAnsi="Book Antiqua" w:cs="Book Antiqua"/>
          <w:color w:val="000000"/>
        </w:rPr>
        <w:t>.</w:t>
      </w:r>
    </w:p>
    <w:p w14:paraId="3DDACD93" w14:textId="43BC31B2"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lastRenderedPageBreak/>
        <w:t xml:space="preserve">In </w:t>
      </w:r>
      <w:r w:rsidR="00D07904">
        <w:rPr>
          <w:rFonts w:ascii="Book Antiqua" w:eastAsia="Book Antiqua" w:hAnsi="Book Antiqua" w:cs="Book Antiqua"/>
          <w:color w:val="000000"/>
        </w:rPr>
        <w:t xml:space="preserve">a </w:t>
      </w:r>
      <w:r w:rsidRPr="002215D5">
        <w:rPr>
          <w:rFonts w:ascii="Book Antiqua" w:eastAsia="Book Antiqua" w:hAnsi="Book Antiqua" w:cs="Book Antiqua"/>
          <w:color w:val="000000"/>
        </w:rPr>
        <w:t>moderate to severe flare, there remain doubts about the use of systemic steroids, especially in patients without symptoms of COVID-19 or without need for oxygen supplementation. Indeed, besides the increased risk for adverse outcomes that emerged from the analysis of the SECURE-IBD registry data</w:t>
      </w:r>
      <w:r w:rsidRPr="002215D5">
        <w:rPr>
          <w:rFonts w:ascii="Book Antiqua" w:eastAsia="Book Antiqua" w:hAnsi="Book Antiqua" w:cs="Book Antiqua"/>
          <w:color w:val="000000"/>
          <w:vertAlign w:val="superscript"/>
        </w:rPr>
        <w:t>[54]</w:t>
      </w:r>
      <w:r w:rsidRPr="002215D5">
        <w:rPr>
          <w:rFonts w:ascii="Book Antiqua" w:eastAsia="Book Antiqua" w:hAnsi="Book Antiqua" w:cs="Book Antiqua"/>
          <w:color w:val="000000"/>
        </w:rPr>
        <w:t>, in the RECOVERY trial patients receiving no respiratory support did not experience any benefit, but rather a trend toward harm was observed</w:t>
      </w:r>
      <w:r w:rsidRPr="002215D5">
        <w:rPr>
          <w:rFonts w:ascii="Book Antiqua" w:eastAsia="Book Antiqua" w:hAnsi="Book Antiqua" w:cs="Book Antiqua"/>
          <w:color w:val="000000"/>
          <w:vertAlign w:val="superscript"/>
        </w:rPr>
        <w:t>[60]</w:t>
      </w:r>
      <w:r w:rsidRPr="002215D5">
        <w:rPr>
          <w:rFonts w:ascii="Book Antiqua" w:eastAsia="Book Antiqua" w:hAnsi="Book Antiqua" w:cs="Book Antiqua"/>
          <w:color w:val="000000"/>
        </w:rPr>
        <w:t xml:space="preserve">. However, the role of high-dose systemic steroids in controlling the underlying IBD disease activity remains often pivotal. </w:t>
      </w:r>
    </w:p>
    <w:p w14:paraId="0E0D6688" w14:textId="77777777"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Whenever necessary, a reasonable approach might be to limit the dose of prednisone to 40 mg daily, with rapid dose tapering and switch to maintenance biologic therapy</w:t>
      </w:r>
      <w:r w:rsidRPr="002215D5">
        <w:rPr>
          <w:rFonts w:ascii="Book Antiqua" w:eastAsia="Book Antiqua" w:hAnsi="Book Antiqua" w:cs="Book Antiqua"/>
          <w:color w:val="000000"/>
          <w:vertAlign w:val="superscript"/>
        </w:rPr>
        <w:t>[85]</w:t>
      </w:r>
      <w:r w:rsidRPr="002215D5">
        <w:rPr>
          <w:rFonts w:ascii="Book Antiqua" w:eastAsia="Book Antiqua" w:hAnsi="Book Antiqua" w:cs="Book Antiqua"/>
          <w:color w:val="000000"/>
        </w:rPr>
        <w:t>.</w:t>
      </w:r>
    </w:p>
    <w:p w14:paraId="332338FD" w14:textId="70F3A862"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When needed, biologic agents should be preferred as the first-choice treatment for the induction and maintenance of remission in IBD patients with SARS-CoV-2 since data available indicate their higher safety</w:t>
      </w:r>
      <w:r w:rsidR="00E54017">
        <w:rPr>
          <w:rFonts w:ascii="Book Antiqua" w:eastAsia="Book Antiqua" w:hAnsi="Book Antiqua" w:cs="Book Antiqua"/>
          <w:color w:val="000000"/>
        </w:rPr>
        <w:t xml:space="preserve"> </w:t>
      </w:r>
      <w:r w:rsidRPr="002215D5">
        <w:rPr>
          <w:rFonts w:ascii="Book Antiqua" w:eastAsia="Book Antiqua" w:hAnsi="Book Antiqua" w:cs="Book Antiqua"/>
          <w:color w:val="000000"/>
        </w:rPr>
        <w:t>profile as compared to other drugs</w:t>
      </w:r>
      <w:r w:rsidRPr="002215D5">
        <w:rPr>
          <w:rFonts w:ascii="Book Antiqua" w:eastAsia="Book Antiqua" w:hAnsi="Book Antiqua" w:cs="Book Antiqua"/>
          <w:color w:val="000000"/>
          <w:vertAlign w:val="superscript"/>
        </w:rPr>
        <w:t>[6,54]</w:t>
      </w:r>
      <w:r w:rsidRPr="002215D5">
        <w:rPr>
          <w:rFonts w:ascii="Book Antiqua" w:eastAsia="Book Antiqua" w:hAnsi="Book Antiqua" w:cs="Book Antiqua"/>
          <w:color w:val="000000"/>
        </w:rPr>
        <w:t xml:space="preserve">. </w:t>
      </w:r>
    </w:p>
    <w:p w14:paraId="694E039F" w14:textId="7480CED2"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A strong emphasis needs to be put on the role of thromboprophylaxis for patients with both active IBD and SARS-CoV-2 infection, given the high rate of thrombotic complication</w:t>
      </w:r>
      <w:r w:rsidR="00E54017">
        <w:rPr>
          <w:rFonts w:ascii="Book Antiqua" w:eastAsia="Book Antiqua" w:hAnsi="Book Antiqua" w:cs="Book Antiqua"/>
          <w:color w:val="000000"/>
        </w:rPr>
        <w:t>s</w:t>
      </w:r>
      <w:r w:rsidRPr="002215D5">
        <w:rPr>
          <w:rFonts w:ascii="Book Antiqua" w:eastAsia="Book Antiqua" w:hAnsi="Book Antiqua" w:cs="Book Antiqua"/>
          <w:color w:val="000000"/>
        </w:rPr>
        <w:t xml:space="preserve"> observed in COVID-19 patients</w:t>
      </w:r>
      <w:r w:rsidRPr="002215D5">
        <w:rPr>
          <w:rFonts w:ascii="Book Antiqua" w:eastAsia="Book Antiqua" w:hAnsi="Book Antiqua" w:cs="Book Antiqua"/>
          <w:color w:val="000000"/>
          <w:vertAlign w:val="superscript"/>
        </w:rPr>
        <w:t>[85]</w:t>
      </w:r>
      <w:r w:rsidRPr="002215D5">
        <w:rPr>
          <w:rFonts w:ascii="Book Antiqua" w:eastAsia="Book Antiqua" w:hAnsi="Book Antiqua" w:cs="Book Antiqua"/>
          <w:color w:val="000000"/>
        </w:rPr>
        <w:t>.</w:t>
      </w:r>
    </w:p>
    <w:p w14:paraId="70EDD010" w14:textId="77777777" w:rsidR="00A77B3E" w:rsidRPr="002215D5" w:rsidRDefault="00A77B3E" w:rsidP="002215D5">
      <w:pPr>
        <w:spacing w:line="360" w:lineRule="auto"/>
        <w:ind w:firstLine="480"/>
        <w:jc w:val="both"/>
        <w:rPr>
          <w:rFonts w:ascii="Book Antiqua" w:hAnsi="Book Antiqua"/>
        </w:rPr>
      </w:pPr>
    </w:p>
    <w:p w14:paraId="6E53E5D4"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bCs/>
          <w:caps/>
          <w:color w:val="000000"/>
          <w:u w:val="single"/>
        </w:rPr>
        <w:t>Psychological implications of SARS-CoV-2 in IBD patients</w:t>
      </w:r>
    </w:p>
    <w:p w14:paraId="23A4E523" w14:textId="6BC539EB"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Since its first description in December 2019, COVID-19 has created a worldwide sense of fear, termed “coronaphobia</w:t>
      </w:r>
      <w:r w:rsidR="00E54017">
        <w:rPr>
          <w:rFonts w:ascii="Book Antiqua" w:eastAsia="Book Antiqua" w:hAnsi="Book Antiqua" w:cs="Book Antiqua"/>
          <w:color w:val="000000"/>
        </w:rPr>
        <w:t>,</w:t>
      </w:r>
      <w:r w:rsidRPr="002215D5">
        <w:rPr>
          <w:rFonts w:ascii="Book Antiqua" w:eastAsia="Book Antiqua" w:hAnsi="Book Antiqua" w:cs="Book Antiqua"/>
          <w:color w:val="000000"/>
        </w:rPr>
        <w:t>” steeply increasing the incidence of various psychiatric manifestations</w:t>
      </w:r>
      <w:r w:rsidRPr="002215D5">
        <w:rPr>
          <w:rFonts w:ascii="Book Antiqua" w:eastAsia="Book Antiqua" w:hAnsi="Book Antiqua" w:cs="Book Antiqua"/>
          <w:color w:val="000000"/>
          <w:vertAlign w:val="superscript"/>
        </w:rPr>
        <w:t>[86]</w:t>
      </w:r>
      <w:r w:rsidRPr="002215D5">
        <w:rPr>
          <w:rFonts w:ascii="Book Antiqua" w:eastAsia="Book Antiqua" w:hAnsi="Book Antiqua" w:cs="Book Antiqua"/>
          <w:color w:val="000000"/>
        </w:rPr>
        <w:t>. Even before the pandemic onset, IBD patients were at an increased risk for mental health impairment and psychological comorbidities</w:t>
      </w:r>
      <w:r w:rsidRPr="002215D5">
        <w:rPr>
          <w:rFonts w:ascii="Book Antiqua" w:eastAsia="Book Antiqua" w:hAnsi="Book Antiqua" w:cs="Book Antiqua"/>
          <w:color w:val="000000"/>
          <w:vertAlign w:val="superscript"/>
        </w:rPr>
        <w:t>[87]</w:t>
      </w:r>
      <w:r w:rsidRPr="002215D5">
        <w:rPr>
          <w:rFonts w:ascii="Book Antiqua" w:eastAsia="Book Antiqua" w:hAnsi="Book Antiqua" w:cs="Book Antiqua"/>
          <w:color w:val="000000"/>
        </w:rPr>
        <w:t>, with a reported incidence of depression and anxiety of up to four times higher than that of the general population</w:t>
      </w:r>
      <w:r w:rsidRPr="002215D5">
        <w:rPr>
          <w:rFonts w:ascii="Book Antiqua" w:eastAsia="Book Antiqua" w:hAnsi="Book Antiqua" w:cs="Book Antiqua"/>
          <w:color w:val="000000"/>
          <w:vertAlign w:val="superscript"/>
        </w:rPr>
        <w:t>[88,89]</w:t>
      </w:r>
      <w:r w:rsidRPr="002215D5">
        <w:rPr>
          <w:rFonts w:ascii="Book Antiqua" w:eastAsia="Book Antiqua" w:hAnsi="Book Antiqua" w:cs="Book Antiqua"/>
          <w:color w:val="000000"/>
        </w:rPr>
        <w:t>. During this pandemic, self-isolation, future uncertainty</w:t>
      </w:r>
      <w:r w:rsidR="007459A6">
        <w:rPr>
          <w:rFonts w:ascii="Book Antiqua" w:eastAsia="Book Antiqua" w:hAnsi="Book Antiqua" w:cs="Book Antiqua"/>
          <w:color w:val="000000"/>
        </w:rPr>
        <w:t xml:space="preserve"> and</w:t>
      </w:r>
      <w:r w:rsidRPr="002215D5">
        <w:rPr>
          <w:rFonts w:ascii="Book Antiqua" w:eastAsia="Book Antiqua" w:hAnsi="Book Antiqua" w:cs="Book Antiqua"/>
          <w:color w:val="000000"/>
        </w:rPr>
        <w:t xml:space="preserve"> lack of regular face-to-face contact with the referred physician will likely lead to the amplification of latent psychopathological conditions or the development of new ones. </w:t>
      </w:r>
    </w:p>
    <w:p w14:paraId="07F73195" w14:textId="084BD1E7"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In the early phase of the pandemic, an online survey supported by the European Federation of Crohn’s and Ulcerative Colitis Associations clearly demonstrated a communication gap between patients and physicians, as only 11% of patients had found relief from their worries from medical consultations</w:t>
      </w:r>
      <w:r w:rsidRPr="002215D5">
        <w:rPr>
          <w:rFonts w:ascii="Book Antiqua" w:eastAsia="Book Antiqua" w:hAnsi="Book Antiqua" w:cs="Book Antiqua"/>
          <w:color w:val="000000"/>
          <w:vertAlign w:val="superscript"/>
        </w:rPr>
        <w:t>[90]</w:t>
      </w:r>
      <w:r w:rsidRPr="002215D5">
        <w:rPr>
          <w:rFonts w:ascii="Book Antiqua" w:eastAsia="Book Antiqua" w:hAnsi="Book Antiqua" w:cs="Book Antiqua"/>
          <w:color w:val="000000"/>
        </w:rPr>
        <w:t>.</w:t>
      </w:r>
    </w:p>
    <w:p w14:paraId="3135C7A5" w14:textId="77777777"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lastRenderedPageBreak/>
        <w:t>Bearing all this in mind, the role of telemedicine, and perhaps of telepsychology, seems pivotal alongside a close-knit collaboration with patients’ associations.</w:t>
      </w:r>
    </w:p>
    <w:p w14:paraId="7738C65A" w14:textId="77777777" w:rsidR="00A77B3E" w:rsidRPr="002215D5" w:rsidRDefault="00A77B3E" w:rsidP="002215D5">
      <w:pPr>
        <w:spacing w:line="360" w:lineRule="auto"/>
        <w:ind w:firstLine="480"/>
        <w:jc w:val="both"/>
        <w:rPr>
          <w:rFonts w:ascii="Book Antiqua" w:hAnsi="Book Antiqua"/>
        </w:rPr>
      </w:pPr>
    </w:p>
    <w:p w14:paraId="581E5A7D"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bCs/>
          <w:caps/>
          <w:color w:val="000000"/>
          <w:u w:val="single"/>
        </w:rPr>
        <w:t xml:space="preserve">SARS-CoV-2 Vaccination </w:t>
      </w:r>
    </w:p>
    <w:p w14:paraId="1F82478D"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In December 2020 two mRNA vaccines and one replication-incompetent viral vector vaccine against SARS-CoV2 have been approved, while many other candidates are currently in phase 3 testing. Vaccination campaigns have started in most countries with prioritization criteria mainly based on the risk of SARS-CoV-2 exposure and the risk of COVID-19 adverse outcomes. </w:t>
      </w:r>
    </w:p>
    <w:p w14:paraId="63FFB367" w14:textId="5FC04330"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Patients with IBD and other immune-mediated diseases were not included in the registrat</w:t>
      </w:r>
      <w:r w:rsidR="00853C56">
        <w:rPr>
          <w:rFonts w:ascii="Book Antiqua" w:eastAsia="Book Antiqua" w:hAnsi="Book Antiqua" w:cs="Book Antiqua"/>
          <w:color w:val="000000"/>
        </w:rPr>
        <w:t>ion</w:t>
      </w:r>
      <w:r w:rsidRPr="002215D5">
        <w:rPr>
          <w:rFonts w:ascii="Book Antiqua" w:eastAsia="Book Antiqua" w:hAnsi="Book Antiqua" w:cs="Book Antiqua"/>
          <w:color w:val="000000"/>
        </w:rPr>
        <w:t xml:space="preserve"> trials. Data on the safety and efficacy of SARS-CoV-2 vaccinations in these populations are therefore lacking. </w:t>
      </w:r>
    </w:p>
    <w:p w14:paraId="639265AF" w14:textId="6DDE7215"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The International Organization for the Study of Inflammatory Bowel Disease ha</w:t>
      </w:r>
      <w:r w:rsidR="00C73B2B" w:rsidRPr="002215D5">
        <w:rPr>
          <w:rFonts w:ascii="Book Antiqua" w:eastAsia="Book Antiqua" w:hAnsi="Book Antiqua" w:cs="Book Antiqua"/>
          <w:color w:val="000000"/>
        </w:rPr>
        <w:t>s</w:t>
      </w:r>
      <w:r w:rsidRPr="002215D5">
        <w:rPr>
          <w:rFonts w:ascii="Book Antiqua" w:eastAsia="Book Antiqua" w:hAnsi="Book Antiqua" w:cs="Book Antiqua"/>
          <w:color w:val="000000"/>
        </w:rPr>
        <w:t xml:space="preserve"> recently released recommendations</w:t>
      </w:r>
      <w:r w:rsidRPr="002215D5">
        <w:rPr>
          <w:rFonts w:ascii="Book Antiqua" w:eastAsia="Book Antiqua" w:hAnsi="Book Antiqua" w:cs="Book Antiqua"/>
          <w:color w:val="000000"/>
          <w:vertAlign w:val="superscript"/>
        </w:rPr>
        <w:t>[91]</w:t>
      </w:r>
      <w:r w:rsidRPr="002215D5">
        <w:rPr>
          <w:rFonts w:ascii="Book Antiqua" w:eastAsia="Book Antiqua" w:hAnsi="Book Antiqua" w:cs="Book Antiqua"/>
          <w:color w:val="000000"/>
        </w:rPr>
        <w:t xml:space="preserve">, mainly based on the extrapolation of safety and efficacy data from other vaccines. </w:t>
      </w:r>
    </w:p>
    <w:p w14:paraId="0253E0AA" w14:textId="2D00ED71"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Non-live vaccines are considered to be safe in patients with IBD, irrespective of immune-modifying treatments, though in the latter case it is acknowledged that the response may be to some degree blunted. In particular, previous studies have shown reduced response to influenza and pneumococcal vaccinations in IBD patients treated with immunosuppressant and anti</w:t>
      </w:r>
      <w:r w:rsidR="00AA7131">
        <w:rPr>
          <w:rFonts w:ascii="Book Antiqua" w:eastAsia="Book Antiqua" w:hAnsi="Book Antiqua" w:cs="Book Antiqua"/>
          <w:color w:val="000000"/>
        </w:rPr>
        <w:t>-</w:t>
      </w:r>
      <w:r w:rsidRPr="002215D5">
        <w:rPr>
          <w:rFonts w:ascii="Book Antiqua" w:eastAsia="Book Antiqua" w:hAnsi="Book Antiqua" w:cs="Book Antiqua"/>
          <w:color w:val="000000"/>
        </w:rPr>
        <w:t>TNF agents</w:t>
      </w:r>
      <w:r w:rsidRPr="002215D5">
        <w:rPr>
          <w:rFonts w:ascii="Book Antiqua" w:eastAsia="Book Antiqua" w:hAnsi="Book Antiqua" w:cs="Book Antiqua"/>
          <w:color w:val="000000"/>
          <w:vertAlign w:val="superscript"/>
        </w:rPr>
        <w:t>[92-94].</w:t>
      </w:r>
      <w:r w:rsidRPr="002215D5">
        <w:rPr>
          <w:rFonts w:ascii="Book Antiqua" w:eastAsia="Book Antiqua" w:hAnsi="Book Antiqua" w:cs="Book Antiqua"/>
          <w:color w:val="000000"/>
        </w:rPr>
        <w:t xml:space="preserve"> Treatment with ustekinumab and vedolizumab, on the contrary, does not seem to impair response to influenza and pneumococcal vaccines</w:t>
      </w:r>
      <w:r w:rsidRPr="002215D5">
        <w:rPr>
          <w:rFonts w:ascii="Book Antiqua" w:eastAsia="Book Antiqua" w:hAnsi="Book Antiqua" w:cs="Book Antiqua"/>
          <w:color w:val="000000"/>
          <w:vertAlign w:val="superscript"/>
        </w:rPr>
        <w:t>[95,96]</w:t>
      </w:r>
      <w:r w:rsidRPr="002215D5">
        <w:rPr>
          <w:rFonts w:ascii="Book Antiqua" w:eastAsia="Book Antiqua" w:hAnsi="Book Antiqua" w:cs="Book Antiqua"/>
          <w:color w:val="000000"/>
        </w:rPr>
        <w:t xml:space="preserve">. </w:t>
      </w:r>
    </w:p>
    <w:p w14:paraId="66DE976C" w14:textId="09CB942E"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t xml:space="preserve">Therefore, it is recommended that all IBD patients should be vaccinated against SARS-CoV-2, as soon as possible based on local policies, and irrespective of medications. According to the </w:t>
      </w:r>
      <w:r w:rsidR="00AA7131" w:rsidRPr="002215D5">
        <w:rPr>
          <w:rFonts w:ascii="Book Antiqua" w:eastAsia="Book Antiqua" w:hAnsi="Book Antiqua" w:cs="Book Antiqua"/>
          <w:color w:val="000000"/>
        </w:rPr>
        <w:t>International Organization for the Study of Inflammatory Bowel Disease</w:t>
      </w:r>
      <w:r w:rsidRPr="002215D5">
        <w:rPr>
          <w:rFonts w:ascii="Book Antiqua" w:eastAsia="Book Antiqua" w:hAnsi="Book Antiqua" w:cs="Book Antiqua"/>
          <w:color w:val="000000"/>
        </w:rPr>
        <w:t xml:space="preserve"> expert panel, the available SARS-CoV-2 vaccines are safe for patients with IBD, but patients should be informed that vaccine efficacy could be decreased when the latter are administered during corticosteroid therapy</w:t>
      </w:r>
      <w:r w:rsidRPr="002215D5">
        <w:rPr>
          <w:rFonts w:ascii="Book Antiqua" w:eastAsia="Book Antiqua" w:hAnsi="Book Antiqua" w:cs="Book Antiqua"/>
          <w:color w:val="000000"/>
          <w:vertAlign w:val="superscript"/>
        </w:rPr>
        <w:t>[91]</w:t>
      </w:r>
      <w:r w:rsidRPr="002215D5">
        <w:rPr>
          <w:rFonts w:ascii="Book Antiqua" w:eastAsia="Book Antiqua" w:hAnsi="Book Antiqua" w:cs="Book Antiqua"/>
          <w:color w:val="000000"/>
        </w:rPr>
        <w:t xml:space="preserve">. </w:t>
      </w:r>
    </w:p>
    <w:p w14:paraId="0463F6E3" w14:textId="77777777" w:rsidR="00A77B3E" w:rsidRPr="002215D5" w:rsidRDefault="00BF1368" w:rsidP="002215D5">
      <w:pPr>
        <w:spacing w:line="360" w:lineRule="auto"/>
        <w:ind w:firstLine="480"/>
        <w:jc w:val="both"/>
        <w:rPr>
          <w:rFonts w:ascii="Book Antiqua" w:hAnsi="Book Antiqua"/>
        </w:rPr>
      </w:pPr>
      <w:r w:rsidRPr="002215D5">
        <w:rPr>
          <w:rFonts w:ascii="Book Antiqua" w:eastAsia="Book Antiqua" w:hAnsi="Book Antiqua" w:cs="Book Antiqua"/>
          <w:color w:val="000000"/>
        </w:rPr>
        <w:lastRenderedPageBreak/>
        <w:t xml:space="preserve">Further </w:t>
      </w:r>
      <w:r w:rsidR="00C73B2B" w:rsidRPr="002215D5">
        <w:rPr>
          <w:rFonts w:ascii="Book Antiqua" w:eastAsia="Book Antiqua" w:hAnsi="Book Antiqua" w:cs="Book Antiqua"/>
          <w:color w:val="000000"/>
        </w:rPr>
        <w:t>s</w:t>
      </w:r>
      <w:r w:rsidRPr="002215D5">
        <w:rPr>
          <w:rFonts w:ascii="Book Antiqua" w:eastAsia="Book Antiqua" w:hAnsi="Book Antiqua" w:cs="Book Antiqua"/>
          <w:color w:val="000000"/>
        </w:rPr>
        <w:t>tudies are definitively needed to assess the safety and efficacy of SARS-CoV-2 vaccines in IBD patients. Whether IBD patients on immune-modifying treatments may benefit from intensified vaccine administration regimen should also be evaluated.</w:t>
      </w:r>
    </w:p>
    <w:p w14:paraId="0A03151F" w14:textId="77777777" w:rsidR="00A77B3E" w:rsidRPr="002215D5" w:rsidRDefault="00A77B3E" w:rsidP="002215D5">
      <w:pPr>
        <w:spacing w:line="360" w:lineRule="auto"/>
        <w:ind w:firstLine="480"/>
        <w:jc w:val="both"/>
        <w:rPr>
          <w:rFonts w:ascii="Book Antiqua" w:hAnsi="Book Antiqua"/>
        </w:rPr>
      </w:pPr>
    </w:p>
    <w:p w14:paraId="334DF1A5"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caps/>
          <w:color w:val="000000"/>
          <w:u w:val="single"/>
        </w:rPr>
        <w:t>CONCLUSION</w:t>
      </w:r>
    </w:p>
    <w:p w14:paraId="503C274C"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Existing evidence shows that IBD patients are not at an increased risk for SARS-CoV-2 infection. As in the case of the general population, older age and presence of comorbidities are the primary risk factors for more severe COVID-19 course. Moreover, systemic steroids </w:t>
      </w:r>
      <w:r w:rsidR="00C73B2B" w:rsidRPr="002215D5">
        <w:rPr>
          <w:rFonts w:ascii="Book Antiqua" w:eastAsia="Book Antiqua" w:hAnsi="Book Antiqua" w:cs="Book Antiqua"/>
          <w:color w:val="000000"/>
        </w:rPr>
        <w:t xml:space="preserve">exposure </w:t>
      </w:r>
      <w:r w:rsidRPr="002215D5">
        <w:rPr>
          <w:rFonts w:ascii="Book Antiqua" w:eastAsia="Book Antiqua" w:hAnsi="Book Antiqua" w:cs="Book Antiqua"/>
          <w:color w:val="000000"/>
        </w:rPr>
        <w:t>ha</w:t>
      </w:r>
      <w:r w:rsidR="00C73B2B" w:rsidRPr="002215D5">
        <w:rPr>
          <w:rFonts w:ascii="Book Antiqua" w:eastAsia="Book Antiqua" w:hAnsi="Book Antiqua" w:cs="Book Antiqua"/>
          <w:color w:val="000000"/>
        </w:rPr>
        <w:t>s</w:t>
      </w:r>
      <w:r w:rsidRPr="002215D5">
        <w:rPr>
          <w:rFonts w:ascii="Book Antiqua" w:eastAsia="Book Antiqua" w:hAnsi="Book Antiqua" w:cs="Book Antiqua"/>
          <w:color w:val="000000"/>
        </w:rPr>
        <w:t xml:space="preserve"> been consistently associated with COVID-19 negative outcomes. For what concerns the other class of IBD medications, no definite evidence of harm has emerged. In the clinical management of patients with IBD the risk of under treatment should be balanced against that of potential adverse outcomes of COVID-19, particularly in the setting of SARS-CoV-2 positive patients. Despite the lack of data, SARS-CoV-2 vaccination is recommended in IBD patients since the risk of the disease outweighs the uncertainty of potential adverse effects. </w:t>
      </w:r>
    </w:p>
    <w:p w14:paraId="2EBC7F14" w14:textId="77777777" w:rsidR="00A77B3E" w:rsidRPr="002215D5" w:rsidRDefault="00A77B3E" w:rsidP="002215D5">
      <w:pPr>
        <w:spacing w:line="360" w:lineRule="auto"/>
        <w:jc w:val="both"/>
        <w:rPr>
          <w:rFonts w:ascii="Book Antiqua" w:hAnsi="Book Antiqua"/>
        </w:rPr>
      </w:pPr>
    </w:p>
    <w:p w14:paraId="1063EE65"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color w:val="000000"/>
        </w:rPr>
        <w:t>REFERENCES</w:t>
      </w:r>
    </w:p>
    <w:p w14:paraId="64BD6125" w14:textId="77777777" w:rsidR="00A77B3E" w:rsidRPr="002215D5" w:rsidRDefault="00BF1368" w:rsidP="002215D5">
      <w:pPr>
        <w:spacing w:line="360" w:lineRule="auto"/>
        <w:jc w:val="both"/>
        <w:rPr>
          <w:rFonts w:ascii="Book Antiqua" w:hAnsi="Book Antiqua"/>
        </w:rPr>
      </w:pPr>
      <w:bookmarkStart w:id="5" w:name="OLE_LINK624"/>
      <w:bookmarkStart w:id="6" w:name="OLE_LINK625"/>
      <w:r w:rsidRPr="002215D5">
        <w:rPr>
          <w:rFonts w:ascii="Book Antiqua" w:eastAsia="Book Antiqua" w:hAnsi="Book Antiqua" w:cs="Book Antiqua"/>
          <w:color w:val="000000"/>
        </w:rPr>
        <w:t xml:space="preserve">1 </w:t>
      </w:r>
      <w:r w:rsidRPr="002215D5">
        <w:rPr>
          <w:rFonts w:ascii="Book Antiqua" w:eastAsia="Book Antiqua" w:hAnsi="Book Antiqua" w:cs="Book Antiqua"/>
          <w:b/>
          <w:bCs/>
          <w:color w:val="000000"/>
        </w:rPr>
        <w:t>Peiris JS</w:t>
      </w:r>
      <w:r w:rsidRPr="002215D5">
        <w:rPr>
          <w:rFonts w:ascii="Book Antiqua" w:eastAsia="Book Antiqua" w:hAnsi="Book Antiqua" w:cs="Book Antiqua"/>
          <w:color w:val="000000"/>
        </w:rPr>
        <w:t xml:space="preserve">, Guan Y, Yuen KY. Severe acute respiratory syndrome. </w:t>
      </w:r>
      <w:r w:rsidRPr="002215D5">
        <w:rPr>
          <w:rFonts w:ascii="Book Antiqua" w:eastAsia="Book Antiqua" w:hAnsi="Book Antiqua" w:cs="Book Antiqua"/>
          <w:i/>
          <w:iCs/>
          <w:color w:val="000000"/>
        </w:rPr>
        <w:t>Nat Med</w:t>
      </w:r>
      <w:r w:rsidRPr="002215D5">
        <w:rPr>
          <w:rFonts w:ascii="Book Antiqua" w:eastAsia="Book Antiqua" w:hAnsi="Book Antiqua" w:cs="Book Antiqua"/>
          <w:color w:val="000000"/>
        </w:rPr>
        <w:t xml:space="preserve"> 2004; </w:t>
      </w:r>
      <w:r w:rsidRPr="002215D5">
        <w:rPr>
          <w:rFonts w:ascii="Book Antiqua" w:eastAsia="Book Antiqua" w:hAnsi="Book Antiqua" w:cs="Book Antiqua"/>
          <w:b/>
          <w:bCs/>
          <w:color w:val="000000"/>
        </w:rPr>
        <w:t>10</w:t>
      </w:r>
      <w:r w:rsidRPr="002215D5">
        <w:rPr>
          <w:rFonts w:ascii="Book Antiqua" w:eastAsia="Book Antiqua" w:hAnsi="Book Antiqua" w:cs="Book Antiqua"/>
          <w:color w:val="000000"/>
        </w:rPr>
        <w:t>: S88-S97 [PMID: 15577937 DOI: 10.1038/nm1143]</w:t>
      </w:r>
    </w:p>
    <w:p w14:paraId="5044BB15"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2 </w:t>
      </w:r>
      <w:r w:rsidRPr="002215D5">
        <w:rPr>
          <w:rFonts w:ascii="Book Antiqua" w:eastAsia="Book Antiqua" w:hAnsi="Book Antiqua" w:cs="Book Antiqua"/>
          <w:b/>
          <w:bCs/>
          <w:color w:val="000000"/>
        </w:rPr>
        <w:t>Zaki AM</w:t>
      </w:r>
      <w:r w:rsidRPr="002215D5">
        <w:rPr>
          <w:rFonts w:ascii="Book Antiqua" w:eastAsia="Book Antiqua" w:hAnsi="Book Antiqua" w:cs="Book Antiqua"/>
          <w:color w:val="000000"/>
        </w:rPr>
        <w:t xml:space="preserve">, van Boheemen S, Bestebroer TM, Osterhaus AD, Fouchier RA. Isolation of a novel coronavirus from a man with pneumonia in Saudi Arabia. </w:t>
      </w:r>
      <w:r w:rsidRPr="002215D5">
        <w:rPr>
          <w:rFonts w:ascii="Book Antiqua" w:eastAsia="Book Antiqua" w:hAnsi="Book Antiqua" w:cs="Book Antiqua"/>
          <w:i/>
          <w:iCs/>
          <w:color w:val="000000"/>
        </w:rPr>
        <w:t>N Engl J Med</w:t>
      </w:r>
      <w:r w:rsidRPr="002215D5">
        <w:rPr>
          <w:rFonts w:ascii="Book Antiqua" w:eastAsia="Book Antiqua" w:hAnsi="Book Antiqua" w:cs="Book Antiqua"/>
          <w:color w:val="000000"/>
        </w:rPr>
        <w:t xml:space="preserve"> 2012; </w:t>
      </w:r>
      <w:r w:rsidRPr="002215D5">
        <w:rPr>
          <w:rFonts w:ascii="Book Antiqua" w:eastAsia="Book Antiqua" w:hAnsi="Book Antiqua" w:cs="Book Antiqua"/>
          <w:b/>
          <w:bCs/>
          <w:color w:val="000000"/>
        </w:rPr>
        <w:t>367</w:t>
      </w:r>
      <w:r w:rsidRPr="002215D5">
        <w:rPr>
          <w:rFonts w:ascii="Book Antiqua" w:eastAsia="Book Antiqua" w:hAnsi="Book Antiqua" w:cs="Book Antiqua"/>
          <w:color w:val="000000"/>
        </w:rPr>
        <w:t>: 1814-1820 [PMID: 23075143 DOI: 10.1056/NEJMoa1211721]</w:t>
      </w:r>
    </w:p>
    <w:p w14:paraId="77C9EB05"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3 </w:t>
      </w:r>
      <w:r w:rsidRPr="002215D5">
        <w:rPr>
          <w:rFonts w:ascii="Book Antiqua" w:eastAsia="Book Antiqua" w:hAnsi="Book Antiqua" w:cs="Book Antiqua"/>
          <w:b/>
          <w:bCs/>
          <w:color w:val="000000"/>
        </w:rPr>
        <w:t>Wu F</w:t>
      </w:r>
      <w:r w:rsidRPr="002215D5">
        <w:rPr>
          <w:rFonts w:ascii="Book Antiqua" w:eastAsia="Book Antiqua" w:hAnsi="Book Antiqua" w:cs="Book Antiqua"/>
          <w:color w:val="000000"/>
        </w:rPr>
        <w:t xml:space="preserve">, Zhao S, Yu B, Chen YM, Wang W, Song ZG, Hu Y, Tao ZW, Tian JH, Pei YY, Yuan ML, Zhang YL, Dai FH, Liu Y, Wang QM, Zheng JJ, Xu L, Holmes EC, Zhang YZ. A new coronavirus associated with human respiratory disease in China. </w:t>
      </w:r>
      <w:r w:rsidRPr="002215D5">
        <w:rPr>
          <w:rFonts w:ascii="Book Antiqua" w:eastAsia="Book Antiqua" w:hAnsi="Book Antiqua" w:cs="Book Antiqua"/>
          <w:i/>
          <w:iCs/>
          <w:color w:val="000000"/>
        </w:rPr>
        <w:t>Nature</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579</w:t>
      </w:r>
      <w:r w:rsidRPr="002215D5">
        <w:rPr>
          <w:rFonts w:ascii="Book Antiqua" w:eastAsia="Book Antiqua" w:hAnsi="Book Antiqua" w:cs="Book Antiqua"/>
          <w:color w:val="000000"/>
        </w:rPr>
        <w:t>: 265-269 [PMID: 32015508 DOI: 10.1038/s41586-020-2008-3]</w:t>
      </w:r>
    </w:p>
    <w:p w14:paraId="2DC3B422" w14:textId="6662C7C0" w:rsidR="00F90D33" w:rsidRPr="002215D5" w:rsidRDefault="00BF1368" w:rsidP="002215D5">
      <w:pPr>
        <w:spacing w:line="360" w:lineRule="auto"/>
        <w:jc w:val="both"/>
        <w:rPr>
          <w:rFonts w:ascii="Book Antiqua" w:eastAsia="Book Antiqua" w:hAnsi="Book Antiqua" w:cs="Book Antiqua"/>
          <w:color w:val="000000"/>
        </w:rPr>
      </w:pPr>
      <w:r w:rsidRPr="002215D5">
        <w:rPr>
          <w:rFonts w:ascii="Book Antiqua" w:eastAsia="Book Antiqua" w:hAnsi="Book Antiqua" w:cs="Book Antiqua"/>
          <w:color w:val="000000"/>
        </w:rPr>
        <w:t xml:space="preserve">4 </w:t>
      </w:r>
      <w:r w:rsidR="00F90D33" w:rsidRPr="002215D5">
        <w:rPr>
          <w:rFonts w:ascii="Book Antiqua" w:eastAsia="Book Antiqua" w:hAnsi="Book Antiqua" w:cs="Book Antiqua"/>
          <w:b/>
          <w:bCs/>
          <w:color w:val="000000"/>
        </w:rPr>
        <w:t>Yang X</w:t>
      </w:r>
      <w:r w:rsidR="00F90D33" w:rsidRPr="002215D5">
        <w:rPr>
          <w:rFonts w:ascii="Book Antiqua" w:eastAsia="Book Antiqua" w:hAnsi="Book Antiqua" w:cs="Book Antiqua"/>
          <w:color w:val="000000"/>
        </w:rPr>
        <w:t xml:space="preserve">, Yu Y, Xu J, Shu H, Xia J, Liu H, Wu Y, Zhang L, Yu Z, Fang M, Yu T, Wang Y, Pan S, Zou X, Yuan S, Shang Y. Clinical course and outcomes of critically ill patients with SARS-CoV-2 pneumonia in Wuhan, China: a single-centered, retrospective, </w:t>
      </w:r>
      <w:r w:rsidR="00F90D33" w:rsidRPr="002215D5">
        <w:rPr>
          <w:rFonts w:ascii="Book Antiqua" w:eastAsia="Book Antiqua" w:hAnsi="Book Antiqua" w:cs="Book Antiqua"/>
          <w:color w:val="000000"/>
        </w:rPr>
        <w:lastRenderedPageBreak/>
        <w:t>observational study. Lancet Respir Med 2020</w:t>
      </w:r>
      <w:r w:rsidR="00F90D33" w:rsidRPr="002215D5">
        <w:rPr>
          <w:rFonts w:ascii="Book Antiqua" w:eastAsia="Book Antiqua" w:hAnsi="Book Antiqua" w:cs="Book Antiqua"/>
          <w:b/>
          <w:bCs/>
          <w:color w:val="000000"/>
        </w:rPr>
        <w:t>; 8</w:t>
      </w:r>
      <w:r w:rsidR="00F90D33" w:rsidRPr="002215D5">
        <w:rPr>
          <w:rFonts w:ascii="Book Antiqua" w:eastAsia="Book Antiqua" w:hAnsi="Book Antiqua" w:cs="Book Antiqua"/>
          <w:color w:val="000000"/>
        </w:rPr>
        <w:t>: 475-481</w:t>
      </w:r>
      <w:r w:rsidR="00F90D33" w:rsidRPr="002215D5">
        <w:rPr>
          <w:rFonts w:ascii="Book Antiqua" w:eastAsia="Book Antiqua" w:hAnsi="Book Antiqua" w:cs="Book Antiqua"/>
          <w:b/>
          <w:bCs/>
          <w:color w:val="000000"/>
        </w:rPr>
        <w:t xml:space="preserve"> </w:t>
      </w:r>
      <w:r w:rsidR="00F90D33" w:rsidRPr="002215D5">
        <w:rPr>
          <w:rFonts w:ascii="Book Antiqua" w:eastAsia="Book Antiqua" w:hAnsi="Book Antiqua" w:cs="Book Antiqua"/>
          <w:color w:val="000000"/>
        </w:rPr>
        <w:t>[PMID: 32105632 DOI: 10.1016/S2213-2600(20)30079-5]</w:t>
      </w:r>
    </w:p>
    <w:p w14:paraId="6B505A1F" w14:textId="77777777" w:rsidR="00A77B3E" w:rsidRPr="002215D5" w:rsidRDefault="003F4861" w:rsidP="002215D5">
      <w:pPr>
        <w:spacing w:line="360" w:lineRule="auto"/>
        <w:jc w:val="both"/>
        <w:rPr>
          <w:rFonts w:ascii="Book Antiqua" w:hAnsi="Book Antiqua"/>
          <w:lang w:eastAsia="zh-CN"/>
        </w:rPr>
      </w:pPr>
      <w:r w:rsidRPr="002215D5">
        <w:rPr>
          <w:rFonts w:ascii="Book Antiqua" w:eastAsia="Book Antiqua" w:hAnsi="Book Antiqua" w:cs="Book Antiqua"/>
          <w:color w:val="000000"/>
          <w:highlight w:val="yellow"/>
        </w:rPr>
        <w:t xml:space="preserve">5 </w:t>
      </w:r>
      <w:r w:rsidRPr="002215D5">
        <w:rPr>
          <w:rFonts w:ascii="Book Antiqua" w:eastAsia="Book Antiqua" w:hAnsi="Book Antiqua" w:cs="Book Antiqua"/>
          <w:b/>
          <w:color w:val="000000"/>
          <w:highlight w:val="yellow"/>
        </w:rPr>
        <w:t>World Health Organization</w:t>
      </w:r>
      <w:r w:rsidRPr="002215D5">
        <w:rPr>
          <w:rFonts w:ascii="Book Antiqua" w:hAnsi="Book Antiqua" w:cs="Book Antiqua"/>
          <w:color w:val="000000"/>
          <w:highlight w:val="yellow"/>
          <w:lang w:eastAsia="zh-CN"/>
        </w:rPr>
        <w:t>.</w:t>
      </w:r>
      <w:r w:rsidR="00BF1368" w:rsidRPr="002215D5">
        <w:rPr>
          <w:rFonts w:ascii="Book Antiqua" w:eastAsia="Book Antiqua" w:hAnsi="Book Antiqua" w:cs="Book Antiqua"/>
          <w:color w:val="000000"/>
          <w:highlight w:val="yellow"/>
        </w:rPr>
        <w:t xml:space="preserve"> </w:t>
      </w:r>
      <w:r w:rsidRPr="002215D5">
        <w:rPr>
          <w:rFonts w:ascii="Book Antiqua" w:eastAsia="Book Antiqua" w:hAnsi="Book Antiqua" w:cs="Book Antiqua"/>
          <w:color w:val="000000"/>
          <w:highlight w:val="yellow"/>
        </w:rPr>
        <w:t>WHO Coronavirus (COVID-19) Dashboard</w:t>
      </w:r>
      <w:r w:rsidR="00BF1368" w:rsidRPr="002215D5">
        <w:rPr>
          <w:rFonts w:ascii="Book Antiqua" w:eastAsia="Book Antiqua" w:hAnsi="Book Antiqua" w:cs="Book Antiqua"/>
          <w:color w:val="000000"/>
          <w:highlight w:val="yellow"/>
        </w:rPr>
        <w:t xml:space="preserve">. </w:t>
      </w:r>
      <w:r w:rsidRPr="002215D5">
        <w:rPr>
          <w:rFonts w:ascii="Book Antiqua" w:eastAsia="Book Antiqua" w:hAnsi="Book Antiqua" w:cs="Book Antiqua"/>
          <w:color w:val="000000"/>
          <w:highlight w:val="yellow"/>
        </w:rPr>
        <w:t>2020</w:t>
      </w:r>
      <w:r w:rsidR="00BF1368" w:rsidRPr="002215D5">
        <w:rPr>
          <w:rFonts w:ascii="Book Antiqua" w:eastAsia="Book Antiqua" w:hAnsi="Book Antiqua" w:cs="Book Antiqua"/>
          <w:color w:val="000000"/>
          <w:highlight w:val="yellow"/>
        </w:rPr>
        <w:t>.</w:t>
      </w:r>
      <w:r w:rsidRPr="002215D5">
        <w:rPr>
          <w:rFonts w:ascii="Book Antiqua" w:hAnsi="Book Antiqua" w:cs="Book Antiqua"/>
          <w:color w:val="000000"/>
          <w:highlight w:val="yellow"/>
          <w:lang w:eastAsia="zh-CN"/>
        </w:rPr>
        <w:t xml:space="preserve"> Available from: https://covid19.who.int/</w:t>
      </w:r>
    </w:p>
    <w:p w14:paraId="049E3A9F"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6 </w:t>
      </w:r>
      <w:r w:rsidRPr="002215D5">
        <w:rPr>
          <w:rFonts w:ascii="Book Antiqua" w:eastAsia="Book Antiqua" w:hAnsi="Book Antiqua" w:cs="Book Antiqua"/>
          <w:b/>
          <w:bCs/>
          <w:color w:val="000000"/>
        </w:rPr>
        <w:t>Kirchgesner J</w:t>
      </w:r>
      <w:r w:rsidRPr="002215D5">
        <w:rPr>
          <w:rFonts w:ascii="Book Antiqua" w:eastAsia="Book Antiqua" w:hAnsi="Book Antiqua" w:cs="Book Antiqua"/>
          <w:color w:val="000000"/>
        </w:rPr>
        <w:t xml:space="preserve">, Lemaitre M, Carrat F, Zureik M, Carbonnel F, Dray-Spira R. Risk of Serious and Opportunistic Infections Associated With Treatment of Inflammatory Bowel Diseases. </w:t>
      </w:r>
      <w:r w:rsidRPr="002215D5">
        <w:rPr>
          <w:rFonts w:ascii="Book Antiqua" w:eastAsia="Book Antiqua" w:hAnsi="Book Antiqua" w:cs="Book Antiqua"/>
          <w:i/>
          <w:iCs/>
          <w:color w:val="000000"/>
        </w:rPr>
        <w:t>Gastroenterology</w:t>
      </w:r>
      <w:r w:rsidRPr="002215D5">
        <w:rPr>
          <w:rFonts w:ascii="Book Antiqua" w:eastAsia="Book Antiqua" w:hAnsi="Book Antiqua" w:cs="Book Antiqua"/>
          <w:color w:val="000000"/>
        </w:rPr>
        <w:t xml:space="preserve"> 2018; </w:t>
      </w:r>
      <w:r w:rsidRPr="002215D5">
        <w:rPr>
          <w:rFonts w:ascii="Book Antiqua" w:eastAsia="Book Antiqua" w:hAnsi="Book Antiqua" w:cs="Book Antiqua"/>
          <w:b/>
          <w:bCs/>
          <w:color w:val="000000"/>
        </w:rPr>
        <w:t>155</w:t>
      </w:r>
      <w:r w:rsidRPr="002215D5">
        <w:rPr>
          <w:rFonts w:ascii="Book Antiqua" w:eastAsia="Book Antiqua" w:hAnsi="Book Antiqua" w:cs="Book Antiqua"/>
          <w:color w:val="000000"/>
        </w:rPr>
        <w:t>: 337-346.e10 [PMID: 29655835 DOI: 10.1053/j.gastro.2018.04.012]</w:t>
      </w:r>
    </w:p>
    <w:p w14:paraId="453B93D8"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7 </w:t>
      </w:r>
      <w:r w:rsidRPr="002215D5">
        <w:rPr>
          <w:rFonts w:ascii="Book Antiqua" w:eastAsia="Book Antiqua" w:hAnsi="Book Antiqua" w:cs="Book Antiqua"/>
          <w:b/>
          <w:bCs/>
          <w:color w:val="000000"/>
        </w:rPr>
        <w:t>Wisniewski A</w:t>
      </w:r>
      <w:r w:rsidRPr="002215D5">
        <w:rPr>
          <w:rFonts w:ascii="Book Antiqua" w:eastAsia="Book Antiqua" w:hAnsi="Book Antiqua" w:cs="Book Antiqua"/>
          <w:color w:val="000000"/>
        </w:rPr>
        <w:t xml:space="preserve">, Kirchgesner J, Seksik P, Landman C, Bourrier A, Nion-Larmurier I, Marteau P, Cosnes J, Sokol H, Beaugerie L; the Saint-Antoine IBD network. Increased incidence of systemic serious viral infections in patients with inflammatory bowel disease associates with active disease and use of thiopurines. </w:t>
      </w:r>
      <w:r w:rsidRPr="002215D5">
        <w:rPr>
          <w:rFonts w:ascii="Book Antiqua" w:eastAsia="Book Antiqua" w:hAnsi="Book Antiqua" w:cs="Book Antiqua"/>
          <w:i/>
          <w:iCs/>
          <w:color w:val="000000"/>
        </w:rPr>
        <w:t>United European Gastroenterol J</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8</w:t>
      </w:r>
      <w:r w:rsidRPr="002215D5">
        <w:rPr>
          <w:rFonts w:ascii="Book Antiqua" w:eastAsia="Book Antiqua" w:hAnsi="Book Antiqua" w:cs="Book Antiqua"/>
          <w:color w:val="000000"/>
        </w:rPr>
        <w:t>: 303-313 [PMID: 32529821 DOI: 10.1177/2050640619889763]</w:t>
      </w:r>
    </w:p>
    <w:p w14:paraId="19A39425"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8 </w:t>
      </w:r>
      <w:r w:rsidRPr="002215D5">
        <w:rPr>
          <w:rFonts w:ascii="Book Antiqua" w:eastAsia="Book Antiqua" w:hAnsi="Book Antiqua" w:cs="Book Antiqua"/>
          <w:b/>
          <w:bCs/>
          <w:color w:val="000000"/>
        </w:rPr>
        <w:t>Tinsley A</w:t>
      </w:r>
      <w:r w:rsidRPr="002215D5">
        <w:rPr>
          <w:rFonts w:ascii="Book Antiqua" w:eastAsia="Book Antiqua" w:hAnsi="Book Antiqua" w:cs="Book Antiqua"/>
          <w:color w:val="000000"/>
        </w:rPr>
        <w:t xml:space="preserve">, Navabi S, Williams ED, Liu G, Kong L, Coates MD, Clarke K. Increased Risk of Influenza and Influenza-Related Complications Among 140,480 Patients With Inflammatory Bowel Disease. </w:t>
      </w:r>
      <w:r w:rsidRPr="002215D5">
        <w:rPr>
          <w:rFonts w:ascii="Book Antiqua" w:eastAsia="Book Antiqua" w:hAnsi="Book Antiqua" w:cs="Book Antiqua"/>
          <w:i/>
          <w:iCs/>
          <w:color w:val="000000"/>
        </w:rPr>
        <w:t>Inflamm Bowel Dis</w:t>
      </w:r>
      <w:r w:rsidRPr="002215D5">
        <w:rPr>
          <w:rFonts w:ascii="Book Antiqua" w:eastAsia="Book Antiqua" w:hAnsi="Book Antiqua" w:cs="Book Antiqua"/>
          <w:color w:val="000000"/>
        </w:rPr>
        <w:t xml:space="preserve"> 2019; </w:t>
      </w:r>
      <w:r w:rsidRPr="002215D5">
        <w:rPr>
          <w:rFonts w:ascii="Book Antiqua" w:eastAsia="Book Antiqua" w:hAnsi="Book Antiqua" w:cs="Book Antiqua"/>
          <w:b/>
          <w:bCs/>
          <w:color w:val="000000"/>
        </w:rPr>
        <w:t>25</w:t>
      </w:r>
      <w:r w:rsidRPr="002215D5">
        <w:rPr>
          <w:rFonts w:ascii="Book Antiqua" w:eastAsia="Book Antiqua" w:hAnsi="Book Antiqua" w:cs="Book Antiqua"/>
          <w:color w:val="000000"/>
        </w:rPr>
        <w:t>: 369-376 [PMID: 30020478 DOI: 10.1093/ibd/izy243]</w:t>
      </w:r>
    </w:p>
    <w:p w14:paraId="33771EA4"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9 </w:t>
      </w:r>
      <w:r w:rsidRPr="002215D5">
        <w:rPr>
          <w:rFonts w:ascii="Book Antiqua" w:eastAsia="Book Antiqua" w:hAnsi="Book Antiqua" w:cs="Book Antiqua"/>
          <w:b/>
          <w:bCs/>
          <w:color w:val="000000"/>
        </w:rPr>
        <w:t>Shang J</w:t>
      </w:r>
      <w:r w:rsidRPr="002215D5">
        <w:rPr>
          <w:rFonts w:ascii="Book Antiqua" w:eastAsia="Book Antiqua" w:hAnsi="Book Antiqua" w:cs="Book Antiqua"/>
          <w:color w:val="000000"/>
        </w:rPr>
        <w:t xml:space="preserve">, Ye G, Shi K, Wan Y, Luo C, Aihara H, Geng Q, Auerbach A, Li F. Structural basis of receptor recognition by SARS-CoV-2. </w:t>
      </w:r>
      <w:r w:rsidRPr="002215D5">
        <w:rPr>
          <w:rFonts w:ascii="Book Antiqua" w:eastAsia="Book Antiqua" w:hAnsi="Book Antiqua" w:cs="Book Antiqua"/>
          <w:i/>
          <w:iCs/>
          <w:color w:val="000000"/>
        </w:rPr>
        <w:t>Nature</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581</w:t>
      </w:r>
      <w:r w:rsidRPr="002215D5">
        <w:rPr>
          <w:rFonts w:ascii="Book Antiqua" w:eastAsia="Book Antiqua" w:hAnsi="Book Antiqua" w:cs="Book Antiqua"/>
          <w:color w:val="000000"/>
        </w:rPr>
        <w:t>: 221-224 [PMID: 32225175 DOI: 10.1038/s41586-020-2179-y]</w:t>
      </w:r>
    </w:p>
    <w:p w14:paraId="7BDF5330"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10 </w:t>
      </w:r>
      <w:r w:rsidRPr="002215D5">
        <w:rPr>
          <w:rFonts w:ascii="Book Antiqua" w:eastAsia="Book Antiqua" w:hAnsi="Book Antiqua" w:cs="Book Antiqua"/>
          <w:b/>
          <w:bCs/>
          <w:color w:val="000000"/>
        </w:rPr>
        <w:t>Zipeto D</w:t>
      </w:r>
      <w:r w:rsidRPr="002215D5">
        <w:rPr>
          <w:rFonts w:ascii="Book Antiqua" w:eastAsia="Book Antiqua" w:hAnsi="Book Antiqua" w:cs="Book Antiqua"/>
          <w:color w:val="000000"/>
        </w:rPr>
        <w:t xml:space="preserve">, Palmeira JDF, Argañaraz GA, Argañaraz ER. ACE2/ADAM17/TMPRSS2 Interplay May Be the Main Risk Factor for COVID-19. </w:t>
      </w:r>
      <w:r w:rsidRPr="002215D5">
        <w:rPr>
          <w:rFonts w:ascii="Book Antiqua" w:eastAsia="Book Antiqua" w:hAnsi="Book Antiqua" w:cs="Book Antiqua"/>
          <w:i/>
          <w:iCs/>
          <w:color w:val="000000"/>
        </w:rPr>
        <w:t>Front Immunol</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11</w:t>
      </w:r>
      <w:r w:rsidRPr="002215D5">
        <w:rPr>
          <w:rFonts w:ascii="Book Antiqua" w:eastAsia="Book Antiqua" w:hAnsi="Book Antiqua" w:cs="Book Antiqua"/>
          <w:color w:val="000000"/>
        </w:rPr>
        <w:t>: 576745 [PMID: 33117379 DOI: 10.3389/fimmu.2020.576745]</w:t>
      </w:r>
    </w:p>
    <w:p w14:paraId="418761EE"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11 </w:t>
      </w:r>
      <w:r w:rsidRPr="002215D5">
        <w:rPr>
          <w:rFonts w:ascii="Book Antiqua" w:eastAsia="Book Antiqua" w:hAnsi="Book Antiqua" w:cs="Book Antiqua"/>
          <w:b/>
          <w:bCs/>
          <w:color w:val="000000"/>
        </w:rPr>
        <w:t>Gómez J</w:t>
      </w:r>
      <w:r w:rsidRPr="002215D5">
        <w:rPr>
          <w:rFonts w:ascii="Book Antiqua" w:eastAsia="Book Antiqua" w:hAnsi="Book Antiqua" w:cs="Book Antiqua"/>
          <w:color w:val="000000"/>
        </w:rPr>
        <w:t xml:space="preserve">, Albaiceta GM, García-Clemente M, López-Larrea C, Amado-Rodríguez L, Lopez-Alonso I, Hermida T, Enriquez AI, Herrero P, Melón S, Alvarez-Argüelles ME, Boga JA, Rojo-Alba S, Cuesta-Llavona E, Alvarez V, Lorca R, Coto E. Angiotensin-converting enzymes (ACE, ACE2) gene variants and COVID-19 outcome. </w:t>
      </w:r>
      <w:r w:rsidRPr="002215D5">
        <w:rPr>
          <w:rFonts w:ascii="Book Antiqua" w:eastAsia="Book Antiqua" w:hAnsi="Book Antiqua" w:cs="Book Antiqua"/>
          <w:i/>
          <w:iCs/>
          <w:color w:val="000000"/>
        </w:rPr>
        <w:t>Gene</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762</w:t>
      </w:r>
      <w:r w:rsidRPr="002215D5">
        <w:rPr>
          <w:rFonts w:ascii="Book Antiqua" w:eastAsia="Book Antiqua" w:hAnsi="Book Antiqua" w:cs="Book Antiqua"/>
          <w:color w:val="000000"/>
        </w:rPr>
        <w:t>: 145102 [PMID: 32882331 DOI: 10.1016/j.gene.2020.145102]</w:t>
      </w:r>
    </w:p>
    <w:p w14:paraId="01C4CD4B"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12 </w:t>
      </w:r>
      <w:r w:rsidRPr="002215D5">
        <w:rPr>
          <w:rFonts w:ascii="Book Antiqua" w:eastAsia="Book Antiqua" w:hAnsi="Book Antiqua" w:cs="Book Antiqua"/>
          <w:b/>
          <w:bCs/>
          <w:color w:val="000000"/>
        </w:rPr>
        <w:t>Srivastava A</w:t>
      </w:r>
      <w:r w:rsidRPr="002215D5">
        <w:rPr>
          <w:rFonts w:ascii="Book Antiqua" w:eastAsia="Book Antiqua" w:hAnsi="Book Antiqua" w:cs="Book Antiqua"/>
          <w:color w:val="000000"/>
        </w:rPr>
        <w:t xml:space="preserve">, Bandopadhyay A, Das D, Pandey RK, Singh V, Khanam N, Srivastava N, Singh PP, Dubey PK, Pathak A, Gupta P, Rai N, Sultana GNN, Chaubey G. Genetic </w:t>
      </w:r>
      <w:r w:rsidRPr="002215D5">
        <w:rPr>
          <w:rFonts w:ascii="Book Antiqua" w:eastAsia="Book Antiqua" w:hAnsi="Book Antiqua" w:cs="Book Antiqua"/>
          <w:color w:val="000000"/>
        </w:rPr>
        <w:lastRenderedPageBreak/>
        <w:t xml:space="preserve">Association of </w:t>
      </w:r>
      <w:r w:rsidRPr="002215D5">
        <w:rPr>
          <w:rFonts w:ascii="Book Antiqua" w:eastAsia="Book Antiqua" w:hAnsi="Book Antiqua" w:cs="Book Antiqua"/>
          <w:i/>
          <w:iCs/>
          <w:color w:val="000000"/>
        </w:rPr>
        <w:t>ACE2</w:t>
      </w:r>
      <w:r w:rsidRPr="002215D5">
        <w:rPr>
          <w:rFonts w:ascii="Book Antiqua" w:eastAsia="Book Antiqua" w:hAnsi="Book Antiqua" w:cs="Book Antiqua"/>
          <w:color w:val="000000"/>
        </w:rPr>
        <w:t xml:space="preserve"> rs2285666 Polymorphism With COVID-19 Spatial Distribution in India. </w:t>
      </w:r>
      <w:r w:rsidRPr="002215D5">
        <w:rPr>
          <w:rFonts w:ascii="Book Antiqua" w:eastAsia="Book Antiqua" w:hAnsi="Book Antiqua" w:cs="Book Antiqua"/>
          <w:i/>
          <w:iCs/>
          <w:color w:val="000000"/>
        </w:rPr>
        <w:t>Front Genet</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11</w:t>
      </w:r>
      <w:r w:rsidRPr="002215D5">
        <w:rPr>
          <w:rFonts w:ascii="Book Antiqua" w:eastAsia="Book Antiqua" w:hAnsi="Book Antiqua" w:cs="Book Antiqua"/>
          <w:color w:val="000000"/>
        </w:rPr>
        <w:t>: 564741 [PMID: 33101387 DOI: 10.3389/fgene.2020.564741]</w:t>
      </w:r>
    </w:p>
    <w:p w14:paraId="760463F3"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13 </w:t>
      </w:r>
      <w:r w:rsidRPr="002215D5">
        <w:rPr>
          <w:rFonts w:ascii="Book Antiqua" w:eastAsia="Book Antiqua" w:hAnsi="Book Antiqua" w:cs="Book Antiqua"/>
          <w:b/>
          <w:bCs/>
          <w:color w:val="000000"/>
        </w:rPr>
        <w:t>Garg M</w:t>
      </w:r>
      <w:r w:rsidRPr="002215D5">
        <w:rPr>
          <w:rFonts w:ascii="Book Antiqua" w:eastAsia="Book Antiqua" w:hAnsi="Book Antiqua" w:cs="Book Antiqua"/>
          <w:color w:val="000000"/>
        </w:rPr>
        <w:t xml:space="preserve">, Royce SG, Tikellis C, Shallue C, Batu D, Velkoska E, Burrell LM, Patel SK, Beswick L, Jackson A, Britto K, Lukies M, Sluka P, Wardan H, Hirokawa Y, Tan CW, Faux M, Burgess AW, Hosking P, Monagle S, Thomas M, Gibson PR, Lubel J. Imbalance of the renin-angiotensin system may contribute to inflammation and fibrosis in IBD: a novel therapeutic target? </w:t>
      </w:r>
      <w:r w:rsidRPr="002215D5">
        <w:rPr>
          <w:rFonts w:ascii="Book Antiqua" w:eastAsia="Book Antiqua" w:hAnsi="Book Antiqua" w:cs="Book Antiqua"/>
          <w:i/>
          <w:iCs/>
          <w:color w:val="000000"/>
        </w:rPr>
        <w:t>Gut</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69</w:t>
      </w:r>
      <w:r w:rsidRPr="002215D5">
        <w:rPr>
          <w:rFonts w:ascii="Book Antiqua" w:eastAsia="Book Antiqua" w:hAnsi="Book Antiqua" w:cs="Book Antiqua"/>
          <w:color w:val="000000"/>
        </w:rPr>
        <w:t>: 841-851 [PMID: 31409604 DOI: 10.1136/gutjnl-2019-318512]</w:t>
      </w:r>
    </w:p>
    <w:p w14:paraId="217B59D7"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14 </w:t>
      </w:r>
      <w:r w:rsidRPr="002215D5">
        <w:rPr>
          <w:rFonts w:ascii="Book Antiqua" w:eastAsia="Book Antiqua" w:hAnsi="Book Antiqua" w:cs="Book Antiqua"/>
          <w:b/>
          <w:bCs/>
          <w:color w:val="000000"/>
        </w:rPr>
        <w:t>Nowak JK</w:t>
      </w:r>
      <w:r w:rsidRPr="002215D5">
        <w:rPr>
          <w:rFonts w:ascii="Book Antiqua" w:eastAsia="Book Antiqua" w:hAnsi="Book Antiqua" w:cs="Book Antiqua"/>
          <w:color w:val="000000"/>
        </w:rPr>
        <w:t xml:space="preserve">, Lindstrøm JC, Kalla R, Ricanek P, Halfvarson J, Satsangi J. Age, Inflammation, and Disease Location Are Critical Determinants of Intestinal Expression of SARS-CoV-2 Receptor </w:t>
      </w:r>
      <w:r w:rsidRPr="002215D5">
        <w:rPr>
          <w:rFonts w:ascii="Book Antiqua" w:eastAsia="Book Antiqua" w:hAnsi="Book Antiqua" w:cs="Book Antiqua"/>
          <w:i/>
          <w:iCs/>
          <w:color w:val="000000"/>
        </w:rPr>
        <w:t>ACE2</w:t>
      </w:r>
      <w:r w:rsidRPr="002215D5">
        <w:rPr>
          <w:rFonts w:ascii="Book Antiqua" w:eastAsia="Book Antiqua" w:hAnsi="Book Antiqua" w:cs="Book Antiqua"/>
          <w:color w:val="000000"/>
        </w:rPr>
        <w:t xml:space="preserve"> and </w:t>
      </w:r>
      <w:r w:rsidRPr="002215D5">
        <w:rPr>
          <w:rFonts w:ascii="Book Antiqua" w:eastAsia="Book Antiqua" w:hAnsi="Book Antiqua" w:cs="Book Antiqua"/>
          <w:i/>
          <w:iCs/>
          <w:color w:val="000000"/>
        </w:rPr>
        <w:t>TMPRSS2</w:t>
      </w:r>
      <w:r w:rsidRPr="002215D5">
        <w:rPr>
          <w:rFonts w:ascii="Book Antiqua" w:eastAsia="Book Antiqua" w:hAnsi="Book Antiqua" w:cs="Book Antiqua"/>
          <w:color w:val="000000"/>
        </w:rPr>
        <w:t xml:space="preserve"> in Inflammatory Bowel Disease. </w:t>
      </w:r>
      <w:r w:rsidRPr="002215D5">
        <w:rPr>
          <w:rFonts w:ascii="Book Antiqua" w:eastAsia="Book Antiqua" w:hAnsi="Book Antiqua" w:cs="Book Antiqua"/>
          <w:i/>
          <w:iCs/>
          <w:color w:val="000000"/>
        </w:rPr>
        <w:t>Gastroenterology</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159</w:t>
      </w:r>
      <w:r w:rsidRPr="002215D5">
        <w:rPr>
          <w:rFonts w:ascii="Book Antiqua" w:eastAsia="Book Antiqua" w:hAnsi="Book Antiqua" w:cs="Book Antiqua"/>
          <w:color w:val="000000"/>
        </w:rPr>
        <w:t>: 1151-1154.e2 [PMID: 32413354 DOI: 10.1053/j.gastro.2020.05.030]</w:t>
      </w:r>
    </w:p>
    <w:p w14:paraId="1432618D"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15 </w:t>
      </w:r>
      <w:r w:rsidRPr="002215D5">
        <w:rPr>
          <w:rFonts w:ascii="Book Antiqua" w:eastAsia="Book Antiqua" w:hAnsi="Book Antiqua" w:cs="Book Antiqua"/>
          <w:b/>
          <w:bCs/>
          <w:color w:val="000000"/>
        </w:rPr>
        <w:t>Suárez-Fariñas M</w:t>
      </w:r>
      <w:r w:rsidRPr="002215D5">
        <w:rPr>
          <w:rFonts w:ascii="Book Antiqua" w:eastAsia="Book Antiqua" w:hAnsi="Book Antiqua" w:cs="Book Antiqua"/>
          <w:color w:val="000000"/>
        </w:rPr>
        <w:t xml:space="preserve">, Tokuyama M, Wei G, Huang R, Livanos A, Jha D, Levescot A, Irizar H, Kosoy R, Cording S, Wang W, Losic B, Ungaro RC, Di'Narzo A, Martinez-Delgado G, Suprun M, Corley MJ, Stojmirovic A, Houten SM, Peters L, Curran M, Brodmerkel C, Perrigoue J, Friedman JR, Hao K, Schadt EE, Zhu J, Ko HM, Cho J, Dubinsky MC, Sands BE, Ndhlovu L, Cerf-Bensusan N, Kasarskis A, Colombel JF, Harpaz N, Argmann C, Mehandru S. Intestinal Inflammation Modulates the Expression of ACE2 and TMPRSS2 and Potentially Overlaps With the Pathogenesis of SARS-CoV-2-related Disease. </w:t>
      </w:r>
      <w:r w:rsidRPr="002215D5">
        <w:rPr>
          <w:rFonts w:ascii="Book Antiqua" w:eastAsia="Book Antiqua" w:hAnsi="Book Antiqua" w:cs="Book Antiqua"/>
          <w:i/>
          <w:iCs/>
          <w:color w:val="000000"/>
        </w:rPr>
        <w:t>Gastroenterology</w:t>
      </w:r>
      <w:r w:rsidRPr="002215D5">
        <w:rPr>
          <w:rFonts w:ascii="Book Antiqua" w:eastAsia="Book Antiqua" w:hAnsi="Book Antiqua" w:cs="Book Antiqua"/>
          <w:color w:val="000000"/>
        </w:rPr>
        <w:t xml:space="preserve"> 2021; </w:t>
      </w:r>
      <w:r w:rsidRPr="002215D5">
        <w:rPr>
          <w:rFonts w:ascii="Book Antiqua" w:eastAsia="Book Antiqua" w:hAnsi="Book Antiqua" w:cs="Book Antiqua"/>
          <w:b/>
          <w:bCs/>
          <w:color w:val="000000"/>
        </w:rPr>
        <w:t>160</w:t>
      </w:r>
      <w:r w:rsidRPr="002215D5">
        <w:rPr>
          <w:rFonts w:ascii="Book Antiqua" w:eastAsia="Book Antiqua" w:hAnsi="Book Antiqua" w:cs="Book Antiqua"/>
          <w:color w:val="000000"/>
        </w:rPr>
        <w:t>: 287-301.e20 [PMID: 32980345 DOI: 10.1053/j.gastro.2020.09.029]</w:t>
      </w:r>
    </w:p>
    <w:p w14:paraId="6BD52CE5"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16 </w:t>
      </w:r>
      <w:r w:rsidRPr="002215D5">
        <w:rPr>
          <w:rFonts w:ascii="Book Antiqua" w:eastAsia="Book Antiqua" w:hAnsi="Book Antiqua" w:cs="Book Antiqua"/>
          <w:b/>
          <w:bCs/>
          <w:color w:val="000000"/>
        </w:rPr>
        <w:t>Perrier C</w:t>
      </w:r>
      <w:r w:rsidRPr="002215D5">
        <w:rPr>
          <w:rFonts w:ascii="Book Antiqua" w:eastAsia="Book Antiqua" w:hAnsi="Book Antiqua" w:cs="Book Antiqua"/>
          <w:color w:val="000000"/>
        </w:rPr>
        <w:t xml:space="preserve">, Arijs I, Staelens D, Breynaert C, Cleynen I, Covens K, Ferrante M, Van Assche G, Vermeire S, de Hertogh G, Schuit F, Rutgeerts P, Ceuppens JL. Interleukin-15 receptor α expression in inflammatory bowel disease patients before and after normalization of inflammation with infliximab. </w:t>
      </w:r>
      <w:r w:rsidRPr="002215D5">
        <w:rPr>
          <w:rFonts w:ascii="Book Antiqua" w:eastAsia="Book Antiqua" w:hAnsi="Book Antiqua" w:cs="Book Antiqua"/>
          <w:i/>
          <w:iCs/>
          <w:color w:val="000000"/>
        </w:rPr>
        <w:t>Immunology</w:t>
      </w:r>
      <w:r w:rsidRPr="002215D5">
        <w:rPr>
          <w:rFonts w:ascii="Book Antiqua" w:eastAsia="Book Antiqua" w:hAnsi="Book Antiqua" w:cs="Book Antiqua"/>
          <w:color w:val="000000"/>
        </w:rPr>
        <w:t xml:space="preserve"> 2013; </w:t>
      </w:r>
      <w:r w:rsidRPr="002215D5">
        <w:rPr>
          <w:rFonts w:ascii="Book Antiqua" w:eastAsia="Book Antiqua" w:hAnsi="Book Antiqua" w:cs="Book Antiqua"/>
          <w:b/>
          <w:bCs/>
          <w:color w:val="000000"/>
        </w:rPr>
        <w:t>138</w:t>
      </w:r>
      <w:r w:rsidRPr="002215D5">
        <w:rPr>
          <w:rFonts w:ascii="Book Antiqua" w:eastAsia="Book Antiqua" w:hAnsi="Book Antiqua" w:cs="Book Antiqua"/>
          <w:color w:val="000000"/>
        </w:rPr>
        <w:t>: 47-56 [PMID: 23039249 DOI: 10.1111/imm.12014]</w:t>
      </w:r>
    </w:p>
    <w:p w14:paraId="6C2842C0"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17 </w:t>
      </w:r>
      <w:r w:rsidRPr="002215D5">
        <w:rPr>
          <w:rFonts w:ascii="Book Antiqua" w:eastAsia="Book Antiqua" w:hAnsi="Book Antiqua" w:cs="Book Antiqua"/>
          <w:b/>
          <w:bCs/>
          <w:color w:val="000000"/>
        </w:rPr>
        <w:t>Gálvez J</w:t>
      </w:r>
      <w:r w:rsidRPr="002215D5">
        <w:rPr>
          <w:rFonts w:ascii="Book Antiqua" w:eastAsia="Book Antiqua" w:hAnsi="Book Antiqua" w:cs="Book Antiqua"/>
          <w:color w:val="000000"/>
        </w:rPr>
        <w:t xml:space="preserve">. Role of Th17 Cells in the Pathogenesis of Human IBD. </w:t>
      </w:r>
      <w:r w:rsidRPr="002215D5">
        <w:rPr>
          <w:rFonts w:ascii="Book Antiqua" w:eastAsia="Book Antiqua" w:hAnsi="Book Antiqua" w:cs="Book Antiqua"/>
          <w:i/>
          <w:iCs/>
          <w:color w:val="000000"/>
        </w:rPr>
        <w:t>ISRN Inflamm</w:t>
      </w:r>
      <w:r w:rsidRPr="002215D5">
        <w:rPr>
          <w:rFonts w:ascii="Book Antiqua" w:eastAsia="Book Antiqua" w:hAnsi="Book Antiqua" w:cs="Book Antiqua"/>
          <w:color w:val="000000"/>
        </w:rPr>
        <w:t xml:space="preserve"> 2014; </w:t>
      </w:r>
      <w:r w:rsidRPr="002215D5">
        <w:rPr>
          <w:rFonts w:ascii="Book Antiqua" w:eastAsia="Book Antiqua" w:hAnsi="Book Antiqua" w:cs="Book Antiqua"/>
          <w:b/>
          <w:bCs/>
          <w:color w:val="000000"/>
        </w:rPr>
        <w:t>2014</w:t>
      </w:r>
      <w:r w:rsidRPr="002215D5">
        <w:rPr>
          <w:rFonts w:ascii="Book Antiqua" w:eastAsia="Book Antiqua" w:hAnsi="Book Antiqua" w:cs="Book Antiqua"/>
          <w:color w:val="000000"/>
        </w:rPr>
        <w:t>: 928461 [PMID: 25101191 DOI: 10.1155/2014/928461]</w:t>
      </w:r>
    </w:p>
    <w:p w14:paraId="5F95BFCD" w14:textId="77777777" w:rsidR="00A77B3E" w:rsidRPr="002215D5" w:rsidRDefault="00BF1368" w:rsidP="002215D5">
      <w:pPr>
        <w:spacing w:line="360" w:lineRule="auto"/>
        <w:jc w:val="both"/>
        <w:rPr>
          <w:rFonts w:ascii="Book Antiqua" w:hAnsi="Book Antiqua"/>
          <w:lang w:eastAsia="zh-CN"/>
        </w:rPr>
      </w:pPr>
      <w:r w:rsidRPr="002215D5">
        <w:rPr>
          <w:rFonts w:ascii="Book Antiqua" w:eastAsia="Book Antiqua" w:hAnsi="Book Antiqua" w:cs="Book Antiqua"/>
          <w:color w:val="000000"/>
        </w:rPr>
        <w:lastRenderedPageBreak/>
        <w:t xml:space="preserve">18 </w:t>
      </w:r>
      <w:r w:rsidR="003F4861" w:rsidRPr="002215D5">
        <w:rPr>
          <w:rFonts w:ascii="Book Antiqua" w:eastAsia="Book Antiqua" w:hAnsi="Book Antiqua" w:cs="Book Antiqua"/>
          <w:b/>
          <w:bCs/>
          <w:color w:val="000000"/>
        </w:rPr>
        <w:t xml:space="preserve">Huang C, </w:t>
      </w:r>
      <w:r w:rsidR="003F4861" w:rsidRPr="002215D5">
        <w:rPr>
          <w:rFonts w:ascii="Book Antiqua" w:eastAsia="Book Antiqua" w:hAnsi="Book Antiqua" w:cs="Book Antiqua"/>
          <w:bCs/>
          <w:color w:val="000000"/>
        </w:rPr>
        <w:t xml:space="preserve">Wang Y, Li X, Ren L, Zhao J, Hu Y, Zhang L, Fan G, Xu J, Gu X, Cheng Z, Yu T, Xia J, Wei Y, Wu W, Xie X, Yin W, Li H, Liu M, Xiao Y, Gao H, Guo L, Xie J, Wang G, Jiang R, Gao Z, Jin Q, Wang J, Cao B. Clinical features of patients infected with 2019 novel coronavirus in Wuhan, China. </w:t>
      </w:r>
      <w:r w:rsidR="003F4861" w:rsidRPr="002215D5">
        <w:rPr>
          <w:rFonts w:ascii="Book Antiqua" w:eastAsia="Book Antiqua" w:hAnsi="Book Antiqua" w:cs="Book Antiqua"/>
          <w:bCs/>
          <w:i/>
          <w:color w:val="000000"/>
        </w:rPr>
        <w:t>Lancet</w:t>
      </w:r>
      <w:r w:rsidR="003F4861" w:rsidRPr="002215D5">
        <w:rPr>
          <w:rFonts w:ascii="Book Antiqua" w:eastAsia="Book Antiqua" w:hAnsi="Book Antiqua" w:cs="Book Antiqua"/>
          <w:bCs/>
          <w:color w:val="000000"/>
        </w:rPr>
        <w:t xml:space="preserve"> 2020; </w:t>
      </w:r>
      <w:r w:rsidR="003F4861" w:rsidRPr="002215D5">
        <w:rPr>
          <w:rFonts w:ascii="Book Antiqua" w:eastAsia="Book Antiqua" w:hAnsi="Book Antiqua" w:cs="Book Antiqua"/>
          <w:b/>
          <w:bCs/>
          <w:color w:val="000000"/>
        </w:rPr>
        <w:t>395</w:t>
      </w:r>
      <w:r w:rsidR="003F4861" w:rsidRPr="002215D5">
        <w:rPr>
          <w:rFonts w:ascii="Book Antiqua" w:eastAsia="Book Antiqua" w:hAnsi="Book Antiqua" w:cs="Book Antiqua"/>
          <w:bCs/>
          <w:color w:val="000000"/>
        </w:rPr>
        <w:t>: 497-506 [PMID: 31986264 DOI: 10.1016/S0140-6736(20)30183-5]</w:t>
      </w:r>
    </w:p>
    <w:p w14:paraId="0EEC05A6"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19 </w:t>
      </w:r>
      <w:r w:rsidRPr="002215D5">
        <w:rPr>
          <w:rFonts w:ascii="Book Antiqua" w:eastAsia="Book Antiqua" w:hAnsi="Book Antiqua" w:cs="Book Antiqua"/>
          <w:b/>
          <w:bCs/>
          <w:color w:val="000000"/>
        </w:rPr>
        <w:t>Pacha O</w:t>
      </w:r>
      <w:r w:rsidRPr="002215D5">
        <w:rPr>
          <w:rFonts w:ascii="Book Antiqua" w:eastAsia="Book Antiqua" w:hAnsi="Book Antiqua" w:cs="Book Antiqua"/>
          <w:color w:val="000000"/>
        </w:rPr>
        <w:t xml:space="preserve">, Sallman MA, Evans SE. COVID-19: a case for inhibiting IL-17? </w:t>
      </w:r>
      <w:r w:rsidRPr="002215D5">
        <w:rPr>
          <w:rFonts w:ascii="Book Antiqua" w:eastAsia="Book Antiqua" w:hAnsi="Book Antiqua" w:cs="Book Antiqua"/>
          <w:i/>
          <w:iCs/>
          <w:color w:val="000000"/>
        </w:rPr>
        <w:t>Nat Rev Immunol</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20</w:t>
      </w:r>
      <w:r w:rsidRPr="002215D5">
        <w:rPr>
          <w:rFonts w:ascii="Book Antiqua" w:eastAsia="Book Antiqua" w:hAnsi="Book Antiqua" w:cs="Book Antiqua"/>
          <w:color w:val="000000"/>
        </w:rPr>
        <w:t>: 345-346 [PMID: 32358580 DOI: 10.1038/s41577-020-0328-z]</w:t>
      </w:r>
    </w:p>
    <w:p w14:paraId="0FA1738B" w14:textId="77777777" w:rsidR="00A77B3E" w:rsidRPr="002215D5" w:rsidRDefault="00BF1368" w:rsidP="002215D5">
      <w:pPr>
        <w:spacing w:line="360" w:lineRule="auto"/>
        <w:jc w:val="both"/>
        <w:rPr>
          <w:rFonts w:ascii="Book Antiqua" w:hAnsi="Book Antiqua"/>
          <w:lang w:eastAsia="zh-CN"/>
        </w:rPr>
      </w:pPr>
      <w:r w:rsidRPr="002215D5">
        <w:rPr>
          <w:rFonts w:ascii="Book Antiqua" w:eastAsia="Book Antiqua" w:hAnsi="Book Antiqua" w:cs="Book Antiqua"/>
          <w:color w:val="000000"/>
        </w:rPr>
        <w:t xml:space="preserve">20 </w:t>
      </w:r>
      <w:r w:rsidR="003F4861" w:rsidRPr="002215D5">
        <w:rPr>
          <w:rFonts w:ascii="Book Antiqua" w:eastAsia="Book Antiqua" w:hAnsi="Book Antiqua" w:cs="Book Antiqua"/>
          <w:b/>
          <w:bCs/>
          <w:color w:val="000000"/>
        </w:rPr>
        <w:t xml:space="preserve">Hou W, </w:t>
      </w:r>
      <w:r w:rsidR="003F4861" w:rsidRPr="002215D5">
        <w:rPr>
          <w:rFonts w:ascii="Book Antiqua" w:eastAsia="Book Antiqua" w:hAnsi="Book Antiqua" w:cs="Book Antiqua"/>
          <w:bCs/>
          <w:color w:val="000000"/>
        </w:rPr>
        <w:t>Jin YH, Kang HS, Kim BS. Interleukin-6 (IL-6) and IL-17 synergistically promote viral persistence by inhibiting cellular apoptosis and cytotoxic T cell function.</w:t>
      </w:r>
      <w:r w:rsidR="003F4861" w:rsidRPr="002215D5">
        <w:rPr>
          <w:rFonts w:ascii="Book Antiqua" w:eastAsia="Book Antiqua" w:hAnsi="Book Antiqua" w:cs="Book Antiqua"/>
          <w:bCs/>
          <w:i/>
          <w:color w:val="000000"/>
        </w:rPr>
        <w:t xml:space="preserve"> J Virol</w:t>
      </w:r>
      <w:r w:rsidR="003F4861" w:rsidRPr="002215D5">
        <w:rPr>
          <w:rFonts w:ascii="Book Antiqua" w:eastAsia="Book Antiqua" w:hAnsi="Book Antiqua" w:cs="Book Antiqua"/>
          <w:bCs/>
          <w:color w:val="000000"/>
        </w:rPr>
        <w:t xml:space="preserve"> 2014; </w:t>
      </w:r>
      <w:r w:rsidR="003F4861" w:rsidRPr="002215D5">
        <w:rPr>
          <w:rFonts w:ascii="Book Antiqua" w:eastAsia="Book Antiqua" w:hAnsi="Book Antiqua" w:cs="Book Antiqua"/>
          <w:b/>
          <w:bCs/>
          <w:color w:val="000000"/>
        </w:rPr>
        <w:t>88</w:t>
      </w:r>
      <w:r w:rsidR="003F4861" w:rsidRPr="002215D5">
        <w:rPr>
          <w:rFonts w:ascii="Book Antiqua" w:eastAsia="Book Antiqua" w:hAnsi="Book Antiqua" w:cs="Book Antiqua"/>
          <w:bCs/>
          <w:color w:val="000000"/>
        </w:rPr>
        <w:t>: 8479-8489 [PMID: 24829345 DOI: 10.1128/JVI.00724-14]</w:t>
      </w:r>
    </w:p>
    <w:p w14:paraId="3FDA64DA"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21 </w:t>
      </w:r>
      <w:r w:rsidRPr="002215D5">
        <w:rPr>
          <w:rFonts w:ascii="Book Antiqua" w:eastAsia="Book Antiqua" w:hAnsi="Book Antiqua" w:cs="Book Antiqua"/>
          <w:b/>
          <w:bCs/>
          <w:color w:val="000000"/>
        </w:rPr>
        <w:t>Bozkurt HS</w:t>
      </w:r>
      <w:r w:rsidRPr="002215D5">
        <w:rPr>
          <w:rFonts w:ascii="Book Antiqua" w:eastAsia="Book Antiqua" w:hAnsi="Book Antiqua" w:cs="Book Antiqua"/>
          <w:color w:val="000000"/>
        </w:rPr>
        <w:t xml:space="preserve">, Quigley EM. The probiotic </w:t>
      </w:r>
      <w:r w:rsidRPr="002215D5">
        <w:rPr>
          <w:rFonts w:ascii="Book Antiqua" w:eastAsia="Book Antiqua" w:hAnsi="Book Antiqua" w:cs="Book Antiqua"/>
          <w:i/>
          <w:iCs/>
          <w:color w:val="000000"/>
        </w:rPr>
        <w:t>Bifidobacterium</w:t>
      </w:r>
      <w:r w:rsidRPr="002215D5">
        <w:rPr>
          <w:rFonts w:ascii="Book Antiqua" w:eastAsia="Book Antiqua" w:hAnsi="Book Antiqua" w:cs="Book Antiqua"/>
          <w:color w:val="000000"/>
        </w:rPr>
        <w:t xml:space="preserve"> in the management of Coronavirus: A theoretical basis. </w:t>
      </w:r>
      <w:r w:rsidRPr="002215D5">
        <w:rPr>
          <w:rFonts w:ascii="Book Antiqua" w:eastAsia="Book Antiqua" w:hAnsi="Book Antiqua" w:cs="Book Antiqua"/>
          <w:i/>
          <w:iCs/>
          <w:color w:val="000000"/>
        </w:rPr>
        <w:t>Int J Immunopathol Pharmacol</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34</w:t>
      </w:r>
      <w:r w:rsidRPr="002215D5">
        <w:rPr>
          <w:rFonts w:ascii="Book Antiqua" w:eastAsia="Book Antiqua" w:hAnsi="Book Antiqua" w:cs="Book Antiqua"/>
          <w:color w:val="000000"/>
        </w:rPr>
        <w:t>: 2058738420961304 [PMID: 33103512 DOI: 10.1177/2058738420961304]</w:t>
      </w:r>
    </w:p>
    <w:p w14:paraId="385BD25E"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22 </w:t>
      </w:r>
      <w:r w:rsidRPr="002215D5">
        <w:rPr>
          <w:rFonts w:ascii="Book Antiqua" w:eastAsia="Book Antiqua" w:hAnsi="Book Antiqua" w:cs="Book Antiqua"/>
          <w:b/>
          <w:bCs/>
          <w:color w:val="000000"/>
        </w:rPr>
        <w:t>Bozkurt HS,</w:t>
      </w:r>
      <w:r w:rsidRPr="002215D5">
        <w:rPr>
          <w:rFonts w:ascii="Book Antiqua" w:eastAsia="Book Antiqua" w:hAnsi="Book Antiqua" w:cs="Book Antiqua"/>
          <w:color w:val="000000"/>
        </w:rPr>
        <w:t xml:space="preserve"> Kara B. </w:t>
      </w:r>
      <w:bookmarkStart w:id="7" w:name="OLE_LINK615"/>
      <w:bookmarkStart w:id="8" w:name="OLE_LINK616"/>
      <w:r w:rsidRPr="002215D5">
        <w:rPr>
          <w:rFonts w:ascii="Book Antiqua" w:eastAsia="Book Antiqua" w:hAnsi="Book Antiqua" w:cs="Book Antiqua"/>
          <w:color w:val="000000"/>
        </w:rPr>
        <w:t xml:space="preserve">A new treatment for ulcerative colitis: </w:t>
      </w:r>
      <w:bookmarkStart w:id="9" w:name="OLE_LINK611"/>
      <w:bookmarkStart w:id="10" w:name="OLE_LINK612"/>
      <w:r w:rsidRPr="002215D5">
        <w:rPr>
          <w:rFonts w:ascii="Book Antiqua" w:eastAsia="Book Antiqua" w:hAnsi="Book Antiqua" w:cs="Book Antiqua"/>
          <w:color w:val="000000"/>
        </w:rPr>
        <w:t>Intracolonic Bifidobacterium and xyloglucan application.</w:t>
      </w:r>
      <w:bookmarkEnd w:id="7"/>
      <w:bookmarkEnd w:id="8"/>
      <w:r w:rsidRPr="002215D5">
        <w:rPr>
          <w:rFonts w:ascii="Book Antiqua" w:eastAsia="Book Antiqua" w:hAnsi="Book Antiqua" w:cs="Book Antiqua"/>
          <w:color w:val="000000"/>
        </w:rPr>
        <w:t xml:space="preserve"> </w:t>
      </w:r>
      <w:bookmarkStart w:id="11" w:name="OLE_LINK613"/>
      <w:bookmarkStart w:id="12" w:name="OLE_LINK614"/>
      <w:r w:rsidR="006164A3" w:rsidRPr="002215D5">
        <w:rPr>
          <w:rFonts w:ascii="Book Antiqua" w:eastAsia="Book Antiqua" w:hAnsi="Book Antiqua" w:cs="Book Antiqua"/>
          <w:i/>
          <w:color w:val="000000"/>
        </w:rPr>
        <w:t>Eur J Inflamm</w:t>
      </w:r>
      <w:r w:rsidR="00652DD7" w:rsidRPr="002215D5">
        <w:rPr>
          <w:rFonts w:ascii="Book Antiqua" w:hAnsi="Book Antiqua" w:cs="Book Antiqua"/>
          <w:color w:val="000000"/>
          <w:lang w:eastAsia="zh-CN"/>
        </w:rPr>
        <w:t xml:space="preserve"> 2020;</w:t>
      </w:r>
      <w:r w:rsidRPr="002215D5">
        <w:rPr>
          <w:rFonts w:ascii="Book Antiqua" w:eastAsia="Book Antiqua" w:hAnsi="Book Antiqua" w:cs="Book Antiqua"/>
          <w:color w:val="000000"/>
        </w:rPr>
        <w:t xml:space="preserve"> </w:t>
      </w:r>
      <w:bookmarkEnd w:id="9"/>
      <w:bookmarkEnd w:id="10"/>
      <w:bookmarkEnd w:id="11"/>
      <w:bookmarkEnd w:id="12"/>
      <w:r w:rsidR="00652DD7" w:rsidRPr="002215D5">
        <w:rPr>
          <w:rFonts w:ascii="Book Antiqua" w:eastAsia="Book Antiqua" w:hAnsi="Book Antiqua" w:cs="Book Antiqua"/>
          <w:b/>
          <w:color w:val="000000"/>
        </w:rPr>
        <w:t>18</w:t>
      </w:r>
      <w:r w:rsidR="00652DD7" w:rsidRPr="002215D5">
        <w:rPr>
          <w:rFonts w:ascii="Book Antiqua" w:eastAsia="Book Antiqua" w:hAnsi="Book Antiqua" w:cs="Book Antiqua"/>
          <w:color w:val="000000"/>
        </w:rPr>
        <w:t>:</w:t>
      </w:r>
      <w:r w:rsidR="00652DD7" w:rsidRPr="002215D5">
        <w:rPr>
          <w:rFonts w:ascii="Book Antiqua" w:hAnsi="Book Antiqua" w:cs="Book Antiqua"/>
          <w:color w:val="000000"/>
          <w:lang w:eastAsia="zh-CN"/>
        </w:rPr>
        <w:t xml:space="preserve"> </w:t>
      </w:r>
      <w:r w:rsidR="00652DD7" w:rsidRPr="002215D5">
        <w:rPr>
          <w:rFonts w:ascii="Book Antiqua" w:eastAsia="Book Antiqua" w:hAnsi="Book Antiqua" w:cs="Book Antiqua"/>
          <w:color w:val="000000"/>
        </w:rPr>
        <w:t>205873922094262</w:t>
      </w:r>
      <w:r w:rsidRPr="002215D5">
        <w:rPr>
          <w:rFonts w:ascii="Book Antiqua" w:eastAsia="Book Antiqua" w:hAnsi="Book Antiqua" w:cs="Book Antiqua"/>
          <w:color w:val="000000"/>
        </w:rPr>
        <w:t xml:space="preserve"> </w:t>
      </w:r>
      <w:r w:rsidR="00652DD7" w:rsidRPr="002215D5">
        <w:rPr>
          <w:rFonts w:ascii="Book Antiqua" w:hAnsi="Book Antiqua" w:cs="Book Antiqua"/>
          <w:color w:val="000000"/>
          <w:lang w:eastAsia="zh-CN"/>
        </w:rPr>
        <w:t>[</w:t>
      </w:r>
      <w:r w:rsidRPr="002215D5">
        <w:rPr>
          <w:rFonts w:ascii="Book Antiqua" w:eastAsia="Book Antiqua" w:hAnsi="Book Antiqua" w:cs="Book Antiqua"/>
          <w:color w:val="000000"/>
        </w:rPr>
        <w:t>DOI:</w:t>
      </w:r>
      <w:r w:rsidR="00652DD7" w:rsidRPr="002215D5">
        <w:rPr>
          <w:rFonts w:ascii="Book Antiqua" w:hAnsi="Book Antiqua" w:cs="Book Antiqua"/>
          <w:color w:val="000000"/>
          <w:lang w:eastAsia="zh-CN"/>
        </w:rPr>
        <w:t xml:space="preserve"> </w:t>
      </w:r>
      <w:r w:rsidRPr="002215D5">
        <w:rPr>
          <w:rFonts w:ascii="Book Antiqua" w:eastAsia="Book Antiqua" w:hAnsi="Book Antiqua" w:cs="Book Antiqua"/>
          <w:color w:val="000000"/>
        </w:rPr>
        <w:t>10.1177/2058739220942626]</w:t>
      </w:r>
    </w:p>
    <w:p w14:paraId="35A22B74"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23 </w:t>
      </w:r>
      <w:r w:rsidRPr="002215D5">
        <w:rPr>
          <w:rFonts w:ascii="Book Antiqua" w:eastAsia="Book Antiqua" w:hAnsi="Book Antiqua" w:cs="Book Antiqua"/>
          <w:b/>
          <w:bCs/>
          <w:color w:val="000000"/>
        </w:rPr>
        <w:t>Allocca M</w:t>
      </w:r>
      <w:r w:rsidRPr="002215D5">
        <w:rPr>
          <w:rFonts w:ascii="Book Antiqua" w:eastAsia="Book Antiqua" w:hAnsi="Book Antiqua" w:cs="Book Antiqua"/>
          <w:color w:val="000000"/>
        </w:rPr>
        <w:t xml:space="preserve">, Fiorino G, Zallot C, Furfaro F, Gilardi D, Radice S, Danese S, Peyrin-Biroulet L. Incidence and Patterns of COVID-19 Among Inflammatory Bowel Disease Patients From the Nancy and Milan Cohorts. </w:t>
      </w:r>
      <w:r w:rsidRPr="002215D5">
        <w:rPr>
          <w:rFonts w:ascii="Book Antiqua" w:eastAsia="Book Antiqua" w:hAnsi="Book Antiqua" w:cs="Book Antiqua"/>
          <w:i/>
          <w:iCs/>
          <w:color w:val="000000"/>
        </w:rPr>
        <w:t>Clin Gastroenterol Hepatol</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18</w:t>
      </w:r>
      <w:r w:rsidRPr="002215D5">
        <w:rPr>
          <w:rFonts w:ascii="Book Antiqua" w:eastAsia="Book Antiqua" w:hAnsi="Book Antiqua" w:cs="Book Antiqua"/>
          <w:color w:val="000000"/>
        </w:rPr>
        <w:t>: 2134-2135 [PMID: 32360811 DOI: 10.1016/j.cgh.2020.04.071]</w:t>
      </w:r>
    </w:p>
    <w:p w14:paraId="2969C9AC"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24 </w:t>
      </w:r>
      <w:r w:rsidRPr="002215D5">
        <w:rPr>
          <w:rFonts w:ascii="Book Antiqua" w:eastAsia="Book Antiqua" w:hAnsi="Book Antiqua" w:cs="Book Antiqua"/>
          <w:b/>
          <w:bCs/>
          <w:color w:val="000000"/>
        </w:rPr>
        <w:t>Allocca M</w:t>
      </w:r>
      <w:r w:rsidRPr="002215D5">
        <w:rPr>
          <w:rFonts w:ascii="Book Antiqua" w:eastAsia="Book Antiqua" w:hAnsi="Book Antiqua" w:cs="Book Antiqua"/>
          <w:color w:val="000000"/>
        </w:rPr>
        <w:t xml:space="preserve">, Chaparro M, Gonzalez HA, Bosca-Watts MM, Palmela C, D'Amico F, Zacharopoulou E, Kopylov U, Ellul P, Bamias G, Ntelis V, Lahat A, Mantzaris GJ, Papaconstantinou I, Katsanos K, Uspenskaya Y, Christodoulou D, Ben Horin S, Peyrin-Biroulet L, Torres J, Sebastian S, Gisbert JP, Danese S, Fiorino G. Patients with Inflammatory Bowel Disease Are Not at Increased Risk of COVID-19: A Large Multinational Cohort Study. </w:t>
      </w:r>
      <w:r w:rsidRPr="002215D5">
        <w:rPr>
          <w:rFonts w:ascii="Book Antiqua" w:eastAsia="Book Antiqua" w:hAnsi="Book Antiqua" w:cs="Book Antiqua"/>
          <w:i/>
          <w:iCs/>
          <w:color w:val="000000"/>
        </w:rPr>
        <w:t>J Clin Med</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9</w:t>
      </w:r>
      <w:r w:rsidRPr="002215D5">
        <w:rPr>
          <w:rFonts w:ascii="Book Antiqua" w:eastAsia="Book Antiqua" w:hAnsi="Book Antiqua" w:cs="Book Antiqua"/>
          <w:color w:val="000000"/>
        </w:rPr>
        <w:t xml:space="preserve"> [PMID: 33142843 DOI: 10.3390/jcm9113533]</w:t>
      </w:r>
    </w:p>
    <w:p w14:paraId="5A6A9EBA"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25 </w:t>
      </w:r>
      <w:r w:rsidRPr="002215D5">
        <w:rPr>
          <w:rFonts w:ascii="Book Antiqua" w:eastAsia="Book Antiqua" w:hAnsi="Book Antiqua" w:cs="Book Antiqua"/>
          <w:b/>
          <w:bCs/>
          <w:color w:val="000000"/>
        </w:rPr>
        <w:t>Taxonera C</w:t>
      </w:r>
      <w:r w:rsidRPr="002215D5">
        <w:rPr>
          <w:rFonts w:ascii="Book Antiqua" w:eastAsia="Book Antiqua" w:hAnsi="Book Antiqua" w:cs="Book Antiqua"/>
          <w:color w:val="000000"/>
        </w:rPr>
        <w:t xml:space="preserve">, Sagastagoitia I, Alba C, Mañas N, Olivares D, Rey E. 2019 novel coronavirus disease (COVID-19) in patients with inflammatory bowel diseases. </w:t>
      </w:r>
      <w:r w:rsidRPr="002215D5">
        <w:rPr>
          <w:rFonts w:ascii="Book Antiqua" w:eastAsia="Book Antiqua" w:hAnsi="Book Antiqua" w:cs="Book Antiqua"/>
          <w:i/>
          <w:iCs/>
          <w:color w:val="000000"/>
        </w:rPr>
        <w:t>Aliment Pharmacol Ther</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52</w:t>
      </w:r>
      <w:r w:rsidRPr="002215D5">
        <w:rPr>
          <w:rFonts w:ascii="Book Antiqua" w:eastAsia="Book Antiqua" w:hAnsi="Book Antiqua" w:cs="Book Antiqua"/>
          <w:color w:val="000000"/>
        </w:rPr>
        <w:t>: 276-283 [PMID: 32359205 DOI: 10.1111/apt.15804]</w:t>
      </w:r>
    </w:p>
    <w:p w14:paraId="47583E34"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lastRenderedPageBreak/>
        <w:t xml:space="preserve">26 </w:t>
      </w:r>
      <w:r w:rsidRPr="002215D5">
        <w:rPr>
          <w:rFonts w:ascii="Book Antiqua" w:eastAsia="Book Antiqua" w:hAnsi="Book Antiqua" w:cs="Book Antiqua"/>
          <w:b/>
          <w:bCs/>
          <w:color w:val="000000"/>
        </w:rPr>
        <w:t>Attauabi M</w:t>
      </w:r>
      <w:r w:rsidRPr="002215D5">
        <w:rPr>
          <w:rFonts w:ascii="Book Antiqua" w:eastAsia="Book Antiqua" w:hAnsi="Book Antiqua" w:cs="Book Antiqua"/>
          <w:color w:val="000000"/>
        </w:rPr>
        <w:t xml:space="preserve">, Poulsen A, Theede K, Pedersen N, Larsen L, Jess T, Rosager Hansen M, Verner-Andersen MK, V Haderslev K, Berg Lødrup A, Molazahi A, Neumann A, Wase A, Seidelin JB, Burisch J. Prevalence and Outcomes of COVID-19 Among Patients With Inflammatory Bowel Disease-A Danish Prospective Population-based Cohort Study. </w:t>
      </w:r>
      <w:r w:rsidRPr="002215D5">
        <w:rPr>
          <w:rFonts w:ascii="Book Antiqua" w:eastAsia="Book Antiqua" w:hAnsi="Book Antiqua" w:cs="Book Antiqua"/>
          <w:i/>
          <w:iCs/>
          <w:color w:val="000000"/>
        </w:rPr>
        <w:t>J Crohns Colitis</w:t>
      </w:r>
      <w:r w:rsidRPr="002215D5">
        <w:rPr>
          <w:rFonts w:ascii="Book Antiqua" w:eastAsia="Book Antiqua" w:hAnsi="Book Antiqua" w:cs="Book Antiqua"/>
          <w:color w:val="000000"/>
        </w:rPr>
        <w:t xml:space="preserve"> 2021; </w:t>
      </w:r>
      <w:r w:rsidRPr="002215D5">
        <w:rPr>
          <w:rFonts w:ascii="Book Antiqua" w:eastAsia="Book Antiqua" w:hAnsi="Book Antiqua" w:cs="Book Antiqua"/>
          <w:b/>
          <w:bCs/>
          <w:color w:val="000000"/>
        </w:rPr>
        <w:t>15</w:t>
      </w:r>
      <w:r w:rsidRPr="002215D5">
        <w:rPr>
          <w:rFonts w:ascii="Book Antiqua" w:eastAsia="Book Antiqua" w:hAnsi="Book Antiqua" w:cs="Book Antiqua"/>
          <w:color w:val="000000"/>
        </w:rPr>
        <w:t>: 540-550 [PMID: 33035299 DOI: 10.1093/ecco-jcc/jjaa205]</w:t>
      </w:r>
    </w:p>
    <w:p w14:paraId="1F573BAA"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27 </w:t>
      </w:r>
      <w:r w:rsidRPr="002215D5">
        <w:rPr>
          <w:rFonts w:ascii="Book Antiqua" w:eastAsia="Book Antiqua" w:hAnsi="Book Antiqua" w:cs="Book Antiqua"/>
          <w:b/>
          <w:bCs/>
          <w:color w:val="000000"/>
        </w:rPr>
        <w:t>Burke KE</w:t>
      </w:r>
      <w:r w:rsidRPr="002215D5">
        <w:rPr>
          <w:rFonts w:ascii="Book Antiqua" w:eastAsia="Book Antiqua" w:hAnsi="Book Antiqua" w:cs="Book Antiqua"/>
          <w:color w:val="000000"/>
        </w:rPr>
        <w:t xml:space="preserve">, Kochar B, Allegretti JR, Winter RW, Lochhead P, Khalili H, Colizzo FP, Hamilton MJ, Chan WW, Ananthakrishnan AN. Immunosuppressive Therapy and Risk of COVID-19 Infection in Patients With Inflammatory Bowel Diseases. </w:t>
      </w:r>
      <w:r w:rsidRPr="002215D5">
        <w:rPr>
          <w:rFonts w:ascii="Book Antiqua" w:eastAsia="Book Antiqua" w:hAnsi="Book Antiqua" w:cs="Book Antiqua"/>
          <w:i/>
          <w:iCs/>
          <w:color w:val="000000"/>
        </w:rPr>
        <w:t>Inflamm Bowel Dis</w:t>
      </w:r>
      <w:r w:rsidRPr="002215D5">
        <w:rPr>
          <w:rFonts w:ascii="Book Antiqua" w:eastAsia="Book Antiqua" w:hAnsi="Book Antiqua" w:cs="Book Antiqua"/>
          <w:color w:val="000000"/>
        </w:rPr>
        <w:t xml:space="preserve"> 2021; </w:t>
      </w:r>
      <w:r w:rsidRPr="002215D5">
        <w:rPr>
          <w:rFonts w:ascii="Book Antiqua" w:eastAsia="Book Antiqua" w:hAnsi="Book Antiqua" w:cs="Book Antiqua"/>
          <w:b/>
          <w:bCs/>
          <w:color w:val="000000"/>
        </w:rPr>
        <w:t>27</w:t>
      </w:r>
      <w:r w:rsidRPr="002215D5">
        <w:rPr>
          <w:rFonts w:ascii="Book Antiqua" w:eastAsia="Book Antiqua" w:hAnsi="Book Antiqua" w:cs="Book Antiqua"/>
          <w:color w:val="000000"/>
        </w:rPr>
        <w:t>: 155-161 [PMID: 33089863 DOI: 10.1093/ibd/izaa278]</w:t>
      </w:r>
    </w:p>
    <w:p w14:paraId="7098BC60"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28 </w:t>
      </w:r>
      <w:r w:rsidRPr="002215D5">
        <w:rPr>
          <w:rFonts w:ascii="Book Antiqua" w:eastAsia="Book Antiqua" w:hAnsi="Book Antiqua" w:cs="Book Antiqua"/>
          <w:b/>
          <w:bCs/>
          <w:color w:val="000000"/>
        </w:rPr>
        <w:t>Khan N</w:t>
      </w:r>
      <w:r w:rsidRPr="002215D5">
        <w:rPr>
          <w:rFonts w:ascii="Book Antiqua" w:eastAsia="Book Antiqua" w:hAnsi="Book Antiqua" w:cs="Book Antiqua"/>
          <w:color w:val="000000"/>
        </w:rPr>
        <w:t xml:space="preserve">, Patel D, Xie D, Lewis J, Trivedi C, Yang YX. Impact of Anti-Tumor Necrosis Factor and Thiopurine Medications on the Development of COVID-19 in Patients With Inflammatory Bowel Disease: A Nationwide Veterans Administration Cohort Study. </w:t>
      </w:r>
      <w:r w:rsidRPr="002215D5">
        <w:rPr>
          <w:rFonts w:ascii="Book Antiqua" w:eastAsia="Book Antiqua" w:hAnsi="Book Antiqua" w:cs="Book Antiqua"/>
          <w:i/>
          <w:iCs/>
          <w:color w:val="000000"/>
        </w:rPr>
        <w:t>Gastroenterology</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159</w:t>
      </w:r>
      <w:r w:rsidRPr="002215D5">
        <w:rPr>
          <w:rFonts w:ascii="Book Antiqua" w:eastAsia="Book Antiqua" w:hAnsi="Book Antiqua" w:cs="Book Antiqua"/>
          <w:color w:val="000000"/>
        </w:rPr>
        <w:t>: 1545-1546.e1 [PMID: 32479823 DOI: 10.1053/j.gastro.2020.05.065]</w:t>
      </w:r>
    </w:p>
    <w:p w14:paraId="2E7FA3FD"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29 </w:t>
      </w:r>
      <w:r w:rsidRPr="002215D5">
        <w:rPr>
          <w:rFonts w:ascii="Book Antiqua" w:eastAsia="Book Antiqua" w:hAnsi="Book Antiqua" w:cs="Book Antiqua"/>
          <w:b/>
          <w:bCs/>
          <w:color w:val="000000"/>
        </w:rPr>
        <w:t>Berte' R</w:t>
      </w:r>
      <w:r w:rsidRPr="002215D5">
        <w:rPr>
          <w:rFonts w:ascii="Book Antiqua" w:eastAsia="Book Antiqua" w:hAnsi="Book Antiqua" w:cs="Book Antiqua"/>
          <w:color w:val="000000"/>
        </w:rPr>
        <w:t xml:space="preserve">, Mazza S, Stefanucci MR, Noviello D, Costa S, Ciafardini C, Mileti E, Mapelli M, Pasqualato S, Pinto S, Favale A, Vecchi M, Neurath MF, Atreya R, Fantini MC, Facciotti F, Caprioli F. Seroprevalence of SARS-CoV2 in IBD Patients Treated with Biologic Therapy. </w:t>
      </w:r>
      <w:r w:rsidRPr="002215D5">
        <w:rPr>
          <w:rFonts w:ascii="Book Antiqua" w:eastAsia="Book Antiqua" w:hAnsi="Book Antiqua" w:cs="Book Antiqua"/>
          <w:i/>
          <w:iCs/>
          <w:color w:val="000000"/>
        </w:rPr>
        <w:t>J Crohns Colitis</w:t>
      </w:r>
      <w:r w:rsidRPr="002215D5">
        <w:rPr>
          <w:rFonts w:ascii="Book Antiqua" w:eastAsia="Book Antiqua" w:hAnsi="Book Antiqua" w:cs="Book Antiqua"/>
          <w:color w:val="000000"/>
        </w:rPr>
        <w:t xml:space="preserve"> 2021; </w:t>
      </w:r>
      <w:r w:rsidRPr="002215D5">
        <w:rPr>
          <w:rFonts w:ascii="Book Antiqua" w:eastAsia="Book Antiqua" w:hAnsi="Book Antiqua" w:cs="Book Antiqua"/>
          <w:b/>
          <w:bCs/>
          <w:color w:val="000000"/>
        </w:rPr>
        <w:t>15</w:t>
      </w:r>
      <w:r w:rsidRPr="002215D5">
        <w:rPr>
          <w:rFonts w:ascii="Book Antiqua" w:eastAsia="Book Antiqua" w:hAnsi="Book Antiqua" w:cs="Book Antiqua"/>
          <w:color w:val="000000"/>
        </w:rPr>
        <w:t>: 864-868 [PMID: 33211810 DOI: 10.1093/ecco-jcc/jjaa237]</w:t>
      </w:r>
    </w:p>
    <w:p w14:paraId="71C2F726"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30 </w:t>
      </w:r>
      <w:r w:rsidRPr="002215D5">
        <w:rPr>
          <w:rFonts w:ascii="Book Antiqua" w:eastAsia="Book Antiqua" w:hAnsi="Book Antiqua" w:cs="Book Antiqua"/>
          <w:b/>
          <w:bCs/>
          <w:color w:val="000000"/>
        </w:rPr>
        <w:t>Armstrong GL</w:t>
      </w:r>
      <w:r w:rsidRPr="002215D5">
        <w:rPr>
          <w:rFonts w:ascii="Book Antiqua" w:eastAsia="Book Antiqua" w:hAnsi="Book Antiqua" w:cs="Book Antiqua"/>
          <w:color w:val="000000"/>
        </w:rPr>
        <w:t xml:space="preserve">, Alter MJ, McQuillan GM, Margolis HS. The past incidence of hepatitis C virus infection: implications for the future burden of chronic liver disease in the United States. </w:t>
      </w:r>
      <w:r w:rsidRPr="002215D5">
        <w:rPr>
          <w:rFonts w:ascii="Book Antiqua" w:eastAsia="Book Antiqua" w:hAnsi="Book Antiqua" w:cs="Book Antiqua"/>
          <w:i/>
          <w:iCs/>
          <w:color w:val="000000"/>
        </w:rPr>
        <w:t>Hepatology</w:t>
      </w:r>
      <w:r w:rsidRPr="002215D5">
        <w:rPr>
          <w:rFonts w:ascii="Book Antiqua" w:eastAsia="Book Antiqua" w:hAnsi="Book Antiqua" w:cs="Book Antiqua"/>
          <w:color w:val="000000"/>
        </w:rPr>
        <w:t xml:space="preserve"> 2000; </w:t>
      </w:r>
      <w:r w:rsidRPr="002215D5">
        <w:rPr>
          <w:rFonts w:ascii="Book Antiqua" w:eastAsia="Book Antiqua" w:hAnsi="Book Antiqua" w:cs="Book Antiqua"/>
          <w:b/>
          <w:bCs/>
          <w:color w:val="000000"/>
        </w:rPr>
        <w:t>31</w:t>
      </w:r>
      <w:r w:rsidRPr="002215D5">
        <w:rPr>
          <w:rFonts w:ascii="Book Antiqua" w:eastAsia="Book Antiqua" w:hAnsi="Book Antiqua" w:cs="Book Antiqua"/>
          <w:color w:val="000000"/>
        </w:rPr>
        <w:t>: 777-782 [PMID: 10706572 DOI: 10.1002/hep.510310332]</w:t>
      </w:r>
    </w:p>
    <w:p w14:paraId="5F906FA1"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31 </w:t>
      </w:r>
      <w:r w:rsidRPr="002215D5">
        <w:rPr>
          <w:rFonts w:ascii="Book Antiqua" w:eastAsia="Book Antiqua" w:hAnsi="Book Antiqua" w:cs="Book Antiqua"/>
          <w:b/>
          <w:bCs/>
          <w:color w:val="000000"/>
        </w:rPr>
        <w:t>D'Amico F</w:t>
      </w:r>
      <w:r w:rsidRPr="002215D5">
        <w:rPr>
          <w:rFonts w:ascii="Book Antiqua" w:eastAsia="Book Antiqua" w:hAnsi="Book Antiqua" w:cs="Book Antiqua"/>
          <w:color w:val="000000"/>
        </w:rPr>
        <w:t xml:space="preserve">, Danese S, Peyrin-Biroulet L. Systematic Review on Inflammatory Bowel Disease Patients With Coronavirus Disease 2019: It Is Time to Take Stock. </w:t>
      </w:r>
      <w:r w:rsidRPr="002215D5">
        <w:rPr>
          <w:rFonts w:ascii="Book Antiqua" w:eastAsia="Book Antiqua" w:hAnsi="Book Antiqua" w:cs="Book Antiqua"/>
          <w:i/>
          <w:iCs/>
          <w:color w:val="000000"/>
        </w:rPr>
        <w:t>Clin Gastroenterol Hepatol</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18</w:t>
      </w:r>
      <w:r w:rsidRPr="002215D5">
        <w:rPr>
          <w:rFonts w:ascii="Book Antiqua" w:eastAsia="Book Antiqua" w:hAnsi="Book Antiqua" w:cs="Book Antiqua"/>
          <w:color w:val="000000"/>
        </w:rPr>
        <w:t>: 2689-2700 [PMID: 32777550 DOI: 10.1016/j.cgh.2020.08.003]</w:t>
      </w:r>
    </w:p>
    <w:p w14:paraId="43175306"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32 </w:t>
      </w:r>
      <w:r w:rsidRPr="002215D5">
        <w:rPr>
          <w:rFonts w:ascii="Book Antiqua" w:eastAsia="Book Antiqua" w:hAnsi="Book Antiqua" w:cs="Book Antiqua"/>
          <w:b/>
          <w:bCs/>
          <w:color w:val="000000"/>
        </w:rPr>
        <w:t>Viganò C</w:t>
      </w:r>
      <w:r w:rsidRPr="002215D5">
        <w:rPr>
          <w:rFonts w:ascii="Book Antiqua" w:eastAsia="Book Antiqua" w:hAnsi="Book Antiqua" w:cs="Book Antiqua"/>
          <w:color w:val="000000"/>
        </w:rPr>
        <w:t xml:space="preserve">, Massironi S, Pirola L, Cristoferi L, Fichera M, Bravo M, Mauri M, Redaelli AE, Dinelli ME, Invernizzi P. COVID-19 in Patients With Inflammatory Bowel Disease: A Single-center Observational Study in Northern Italy. </w:t>
      </w:r>
      <w:r w:rsidRPr="002215D5">
        <w:rPr>
          <w:rFonts w:ascii="Book Antiqua" w:eastAsia="Book Antiqua" w:hAnsi="Book Antiqua" w:cs="Book Antiqua"/>
          <w:i/>
          <w:iCs/>
          <w:color w:val="000000"/>
        </w:rPr>
        <w:t>Inflamm Bowel Dis</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26</w:t>
      </w:r>
      <w:r w:rsidRPr="002215D5">
        <w:rPr>
          <w:rFonts w:ascii="Book Antiqua" w:eastAsia="Book Antiqua" w:hAnsi="Book Antiqua" w:cs="Book Antiqua"/>
          <w:color w:val="000000"/>
        </w:rPr>
        <w:t>: e138-e139 [PMID: 32949238 DOI: 10.1093/ibd/izaa244]</w:t>
      </w:r>
    </w:p>
    <w:p w14:paraId="70D8D75B"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lastRenderedPageBreak/>
        <w:t xml:space="preserve">33 </w:t>
      </w:r>
      <w:r w:rsidRPr="002215D5">
        <w:rPr>
          <w:rFonts w:ascii="Book Antiqua" w:eastAsia="Book Antiqua" w:hAnsi="Book Antiqua" w:cs="Book Antiqua"/>
          <w:b/>
          <w:bCs/>
          <w:color w:val="000000"/>
        </w:rPr>
        <w:t>Lukin DJ</w:t>
      </w:r>
      <w:r w:rsidRPr="002215D5">
        <w:rPr>
          <w:rFonts w:ascii="Book Antiqua" w:eastAsia="Book Antiqua" w:hAnsi="Book Antiqua" w:cs="Book Antiqua"/>
          <w:color w:val="000000"/>
        </w:rPr>
        <w:t xml:space="preserve">, Kumar A, Hajifathalian K, Sharaiha RZ, Scherl EJ, Longman RS; Jill Roberts Center Study Group Study Group; Weill Cornell Medicine-Gastrointestinal Study Group. Baseline Disease Activity and Steroid Therapy Stratify Risk of COVID-19 in Patients With Inflammatory Bowel Disease. </w:t>
      </w:r>
      <w:r w:rsidRPr="002215D5">
        <w:rPr>
          <w:rFonts w:ascii="Book Antiqua" w:eastAsia="Book Antiqua" w:hAnsi="Book Antiqua" w:cs="Book Antiqua"/>
          <w:i/>
          <w:iCs/>
          <w:color w:val="000000"/>
        </w:rPr>
        <w:t>Gastroenterology</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159</w:t>
      </w:r>
      <w:r w:rsidRPr="002215D5">
        <w:rPr>
          <w:rFonts w:ascii="Book Antiqua" w:eastAsia="Book Antiqua" w:hAnsi="Book Antiqua" w:cs="Book Antiqua"/>
          <w:color w:val="000000"/>
        </w:rPr>
        <w:t>: 1541-1544.e2 [PMID: 32479824 DOI: 10.1053/j.gastro.2020.05.066]</w:t>
      </w:r>
    </w:p>
    <w:p w14:paraId="49CAB784"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34 </w:t>
      </w:r>
      <w:r w:rsidRPr="002215D5">
        <w:rPr>
          <w:rFonts w:ascii="Book Antiqua" w:eastAsia="Book Antiqua" w:hAnsi="Book Antiqua" w:cs="Book Antiqua"/>
          <w:b/>
          <w:bCs/>
          <w:color w:val="000000"/>
        </w:rPr>
        <w:t>Rodríguez-Lago I</w:t>
      </w:r>
      <w:r w:rsidRPr="002215D5">
        <w:rPr>
          <w:rFonts w:ascii="Book Antiqua" w:eastAsia="Book Antiqua" w:hAnsi="Book Antiqua" w:cs="Book Antiqua"/>
          <w:color w:val="000000"/>
        </w:rPr>
        <w:t xml:space="preserve">, Ramírez de la Piscina P, Elorza A, Merino O, Ortiz de Zárate J, Cabriada JL. Characteristics and Prognosis of Patients With Inflammatory Bowel Disease During the SARS-CoV-2 Pandemic in the Basque Country (Spain). </w:t>
      </w:r>
      <w:r w:rsidRPr="002215D5">
        <w:rPr>
          <w:rFonts w:ascii="Book Antiqua" w:eastAsia="Book Antiqua" w:hAnsi="Book Antiqua" w:cs="Book Antiqua"/>
          <w:i/>
          <w:iCs/>
          <w:color w:val="000000"/>
        </w:rPr>
        <w:t>Gastroenterology</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159</w:t>
      </w:r>
      <w:r w:rsidRPr="002215D5">
        <w:rPr>
          <w:rFonts w:ascii="Book Antiqua" w:eastAsia="Book Antiqua" w:hAnsi="Book Antiqua" w:cs="Book Antiqua"/>
          <w:color w:val="000000"/>
        </w:rPr>
        <w:t>: 781-783 [PMID: 32330477 DOI: 10.1053/j.gastro.2020.04.043]</w:t>
      </w:r>
    </w:p>
    <w:p w14:paraId="00EF2DBB"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35 </w:t>
      </w:r>
      <w:r w:rsidRPr="002215D5">
        <w:rPr>
          <w:rFonts w:ascii="Book Antiqua" w:eastAsia="Book Antiqua" w:hAnsi="Book Antiqua" w:cs="Book Antiqua"/>
          <w:b/>
          <w:bCs/>
          <w:color w:val="000000"/>
        </w:rPr>
        <w:t>Gubatan J</w:t>
      </w:r>
      <w:r w:rsidRPr="002215D5">
        <w:rPr>
          <w:rFonts w:ascii="Book Antiqua" w:eastAsia="Book Antiqua" w:hAnsi="Book Antiqua" w:cs="Book Antiqua"/>
          <w:color w:val="000000"/>
        </w:rPr>
        <w:t xml:space="preserve">, Levitte S, Balabanis T, Patel A, Sharma A, Habtezion A. SARS-CoV-2 Testing, Prevalence, and Predictors of COVID-19 in Patients with Inflammatory Bowel Disease in Northern California. </w:t>
      </w:r>
      <w:r w:rsidRPr="002215D5">
        <w:rPr>
          <w:rFonts w:ascii="Book Antiqua" w:eastAsia="Book Antiqua" w:hAnsi="Book Antiqua" w:cs="Book Antiqua"/>
          <w:i/>
          <w:iCs/>
          <w:color w:val="000000"/>
        </w:rPr>
        <w:t>Gastroenterology</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159</w:t>
      </w:r>
      <w:r w:rsidRPr="002215D5">
        <w:rPr>
          <w:rFonts w:ascii="Book Antiqua" w:eastAsia="Book Antiqua" w:hAnsi="Book Antiqua" w:cs="Book Antiqua"/>
          <w:color w:val="000000"/>
        </w:rPr>
        <w:t>: 1141-1144.e2 [PMID: 32387541 DOI: 10.1053/j.gastro.2020.05.009]</w:t>
      </w:r>
    </w:p>
    <w:p w14:paraId="72BA0C30"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36 </w:t>
      </w:r>
      <w:r w:rsidRPr="002215D5">
        <w:rPr>
          <w:rFonts w:ascii="Book Antiqua" w:eastAsia="Book Antiqua" w:hAnsi="Book Antiqua" w:cs="Book Antiqua"/>
          <w:b/>
          <w:bCs/>
          <w:color w:val="000000"/>
        </w:rPr>
        <w:t>Singh S</w:t>
      </w:r>
      <w:r w:rsidRPr="002215D5">
        <w:rPr>
          <w:rFonts w:ascii="Book Antiqua" w:eastAsia="Book Antiqua" w:hAnsi="Book Antiqua" w:cs="Book Antiqua"/>
          <w:color w:val="000000"/>
        </w:rPr>
        <w:t xml:space="preserve">, Khan A, Chowdhry M, Bilal M, Kochhar GS, Clarke K. Risk of Severe Coronavirus Disease 2019 in Patients With Inflammatory Bowel Disease in the United States: A Multicenter Research Network Study. </w:t>
      </w:r>
      <w:r w:rsidRPr="002215D5">
        <w:rPr>
          <w:rFonts w:ascii="Book Antiqua" w:eastAsia="Book Antiqua" w:hAnsi="Book Antiqua" w:cs="Book Antiqua"/>
          <w:i/>
          <w:iCs/>
          <w:color w:val="000000"/>
        </w:rPr>
        <w:t>Gastroenterology</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159</w:t>
      </w:r>
      <w:r w:rsidRPr="002215D5">
        <w:rPr>
          <w:rFonts w:ascii="Book Antiqua" w:eastAsia="Book Antiqua" w:hAnsi="Book Antiqua" w:cs="Book Antiqua"/>
          <w:color w:val="000000"/>
        </w:rPr>
        <w:t>: 1575-1578.e4 [PMID: 32522507 DOI: 10.1053/j.gastro.2020.06.003]</w:t>
      </w:r>
    </w:p>
    <w:p w14:paraId="6672828D"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37 </w:t>
      </w:r>
      <w:r w:rsidRPr="002215D5">
        <w:rPr>
          <w:rFonts w:ascii="Book Antiqua" w:eastAsia="Book Antiqua" w:hAnsi="Book Antiqua" w:cs="Book Antiqua"/>
          <w:b/>
          <w:bCs/>
          <w:color w:val="000000"/>
        </w:rPr>
        <w:t>Mao R</w:t>
      </w:r>
      <w:r w:rsidRPr="002215D5">
        <w:rPr>
          <w:rFonts w:ascii="Book Antiqua" w:eastAsia="Book Antiqua" w:hAnsi="Book Antiqua" w:cs="Book Antiqua"/>
          <w:color w:val="000000"/>
        </w:rPr>
        <w:t xml:space="preserve">, Qiu Y, He JS, Tan JY, Li XH, Liang J, Shen J, Zhu LR, Chen Y, Iacucci M, Ng SC, Ghosh S, Chen MH. Manifestations and prognosis of gastrointestinal and liver involvement in patients with COVID-19: a systematic review and meta-analysis. </w:t>
      </w:r>
      <w:r w:rsidRPr="002215D5">
        <w:rPr>
          <w:rFonts w:ascii="Book Antiqua" w:eastAsia="Book Antiqua" w:hAnsi="Book Antiqua" w:cs="Book Antiqua"/>
          <w:i/>
          <w:iCs/>
          <w:color w:val="000000"/>
        </w:rPr>
        <w:t>Lancet Gastroenterol Hepatol</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5</w:t>
      </w:r>
      <w:r w:rsidRPr="002215D5">
        <w:rPr>
          <w:rFonts w:ascii="Book Antiqua" w:eastAsia="Book Antiqua" w:hAnsi="Book Antiqua" w:cs="Book Antiqua"/>
          <w:color w:val="000000"/>
        </w:rPr>
        <w:t>: 667-678 [PMID: 32405603 DOI: 10.1016/S2468-1253(20)30126-6]</w:t>
      </w:r>
    </w:p>
    <w:p w14:paraId="52073D01"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38 </w:t>
      </w:r>
      <w:r w:rsidRPr="002215D5">
        <w:rPr>
          <w:rFonts w:ascii="Book Antiqua" w:eastAsia="Book Antiqua" w:hAnsi="Book Antiqua" w:cs="Book Antiqua"/>
          <w:b/>
          <w:bCs/>
          <w:color w:val="000000"/>
        </w:rPr>
        <w:t>Xie X</w:t>
      </w:r>
      <w:r w:rsidRPr="002215D5">
        <w:rPr>
          <w:rFonts w:ascii="Book Antiqua" w:eastAsia="Book Antiqua" w:hAnsi="Book Antiqua" w:cs="Book Antiqua"/>
          <w:color w:val="000000"/>
        </w:rPr>
        <w:t xml:space="preserve">, Zhong Z, Zhao W, Zheng C, Wang F, Liu J. Chest CT for Typical Coronavirus Disease 2019 (COVID-19) Pneumonia: Relationship to Negative RT-PCR Testing. </w:t>
      </w:r>
      <w:r w:rsidRPr="002215D5">
        <w:rPr>
          <w:rFonts w:ascii="Book Antiqua" w:eastAsia="Book Antiqua" w:hAnsi="Book Antiqua" w:cs="Book Antiqua"/>
          <w:i/>
          <w:iCs/>
          <w:color w:val="000000"/>
        </w:rPr>
        <w:t>Radiology</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296</w:t>
      </w:r>
      <w:r w:rsidRPr="002215D5">
        <w:rPr>
          <w:rFonts w:ascii="Book Antiqua" w:eastAsia="Book Antiqua" w:hAnsi="Book Antiqua" w:cs="Book Antiqua"/>
          <w:color w:val="000000"/>
        </w:rPr>
        <w:t>: E41-E45 [PMID: 32049601 DOI: 10.1148/radiol.2020200343]</w:t>
      </w:r>
    </w:p>
    <w:p w14:paraId="7ABC2AC6"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39 </w:t>
      </w:r>
      <w:r w:rsidRPr="002215D5">
        <w:rPr>
          <w:rFonts w:ascii="Book Antiqua" w:eastAsia="Book Antiqua" w:hAnsi="Book Antiqua" w:cs="Book Antiqua"/>
          <w:b/>
          <w:bCs/>
          <w:color w:val="000000"/>
        </w:rPr>
        <w:t>Ai T</w:t>
      </w:r>
      <w:r w:rsidRPr="002215D5">
        <w:rPr>
          <w:rFonts w:ascii="Book Antiqua" w:eastAsia="Book Antiqua" w:hAnsi="Book Antiqua" w:cs="Book Antiqua"/>
          <w:color w:val="000000"/>
        </w:rPr>
        <w:t xml:space="preserve">, Yang Z, Hou H, Zhan C, Chen C, Lv W, Tao Q, Sun Z, Xia L. Correlation of Chest CT and RT-PCR Testing for Coronavirus Disease 2019 (COVID-19) in China: A Report of 1014 Cases. </w:t>
      </w:r>
      <w:r w:rsidRPr="002215D5">
        <w:rPr>
          <w:rFonts w:ascii="Book Antiqua" w:eastAsia="Book Antiqua" w:hAnsi="Book Antiqua" w:cs="Book Antiqua"/>
          <w:i/>
          <w:iCs/>
          <w:color w:val="000000"/>
        </w:rPr>
        <w:t>Radiology</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296</w:t>
      </w:r>
      <w:r w:rsidRPr="002215D5">
        <w:rPr>
          <w:rFonts w:ascii="Book Antiqua" w:eastAsia="Book Antiqua" w:hAnsi="Book Antiqua" w:cs="Book Antiqua"/>
          <w:color w:val="000000"/>
        </w:rPr>
        <w:t>: E32-E40 [PMID: 32101510 DOI: 10.1148/radiol.2020200642]</w:t>
      </w:r>
    </w:p>
    <w:p w14:paraId="1FC1DED9"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lastRenderedPageBreak/>
        <w:t xml:space="preserve">40 </w:t>
      </w:r>
      <w:r w:rsidRPr="002215D5">
        <w:rPr>
          <w:rFonts w:ascii="Book Antiqua" w:eastAsia="Book Antiqua" w:hAnsi="Book Antiqua" w:cs="Book Antiqua"/>
          <w:b/>
          <w:bCs/>
          <w:color w:val="000000"/>
        </w:rPr>
        <w:t>Fang Y</w:t>
      </w:r>
      <w:r w:rsidRPr="002215D5">
        <w:rPr>
          <w:rFonts w:ascii="Book Antiqua" w:eastAsia="Book Antiqua" w:hAnsi="Book Antiqua" w:cs="Book Antiqua"/>
          <w:color w:val="000000"/>
        </w:rPr>
        <w:t xml:space="preserve">, Zhang H, Xie J, Lin M, Ying L, Pang P, Ji W. Sensitivity of Chest CT for COVID-19: Comparison to RT-PCR. </w:t>
      </w:r>
      <w:r w:rsidRPr="002215D5">
        <w:rPr>
          <w:rFonts w:ascii="Book Antiqua" w:eastAsia="Book Antiqua" w:hAnsi="Book Antiqua" w:cs="Book Antiqua"/>
          <w:i/>
          <w:iCs/>
          <w:color w:val="000000"/>
        </w:rPr>
        <w:t>Radiology</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296</w:t>
      </w:r>
      <w:r w:rsidRPr="002215D5">
        <w:rPr>
          <w:rFonts w:ascii="Book Antiqua" w:eastAsia="Book Antiqua" w:hAnsi="Book Antiqua" w:cs="Book Antiqua"/>
          <w:color w:val="000000"/>
        </w:rPr>
        <w:t>: E115-E117 [PMID: 32073353 DOI: 10.1148/radiol.2020200432]</w:t>
      </w:r>
    </w:p>
    <w:p w14:paraId="6B8EFA7A" w14:textId="727F229B" w:rsidR="00A77B3E" w:rsidRPr="002215D5" w:rsidRDefault="00BF1368" w:rsidP="002215D5">
      <w:pPr>
        <w:spacing w:line="360" w:lineRule="auto"/>
        <w:jc w:val="both"/>
        <w:rPr>
          <w:rFonts w:ascii="Book Antiqua" w:hAnsi="Book Antiqua"/>
          <w:lang w:eastAsia="zh-CN"/>
        </w:rPr>
      </w:pPr>
      <w:r w:rsidRPr="002215D5">
        <w:rPr>
          <w:rFonts w:ascii="Book Antiqua" w:eastAsia="Book Antiqua" w:hAnsi="Book Antiqua" w:cs="Book Antiqua"/>
          <w:color w:val="000000"/>
          <w:highlight w:val="yellow"/>
        </w:rPr>
        <w:t xml:space="preserve">41 </w:t>
      </w:r>
      <w:r w:rsidRPr="002215D5">
        <w:rPr>
          <w:rFonts w:ascii="Book Antiqua" w:eastAsia="Book Antiqua" w:hAnsi="Book Antiqua" w:cs="Book Antiqua"/>
          <w:b/>
          <w:bCs/>
          <w:color w:val="000000"/>
          <w:highlight w:val="yellow"/>
        </w:rPr>
        <w:t>Yang</w:t>
      </w:r>
      <w:r w:rsidRPr="002215D5">
        <w:rPr>
          <w:rFonts w:ascii="Book Antiqua" w:eastAsia="Book Antiqua" w:hAnsi="Book Antiqua" w:cs="Book Antiqua"/>
          <w:color w:val="000000"/>
          <w:highlight w:val="yellow"/>
        </w:rPr>
        <w:t xml:space="preserve"> Y</w:t>
      </w:r>
      <w:r w:rsidR="006164A3" w:rsidRPr="002215D5">
        <w:rPr>
          <w:rFonts w:ascii="Book Antiqua" w:hAnsi="Book Antiqua" w:cs="Book Antiqua"/>
          <w:color w:val="000000"/>
          <w:highlight w:val="yellow"/>
          <w:lang w:eastAsia="zh-CN"/>
        </w:rPr>
        <w:t>, Yang MH, Shen CG, Wang FX, Yuan J, Li JX, Zhang MX, Wang ZQ, Xing L, Wei JL, Peng L, Wong G, Zheng HX, Wu WB, Liao MF, Feng K, Li JM, Yang QT, Zhao JJ, Zhang Z, Liu L, Liu YX.</w:t>
      </w:r>
      <w:r w:rsidRPr="002215D5">
        <w:rPr>
          <w:rFonts w:ascii="Book Antiqua" w:eastAsia="Book Antiqua" w:hAnsi="Book Antiqua" w:cs="Book Antiqua"/>
          <w:color w:val="000000"/>
          <w:highlight w:val="yellow"/>
        </w:rPr>
        <w:t xml:space="preserve"> </w:t>
      </w:r>
      <w:bookmarkStart w:id="13" w:name="OLE_LINK620"/>
      <w:bookmarkStart w:id="14" w:name="OLE_LINK621"/>
      <w:r w:rsidRPr="002215D5">
        <w:rPr>
          <w:rFonts w:ascii="Book Antiqua" w:eastAsia="Book Antiqua" w:hAnsi="Book Antiqua" w:cs="Book Antiqua"/>
          <w:color w:val="000000"/>
          <w:highlight w:val="yellow"/>
        </w:rPr>
        <w:t xml:space="preserve">Evaluating the accuracy of different respiratory specimens in the laboratory. </w:t>
      </w:r>
      <w:r w:rsidR="00F90D33" w:rsidRPr="002215D5">
        <w:rPr>
          <w:rFonts w:ascii="Book Antiqua" w:eastAsia="Book Antiqua" w:hAnsi="Book Antiqua" w:cs="Book Antiqua"/>
          <w:color w:val="000000"/>
          <w:highlight w:val="yellow"/>
        </w:rPr>
        <w:t xml:space="preserve">2020 Preprint. Available from: </w:t>
      </w:r>
      <w:r w:rsidR="006164A3" w:rsidRPr="002215D5">
        <w:rPr>
          <w:rFonts w:ascii="Book Antiqua" w:eastAsia="Book Antiqua" w:hAnsi="Book Antiqua" w:cs="Book Antiqua"/>
          <w:color w:val="000000"/>
          <w:highlight w:val="yellow"/>
        </w:rPr>
        <w:t>M</w:t>
      </w:r>
      <w:r w:rsidRPr="002215D5">
        <w:rPr>
          <w:rFonts w:ascii="Book Antiqua" w:eastAsia="Book Antiqua" w:hAnsi="Book Antiqua" w:cs="Book Antiqua"/>
          <w:color w:val="000000"/>
          <w:highlight w:val="yellow"/>
        </w:rPr>
        <w:t>edRxiv</w:t>
      </w:r>
      <w:bookmarkEnd w:id="13"/>
      <w:bookmarkEnd w:id="14"/>
      <w:r w:rsidR="006164A3" w:rsidRPr="002215D5">
        <w:rPr>
          <w:rFonts w:ascii="Book Antiqua" w:hAnsi="Book Antiqua" w:cs="Book Antiqua"/>
          <w:color w:val="000000"/>
          <w:highlight w:val="yellow"/>
          <w:lang w:eastAsia="zh-CN"/>
        </w:rPr>
        <w:t xml:space="preserve"> [DOI: 10.1101/2020.02.11.20021493]</w:t>
      </w:r>
    </w:p>
    <w:p w14:paraId="672C1DBE"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42 </w:t>
      </w:r>
      <w:r w:rsidRPr="002215D5">
        <w:rPr>
          <w:rFonts w:ascii="Book Antiqua" w:eastAsia="Book Antiqua" w:hAnsi="Book Antiqua" w:cs="Book Antiqua"/>
          <w:b/>
          <w:bCs/>
          <w:color w:val="000000"/>
        </w:rPr>
        <w:t>Zou L</w:t>
      </w:r>
      <w:r w:rsidRPr="002215D5">
        <w:rPr>
          <w:rFonts w:ascii="Book Antiqua" w:eastAsia="Book Antiqua" w:hAnsi="Book Antiqua" w:cs="Book Antiqua"/>
          <w:color w:val="000000"/>
        </w:rPr>
        <w:t xml:space="preserve">, Ruan F, Huang M, Liang L, Huang H, Hong Z, Yu J, Kang M, Song Y, Xia J, Guo Q, Song T, He J, Yen HL, Peiris M, Wu J. SARS-CoV-2 Viral Load in Upper Respiratory Specimens of Infected Patients. </w:t>
      </w:r>
      <w:r w:rsidRPr="002215D5">
        <w:rPr>
          <w:rFonts w:ascii="Book Antiqua" w:eastAsia="Book Antiqua" w:hAnsi="Book Antiqua" w:cs="Book Antiqua"/>
          <w:i/>
          <w:iCs/>
          <w:color w:val="000000"/>
        </w:rPr>
        <w:t>N Engl J Med</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382</w:t>
      </w:r>
      <w:r w:rsidRPr="002215D5">
        <w:rPr>
          <w:rFonts w:ascii="Book Antiqua" w:eastAsia="Book Antiqua" w:hAnsi="Book Antiqua" w:cs="Book Antiqua"/>
          <w:color w:val="000000"/>
        </w:rPr>
        <w:t>: 1177-1179 [PMID: 32074444 DOI: 10.1056/NEJMc2001737]</w:t>
      </w:r>
    </w:p>
    <w:p w14:paraId="227DF2F1"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43 </w:t>
      </w:r>
      <w:r w:rsidRPr="002215D5">
        <w:rPr>
          <w:rFonts w:ascii="Book Antiqua" w:eastAsia="Book Antiqua" w:hAnsi="Book Antiqua" w:cs="Book Antiqua"/>
          <w:b/>
          <w:bCs/>
          <w:color w:val="000000"/>
        </w:rPr>
        <w:t>Wölfel R</w:t>
      </w:r>
      <w:r w:rsidRPr="002215D5">
        <w:rPr>
          <w:rFonts w:ascii="Book Antiqua" w:eastAsia="Book Antiqua" w:hAnsi="Book Antiqua" w:cs="Book Antiqua"/>
          <w:color w:val="000000"/>
        </w:rPr>
        <w:t xml:space="preserve">, Corman VM, Guggemos W, Seilmaier M, Zange S, Müller MA, Niemeyer D, Jones TC, Vollmar P, Rothe C, Hoelscher M, Bleicker T, Brünink S, Schneider J, Ehmann R, Zwirglmaier K, Drosten C, Wendtner C. Virological assessment of hospitalized patients with COVID-2019. </w:t>
      </w:r>
      <w:r w:rsidRPr="002215D5">
        <w:rPr>
          <w:rFonts w:ascii="Book Antiqua" w:eastAsia="Book Antiqua" w:hAnsi="Book Antiqua" w:cs="Book Antiqua"/>
          <w:i/>
          <w:iCs/>
          <w:color w:val="000000"/>
        </w:rPr>
        <w:t>Nature</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581</w:t>
      </w:r>
      <w:r w:rsidRPr="002215D5">
        <w:rPr>
          <w:rFonts w:ascii="Book Antiqua" w:eastAsia="Book Antiqua" w:hAnsi="Book Antiqua" w:cs="Book Antiqua"/>
          <w:color w:val="000000"/>
        </w:rPr>
        <w:t>: 465-469 [PMID: 32235945 DOI: 10.1038/s41586-020-2196-x]</w:t>
      </w:r>
    </w:p>
    <w:p w14:paraId="54DDD720"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44 </w:t>
      </w:r>
      <w:r w:rsidRPr="002215D5">
        <w:rPr>
          <w:rFonts w:ascii="Book Antiqua" w:eastAsia="Book Antiqua" w:hAnsi="Book Antiqua" w:cs="Book Antiqua"/>
          <w:b/>
          <w:bCs/>
          <w:color w:val="000000"/>
        </w:rPr>
        <w:t>Szymczak WA</w:t>
      </w:r>
      <w:r w:rsidRPr="002215D5">
        <w:rPr>
          <w:rFonts w:ascii="Book Antiqua" w:eastAsia="Book Antiqua" w:hAnsi="Book Antiqua" w:cs="Book Antiqua"/>
          <w:color w:val="000000"/>
        </w:rPr>
        <w:t xml:space="preserve">, Goldstein DY, Orner EP, Fecher RA, Yokoda RT, Skalina KA, Narlieva M, Gendlina I, Fox AS. Utility of Stool PCR for the Diagnosis of COVID-19: Comparison of Two Commercial Platforms. </w:t>
      </w:r>
      <w:r w:rsidRPr="002215D5">
        <w:rPr>
          <w:rFonts w:ascii="Book Antiqua" w:eastAsia="Book Antiqua" w:hAnsi="Book Antiqua" w:cs="Book Antiqua"/>
          <w:i/>
          <w:iCs/>
          <w:color w:val="000000"/>
        </w:rPr>
        <w:t>J Clin Microbiol</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58</w:t>
      </w:r>
      <w:r w:rsidRPr="002215D5">
        <w:rPr>
          <w:rFonts w:ascii="Book Antiqua" w:eastAsia="Book Antiqua" w:hAnsi="Book Antiqua" w:cs="Book Antiqua"/>
          <w:color w:val="000000"/>
        </w:rPr>
        <w:t xml:space="preserve"> [PMID: 32611796 DOI: 10.1128/JCM.01369-20]</w:t>
      </w:r>
    </w:p>
    <w:p w14:paraId="5D92BCB7"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45 </w:t>
      </w:r>
      <w:r w:rsidRPr="002215D5">
        <w:rPr>
          <w:rFonts w:ascii="Book Antiqua" w:eastAsia="Book Antiqua" w:hAnsi="Book Antiqua" w:cs="Book Antiqua"/>
          <w:b/>
          <w:bCs/>
          <w:color w:val="000000"/>
        </w:rPr>
        <w:t>Wu Y</w:t>
      </w:r>
      <w:r w:rsidRPr="002215D5">
        <w:rPr>
          <w:rFonts w:ascii="Book Antiqua" w:eastAsia="Book Antiqua" w:hAnsi="Book Antiqua" w:cs="Book Antiqua"/>
          <w:color w:val="000000"/>
        </w:rPr>
        <w:t xml:space="preserve">, Guo C, Tang L, Hong Z, Zhou J, Dong X, Yin H, Xiao Q, Tang Y, Qu X, Kuang L, Fang X, Mishra N, Lu J, Shan H, Jiang G, Huang X. Prolonged presence of SARS-CoV-2 viral RNA in faecal samples. </w:t>
      </w:r>
      <w:r w:rsidRPr="002215D5">
        <w:rPr>
          <w:rFonts w:ascii="Book Antiqua" w:eastAsia="Book Antiqua" w:hAnsi="Book Antiqua" w:cs="Book Antiqua"/>
          <w:i/>
          <w:iCs/>
          <w:color w:val="000000"/>
        </w:rPr>
        <w:t>Lancet Gastroenterol Hepatol</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5</w:t>
      </w:r>
      <w:r w:rsidRPr="002215D5">
        <w:rPr>
          <w:rFonts w:ascii="Book Antiqua" w:eastAsia="Book Antiqua" w:hAnsi="Book Antiqua" w:cs="Book Antiqua"/>
          <w:color w:val="000000"/>
        </w:rPr>
        <w:t>: 434-435 [PMID: 32199469 DOI: 10.1016/S2468-1253(20)30083-2]</w:t>
      </w:r>
    </w:p>
    <w:p w14:paraId="615EAD5E"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46 </w:t>
      </w:r>
      <w:r w:rsidRPr="002215D5">
        <w:rPr>
          <w:rFonts w:ascii="Book Antiqua" w:eastAsia="Book Antiqua" w:hAnsi="Book Antiqua" w:cs="Book Antiqua"/>
          <w:b/>
          <w:bCs/>
          <w:color w:val="000000"/>
        </w:rPr>
        <w:t>Zheng S</w:t>
      </w:r>
      <w:r w:rsidRPr="002215D5">
        <w:rPr>
          <w:rFonts w:ascii="Book Antiqua" w:eastAsia="Book Antiqua" w:hAnsi="Book Antiqua" w:cs="Book Antiqua"/>
          <w:color w:val="000000"/>
        </w:rPr>
        <w:t xml:space="preserve">, Fan J, Yu F, Feng B, Lou B, Zou Q, Xie G, Lin S, Wang R, Yang X, Chen W, Wang Q, Zhang D, Liu Y, Gong R, Ma Z, Lu S, Xiao Y, Gu Y, Zhang J, Yao H, Xu K, Lu X, Wei G, Zhou J, Fang Q, Cai H, Qiu Y, Sheng J, Chen Y, Liang T. Viral load dynamics and disease severity in patients infected with SARS-CoV-2 in Zhejiang province, China, January-March 2020: retrospective cohort study. </w:t>
      </w:r>
      <w:r w:rsidRPr="002215D5">
        <w:rPr>
          <w:rFonts w:ascii="Book Antiqua" w:eastAsia="Book Antiqua" w:hAnsi="Book Antiqua" w:cs="Book Antiqua"/>
          <w:i/>
          <w:iCs/>
          <w:color w:val="000000"/>
        </w:rPr>
        <w:t>BMJ</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369</w:t>
      </w:r>
      <w:r w:rsidRPr="002215D5">
        <w:rPr>
          <w:rFonts w:ascii="Book Antiqua" w:eastAsia="Book Antiqua" w:hAnsi="Book Antiqua" w:cs="Book Antiqua"/>
          <w:color w:val="000000"/>
        </w:rPr>
        <w:t>: m1443 [PMID: 32317267 DOI: 10.1136/bmj.m1443]</w:t>
      </w:r>
    </w:p>
    <w:p w14:paraId="082DD6C7"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lastRenderedPageBreak/>
        <w:t xml:space="preserve">47 </w:t>
      </w:r>
      <w:r w:rsidRPr="002215D5">
        <w:rPr>
          <w:rFonts w:ascii="Book Antiqua" w:eastAsia="Book Antiqua" w:hAnsi="Book Antiqua" w:cs="Book Antiqua"/>
          <w:b/>
          <w:bCs/>
          <w:color w:val="000000"/>
        </w:rPr>
        <w:t>Wang W</w:t>
      </w:r>
      <w:r w:rsidRPr="002215D5">
        <w:rPr>
          <w:rFonts w:ascii="Book Antiqua" w:eastAsia="Book Antiqua" w:hAnsi="Book Antiqua" w:cs="Book Antiqua"/>
          <w:color w:val="000000"/>
        </w:rPr>
        <w:t xml:space="preserve">, Xu Y, Gao R, Lu R, Han K, Wu G, Tan W. Detection of SARS-CoV-2 in Different Types of Clinical Specimens. </w:t>
      </w:r>
      <w:r w:rsidRPr="002215D5">
        <w:rPr>
          <w:rFonts w:ascii="Book Antiqua" w:eastAsia="Book Antiqua" w:hAnsi="Book Antiqua" w:cs="Book Antiqua"/>
          <w:i/>
          <w:iCs/>
          <w:color w:val="000000"/>
        </w:rPr>
        <w:t>JAMA</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323</w:t>
      </w:r>
      <w:r w:rsidRPr="002215D5">
        <w:rPr>
          <w:rFonts w:ascii="Book Antiqua" w:eastAsia="Book Antiqua" w:hAnsi="Book Antiqua" w:cs="Book Antiqua"/>
          <w:color w:val="000000"/>
        </w:rPr>
        <w:t>: 1843-1844 [PMID: 32159775 DOI: 10.1001/jama.2020.3786]</w:t>
      </w:r>
    </w:p>
    <w:p w14:paraId="61954BC9"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48 </w:t>
      </w:r>
      <w:r w:rsidRPr="002215D5">
        <w:rPr>
          <w:rFonts w:ascii="Book Antiqua" w:eastAsia="Book Antiqua" w:hAnsi="Book Antiqua" w:cs="Book Antiqua"/>
          <w:b/>
          <w:bCs/>
          <w:color w:val="000000"/>
        </w:rPr>
        <w:t>Cheung KS</w:t>
      </w:r>
      <w:r w:rsidRPr="002215D5">
        <w:rPr>
          <w:rFonts w:ascii="Book Antiqua" w:eastAsia="Book Antiqua" w:hAnsi="Book Antiqua" w:cs="Book Antiqua"/>
          <w:color w:val="000000"/>
        </w:rPr>
        <w:t xml:space="preserve">, Hung IFN, Chan PPY, Lung KC, Tso E, Liu R, Ng YY, Chu MY, Chung TWH, Tam AR, Yip CCY, Leung KH, Fung AY, Zhang RR, Lin Y, Cheng HM, Zhang AJX, To KKW, Chan KH, Yuen KY, Leung WK. Gastrointestinal Manifestations of SARS-CoV-2 Infection and Virus Load in Fecal Samples From a Hong Kong Cohort: Systematic Review and Meta-analysis. </w:t>
      </w:r>
      <w:r w:rsidRPr="002215D5">
        <w:rPr>
          <w:rFonts w:ascii="Book Antiqua" w:eastAsia="Book Antiqua" w:hAnsi="Book Antiqua" w:cs="Book Antiqua"/>
          <w:i/>
          <w:iCs/>
          <w:color w:val="000000"/>
        </w:rPr>
        <w:t>Gastroenterology</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159</w:t>
      </w:r>
      <w:r w:rsidRPr="002215D5">
        <w:rPr>
          <w:rFonts w:ascii="Book Antiqua" w:eastAsia="Book Antiqua" w:hAnsi="Book Antiqua" w:cs="Book Antiqua"/>
          <w:color w:val="000000"/>
        </w:rPr>
        <w:t>: 81-95 [PMID: 32251668 DOI: 10.1053/j.gastro.2020.03.065]</w:t>
      </w:r>
    </w:p>
    <w:p w14:paraId="37894067"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49 </w:t>
      </w:r>
      <w:r w:rsidRPr="002215D5">
        <w:rPr>
          <w:rFonts w:ascii="Book Antiqua" w:eastAsia="Book Antiqua" w:hAnsi="Book Antiqua" w:cs="Book Antiqua"/>
          <w:b/>
          <w:bCs/>
          <w:color w:val="000000"/>
        </w:rPr>
        <w:t>Han C</w:t>
      </w:r>
      <w:r w:rsidRPr="002215D5">
        <w:rPr>
          <w:rFonts w:ascii="Book Antiqua" w:eastAsia="Book Antiqua" w:hAnsi="Book Antiqua" w:cs="Book Antiqua"/>
          <w:color w:val="000000"/>
        </w:rPr>
        <w:t xml:space="preserve">, Duan C, Zhang S, Spiegel B, Shi H, Wang W, Zhang L, Lin R, Liu J, Ding Z, Hou X. Digestive Symptoms in COVID-19 Patients With Mild Disease Severity: Clinical Presentation, Stool Viral RNA Testing, and Outcomes. </w:t>
      </w:r>
      <w:r w:rsidRPr="002215D5">
        <w:rPr>
          <w:rFonts w:ascii="Book Antiqua" w:eastAsia="Book Antiqua" w:hAnsi="Book Antiqua" w:cs="Book Antiqua"/>
          <w:i/>
          <w:iCs/>
          <w:color w:val="000000"/>
        </w:rPr>
        <w:t>Am J Gastroenterol</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115</w:t>
      </w:r>
      <w:r w:rsidRPr="002215D5">
        <w:rPr>
          <w:rFonts w:ascii="Book Antiqua" w:eastAsia="Book Antiqua" w:hAnsi="Book Antiqua" w:cs="Book Antiqua"/>
          <w:color w:val="000000"/>
        </w:rPr>
        <w:t>: 916-923 [PMID: 32301761 DOI: 10.14309/ajg.0000000000000664]</w:t>
      </w:r>
    </w:p>
    <w:p w14:paraId="277875DA"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50 </w:t>
      </w:r>
      <w:r w:rsidRPr="002215D5">
        <w:rPr>
          <w:rFonts w:ascii="Book Antiqua" w:eastAsia="Book Antiqua" w:hAnsi="Book Antiqua" w:cs="Book Antiqua"/>
          <w:b/>
          <w:bCs/>
          <w:color w:val="000000"/>
        </w:rPr>
        <w:t>Chen L</w:t>
      </w:r>
      <w:r w:rsidRPr="002215D5">
        <w:rPr>
          <w:rFonts w:ascii="Book Antiqua" w:eastAsia="Book Antiqua" w:hAnsi="Book Antiqua" w:cs="Book Antiqua"/>
          <w:color w:val="000000"/>
        </w:rPr>
        <w:t xml:space="preserve">, Lou J, Bai Y, Wang M. COVID-19 Disease With Positive Fecal and Negative Pharyngeal and Sputum Viral Tests. </w:t>
      </w:r>
      <w:r w:rsidRPr="002215D5">
        <w:rPr>
          <w:rFonts w:ascii="Book Antiqua" w:eastAsia="Book Antiqua" w:hAnsi="Book Antiqua" w:cs="Book Antiqua"/>
          <w:i/>
          <w:iCs/>
          <w:color w:val="000000"/>
        </w:rPr>
        <w:t>Am J Gastroenterol</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115</w:t>
      </w:r>
      <w:r w:rsidRPr="002215D5">
        <w:rPr>
          <w:rFonts w:ascii="Book Antiqua" w:eastAsia="Book Antiqua" w:hAnsi="Book Antiqua" w:cs="Book Antiqua"/>
          <w:color w:val="000000"/>
        </w:rPr>
        <w:t>: 790 [PMID: 32205644 DOI: 10.14309/ajg.0000000000000610]</w:t>
      </w:r>
    </w:p>
    <w:p w14:paraId="534DFC25"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51 </w:t>
      </w:r>
      <w:r w:rsidRPr="002215D5">
        <w:rPr>
          <w:rFonts w:ascii="Book Antiqua" w:eastAsia="Book Antiqua" w:hAnsi="Book Antiqua" w:cs="Book Antiqua"/>
          <w:b/>
          <w:bCs/>
          <w:color w:val="000000"/>
        </w:rPr>
        <w:t>Derikx LAAP</w:t>
      </w:r>
      <w:r w:rsidRPr="002215D5">
        <w:rPr>
          <w:rFonts w:ascii="Book Antiqua" w:eastAsia="Book Antiqua" w:hAnsi="Book Antiqua" w:cs="Book Antiqua"/>
          <w:color w:val="000000"/>
        </w:rPr>
        <w:t xml:space="preserve">, Lantinga MA, de Jong DJ, van Dop WA, Creemers RH, Römkens TEH, Jansen JM, Mahmmod N, West RL, Tan ACITL, Bodelier AGL, Gorter MHP, Boekema PJ, Halet ERC, Horjus CS, van Dijk MA, Hirdes MMC, Epping Stippel LSM, Jharap B, Lutgens MWMD, Russel MG, Gilissen LPL, Nauta S, van Bodegraven AA, Hoentjen F. Clinical Outcomes of Covid-19 in Patients With Inflammatory Bowel Disease: A Nationwide Cohort Study. </w:t>
      </w:r>
      <w:r w:rsidRPr="002215D5">
        <w:rPr>
          <w:rFonts w:ascii="Book Antiqua" w:eastAsia="Book Antiqua" w:hAnsi="Book Antiqua" w:cs="Book Antiqua"/>
          <w:i/>
          <w:iCs/>
          <w:color w:val="000000"/>
        </w:rPr>
        <w:t>J Crohns Colitis</w:t>
      </w:r>
      <w:r w:rsidRPr="002215D5">
        <w:rPr>
          <w:rFonts w:ascii="Book Antiqua" w:eastAsia="Book Antiqua" w:hAnsi="Book Antiqua" w:cs="Book Antiqua"/>
          <w:color w:val="000000"/>
        </w:rPr>
        <w:t xml:space="preserve"> 2021; </w:t>
      </w:r>
      <w:r w:rsidRPr="002215D5">
        <w:rPr>
          <w:rFonts w:ascii="Book Antiqua" w:eastAsia="Book Antiqua" w:hAnsi="Book Antiqua" w:cs="Book Antiqua"/>
          <w:b/>
          <w:bCs/>
          <w:color w:val="000000"/>
        </w:rPr>
        <w:t>15</w:t>
      </w:r>
      <w:r w:rsidRPr="002215D5">
        <w:rPr>
          <w:rFonts w:ascii="Book Antiqua" w:eastAsia="Book Antiqua" w:hAnsi="Book Antiqua" w:cs="Book Antiqua"/>
          <w:color w:val="000000"/>
        </w:rPr>
        <w:t>: 529-539 [PMID: 33079178 DOI: 10.1093/ecco-jcc/jjaa215]</w:t>
      </w:r>
    </w:p>
    <w:p w14:paraId="71CEEA02"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52 </w:t>
      </w:r>
      <w:r w:rsidRPr="002215D5">
        <w:rPr>
          <w:rFonts w:ascii="Book Antiqua" w:eastAsia="Book Antiqua" w:hAnsi="Book Antiqua" w:cs="Book Antiqua"/>
          <w:b/>
          <w:bCs/>
          <w:color w:val="000000"/>
        </w:rPr>
        <w:t>Zuo T</w:t>
      </w:r>
      <w:r w:rsidRPr="002215D5">
        <w:rPr>
          <w:rFonts w:ascii="Book Antiqua" w:eastAsia="Book Antiqua" w:hAnsi="Book Antiqua" w:cs="Book Antiqua"/>
          <w:color w:val="000000"/>
        </w:rPr>
        <w:t xml:space="preserve">, Zhang F, Lui GCY, Yeoh YK, Li AYL, Zhan H, Wan Y, Chung ACK, Cheung CP, Chen N, Lai CKC, Chen Z, Tso EYK, Fung KSC, Chan V, Ling L, Joynt G, Hui DSC, Chan FKL, Chan PKS, Ng SC. Alterations in Gut Microbiota of Patients With COVID-19 During Time of Hospitalization. </w:t>
      </w:r>
      <w:r w:rsidRPr="002215D5">
        <w:rPr>
          <w:rFonts w:ascii="Book Antiqua" w:eastAsia="Book Antiqua" w:hAnsi="Book Antiqua" w:cs="Book Antiqua"/>
          <w:i/>
          <w:iCs/>
          <w:color w:val="000000"/>
        </w:rPr>
        <w:t>Gastroenterology</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159</w:t>
      </w:r>
      <w:r w:rsidRPr="002215D5">
        <w:rPr>
          <w:rFonts w:ascii="Book Antiqua" w:eastAsia="Book Antiqua" w:hAnsi="Book Antiqua" w:cs="Book Antiqua"/>
          <w:color w:val="000000"/>
        </w:rPr>
        <w:t>: 944-955.e8 [PMID: 32442562 DOI: 10.1053/j.gastro.2020.05.048]</w:t>
      </w:r>
    </w:p>
    <w:p w14:paraId="29F45560"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53 </w:t>
      </w:r>
      <w:r w:rsidRPr="002215D5">
        <w:rPr>
          <w:rFonts w:ascii="Book Antiqua" w:eastAsia="Book Antiqua" w:hAnsi="Book Antiqua" w:cs="Book Antiqua"/>
          <w:b/>
          <w:bCs/>
          <w:color w:val="000000"/>
        </w:rPr>
        <w:t>Yeoh YK</w:t>
      </w:r>
      <w:r w:rsidRPr="002215D5">
        <w:rPr>
          <w:rFonts w:ascii="Book Antiqua" w:eastAsia="Book Antiqua" w:hAnsi="Book Antiqua" w:cs="Book Antiqua"/>
          <w:color w:val="000000"/>
        </w:rPr>
        <w:t xml:space="preserve">, Zuo T, Lui GC, Zhang F, Liu Q, Li AY, Chung AC, Cheung CP, Tso EY, Fung KS, Chan V, Ling L, Joynt G, Hui DS, Chow KM, Ng SSS, Li TC, Ng RW, Yip TC, Wong </w:t>
      </w:r>
      <w:r w:rsidRPr="002215D5">
        <w:rPr>
          <w:rFonts w:ascii="Book Antiqua" w:eastAsia="Book Antiqua" w:hAnsi="Book Antiqua" w:cs="Book Antiqua"/>
          <w:color w:val="000000"/>
        </w:rPr>
        <w:lastRenderedPageBreak/>
        <w:t xml:space="preserve">GL, Chan FK, Wong CK, Chan PK, Ng SC. Gut microbiota composition reflects disease severity and dysfunctional immune responses in patients with COVID-19. </w:t>
      </w:r>
      <w:r w:rsidRPr="002215D5">
        <w:rPr>
          <w:rFonts w:ascii="Book Antiqua" w:eastAsia="Book Antiqua" w:hAnsi="Book Antiqua" w:cs="Book Antiqua"/>
          <w:i/>
          <w:iCs/>
          <w:color w:val="000000"/>
        </w:rPr>
        <w:t>Gut</w:t>
      </w:r>
      <w:r w:rsidRPr="002215D5">
        <w:rPr>
          <w:rFonts w:ascii="Book Antiqua" w:eastAsia="Book Antiqua" w:hAnsi="Book Antiqua" w:cs="Book Antiqua"/>
          <w:color w:val="000000"/>
        </w:rPr>
        <w:t xml:space="preserve"> 2021; </w:t>
      </w:r>
      <w:r w:rsidRPr="002215D5">
        <w:rPr>
          <w:rFonts w:ascii="Book Antiqua" w:eastAsia="Book Antiqua" w:hAnsi="Book Antiqua" w:cs="Book Antiqua"/>
          <w:b/>
          <w:bCs/>
          <w:color w:val="000000"/>
        </w:rPr>
        <w:t>70</w:t>
      </w:r>
      <w:r w:rsidRPr="002215D5">
        <w:rPr>
          <w:rFonts w:ascii="Book Antiqua" w:eastAsia="Book Antiqua" w:hAnsi="Book Antiqua" w:cs="Book Antiqua"/>
          <w:color w:val="000000"/>
        </w:rPr>
        <w:t>: 698-706 [PMID: 33431578 DOI: 10.1136/gutjnl-2020-323020]</w:t>
      </w:r>
    </w:p>
    <w:p w14:paraId="1D7C0717" w14:textId="2E20EDB6" w:rsidR="00A77B3E" w:rsidRPr="002215D5" w:rsidRDefault="006164A3" w:rsidP="002215D5">
      <w:pPr>
        <w:spacing w:line="360" w:lineRule="auto"/>
        <w:jc w:val="both"/>
        <w:rPr>
          <w:rFonts w:ascii="Book Antiqua" w:hAnsi="Book Antiqua"/>
          <w:lang w:eastAsia="zh-CN"/>
        </w:rPr>
      </w:pPr>
      <w:r w:rsidRPr="002215D5">
        <w:rPr>
          <w:rFonts w:ascii="Book Antiqua" w:eastAsia="Book Antiqua" w:hAnsi="Book Antiqua" w:cs="Book Antiqua"/>
          <w:color w:val="000000"/>
          <w:highlight w:val="yellow"/>
        </w:rPr>
        <w:t xml:space="preserve">54 </w:t>
      </w:r>
      <w:r w:rsidR="00BF1368" w:rsidRPr="002215D5">
        <w:rPr>
          <w:rFonts w:ascii="Book Antiqua" w:eastAsia="Book Antiqua" w:hAnsi="Book Antiqua" w:cs="Book Antiqua"/>
          <w:b/>
          <w:bCs/>
          <w:color w:val="000000"/>
          <w:highlight w:val="yellow"/>
        </w:rPr>
        <w:t>SECURE-IBD Database</w:t>
      </w:r>
      <w:r w:rsidR="00BF1368" w:rsidRPr="002215D5">
        <w:rPr>
          <w:rFonts w:ascii="Book Antiqua" w:eastAsia="Book Antiqua" w:hAnsi="Book Antiqua" w:cs="Book Antiqua"/>
          <w:color w:val="000000"/>
          <w:highlight w:val="yellow"/>
        </w:rPr>
        <w:t xml:space="preserve">. </w:t>
      </w:r>
      <w:r w:rsidR="00F90D33" w:rsidRPr="002215D5">
        <w:rPr>
          <w:rFonts w:ascii="Book Antiqua" w:eastAsia="Book Antiqua" w:hAnsi="Book Antiqua" w:cs="Book Antiqua"/>
          <w:color w:val="000000"/>
        </w:rPr>
        <w:t xml:space="preserve">Coronavirus and IBD Reporting Database. </w:t>
      </w:r>
      <w:r w:rsidR="00BF1368" w:rsidRPr="002215D5">
        <w:rPr>
          <w:rFonts w:ascii="Book Antiqua" w:eastAsia="Book Antiqua" w:hAnsi="Book Antiqua" w:cs="Book Antiqua"/>
          <w:color w:val="000000"/>
          <w:highlight w:val="yellow"/>
        </w:rPr>
        <w:t xml:space="preserve">Available </w:t>
      </w:r>
      <w:r w:rsidRPr="002215D5">
        <w:rPr>
          <w:rFonts w:ascii="Book Antiqua" w:hAnsi="Book Antiqua" w:cs="Book Antiqua"/>
          <w:color w:val="000000"/>
          <w:highlight w:val="yellow"/>
          <w:lang w:eastAsia="zh-CN"/>
        </w:rPr>
        <w:t>from</w:t>
      </w:r>
      <w:r w:rsidR="00BF1368" w:rsidRPr="002215D5">
        <w:rPr>
          <w:rFonts w:ascii="Book Antiqua" w:eastAsia="Book Antiqua" w:hAnsi="Book Antiqua" w:cs="Book Antiqua"/>
          <w:color w:val="000000"/>
          <w:highlight w:val="yellow"/>
        </w:rPr>
        <w:t xml:space="preserve">: </w:t>
      </w:r>
      <w:bookmarkStart w:id="15" w:name="OLE_LINK630"/>
      <w:r w:rsidR="00BF1368" w:rsidRPr="002215D5">
        <w:rPr>
          <w:rFonts w:ascii="Book Antiqua" w:eastAsia="Book Antiqua" w:hAnsi="Book Antiqua" w:cs="Book Antiqua"/>
          <w:color w:val="000000"/>
          <w:highlight w:val="yellow"/>
        </w:rPr>
        <w:t>https://covidibd.org/</w:t>
      </w:r>
      <w:bookmarkEnd w:id="15"/>
    </w:p>
    <w:p w14:paraId="3A28AE36"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55 </w:t>
      </w:r>
      <w:r w:rsidRPr="002215D5">
        <w:rPr>
          <w:rFonts w:ascii="Book Antiqua" w:eastAsia="Book Antiqua" w:hAnsi="Book Antiqua" w:cs="Book Antiqua"/>
          <w:b/>
          <w:bCs/>
          <w:color w:val="000000"/>
        </w:rPr>
        <w:t>Ungaro RC</w:t>
      </w:r>
      <w:r w:rsidRPr="002215D5">
        <w:rPr>
          <w:rFonts w:ascii="Book Antiqua" w:eastAsia="Book Antiqua" w:hAnsi="Book Antiqua" w:cs="Book Antiqua"/>
          <w:color w:val="000000"/>
        </w:rPr>
        <w:t xml:space="preserve">, Kappelman MD, Rubin DT, Colombel JF. COVID-19 and Inflammatory Bowel Disease: Lessons Learned, Practical Recommendations, and Unanswered Questions. </w:t>
      </w:r>
      <w:r w:rsidRPr="002215D5">
        <w:rPr>
          <w:rFonts w:ascii="Book Antiqua" w:eastAsia="Book Antiqua" w:hAnsi="Book Antiqua" w:cs="Book Antiqua"/>
          <w:i/>
          <w:iCs/>
          <w:color w:val="000000"/>
        </w:rPr>
        <w:t>Gastroenterology</w:t>
      </w:r>
      <w:r w:rsidRPr="002215D5">
        <w:rPr>
          <w:rFonts w:ascii="Book Antiqua" w:eastAsia="Book Antiqua" w:hAnsi="Book Antiqua" w:cs="Book Antiqua"/>
          <w:color w:val="000000"/>
        </w:rPr>
        <w:t xml:space="preserve"> 2021; </w:t>
      </w:r>
      <w:r w:rsidRPr="002215D5">
        <w:rPr>
          <w:rFonts w:ascii="Book Antiqua" w:eastAsia="Book Antiqua" w:hAnsi="Book Antiqua" w:cs="Book Antiqua"/>
          <w:b/>
          <w:bCs/>
          <w:color w:val="000000"/>
        </w:rPr>
        <w:t>160</w:t>
      </w:r>
      <w:r w:rsidRPr="002215D5">
        <w:rPr>
          <w:rFonts w:ascii="Book Antiqua" w:eastAsia="Book Antiqua" w:hAnsi="Book Antiqua" w:cs="Book Antiqua"/>
          <w:color w:val="000000"/>
        </w:rPr>
        <w:t>: 1447-1451 [PMID: 33387525 DOI: 10.1053/j.gastro.2020.12.042]</w:t>
      </w:r>
    </w:p>
    <w:p w14:paraId="45B01194"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56 </w:t>
      </w:r>
      <w:r w:rsidRPr="002215D5">
        <w:rPr>
          <w:rFonts w:ascii="Book Antiqua" w:eastAsia="Book Antiqua" w:hAnsi="Book Antiqua" w:cs="Book Antiqua"/>
          <w:b/>
          <w:bCs/>
          <w:color w:val="000000"/>
        </w:rPr>
        <w:t>Bezzio C</w:t>
      </w:r>
      <w:r w:rsidRPr="002215D5">
        <w:rPr>
          <w:rFonts w:ascii="Book Antiqua" w:eastAsia="Book Antiqua" w:hAnsi="Book Antiqua" w:cs="Book Antiqua"/>
          <w:color w:val="000000"/>
        </w:rPr>
        <w:t xml:space="preserve">, Saibeni S, Variola A, Allocca M, Massari A, Gerardi V, Casini V, Ricci C, Zingone F, Amato A, Caprioli F, Lenti MV, Viganò C, Ascolani M, Bossa F, Castiglione F, Cortelezzi C, Grossi L, Milla M, Morganti D, Pastorelli L, Ribaldone DG, Sartini A, Soriano A, Manes G, Danese S, Fantini MC, Armuzzi A, Daperno M, Fiorino G; Italian Group for the Study of Inflammatory Bowel Disease (IG-IBD). Outcomes of COVID-19 in 79 patients with IBD in Italy: an IG-IBD study. </w:t>
      </w:r>
      <w:r w:rsidRPr="002215D5">
        <w:rPr>
          <w:rFonts w:ascii="Book Antiqua" w:eastAsia="Book Antiqua" w:hAnsi="Book Antiqua" w:cs="Book Antiqua"/>
          <w:i/>
          <w:iCs/>
          <w:color w:val="000000"/>
        </w:rPr>
        <w:t>Gut</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69</w:t>
      </w:r>
      <w:r w:rsidRPr="002215D5">
        <w:rPr>
          <w:rFonts w:ascii="Book Antiqua" w:eastAsia="Book Antiqua" w:hAnsi="Book Antiqua" w:cs="Book Antiqua"/>
          <w:color w:val="000000"/>
        </w:rPr>
        <w:t>: 1213-1217 [PMID: 32354990 DOI: 10.1136/gutjnl-2020-321411]</w:t>
      </w:r>
    </w:p>
    <w:p w14:paraId="0E9F2AF1"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57 </w:t>
      </w:r>
      <w:r w:rsidRPr="002215D5">
        <w:rPr>
          <w:rFonts w:ascii="Book Antiqua" w:eastAsia="Book Antiqua" w:hAnsi="Book Antiqua" w:cs="Book Antiqua"/>
          <w:b/>
          <w:bCs/>
          <w:color w:val="000000"/>
        </w:rPr>
        <w:t>Brenner EJ</w:t>
      </w:r>
      <w:r w:rsidRPr="002215D5">
        <w:rPr>
          <w:rFonts w:ascii="Book Antiqua" w:eastAsia="Book Antiqua" w:hAnsi="Book Antiqua" w:cs="Book Antiqua"/>
          <w:color w:val="000000"/>
        </w:rPr>
        <w:t xml:space="preserve">, Ungaro RC, Gearry RB, Kaplan GG, Kissous-Hunt M, Lewis JD, Ng SC, Rahier JF, Reinisch W, Ruemmele FM, Steinwurz F, Underwood FE, Zhang X, Colombel JF, Kappelman MD. Corticosteroids, But Not TNF Antagonists, Are Associated With Adverse COVID-19 Outcomes in Patients With Inflammatory Bowel Diseases: Results From an International Registry. </w:t>
      </w:r>
      <w:r w:rsidRPr="002215D5">
        <w:rPr>
          <w:rFonts w:ascii="Book Antiqua" w:eastAsia="Book Antiqua" w:hAnsi="Book Antiqua" w:cs="Book Antiqua"/>
          <w:i/>
          <w:iCs/>
          <w:color w:val="000000"/>
        </w:rPr>
        <w:t>Gastroenterology</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159</w:t>
      </w:r>
      <w:r w:rsidRPr="002215D5">
        <w:rPr>
          <w:rFonts w:ascii="Book Antiqua" w:eastAsia="Book Antiqua" w:hAnsi="Book Antiqua" w:cs="Book Antiqua"/>
          <w:color w:val="000000"/>
        </w:rPr>
        <w:t>: 481-491.e3 [PMID: 32425234 DOI: 10.1053/j.gastro.2020.05.032]</w:t>
      </w:r>
    </w:p>
    <w:p w14:paraId="0B3F20AB"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58 </w:t>
      </w:r>
      <w:r w:rsidRPr="002215D5">
        <w:rPr>
          <w:rFonts w:ascii="Book Antiqua" w:eastAsia="Book Antiqua" w:hAnsi="Book Antiqua" w:cs="Book Antiqua"/>
          <w:b/>
          <w:bCs/>
          <w:color w:val="000000"/>
        </w:rPr>
        <w:t>Gianfrancesco M</w:t>
      </w:r>
      <w:r w:rsidRPr="002215D5">
        <w:rPr>
          <w:rFonts w:ascii="Book Antiqua" w:eastAsia="Book Antiqua" w:hAnsi="Book Antiqua" w:cs="Book Antiqua"/>
          <w:color w:val="000000"/>
        </w:rPr>
        <w:t xml:space="preserve">, Hyrich KL, Al-Adely S, Carmona L, Danila MI, Gossec L, Izadi Z, Jacobsohn L, Katz P, Lawson-Tovey S, Mateus EF, Rush S, Schmajuk G, Simard J, Strangfeld A, Trupin L, Wysham KD, Bhana S, Costello W, Grainger R, Hausmann JS, Liew JW, Sirotich E, Sufka P, Wallace ZS, Yazdany J, Machado PM, Robinson PC; COVID-19 Global Rheumatology Alliance. Characteristics associated with hospitalisation for COVID-19 in people with rheumatic disease: data from the COVID-19 Global Rheumatology Alliance physician-reported registry. </w:t>
      </w:r>
      <w:r w:rsidRPr="002215D5">
        <w:rPr>
          <w:rFonts w:ascii="Book Antiqua" w:eastAsia="Book Antiqua" w:hAnsi="Book Antiqua" w:cs="Book Antiqua"/>
          <w:i/>
          <w:iCs/>
          <w:color w:val="000000"/>
        </w:rPr>
        <w:t>Ann Rheum Dis</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79</w:t>
      </w:r>
      <w:r w:rsidRPr="002215D5">
        <w:rPr>
          <w:rFonts w:ascii="Book Antiqua" w:eastAsia="Book Antiqua" w:hAnsi="Book Antiqua" w:cs="Book Antiqua"/>
          <w:color w:val="000000"/>
        </w:rPr>
        <w:t>: 859-866 [PMID: 32471903 DOI: 10.1136/annrheumdis-2020-217871]</w:t>
      </w:r>
    </w:p>
    <w:p w14:paraId="0FD4EDAE"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lastRenderedPageBreak/>
        <w:t xml:space="preserve">59 </w:t>
      </w:r>
      <w:r w:rsidRPr="002215D5">
        <w:rPr>
          <w:rFonts w:ascii="Book Antiqua" w:eastAsia="Book Antiqua" w:hAnsi="Book Antiqua" w:cs="Book Antiqua"/>
          <w:b/>
          <w:bCs/>
          <w:color w:val="000000"/>
        </w:rPr>
        <w:t>Coperchini F</w:t>
      </w:r>
      <w:r w:rsidRPr="002215D5">
        <w:rPr>
          <w:rFonts w:ascii="Book Antiqua" w:eastAsia="Book Antiqua" w:hAnsi="Book Antiqua" w:cs="Book Antiqua"/>
          <w:color w:val="000000"/>
        </w:rPr>
        <w:t xml:space="preserve">, Chiovato L, Croce L, Magri F, Rotondi M. The cytokine storm in COVID-19: An overview of the involvement of the chemokine/chemokine-receptor system. </w:t>
      </w:r>
      <w:r w:rsidRPr="002215D5">
        <w:rPr>
          <w:rFonts w:ascii="Book Antiqua" w:eastAsia="Book Antiqua" w:hAnsi="Book Antiqua" w:cs="Book Antiqua"/>
          <w:i/>
          <w:iCs/>
          <w:color w:val="000000"/>
        </w:rPr>
        <w:t>Cytokine Growth Factor Rev</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53</w:t>
      </w:r>
      <w:r w:rsidRPr="002215D5">
        <w:rPr>
          <w:rFonts w:ascii="Book Antiqua" w:eastAsia="Book Antiqua" w:hAnsi="Book Antiqua" w:cs="Book Antiqua"/>
          <w:color w:val="000000"/>
        </w:rPr>
        <w:t>: 25-32 [PMID: 32446778 DOI: 10.1016/j.cytogfr.2020.05.003]</w:t>
      </w:r>
    </w:p>
    <w:p w14:paraId="76AEF078"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60 </w:t>
      </w:r>
      <w:r w:rsidRPr="002215D5">
        <w:rPr>
          <w:rFonts w:ascii="Book Antiqua" w:eastAsia="Book Antiqua" w:hAnsi="Book Antiqua" w:cs="Book Antiqua"/>
          <w:b/>
          <w:bCs/>
          <w:color w:val="000000"/>
        </w:rPr>
        <w:t>RECOVERY Collaborative Group</w:t>
      </w:r>
      <w:r w:rsidRPr="002215D5">
        <w:rPr>
          <w:rFonts w:ascii="Book Antiqua" w:eastAsia="Book Antiqua" w:hAnsi="Book Antiqua" w:cs="Book Antiqua"/>
          <w:color w:val="000000"/>
        </w:rPr>
        <w:t xml:space="preserve">, Horby P, Lim WS, Emberson JR, Mafham M, Bell JL, Linsell L, Staplin N, Brightling C, Ustianowski A, Elmahi E, Prudon B, Green C, Felton T, Chadwick D, Rege K, Fegan C, Chappell LC, Faust SN, Jaki T, Jeffery K, Montgomery A, Rowan K, Juszczak E, Baillie JK, Haynes R, Landray MJ. Dexamethasone in Hospitalized Patients with Covid-19. </w:t>
      </w:r>
      <w:r w:rsidRPr="002215D5">
        <w:rPr>
          <w:rFonts w:ascii="Book Antiqua" w:eastAsia="Book Antiqua" w:hAnsi="Book Antiqua" w:cs="Book Antiqua"/>
          <w:i/>
          <w:iCs/>
          <w:color w:val="000000"/>
        </w:rPr>
        <w:t>N Engl J Med</w:t>
      </w:r>
      <w:r w:rsidRPr="002215D5">
        <w:rPr>
          <w:rFonts w:ascii="Book Antiqua" w:eastAsia="Book Antiqua" w:hAnsi="Book Antiqua" w:cs="Book Antiqua"/>
          <w:color w:val="000000"/>
        </w:rPr>
        <w:t xml:space="preserve"> 2021; </w:t>
      </w:r>
      <w:r w:rsidRPr="002215D5">
        <w:rPr>
          <w:rFonts w:ascii="Book Antiqua" w:eastAsia="Book Antiqua" w:hAnsi="Book Antiqua" w:cs="Book Antiqua"/>
          <w:b/>
          <w:bCs/>
          <w:color w:val="000000"/>
        </w:rPr>
        <w:t>384</w:t>
      </w:r>
      <w:r w:rsidRPr="002215D5">
        <w:rPr>
          <w:rFonts w:ascii="Book Antiqua" w:eastAsia="Book Antiqua" w:hAnsi="Book Antiqua" w:cs="Book Antiqua"/>
          <w:color w:val="000000"/>
        </w:rPr>
        <w:t>: 693-704 [PMID: 32678530 DOI: 10.1056/NEJMoa2021436]</w:t>
      </w:r>
    </w:p>
    <w:p w14:paraId="304C17A4"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61 </w:t>
      </w:r>
      <w:r w:rsidRPr="002215D5">
        <w:rPr>
          <w:rFonts w:ascii="Book Antiqua" w:eastAsia="Book Antiqua" w:hAnsi="Book Antiqua" w:cs="Book Antiqua"/>
          <w:b/>
          <w:bCs/>
          <w:color w:val="000000"/>
        </w:rPr>
        <w:t>WHO Rapid Evidence Appraisal for COVID-19 Therapies (REACT) Working Group</w:t>
      </w:r>
      <w:r w:rsidRPr="002215D5">
        <w:rPr>
          <w:rFonts w:ascii="Book Antiqua" w:eastAsia="Book Antiqua" w:hAnsi="Book Antiqua" w:cs="Book Antiqua"/>
          <w:color w:val="000000"/>
        </w:rPr>
        <w:t xml:space="preserve">, Sterne JAC, Murthy S, Diaz JV, Slutsky AS, Villar J, Angus DC, Annane D, Azevedo LCP, Berwanger O, Cavalcanti AB, Dequin PF, Du B, Emberson J, Fisher D, Giraudeau B, Gordon AC, Granholm A, Green C, Haynes R, Heming N, Higgins JPT, Horby P, Jüni P, Landray MJ, Le Gouge A, Leclerc M, Lim WS, Machado FR, McArthur C, Meziani F, Møller MH, Perner A, Petersen MW, Savovic J, Tomazini B, Veiga VC, Webb S, Marshall JC. Association Between Administration of Systemic Corticosteroids and Mortality Among Critically Ill Patients With COVID-19: A Meta-analysis. </w:t>
      </w:r>
      <w:r w:rsidRPr="002215D5">
        <w:rPr>
          <w:rFonts w:ascii="Book Antiqua" w:eastAsia="Book Antiqua" w:hAnsi="Book Antiqua" w:cs="Book Antiqua"/>
          <w:i/>
          <w:iCs/>
          <w:color w:val="000000"/>
        </w:rPr>
        <w:t>JAMA</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324</w:t>
      </w:r>
      <w:r w:rsidRPr="002215D5">
        <w:rPr>
          <w:rFonts w:ascii="Book Antiqua" w:eastAsia="Book Antiqua" w:hAnsi="Book Antiqua" w:cs="Book Antiqua"/>
          <w:color w:val="000000"/>
        </w:rPr>
        <w:t>: 1330-1341 [PMID: 32876694 DOI: 10.1001/jama.2020.17023]</w:t>
      </w:r>
    </w:p>
    <w:p w14:paraId="7233C5B8"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62 </w:t>
      </w:r>
      <w:r w:rsidRPr="002215D5">
        <w:rPr>
          <w:rFonts w:ascii="Book Antiqua" w:eastAsia="Book Antiqua" w:hAnsi="Book Antiqua" w:cs="Book Antiqua"/>
          <w:b/>
          <w:bCs/>
          <w:color w:val="000000"/>
        </w:rPr>
        <w:t>Ungaro RC</w:t>
      </w:r>
      <w:r w:rsidRPr="002215D5">
        <w:rPr>
          <w:rFonts w:ascii="Book Antiqua" w:eastAsia="Book Antiqua" w:hAnsi="Book Antiqua" w:cs="Book Antiqua"/>
          <w:color w:val="000000"/>
        </w:rPr>
        <w:t xml:space="preserve">, Brenner EJ, Gearry RB, Kaplan GG, Kissous-Hunt M, Lewis JD, Ng SC, Rahier JF, Reinisch W, Steinwurz F, Underwood FE, Zhang X, Colombel JF, Kappelman MD. Effect of IBD medications on COVID-19 outcomes: results from an international registry. </w:t>
      </w:r>
      <w:r w:rsidRPr="002215D5">
        <w:rPr>
          <w:rFonts w:ascii="Book Antiqua" w:eastAsia="Book Antiqua" w:hAnsi="Book Antiqua" w:cs="Book Antiqua"/>
          <w:i/>
          <w:iCs/>
          <w:color w:val="000000"/>
        </w:rPr>
        <w:t>Gut</w:t>
      </w:r>
      <w:r w:rsidRPr="002215D5">
        <w:rPr>
          <w:rFonts w:ascii="Book Antiqua" w:eastAsia="Book Antiqua" w:hAnsi="Book Antiqua" w:cs="Book Antiqua"/>
          <w:color w:val="000000"/>
        </w:rPr>
        <w:t xml:space="preserve"> 2021; </w:t>
      </w:r>
      <w:r w:rsidRPr="002215D5">
        <w:rPr>
          <w:rFonts w:ascii="Book Antiqua" w:eastAsia="Book Antiqua" w:hAnsi="Book Antiqua" w:cs="Book Antiqua"/>
          <w:b/>
          <w:bCs/>
          <w:color w:val="000000"/>
        </w:rPr>
        <w:t>70</w:t>
      </w:r>
      <w:r w:rsidRPr="002215D5">
        <w:rPr>
          <w:rFonts w:ascii="Book Antiqua" w:eastAsia="Book Antiqua" w:hAnsi="Book Antiqua" w:cs="Book Antiqua"/>
          <w:color w:val="000000"/>
        </w:rPr>
        <w:t>: 725-732 [PMID: 33082265 DOI: 10.1136/gutjnl-2020-322539]</w:t>
      </w:r>
    </w:p>
    <w:p w14:paraId="47350733"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63 </w:t>
      </w:r>
      <w:r w:rsidRPr="002215D5">
        <w:rPr>
          <w:rFonts w:ascii="Book Antiqua" w:eastAsia="Book Antiqua" w:hAnsi="Book Antiqua" w:cs="Book Antiqua"/>
          <w:b/>
          <w:bCs/>
          <w:color w:val="000000"/>
        </w:rPr>
        <w:t>Antonelli E</w:t>
      </w:r>
      <w:r w:rsidRPr="002215D5">
        <w:rPr>
          <w:rFonts w:ascii="Book Antiqua" w:eastAsia="Book Antiqua" w:hAnsi="Book Antiqua" w:cs="Book Antiqua"/>
          <w:color w:val="000000"/>
        </w:rPr>
        <w:t xml:space="preserve">, Torti G, Bassotti G. Inhibitors of the Janus Kinases: A New Oral Treatment Option for Ulcerative Colitis. </w:t>
      </w:r>
      <w:r w:rsidRPr="002215D5">
        <w:rPr>
          <w:rFonts w:ascii="Book Antiqua" w:eastAsia="Book Antiqua" w:hAnsi="Book Antiqua" w:cs="Book Antiqua"/>
          <w:i/>
          <w:iCs/>
          <w:color w:val="000000"/>
        </w:rPr>
        <w:t>J Clin Gastroenterol</w:t>
      </w:r>
      <w:r w:rsidRPr="002215D5">
        <w:rPr>
          <w:rFonts w:ascii="Book Antiqua" w:eastAsia="Book Antiqua" w:hAnsi="Book Antiqua" w:cs="Book Antiqua"/>
          <w:color w:val="000000"/>
        </w:rPr>
        <w:t xml:space="preserve"> 2019; </w:t>
      </w:r>
      <w:r w:rsidRPr="002215D5">
        <w:rPr>
          <w:rFonts w:ascii="Book Antiqua" w:eastAsia="Book Antiqua" w:hAnsi="Book Antiqua" w:cs="Book Antiqua"/>
          <w:b/>
          <w:bCs/>
          <w:color w:val="000000"/>
        </w:rPr>
        <w:t>53</w:t>
      </w:r>
      <w:r w:rsidRPr="002215D5">
        <w:rPr>
          <w:rFonts w:ascii="Book Antiqua" w:eastAsia="Book Antiqua" w:hAnsi="Book Antiqua" w:cs="Book Antiqua"/>
          <w:color w:val="000000"/>
        </w:rPr>
        <w:t>: 635-640 [PMID: 31373941 DOI: 10.1097/MCG.0000000000001250]</w:t>
      </w:r>
    </w:p>
    <w:p w14:paraId="586203F8"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64 </w:t>
      </w:r>
      <w:r w:rsidRPr="002215D5">
        <w:rPr>
          <w:rFonts w:ascii="Book Antiqua" w:eastAsia="Book Antiqua" w:hAnsi="Book Antiqua" w:cs="Book Antiqua"/>
          <w:b/>
          <w:bCs/>
          <w:color w:val="000000"/>
        </w:rPr>
        <w:t>Agrawal M</w:t>
      </w:r>
      <w:r w:rsidRPr="002215D5">
        <w:rPr>
          <w:rFonts w:ascii="Book Antiqua" w:eastAsia="Book Antiqua" w:hAnsi="Book Antiqua" w:cs="Book Antiqua"/>
          <w:color w:val="000000"/>
        </w:rPr>
        <w:t xml:space="preserve">, Corn G, Shrestha S, Nielsen NM, Frisch M, Colombel JF, Jess T. Inflammatory bowel diseases among first-generation and second-generation immigrants in Denmark: a population-based cohort study. </w:t>
      </w:r>
      <w:r w:rsidRPr="002215D5">
        <w:rPr>
          <w:rFonts w:ascii="Book Antiqua" w:eastAsia="Book Antiqua" w:hAnsi="Book Antiqua" w:cs="Book Antiqua"/>
          <w:i/>
          <w:iCs/>
          <w:color w:val="000000"/>
        </w:rPr>
        <w:t>Gut</w:t>
      </w:r>
      <w:r w:rsidRPr="002215D5">
        <w:rPr>
          <w:rFonts w:ascii="Book Antiqua" w:eastAsia="Book Antiqua" w:hAnsi="Book Antiqua" w:cs="Book Antiqua"/>
          <w:color w:val="000000"/>
        </w:rPr>
        <w:t xml:space="preserve"> 2021; </w:t>
      </w:r>
      <w:r w:rsidRPr="002215D5">
        <w:rPr>
          <w:rFonts w:ascii="Book Antiqua" w:eastAsia="Book Antiqua" w:hAnsi="Book Antiqua" w:cs="Book Antiqua"/>
          <w:b/>
          <w:bCs/>
          <w:color w:val="000000"/>
        </w:rPr>
        <w:t>70</w:t>
      </w:r>
      <w:r w:rsidRPr="002215D5">
        <w:rPr>
          <w:rFonts w:ascii="Book Antiqua" w:eastAsia="Book Antiqua" w:hAnsi="Book Antiqua" w:cs="Book Antiqua"/>
          <w:color w:val="000000"/>
        </w:rPr>
        <w:t>: 1037-1043 [PMID: 32895335 DOI: 10.1136/gutjnl-2020-321798]</w:t>
      </w:r>
    </w:p>
    <w:p w14:paraId="433F3622"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lastRenderedPageBreak/>
        <w:t xml:space="preserve">65 </w:t>
      </w:r>
      <w:r w:rsidRPr="002215D5">
        <w:rPr>
          <w:rFonts w:ascii="Book Antiqua" w:eastAsia="Book Antiqua" w:hAnsi="Book Antiqua" w:cs="Book Antiqua"/>
          <w:b/>
          <w:bCs/>
          <w:color w:val="000000"/>
        </w:rPr>
        <w:t>Spalinger MR</w:t>
      </w:r>
      <w:r w:rsidRPr="002215D5">
        <w:rPr>
          <w:rFonts w:ascii="Book Antiqua" w:eastAsia="Book Antiqua" w:hAnsi="Book Antiqua" w:cs="Book Antiqua"/>
          <w:color w:val="000000"/>
        </w:rPr>
        <w:t xml:space="preserve">, Hai R, Li J, Santos AN, Nordgren TM, Tremblay ML, Eckmann L, Hanson E, Scharl M, Wu X, Boland BS, McCole DF. Identification of a Novel Susceptibility Marker for SARS-CoV-2 Infection in Human Subjects and Risk Mitigation with a Clinically Approved JAK Inhibitor in Human/Mouse Cells. </w:t>
      </w:r>
      <w:r w:rsidRPr="002215D5">
        <w:rPr>
          <w:rFonts w:ascii="Book Antiqua" w:eastAsia="Book Antiqua" w:hAnsi="Book Antiqua" w:cs="Book Antiqua"/>
          <w:i/>
          <w:iCs/>
          <w:color w:val="000000"/>
        </w:rPr>
        <w:t>bioRxiv</w:t>
      </w:r>
      <w:r w:rsidRPr="002215D5">
        <w:rPr>
          <w:rFonts w:ascii="Book Antiqua" w:eastAsia="Book Antiqua" w:hAnsi="Book Antiqua" w:cs="Book Antiqua"/>
          <w:color w:val="000000"/>
        </w:rPr>
        <w:t xml:space="preserve"> 2020 [PMID: 33330862 DOI: 10.1101/2020.12.09.416586]</w:t>
      </w:r>
    </w:p>
    <w:p w14:paraId="6B0C858C" w14:textId="66C18087" w:rsidR="00A77B3E" w:rsidRPr="002215D5" w:rsidRDefault="006164A3" w:rsidP="002215D5">
      <w:pPr>
        <w:spacing w:line="360" w:lineRule="auto"/>
        <w:jc w:val="both"/>
        <w:rPr>
          <w:rFonts w:ascii="Book Antiqua" w:hAnsi="Book Antiqua"/>
          <w:lang w:eastAsia="zh-CN"/>
        </w:rPr>
      </w:pPr>
      <w:r w:rsidRPr="002215D5">
        <w:rPr>
          <w:rFonts w:ascii="Book Antiqua" w:eastAsia="Book Antiqua" w:hAnsi="Book Antiqua" w:cs="Book Antiqua"/>
          <w:color w:val="000000"/>
          <w:highlight w:val="yellow"/>
        </w:rPr>
        <w:t xml:space="preserve">66 </w:t>
      </w:r>
      <w:r w:rsidR="00F90D33" w:rsidRPr="002215D5">
        <w:rPr>
          <w:rFonts w:ascii="Book Antiqua" w:eastAsia="Book Antiqua" w:hAnsi="Book Antiqua" w:cs="Book Antiqua"/>
          <w:b/>
          <w:bCs/>
          <w:color w:val="000000"/>
          <w:highlight w:val="yellow"/>
        </w:rPr>
        <w:t>BSG</w:t>
      </w:r>
      <w:r w:rsidR="00F90D33" w:rsidRPr="002215D5">
        <w:rPr>
          <w:rFonts w:ascii="Book Antiqua" w:eastAsia="Book Antiqua" w:hAnsi="Book Antiqua" w:cs="Book Antiqua"/>
          <w:color w:val="000000"/>
          <w:highlight w:val="yellow"/>
        </w:rPr>
        <w:t xml:space="preserve">. </w:t>
      </w:r>
      <w:r w:rsidR="00BF1368" w:rsidRPr="002215D5">
        <w:rPr>
          <w:rFonts w:ascii="Book Antiqua" w:eastAsia="Book Antiqua" w:hAnsi="Book Antiqua" w:cs="Book Antiqua"/>
          <w:color w:val="000000"/>
          <w:highlight w:val="yellow"/>
        </w:rPr>
        <w:t xml:space="preserve">BSG expanded consensus advice for the management of IBD during the COVID-19 pandemic. Available </w:t>
      </w:r>
      <w:r w:rsidRPr="002215D5">
        <w:rPr>
          <w:rFonts w:ascii="Book Antiqua" w:hAnsi="Book Antiqua" w:cs="Book Antiqua"/>
          <w:color w:val="000000"/>
          <w:highlight w:val="yellow"/>
          <w:lang w:eastAsia="zh-CN"/>
        </w:rPr>
        <w:t>from</w:t>
      </w:r>
      <w:r w:rsidR="00BF1368" w:rsidRPr="002215D5">
        <w:rPr>
          <w:rFonts w:ascii="Book Antiqua" w:eastAsia="Book Antiqua" w:hAnsi="Book Antiqua" w:cs="Book Antiqua"/>
          <w:color w:val="000000"/>
          <w:highlight w:val="yellow"/>
        </w:rPr>
        <w:t>: https://www.bsg.org.uk/covid-19-advice/bsg-advice-for-management-of-inflammatory-bowel-diseases-during-the-covid-19-pandemic</w:t>
      </w:r>
    </w:p>
    <w:p w14:paraId="5A6C4BD6"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67 </w:t>
      </w:r>
      <w:r w:rsidRPr="002215D5">
        <w:rPr>
          <w:rFonts w:ascii="Book Antiqua" w:eastAsia="Book Antiqua" w:hAnsi="Book Antiqua" w:cs="Book Antiqua"/>
          <w:b/>
          <w:bCs/>
          <w:color w:val="000000"/>
        </w:rPr>
        <w:t>Iacucci M</w:t>
      </w:r>
      <w:r w:rsidRPr="002215D5">
        <w:rPr>
          <w:rFonts w:ascii="Book Antiqua" w:eastAsia="Book Antiqua" w:hAnsi="Book Antiqua" w:cs="Book Antiqua"/>
          <w:color w:val="000000"/>
        </w:rPr>
        <w:t xml:space="preserve">, Cannatelli R, Labarile N, Mao R, Panaccione R, Danese S, Kochhar GS, Ghosh S, Shen B. Endoscopy in inflammatory bowel diseases during the COVID-19 pandemic and post-pandemic period. </w:t>
      </w:r>
      <w:r w:rsidRPr="002215D5">
        <w:rPr>
          <w:rFonts w:ascii="Book Antiqua" w:eastAsia="Book Antiqua" w:hAnsi="Book Antiqua" w:cs="Book Antiqua"/>
          <w:i/>
          <w:iCs/>
          <w:color w:val="000000"/>
        </w:rPr>
        <w:t>Lancet Gastroenterol Hepatol</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5</w:t>
      </w:r>
      <w:r w:rsidRPr="002215D5">
        <w:rPr>
          <w:rFonts w:ascii="Book Antiqua" w:eastAsia="Book Antiqua" w:hAnsi="Book Antiqua" w:cs="Book Antiqua"/>
          <w:color w:val="000000"/>
        </w:rPr>
        <w:t>: 598-606 [PMID: 32305075 DOI: 10.1016/S2468-1253(20)30119-9]</w:t>
      </w:r>
    </w:p>
    <w:p w14:paraId="07A633E0"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68 </w:t>
      </w:r>
      <w:r w:rsidRPr="002215D5">
        <w:rPr>
          <w:rFonts w:ascii="Book Antiqua" w:eastAsia="Book Antiqua" w:hAnsi="Book Antiqua" w:cs="Book Antiqua"/>
          <w:b/>
          <w:bCs/>
          <w:color w:val="000000"/>
        </w:rPr>
        <w:t>Ng SC</w:t>
      </w:r>
      <w:r w:rsidRPr="002215D5">
        <w:rPr>
          <w:rFonts w:ascii="Book Antiqua" w:eastAsia="Book Antiqua" w:hAnsi="Book Antiqua" w:cs="Book Antiqua"/>
          <w:color w:val="000000"/>
        </w:rPr>
        <w:t xml:space="preserve">, Mak JWY, Hitz L, Chowers Y, Bernstein CN, Silverberg MS. COVID-19 Pandemic: Which IBD Patients Need to Be Scoped-Who Gets Scoped Now, Who Can Wait, and how to Resume to Normal. </w:t>
      </w:r>
      <w:r w:rsidRPr="002215D5">
        <w:rPr>
          <w:rFonts w:ascii="Book Antiqua" w:eastAsia="Book Antiqua" w:hAnsi="Book Antiqua" w:cs="Book Antiqua"/>
          <w:i/>
          <w:iCs/>
          <w:color w:val="000000"/>
        </w:rPr>
        <w:t>J Crohns Colitis</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14</w:t>
      </w:r>
      <w:r w:rsidRPr="002215D5">
        <w:rPr>
          <w:rFonts w:ascii="Book Antiqua" w:eastAsia="Book Antiqua" w:hAnsi="Book Antiqua" w:cs="Book Antiqua"/>
          <w:color w:val="000000"/>
        </w:rPr>
        <w:t>: S791-S797 [PMID: 33085973 DOI: 10.1093/ecco-jcc/jjaa128]</w:t>
      </w:r>
    </w:p>
    <w:p w14:paraId="0E20D7C5"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69 </w:t>
      </w:r>
      <w:r w:rsidRPr="002215D5">
        <w:rPr>
          <w:rFonts w:ascii="Book Antiqua" w:eastAsia="Book Antiqua" w:hAnsi="Book Antiqua" w:cs="Book Antiqua"/>
          <w:b/>
          <w:bCs/>
          <w:color w:val="000000"/>
        </w:rPr>
        <w:t>D'Amico F</w:t>
      </w:r>
      <w:r w:rsidRPr="002215D5">
        <w:rPr>
          <w:rFonts w:ascii="Book Antiqua" w:eastAsia="Book Antiqua" w:hAnsi="Book Antiqua" w:cs="Book Antiqua"/>
          <w:color w:val="000000"/>
        </w:rPr>
        <w:t xml:space="preserve">, Bonovas S, Danese S, Peyrin-Biroulet L. Review article: faecal calprotectin and histologic remission in ulcerative colitis. </w:t>
      </w:r>
      <w:r w:rsidRPr="002215D5">
        <w:rPr>
          <w:rFonts w:ascii="Book Antiqua" w:eastAsia="Book Antiqua" w:hAnsi="Book Antiqua" w:cs="Book Antiqua"/>
          <w:i/>
          <w:iCs/>
          <w:color w:val="000000"/>
        </w:rPr>
        <w:t>Aliment Pharmacol Ther</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51</w:t>
      </w:r>
      <w:r w:rsidRPr="002215D5">
        <w:rPr>
          <w:rFonts w:ascii="Book Antiqua" w:eastAsia="Book Antiqua" w:hAnsi="Book Antiqua" w:cs="Book Antiqua"/>
          <w:color w:val="000000"/>
        </w:rPr>
        <w:t>: 689-698 [PMID: 32048751 DOI: 10.1111/apt.15662]</w:t>
      </w:r>
    </w:p>
    <w:p w14:paraId="1D02474F"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70 </w:t>
      </w:r>
      <w:r w:rsidRPr="002215D5">
        <w:rPr>
          <w:rFonts w:ascii="Book Antiqua" w:eastAsia="Book Antiqua" w:hAnsi="Book Antiqua" w:cs="Book Antiqua"/>
          <w:b/>
          <w:bCs/>
          <w:color w:val="000000"/>
        </w:rPr>
        <w:t>Lin JF</w:t>
      </w:r>
      <w:r w:rsidRPr="002215D5">
        <w:rPr>
          <w:rFonts w:ascii="Book Antiqua" w:eastAsia="Book Antiqua" w:hAnsi="Book Antiqua" w:cs="Book Antiqua"/>
          <w:color w:val="000000"/>
        </w:rPr>
        <w:t xml:space="preserve">, Chen JM, Zuo JH, Yu A, Xiao ZJ, Deng FH, Nie B, Jiang B. Meta-analysis: fecal calprotectin for assessment of inflammatory bowel disease activity. </w:t>
      </w:r>
      <w:r w:rsidRPr="002215D5">
        <w:rPr>
          <w:rFonts w:ascii="Book Antiqua" w:eastAsia="Book Antiqua" w:hAnsi="Book Antiqua" w:cs="Book Antiqua"/>
          <w:i/>
          <w:iCs/>
          <w:color w:val="000000"/>
        </w:rPr>
        <w:t>Inflamm Bowel Dis</w:t>
      </w:r>
      <w:r w:rsidRPr="002215D5">
        <w:rPr>
          <w:rFonts w:ascii="Book Antiqua" w:eastAsia="Book Antiqua" w:hAnsi="Book Antiqua" w:cs="Book Antiqua"/>
          <w:color w:val="000000"/>
        </w:rPr>
        <w:t xml:space="preserve"> 2014; </w:t>
      </w:r>
      <w:r w:rsidRPr="002215D5">
        <w:rPr>
          <w:rFonts w:ascii="Book Antiqua" w:eastAsia="Book Antiqua" w:hAnsi="Book Antiqua" w:cs="Book Antiqua"/>
          <w:b/>
          <w:bCs/>
          <w:color w:val="000000"/>
        </w:rPr>
        <w:t>20</w:t>
      </w:r>
      <w:r w:rsidRPr="002215D5">
        <w:rPr>
          <w:rFonts w:ascii="Book Antiqua" w:eastAsia="Book Antiqua" w:hAnsi="Book Antiqua" w:cs="Book Antiqua"/>
          <w:color w:val="000000"/>
        </w:rPr>
        <w:t>: 1407-1415 [PMID: 24983982 DOI: 10.1097/MIB.0000000000000057]</w:t>
      </w:r>
    </w:p>
    <w:p w14:paraId="7B7651A6"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71 </w:t>
      </w:r>
      <w:r w:rsidRPr="002215D5">
        <w:rPr>
          <w:rFonts w:ascii="Book Antiqua" w:eastAsia="Book Antiqua" w:hAnsi="Book Antiqua" w:cs="Book Antiqua"/>
          <w:b/>
          <w:bCs/>
          <w:color w:val="000000"/>
        </w:rPr>
        <w:t>Heida A</w:t>
      </w:r>
      <w:r w:rsidRPr="002215D5">
        <w:rPr>
          <w:rFonts w:ascii="Book Antiqua" w:eastAsia="Book Antiqua" w:hAnsi="Book Antiqua" w:cs="Book Antiqua"/>
          <w:color w:val="000000"/>
        </w:rPr>
        <w:t xml:space="preserve">, Knol M, Kobold AM, Bootsman J, Dijkstra G, van Rheenen PF. Agreement Between Home-Based Measurement of Stool Calprotectin and ELISA Results for Monitoring Inflammatory Bowel Disease Activity. </w:t>
      </w:r>
      <w:r w:rsidRPr="002215D5">
        <w:rPr>
          <w:rFonts w:ascii="Book Antiqua" w:eastAsia="Book Antiqua" w:hAnsi="Book Antiqua" w:cs="Book Antiqua"/>
          <w:i/>
          <w:iCs/>
          <w:color w:val="000000"/>
        </w:rPr>
        <w:t>Clin Gastroenterol Hepatol</w:t>
      </w:r>
      <w:r w:rsidRPr="002215D5">
        <w:rPr>
          <w:rFonts w:ascii="Book Antiqua" w:eastAsia="Book Antiqua" w:hAnsi="Book Antiqua" w:cs="Book Antiqua"/>
          <w:color w:val="000000"/>
        </w:rPr>
        <w:t xml:space="preserve"> 2017; </w:t>
      </w:r>
      <w:r w:rsidRPr="002215D5">
        <w:rPr>
          <w:rFonts w:ascii="Book Antiqua" w:eastAsia="Book Antiqua" w:hAnsi="Book Antiqua" w:cs="Book Antiqua"/>
          <w:b/>
          <w:bCs/>
          <w:color w:val="000000"/>
        </w:rPr>
        <w:t>15</w:t>
      </w:r>
      <w:r w:rsidRPr="002215D5">
        <w:rPr>
          <w:rFonts w:ascii="Book Antiqua" w:eastAsia="Book Antiqua" w:hAnsi="Book Antiqua" w:cs="Book Antiqua"/>
          <w:color w:val="000000"/>
        </w:rPr>
        <w:t>: 1742-1749.e2 [PMID: 28606846 DOI: 10.1016/j.cgh.2017.06.007]</w:t>
      </w:r>
    </w:p>
    <w:p w14:paraId="0527571A"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72 </w:t>
      </w:r>
      <w:r w:rsidRPr="002215D5">
        <w:rPr>
          <w:rFonts w:ascii="Book Antiqua" w:eastAsia="Book Antiqua" w:hAnsi="Book Antiqua" w:cs="Book Antiqua"/>
          <w:b/>
          <w:bCs/>
          <w:color w:val="000000"/>
        </w:rPr>
        <w:t>Lees CW</w:t>
      </w:r>
      <w:r w:rsidRPr="002215D5">
        <w:rPr>
          <w:rFonts w:ascii="Book Antiqua" w:eastAsia="Book Antiqua" w:hAnsi="Book Antiqua" w:cs="Book Antiqua"/>
          <w:color w:val="000000"/>
        </w:rPr>
        <w:t xml:space="preserve">, Regueiro M, Mahadevan U; International Organization for the Study of Inflammatory Bowel Disease. Innovation in Inflammatory Bowel Disease Care During the COVID-19 Pandemic: Results of a Global Telemedicine Survey by the International </w:t>
      </w:r>
      <w:r w:rsidRPr="002215D5">
        <w:rPr>
          <w:rFonts w:ascii="Book Antiqua" w:eastAsia="Book Antiqua" w:hAnsi="Book Antiqua" w:cs="Book Antiqua"/>
          <w:color w:val="000000"/>
        </w:rPr>
        <w:lastRenderedPageBreak/>
        <w:t xml:space="preserve">Organization for the Study of Inflammatory Bowel Disease. </w:t>
      </w:r>
      <w:r w:rsidRPr="002215D5">
        <w:rPr>
          <w:rFonts w:ascii="Book Antiqua" w:eastAsia="Book Antiqua" w:hAnsi="Book Antiqua" w:cs="Book Antiqua"/>
          <w:i/>
          <w:iCs/>
          <w:color w:val="000000"/>
        </w:rPr>
        <w:t>Gastroenterology</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159</w:t>
      </w:r>
      <w:r w:rsidRPr="002215D5">
        <w:rPr>
          <w:rFonts w:ascii="Book Antiqua" w:eastAsia="Book Antiqua" w:hAnsi="Book Antiqua" w:cs="Book Antiqua"/>
          <w:color w:val="000000"/>
        </w:rPr>
        <w:t>: 805-808.e1 [PMID: 32474119 DOI: 10.1053/j.gastro.2020.05.063]</w:t>
      </w:r>
    </w:p>
    <w:p w14:paraId="5145356B"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73 </w:t>
      </w:r>
      <w:r w:rsidRPr="002215D5">
        <w:rPr>
          <w:rFonts w:ascii="Book Antiqua" w:eastAsia="Book Antiqua" w:hAnsi="Book Antiqua" w:cs="Book Antiqua"/>
          <w:b/>
          <w:bCs/>
          <w:color w:val="000000"/>
        </w:rPr>
        <w:t>Scaldaferri F</w:t>
      </w:r>
      <w:r w:rsidRPr="002215D5">
        <w:rPr>
          <w:rFonts w:ascii="Book Antiqua" w:eastAsia="Book Antiqua" w:hAnsi="Book Antiqua" w:cs="Book Antiqua"/>
          <w:color w:val="000000"/>
        </w:rPr>
        <w:t xml:space="preserve">, Pugliese D, Privitera G, Onali S, Lopetuso LR, Rizzatti G, Settanni CR, Pizzoferrato M, Schiavoni E, Turchini L, Amatucci V, Napolitano D, Bernabei T, Mora V, Laterza L, Papa A, Guidi L, Rapaccini GL, Gasbarrini A, Armuzzi A. Impact of COVID-19 pandemic on the daily management of biotechnological therapy in inflammatory bowel disease patients: Reorganisational response in a high-volume Italian inflammatory bowel disease centre. </w:t>
      </w:r>
      <w:r w:rsidRPr="002215D5">
        <w:rPr>
          <w:rFonts w:ascii="Book Antiqua" w:eastAsia="Book Antiqua" w:hAnsi="Book Antiqua" w:cs="Book Antiqua"/>
          <w:i/>
          <w:iCs/>
          <w:color w:val="000000"/>
        </w:rPr>
        <w:t>United European Gastroenterol J</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8</w:t>
      </w:r>
      <w:r w:rsidRPr="002215D5">
        <w:rPr>
          <w:rFonts w:ascii="Book Antiqua" w:eastAsia="Book Antiqua" w:hAnsi="Book Antiqua" w:cs="Book Antiqua"/>
          <w:color w:val="000000"/>
        </w:rPr>
        <w:t>: 775-781 [PMID: 32438878 DOI: 10.1177/2050640620929133]</w:t>
      </w:r>
    </w:p>
    <w:p w14:paraId="671F33D1"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74 </w:t>
      </w:r>
      <w:r w:rsidRPr="002215D5">
        <w:rPr>
          <w:rFonts w:ascii="Book Antiqua" w:eastAsia="Book Antiqua" w:hAnsi="Book Antiqua" w:cs="Book Antiqua"/>
          <w:b/>
          <w:bCs/>
          <w:color w:val="000000"/>
        </w:rPr>
        <w:t>Magro F</w:t>
      </w:r>
      <w:r w:rsidRPr="002215D5">
        <w:rPr>
          <w:rFonts w:ascii="Book Antiqua" w:eastAsia="Book Antiqua" w:hAnsi="Book Antiqua" w:cs="Book Antiqua"/>
          <w:color w:val="000000"/>
        </w:rPr>
        <w:t xml:space="preserve">, Rahier JF, Abreu C, MacMahon E, Hart A, van der Woude CJ, Gordon H, Adamina M, Viget N, Vavricka S, Kucharzik T, Leone S, Siegmund B, Danese S, Peyrin-Biroulet L. Inflammatory Bowel Disease Management During the COVID-19 Outbreak: The Ten Do's and Don'ts from the ECCO-COVID Taskforce. </w:t>
      </w:r>
      <w:r w:rsidRPr="002215D5">
        <w:rPr>
          <w:rFonts w:ascii="Book Antiqua" w:eastAsia="Book Antiqua" w:hAnsi="Book Antiqua" w:cs="Book Antiqua"/>
          <w:i/>
          <w:iCs/>
          <w:color w:val="000000"/>
        </w:rPr>
        <w:t>J Crohns Colitis</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14</w:t>
      </w:r>
      <w:r w:rsidRPr="002215D5">
        <w:rPr>
          <w:rFonts w:ascii="Book Antiqua" w:eastAsia="Book Antiqua" w:hAnsi="Book Antiqua" w:cs="Book Antiqua"/>
          <w:color w:val="000000"/>
        </w:rPr>
        <w:t>: S798-S806 [PMID: 32722754 DOI: 10.1093/ecco-jcc/jjaa160]</w:t>
      </w:r>
    </w:p>
    <w:p w14:paraId="3313D2FC"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75 </w:t>
      </w:r>
      <w:r w:rsidRPr="002215D5">
        <w:rPr>
          <w:rFonts w:ascii="Book Antiqua" w:eastAsia="Book Antiqua" w:hAnsi="Book Antiqua" w:cs="Book Antiqua"/>
          <w:b/>
          <w:bCs/>
          <w:color w:val="000000"/>
        </w:rPr>
        <w:t>Mao R</w:t>
      </w:r>
      <w:r w:rsidRPr="002215D5">
        <w:rPr>
          <w:rFonts w:ascii="Book Antiqua" w:eastAsia="Book Antiqua" w:hAnsi="Book Antiqua" w:cs="Book Antiqua"/>
          <w:color w:val="000000"/>
        </w:rPr>
        <w:t xml:space="preserve">, Liang J, Shen J, Ghosh S, Zhu LR, Yang H, Wu KC, Chen MH; Chinese Society of IBD, Chinese Elite IBD Union; Chinese IBD Quality Care Evaluation Center Committee. Implications of COVID-19 for patients with pre-existing digestive diseases. </w:t>
      </w:r>
      <w:r w:rsidRPr="002215D5">
        <w:rPr>
          <w:rFonts w:ascii="Book Antiqua" w:eastAsia="Book Antiqua" w:hAnsi="Book Antiqua" w:cs="Book Antiqua"/>
          <w:i/>
          <w:iCs/>
          <w:color w:val="000000"/>
        </w:rPr>
        <w:t>Lancet Gastroenterol Hepatol</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5</w:t>
      </w:r>
      <w:r w:rsidRPr="002215D5">
        <w:rPr>
          <w:rFonts w:ascii="Book Antiqua" w:eastAsia="Book Antiqua" w:hAnsi="Book Antiqua" w:cs="Book Antiqua"/>
          <w:color w:val="000000"/>
        </w:rPr>
        <w:t>: 425-427 [PMID: 32171057 DOI: 10.1016/S2468-1253(20)30076-5]</w:t>
      </w:r>
    </w:p>
    <w:p w14:paraId="1A91E344"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76 </w:t>
      </w:r>
      <w:r w:rsidRPr="002215D5">
        <w:rPr>
          <w:rFonts w:ascii="Book Antiqua" w:eastAsia="Book Antiqua" w:hAnsi="Book Antiqua" w:cs="Book Antiqua"/>
          <w:b/>
          <w:bCs/>
          <w:color w:val="000000"/>
        </w:rPr>
        <w:t>Rubin DT</w:t>
      </w:r>
      <w:r w:rsidRPr="002215D5">
        <w:rPr>
          <w:rFonts w:ascii="Book Antiqua" w:eastAsia="Book Antiqua" w:hAnsi="Book Antiqua" w:cs="Book Antiqua"/>
          <w:color w:val="000000"/>
        </w:rPr>
        <w:t xml:space="preserve">, Abreu MT, Rai V, Siegel CA; International Organization for the Study of Inflammatory Bowel Disease. Management of Patients With Crohn's Disease and Ulcerative Colitis During the Coronavirus Disease-2019 Pandemic: Results of an International Meeting. </w:t>
      </w:r>
      <w:r w:rsidRPr="002215D5">
        <w:rPr>
          <w:rFonts w:ascii="Book Antiqua" w:eastAsia="Book Antiqua" w:hAnsi="Book Antiqua" w:cs="Book Antiqua"/>
          <w:i/>
          <w:iCs/>
          <w:color w:val="000000"/>
        </w:rPr>
        <w:t>Gastroenterology</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159</w:t>
      </w:r>
      <w:r w:rsidRPr="002215D5">
        <w:rPr>
          <w:rFonts w:ascii="Book Antiqua" w:eastAsia="Book Antiqua" w:hAnsi="Book Antiqua" w:cs="Book Antiqua"/>
          <w:color w:val="000000"/>
        </w:rPr>
        <w:t>: 6-13.e6 [PMID: 32272113 DOI: 10.1053/j.gastro.2020.04.002]</w:t>
      </w:r>
    </w:p>
    <w:p w14:paraId="69C879BF"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77 </w:t>
      </w:r>
      <w:r w:rsidRPr="002215D5">
        <w:rPr>
          <w:rFonts w:ascii="Book Antiqua" w:eastAsia="Book Antiqua" w:hAnsi="Book Antiqua" w:cs="Book Antiqua"/>
          <w:b/>
          <w:bCs/>
          <w:color w:val="000000"/>
        </w:rPr>
        <w:t>Kennedy NA</w:t>
      </w:r>
      <w:r w:rsidRPr="002215D5">
        <w:rPr>
          <w:rFonts w:ascii="Book Antiqua" w:eastAsia="Book Antiqua" w:hAnsi="Book Antiqua" w:cs="Book Antiqua"/>
          <w:color w:val="000000"/>
        </w:rPr>
        <w:t xml:space="preserve">, Jones GR, Lamb CA, Appleby R, Arnott I, Beattie RM, Bloom S, Brooks AJ, Cooney R, Dart RJ, Edwards C, Fraser A, Gaya DR, Ghosh S, Greveson K, Hansen R, Hart A, Hawthorne AB, Hayee B, Limdi JK, Murray CD, Parkes GC, Parkes M, Patel K, Pollok RC, Powell N, Probert CS, Raine T, Sebastian S, Selinger C, Smith PJ, Stansfield C, Younge L, Lindsay JO, Irving PM, Lees CW. British Society of Gastroenterology guidance </w:t>
      </w:r>
      <w:r w:rsidRPr="002215D5">
        <w:rPr>
          <w:rFonts w:ascii="Book Antiqua" w:eastAsia="Book Antiqua" w:hAnsi="Book Antiqua" w:cs="Book Antiqua"/>
          <w:color w:val="000000"/>
        </w:rPr>
        <w:lastRenderedPageBreak/>
        <w:t xml:space="preserve">for management of inflammatory bowel disease during the COVID-19 pandemic. </w:t>
      </w:r>
      <w:r w:rsidRPr="002215D5">
        <w:rPr>
          <w:rFonts w:ascii="Book Antiqua" w:eastAsia="Book Antiqua" w:hAnsi="Book Antiqua" w:cs="Book Antiqua"/>
          <w:i/>
          <w:iCs/>
          <w:color w:val="000000"/>
        </w:rPr>
        <w:t>Gut</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69</w:t>
      </w:r>
      <w:r w:rsidRPr="002215D5">
        <w:rPr>
          <w:rFonts w:ascii="Book Antiqua" w:eastAsia="Book Antiqua" w:hAnsi="Book Antiqua" w:cs="Book Antiqua"/>
          <w:color w:val="000000"/>
        </w:rPr>
        <w:t>: 984-990 [PMID: 32303607 DOI: 10.1136/gutjnl-2020-321244]</w:t>
      </w:r>
    </w:p>
    <w:p w14:paraId="4AF3909E"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78 </w:t>
      </w:r>
      <w:r w:rsidRPr="002215D5">
        <w:rPr>
          <w:rFonts w:ascii="Book Antiqua" w:eastAsia="Book Antiqua" w:hAnsi="Book Antiqua" w:cs="Book Antiqua"/>
          <w:b/>
          <w:bCs/>
          <w:color w:val="000000"/>
        </w:rPr>
        <w:t>Rubin DT</w:t>
      </w:r>
      <w:r w:rsidRPr="002215D5">
        <w:rPr>
          <w:rFonts w:ascii="Book Antiqua" w:eastAsia="Book Antiqua" w:hAnsi="Book Antiqua" w:cs="Book Antiqua"/>
          <w:color w:val="000000"/>
        </w:rPr>
        <w:t xml:space="preserve">, Feuerstein JD, Wang AY, Cohen RD. AGA Clinical Practice Update on Management of Inflammatory Bowel Disease During the COVID-19 Pandemic: Expert Commentary. </w:t>
      </w:r>
      <w:r w:rsidRPr="002215D5">
        <w:rPr>
          <w:rFonts w:ascii="Book Antiqua" w:eastAsia="Book Antiqua" w:hAnsi="Book Antiqua" w:cs="Book Antiqua"/>
          <w:i/>
          <w:iCs/>
          <w:color w:val="000000"/>
        </w:rPr>
        <w:t>Gastroenterology</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159</w:t>
      </w:r>
      <w:r w:rsidRPr="002215D5">
        <w:rPr>
          <w:rFonts w:ascii="Book Antiqua" w:eastAsia="Book Antiqua" w:hAnsi="Book Antiqua" w:cs="Book Antiqua"/>
          <w:color w:val="000000"/>
        </w:rPr>
        <w:t>: 350-357 [PMID: 32283100 DOI: 10.1053/j.gastro.2020.04.012]</w:t>
      </w:r>
    </w:p>
    <w:p w14:paraId="7CFFDD61"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79 </w:t>
      </w:r>
      <w:r w:rsidRPr="002215D5">
        <w:rPr>
          <w:rFonts w:ascii="Book Antiqua" w:eastAsia="Book Antiqua" w:hAnsi="Book Antiqua" w:cs="Book Antiqua"/>
          <w:b/>
          <w:bCs/>
          <w:color w:val="000000"/>
        </w:rPr>
        <w:t>Chen J</w:t>
      </w:r>
      <w:r w:rsidRPr="002215D5">
        <w:rPr>
          <w:rFonts w:ascii="Book Antiqua" w:eastAsia="Book Antiqua" w:hAnsi="Book Antiqua" w:cs="Book Antiqua"/>
          <w:color w:val="000000"/>
        </w:rPr>
        <w:t xml:space="preserve">, Peng X, Zhang M, Zhi M. Impact of Medication Discontinuation on Patients With Inflammatory Bowel Disease During the COVID-19 Outbreak. </w:t>
      </w:r>
      <w:r w:rsidRPr="002215D5">
        <w:rPr>
          <w:rFonts w:ascii="Book Antiqua" w:eastAsia="Book Antiqua" w:hAnsi="Book Antiqua" w:cs="Book Antiqua"/>
          <w:i/>
          <w:iCs/>
          <w:color w:val="000000"/>
        </w:rPr>
        <w:t>Gastroenterology</w:t>
      </w:r>
      <w:r w:rsidRPr="002215D5">
        <w:rPr>
          <w:rFonts w:ascii="Book Antiqua" w:eastAsia="Book Antiqua" w:hAnsi="Book Antiqua" w:cs="Book Antiqua"/>
          <w:color w:val="000000"/>
        </w:rPr>
        <w:t xml:space="preserve"> 2021; </w:t>
      </w:r>
      <w:r w:rsidRPr="002215D5">
        <w:rPr>
          <w:rFonts w:ascii="Book Antiqua" w:eastAsia="Book Antiqua" w:hAnsi="Book Antiqua" w:cs="Book Antiqua"/>
          <w:b/>
          <w:bCs/>
          <w:color w:val="000000"/>
        </w:rPr>
        <w:t>160</w:t>
      </w:r>
      <w:r w:rsidRPr="002215D5">
        <w:rPr>
          <w:rFonts w:ascii="Book Antiqua" w:eastAsia="Book Antiqua" w:hAnsi="Book Antiqua" w:cs="Book Antiqua"/>
          <w:color w:val="000000"/>
        </w:rPr>
        <w:t>: 2223 [PMID: 32553758 DOI: 10.1053/j.gastro.2020.05.087]</w:t>
      </w:r>
    </w:p>
    <w:p w14:paraId="7EDCC639"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80 </w:t>
      </w:r>
      <w:r w:rsidRPr="002215D5">
        <w:rPr>
          <w:rFonts w:ascii="Book Antiqua" w:eastAsia="Book Antiqua" w:hAnsi="Book Antiqua" w:cs="Book Antiqua"/>
          <w:b/>
          <w:bCs/>
          <w:color w:val="000000"/>
        </w:rPr>
        <w:t>Sandborn WJ</w:t>
      </w:r>
      <w:r w:rsidRPr="002215D5">
        <w:rPr>
          <w:rFonts w:ascii="Book Antiqua" w:eastAsia="Book Antiqua" w:hAnsi="Book Antiqua" w:cs="Book Antiqua"/>
          <w:color w:val="000000"/>
        </w:rPr>
        <w:t xml:space="preserve">, Feagan BG, Rutgeerts P, Hanauer S, Colombel JF, Sands BE, Lukas M, Fedorak RN, Lee S, Bressler B, Fox I, Rosario M, Sankoh S, Xu J, Stephens K, Milch C, Parikh A; GEMINI 2 Study Group. Vedolizumab as induction and maintenance therapy for Crohn's disease. </w:t>
      </w:r>
      <w:r w:rsidRPr="002215D5">
        <w:rPr>
          <w:rFonts w:ascii="Book Antiqua" w:eastAsia="Book Antiqua" w:hAnsi="Book Antiqua" w:cs="Book Antiqua"/>
          <w:i/>
          <w:iCs/>
          <w:color w:val="000000"/>
        </w:rPr>
        <w:t>N Engl J Med</w:t>
      </w:r>
      <w:r w:rsidRPr="002215D5">
        <w:rPr>
          <w:rFonts w:ascii="Book Antiqua" w:eastAsia="Book Antiqua" w:hAnsi="Book Antiqua" w:cs="Book Antiqua"/>
          <w:color w:val="000000"/>
        </w:rPr>
        <w:t xml:space="preserve"> 2013; </w:t>
      </w:r>
      <w:r w:rsidRPr="002215D5">
        <w:rPr>
          <w:rFonts w:ascii="Book Antiqua" w:eastAsia="Book Antiqua" w:hAnsi="Book Antiqua" w:cs="Book Antiqua"/>
          <w:b/>
          <w:bCs/>
          <w:color w:val="000000"/>
        </w:rPr>
        <w:t>369</w:t>
      </w:r>
      <w:r w:rsidRPr="002215D5">
        <w:rPr>
          <w:rFonts w:ascii="Book Antiqua" w:eastAsia="Book Antiqua" w:hAnsi="Book Antiqua" w:cs="Book Antiqua"/>
          <w:color w:val="000000"/>
        </w:rPr>
        <w:t>: 711-721 [PMID: 23964933 DOI: 10.1056/NEJMoa1215739]</w:t>
      </w:r>
    </w:p>
    <w:p w14:paraId="76AD7FCD"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81 </w:t>
      </w:r>
      <w:r w:rsidRPr="002215D5">
        <w:rPr>
          <w:rFonts w:ascii="Book Antiqua" w:eastAsia="Book Antiqua" w:hAnsi="Book Antiqua" w:cs="Book Antiqua"/>
          <w:b/>
          <w:bCs/>
          <w:color w:val="000000"/>
        </w:rPr>
        <w:t>Papamichael K</w:t>
      </w:r>
      <w:r w:rsidRPr="002215D5">
        <w:rPr>
          <w:rFonts w:ascii="Book Antiqua" w:eastAsia="Book Antiqua" w:hAnsi="Book Antiqua" w:cs="Book Antiqua"/>
          <w:color w:val="000000"/>
        </w:rPr>
        <w:t xml:space="preserve">, Karatzas P, Mantzaris GJ. De-escalation of Infliximab Maintenance Therapy from 8- to 10-week Dosing Interval Based on Faecal Calprotectin in Patients with Crohn's Disease. </w:t>
      </w:r>
      <w:r w:rsidRPr="002215D5">
        <w:rPr>
          <w:rFonts w:ascii="Book Antiqua" w:eastAsia="Book Antiqua" w:hAnsi="Book Antiqua" w:cs="Book Antiqua"/>
          <w:i/>
          <w:iCs/>
          <w:color w:val="000000"/>
        </w:rPr>
        <w:t>J Crohns Colitis</w:t>
      </w:r>
      <w:r w:rsidRPr="002215D5">
        <w:rPr>
          <w:rFonts w:ascii="Book Antiqua" w:eastAsia="Book Antiqua" w:hAnsi="Book Antiqua" w:cs="Book Antiqua"/>
          <w:color w:val="000000"/>
        </w:rPr>
        <w:t xml:space="preserve"> 2016; </w:t>
      </w:r>
      <w:r w:rsidRPr="002215D5">
        <w:rPr>
          <w:rFonts w:ascii="Book Antiqua" w:eastAsia="Book Antiqua" w:hAnsi="Book Antiqua" w:cs="Book Antiqua"/>
          <w:b/>
          <w:bCs/>
          <w:color w:val="000000"/>
        </w:rPr>
        <w:t>10</w:t>
      </w:r>
      <w:r w:rsidRPr="002215D5">
        <w:rPr>
          <w:rFonts w:ascii="Book Antiqua" w:eastAsia="Book Antiqua" w:hAnsi="Book Antiqua" w:cs="Book Antiqua"/>
          <w:color w:val="000000"/>
        </w:rPr>
        <w:t>: 371-372 [PMID: 26546496 DOI: 10.1093/ecco-jcc/jjv206]</w:t>
      </w:r>
    </w:p>
    <w:p w14:paraId="790CC87D"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82 </w:t>
      </w:r>
      <w:r w:rsidRPr="002215D5">
        <w:rPr>
          <w:rFonts w:ascii="Book Antiqua" w:eastAsia="Book Antiqua" w:hAnsi="Book Antiqua" w:cs="Book Antiqua"/>
          <w:b/>
          <w:bCs/>
          <w:color w:val="000000"/>
        </w:rPr>
        <w:t>Van Assche G</w:t>
      </w:r>
      <w:r w:rsidRPr="002215D5">
        <w:rPr>
          <w:rFonts w:ascii="Book Antiqua" w:eastAsia="Book Antiqua" w:hAnsi="Book Antiqua" w:cs="Book Antiqua"/>
          <w:color w:val="000000"/>
        </w:rPr>
        <w:t xml:space="preserve">, Vermeire S, Ballet V, Gabriels F, Noman M, D'Haens G, Claessens C, Humblet E, Vande Casteele N, Gils A, Rutgeerts P. Switch to adalimumab in patients with Crohn's disease controlled by maintenance infliximab: prospective randomised SWITCH trial. </w:t>
      </w:r>
      <w:r w:rsidRPr="002215D5">
        <w:rPr>
          <w:rFonts w:ascii="Book Antiqua" w:eastAsia="Book Antiqua" w:hAnsi="Book Antiqua" w:cs="Book Antiqua"/>
          <w:i/>
          <w:iCs/>
          <w:color w:val="000000"/>
        </w:rPr>
        <w:t>Gut</w:t>
      </w:r>
      <w:r w:rsidRPr="002215D5">
        <w:rPr>
          <w:rFonts w:ascii="Book Antiqua" w:eastAsia="Book Antiqua" w:hAnsi="Book Antiqua" w:cs="Book Antiqua"/>
          <w:color w:val="000000"/>
        </w:rPr>
        <w:t xml:space="preserve"> 2012; </w:t>
      </w:r>
      <w:r w:rsidRPr="002215D5">
        <w:rPr>
          <w:rFonts w:ascii="Book Antiqua" w:eastAsia="Book Antiqua" w:hAnsi="Book Antiqua" w:cs="Book Antiqua"/>
          <w:b/>
          <w:bCs/>
          <w:color w:val="000000"/>
        </w:rPr>
        <w:t>61</w:t>
      </w:r>
      <w:r w:rsidRPr="002215D5">
        <w:rPr>
          <w:rFonts w:ascii="Book Antiqua" w:eastAsia="Book Antiqua" w:hAnsi="Book Antiqua" w:cs="Book Antiqua"/>
          <w:color w:val="000000"/>
        </w:rPr>
        <w:t>: 229-234 [PMID: 21948942 DOI: 10.1136/gutjnl-2011-300755]</w:t>
      </w:r>
    </w:p>
    <w:p w14:paraId="7A746EB3" w14:textId="6E7DB1F7" w:rsidR="00A77B3E" w:rsidRPr="002215D5" w:rsidRDefault="00BF1368" w:rsidP="002215D5">
      <w:pPr>
        <w:spacing w:line="360" w:lineRule="auto"/>
        <w:jc w:val="both"/>
        <w:rPr>
          <w:rFonts w:ascii="Book Antiqua" w:hAnsi="Book Antiqua" w:cs="Book Antiqua"/>
          <w:color w:val="000000"/>
          <w:lang w:eastAsia="zh-CN"/>
        </w:rPr>
      </w:pPr>
      <w:r w:rsidRPr="002215D5">
        <w:rPr>
          <w:rFonts w:ascii="Book Antiqua" w:eastAsia="Book Antiqua" w:hAnsi="Book Antiqua" w:cs="Book Antiqua"/>
          <w:color w:val="000000"/>
          <w:highlight w:val="yellow"/>
        </w:rPr>
        <w:t xml:space="preserve">83 </w:t>
      </w:r>
      <w:r w:rsidR="003F4861" w:rsidRPr="002215D5">
        <w:rPr>
          <w:rFonts w:ascii="Book Antiqua" w:eastAsia="Book Antiqua" w:hAnsi="Book Antiqua" w:cs="Book Antiqua"/>
          <w:b/>
          <w:bCs/>
          <w:color w:val="000000"/>
          <w:highlight w:val="yellow"/>
        </w:rPr>
        <w:t>Mcgregor</w:t>
      </w:r>
      <w:r w:rsidR="003F4861" w:rsidRPr="002215D5">
        <w:rPr>
          <w:rFonts w:ascii="Book Antiqua" w:hAnsi="Book Antiqua" w:cs="Book Antiqua"/>
          <w:b/>
          <w:bCs/>
          <w:color w:val="000000"/>
          <w:highlight w:val="yellow"/>
          <w:lang w:eastAsia="zh-CN"/>
        </w:rPr>
        <w:t xml:space="preserve"> </w:t>
      </w:r>
      <w:r w:rsidR="003F4861" w:rsidRPr="002215D5">
        <w:rPr>
          <w:rFonts w:ascii="Book Antiqua" w:eastAsia="Book Antiqua" w:hAnsi="Book Antiqua" w:cs="Book Antiqua"/>
          <w:b/>
          <w:bCs/>
          <w:color w:val="000000"/>
          <w:highlight w:val="yellow"/>
        </w:rPr>
        <w:t>CG</w:t>
      </w:r>
      <w:r w:rsidR="00F90D33" w:rsidRPr="002215D5">
        <w:rPr>
          <w:rFonts w:ascii="Book Antiqua" w:eastAsia="Book Antiqua" w:hAnsi="Book Antiqua" w:cs="Book Antiqua"/>
          <w:b/>
          <w:bCs/>
          <w:color w:val="000000"/>
          <w:highlight w:val="yellow"/>
        </w:rPr>
        <w:t xml:space="preserve">, </w:t>
      </w:r>
      <w:r w:rsidR="003F4861" w:rsidRPr="002215D5">
        <w:rPr>
          <w:rFonts w:ascii="Book Antiqua" w:eastAsia="Book Antiqua" w:hAnsi="Book Antiqua" w:cs="Book Antiqua"/>
          <w:bCs/>
          <w:color w:val="000000"/>
          <w:highlight w:val="yellow"/>
        </w:rPr>
        <w:t>Adams</w:t>
      </w:r>
      <w:r w:rsidR="003F4861" w:rsidRPr="002215D5">
        <w:rPr>
          <w:rFonts w:ascii="Book Antiqua" w:hAnsi="Book Antiqua" w:cs="Book Antiqua"/>
          <w:bCs/>
          <w:color w:val="000000"/>
          <w:highlight w:val="yellow"/>
          <w:lang w:eastAsia="zh-CN"/>
        </w:rPr>
        <w:t xml:space="preserve"> </w:t>
      </w:r>
      <w:r w:rsidR="003F4861" w:rsidRPr="002215D5">
        <w:rPr>
          <w:rFonts w:ascii="Book Antiqua" w:eastAsia="Book Antiqua" w:hAnsi="Book Antiqua" w:cs="Book Antiqua"/>
          <w:bCs/>
          <w:color w:val="000000"/>
          <w:highlight w:val="yellow"/>
        </w:rPr>
        <w:t>A</w:t>
      </w:r>
      <w:r w:rsidR="003F4861" w:rsidRPr="002215D5">
        <w:rPr>
          <w:rFonts w:ascii="Book Antiqua" w:eastAsia="SimSun" w:hAnsi="Book Antiqua" w:cs="SimSun"/>
          <w:bCs/>
          <w:color w:val="000000"/>
          <w:highlight w:val="yellow"/>
        </w:rPr>
        <w:t xml:space="preserve">, </w:t>
      </w:r>
      <w:r w:rsidR="003F4861" w:rsidRPr="002215D5">
        <w:rPr>
          <w:rFonts w:ascii="Book Antiqua" w:eastAsia="Book Antiqua" w:hAnsi="Book Antiqua" w:cs="Book Antiqua"/>
          <w:bCs/>
          <w:color w:val="000000"/>
          <w:highlight w:val="yellow"/>
        </w:rPr>
        <w:t>Sadler</w:t>
      </w:r>
      <w:r w:rsidR="003F4861" w:rsidRPr="002215D5">
        <w:rPr>
          <w:rFonts w:ascii="Book Antiqua" w:hAnsi="Book Antiqua" w:cs="Book Antiqua"/>
          <w:bCs/>
          <w:color w:val="000000"/>
          <w:highlight w:val="yellow"/>
          <w:lang w:eastAsia="zh-CN"/>
        </w:rPr>
        <w:t xml:space="preserve"> </w:t>
      </w:r>
      <w:r w:rsidR="003F4861" w:rsidRPr="002215D5">
        <w:rPr>
          <w:rFonts w:ascii="Book Antiqua" w:eastAsia="Book Antiqua" w:hAnsi="Book Antiqua" w:cs="Book Antiqua"/>
          <w:bCs/>
          <w:color w:val="000000"/>
          <w:highlight w:val="yellow"/>
        </w:rPr>
        <w:t>R</w:t>
      </w:r>
      <w:r w:rsidR="003F4861" w:rsidRPr="002215D5">
        <w:rPr>
          <w:rFonts w:ascii="Book Antiqua" w:eastAsia="SimSun" w:hAnsi="Book Antiqua" w:cs="SimSun"/>
          <w:bCs/>
          <w:color w:val="000000"/>
          <w:highlight w:val="yellow"/>
        </w:rPr>
        <w:t xml:space="preserve">, </w:t>
      </w:r>
      <w:r w:rsidR="003F4861" w:rsidRPr="002215D5">
        <w:rPr>
          <w:rFonts w:ascii="Book Antiqua" w:eastAsia="Book Antiqua" w:hAnsi="Book Antiqua" w:cs="Book Antiqua"/>
          <w:bCs/>
          <w:color w:val="000000"/>
          <w:highlight w:val="yellow"/>
        </w:rPr>
        <w:t>Arancibia-Cárcamo</w:t>
      </w:r>
      <w:r w:rsidR="003F4861" w:rsidRPr="002215D5">
        <w:rPr>
          <w:rFonts w:ascii="Book Antiqua" w:hAnsi="Book Antiqua" w:cs="Book Antiqua"/>
          <w:bCs/>
          <w:color w:val="000000"/>
          <w:highlight w:val="yellow"/>
          <w:lang w:eastAsia="zh-CN"/>
        </w:rPr>
        <w:t xml:space="preserve"> </w:t>
      </w:r>
      <w:r w:rsidR="003F4861" w:rsidRPr="002215D5">
        <w:rPr>
          <w:rFonts w:ascii="Book Antiqua" w:eastAsia="Book Antiqua" w:hAnsi="Book Antiqua" w:cs="Book Antiqua"/>
          <w:bCs/>
          <w:color w:val="000000"/>
          <w:highlight w:val="yellow"/>
        </w:rPr>
        <w:t>CV</w:t>
      </w:r>
      <w:r w:rsidR="003F4861" w:rsidRPr="002215D5">
        <w:rPr>
          <w:rFonts w:ascii="Book Antiqua" w:eastAsia="SimSun" w:hAnsi="Book Antiqua" w:cs="SimSun"/>
          <w:bCs/>
          <w:color w:val="000000"/>
          <w:highlight w:val="yellow"/>
        </w:rPr>
        <w:t xml:space="preserve">, </w:t>
      </w:r>
      <w:r w:rsidR="003F4861" w:rsidRPr="002215D5">
        <w:rPr>
          <w:rFonts w:ascii="Book Antiqua" w:eastAsia="Book Antiqua" w:hAnsi="Book Antiqua" w:cs="Book Antiqua"/>
          <w:bCs/>
          <w:color w:val="000000"/>
          <w:highlight w:val="yellow"/>
        </w:rPr>
        <w:t>Satsangi</w:t>
      </w:r>
      <w:r w:rsidRPr="002215D5">
        <w:rPr>
          <w:rFonts w:ascii="Book Antiqua" w:eastAsia="Book Antiqua" w:hAnsi="Book Antiqua" w:cs="Book Antiqua"/>
          <w:color w:val="000000"/>
          <w:highlight w:val="yellow"/>
        </w:rPr>
        <w:t xml:space="preserve"> </w:t>
      </w:r>
      <w:bookmarkStart w:id="16" w:name="OLE_LINK622"/>
      <w:bookmarkStart w:id="17" w:name="OLE_LINK623"/>
      <w:r w:rsidR="003F4861" w:rsidRPr="002215D5">
        <w:rPr>
          <w:rFonts w:ascii="Book Antiqua" w:eastAsia="Book Antiqua" w:hAnsi="Book Antiqua" w:cs="Book Antiqua"/>
          <w:bCs/>
          <w:color w:val="000000"/>
          <w:highlight w:val="yellow"/>
        </w:rPr>
        <w:t>J</w:t>
      </w:r>
      <w:r w:rsidR="003F4861" w:rsidRPr="002215D5">
        <w:rPr>
          <w:rFonts w:ascii="Book Antiqua" w:hAnsi="Book Antiqua" w:cs="Book Antiqua"/>
          <w:bCs/>
          <w:color w:val="000000"/>
          <w:highlight w:val="yellow"/>
          <w:lang w:eastAsia="zh-CN"/>
        </w:rPr>
        <w:t>.</w:t>
      </w:r>
      <w:r w:rsidR="003F4861" w:rsidRPr="002215D5">
        <w:rPr>
          <w:rFonts w:ascii="Book Antiqua" w:eastAsia="Book Antiqua" w:hAnsi="Book Antiqua" w:cs="Book Antiqua"/>
          <w:color w:val="000000"/>
          <w:highlight w:val="yellow"/>
        </w:rPr>
        <w:t xml:space="preserve"> </w:t>
      </w:r>
      <w:r w:rsidRPr="002215D5">
        <w:rPr>
          <w:rFonts w:ascii="Book Antiqua" w:eastAsia="Book Antiqua" w:hAnsi="Book Antiqua" w:cs="Book Antiqua"/>
          <w:color w:val="000000"/>
          <w:highlight w:val="yellow"/>
        </w:rPr>
        <w:t>Maintenance therapy with infliximab or vedolizumab in inflammatory bowel disease is not associated with increased SARS-CoV-2 seroprevalence: UK experience in the 2020 pandemic</w:t>
      </w:r>
      <w:bookmarkEnd w:id="16"/>
      <w:bookmarkEnd w:id="17"/>
      <w:r w:rsidRPr="002215D5">
        <w:rPr>
          <w:rFonts w:ascii="Book Antiqua" w:eastAsia="Book Antiqua" w:hAnsi="Book Antiqua" w:cs="Book Antiqua"/>
          <w:color w:val="000000"/>
          <w:highlight w:val="yellow"/>
        </w:rPr>
        <w:t xml:space="preserve">. </w:t>
      </w:r>
      <w:r w:rsidR="00F90D33" w:rsidRPr="002215D5">
        <w:rPr>
          <w:rFonts w:ascii="Book Antiqua" w:eastAsia="Book Antiqua" w:hAnsi="Book Antiqua" w:cs="Book Antiqua"/>
          <w:color w:val="000000"/>
          <w:highlight w:val="yellow"/>
        </w:rPr>
        <w:t xml:space="preserve">2020 Preprint. Available from: </w:t>
      </w:r>
      <w:r w:rsidRPr="002215D5">
        <w:rPr>
          <w:rFonts w:ascii="Book Antiqua" w:eastAsia="Book Antiqua" w:hAnsi="Book Antiqua" w:cs="Book Antiqua"/>
          <w:color w:val="000000"/>
          <w:highlight w:val="yellow"/>
        </w:rPr>
        <w:t>medRxiv</w:t>
      </w:r>
      <w:r w:rsidR="003F4861" w:rsidRPr="002215D5">
        <w:rPr>
          <w:rFonts w:ascii="Book Antiqua" w:hAnsi="Book Antiqua" w:cs="Book Antiqua"/>
          <w:color w:val="000000"/>
          <w:highlight w:val="yellow"/>
          <w:lang w:eastAsia="zh-CN"/>
        </w:rPr>
        <w:t xml:space="preserve"> [DOI: 10.1101/2020.12.12.20247841]</w:t>
      </w:r>
    </w:p>
    <w:p w14:paraId="5FC7BCA4"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84 </w:t>
      </w:r>
      <w:r w:rsidRPr="002215D5">
        <w:rPr>
          <w:rFonts w:ascii="Book Antiqua" w:eastAsia="Book Antiqua" w:hAnsi="Book Antiqua" w:cs="Book Antiqua"/>
          <w:b/>
          <w:bCs/>
          <w:color w:val="000000"/>
        </w:rPr>
        <w:t>Zingone F</w:t>
      </w:r>
      <w:r w:rsidRPr="002215D5">
        <w:rPr>
          <w:rFonts w:ascii="Book Antiqua" w:eastAsia="Book Antiqua" w:hAnsi="Book Antiqua" w:cs="Book Antiqua"/>
          <w:color w:val="000000"/>
        </w:rPr>
        <w:t xml:space="preserve">, Savarino EV. Viral screening before initiation of biologics in patients with inflammatory bowel disease during the COVID-19 outbreak. </w:t>
      </w:r>
      <w:r w:rsidRPr="002215D5">
        <w:rPr>
          <w:rFonts w:ascii="Book Antiqua" w:eastAsia="Book Antiqua" w:hAnsi="Book Antiqua" w:cs="Book Antiqua"/>
          <w:i/>
          <w:iCs/>
          <w:color w:val="000000"/>
        </w:rPr>
        <w:t>Lancet Gastroenterol Hepatol</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5</w:t>
      </w:r>
      <w:r w:rsidRPr="002215D5">
        <w:rPr>
          <w:rFonts w:ascii="Book Antiqua" w:eastAsia="Book Antiqua" w:hAnsi="Book Antiqua" w:cs="Book Antiqua"/>
          <w:color w:val="000000"/>
        </w:rPr>
        <w:t>: 525 [PMID: 32220656 DOI: 10.1016/S2468-1253(20)30085-6]</w:t>
      </w:r>
    </w:p>
    <w:p w14:paraId="0C9CC3E9"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lastRenderedPageBreak/>
        <w:t xml:space="preserve">85 </w:t>
      </w:r>
      <w:r w:rsidRPr="002215D5">
        <w:rPr>
          <w:rFonts w:ascii="Book Antiqua" w:eastAsia="Book Antiqua" w:hAnsi="Book Antiqua" w:cs="Book Antiqua"/>
          <w:b/>
          <w:bCs/>
          <w:color w:val="000000"/>
        </w:rPr>
        <w:t>Allez M</w:t>
      </w:r>
      <w:r w:rsidRPr="002215D5">
        <w:rPr>
          <w:rFonts w:ascii="Book Antiqua" w:eastAsia="Book Antiqua" w:hAnsi="Book Antiqua" w:cs="Book Antiqua"/>
          <w:color w:val="000000"/>
        </w:rPr>
        <w:t xml:space="preserve">, Fleshner P, Gearry R, Lakatos PL, Rubin DT. Care of the Patient With IBD Requiring Hospitalisation During the COVID-19 Pandemic. </w:t>
      </w:r>
      <w:r w:rsidRPr="002215D5">
        <w:rPr>
          <w:rFonts w:ascii="Book Antiqua" w:eastAsia="Book Antiqua" w:hAnsi="Book Antiqua" w:cs="Book Antiqua"/>
          <w:i/>
          <w:iCs/>
          <w:color w:val="000000"/>
        </w:rPr>
        <w:t>J Crohns Colitis</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14</w:t>
      </w:r>
      <w:r w:rsidRPr="002215D5">
        <w:rPr>
          <w:rFonts w:ascii="Book Antiqua" w:eastAsia="Book Antiqua" w:hAnsi="Book Antiqua" w:cs="Book Antiqua"/>
          <w:color w:val="000000"/>
        </w:rPr>
        <w:t>: S774-S779 [PMID: 32722757 DOI: 10.1093/ecco-jcc/jjaa150]</w:t>
      </w:r>
    </w:p>
    <w:p w14:paraId="75147D6F"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86 </w:t>
      </w:r>
      <w:r w:rsidRPr="002215D5">
        <w:rPr>
          <w:rFonts w:ascii="Book Antiqua" w:eastAsia="Book Antiqua" w:hAnsi="Book Antiqua" w:cs="Book Antiqua"/>
          <w:b/>
          <w:bCs/>
          <w:color w:val="000000"/>
        </w:rPr>
        <w:t>Dubey S</w:t>
      </w:r>
      <w:r w:rsidRPr="002215D5">
        <w:rPr>
          <w:rFonts w:ascii="Book Antiqua" w:eastAsia="Book Antiqua" w:hAnsi="Book Antiqua" w:cs="Book Antiqua"/>
          <w:color w:val="000000"/>
        </w:rPr>
        <w:t xml:space="preserve">, Biswas P, Ghosh R, Chatterjee S, Dubey MJ, Chatterjee S, Lahiri D, Lavie CJ. Psychosocial impact of COVID-19. </w:t>
      </w:r>
      <w:r w:rsidRPr="002215D5">
        <w:rPr>
          <w:rFonts w:ascii="Book Antiqua" w:eastAsia="Book Antiqua" w:hAnsi="Book Antiqua" w:cs="Book Antiqua"/>
          <w:i/>
          <w:iCs/>
          <w:color w:val="000000"/>
        </w:rPr>
        <w:t>Diabetes Metab Syndr</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14</w:t>
      </w:r>
      <w:r w:rsidRPr="002215D5">
        <w:rPr>
          <w:rFonts w:ascii="Book Antiqua" w:eastAsia="Book Antiqua" w:hAnsi="Book Antiqua" w:cs="Book Antiqua"/>
          <w:color w:val="000000"/>
        </w:rPr>
        <w:t>: 779-788 [PMID: 32526627 DOI: 10.1016/j.dsx.2020.05.035]</w:t>
      </w:r>
    </w:p>
    <w:p w14:paraId="2E1D0994"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87 </w:t>
      </w:r>
      <w:r w:rsidRPr="002215D5">
        <w:rPr>
          <w:rFonts w:ascii="Book Antiqua" w:eastAsia="Book Antiqua" w:hAnsi="Book Antiqua" w:cs="Book Antiqua"/>
          <w:b/>
          <w:bCs/>
          <w:color w:val="000000"/>
        </w:rPr>
        <w:t>Sajadinejad MS</w:t>
      </w:r>
      <w:r w:rsidRPr="002215D5">
        <w:rPr>
          <w:rFonts w:ascii="Book Antiqua" w:eastAsia="Book Antiqua" w:hAnsi="Book Antiqua" w:cs="Book Antiqua"/>
          <w:color w:val="000000"/>
        </w:rPr>
        <w:t xml:space="preserve">, Asgari K, Molavi H, Kalantari M, Adibi P. Psychological issues in inflammatory bowel disease: an overview. </w:t>
      </w:r>
      <w:r w:rsidRPr="002215D5">
        <w:rPr>
          <w:rFonts w:ascii="Book Antiqua" w:eastAsia="Book Antiqua" w:hAnsi="Book Antiqua" w:cs="Book Antiqua"/>
          <w:i/>
          <w:iCs/>
          <w:color w:val="000000"/>
        </w:rPr>
        <w:t>Gastroenterol Res Pract</w:t>
      </w:r>
      <w:r w:rsidRPr="002215D5">
        <w:rPr>
          <w:rFonts w:ascii="Book Antiqua" w:eastAsia="Book Antiqua" w:hAnsi="Book Antiqua" w:cs="Book Antiqua"/>
          <w:color w:val="000000"/>
        </w:rPr>
        <w:t xml:space="preserve"> 2012; </w:t>
      </w:r>
      <w:r w:rsidRPr="002215D5">
        <w:rPr>
          <w:rFonts w:ascii="Book Antiqua" w:eastAsia="Book Antiqua" w:hAnsi="Book Antiqua" w:cs="Book Antiqua"/>
          <w:b/>
          <w:bCs/>
          <w:color w:val="000000"/>
        </w:rPr>
        <w:t>2012</w:t>
      </w:r>
      <w:r w:rsidRPr="002215D5">
        <w:rPr>
          <w:rFonts w:ascii="Book Antiqua" w:eastAsia="Book Antiqua" w:hAnsi="Book Antiqua" w:cs="Book Antiqua"/>
          <w:color w:val="000000"/>
        </w:rPr>
        <w:t>: 106502 [PMID: 22778720 DOI: 10.1155/2012/106502]</w:t>
      </w:r>
    </w:p>
    <w:p w14:paraId="2B054F27"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88 </w:t>
      </w:r>
      <w:r w:rsidRPr="002215D5">
        <w:rPr>
          <w:rFonts w:ascii="Book Antiqua" w:eastAsia="Book Antiqua" w:hAnsi="Book Antiqua" w:cs="Book Antiqua"/>
          <w:b/>
          <w:bCs/>
          <w:color w:val="000000"/>
        </w:rPr>
        <w:t>Graff LA</w:t>
      </w:r>
      <w:r w:rsidRPr="002215D5">
        <w:rPr>
          <w:rFonts w:ascii="Book Antiqua" w:eastAsia="Book Antiqua" w:hAnsi="Book Antiqua" w:cs="Book Antiqua"/>
          <w:color w:val="000000"/>
        </w:rPr>
        <w:t xml:space="preserve">, Walker JR, Bernstein CN. Depression and anxiety in inflammatory bowel disease: a review of comorbidity and management. </w:t>
      </w:r>
      <w:r w:rsidRPr="002215D5">
        <w:rPr>
          <w:rFonts w:ascii="Book Antiqua" w:eastAsia="Book Antiqua" w:hAnsi="Book Antiqua" w:cs="Book Antiqua"/>
          <w:i/>
          <w:iCs/>
          <w:color w:val="000000"/>
        </w:rPr>
        <w:t>Inflamm Bowel Dis</w:t>
      </w:r>
      <w:r w:rsidRPr="002215D5">
        <w:rPr>
          <w:rFonts w:ascii="Book Antiqua" w:eastAsia="Book Antiqua" w:hAnsi="Book Antiqua" w:cs="Book Antiqua"/>
          <w:color w:val="000000"/>
        </w:rPr>
        <w:t xml:space="preserve"> 2009; </w:t>
      </w:r>
      <w:r w:rsidRPr="002215D5">
        <w:rPr>
          <w:rFonts w:ascii="Book Antiqua" w:eastAsia="Book Antiqua" w:hAnsi="Book Antiqua" w:cs="Book Antiqua"/>
          <w:b/>
          <w:bCs/>
          <w:color w:val="000000"/>
        </w:rPr>
        <w:t>15</w:t>
      </w:r>
      <w:r w:rsidRPr="002215D5">
        <w:rPr>
          <w:rFonts w:ascii="Book Antiqua" w:eastAsia="Book Antiqua" w:hAnsi="Book Antiqua" w:cs="Book Antiqua"/>
          <w:color w:val="000000"/>
        </w:rPr>
        <w:t>: 1105-1118 [PMID: 19161177 DOI: 10.1002/ibd.20873]</w:t>
      </w:r>
    </w:p>
    <w:p w14:paraId="05BA6396"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89 </w:t>
      </w:r>
      <w:r w:rsidRPr="002215D5">
        <w:rPr>
          <w:rFonts w:ascii="Book Antiqua" w:eastAsia="Book Antiqua" w:hAnsi="Book Antiqua" w:cs="Book Antiqua"/>
          <w:b/>
          <w:bCs/>
          <w:color w:val="000000"/>
        </w:rPr>
        <w:t>Neuendorf R</w:t>
      </w:r>
      <w:r w:rsidRPr="002215D5">
        <w:rPr>
          <w:rFonts w:ascii="Book Antiqua" w:eastAsia="Book Antiqua" w:hAnsi="Book Antiqua" w:cs="Book Antiqua"/>
          <w:color w:val="000000"/>
        </w:rPr>
        <w:t xml:space="preserve">, Harding A, Stello N, Hanes D, Wahbeh H. Depression and anxiety in patients with Inflammatory Bowel Disease: A systematic review. </w:t>
      </w:r>
      <w:r w:rsidRPr="002215D5">
        <w:rPr>
          <w:rFonts w:ascii="Book Antiqua" w:eastAsia="Book Antiqua" w:hAnsi="Book Antiqua" w:cs="Book Antiqua"/>
          <w:i/>
          <w:iCs/>
          <w:color w:val="000000"/>
        </w:rPr>
        <w:t>J Psychosom Res</w:t>
      </w:r>
      <w:r w:rsidRPr="002215D5">
        <w:rPr>
          <w:rFonts w:ascii="Book Antiqua" w:eastAsia="Book Antiqua" w:hAnsi="Book Antiqua" w:cs="Book Antiqua"/>
          <w:color w:val="000000"/>
        </w:rPr>
        <w:t xml:space="preserve"> 2016; </w:t>
      </w:r>
      <w:r w:rsidRPr="002215D5">
        <w:rPr>
          <w:rFonts w:ascii="Book Antiqua" w:eastAsia="Book Antiqua" w:hAnsi="Book Antiqua" w:cs="Book Antiqua"/>
          <w:b/>
          <w:bCs/>
          <w:color w:val="000000"/>
        </w:rPr>
        <w:t>87</w:t>
      </w:r>
      <w:r w:rsidRPr="002215D5">
        <w:rPr>
          <w:rFonts w:ascii="Book Antiqua" w:eastAsia="Book Antiqua" w:hAnsi="Book Antiqua" w:cs="Book Antiqua"/>
          <w:color w:val="000000"/>
        </w:rPr>
        <w:t>: 70-80 [PMID: 27411754 DOI: 10.1016/j.jpsychores.2016.06.001]</w:t>
      </w:r>
    </w:p>
    <w:p w14:paraId="5A8B31DB"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90 </w:t>
      </w:r>
      <w:r w:rsidRPr="002215D5">
        <w:rPr>
          <w:rFonts w:ascii="Book Antiqua" w:eastAsia="Book Antiqua" w:hAnsi="Book Antiqua" w:cs="Book Antiqua"/>
          <w:b/>
          <w:bCs/>
          <w:color w:val="000000"/>
        </w:rPr>
        <w:t>D'Amico F</w:t>
      </w:r>
      <w:r w:rsidRPr="002215D5">
        <w:rPr>
          <w:rFonts w:ascii="Book Antiqua" w:eastAsia="Book Antiqua" w:hAnsi="Book Antiqua" w:cs="Book Antiqua"/>
          <w:color w:val="000000"/>
        </w:rPr>
        <w:t xml:space="preserve">, Rahier JF, Leone S, Peyrin-Biroulet L, Danese S. Views of patients with inflammatory bowel disease on the COVID-19 pandemic: a global survey. </w:t>
      </w:r>
      <w:r w:rsidRPr="002215D5">
        <w:rPr>
          <w:rFonts w:ascii="Book Antiqua" w:eastAsia="Book Antiqua" w:hAnsi="Book Antiqua" w:cs="Book Antiqua"/>
          <w:i/>
          <w:iCs/>
          <w:color w:val="000000"/>
        </w:rPr>
        <w:t>Lancet Gastroenterol Hepatol</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5</w:t>
      </w:r>
      <w:r w:rsidRPr="002215D5">
        <w:rPr>
          <w:rFonts w:ascii="Book Antiqua" w:eastAsia="Book Antiqua" w:hAnsi="Book Antiqua" w:cs="Book Antiqua"/>
          <w:color w:val="000000"/>
        </w:rPr>
        <w:t>: 631-632 [PMID: 32411920 DOI: 10.1016/S2468-1253(20)30151-5]</w:t>
      </w:r>
    </w:p>
    <w:p w14:paraId="29047986"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91 </w:t>
      </w:r>
      <w:r w:rsidRPr="002215D5">
        <w:rPr>
          <w:rFonts w:ascii="Book Antiqua" w:eastAsia="Book Antiqua" w:hAnsi="Book Antiqua" w:cs="Book Antiqua"/>
          <w:b/>
          <w:bCs/>
          <w:color w:val="000000"/>
        </w:rPr>
        <w:t>Siegel CA</w:t>
      </w:r>
      <w:r w:rsidRPr="002215D5">
        <w:rPr>
          <w:rFonts w:ascii="Book Antiqua" w:eastAsia="Book Antiqua" w:hAnsi="Book Antiqua" w:cs="Book Antiqua"/>
          <w:color w:val="000000"/>
        </w:rPr>
        <w:t xml:space="preserve">, Melmed GY, McGovern DP, Rai V, Krammer F, Rubin DT, Abreu MT, Dubinsky MC; International Organization for the Study of Inflammatory Bowel Disease (IOIBD); International Organization for the Study of Inflammatory Bowel Diseases (IOIBD). SARS-CoV-2 vaccination for patients with inflammatory bowel diseases: recommendations from an international consensus meeting. </w:t>
      </w:r>
      <w:r w:rsidRPr="002215D5">
        <w:rPr>
          <w:rFonts w:ascii="Book Antiqua" w:eastAsia="Book Antiqua" w:hAnsi="Book Antiqua" w:cs="Book Antiqua"/>
          <w:i/>
          <w:iCs/>
          <w:color w:val="000000"/>
        </w:rPr>
        <w:t>Gut</w:t>
      </w:r>
      <w:r w:rsidRPr="002215D5">
        <w:rPr>
          <w:rFonts w:ascii="Book Antiqua" w:eastAsia="Book Antiqua" w:hAnsi="Book Antiqua" w:cs="Book Antiqua"/>
          <w:color w:val="000000"/>
        </w:rPr>
        <w:t xml:space="preserve"> 2021; </w:t>
      </w:r>
      <w:r w:rsidRPr="002215D5">
        <w:rPr>
          <w:rFonts w:ascii="Book Antiqua" w:eastAsia="Book Antiqua" w:hAnsi="Book Antiqua" w:cs="Book Antiqua"/>
          <w:b/>
          <w:bCs/>
          <w:color w:val="000000"/>
        </w:rPr>
        <w:t>70</w:t>
      </w:r>
      <w:r w:rsidRPr="002215D5">
        <w:rPr>
          <w:rFonts w:ascii="Book Antiqua" w:eastAsia="Book Antiqua" w:hAnsi="Book Antiqua" w:cs="Book Antiqua"/>
          <w:color w:val="000000"/>
        </w:rPr>
        <w:t>: 635-640 [PMID: 33472895 DOI: 10.1136/gutjnl-2020-324000]</w:t>
      </w:r>
    </w:p>
    <w:p w14:paraId="2BB6D0CA"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92 </w:t>
      </w:r>
      <w:r w:rsidRPr="002215D5">
        <w:rPr>
          <w:rFonts w:ascii="Book Antiqua" w:eastAsia="Book Antiqua" w:hAnsi="Book Antiqua" w:cs="Book Antiqua"/>
          <w:b/>
          <w:bCs/>
          <w:color w:val="000000"/>
        </w:rPr>
        <w:t>Fiorino G</w:t>
      </w:r>
      <w:r w:rsidRPr="002215D5">
        <w:rPr>
          <w:rFonts w:ascii="Book Antiqua" w:eastAsia="Book Antiqua" w:hAnsi="Book Antiqua" w:cs="Book Antiqua"/>
          <w:color w:val="000000"/>
        </w:rPr>
        <w:t xml:space="preserve">, Lytras T, Younge L, Fidalgo C, Coenen S, Chaparro M, Allocca M, Arnott I, Bossuyt P, Burisch J, Campmans-Kuijpers M, de Ridder L, Dignass A, Drohan C, Feakins R, Gilardi D, Grosek J, Groß E, Hart A, Jäghult S, Katsanos K, Lönnfors S, Panis Y, Perovic M, Pierik M, Rimola J, Tulchinsky H, Gisbert JP. Quality of Care Standards in Inflammatory Bowel Diseases: a European Crohn's and Colitis Organisation [ECCO] </w:t>
      </w:r>
      <w:r w:rsidRPr="002215D5">
        <w:rPr>
          <w:rFonts w:ascii="Book Antiqua" w:eastAsia="Book Antiqua" w:hAnsi="Book Antiqua" w:cs="Book Antiqua"/>
          <w:color w:val="000000"/>
        </w:rPr>
        <w:lastRenderedPageBreak/>
        <w:t xml:space="preserve">Position Paper. </w:t>
      </w:r>
      <w:r w:rsidRPr="002215D5">
        <w:rPr>
          <w:rFonts w:ascii="Book Antiqua" w:eastAsia="Book Antiqua" w:hAnsi="Book Antiqua" w:cs="Book Antiqua"/>
          <w:i/>
          <w:iCs/>
          <w:color w:val="000000"/>
        </w:rPr>
        <w:t>J Crohns Colitis</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14</w:t>
      </w:r>
      <w:r w:rsidRPr="002215D5">
        <w:rPr>
          <w:rFonts w:ascii="Book Antiqua" w:eastAsia="Book Antiqua" w:hAnsi="Book Antiqua" w:cs="Book Antiqua"/>
          <w:color w:val="000000"/>
        </w:rPr>
        <w:t>: 1037-1048 [PMID: 32032423 DOI: 10.1093/ecco-jcc/jjaa023]</w:t>
      </w:r>
    </w:p>
    <w:p w14:paraId="1F749752"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93 </w:t>
      </w:r>
      <w:r w:rsidRPr="002215D5">
        <w:rPr>
          <w:rFonts w:ascii="Book Antiqua" w:eastAsia="Book Antiqua" w:hAnsi="Book Antiqua" w:cs="Book Antiqua"/>
          <w:b/>
          <w:bCs/>
          <w:color w:val="000000"/>
        </w:rPr>
        <w:t>Melmed GY</w:t>
      </w:r>
      <w:r w:rsidRPr="002215D5">
        <w:rPr>
          <w:rFonts w:ascii="Book Antiqua" w:eastAsia="Book Antiqua" w:hAnsi="Book Antiqua" w:cs="Book Antiqua"/>
          <w:color w:val="000000"/>
        </w:rPr>
        <w:t xml:space="preserve">, Agarwal N, Frenck RW, Ippoliti AF, Ibanez P, Papadakis KA, Simpson P, Barolet-Garcia C, Ward J, Targan SR, Vasiliauskas EA. Immunosuppression impairs response to pneumococcal polysaccharide vaccination in patients with inflammatory bowel disease. </w:t>
      </w:r>
      <w:r w:rsidRPr="002215D5">
        <w:rPr>
          <w:rFonts w:ascii="Book Antiqua" w:eastAsia="Book Antiqua" w:hAnsi="Book Antiqua" w:cs="Book Antiqua"/>
          <w:i/>
          <w:iCs/>
          <w:color w:val="000000"/>
        </w:rPr>
        <w:t>Am J Gastroenterol</w:t>
      </w:r>
      <w:r w:rsidRPr="002215D5">
        <w:rPr>
          <w:rFonts w:ascii="Book Antiqua" w:eastAsia="Book Antiqua" w:hAnsi="Book Antiqua" w:cs="Book Antiqua"/>
          <w:color w:val="000000"/>
        </w:rPr>
        <w:t xml:space="preserve"> 2010; </w:t>
      </w:r>
      <w:r w:rsidRPr="002215D5">
        <w:rPr>
          <w:rFonts w:ascii="Book Antiqua" w:eastAsia="Book Antiqua" w:hAnsi="Book Antiqua" w:cs="Book Antiqua"/>
          <w:b/>
          <w:bCs/>
          <w:color w:val="000000"/>
        </w:rPr>
        <w:t>105</w:t>
      </w:r>
      <w:r w:rsidRPr="002215D5">
        <w:rPr>
          <w:rFonts w:ascii="Book Antiqua" w:eastAsia="Book Antiqua" w:hAnsi="Book Antiqua" w:cs="Book Antiqua"/>
          <w:color w:val="000000"/>
        </w:rPr>
        <w:t>: 148-154 [PMID: 19755964 DOI: 10.1038/ajg.2009.523]</w:t>
      </w:r>
    </w:p>
    <w:p w14:paraId="56DDF8A2"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94 </w:t>
      </w:r>
      <w:r w:rsidRPr="002215D5">
        <w:rPr>
          <w:rFonts w:ascii="Book Antiqua" w:eastAsia="Book Antiqua" w:hAnsi="Book Antiqua" w:cs="Book Antiqua"/>
          <w:b/>
          <w:bCs/>
          <w:color w:val="000000"/>
        </w:rPr>
        <w:t>Mamula P</w:t>
      </w:r>
      <w:r w:rsidRPr="002215D5">
        <w:rPr>
          <w:rFonts w:ascii="Book Antiqua" w:eastAsia="Book Antiqua" w:hAnsi="Book Antiqua" w:cs="Book Antiqua"/>
          <w:color w:val="000000"/>
        </w:rPr>
        <w:t xml:space="preserve">, Markowitz JE, Piccoli DA, Klimov A, Cohen L, Baldassano RN. Immune response to influenza vaccine in pediatric patients with inflammatory bowel disease. </w:t>
      </w:r>
      <w:r w:rsidRPr="002215D5">
        <w:rPr>
          <w:rFonts w:ascii="Book Antiqua" w:eastAsia="Book Antiqua" w:hAnsi="Book Antiqua" w:cs="Book Antiqua"/>
          <w:i/>
          <w:iCs/>
          <w:color w:val="000000"/>
        </w:rPr>
        <w:t>Clin Gastroenterol Hepatol</w:t>
      </w:r>
      <w:r w:rsidRPr="002215D5">
        <w:rPr>
          <w:rFonts w:ascii="Book Antiqua" w:eastAsia="Book Antiqua" w:hAnsi="Book Antiqua" w:cs="Book Antiqua"/>
          <w:color w:val="000000"/>
        </w:rPr>
        <w:t xml:space="preserve"> 2007; </w:t>
      </w:r>
      <w:r w:rsidRPr="002215D5">
        <w:rPr>
          <w:rFonts w:ascii="Book Antiqua" w:eastAsia="Book Antiqua" w:hAnsi="Book Antiqua" w:cs="Book Antiqua"/>
          <w:b/>
          <w:bCs/>
          <w:color w:val="000000"/>
        </w:rPr>
        <w:t>5</w:t>
      </w:r>
      <w:r w:rsidRPr="002215D5">
        <w:rPr>
          <w:rFonts w:ascii="Book Antiqua" w:eastAsia="Book Antiqua" w:hAnsi="Book Antiqua" w:cs="Book Antiqua"/>
          <w:color w:val="000000"/>
        </w:rPr>
        <w:t>: 851-856 [PMID: 17544875 DOI: 10.1016/j.cgh.2007.02.035]</w:t>
      </w:r>
    </w:p>
    <w:p w14:paraId="1C984282"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95 </w:t>
      </w:r>
      <w:r w:rsidRPr="002215D5">
        <w:rPr>
          <w:rFonts w:ascii="Book Antiqua" w:eastAsia="Book Antiqua" w:hAnsi="Book Antiqua" w:cs="Book Antiqua"/>
          <w:b/>
          <w:bCs/>
          <w:color w:val="000000"/>
        </w:rPr>
        <w:t>Caldera F</w:t>
      </w:r>
      <w:r w:rsidRPr="002215D5">
        <w:rPr>
          <w:rFonts w:ascii="Book Antiqua" w:eastAsia="Book Antiqua" w:hAnsi="Book Antiqua" w:cs="Book Antiqua"/>
          <w:color w:val="000000"/>
        </w:rPr>
        <w:t xml:space="preserve">, Hillman L, Saha S, Wald A, Grimes I, Zhang Y, Sharpe AR, Reichelderfer M, Hayney MS. Immunogenicity of High Dose Influenza Vaccine for Patients with Inflammatory Bowel Disease on Anti-TNF Monotherapy: A Randomized Clinical Trial. </w:t>
      </w:r>
      <w:r w:rsidRPr="002215D5">
        <w:rPr>
          <w:rFonts w:ascii="Book Antiqua" w:eastAsia="Book Antiqua" w:hAnsi="Book Antiqua" w:cs="Book Antiqua"/>
          <w:i/>
          <w:iCs/>
          <w:color w:val="000000"/>
        </w:rPr>
        <w:t>Inflamm Bowel Dis</w:t>
      </w:r>
      <w:r w:rsidRPr="002215D5">
        <w:rPr>
          <w:rFonts w:ascii="Book Antiqua" w:eastAsia="Book Antiqua" w:hAnsi="Book Antiqua" w:cs="Book Antiqua"/>
          <w:color w:val="000000"/>
        </w:rPr>
        <w:t xml:space="preserve"> 2020; </w:t>
      </w:r>
      <w:r w:rsidRPr="002215D5">
        <w:rPr>
          <w:rFonts w:ascii="Book Antiqua" w:eastAsia="Book Antiqua" w:hAnsi="Book Antiqua" w:cs="Book Antiqua"/>
          <w:b/>
          <w:bCs/>
          <w:color w:val="000000"/>
        </w:rPr>
        <w:t>26</w:t>
      </w:r>
      <w:r w:rsidRPr="002215D5">
        <w:rPr>
          <w:rFonts w:ascii="Book Antiqua" w:eastAsia="Book Antiqua" w:hAnsi="Book Antiqua" w:cs="Book Antiqua"/>
          <w:color w:val="000000"/>
        </w:rPr>
        <w:t>: 593-602 [PMID: 31504526 DOI: 10.1093/ibd/izz164]</w:t>
      </w:r>
    </w:p>
    <w:p w14:paraId="183C3F09"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 xml:space="preserve">96 </w:t>
      </w:r>
      <w:r w:rsidRPr="002215D5">
        <w:rPr>
          <w:rFonts w:ascii="Book Antiqua" w:eastAsia="Book Antiqua" w:hAnsi="Book Antiqua" w:cs="Book Antiqua"/>
          <w:b/>
          <w:bCs/>
          <w:color w:val="000000"/>
        </w:rPr>
        <w:t>Brodmerkel C</w:t>
      </w:r>
      <w:r w:rsidRPr="002215D5">
        <w:rPr>
          <w:rFonts w:ascii="Book Antiqua" w:eastAsia="Book Antiqua" w:hAnsi="Book Antiqua" w:cs="Book Antiqua"/>
          <w:color w:val="000000"/>
        </w:rPr>
        <w:t xml:space="preserve">, Wadman E, Langley RG, Papp KA, Bourcier M, Poulin Y, Ho V, Guenther L, Kunynetz R, Nigen S, Vender R, Wasel N, Hsu MC, Szapary P. Immune response to pneumococcus and tetanus toxoid in patients with moderate-to-severe psoriasis following long-term ustekinumab use. </w:t>
      </w:r>
      <w:r w:rsidRPr="002215D5">
        <w:rPr>
          <w:rFonts w:ascii="Book Antiqua" w:eastAsia="Book Antiqua" w:hAnsi="Book Antiqua" w:cs="Book Antiqua"/>
          <w:i/>
          <w:iCs/>
          <w:color w:val="000000"/>
        </w:rPr>
        <w:t>J Drugs Dermatol</w:t>
      </w:r>
      <w:r w:rsidRPr="002215D5">
        <w:rPr>
          <w:rFonts w:ascii="Book Antiqua" w:eastAsia="Book Antiqua" w:hAnsi="Book Antiqua" w:cs="Book Antiqua"/>
          <w:color w:val="000000"/>
        </w:rPr>
        <w:t xml:space="preserve"> 2013; </w:t>
      </w:r>
      <w:r w:rsidRPr="002215D5">
        <w:rPr>
          <w:rFonts w:ascii="Book Antiqua" w:eastAsia="Book Antiqua" w:hAnsi="Book Antiqua" w:cs="Book Antiqua"/>
          <w:b/>
          <w:bCs/>
          <w:color w:val="000000"/>
        </w:rPr>
        <w:t>12</w:t>
      </w:r>
      <w:r w:rsidRPr="002215D5">
        <w:rPr>
          <w:rFonts w:ascii="Book Antiqua" w:eastAsia="Book Antiqua" w:hAnsi="Book Antiqua" w:cs="Book Antiqua"/>
          <w:color w:val="000000"/>
        </w:rPr>
        <w:t>: 1122-1129 [PMID: 24085047]</w:t>
      </w:r>
    </w:p>
    <w:bookmarkEnd w:id="5"/>
    <w:bookmarkEnd w:id="6"/>
    <w:p w14:paraId="5A4AEC86" w14:textId="77777777" w:rsidR="00A77B3E" w:rsidRPr="002215D5" w:rsidRDefault="00A77B3E" w:rsidP="002215D5">
      <w:pPr>
        <w:spacing w:line="360" w:lineRule="auto"/>
        <w:jc w:val="both"/>
        <w:rPr>
          <w:rFonts w:ascii="Book Antiqua" w:hAnsi="Book Antiqua"/>
        </w:rPr>
        <w:sectPr w:rsidR="00A77B3E" w:rsidRPr="002215D5" w:rsidSect="002215D5">
          <w:pgSz w:w="12240" w:h="15840"/>
          <w:pgMar w:top="1440" w:right="1440" w:bottom="1440" w:left="1440" w:header="720" w:footer="720" w:gutter="0"/>
          <w:cols w:space="720"/>
          <w:docGrid w:linePitch="360"/>
        </w:sectPr>
      </w:pPr>
    </w:p>
    <w:p w14:paraId="0760A9A0"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color w:val="000000"/>
        </w:rPr>
        <w:lastRenderedPageBreak/>
        <w:t>Footnotes</w:t>
      </w:r>
    </w:p>
    <w:p w14:paraId="2258038B" w14:textId="44BA99A4"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bCs/>
          <w:color w:val="000000"/>
        </w:rPr>
        <w:t xml:space="preserve">Conflict-of-interest statement: </w:t>
      </w:r>
      <w:r w:rsidRPr="002215D5">
        <w:rPr>
          <w:rFonts w:ascii="Book Antiqua" w:eastAsia="Book Antiqua" w:hAnsi="Book Antiqua" w:cs="Book Antiqua"/>
          <w:color w:val="000000"/>
        </w:rPr>
        <w:t xml:space="preserve">All </w:t>
      </w:r>
      <w:r w:rsidR="00FA1DDA">
        <w:rPr>
          <w:rFonts w:ascii="Book Antiqua" w:eastAsia="Book Antiqua" w:hAnsi="Book Antiqua" w:cs="Book Antiqua"/>
          <w:color w:val="000000"/>
        </w:rPr>
        <w:t>a</w:t>
      </w:r>
      <w:r w:rsidRPr="002215D5">
        <w:rPr>
          <w:rFonts w:ascii="Book Antiqua" w:eastAsia="Book Antiqua" w:hAnsi="Book Antiqua" w:cs="Book Antiqua"/>
          <w:color w:val="000000"/>
        </w:rPr>
        <w:t>uthors declare no conflict of interest.</w:t>
      </w:r>
    </w:p>
    <w:p w14:paraId="258CA99D" w14:textId="77777777" w:rsidR="00A77B3E" w:rsidRPr="002215D5" w:rsidRDefault="00A77B3E" w:rsidP="002215D5">
      <w:pPr>
        <w:spacing w:line="360" w:lineRule="auto"/>
        <w:jc w:val="both"/>
        <w:rPr>
          <w:rFonts w:ascii="Book Antiqua" w:hAnsi="Book Antiqua"/>
        </w:rPr>
      </w:pPr>
    </w:p>
    <w:p w14:paraId="2053B5C4"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bCs/>
          <w:color w:val="000000"/>
        </w:rPr>
        <w:t xml:space="preserve">Open-Access: </w:t>
      </w:r>
      <w:bookmarkStart w:id="18" w:name="OLE_LINK136"/>
      <w:bookmarkStart w:id="19" w:name="OLE_LINK137"/>
      <w:r w:rsidRPr="002215D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8"/>
    <w:bookmarkEnd w:id="19"/>
    <w:p w14:paraId="4670EFDA" w14:textId="77777777" w:rsidR="00A77B3E" w:rsidRPr="002215D5" w:rsidRDefault="00A77B3E" w:rsidP="002215D5">
      <w:pPr>
        <w:spacing w:line="360" w:lineRule="auto"/>
        <w:jc w:val="both"/>
        <w:rPr>
          <w:rFonts w:ascii="Book Antiqua" w:hAnsi="Book Antiqua"/>
        </w:rPr>
      </w:pPr>
    </w:p>
    <w:p w14:paraId="75AE5B41"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color w:val="000000"/>
        </w:rPr>
        <w:t xml:space="preserve">Manuscript source: </w:t>
      </w:r>
      <w:r w:rsidRPr="002215D5">
        <w:rPr>
          <w:rFonts w:ascii="Book Antiqua" w:eastAsia="Book Antiqua" w:hAnsi="Book Antiqua" w:cs="Book Antiqua"/>
          <w:color w:val="000000"/>
        </w:rPr>
        <w:t xml:space="preserve">Invited </w:t>
      </w:r>
      <w:r w:rsidR="00FC5D7A" w:rsidRPr="002215D5">
        <w:rPr>
          <w:rFonts w:ascii="Book Antiqua" w:eastAsia="Book Antiqua" w:hAnsi="Book Antiqua" w:cs="Book Antiqua"/>
          <w:color w:val="000000"/>
        </w:rPr>
        <w:t>m</w:t>
      </w:r>
      <w:r w:rsidRPr="002215D5">
        <w:rPr>
          <w:rFonts w:ascii="Book Antiqua" w:eastAsia="Book Antiqua" w:hAnsi="Book Antiqua" w:cs="Book Antiqua"/>
          <w:color w:val="000000"/>
        </w:rPr>
        <w:t>anuscript</w:t>
      </w:r>
    </w:p>
    <w:p w14:paraId="3CEFBD62" w14:textId="77777777" w:rsidR="00A77B3E" w:rsidRPr="002215D5" w:rsidRDefault="00A77B3E" w:rsidP="002215D5">
      <w:pPr>
        <w:spacing w:line="360" w:lineRule="auto"/>
        <w:jc w:val="both"/>
        <w:rPr>
          <w:rFonts w:ascii="Book Antiqua" w:hAnsi="Book Antiqua"/>
        </w:rPr>
      </w:pPr>
    </w:p>
    <w:p w14:paraId="54411A50"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color w:val="000000"/>
        </w:rPr>
        <w:t xml:space="preserve">Peer-review started: </w:t>
      </w:r>
      <w:r w:rsidRPr="002215D5">
        <w:rPr>
          <w:rFonts w:ascii="Book Antiqua" w:eastAsia="Book Antiqua" w:hAnsi="Book Antiqua" w:cs="Book Antiqua"/>
          <w:color w:val="000000"/>
        </w:rPr>
        <w:t>January 29, 2021</w:t>
      </w:r>
    </w:p>
    <w:p w14:paraId="609B545D"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color w:val="000000"/>
        </w:rPr>
        <w:t xml:space="preserve">First decision: </w:t>
      </w:r>
      <w:r w:rsidRPr="002215D5">
        <w:rPr>
          <w:rFonts w:ascii="Book Antiqua" w:eastAsia="Book Antiqua" w:hAnsi="Book Antiqua" w:cs="Book Antiqua"/>
          <w:color w:val="000000"/>
        </w:rPr>
        <w:t>May 2, 2021</w:t>
      </w:r>
    </w:p>
    <w:p w14:paraId="420063CE"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color w:val="000000"/>
        </w:rPr>
        <w:t xml:space="preserve">Article in press: </w:t>
      </w:r>
    </w:p>
    <w:p w14:paraId="24019E85" w14:textId="77777777" w:rsidR="00A77B3E" w:rsidRPr="002215D5" w:rsidRDefault="00A77B3E" w:rsidP="002215D5">
      <w:pPr>
        <w:spacing w:line="360" w:lineRule="auto"/>
        <w:jc w:val="both"/>
        <w:rPr>
          <w:rFonts w:ascii="Book Antiqua" w:hAnsi="Book Antiqua"/>
        </w:rPr>
      </w:pPr>
    </w:p>
    <w:p w14:paraId="6D2B0F22"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color w:val="000000"/>
        </w:rPr>
        <w:t xml:space="preserve">Specialty type: </w:t>
      </w:r>
      <w:r w:rsidRPr="002215D5">
        <w:rPr>
          <w:rFonts w:ascii="Book Antiqua" w:eastAsia="Book Antiqua" w:hAnsi="Book Antiqua" w:cs="Book Antiqua"/>
          <w:color w:val="000000"/>
        </w:rPr>
        <w:t xml:space="preserve">Gastroenterology and </w:t>
      </w:r>
      <w:r w:rsidR="00FC5D7A" w:rsidRPr="002215D5">
        <w:rPr>
          <w:rFonts w:ascii="Book Antiqua" w:eastAsia="Book Antiqua" w:hAnsi="Book Antiqua" w:cs="Book Antiqua"/>
          <w:color w:val="000000"/>
        </w:rPr>
        <w:t>he</w:t>
      </w:r>
      <w:r w:rsidRPr="002215D5">
        <w:rPr>
          <w:rFonts w:ascii="Book Antiqua" w:eastAsia="Book Antiqua" w:hAnsi="Book Antiqua" w:cs="Book Antiqua"/>
          <w:color w:val="000000"/>
        </w:rPr>
        <w:t>patology</w:t>
      </w:r>
    </w:p>
    <w:p w14:paraId="27F07BBF"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color w:val="000000"/>
        </w:rPr>
        <w:t xml:space="preserve">Country/Territory of origin: </w:t>
      </w:r>
      <w:r w:rsidRPr="002215D5">
        <w:rPr>
          <w:rFonts w:ascii="Book Antiqua" w:eastAsia="Book Antiqua" w:hAnsi="Book Antiqua" w:cs="Book Antiqua"/>
          <w:color w:val="000000"/>
        </w:rPr>
        <w:t>Italy</w:t>
      </w:r>
    </w:p>
    <w:p w14:paraId="4FC8138B"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b/>
          <w:color w:val="000000"/>
        </w:rPr>
        <w:t>Peer-review report’s scientific quality classification</w:t>
      </w:r>
    </w:p>
    <w:p w14:paraId="49A2AE70"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Grade A (Excellent): 0</w:t>
      </w:r>
    </w:p>
    <w:p w14:paraId="010ACA98"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Grade B (Very good): B</w:t>
      </w:r>
    </w:p>
    <w:p w14:paraId="160ADCC6"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Grade C (Good): C</w:t>
      </w:r>
    </w:p>
    <w:p w14:paraId="39C44A35"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Grade D (Fair): 0</w:t>
      </w:r>
    </w:p>
    <w:p w14:paraId="3A5FB406" w14:textId="77777777" w:rsidR="00A77B3E" w:rsidRPr="002215D5" w:rsidRDefault="00BF1368" w:rsidP="002215D5">
      <w:pPr>
        <w:spacing w:line="360" w:lineRule="auto"/>
        <w:jc w:val="both"/>
        <w:rPr>
          <w:rFonts w:ascii="Book Antiqua" w:hAnsi="Book Antiqua"/>
        </w:rPr>
      </w:pPr>
      <w:r w:rsidRPr="002215D5">
        <w:rPr>
          <w:rFonts w:ascii="Book Antiqua" w:eastAsia="Book Antiqua" w:hAnsi="Book Antiqua" w:cs="Book Antiqua"/>
          <w:color w:val="000000"/>
        </w:rPr>
        <w:t>Grade E (Poor): 0</w:t>
      </w:r>
    </w:p>
    <w:p w14:paraId="048A2765" w14:textId="77777777" w:rsidR="00A77B3E" w:rsidRPr="002215D5" w:rsidRDefault="00A77B3E" w:rsidP="002215D5">
      <w:pPr>
        <w:spacing w:line="360" w:lineRule="auto"/>
        <w:jc w:val="both"/>
        <w:rPr>
          <w:rFonts w:ascii="Book Antiqua" w:hAnsi="Book Antiqua"/>
        </w:rPr>
      </w:pPr>
    </w:p>
    <w:p w14:paraId="4315FFAB" w14:textId="32028924" w:rsidR="00A77B3E" w:rsidRPr="002215D5" w:rsidRDefault="00BF1368" w:rsidP="002215D5">
      <w:pPr>
        <w:spacing w:line="360" w:lineRule="auto"/>
        <w:jc w:val="both"/>
        <w:rPr>
          <w:rFonts w:ascii="Book Antiqua" w:hAnsi="Book Antiqua" w:cs="Book Antiqua"/>
          <w:b/>
          <w:color w:val="000000"/>
          <w:lang w:eastAsia="zh-CN"/>
        </w:rPr>
      </w:pPr>
      <w:r w:rsidRPr="002215D5">
        <w:rPr>
          <w:rFonts w:ascii="Book Antiqua" w:eastAsia="Book Antiqua" w:hAnsi="Book Antiqua" w:cs="Book Antiqua"/>
          <w:b/>
          <w:color w:val="000000"/>
        </w:rPr>
        <w:t xml:space="preserve">P-Reviewer: </w:t>
      </w:r>
      <w:r w:rsidRPr="002215D5">
        <w:rPr>
          <w:rFonts w:ascii="Book Antiqua" w:eastAsia="Book Antiqua" w:hAnsi="Book Antiqua" w:cs="Book Antiqua"/>
          <w:color w:val="000000"/>
        </w:rPr>
        <w:t>Bozkurt HS, Dahiya DS</w:t>
      </w:r>
      <w:r w:rsidRPr="002215D5">
        <w:rPr>
          <w:rFonts w:ascii="Book Antiqua" w:eastAsia="Book Antiqua" w:hAnsi="Book Antiqua" w:cs="Book Antiqua"/>
          <w:b/>
          <w:color w:val="000000"/>
        </w:rPr>
        <w:t xml:space="preserve"> S-Editor: </w:t>
      </w:r>
      <w:r w:rsidRPr="002215D5">
        <w:rPr>
          <w:rFonts w:ascii="Book Antiqua" w:eastAsia="Book Antiqua" w:hAnsi="Book Antiqua" w:cs="Book Antiqua"/>
          <w:color w:val="000000"/>
        </w:rPr>
        <w:t>Ma YJ</w:t>
      </w:r>
      <w:r w:rsidRPr="002215D5">
        <w:rPr>
          <w:rFonts w:ascii="Book Antiqua" w:eastAsia="Book Antiqua" w:hAnsi="Book Antiqua" w:cs="Book Antiqua"/>
          <w:b/>
          <w:color w:val="000000"/>
        </w:rPr>
        <w:t xml:space="preserve"> L-Editor:</w:t>
      </w:r>
      <w:r w:rsidR="0062136B" w:rsidRPr="002215D5">
        <w:rPr>
          <w:rFonts w:ascii="Book Antiqua" w:eastAsia="Book Antiqua" w:hAnsi="Book Antiqua" w:cs="Book Antiqua"/>
          <w:b/>
          <w:color w:val="000000"/>
        </w:rPr>
        <w:t xml:space="preserve"> </w:t>
      </w:r>
      <w:r w:rsidR="0062136B" w:rsidRPr="002215D5">
        <w:rPr>
          <w:rFonts w:ascii="Book Antiqua" w:eastAsia="Book Antiqua" w:hAnsi="Book Antiqua" w:cs="Book Antiqua"/>
          <w:bCs/>
          <w:color w:val="000000"/>
        </w:rPr>
        <w:t>Filipodia</w:t>
      </w:r>
      <w:r w:rsidRPr="002215D5">
        <w:rPr>
          <w:rFonts w:ascii="Book Antiqua" w:eastAsia="Book Antiqua" w:hAnsi="Book Antiqua" w:cs="Book Antiqua"/>
          <w:b/>
          <w:color w:val="000000"/>
        </w:rPr>
        <w:t xml:space="preserve"> P-Editor: </w:t>
      </w:r>
    </w:p>
    <w:p w14:paraId="3DFE22E1" w14:textId="2653EFEA" w:rsidR="006A0647" w:rsidRPr="002215D5" w:rsidRDefault="003F4861" w:rsidP="002215D5">
      <w:pPr>
        <w:spacing w:line="360" w:lineRule="auto"/>
        <w:jc w:val="both"/>
        <w:rPr>
          <w:rFonts w:ascii="Book Antiqua" w:hAnsi="Book Antiqua"/>
          <w:b/>
        </w:rPr>
      </w:pPr>
      <w:r w:rsidRPr="002215D5">
        <w:rPr>
          <w:rFonts w:ascii="Book Antiqua" w:hAnsi="Book Antiqua" w:cs="Book Antiqua"/>
          <w:b/>
          <w:color w:val="000000"/>
          <w:lang w:eastAsia="zh-CN"/>
        </w:rPr>
        <w:br w:type="page"/>
      </w:r>
      <w:r w:rsidR="006A0647" w:rsidRPr="002215D5">
        <w:rPr>
          <w:rFonts w:ascii="Book Antiqua" w:hAnsi="Book Antiqua"/>
          <w:b/>
        </w:rPr>
        <w:lastRenderedPageBreak/>
        <w:t xml:space="preserve">Table </w:t>
      </w:r>
      <w:r w:rsidR="006A0647" w:rsidRPr="002215D5">
        <w:rPr>
          <w:rFonts w:ascii="Book Antiqua" w:hAnsi="Book Antiqua"/>
          <w:b/>
          <w:lang w:eastAsia="zh-CN"/>
        </w:rPr>
        <w:t>1</w:t>
      </w:r>
      <w:r w:rsidR="006A0647" w:rsidRPr="002215D5">
        <w:rPr>
          <w:rFonts w:ascii="Book Antiqua" w:hAnsi="Book Antiqua"/>
          <w:b/>
        </w:rPr>
        <w:t xml:space="preserve"> </w:t>
      </w:r>
      <w:r w:rsidR="006A0647" w:rsidRPr="002215D5">
        <w:rPr>
          <w:rFonts w:ascii="Book Antiqua" w:eastAsia="Book Antiqua" w:hAnsi="Book Antiqua" w:cs="Book Antiqua"/>
          <w:b/>
          <w:color w:val="000000"/>
        </w:rPr>
        <w:t>British Society of Gastroenterology</w:t>
      </w:r>
      <w:r w:rsidR="006A0647" w:rsidRPr="002215D5">
        <w:rPr>
          <w:rFonts w:ascii="Book Antiqua" w:hAnsi="Book Antiqua"/>
          <w:b/>
        </w:rPr>
        <w:t xml:space="preserve"> stratification of inflammatory bowel disease patients according to the risk of severe acute respiratory syndrome coronavirus</w:t>
      </w:r>
      <w:r w:rsidR="00F90D33" w:rsidRPr="002215D5">
        <w:rPr>
          <w:rFonts w:ascii="Book Antiqua" w:hAnsi="Book Antiqua"/>
          <w:b/>
        </w:rPr>
        <w:t xml:space="preserve"> </w:t>
      </w:r>
      <w:r w:rsidR="006A0647" w:rsidRPr="002215D5">
        <w:rPr>
          <w:rFonts w:ascii="Book Antiqua" w:hAnsi="Book Antiqua"/>
          <w:b/>
        </w:rPr>
        <w:t>2 infection</w:t>
      </w:r>
    </w:p>
    <w:tbl>
      <w:tblPr>
        <w:tblW w:w="9548" w:type="dxa"/>
        <w:tblInd w:w="33" w:type="dxa"/>
        <w:tblBorders>
          <w:top w:val="single" w:sz="4" w:space="0" w:color="666666"/>
          <w:bottom w:val="single" w:sz="4" w:space="0" w:color="666666"/>
        </w:tblBorders>
        <w:tblCellMar>
          <w:left w:w="33" w:type="dxa"/>
        </w:tblCellMar>
        <w:tblLook w:val="04A0" w:firstRow="1" w:lastRow="0" w:firstColumn="1" w:lastColumn="0" w:noHBand="0" w:noVBand="1"/>
      </w:tblPr>
      <w:tblGrid>
        <w:gridCol w:w="3105"/>
        <w:gridCol w:w="3211"/>
        <w:gridCol w:w="3232"/>
      </w:tblGrid>
      <w:tr w:rsidR="006A0647" w:rsidRPr="002215D5" w14:paraId="421BA84B" w14:textId="77777777" w:rsidTr="006A0647">
        <w:trPr>
          <w:trHeight w:val="372"/>
        </w:trPr>
        <w:tc>
          <w:tcPr>
            <w:tcW w:w="3105" w:type="dxa"/>
            <w:tcBorders>
              <w:top w:val="single" w:sz="4" w:space="0" w:color="666666"/>
              <w:bottom w:val="single" w:sz="4" w:space="0" w:color="666666"/>
            </w:tcBorders>
            <w:shd w:val="clear" w:color="auto" w:fill="FFFFFF"/>
            <w:tcMar>
              <w:left w:w="33" w:type="dxa"/>
            </w:tcMar>
          </w:tcPr>
          <w:p w14:paraId="598CF0D2" w14:textId="77777777" w:rsidR="006A0647" w:rsidRPr="002215D5" w:rsidRDefault="006A0647" w:rsidP="002215D5">
            <w:pPr>
              <w:spacing w:line="360" w:lineRule="auto"/>
              <w:jc w:val="both"/>
              <w:rPr>
                <w:rFonts w:ascii="Book Antiqua" w:hAnsi="Book Antiqua"/>
                <w:b/>
              </w:rPr>
            </w:pPr>
            <w:r w:rsidRPr="002215D5">
              <w:rPr>
                <w:rFonts w:ascii="Book Antiqua" w:hAnsi="Book Antiqua"/>
                <w:b/>
              </w:rPr>
              <w:t>Highest risk patients</w:t>
            </w:r>
          </w:p>
          <w:p w14:paraId="0EFF9563" w14:textId="77777777" w:rsidR="006A0647" w:rsidRPr="002215D5" w:rsidRDefault="006A0647" w:rsidP="002215D5">
            <w:pPr>
              <w:spacing w:line="360" w:lineRule="auto"/>
              <w:jc w:val="both"/>
              <w:rPr>
                <w:rFonts w:ascii="Book Antiqua" w:hAnsi="Book Antiqua"/>
                <w:b/>
              </w:rPr>
            </w:pPr>
            <w:r w:rsidRPr="002215D5">
              <w:rPr>
                <w:rFonts w:ascii="Book Antiqua" w:hAnsi="Book Antiqua"/>
                <w:b/>
              </w:rPr>
              <w:t>“shielding indicated”</w:t>
            </w:r>
          </w:p>
        </w:tc>
        <w:tc>
          <w:tcPr>
            <w:tcW w:w="3211" w:type="dxa"/>
            <w:tcBorders>
              <w:top w:val="single" w:sz="4" w:space="0" w:color="666666"/>
              <w:bottom w:val="single" w:sz="4" w:space="0" w:color="666666"/>
            </w:tcBorders>
            <w:shd w:val="clear" w:color="auto" w:fill="FFFFFF"/>
            <w:tcMar>
              <w:left w:w="33" w:type="dxa"/>
            </w:tcMar>
          </w:tcPr>
          <w:p w14:paraId="7E12BC6B" w14:textId="77777777" w:rsidR="006A0647" w:rsidRPr="002215D5" w:rsidRDefault="006A0647" w:rsidP="002215D5">
            <w:pPr>
              <w:spacing w:line="360" w:lineRule="auto"/>
              <w:jc w:val="both"/>
              <w:rPr>
                <w:rFonts w:ascii="Book Antiqua" w:hAnsi="Book Antiqua"/>
                <w:b/>
              </w:rPr>
            </w:pPr>
            <w:r w:rsidRPr="002215D5">
              <w:rPr>
                <w:rFonts w:ascii="Book Antiqua" w:hAnsi="Book Antiqua"/>
                <w:b/>
              </w:rPr>
              <w:t>Moderate risk patients</w:t>
            </w:r>
          </w:p>
          <w:p w14:paraId="2FD363B0" w14:textId="77777777" w:rsidR="006A0647" w:rsidRPr="002215D5" w:rsidRDefault="006A0647" w:rsidP="002215D5">
            <w:pPr>
              <w:spacing w:line="360" w:lineRule="auto"/>
              <w:jc w:val="both"/>
              <w:rPr>
                <w:rFonts w:ascii="Book Antiqua" w:hAnsi="Book Antiqua"/>
                <w:b/>
              </w:rPr>
            </w:pPr>
            <w:r w:rsidRPr="002215D5">
              <w:rPr>
                <w:rFonts w:ascii="Book Antiqua" w:hAnsi="Book Antiqua"/>
                <w:b/>
              </w:rPr>
              <w:t>“stringent social distancing”</w:t>
            </w:r>
          </w:p>
        </w:tc>
        <w:tc>
          <w:tcPr>
            <w:tcW w:w="3232" w:type="dxa"/>
            <w:tcBorders>
              <w:top w:val="single" w:sz="4" w:space="0" w:color="666666"/>
              <w:bottom w:val="single" w:sz="4" w:space="0" w:color="666666"/>
            </w:tcBorders>
            <w:shd w:val="clear" w:color="auto" w:fill="FFFFFF"/>
            <w:tcMar>
              <w:left w:w="33" w:type="dxa"/>
            </w:tcMar>
          </w:tcPr>
          <w:p w14:paraId="5BA41281" w14:textId="77777777" w:rsidR="006A0647" w:rsidRPr="002215D5" w:rsidRDefault="006A0647" w:rsidP="002215D5">
            <w:pPr>
              <w:spacing w:line="360" w:lineRule="auto"/>
              <w:jc w:val="both"/>
              <w:rPr>
                <w:rFonts w:ascii="Book Antiqua" w:hAnsi="Book Antiqua"/>
                <w:b/>
              </w:rPr>
            </w:pPr>
            <w:r w:rsidRPr="002215D5">
              <w:rPr>
                <w:rFonts w:ascii="Book Antiqua" w:hAnsi="Book Antiqua"/>
                <w:b/>
              </w:rPr>
              <w:t>Lowest risk patients</w:t>
            </w:r>
          </w:p>
          <w:p w14:paraId="4066C836" w14:textId="77777777" w:rsidR="006A0647" w:rsidRPr="002215D5" w:rsidRDefault="006A0647" w:rsidP="002215D5">
            <w:pPr>
              <w:spacing w:line="360" w:lineRule="auto"/>
              <w:jc w:val="both"/>
              <w:rPr>
                <w:rFonts w:ascii="Book Antiqua" w:hAnsi="Book Antiqua"/>
                <w:b/>
              </w:rPr>
            </w:pPr>
            <w:r w:rsidRPr="002215D5">
              <w:rPr>
                <w:rFonts w:ascii="Book Antiqua" w:hAnsi="Book Antiqua"/>
                <w:b/>
              </w:rPr>
              <w:t>“social distancing”</w:t>
            </w:r>
          </w:p>
        </w:tc>
      </w:tr>
      <w:tr w:rsidR="006A0647" w:rsidRPr="002215D5" w14:paraId="502E9DC7" w14:textId="77777777" w:rsidTr="006A0647">
        <w:trPr>
          <w:trHeight w:val="954"/>
        </w:trPr>
        <w:tc>
          <w:tcPr>
            <w:tcW w:w="3105" w:type="dxa"/>
            <w:tcBorders>
              <w:top w:val="single" w:sz="4" w:space="0" w:color="666666"/>
            </w:tcBorders>
            <w:shd w:val="clear" w:color="auto" w:fill="FFFFFF"/>
            <w:tcMar>
              <w:left w:w="33" w:type="dxa"/>
            </w:tcMar>
          </w:tcPr>
          <w:p w14:paraId="3A141592" w14:textId="7D27A292" w:rsidR="006A0647" w:rsidRPr="002215D5" w:rsidRDefault="006A0647" w:rsidP="002215D5">
            <w:pPr>
              <w:spacing w:line="360" w:lineRule="auto"/>
              <w:jc w:val="both"/>
              <w:rPr>
                <w:rFonts w:ascii="Book Antiqua" w:hAnsi="Book Antiqua"/>
              </w:rPr>
            </w:pPr>
            <w:r w:rsidRPr="002215D5">
              <w:rPr>
                <w:rFonts w:ascii="Book Antiqua" w:hAnsi="Book Antiqua"/>
              </w:rPr>
              <w:t>Patients w</w:t>
            </w:r>
            <w:r w:rsidR="005E5B18" w:rsidRPr="002215D5">
              <w:rPr>
                <w:rFonts w:ascii="Book Antiqua" w:hAnsi="Book Antiqua"/>
              </w:rPr>
              <w:t>ho either have</w:t>
            </w:r>
            <w:r w:rsidRPr="002215D5">
              <w:rPr>
                <w:rFonts w:ascii="Book Antiqua" w:hAnsi="Book Antiqua"/>
              </w:rPr>
              <w:t xml:space="preserve"> a comorbidity (respiratory, cardiac, hypertension or diabetes mellitus)</w:t>
            </w:r>
            <w:r w:rsidRPr="002215D5">
              <w:rPr>
                <w:rFonts w:ascii="Book Antiqua" w:hAnsi="Book Antiqua"/>
                <w:lang w:eastAsia="zh-CN"/>
              </w:rPr>
              <w:t xml:space="preserve"> </w:t>
            </w:r>
            <w:r w:rsidRPr="002215D5">
              <w:rPr>
                <w:rFonts w:ascii="Book Antiqua" w:hAnsi="Book Antiqua"/>
              </w:rPr>
              <w:t>and/or</w:t>
            </w:r>
            <w:r w:rsidR="005E5B18" w:rsidRPr="002215D5">
              <w:rPr>
                <w:rFonts w:ascii="Book Antiqua" w:hAnsi="Book Antiqua"/>
              </w:rPr>
              <w:t xml:space="preserve"> </w:t>
            </w:r>
            <w:r w:rsidRPr="002215D5">
              <w:rPr>
                <w:rFonts w:ascii="Book Antiqua" w:hAnsi="Book Antiqua"/>
              </w:rPr>
              <w:t>age ≥</w:t>
            </w:r>
            <w:r w:rsidRPr="002215D5">
              <w:rPr>
                <w:rFonts w:ascii="Book Antiqua" w:hAnsi="Book Antiqua"/>
                <w:lang w:eastAsia="zh-CN"/>
              </w:rPr>
              <w:t xml:space="preserve"> </w:t>
            </w:r>
            <w:r w:rsidRPr="002215D5">
              <w:rPr>
                <w:rFonts w:ascii="Book Antiqua" w:hAnsi="Book Antiqua"/>
              </w:rPr>
              <w:t>70 yr old</w:t>
            </w:r>
            <w:r w:rsidR="005E5B18" w:rsidRPr="002215D5">
              <w:rPr>
                <w:rFonts w:ascii="Book Antiqua" w:hAnsi="Book Antiqua"/>
                <w:lang w:eastAsia="zh-CN"/>
              </w:rPr>
              <w:t xml:space="preserve"> and</w:t>
            </w:r>
            <w:r w:rsidRPr="002215D5">
              <w:rPr>
                <w:rFonts w:ascii="Book Antiqua" w:hAnsi="Book Antiqua"/>
              </w:rPr>
              <w:t xml:space="preserve"> are on any </w:t>
            </w:r>
            <w:r w:rsidRPr="002215D5">
              <w:rPr>
                <w:rFonts w:ascii="Book Antiqua" w:hAnsi="Book Antiqua"/>
                <w:lang w:eastAsia="zh-CN"/>
              </w:rPr>
              <w:t>“</w:t>
            </w:r>
            <w:r w:rsidRPr="002215D5">
              <w:rPr>
                <w:rFonts w:ascii="Book Antiqua" w:hAnsi="Book Antiqua"/>
              </w:rPr>
              <w:t>moderate risk</w:t>
            </w:r>
            <w:r w:rsidRPr="002215D5">
              <w:rPr>
                <w:rFonts w:ascii="Book Antiqua" w:hAnsi="Book Antiqua"/>
                <w:lang w:eastAsia="zh-CN"/>
              </w:rPr>
              <w:t>”</w:t>
            </w:r>
            <w:r w:rsidRPr="002215D5">
              <w:rPr>
                <w:rFonts w:ascii="Book Antiqua" w:hAnsi="Book Antiqua"/>
              </w:rPr>
              <w:t xml:space="preserve"> therapy for IBD (per middle column) and/or have moderate to severely active disease</w:t>
            </w:r>
            <w:r w:rsidR="00FD61A0" w:rsidRPr="002215D5">
              <w:rPr>
                <w:rFonts w:ascii="Book Antiqua" w:hAnsi="Book Antiqua"/>
              </w:rPr>
              <w:t>.</w:t>
            </w:r>
          </w:p>
        </w:tc>
        <w:tc>
          <w:tcPr>
            <w:tcW w:w="3211" w:type="dxa"/>
            <w:vMerge w:val="restart"/>
            <w:tcBorders>
              <w:top w:val="single" w:sz="4" w:space="0" w:color="666666"/>
            </w:tcBorders>
            <w:shd w:val="clear" w:color="auto" w:fill="FFFFFF"/>
            <w:tcMar>
              <w:left w:w="33" w:type="dxa"/>
            </w:tcMar>
          </w:tcPr>
          <w:p w14:paraId="2F8C5117" w14:textId="77777777" w:rsidR="006A0647" w:rsidRPr="002215D5" w:rsidRDefault="006A0647" w:rsidP="002215D5">
            <w:pPr>
              <w:spacing w:line="360" w:lineRule="auto"/>
              <w:jc w:val="both"/>
              <w:rPr>
                <w:rFonts w:ascii="Book Antiqua" w:hAnsi="Book Antiqua"/>
              </w:rPr>
            </w:pPr>
            <w:r w:rsidRPr="002215D5">
              <w:rPr>
                <w:rFonts w:ascii="Book Antiqua" w:hAnsi="Book Antiqua"/>
              </w:rPr>
              <w:t>Patients with moderate to severely active disease who are not on any of the medications in this column.</w:t>
            </w:r>
          </w:p>
          <w:p w14:paraId="350FAB09" w14:textId="3AA61532" w:rsidR="006A0647" w:rsidRPr="002215D5" w:rsidRDefault="006A0647" w:rsidP="002215D5">
            <w:pPr>
              <w:spacing w:line="360" w:lineRule="auto"/>
              <w:jc w:val="both"/>
              <w:rPr>
                <w:rFonts w:ascii="Book Antiqua" w:hAnsi="Book Antiqua"/>
                <w:lang w:eastAsia="zh-CN"/>
              </w:rPr>
            </w:pPr>
            <w:r w:rsidRPr="002215D5">
              <w:rPr>
                <w:rFonts w:ascii="Book Antiqua" w:hAnsi="Book Antiqua"/>
              </w:rPr>
              <w:t>Patients on the following medications:</w:t>
            </w:r>
            <w:r w:rsidRPr="002215D5">
              <w:rPr>
                <w:rFonts w:ascii="Book Antiqua" w:hAnsi="Book Antiqua"/>
                <w:lang w:eastAsia="zh-CN"/>
              </w:rPr>
              <w:t xml:space="preserve"> (1) </w:t>
            </w:r>
            <w:r w:rsidR="00800293">
              <w:rPr>
                <w:rFonts w:ascii="Book Antiqua" w:hAnsi="Book Antiqua"/>
              </w:rPr>
              <w:t>a</w:t>
            </w:r>
            <w:r w:rsidRPr="002215D5">
              <w:rPr>
                <w:rFonts w:ascii="Book Antiqua" w:hAnsi="Book Antiqua"/>
              </w:rPr>
              <w:t>nti-TNF (infliximab, adalimumab, golimumab) monotherapy</w:t>
            </w:r>
            <w:r w:rsidRPr="002215D5">
              <w:rPr>
                <w:rFonts w:ascii="Book Antiqua" w:hAnsi="Book Antiqua"/>
                <w:lang w:eastAsia="zh-CN"/>
              </w:rPr>
              <w:t xml:space="preserve">; (2) </w:t>
            </w:r>
            <w:r w:rsidR="00800293">
              <w:rPr>
                <w:rFonts w:ascii="Book Antiqua" w:hAnsi="Book Antiqua"/>
              </w:rPr>
              <w:t>b</w:t>
            </w:r>
            <w:r w:rsidRPr="002215D5">
              <w:rPr>
                <w:rFonts w:ascii="Book Antiqua" w:hAnsi="Book Antiqua"/>
              </w:rPr>
              <w:t>iologic plus immunomodulatory in stable patients</w:t>
            </w:r>
            <w:r w:rsidRPr="002215D5">
              <w:rPr>
                <w:rFonts w:ascii="Book Antiqua" w:hAnsi="Book Antiqua"/>
                <w:lang w:eastAsia="zh-CN"/>
              </w:rPr>
              <w:t xml:space="preserve">; (3) </w:t>
            </w:r>
            <w:r w:rsidR="00800293">
              <w:rPr>
                <w:rFonts w:ascii="Book Antiqua" w:hAnsi="Book Antiqua"/>
              </w:rPr>
              <w:t>u</w:t>
            </w:r>
            <w:r w:rsidRPr="002215D5">
              <w:rPr>
                <w:rFonts w:ascii="Book Antiqua" w:hAnsi="Book Antiqua"/>
              </w:rPr>
              <w:t>stekinumab</w:t>
            </w:r>
            <w:r w:rsidRPr="002215D5">
              <w:rPr>
                <w:rFonts w:ascii="Book Antiqua" w:hAnsi="Book Antiqua"/>
                <w:lang w:eastAsia="zh-CN"/>
              </w:rPr>
              <w:t xml:space="preserve">; (4) </w:t>
            </w:r>
            <w:r w:rsidR="00800293">
              <w:rPr>
                <w:rFonts w:ascii="Book Antiqua" w:hAnsi="Book Antiqua"/>
              </w:rPr>
              <w:t>v</w:t>
            </w:r>
            <w:r w:rsidRPr="002215D5">
              <w:rPr>
                <w:rFonts w:ascii="Book Antiqua" w:hAnsi="Book Antiqua"/>
              </w:rPr>
              <w:t>edolizumab</w:t>
            </w:r>
            <w:r w:rsidRPr="002215D5">
              <w:rPr>
                <w:rFonts w:ascii="Book Antiqua" w:hAnsi="Book Antiqua"/>
                <w:lang w:eastAsia="zh-CN"/>
              </w:rPr>
              <w:t xml:space="preserve">; (5) </w:t>
            </w:r>
            <w:r w:rsidRPr="002215D5">
              <w:rPr>
                <w:rFonts w:ascii="Book Antiqua" w:hAnsi="Book Antiqua"/>
              </w:rPr>
              <w:t>Thiopurines (azathioprine, mercaptopurine, tioguanine)</w:t>
            </w:r>
            <w:r w:rsidRPr="002215D5">
              <w:rPr>
                <w:rFonts w:ascii="Book Antiqua" w:hAnsi="Book Antiqua"/>
                <w:lang w:eastAsia="zh-CN"/>
              </w:rPr>
              <w:t xml:space="preserve">; (6) </w:t>
            </w:r>
          </w:p>
          <w:p w14:paraId="35213D48" w14:textId="01C9CDDE" w:rsidR="006A0647" w:rsidRPr="002215D5" w:rsidRDefault="00800293" w:rsidP="002215D5">
            <w:pPr>
              <w:pStyle w:val="ListParagraph"/>
              <w:suppressAutoHyphens w:val="0"/>
              <w:spacing w:after="0" w:line="360" w:lineRule="auto"/>
              <w:ind w:left="0"/>
              <w:jc w:val="both"/>
              <w:rPr>
                <w:rFonts w:ascii="Book Antiqua" w:hAnsi="Book Antiqua"/>
                <w:sz w:val="24"/>
                <w:szCs w:val="24"/>
                <w:lang w:val="en-US" w:eastAsia="zh-CN"/>
              </w:rPr>
            </w:pPr>
            <w:r>
              <w:rPr>
                <w:rFonts w:ascii="Book Antiqua" w:hAnsi="Book Antiqua" w:cs="Times New Roman"/>
                <w:sz w:val="24"/>
                <w:szCs w:val="24"/>
                <w:lang w:val="en-US"/>
              </w:rPr>
              <w:t>m</w:t>
            </w:r>
            <w:r w:rsidR="006A0647" w:rsidRPr="002215D5">
              <w:rPr>
                <w:rFonts w:ascii="Book Antiqua" w:hAnsi="Book Antiqua" w:cs="Times New Roman"/>
                <w:sz w:val="24"/>
                <w:szCs w:val="24"/>
                <w:lang w:val="en-US"/>
              </w:rPr>
              <w:t>ethotrexate</w:t>
            </w:r>
            <w:r w:rsidR="006A0647" w:rsidRPr="002215D5">
              <w:rPr>
                <w:rFonts w:ascii="Book Antiqua" w:hAnsi="Book Antiqua" w:cs="Times New Roman"/>
                <w:sz w:val="24"/>
                <w:szCs w:val="24"/>
                <w:lang w:val="en-US" w:eastAsia="zh-CN"/>
              </w:rPr>
              <w:t xml:space="preserve">; (7) </w:t>
            </w:r>
            <w:r>
              <w:rPr>
                <w:rFonts w:ascii="Book Antiqua" w:hAnsi="Book Antiqua" w:cs="Times New Roman"/>
                <w:sz w:val="24"/>
                <w:szCs w:val="24"/>
                <w:lang w:val="en-US"/>
              </w:rPr>
              <w:t>c</w:t>
            </w:r>
            <w:r w:rsidR="006A0647" w:rsidRPr="002215D5">
              <w:rPr>
                <w:rFonts w:ascii="Book Antiqua" w:hAnsi="Book Antiqua" w:cs="Times New Roman"/>
                <w:sz w:val="24"/>
                <w:szCs w:val="24"/>
                <w:lang w:val="en-US"/>
              </w:rPr>
              <w:t>alcineurin inhibitors (tacrolimus or ciclosporin)</w:t>
            </w:r>
            <w:r w:rsidR="006A0647" w:rsidRPr="002215D5">
              <w:rPr>
                <w:rFonts w:ascii="Book Antiqua" w:hAnsi="Book Antiqua" w:cs="Times New Roman"/>
                <w:sz w:val="24"/>
                <w:szCs w:val="24"/>
                <w:lang w:val="en-US" w:eastAsia="zh-CN"/>
              </w:rPr>
              <w:t xml:space="preserve">; (8) </w:t>
            </w:r>
            <w:r w:rsidR="006A0647" w:rsidRPr="002215D5">
              <w:rPr>
                <w:rFonts w:ascii="Book Antiqua" w:hAnsi="Book Antiqua" w:cs="Times New Roman"/>
                <w:sz w:val="24"/>
                <w:szCs w:val="24"/>
                <w:lang w:val="en-US"/>
              </w:rPr>
              <w:t>JAK inhibitors (tofacitinib)</w:t>
            </w:r>
            <w:r w:rsidR="006A0647" w:rsidRPr="002215D5">
              <w:rPr>
                <w:rFonts w:ascii="Book Antiqua" w:hAnsi="Book Antiqua" w:cs="Times New Roman"/>
                <w:sz w:val="24"/>
                <w:szCs w:val="24"/>
                <w:lang w:val="en-US" w:eastAsia="zh-CN"/>
              </w:rPr>
              <w:t xml:space="preserve">; (9) </w:t>
            </w:r>
            <w:r w:rsidR="00C03503">
              <w:rPr>
                <w:rFonts w:ascii="Book Antiqua" w:hAnsi="Book Antiqua" w:cs="Times New Roman"/>
                <w:sz w:val="24"/>
                <w:szCs w:val="24"/>
                <w:lang w:val="en-US"/>
              </w:rPr>
              <w:t>i</w:t>
            </w:r>
            <w:r w:rsidR="006A0647" w:rsidRPr="002215D5">
              <w:rPr>
                <w:rFonts w:ascii="Book Antiqua" w:hAnsi="Book Antiqua" w:cs="Times New Roman"/>
                <w:sz w:val="24"/>
                <w:szCs w:val="24"/>
                <w:lang w:val="en-US"/>
              </w:rPr>
              <w:t>mmunosuppressive trial medication</w:t>
            </w:r>
            <w:r w:rsidR="006A0647" w:rsidRPr="002215D5">
              <w:rPr>
                <w:rFonts w:ascii="Book Antiqua" w:hAnsi="Book Antiqua" w:cs="Times New Roman"/>
                <w:sz w:val="24"/>
                <w:szCs w:val="24"/>
                <w:lang w:val="en-US" w:eastAsia="zh-CN"/>
              </w:rPr>
              <w:t xml:space="preserve">; (10) </w:t>
            </w:r>
            <w:r w:rsidR="00C03503">
              <w:rPr>
                <w:rFonts w:ascii="Book Antiqua" w:hAnsi="Book Antiqua" w:cs="Times New Roman"/>
                <w:sz w:val="24"/>
                <w:szCs w:val="24"/>
                <w:lang w:val="en-US"/>
              </w:rPr>
              <w:t>m</w:t>
            </w:r>
            <w:r w:rsidR="006A0647" w:rsidRPr="002215D5">
              <w:rPr>
                <w:rFonts w:ascii="Book Antiqua" w:hAnsi="Book Antiqua" w:cs="Times New Roman"/>
                <w:sz w:val="24"/>
                <w:szCs w:val="24"/>
                <w:lang w:val="en-US"/>
              </w:rPr>
              <w:t>ycophenolate mofetil</w:t>
            </w:r>
            <w:r w:rsidR="006A0647" w:rsidRPr="002215D5">
              <w:rPr>
                <w:rFonts w:ascii="Book Antiqua" w:hAnsi="Book Antiqua" w:cs="Times New Roman"/>
                <w:sz w:val="24"/>
                <w:szCs w:val="24"/>
                <w:lang w:val="en-US" w:eastAsia="zh-CN"/>
              </w:rPr>
              <w:t xml:space="preserve">; (11) </w:t>
            </w:r>
            <w:r w:rsidR="00C03503">
              <w:rPr>
                <w:rFonts w:ascii="Book Antiqua" w:hAnsi="Book Antiqua" w:cs="Times New Roman"/>
                <w:sz w:val="24"/>
                <w:szCs w:val="24"/>
                <w:lang w:val="en-US"/>
              </w:rPr>
              <w:lastRenderedPageBreak/>
              <w:t>t</w:t>
            </w:r>
            <w:r w:rsidR="006A0647" w:rsidRPr="002215D5">
              <w:rPr>
                <w:rFonts w:ascii="Book Antiqua" w:hAnsi="Book Antiqua" w:cs="Times New Roman"/>
                <w:sz w:val="24"/>
                <w:szCs w:val="24"/>
                <w:lang w:val="en-US"/>
              </w:rPr>
              <w:t>halidomide</w:t>
            </w:r>
            <w:r w:rsidR="006A0647" w:rsidRPr="002215D5">
              <w:rPr>
                <w:rFonts w:ascii="Book Antiqua" w:hAnsi="Book Antiqua" w:cs="Times New Roman"/>
                <w:sz w:val="24"/>
                <w:szCs w:val="24"/>
                <w:lang w:val="en-US" w:eastAsia="zh-CN"/>
              </w:rPr>
              <w:t xml:space="preserve">; and (12) </w:t>
            </w:r>
            <w:r w:rsidR="00C03503">
              <w:rPr>
                <w:rFonts w:ascii="Book Antiqua" w:hAnsi="Book Antiqua" w:cs="Times New Roman"/>
                <w:sz w:val="24"/>
                <w:szCs w:val="24"/>
                <w:lang w:val="en-US"/>
              </w:rPr>
              <w:t>p</w:t>
            </w:r>
            <w:r w:rsidR="006A0647" w:rsidRPr="002215D5">
              <w:rPr>
                <w:rFonts w:ascii="Book Antiqua" w:hAnsi="Book Antiqua" w:cs="Times New Roman"/>
                <w:sz w:val="24"/>
                <w:szCs w:val="24"/>
                <w:lang w:val="en-US"/>
              </w:rPr>
              <w:t>rednisolone &gt; 20 mg or equivalent per day</w:t>
            </w:r>
          </w:p>
          <w:p w14:paraId="5738B1CC" w14:textId="77777777" w:rsidR="006A0647" w:rsidRPr="002215D5" w:rsidRDefault="006A0647" w:rsidP="002215D5">
            <w:pPr>
              <w:pStyle w:val="ListParagraph"/>
              <w:suppressAutoHyphens w:val="0"/>
              <w:spacing w:after="0" w:line="360" w:lineRule="auto"/>
              <w:ind w:left="0" w:hanging="360"/>
              <w:jc w:val="both"/>
              <w:rPr>
                <w:rFonts w:ascii="Book Antiqua" w:hAnsi="Book Antiqua" w:cs="Times New Roman"/>
                <w:sz w:val="24"/>
                <w:szCs w:val="24"/>
                <w:lang w:val="en-US"/>
              </w:rPr>
            </w:pPr>
          </w:p>
        </w:tc>
        <w:tc>
          <w:tcPr>
            <w:tcW w:w="3232" w:type="dxa"/>
            <w:vMerge w:val="restart"/>
            <w:tcBorders>
              <w:top w:val="single" w:sz="4" w:space="0" w:color="666666"/>
            </w:tcBorders>
            <w:shd w:val="clear" w:color="auto" w:fill="FFFFFF"/>
            <w:tcMar>
              <w:left w:w="33" w:type="dxa"/>
            </w:tcMar>
          </w:tcPr>
          <w:p w14:paraId="3509B341" w14:textId="303BFCF1" w:rsidR="006A0647" w:rsidRPr="002215D5" w:rsidRDefault="006A0647" w:rsidP="002215D5">
            <w:pPr>
              <w:spacing w:line="360" w:lineRule="auto"/>
              <w:jc w:val="both"/>
              <w:rPr>
                <w:rFonts w:ascii="Book Antiqua" w:hAnsi="Book Antiqua"/>
                <w:lang w:eastAsia="zh-CN"/>
              </w:rPr>
            </w:pPr>
            <w:r w:rsidRPr="002215D5">
              <w:rPr>
                <w:rFonts w:ascii="Book Antiqua" w:hAnsi="Book Antiqua"/>
                <w:color w:val="000000"/>
              </w:rPr>
              <w:lastRenderedPageBreak/>
              <w:t>Patients on the following medications:</w:t>
            </w:r>
            <w:r w:rsidRPr="002215D5">
              <w:rPr>
                <w:rFonts w:ascii="Book Antiqua" w:hAnsi="Book Antiqua"/>
                <w:color w:val="000000"/>
                <w:lang w:eastAsia="zh-CN"/>
              </w:rPr>
              <w:t xml:space="preserve"> (1) </w:t>
            </w:r>
            <w:r w:rsidRPr="002215D5">
              <w:rPr>
                <w:rFonts w:ascii="Book Antiqua" w:hAnsi="Book Antiqua"/>
              </w:rPr>
              <w:t>5ASA</w:t>
            </w:r>
            <w:r w:rsidRPr="002215D5">
              <w:rPr>
                <w:rFonts w:ascii="Book Antiqua" w:hAnsi="Book Antiqua"/>
                <w:lang w:eastAsia="zh-CN"/>
              </w:rPr>
              <w:t xml:space="preserve">; (2) </w:t>
            </w:r>
            <w:r w:rsidR="00C03503">
              <w:rPr>
                <w:rFonts w:ascii="Book Antiqua" w:hAnsi="Book Antiqua"/>
              </w:rPr>
              <w:t>r</w:t>
            </w:r>
            <w:r w:rsidRPr="002215D5">
              <w:rPr>
                <w:rFonts w:ascii="Book Antiqua" w:hAnsi="Book Antiqua"/>
              </w:rPr>
              <w:t>ectal therapies</w:t>
            </w:r>
            <w:r w:rsidRPr="002215D5">
              <w:rPr>
                <w:rFonts w:ascii="Book Antiqua" w:hAnsi="Book Antiqua"/>
                <w:lang w:eastAsia="zh-CN"/>
              </w:rPr>
              <w:t xml:space="preserve">; (3) </w:t>
            </w:r>
            <w:r w:rsidR="00C03503">
              <w:rPr>
                <w:rFonts w:ascii="Book Antiqua" w:hAnsi="Book Antiqua"/>
              </w:rPr>
              <w:t>o</w:t>
            </w:r>
            <w:r w:rsidRPr="002215D5">
              <w:rPr>
                <w:rFonts w:ascii="Book Antiqua" w:hAnsi="Book Antiqua"/>
              </w:rPr>
              <w:t>rally administered topically acting steroids (budesonide or beclometasone)</w:t>
            </w:r>
            <w:r w:rsidRPr="002215D5">
              <w:rPr>
                <w:rFonts w:ascii="Book Antiqua" w:hAnsi="Book Antiqua"/>
                <w:lang w:eastAsia="zh-CN"/>
              </w:rPr>
              <w:t xml:space="preserve">; (4) </w:t>
            </w:r>
            <w:r w:rsidR="00C03503">
              <w:rPr>
                <w:rFonts w:ascii="Book Antiqua" w:hAnsi="Book Antiqua"/>
              </w:rPr>
              <w:t>t</w:t>
            </w:r>
            <w:r w:rsidRPr="002215D5">
              <w:rPr>
                <w:rFonts w:ascii="Book Antiqua" w:hAnsi="Book Antiqua"/>
              </w:rPr>
              <w:t>herapies for bile acid diarrhea (colestyramine, colesevelam, colestipol)</w:t>
            </w:r>
            <w:r w:rsidRPr="002215D5">
              <w:rPr>
                <w:rFonts w:ascii="Book Antiqua" w:hAnsi="Book Antiqua"/>
                <w:lang w:eastAsia="zh-CN"/>
              </w:rPr>
              <w:t xml:space="preserve">; (5) </w:t>
            </w:r>
            <w:r w:rsidR="00C03503">
              <w:rPr>
                <w:rFonts w:ascii="Book Antiqua" w:hAnsi="Book Antiqua"/>
              </w:rPr>
              <w:t>a</w:t>
            </w:r>
            <w:r w:rsidRPr="002215D5">
              <w:rPr>
                <w:rFonts w:ascii="Book Antiqua" w:hAnsi="Book Antiqua"/>
              </w:rPr>
              <w:t>nti-diarrheals (</w:t>
            </w:r>
            <w:r w:rsidRPr="002215D5">
              <w:rPr>
                <w:rFonts w:ascii="Book Antiqua" w:hAnsi="Book Antiqua"/>
                <w:i/>
              </w:rPr>
              <w:t>e.g.</w:t>
            </w:r>
            <w:r w:rsidRPr="002215D5">
              <w:rPr>
                <w:rFonts w:ascii="Book Antiqua" w:hAnsi="Book Antiqua"/>
                <w:lang w:eastAsia="zh-CN"/>
              </w:rPr>
              <w:t>,</w:t>
            </w:r>
            <w:r w:rsidRPr="002215D5">
              <w:rPr>
                <w:rFonts w:ascii="Book Antiqua" w:hAnsi="Book Antiqua"/>
              </w:rPr>
              <w:t xml:space="preserve"> loperamide)</w:t>
            </w:r>
            <w:r w:rsidRPr="002215D5">
              <w:rPr>
                <w:rFonts w:ascii="Book Antiqua" w:hAnsi="Book Antiqua"/>
                <w:lang w:eastAsia="zh-CN"/>
              </w:rPr>
              <w:t xml:space="preserve">; and (6) </w:t>
            </w:r>
            <w:r w:rsidR="00C03503">
              <w:rPr>
                <w:rFonts w:ascii="Book Antiqua" w:hAnsi="Book Antiqua"/>
              </w:rPr>
              <w:t>a</w:t>
            </w:r>
            <w:r w:rsidRPr="002215D5">
              <w:rPr>
                <w:rFonts w:ascii="Book Antiqua" w:hAnsi="Book Antiqua"/>
              </w:rPr>
              <w:t>ntibiotics for bacterial overgrowth or perianal disease</w:t>
            </w:r>
          </w:p>
        </w:tc>
      </w:tr>
      <w:tr w:rsidR="006A0647" w:rsidRPr="002215D5" w14:paraId="04FCC515" w14:textId="77777777" w:rsidTr="006A0647">
        <w:trPr>
          <w:trHeight w:val="983"/>
        </w:trPr>
        <w:tc>
          <w:tcPr>
            <w:tcW w:w="3105" w:type="dxa"/>
            <w:shd w:val="clear" w:color="auto" w:fill="FFFFFF"/>
            <w:tcMar>
              <w:left w:w="33" w:type="dxa"/>
            </w:tcMar>
          </w:tcPr>
          <w:p w14:paraId="2767BAFA" w14:textId="09CA7365" w:rsidR="006A0647" w:rsidRPr="002215D5" w:rsidRDefault="006A0647" w:rsidP="002215D5">
            <w:pPr>
              <w:spacing w:line="360" w:lineRule="auto"/>
              <w:jc w:val="both"/>
              <w:rPr>
                <w:rFonts w:ascii="Book Antiqua" w:hAnsi="Book Antiqua"/>
                <w:lang w:eastAsia="zh-CN"/>
              </w:rPr>
            </w:pPr>
            <w:r w:rsidRPr="002215D5">
              <w:rPr>
                <w:rFonts w:ascii="Book Antiqua" w:hAnsi="Book Antiqua"/>
              </w:rPr>
              <w:t>Patients of any age regardless of comorbidities and who meet one or more of the following:</w:t>
            </w:r>
            <w:r w:rsidRPr="002215D5">
              <w:rPr>
                <w:rFonts w:ascii="Book Antiqua" w:hAnsi="Book Antiqua"/>
                <w:lang w:eastAsia="zh-CN"/>
              </w:rPr>
              <w:t xml:space="preserve"> (1) </w:t>
            </w:r>
            <w:r w:rsidR="00B23762">
              <w:rPr>
                <w:rFonts w:ascii="Book Antiqua" w:hAnsi="Book Antiqua"/>
              </w:rPr>
              <w:t>i</w:t>
            </w:r>
            <w:r w:rsidRPr="002215D5">
              <w:rPr>
                <w:rFonts w:ascii="Book Antiqua" w:hAnsi="Book Antiqua"/>
              </w:rPr>
              <w:t>ntravenous or oral steroids ≥</w:t>
            </w:r>
            <w:r w:rsidRPr="002215D5">
              <w:rPr>
                <w:rFonts w:ascii="Book Antiqua" w:hAnsi="Book Antiqua"/>
                <w:lang w:eastAsia="zh-CN"/>
              </w:rPr>
              <w:t xml:space="preserve"> </w:t>
            </w:r>
            <w:r w:rsidRPr="002215D5">
              <w:rPr>
                <w:rFonts w:ascii="Book Antiqua" w:hAnsi="Book Antiqua"/>
              </w:rPr>
              <w:t>20 mg prednisolone or equivalent per day (only while on this dose)</w:t>
            </w:r>
            <w:r w:rsidRPr="002215D5">
              <w:rPr>
                <w:rFonts w:ascii="Book Antiqua" w:hAnsi="Book Antiqua"/>
                <w:lang w:eastAsia="zh-CN"/>
              </w:rPr>
              <w:t xml:space="preserve">; (2) </w:t>
            </w:r>
            <w:r w:rsidR="00800293">
              <w:rPr>
                <w:rFonts w:ascii="Book Antiqua" w:hAnsi="Book Antiqua"/>
              </w:rPr>
              <w:t>b</w:t>
            </w:r>
            <w:r w:rsidRPr="002215D5">
              <w:rPr>
                <w:rFonts w:ascii="Book Antiqua" w:hAnsi="Book Antiqua"/>
              </w:rPr>
              <w:t>eg</w:t>
            </w:r>
            <w:r w:rsidR="00800293">
              <w:rPr>
                <w:rFonts w:ascii="Book Antiqua" w:hAnsi="Book Antiqua"/>
              </w:rPr>
              <w:t>a</w:t>
            </w:r>
            <w:r w:rsidRPr="002215D5">
              <w:rPr>
                <w:rFonts w:ascii="Book Antiqua" w:hAnsi="Book Antiqua"/>
              </w:rPr>
              <w:t>n biologic plus immunomodulator or systemic steroids within previous 6 wk</w:t>
            </w:r>
            <w:r w:rsidRPr="002215D5">
              <w:rPr>
                <w:rFonts w:ascii="Book Antiqua" w:hAnsi="Book Antiqua"/>
                <w:lang w:eastAsia="zh-CN"/>
              </w:rPr>
              <w:t xml:space="preserve">; (3) </w:t>
            </w:r>
            <w:r w:rsidR="00800293">
              <w:rPr>
                <w:rFonts w:ascii="Book Antiqua" w:hAnsi="Book Antiqua"/>
              </w:rPr>
              <w:t>m</w:t>
            </w:r>
            <w:r w:rsidRPr="002215D5">
              <w:rPr>
                <w:rFonts w:ascii="Book Antiqua" w:hAnsi="Book Antiqua"/>
              </w:rPr>
              <w:t xml:space="preserve">oderate-to-severe active </w:t>
            </w:r>
            <w:r w:rsidRPr="002215D5">
              <w:rPr>
                <w:rFonts w:ascii="Book Antiqua" w:hAnsi="Book Antiqua"/>
              </w:rPr>
              <w:lastRenderedPageBreak/>
              <w:t xml:space="preserve">disease not controlled by </w:t>
            </w:r>
            <w:r w:rsidRPr="002215D5">
              <w:rPr>
                <w:rFonts w:ascii="Book Antiqua" w:hAnsi="Book Antiqua"/>
                <w:lang w:eastAsia="zh-CN"/>
              </w:rPr>
              <w:t>“</w:t>
            </w:r>
            <w:r w:rsidRPr="002215D5">
              <w:rPr>
                <w:rFonts w:ascii="Book Antiqua" w:hAnsi="Book Antiqua"/>
              </w:rPr>
              <w:t>moderate risk</w:t>
            </w:r>
            <w:r w:rsidRPr="002215D5">
              <w:rPr>
                <w:rFonts w:ascii="Book Antiqua" w:hAnsi="Book Antiqua"/>
                <w:lang w:eastAsia="zh-CN"/>
              </w:rPr>
              <w:t>”</w:t>
            </w:r>
            <w:r w:rsidRPr="002215D5">
              <w:rPr>
                <w:rFonts w:ascii="Book Antiqua" w:hAnsi="Book Antiqua"/>
              </w:rPr>
              <w:t xml:space="preserve"> treatments</w:t>
            </w:r>
            <w:r w:rsidRPr="002215D5">
              <w:rPr>
                <w:rFonts w:ascii="Book Antiqua" w:hAnsi="Book Antiqua"/>
                <w:lang w:eastAsia="zh-CN"/>
              </w:rPr>
              <w:t xml:space="preserve">; (4) </w:t>
            </w:r>
            <w:r w:rsidR="00800293">
              <w:rPr>
                <w:rFonts w:ascii="Book Antiqua" w:hAnsi="Book Antiqua"/>
              </w:rPr>
              <w:t>s</w:t>
            </w:r>
            <w:r w:rsidRPr="002215D5">
              <w:rPr>
                <w:rFonts w:ascii="Book Antiqua" w:hAnsi="Book Antiqua"/>
              </w:rPr>
              <w:t xml:space="preserve">hort </w:t>
            </w:r>
            <w:r w:rsidR="00865C4C" w:rsidRPr="002215D5">
              <w:rPr>
                <w:rFonts w:ascii="Book Antiqua" w:hAnsi="Book Antiqua"/>
              </w:rPr>
              <w:t>bowel</w:t>
            </w:r>
            <w:r w:rsidRPr="002215D5">
              <w:rPr>
                <w:rFonts w:ascii="Book Antiqua" w:hAnsi="Book Antiqua"/>
              </w:rPr>
              <w:t xml:space="preserve"> syndrome requiring nutritional support</w:t>
            </w:r>
            <w:r w:rsidRPr="002215D5">
              <w:rPr>
                <w:rFonts w:ascii="Book Antiqua" w:hAnsi="Book Antiqua"/>
                <w:lang w:eastAsia="zh-CN"/>
              </w:rPr>
              <w:t xml:space="preserve">; and (5) </w:t>
            </w:r>
            <w:r w:rsidR="00800293">
              <w:rPr>
                <w:rFonts w:ascii="Book Antiqua" w:hAnsi="Book Antiqua"/>
              </w:rPr>
              <w:t>r</w:t>
            </w:r>
            <w:r w:rsidRPr="002215D5">
              <w:rPr>
                <w:rFonts w:ascii="Book Antiqua" w:hAnsi="Book Antiqua"/>
              </w:rPr>
              <w:t>equirement for parenteral nutrition</w:t>
            </w:r>
          </w:p>
        </w:tc>
        <w:tc>
          <w:tcPr>
            <w:tcW w:w="3211" w:type="dxa"/>
            <w:vMerge/>
            <w:shd w:val="clear" w:color="auto" w:fill="FFFFFF"/>
            <w:tcMar>
              <w:left w:w="33" w:type="dxa"/>
            </w:tcMar>
          </w:tcPr>
          <w:p w14:paraId="517CE0EF" w14:textId="77777777" w:rsidR="006A0647" w:rsidRPr="002215D5" w:rsidRDefault="006A0647" w:rsidP="002215D5">
            <w:pPr>
              <w:spacing w:line="360" w:lineRule="auto"/>
              <w:jc w:val="both"/>
              <w:rPr>
                <w:rFonts w:ascii="Book Antiqua" w:hAnsi="Book Antiqua"/>
              </w:rPr>
            </w:pPr>
          </w:p>
        </w:tc>
        <w:tc>
          <w:tcPr>
            <w:tcW w:w="3232" w:type="dxa"/>
            <w:vMerge/>
            <w:shd w:val="clear" w:color="auto" w:fill="FFFFFF"/>
            <w:tcMar>
              <w:left w:w="33" w:type="dxa"/>
            </w:tcMar>
          </w:tcPr>
          <w:p w14:paraId="3ECE220B" w14:textId="77777777" w:rsidR="006A0647" w:rsidRPr="002215D5" w:rsidRDefault="006A0647" w:rsidP="002215D5">
            <w:pPr>
              <w:keepNext/>
              <w:spacing w:line="360" w:lineRule="auto"/>
              <w:jc w:val="both"/>
              <w:rPr>
                <w:rFonts w:ascii="Book Antiqua" w:hAnsi="Book Antiqua"/>
              </w:rPr>
            </w:pPr>
          </w:p>
        </w:tc>
      </w:tr>
    </w:tbl>
    <w:p w14:paraId="70217C3C" w14:textId="78BAEC2A" w:rsidR="006A0647" w:rsidRPr="002215D5" w:rsidRDefault="00F40DD0" w:rsidP="002215D5">
      <w:pPr>
        <w:spacing w:line="360" w:lineRule="auto"/>
        <w:jc w:val="both"/>
        <w:rPr>
          <w:rFonts w:ascii="Book Antiqua" w:hAnsi="Book Antiqua"/>
          <w:lang w:eastAsia="zh-CN"/>
        </w:rPr>
      </w:pPr>
      <w:r>
        <w:rPr>
          <w:rFonts w:ascii="Book Antiqua" w:hAnsi="Book Antiqua"/>
        </w:rPr>
        <w:t>5ASA: 5-aminosalicylic acid;</w:t>
      </w:r>
      <w:r w:rsidRPr="002215D5">
        <w:rPr>
          <w:rFonts w:ascii="Book Antiqua" w:hAnsi="Book Antiqua"/>
          <w:lang w:eastAsia="zh-CN"/>
        </w:rPr>
        <w:t xml:space="preserve"> </w:t>
      </w:r>
      <w:r w:rsidR="006A0647" w:rsidRPr="002215D5">
        <w:rPr>
          <w:rFonts w:ascii="Book Antiqua" w:hAnsi="Book Antiqua"/>
          <w:lang w:eastAsia="zh-CN"/>
        </w:rPr>
        <w:t xml:space="preserve">IBD: </w:t>
      </w:r>
      <w:r w:rsidR="006A0647" w:rsidRPr="002215D5">
        <w:rPr>
          <w:rFonts w:ascii="Book Antiqua" w:hAnsi="Book Antiqua"/>
          <w:caps/>
          <w:lang w:eastAsia="zh-CN"/>
        </w:rPr>
        <w:t>i</w:t>
      </w:r>
      <w:r w:rsidR="006A0647" w:rsidRPr="002215D5">
        <w:rPr>
          <w:rFonts w:ascii="Book Antiqua" w:hAnsi="Book Antiqua"/>
          <w:lang w:eastAsia="zh-CN"/>
        </w:rPr>
        <w:t xml:space="preserve">nflammatory bowel diseases; </w:t>
      </w:r>
      <w:r w:rsidRPr="002215D5">
        <w:rPr>
          <w:rFonts w:ascii="Book Antiqua" w:hAnsi="Book Antiqua"/>
        </w:rPr>
        <w:t>JAK</w:t>
      </w:r>
      <w:r w:rsidRPr="002215D5">
        <w:rPr>
          <w:rFonts w:ascii="Book Antiqua" w:hAnsi="Book Antiqua"/>
          <w:lang w:eastAsia="zh-CN"/>
        </w:rPr>
        <w:t xml:space="preserve">: </w:t>
      </w:r>
      <w:r w:rsidRPr="002215D5">
        <w:rPr>
          <w:rFonts w:ascii="Book Antiqua" w:hAnsi="Book Antiqua"/>
        </w:rPr>
        <w:t>Janus kinase</w:t>
      </w:r>
      <w:r>
        <w:rPr>
          <w:rFonts w:ascii="Book Antiqua" w:hAnsi="Book Antiqua"/>
        </w:rPr>
        <w:t xml:space="preserve">; </w:t>
      </w:r>
      <w:r w:rsidR="006A0647" w:rsidRPr="002215D5">
        <w:rPr>
          <w:rFonts w:ascii="Book Antiqua" w:hAnsi="Book Antiqua"/>
        </w:rPr>
        <w:t>TNF</w:t>
      </w:r>
      <w:r w:rsidR="006A0647" w:rsidRPr="002215D5">
        <w:rPr>
          <w:rFonts w:ascii="Book Antiqua" w:hAnsi="Book Antiqua"/>
          <w:lang w:eastAsia="zh-CN"/>
        </w:rPr>
        <w:t xml:space="preserve">: </w:t>
      </w:r>
      <w:r w:rsidR="006A0647" w:rsidRPr="002215D5">
        <w:rPr>
          <w:rFonts w:ascii="Book Antiqua" w:hAnsi="Book Antiqua"/>
        </w:rPr>
        <w:t>Tumor necrosis</w:t>
      </w:r>
      <w:r>
        <w:rPr>
          <w:rFonts w:ascii="Book Antiqua" w:hAnsi="Book Antiqua"/>
        </w:rPr>
        <w:t xml:space="preserve"> factor</w:t>
      </w:r>
      <w:r w:rsidR="006A0647" w:rsidRPr="002215D5">
        <w:rPr>
          <w:rFonts w:ascii="Book Antiqua" w:hAnsi="Book Antiqua"/>
          <w:lang w:eastAsia="zh-CN"/>
        </w:rPr>
        <w:t>.</w:t>
      </w:r>
    </w:p>
    <w:p w14:paraId="4FA8002F" w14:textId="77777777" w:rsidR="006A0647" w:rsidRPr="002215D5" w:rsidRDefault="006A0647" w:rsidP="002215D5">
      <w:pPr>
        <w:spacing w:line="360" w:lineRule="auto"/>
        <w:jc w:val="both"/>
        <w:rPr>
          <w:rFonts w:ascii="Book Antiqua" w:hAnsi="Book Antiqua"/>
          <w:b/>
        </w:rPr>
      </w:pPr>
    </w:p>
    <w:p w14:paraId="7B1BE49C" w14:textId="77777777" w:rsidR="006A0647" w:rsidRPr="002215D5" w:rsidRDefault="006A0647" w:rsidP="002215D5">
      <w:pPr>
        <w:spacing w:line="360" w:lineRule="auto"/>
        <w:jc w:val="both"/>
        <w:rPr>
          <w:rFonts w:ascii="Book Antiqua" w:hAnsi="Book Antiqua"/>
          <w:b/>
        </w:rPr>
      </w:pPr>
    </w:p>
    <w:p w14:paraId="781E3732" w14:textId="3602F1E2" w:rsidR="006A0647" w:rsidRPr="002215D5" w:rsidRDefault="006A0647" w:rsidP="002215D5">
      <w:pPr>
        <w:spacing w:line="360" w:lineRule="auto"/>
        <w:jc w:val="both"/>
        <w:rPr>
          <w:rFonts w:ascii="Book Antiqua" w:hAnsi="Book Antiqua"/>
          <w:b/>
        </w:rPr>
      </w:pPr>
      <w:r w:rsidRPr="002215D5">
        <w:rPr>
          <w:rFonts w:ascii="Book Antiqua" w:hAnsi="Book Antiqua"/>
          <w:b/>
        </w:rPr>
        <w:br w:type="page"/>
      </w:r>
      <w:r w:rsidRPr="002215D5">
        <w:rPr>
          <w:rFonts w:ascii="Book Antiqua" w:hAnsi="Book Antiqua"/>
          <w:b/>
          <w:color w:val="00000A"/>
        </w:rPr>
        <w:lastRenderedPageBreak/>
        <w:t xml:space="preserve">Table </w:t>
      </w:r>
      <w:r w:rsidRPr="002215D5">
        <w:rPr>
          <w:rFonts w:ascii="Book Antiqua" w:hAnsi="Book Antiqua"/>
          <w:b/>
          <w:lang w:eastAsia="zh-CN"/>
        </w:rPr>
        <w:t>2</w:t>
      </w:r>
      <w:r w:rsidRPr="002215D5">
        <w:rPr>
          <w:rFonts w:ascii="Book Antiqua" w:hAnsi="Book Antiqua"/>
          <w:b/>
          <w:color w:val="00000A"/>
        </w:rPr>
        <w:t xml:space="preserve"> Summary of treatment in </w:t>
      </w:r>
      <w:r w:rsidRPr="002215D5">
        <w:rPr>
          <w:rFonts w:ascii="Book Antiqua" w:hAnsi="Book Antiqua"/>
          <w:b/>
        </w:rPr>
        <w:t>severe acute respiratory syndrome coronavirus-2</w:t>
      </w:r>
      <w:r w:rsidRPr="002215D5">
        <w:rPr>
          <w:rFonts w:ascii="Book Antiqua" w:hAnsi="Book Antiqua"/>
          <w:b/>
          <w:color w:val="00000A"/>
        </w:rPr>
        <w:t xml:space="preserve"> negative patients</w:t>
      </w:r>
      <w:r w:rsidRPr="002215D5">
        <w:rPr>
          <w:rFonts w:ascii="Book Antiqua" w:hAnsi="Book Antiqua"/>
          <w:b/>
        </w:rPr>
        <w:t xml:space="preserve"> with stable inflammatory bowel disease disease course</w:t>
      </w:r>
    </w:p>
    <w:tbl>
      <w:tblPr>
        <w:tblW w:w="9494" w:type="dxa"/>
        <w:tblInd w:w="33" w:type="dxa"/>
        <w:tblBorders>
          <w:top w:val="single" w:sz="4" w:space="0" w:color="666666"/>
          <w:bottom w:val="single" w:sz="4" w:space="0" w:color="666666"/>
        </w:tblBorders>
        <w:tblCellMar>
          <w:left w:w="33" w:type="dxa"/>
        </w:tblCellMar>
        <w:tblLook w:val="04A0" w:firstRow="1" w:lastRow="0" w:firstColumn="1" w:lastColumn="0" w:noHBand="0" w:noVBand="1"/>
      </w:tblPr>
      <w:tblGrid>
        <w:gridCol w:w="2364"/>
        <w:gridCol w:w="1594"/>
        <w:gridCol w:w="5536"/>
      </w:tblGrid>
      <w:tr w:rsidR="006A0647" w:rsidRPr="002215D5" w14:paraId="269CB84F" w14:textId="77777777" w:rsidTr="006A0647">
        <w:trPr>
          <w:trHeight w:val="199"/>
        </w:trPr>
        <w:tc>
          <w:tcPr>
            <w:tcW w:w="2364" w:type="dxa"/>
            <w:vMerge w:val="restart"/>
            <w:tcBorders>
              <w:top w:val="single" w:sz="4" w:space="0" w:color="666666"/>
              <w:bottom w:val="single" w:sz="4" w:space="0" w:color="666666"/>
            </w:tcBorders>
            <w:shd w:val="clear" w:color="auto" w:fill="FFFFFF"/>
            <w:tcMar>
              <w:left w:w="33" w:type="dxa"/>
            </w:tcMar>
          </w:tcPr>
          <w:p w14:paraId="3A386330" w14:textId="77777777" w:rsidR="006A0647" w:rsidRPr="002215D5" w:rsidRDefault="006A0647" w:rsidP="002215D5">
            <w:pPr>
              <w:spacing w:line="360" w:lineRule="auto"/>
              <w:jc w:val="both"/>
              <w:rPr>
                <w:rFonts w:ascii="Book Antiqua" w:hAnsi="Book Antiqua"/>
                <w:b/>
              </w:rPr>
            </w:pPr>
            <w:r w:rsidRPr="002215D5">
              <w:rPr>
                <w:rFonts w:ascii="Book Antiqua" w:hAnsi="Book Antiqua"/>
                <w:b/>
              </w:rPr>
              <w:t>Drug</w:t>
            </w:r>
          </w:p>
        </w:tc>
        <w:tc>
          <w:tcPr>
            <w:tcW w:w="1594" w:type="dxa"/>
            <w:tcBorders>
              <w:top w:val="single" w:sz="4" w:space="0" w:color="666666"/>
              <w:bottom w:val="single" w:sz="4" w:space="0" w:color="666666"/>
            </w:tcBorders>
            <w:shd w:val="clear" w:color="auto" w:fill="FFFFFF"/>
            <w:tcMar>
              <w:left w:w="33" w:type="dxa"/>
            </w:tcMar>
          </w:tcPr>
          <w:p w14:paraId="2042032E" w14:textId="77777777" w:rsidR="006A0647" w:rsidRPr="002215D5" w:rsidRDefault="006A0647" w:rsidP="002215D5">
            <w:pPr>
              <w:spacing w:line="360" w:lineRule="auto"/>
              <w:jc w:val="both"/>
              <w:rPr>
                <w:rFonts w:ascii="Book Antiqua" w:hAnsi="Book Antiqua"/>
                <w:b/>
              </w:rPr>
            </w:pPr>
            <w:r w:rsidRPr="002215D5">
              <w:rPr>
                <w:rFonts w:ascii="Book Antiqua" w:hAnsi="Book Antiqua"/>
                <w:b/>
              </w:rPr>
              <w:t>Suggestions</w:t>
            </w:r>
          </w:p>
        </w:tc>
        <w:tc>
          <w:tcPr>
            <w:tcW w:w="5536" w:type="dxa"/>
            <w:tcBorders>
              <w:top w:val="single" w:sz="4" w:space="0" w:color="666666"/>
              <w:bottom w:val="single" w:sz="4" w:space="0" w:color="666666"/>
            </w:tcBorders>
            <w:shd w:val="clear" w:color="auto" w:fill="FFFFFF"/>
            <w:tcMar>
              <w:left w:w="33" w:type="dxa"/>
            </w:tcMar>
          </w:tcPr>
          <w:p w14:paraId="1F80ADEA" w14:textId="77777777" w:rsidR="006A0647" w:rsidRPr="002215D5" w:rsidRDefault="006A0647" w:rsidP="002215D5">
            <w:pPr>
              <w:spacing w:line="360" w:lineRule="auto"/>
              <w:jc w:val="both"/>
              <w:rPr>
                <w:rFonts w:ascii="Book Antiqua" w:hAnsi="Book Antiqua"/>
                <w:b/>
              </w:rPr>
            </w:pPr>
            <w:r w:rsidRPr="002215D5">
              <w:rPr>
                <w:rFonts w:ascii="Book Antiqua" w:hAnsi="Book Antiqua"/>
                <w:b/>
              </w:rPr>
              <w:t>Additional comments</w:t>
            </w:r>
          </w:p>
        </w:tc>
      </w:tr>
      <w:tr w:rsidR="006A0647" w:rsidRPr="002215D5" w14:paraId="7BFAF308" w14:textId="77777777" w:rsidTr="006A0647">
        <w:trPr>
          <w:trHeight w:val="57"/>
        </w:trPr>
        <w:tc>
          <w:tcPr>
            <w:tcW w:w="2364" w:type="dxa"/>
            <w:vMerge/>
            <w:tcBorders>
              <w:top w:val="single" w:sz="4" w:space="0" w:color="666666"/>
              <w:bottom w:val="single" w:sz="4" w:space="0" w:color="666666"/>
            </w:tcBorders>
            <w:shd w:val="clear" w:color="auto" w:fill="FFFFFF"/>
            <w:tcMar>
              <w:left w:w="33" w:type="dxa"/>
            </w:tcMar>
          </w:tcPr>
          <w:p w14:paraId="6557816B" w14:textId="77777777" w:rsidR="006A0647" w:rsidRPr="002215D5" w:rsidRDefault="006A0647" w:rsidP="002215D5">
            <w:pPr>
              <w:spacing w:line="360" w:lineRule="auto"/>
              <w:jc w:val="both"/>
              <w:rPr>
                <w:rFonts w:ascii="Book Antiqua" w:hAnsi="Book Antiqua"/>
                <w:b/>
              </w:rPr>
            </w:pPr>
          </w:p>
        </w:tc>
        <w:tc>
          <w:tcPr>
            <w:tcW w:w="1594" w:type="dxa"/>
            <w:tcBorders>
              <w:top w:val="single" w:sz="4" w:space="0" w:color="666666"/>
              <w:bottom w:val="single" w:sz="4" w:space="0" w:color="666666"/>
            </w:tcBorders>
            <w:shd w:val="clear" w:color="auto" w:fill="FFFFFF"/>
            <w:tcMar>
              <w:left w:w="33" w:type="dxa"/>
            </w:tcMar>
          </w:tcPr>
          <w:p w14:paraId="690CD417" w14:textId="77777777" w:rsidR="006A0647" w:rsidRPr="002215D5" w:rsidRDefault="006A0647" w:rsidP="002215D5">
            <w:pPr>
              <w:spacing w:line="360" w:lineRule="auto"/>
              <w:jc w:val="both"/>
              <w:rPr>
                <w:rFonts w:ascii="Book Antiqua" w:hAnsi="Book Antiqua"/>
                <w:b/>
              </w:rPr>
            </w:pPr>
            <w:r w:rsidRPr="002215D5">
              <w:rPr>
                <w:rFonts w:ascii="Book Antiqua" w:hAnsi="Book Antiqua"/>
                <w:b/>
              </w:rPr>
              <w:t>Continue therapy</w:t>
            </w:r>
          </w:p>
        </w:tc>
        <w:tc>
          <w:tcPr>
            <w:tcW w:w="5536" w:type="dxa"/>
            <w:tcBorders>
              <w:top w:val="single" w:sz="4" w:space="0" w:color="666666"/>
              <w:bottom w:val="single" w:sz="4" w:space="0" w:color="666666"/>
            </w:tcBorders>
            <w:shd w:val="clear" w:color="auto" w:fill="FFFFFF"/>
            <w:tcMar>
              <w:left w:w="33" w:type="dxa"/>
            </w:tcMar>
          </w:tcPr>
          <w:p w14:paraId="2C31579D" w14:textId="77777777" w:rsidR="006A0647" w:rsidRPr="002215D5" w:rsidRDefault="006A0647" w:rsidP="002215D5">
            <w:pPr>
              <w:spacing w:line="360" w:lineRule="auto"/>
              <w:jc w:val="both"/>
              <w:rPr>
                <w:rFonts w:ascii="Book Antiqua" w:hAnsi="Book Antiqua"/>
                <w:b/>
              </w:rPr>
            </w:pPr>
          </w:p>
        </w:tc>
      </w:tr>
      <w:tr w:rsidR="006A0647" w:rsidRPr="002215D5" w14:paraId="316FCB2F" w14:textId="77777777" w:rsidTr="006A0647">
        <w:trPr>
          <w:trHeight w:val="166"/>
        </w:trPr>
        <w:tc>
          <w:tcPr>
            <w:tcW w:w="2364" w:type="dxa"/>
            <w:tcBorders>
              <w:top w:val="single" w:sz="4" w:space="0" w:color="666666"/>
              <w:bottom w:val="nil"/>
            </w:tcBorders>
            <w:shd w:val="clear" w:color="auto" w:fill="FFFFFF"/>
            <w:tcMar>
              <w:left w:w="33" w:type="dxa"/>
            </w:tcMar>
          </w:tcPr>
          <w:p w14:paraId="654A614E" w14:textId="77777777" w:rsidR="006A0647" w:rsidRPr="002215D5" w:rsidRDefault="006A0647" w:rsidP="002215D5">
            <w:pPr>
              <w:spacing w:line="360" w:lineRule="auto"/>
              <w:jc w:val="both"/>
              <w:rPr>
                <w:rFonts w:ascii="Book Antiqua" w:hAnsi="Book Antiqua"/>
              </w:rPr>
            </w:pPr>
            <w:r w:rsidRPr="002215D5">
              <w:rPr>
                <w:rFonts w:ascii="Book Antiqua" w:hAnsi="Book Antiqua"/>
              </w:rPr>
              <w:t>Salicylates</w:t>
            </w:r>
          </w:p>
        </w:tc>
        <w:tc>
          <w:tcPr>
            <w:tcW w:w="1594" w:type="dxa"/>
            <w:tcBorders>
              <w:top w:val="single" w:sz="4" w:space="0" w:color="666666"/>
              <w:bottom w:val="nil"/>
            </w:tcBorders>
            <w:shd w:val="clear" w:color="auto" w:fill="FFFFFF"/>
            <w:tcMar>
              <w:left w:w="33" w:type="dxa"/>
            </w:tcMar>
          </w:tcPr>
          <w:p w14:paraId="7183E0A6" w14:textId="77777777" w:rsidR="006A0647" w:rsidRPr="002215D5" w:rsidRDefault="006A0647" w:rsidP="002215D5">
            <w:pPr>
              <w:spacing w:line="360" w:lineRule="auto"/>
              <w:jc w:val="both"/>
              <w:rPr>
                <w:rFonts w:ascii="Book Antiqua" w:hAnsi="Book Antiqua"/>
              </w:rPr>
            </w:pPr>
            <w:r w:rsidRPr="002215D5">
              <w:rPr>
                <w:rFonts w:ascii="Book Antiqua" w:hAnsi="Book Antiqua"/>
              </w:rPr>
              <w:t>Yes</w:t>
            </w:r>
          </w:p>
        </w:tc>
        <w:tc>
          <w:tcPr>
            <w:tcW w:w="5536" w:type="dxa"/>
            <w:tcBorders>
              <w:top w:val="single" w:sz="4" w:space="0" w:color="666666"/>
              <w:bottom w:val="nil"/>
            </w:tcBorders>
            <w:shd w:val="clear" w:color="auto" w:fill="FFFFFF"/>
            <w:tcMar>
              <w:left w:w="33" w:type="dxa"/>
            </w:tcMar>
          </w:tcPr>
          <w:p w14:paraId="6B4E2F0C" w14:textId="77777777" w:rsidR="006A0647" w:rsidRPr="002215D5" w:rsidRDefault="006A0647" w:rsidP="002215D5">
            <w:pPr>
              <w:spacing w:line="360" w:lineRule="auto"/>
              <w:jc w:val="both"/>
              <w:rPr>
                <w:rFonts w:ascii="Book Antiqua" w:hAnsi="Book Antiqua"/>
              </w:rPr>
            </w:pPr>
            <w:r w:rsidRPr="002215D5">
              <w:rPr>
                <w:rFonts w:ascii="Book Antiqua" w:hAnsi="Book Antiqua"/>
              </w:rPr>
              <w:t>Data from the SECURE-IBD of possible harm need to be confirmed.</w:t>
            </w:r>
          </w:p>
        </w:tc>
      </w:tr>
      <w:tr w:rsidR="006A0647" w:rsidRPr="002215D5" w14:paraId="32043F19" w14:textId="77777777" w:rsidTr="006A0647">
        <w:trPr>
          <w:trHeight w:val="166"/>
        </w:trPr>
        <w:tc>
          <w:tcPr>
            <w:tcW w:w="2364" w:type="dxa"/>
            <w:tcBorders>
              <w:top w:val="nil"/>
            </w:tcBorders>
            <w:shd w:val="clear" w:color="auto" w:fill="FFFFFF"/>
            <w:tcMar>
              <w:left w:w="33" w:type="dxa"/>
            </w:tcMar>
          </w:tcPr>
          <w:p w14:paraId="28D28C3D" w14:textId="77777777" w:rsidR="006A0647" w:rsidRPr="002215D5" w:rsidRDefault="006A0647" w:rsidP="002215D5">
            <w:pPr>
              <w:spacing w:line="360" w:lineRule="auto"/>
              <w:jc w:val="both"/>
              <w:rPr>
                <w:rFonts w:ascii="Book Antiqua" w:hAnsi="Book Antiqua"/>
              </w:rPr>
            </w:pPr>
            <w:r w:rsidRPr="002215D5">
              <w:rPr>
                <w:rFonts w:ascii="Book Antiqua" w:hAnsi="Book Antiqua"/>
              </w:rPr>
              <w:t xml:space="preserve">Locally acting steroids </w:t>
            </w:r>
          </w:p>
        </w:tc>
        <w:tc>
          <w:tcPr>
            <w:tcW w:w="1594" w:type="dxa"/>
            <w:tcBorders>
              <w:top w:val="nil"/>
            </w:tcBorders>
            <w:shd w:val="clear" w:color="auto" w:fill="FFFFFF"/>
            <w:tcMar>
              <w:left w:w="33" w:type="dxa"/>
            </w:tcMar>
          </w:tcPr>
          <w:p w14:paraId="305AC28C" w14:textId="77777777" w:rsidR="006A0647" w:rsidRPr="002215D5" w:rsidRDefault="006A0647" w:rsidP="002215D5">
            <w:pPr>
              <w:spacing w:line="360" w:lineRule="auto"/>
              <w:jc w:val="both"/>
              <w:rPr>
                <w:rFonts w:ascii="Book Antiqua" w:hAnsi="Book Antiqua"/>
              </w:rPr>
            </w:pPr>
            <w:r w:rsidRPr="002215D5">
              <w:rPr>
                <w:rFonts w:ascii="Book Antiqua" w:hAnsi="Book Antiqua"/>
              </w:rPr>
              <w:t>Yes</w:t>
            </w:r>
          </w:p>
        </w:tc>
        <w:tc>
          <w:tcPr>
            <w:tcW w:w="5536" w:type="dxa"/>
            <w:tcBorders>
              <w:top w:val="nil"/>
            </w:tcBorders>
            <w:shd w:val="clear" w:color="auto" w:fill="FFFFFF"/>
            <w:tcMar>
              <w:left w:w="33" w:type="dxa"/>
            </w:tcMar>
          </w:tcPr>
          <w:p w14:paraId="24E64C27" w14:textId="77777777" w:rsidR="006A0647" w:rsidRPr="002215D5" w:rsidRDefault="006A0647" w:rsidP="002215D5">
            <w:pPr>
              <w:spacing w:line="360" w:lineRule="auto"/>
              <w:jc w:val="both"/>
              <w:rPr>
                <w:rFonts w:ascii="Book Antiqua" w:hAnsi="Book Antiqua"/>
              </w:rPr>
            </w:pPr>
            <w:r w:rsidRPr="002215D5">
              <w:rPr>
                <w:rFonts w:ascii="Book Antiqua" w:hAnsi="Book Antiqua"/>
              </w:rPr>
              <w:t>No specific data available</w:t>
            </w:r>
          </w:p>
        </w:tc>
      </w:tr>
      <w:tr w:rsidR="006A0647" w:rsidRPr="002215D5" w14:paraId="7B7361E6" w14:textId="77777777" w:rsidTr="006A0647">
        <w:trPr>
          <w:trHeight w:val="166"/>
        </w:trPr>
        <w:tc>
          <w:tcPr>
            <w:tcW w:w="2364" w:type="dxa"/>
            <w:shd w:val="clear" w:color="auto" w:fill="FFFFFF"/>
            <w:tcMar>
              <w:left w:w="33" w:type="dxa"/>
            </w:tcMar>
          </w:tcPr>
          <w:p w14:paraId="67F56E22" w14:textId="77777777" w:rsidR="006A0647" w:rsidRPr="002215D5" w:rsidRDefault="006A0647" w:rsidP="002215D5">
            <w:pPr>
              <w:spacing w:line="360" w:lineRule="auto"/>
              <w:jc w:val="both"/>
              <w:rPr>
                <w:rFonts w:ascii="Book Antiqua" w:hAnsi="Book Antiqua"/>
              </w:rPr>
            </w:pPr>
            <w:r w:rsidRPr="002215D5">
              <w:rPr>
                <w:rFonts w:ascii="Book Antiqua" w:hAnsi="Book Antiqua"/>
              </w:rPr>
              <w:t>Systemic steroids</w:t>
            </w:r>
          </w:p>
        </w:tc>
        <w:tc>
          <w:tcPr>
            <w:tcW w:w="1594" w:type="dxa"/>
            <w:shd w:val="clear" w:color="auto" w:fill="FFFFFF"/>
            <w:tcMar>
              <w:left w:w="33" w:type="dxa"/>
            </w:tcMar>
          </w:tcPr>
          <w:p w14:paraId="4D8EF634" w14:textId="77777777" w:rsidR="006A0647" w:rsidRPr="002215D5" w:rsidRDefault="006A0647" w:rsidP="002215D5">
            <w:pPr>
              <w:spacing w:line="360" w:lineRule="auto"/>
              <w:jc w:val="both"/>
              <w:rPr>
                <w:rFonts w:ascii="Book Antiqua" w:hAnsi="Book Antiqua"/>
              </w:rPr>
            </w:pPr>
            <w:r w:rsidRPr="002215D5">
              <w:rPr>
                <w:rFonts w:ascii="Book Antiqua" w:hAnsi="Book Antiqua"/>
              </w:rPr>
              <w:t>Yes</w:t>
            </w:r>
          </w:p>
        </w:tc>
        <w:tc>
          <w:tcPr>
            <w:tcW w:w="5536" w:type="dxa"/>
            <w:shd w:val="clear" w:color="auto" w:fill="FFFFFF"/>
            <w:tcMar>
              <w:left w:w="33" w:type="dxa"/>
            </w:tcMar>
          </w:tcPr>
          <w:p w14:paraId="0087F94B" w14:textId="77777777" w:rsidR="006A0647" w:rsidRPr="002215D5" w:rsidRDefault="006A0647" w:rsidP="002215D5">
            <w:pPr>
              <w:spacing w:line="360" w:lineRule="auto"/>
              <w:jc w:val="both"/>
              <w:rPr>
                <w:rFonts w:ascii="Book Antiqua" w:hAnsi="Book Antiqua"/>
              </w:rPr>
            </w:pPr>
            <w:r w:rsidRPr="002215D5">
              <w:rPr>
                <w:rFonts w:ascii="Book Antiqua" w:hAnsi="Book Antiqua"/>
              </w:rPr>
              <w:t>Limit use to strictly necessary and taper rapidly</w:t>
            </w:r>
          </w:p>
        </w:tc>
      </w:tr>
      <w:tr w:rsidR="006A0647" w:rsidRPr="002215D5" w14:paraId="35AEFEF8" w14:textId="77777777" w:rsidTr="006A0647">
        <w:trPr>
          <w:trHeight w:val="160"/>
        </w:trPr>
        <w:tc>
          <w:tcPr>
            <w:tcW w:w="2364" w:type="dxa"/>
            <w:shd w:val="clear" w:color="auto" w:fill="FFFFFF"/>
            <w:tcMar>
              <w:left w:w="33" w:type="dxa"/>
            </w:tcMar>
          </w:tcPr>
          <w:p w14:paraId="147FA27B" w14:textId="77777777" w:rsidR="006A0647" w:rsidRPr="002215D5" w:rsidRDefault="006A0647" w:rsidP="002215D5">
            <w:pPr>
              <w:spacing w:line="360" w:lineRule="auto"/>
              <w:jc w:val="both"/>
              <w:rPr>
                <w:rFonts w:ascii="Book Antiqua" w:hAnsi="Book Antiqua"/>
              </w:rPr>
            </w:pPr>
            <w:r w:rsidRPr="002215D5">
              <w:rPr>
                <w:rFonts w:ascii="Book Antiqua" w:hAnsi="Book Antiqua"/>
              </w:rPr>
              <w:t>Azathioprine</w:t>
            </w:r>
          </w:p>
        </w:tc>
        <w:tc>
          <w:tcPr>
            <w:tcW w:w="1594" w:type="dxa"/>
            <w:shd w:val="clear" w:color="auto" w:fill="FFFFFF"/>
            <w:tcMar>
              <w:left w:w="33" w:type="dxa"/>
            </w:tcMar>
          </w:tcPr>
          <w:p w14:paraId="7F88F350" w14:textId="77777777" w:rsidR="006A0647" w:rsidRPr="002215D5" w:rsidRDefault="006A0647" w:rsidP="002215D5">
            <w:pPr>
              <w:spacing w:line="360" w:lineRule="auto"/>
              <w:jc w:val="both"/>
              <w:rPr>
                <w:rFonts w:ascii="Book Antiqua" w:hAnsi="Book Antiqua"/>
              </w:rPr>
            </w:pPr>
            <w:r w:rsidRPr="002215D5">
              <w:rPr>
                <w:rFonts w:ascii="Book Antiqua" w:hAnsi="Book Antiqua"/>
              </w:rPr>
              <w:t>Yes</w:t>
            </w:r>
          </w:p>
        </w:tc>
        <w:tc>
          <w:tcPr>
            <w:tcW w:w="5536" w:type="dxa"/>
            <w:shd w:val="clear" w:color="auto" w:fill="FFFFFF"/>
            <w:tcMar>
              <w:left w:w="33" w:type="dxa"/>
            </w:tcMar>
          </w:tcPr>
          <w:p w14:paraId="43EB51D4" w14:textId="2A0630DD" w:rsidR="006A0647" w:rsidRPr="002215D5" w:rsidRDefault="006A0647" w:rsidP="002215D5">
            <w:pPr>
              <w:spacing w:line="360" w:lineRule="auto"/>
              <w:jc w:val="both"/>
              <w:rPr>
                <w:rFonts w:ascii="Book Antiqua" w:hAnsi="Book Antiqua"/>
              </w:rPr>
            </w:pPr>
            <w:r w:rsidRPr="002215D5">
              <w:rPr>
                <w:rFonts w:ascii="Book Antiqua" w:hAnsi="Book Antiqua"/>
              </w:rPr>
              <w:t>Data from the SECURE-IBD of possible harm need to be confirmed, the risk of reactivation seems to outweigh the risk of continued treatment</w:t>
            </w:r>
          </w:p>
        </w:tc>
      </w:tr>
      <w:tr w:rsidR="006A0647" w:rsidRPr="002215D5" w14:paraId="5ED16606" w14:textId="77777777" w:rsidTr="006A0647">
        <w:trPr>
          <w:trHeight w:val="172"/>
        </w:trPr>
        <w:tc>
          <w:tcPr>
            <w:tcW w:w="2364" w:type="dxa"/>
            <w:shd w:val="clear" w:color="auto" w:fill="FFFFFF"/>
            <w:tcMar>
              <w:left w:w="33" w:type="dxa"/>
            </w:tcMar>
          </w:tcPr>
          <w:p w14:paraId="1578387A" w14:textId="77777777" w:rsidR="006A0647" w:rsidRPr="002215D5" w:rsidRDefault="006A0647" w:rsidP="002215D5">
            <w:pPr>
              <w:spacing w:line="360" w:lineRule="auto"/>
              <w:jc w:val="both"/>
              <w:rPr>
                <w:rFonts w:ascii="Book Antiqua" w:hAnsi="Book Antiqua"/>
              </w:rPr>
            </w:pPr>
            <w:r w:rsidRPr="002215D5">
              <w:rPr>
                <w:rFonts w:ascii="Book Antiqua" w:hAnsi="Book Antiqua"/>
              </w:rPr>
              <w:t>Methotrexate</w:t>
            </w:r>
          </w:p>
        </w:tc>
        <w:tc>
          <w:tcPr>
            <w:tcW w:w="1594" w:type="dxa"/>
            <w:shd w:val="clear" w:color="auto" w:fill="FFFFFF"/>
            <w:tcMar>
              <w:left w:w="33" w:type="dxa"/>
            </w:tcMar>
          </w:tcPr>
          <w:p w14:paraId="401B65A1" w14:textId="77777777" w:rsidR="006A0647" w:rsidRPr="002215D5" w:rsidRDefault="006A0647" w:rsidP="002215D5">
            <w:pPr>
              <w:spacing w:line="360" w:lineRule="auto"/>
              <w:jc w:val="both"/>
              <w:rPr>
                <w:rFonts w:ascii="Book Antiqua" w:hAnsi="Book Antiqua"/>
              </w:rPr>
            </w:pPr>
            <w:r w:rsidRPr="002215D5">
              <w:rPr>
                <w:rFonts w:ascii="Book Antiqua" w:hAnsi="Book Antiqua"/>
              </w:rPr>
              <w:t>Yes</w:t>
            </w:r>
          </w:p>
        </w:tc>
        <w:tc>
          <w:tcPr>
            <w:tcW w:w="5536" w:type="dxa"/>
            <w:shd w:val="clear" w:color="auto" w:fill="FFFFFF"/>
            <w:tcMar>
              <w:left w:w="33" w:type="dxa"/>
            </w:tcMar>
          </w:tcPr>
          <w:p w14:paraId="7616AC00" w14:textId="77777777" w:rsidR="006A0647" w:rsidRPr="002215D5" w:rsidRDefault="006A0647" w:rsidP="002215D5">
            <w:pPr>
              <w:spacing w:line="360" w:lineRule="auto"/>
              <w:jc w:val="both"/>
              <w:rPr>
                <w:rFonts w:ascii="Book Antiqua" w:hAnsi="Book Antiqua"/>
              </w:rPr>
            </w:pPr>
            <w:r w:rsidRPr="002215D5">
              <w:rPr>
                <w:rFonts w:ascii="Book Antiqua" w:hAnsi="Book Antiqua"/>
              </w:rPr>
              <w:t>Limited data available</w:t>
            </w:r>
          </w:p>
        </w:tc>
      </w:tr>
      <w:tr w:rsidR="006A0647" w:rsidRPr="002215D5" w14:paraId="2C26EC22" w14:textId="77777777" w:rsidTr="006A0647">
        <w:trPr>
          <w:trHeight w:val="172"/>
        </w:trPr>
        <w:tc>
          <w:tcPr>
            <w:tcW w:w="2364" w:type="dxa"/>
            <w:shd w:val="clear" w:color="auto" w:fill="FFFFFF"/>
            <w:tcMar>
              <w:left w:w="33" w:type="dxa"/>
            </w:tcMar>
          </w:tcPr>
          <w:p w14:paraId="2243CEEC" w14:textId="77777777" w:rsidR="006A0647" w:rsidRPr="002215D5" w:rsidRDefault="006A0647" w:rsidP="002215D5">
            <w:pPr>
              <w:spacing w:line="360" w:lineRule="auto"/>
              <w:jc w:val="both"/>
              <w:rPr>
                <w:rFonts w:ascii="Book Antiqua" w:hAnsi="Book Antiqua"/>
              </w:rPr>
            </w:pPr>
            <w:r w:rsidRPr="002215D5">
              <w:rPr>
                <w:rFonts w:ascii="Book Antiqua" w:hAnsi="Book Antiqua"/>
              </w:rPr>
              <w:t xml:space="preserve">Anti-TNF </w:t>
            </w:r>
          </w:p>
        </w:tc>
        <w:tc>
          <w:tcPr>
            <w:tcW w:w="1594" w:type="dxa"/>
            <w:shd w:val="clear" w:color="auto" w:fill="FFFFFF"/>
            <w:tcMar>
              <w:left w:w="33" w:type="dxa"/>
            </w:tcMar>
          </w:tcPr>
          <w:p w14:paraId="1E65E5F0" w14:textId="77777777" w:rsidR="006A0647" w:rsidRPr="002215D5" w:rsidRDefault="006A0647" w:rsidP="002215D5">
            <w:pPr>
              <w:spacing w:line="360" w:lineRule="auto"/>
              <w:jc w:val="both"/>
              <w:rPr>
                <w:rFonts w:ascii="Book Antiqua" w:hAnsi="Book Antiqua"/>
              </w:rPr>
            </w:pPr>
            <w:r w:rsidRPr="002215D5">
              <w:rPr>
                <w:rFonts w:ascii="Book Antiqua" w:hAnsi="Book Antiqua"/>
              </w:rPr>
              <w:t>Yes</w:t>
            </w:r>
          </w:p>
        </w:tc>
        <w:tc>
          <w:tcPr>
            <w:tcW w:w="5536" w:type="dxa"/>
            <w:shd w:val="clear" w:color="auto" w:fill="FFFFFF"/>
            <w:tcMar>
              <w:left w:w="33" w:type="dxa"/>
            </w:tcMar>
          </w:tcPr>
          <w:p w14:paraId="4632F67D" w14:textId="51B81DC6" w:rsidR="006A0647" w:rsidRPr="002215D5" w:rsidRDefault="006A0647" w:rsidP="002215D5">
            <w:pPr>
              <w:spacing w:line="360" w:lineRule="auto"/>
              <w:jc w:val="both"/>
              <w:rPr>
                <w:rFonts w:ascii="Book Antiqua" w:hAnsi="Book Antiqua"/>
              </w:rPr>
            </w:pPr>
            <w:r w:rsidRPr="002215D5">
              <w:rPr>
                <w:rFonts w:ascii="Book Antiqua" w:hAnsi="Book Antiqua"/>
              </w:rPr>
              <w:t>Data from the SECURE-IBD indicate better outcomes compared to other treatments; there are ongoing trials for the treatment of COVID-19</w:t>
            </w:r>
          </w:p>
        </w:tc>
      </w:tr>
      <w:tr w:rsidR="006A0647" w:rsidRPr="002215D5" w14:paraId="6C2826EC" w14:textId="77777777" w:rsidTr="006A0647">
        <w:trPr>
          <w:trHeight w:val="172"/>
        </w:trPr>
        <w:tc>
          <w:tcPr>
            <w:tcW w:w="2364" w:type="dxa"/>
            <w:shd w:val="clear" w:color="auto" w:fill="FFFFFF"/>
            <w:tcMar>
              <w:left w:w="33" w:type="dxa"/>
            </w:tcMar>
          </w:tcPr>
          <w:p w14:paraId="6C3D9C35" w14:textId="77777777" w:rsidR="006A0647" w:rsidRPr="002215D5" w:rsidRDefault="006A0647" w:rsidP="002215D5">
            <w:pPr>
              <w:spacing w:line="360" w:lineRule="auto"/>
              <w:jc w:val="both"/>
              <w:rPr>
                <w:rFonts w:ascii="Book Antiqua" w:hAnsi="Book Antiqua"/>
              </w:rPr>
            </w:pPr>
            <w:r w:rsidRPr="002215D5">
              <w:rPr>
                <w:rFonts w:ascii="Book Antiqua" w:hAnsi="Book Antiqua"/>
              </w:rPr>
              <w:t>Vedolizumab, anti-IL-12/23</w:t>
            </w:r>
          </w:p>
          <w:p w14:paraId="129E7E84" w14:textId="77777777" w:rsidR="006A0647" w:rsidRPr="002215D5" w:rsidRDefault="006A0647" w:rsidP="002215D5">
            <w:pPr>
              <w:spacing w:line="360" w:lineRule="auto"/>
              <w:jc w:val="both"/>
              <w:rPr>
                <w:rFonts w:ascii="Book Antiqua" w:hAnsi="Book Antiqua"/>
              </w:rPr>
            </w:pPr>
          </w:p>
        </w:tc>
        <w:tc>
          <w:tcPr>
            <w:tcW w:w="1594" w:type="dxa"/>
            <w:shd w:val="clear" w:color="auto" w:fill="FFFFFF"/>
            <w:tcMar>
              <w:left w:w="33" w:type="dxa"/>
            </w:tcMar>
          </w:tcPr>
          <w:p w14:paraId="656838BC" w14:textId="77777777" w:rsidR="006A0647" w:rsidRPr="002215D5" w:rsidRDefault="006A0647" w:rsidP="002215D5">
            <w:pPr>
              <w:spacing w:line="360" w:lineRule="auto"/>
              <w:jc w:val="both"/>
              <w:rPr>
                <w:rFonts w:ascii="Book Antiqua" w:hAnsi="Book Antiqua"/>
              </w:rPr>
            </w:pPr>
            <w:r w:rsidRPr="002215D5">
              <w:rPr>
                <w:rFonts w:ascii="Book Antiqua" w:hAnsi="Book Antiqua"/>
              </w:rPr>
              <w:t>Yes</w:t>
            </w:r>
          </w:p>
        </w:tc>
        <w:tc>
          <w:tcPr>
            <w:tcW w:w="5536" w:type="dxa"/>
            <w:shd w:val="clear" w:color="auto" w:fill="FFFFFF"/>
            <w:tcMar>
              <w:left w:w="33" w:type="dxa"/>
            </w:tcMar>
          </w:tcPr>
          <w:p w14:paraId="6A5579A2" w14:textId="77777777" w:rsidR="006A0647" w:rsidRPr="002215D5" w:rsidRDefault="006A0647" w:rsidP="002215D5">
            <w:pPr>
              <w:spacing w:line="360" w:lineRule="auto"/>
              <w:jc w:val="both"/>
              <w:rPr>
                <w:rFonts w:ascii="Book Antiqua" w:hAnsi="Book Antiqua"/>
              </w:rPr>
            </w:pPr>
            <w:r w:rsidRPr="002215D5">
              <w:rPr>
                <w:rFonts w:ascii="Book Antiqua" w:hAnsi="Book Antiqua"/>
              </w:rPr>
              <w:t>Limited data available</w:t>
            </w:r>
          </w:p>
        </w:tc>
      </w:tr>
      <w:tr w:rsidR="006A0647" w:rsidRPr="002215D5" w14:paraId="28E9BA13" w14:textId="77777777" w:rsidTr="006A0647">
        <w:trPr>
          <w:trHeight w:val="172"/>
        </w:trPr>
        <w:tc>
          <w:tcPr>
            <w:tcW w:w="2364" w:type="dxa"/>
            <w:shd w:val="clear" w:color="auto" w:fill="FFFFFF"/>
            <w:tcMar>
              <w:left w:w="33" w:type="dxa"/>
            </w:tcMar>
          </w:tcPr>
          <w:p w14:paraId="5B6A1B3A" w14:textId="77777777" w:rsidR="006A0647" w:rsidRPr="002215D5" w:rsidRDefault="006A0647" w:rsidP="002215D5">
            <w:pPr>
              <w:spacing w:line="360" w:lineRule="auto"/>
              <w:jc w:val="both"/>
              <w:rPr>
                <w:rFonts w:ascii="Book Antiqua" w:hAnsi="Book Antiqua"/>
              </w:rPr>
            </w:pPr>
            <w:r w:rsidRPr="002215D5">
              <w:rPr>
                <w:rFonts w:ascii="Book Antiqua" w:hAnsi="Book Antiqua"/>
              </w:rPr>
              <w:t>Tofacitinib</w:t>
            </w:r>
          </w:p>
        </w:tc>
        <w:tc>
          <w:tcPr>
            <w:tcW w:w="1594" w:type="dxa"/>
            <w:shd w:val="clear" w:color="auto" w:fill="FFFFFF"/>
            <w:tcMar>
              <w:left w:w="33" w:type="dxa"/>
            </w:tcMar>
          </w:tcPr>
          <w:p w14:paraId="10A364B4" w14:textId="77777777" w:rsidR="006A0647" w:rsidRPr="002215D5" w:rsidRDefault="006A0647" w:rsidP="002215D5">
            <w:pPr>
              <w:spacing w:line="360" w:lineRule="auto"/>
              <w:jc w:val="both"/>
              <w:rPr>
                <w:rFonts w:ascii="Book Antiqua" w:hAnsi="Book Antiqua"/>
              </w:rPr>
            </w:pPr>
            <w:r w:rsidRPr="002215D5">
              <w:rPr>
                <w:rFonts w:ascii="Book Antiqua" w:hAnsi="Book Antiqua"/>
              </w:rPr>
              <w:t>Yes</w:t>
            </w:r>
          </w:p>
        </w:tc>
        <w:tc>
          <w:tcPr>
            <w:tcW w:w="5536" w:type="dxa"/>
            <w:shd w:val="clear" w:color="auto" w:fill="FFFFFF"/>
            <w:tcMar>
              <w:left w:w="33" w:type="dxa"/>
            </w:tcMar>
          </w:tcPr>
          <w:p w14:paraId="675AFEB1" w14:textId="77777777" w:rsidR="006A0647" w:rsidRPr="002215D5" w:rsidRDefault="006A0647" w:rsidP="002215D5">
            <w:pPr>
              <w:keepNext/>
              <w:spacing w:line="360" w:lineRule="auto"/>
              <w:jc w:val="both"/>
              <w:rPr>
                <w:rFonts w:ascii="Book Antiqua" w:hAnsi="Book Antiqua"/>
              </w:rPr>
            </w:pPr>
            <w:r w:rsidRPr="002215D5">
              <w:rPr>
                <w:rFonts w:ascii="Book Antiqua" w:hAnsi="Book Antiqua"/>
              </w:rPr>
              <w:t>Limited data available</w:t>
            </w:r>
          </w:p>
        </w:tc>
      </w:tr>
    </w:tbl>
    <w:p w14:paraId="2994225A" w14:textId="024FFB05" w:rsidR="006A0647" w:rsidRPr="002215D5" w:rsidRDefault="00F40DD0" w:rsidP="002215D5">
      <w:pPr>
        <w:pStyle w:val="Caption"/>
        <w:spacing w:after="0" w:line="360" w:lineRule="auto"/>
        <w:jc w:val="both"/>
        <w:rPr>
          <w:rFonts w:ascii="Book Antiqua" w:hAnsi="Book Antiqua" w:cs="Times New Roman"/>
          <w:b w:val="0"/>
          <w:color w:val="00000A"/>
          <w:sz w:val="24"/>
          <w:szCs w:val="24"/>
          <w:lang w:val="en-US" w:eastAsia="zh-CN"/>
        </w:rPr>
      </w:pPr>
      <w:r w:rsidRPr="002215D5">
        <w:rPr>
          <w:rFonts w:ascii="Book Antiqua" w:hAnsi="Book Antiqua" w:cs="Times New Roman"/>
          <w:b w:val="0"/>
          <w:color w:val="00000A"/>
          <w:sz w:val="24"/>
          <w:szCs w:val="24"/>
          <w:lang w:val="en-US" w:eastAsia="zh-CN"/>
        </w:rPr>
        <w:t xml:space="preserve">COVID-19: </w:t>
      </w:r>
      <w:r w:rsidRPr="002215D5">
        <w:rPr>
          <w:rFonts w:ascii="Book Antiqua" w:hAnsi="Book Antiqua" w:cs="Times New Roman"/>
          <w:b w:val="0"/>
          <w:caps/>
          <w:color w:val="00000A"/>
          <w:sz w:val="24"/>
          <w:szCs w:val="24"/>
          <w:lang w:val="en-US" w:eastAsia="zh-CN"/>
        </w:rPr>
        <w:t>c</w:t>
      </w:r>
      <w:r w:rsidRPr="002215D5">
        <w:rPr>
          <w:rFonts w:ascii="Book Antiqua" w:hAnsi="Book Antiqua" w:cs="Times New Roman"/>
          <w:b w:val="0"/>
          <w:color w:val="00000A"/>
          <w:sz w:val="24"/>
          <w:szCs w:val="24"/>
          <w:lang w:val="en-US" w:eastAsia="zh-CN"/>
        </w:rPr>
        <w:t>oronavirus disease 2019</w:t>
      </w:r>
      <w:r>
        <w:rPr>
          <w:rFonts w:ascii="Book Antiqua" w:hAnsi="Book Antiqua" w:cs="Times New Roman"/>
          <w:b w:val="0"/>
          <w:color w:val="00000A"/>
          <w:sz w:val="24"/>
          <w:szCs w:val="24"/>
          <w:lang w:val="en-US" w:eastAsia="zh-CN"/>
        </w:rPr>
        <w:t xml:space="preserve">; </w:t>
      </w:r>
      <w:r w:rsidR="006A0647" w:rsidRPr="002215D5">
        <w:rPr>
          <w:rFonts w:ascii="Book Antiqua" w:hAnsi="Book Antiqua" w:cs="Times New Roman"/>
          <w:b w:val="0"/>
          <w:color w:val="00000A"/>
          <w:sz w:val="24"/>
          <w:szCs w:val="24"/>
          <w:lang w:val="en-US" w:eastAsia="zh-CN"/>
        </w:rPr>
        <w:t xml:space="preserve">IBD: </w:t>
      </w:r>
      <w:r w:rsidR="006A0647" w:rsidRPr="002215D5">
        <w:rPr>
          <w:rFonts w:ascii="Book Antiqua" w:hAnsi="Book Antiqua" w:cs="Times New Roman"/>
          <w:b w:val="0"/>
          <w:caps/>
          <w:color w:val="00000A"/>
          <w:sz w:val="24"/>
          <w:szCs w:val="24"/>
          <w:lang w:val="en-US" w:eastAsia="zh-CN"/>
        </w:rPr>
        <w:t>i</w:t>
      </w:r>
      <w:r w:rsidR="006A0647" w:rsidRPr="002215D5">
        <w:rPr>
          <w:rFonts w:ascii="Book Antiqua" w:hAnsi="Book Antiqua" w:cs="Times New Roman"/>
          <w:b w:val="0"/>
          <w:color w:val="00000A"/>
          <w:sz w:val="24"/>
          <w:szCs w:val="24"/>
          <w:lang w:val="en-US" w:eastAsia="zh-CN"/>
        </w:rPr>
        <w:t xml:space="preserve">nflammatory bowel diseases; </w:t>
      </w:r>
      <w:bookmarkStart w:id="20" w:name="OLE_LINK631"/>
      <w:bookmarkStart w:id="21" w:name="OLE_LINK632"/>
      <w:r>
        <w:rPr>
          <w:rFonts w:ascii="Book Antiqua" w:hAnsi="Book Antiqua" w:cs="Times New Roman"/>
          <w:b w:val="0"/>
          <w:color w:val="00000A"/>
          <w:sz w:val="24"/>
          <w:szCs w:val="24"/>
          <w:lang w:val="en-US" w:eastAsia="zh-CN"/>
        </w:rPr>
        <w:t>IL: Interleukin;</w:t>
      </w:r>
      <w:r w:rsidRPr="002215D5">
        <w:rPr>
          <w:rFonts w:ascii="Book Antiqua" w:hAnsi="Book Antiqua" w:cs="Times New Roman"/>
          <w:b w:val="0"/>
          <w:color w:val="00000A"/>
          <w:sz w:val="24"/>
          <w:szCs w:val="24"/>
          <w:lang w:val="en-US" w:eastAsia="zh-CN"/>
        </w:rPr>
        <w:t xml:space="preserve"> </w:t>
      </w:r>
      <w:r w:rsidR="006A0647" w:rsidRPr="002215D5">
        <w:rPr>
          <w:rFonts w:ascii="Book Antiqua" w:hAnsi="Book Antiqua" w:cs="Times New Roman"/>
          <w:b w:val="0"/>
          <w:color w:val="00000A"/>
          <w:sz w:val="24"/>
          <w:szCs w:val="24"/>
          <w:lang w:val="en-US" w:eastAsia="zh-CN"/>
        </w:rPr>
        <w:t>TNF: Tumor necrosis factors</w:t>
      </w:r>
      <w:r>
        <w:rPr>
          <w:rFonts w:ascii="Book Antiqua" w:hAnsi="Book Antiqua" w:cs="Times New Roman"/>
          <w:b w:val="0"/>
          <w:color w:val="00000A"/>
          <w:sz w:val="24"/>
          <w:szCs w:val="24"/>
          <w:lang w:val="en-US" w:eastAsia="zh-CN"/>
        </w:rPr>
        <w:t>.</w:t>
      </w:r>
      <w:bookmarkEnd w:id="20"/>
      <w:bookmarkEnd w:id="21"/>
      <w:r w:rsidR="006A0647" w:rsidRPr="002215D5">
        <w:rPr>
          <w:rFonts w:ascii="Book Antiqua" w:hAnsi="Book Antiqua" w:cs="Times New Roman"/>
          <w:b w:val="0"/>
          <w:color w:val="00000A"/>
          <w:sz w:val="24"/>
          <w:szCs w:val="24"/>
          <w:lang w:val="en-US" w:eastAsia="zh-CN"/>
        </w:rPr>
        <w:t xml:space="preserve"> </w:t>
      </w:r>
    </w:p>
    <w:p w14:paraId="32F69A0F" w14:textId="515D9375" w:rsidR="006A0647" w:rsidRPr="002215D5" w:rsidRDefault="006A0647" w:rsidP="002215D5">
      <w:pPr>
        <w:pStyle w:val="Caption"/>
        <w:spacing w:after="0" w:line="360" w:lineRule="auto"/>
        <w:jc w:val="both"/>
        <w:rPr>
          <w:rFonts w:ascii="Book Antiqua" w:hAnsi="Book Antiqua" w:cs="Times New Roman"/>
          <w:b w:val="0"/>
          <w:color w:val="00000A"/>
          <w:sz w:val="24"/>
          <w:szCs w:val="24"/>
          <w:lang w:val="en-US"/>
        </w:rPr>
      </w:pPr>
      <w:r w:rsidRPr="002215D5">
        <w:rPr>
          <w:rFonts w:ascii="Book Antiqua" w:hAnsi="Book Antiqua" w:cs="Times New Roman"/>
          <w:b w:val="0"/>
          <w:color w:val="00000A"/>
          <w:sz w:val="24"/>
          <w:szCs w:val="24"/>
          <w:lang w:val="en-US"/>
        </w:rPr>
        <w:br w:type="page"/>
      </w:r>
      <w:r w:rsidRPr="002215D5">
        <w:rPr>
          <w:rFonts w:ascii="Book Antiqua" w:hAnsi="Book Antiqua" w:cs="Times New Roman"/>
          <w:color w:val="00000A"/>
          <w:sz w:val="24"/>
          <w:szCs w:val="24"/>
          <w:lang w:val="en-US"/>
        </w:rPr>
        <w:lastRenderedPageBreak/>
        <w:t xml:space="preserve">Table </w:t>
      </w:r>
      <w:r w:rsidRPr="002215D5">
        <w:rPr>
          <w:rFonts w:ascii="Book Antiqua" w:hAnsi="Book Antiqua" w:cs="Times New Roman"/>
          <w:color w:val="00000A"/>
          <w:sz w:val="24"/>
          <w:szCs w:val="24"/>
          <w:lang w:val="en-US" w:eastAsia="zh-CN"/>
        </w:rPr>
        <w:t xml:space="preserve">3 </w:t>
      </w:r>
      <w:r w:rsidRPr="002215D5">
        <w:rPr>
          <w:rFonts w:ascii="Book Antiqua" w:hAnsi="Book Antiqua" w:cs="Times New Roman"/>
          <w:color w:val="00000A"/>
          <w:sz w:val="24"/>
          <w:szCs w:val="24"/>
          <w:lang w:val="en-US"/>
        </w:rPr>
        <w:t>Summary of treatment in severe acute respiratory syndrome coronavirus-2 positive patients with stable inflammatory bowel disease disease course</w:t>
      </w:r>
    </w:p>
    <w:tbl>
      <w:tblPr>
        <w:tblW w:w="9498" w:type="dxa"/>
        <w:tblInd w:w="33" w:type="dxa"/>
        <w:tblBorders>
          <w:top w:val="single" w:sz="4" w:space="0" w:color="666666"/>
          <w:bottom w:val="single" w:sz="4" w:space="0" w:color="666666"/>
        </w:tblBorders>
        <w:tblCellMar>
          <w:left w:w="33" w:type="dxa"/>
        </w:tblCellMar>
        <w:tblLook w:val="04A0" w:firstRow="1" w:lastRow="0" w:firstColumn="1" w:lastColumn="0" w:noHBand="0" w:noVBand="1"/>
      </w:tblPr>
      <w:tblGrid>
        <w:gridCol w:w="2390"/>
        <w:gridCol w:w="1582"/>
        <w:gridCol w:w="5526"/>
      </w:tblGrid>
      <w:tr w:rsidR="006A0647" w:rsidRPr="002215D5" w14:paraId="65E52AD8" w14:textId="77777777" w:rsidTr="006A0647">
        <w:trPr>
          <w:trHeight w:val="219"/>
        </w:trPr>
        <w:tc>
          <w:tcPr>
            <w:tcW w:w="2390" w:type="dxa"/>
            <w:vMerge w:val="restart"/>
            <w:tcBorders>
              <w:top w:val="single" w:sz="4" w:space="0" w:color="666666"/>
              <w:bottom w:val="single" w:sz="4" w:space="0" w:color="666666"/>
            </w:tcBorders>
            <w:shd w:val="clear" w:color="auto" w:fill="FFFFFF"/>
            <w:tcMar>
              <w:left w:w="33" w:type="dxa"/>
            </w:tcMar>
          </w:tcPr>
          <w:p w14:paraId="3980F03D" w14:textId="77777777" w:rsidR="006A0647" w:rsidRPr="002215D5" w:rsidRDefault="006A0647" w:rsidP="002215D5">
            <w:pPr>
              <w:spacing w:line="360" w:lineRule="auto"/>
              <w:jc w:val="both"/>
              <w:rPr>
                <w:rFonts w:ascii="Book Antiqua" w:hAnsi="Book Antiqua"/>
                <w:b/>
              </w:rPr>
            </w:pPr>
            <w:r w:rsidRPr="002215D5">
              <w:rPr>
                <w:rFonts w:ascii="Book Antiqua" w:hAnsi="Book Antiqua"/>
                <w:b/>
              </w:rPr>
              <w:t>Drug</w:t>
            </w:r>
          </w:p>
        </w:tc>
        <w:tc>
          <w:tcPr>
            <w:tcW w:w="1582" w:type="dxa"/>
            <w:tcBorders>
              <w:top w:val="single" w:sz="4" w:space="0" w:color="666666"/>
              <w:bottom w:val="single" w:sz="4" w:space="0" w:color="666666"/>
            </w:tcBorders>
            <w:shd w:val="clear" w:color="auto" w:fill="FFFFFF"/>
            <w:tcMar>
              <w:left w:w="33" w:type="dxa"/>
            </w:tcMar>
          </w:tcPr>
          <w:p w14:paraId="228D363E" w14:textId="77777777" w:rsidR="006A0647" w:rsidRPr="002215D5" w:rsidRDefault="006A0647" w:rsidP="002215D5">
            <w:pPr>
              <w:spacing w:line="360" w:lineRule="auto"/>
              <w:jc w:val="both"/>
              <w:rPr>
                <w:rFonts w:ascii="Book Antiqua" w:hAnsi="Book Antiqua"/>
                <w:b/>
              </w:rPr>
            </w:pPr>
            <w:r w:rsidRPr="002215D5">
              <w:rPr>
                <w:rFonts w:ascii="Book Antiqua" w:hAnsi="Book Antiqua"/>
                <w:b/>
              </w:rPr>
              <w:t>Suggestions</w:t>
            </w:r>
          </w:p>
        </w:tc>
        <w:tc>
          <w:tcPr>
            <w:tcW w:w="5526" w:type="dxa"/>
            <w:vMerge w:val="restart"/>
            <w:tcBorders>
              <w:top w:val="single" w:sz="4" w:space="0" w:color="666666"/>
              <w:bottom w:val="single" w:sz="4" w:space="0" w:color="666666"/>
            </w:tcBorders>
            <w:shd w:val="clear" w:color="auto" w:fill="FFFFFF"/>
            <w:tcMar>
              <w:left w:w="33" w:type="dxa"/>
            </w:tcMar>
          </w:tcPr>
          <w:p w14:paraId="1E66B973" w14:textId="77777777" w:rsidR="006A0647" w:rsidRPr="002215D5" w:rsidRDefault="006A0647" w:rsidP="002215D5">
            <w:pPr>
              <w:spacing w:line="360" w:lineRule="auto"/>
              <w:jc w:val="both"/>
              <w:rPr>
                <w:rFonts w:ascii="Book Antiqua" w:hAnsi="Book Antiqua"/>
                <w:b/>
              </w:rPr>
            </w:pPr>
            <w:r w:rsidRPr="002215D5">
              <w:rPr>
                <w:rFonts w:ascii="Book Antiqua" w:hAnsi="Book Antiqua"/>
                <w:b/>
              </w:rPr>
              <w:t>Additional comments</w:t>
            </w:r>
          </w:p>
        </w:tc>
      </w:tr>
      <w:tr w:rsidR="006A0647" w:rsidRPr="002215D5" w14:paraId="09E7173D" w14:textId="77777777" w:rsidTr="006A0647">
        <w:trPr>
          <w:trHeight w:val="63"/>
        </w:trPr>
        <w:tc>
          <w:tcPr>
            <w:tcW w:w="2390" w:type="dxa"/>
            <w:vMerge/>
            <w:tcBorders>
              <w:top w:val="single" w:sz="4" w:space="0" w:color="666666"/>
              <w:bottom w:val="single" w:sz="4" w:space="0" w:color="666666"/>
            </w:tcBorders>
            <w:shd w:val="clear" w:color="auto" w:fill="FFFFFF"/>
            <w:tcMar>
              <w:left w:w="33" w:type="dxa"/>
            </w:tcMar>
          </w:tcPr>
          <w:p w14:paraId="23A997E8" w14:textId="77777777" w:rsidR="006A0647" w:rsidRPr="002215D5" w:rsidRDefault="006A0647" w:rsidP="002215D5">
            <w:pPr>
              <w:spacing w:line="360" w:lineRule="auto"/>
              <w:jc w:val="both"/>
              <w:rPr>
                <w:rFonts w:ascii="Book Antiqua" w:hAnsi="Book Antiqua"/>
              </w:rPr>
            </w:pPr>
          </w:p>
        </w:tc>
        <w:tc>
          <w:tcPr>
            <w:tcW w:w="1582" w:type="dxa"/>
            <w:tcBorders>
              <w:top w:val="single" w:sz="4" w:space="0" w:color="666666"/>
              <w:bottom w:val="single" w:sz="4" w:space="0" w:color="666666"/>
            </w:tcBorders>
            <w:shd w:val="clear" w:color="auto" w:fill="FFFFFF"/>
            <w:tcMar>
              <w:left w:w="33" w:type="dxa"/>
            </w:tcMar>
          </w:tcPr>
          <w:p w14:paraId="3C35674A" w14:textId="77777777" w:rsidR="006A0647" w:rsidRPr="002215D5" w:rsidRDefault="006A0647" w:rsidP="002215D5">
            <w:pPr>
              <w:spacing w:line="360" w:lineRule="auto"/>
              <w:jc w:val="both"/>
              <w:rPr>
                <w:rFonts w:ascii="Book Antiqua" w:hAnsi="Book Antiqua"/>
                <w:b/>
              </w:rPr>
            </w:pPr>
            <w:r w:rsidRPr="002215D5">
              <w:rPr>
                <w:rFonts w:ascii="Book Antiqua" w:hAnsi="Book Antiqua"/>
                <w:b/>
              </w:rPr>
              <w:t>Continue therapy</w:t>
            </w:r>
          </w:p>
        </w:tc>
        <w:tc>
          <w:tcPr>
            <w:tcW w:w="5526" w:type="dxa"/>
            <w:vMerge/>
            <w:tcBorders>
              <w:top w:val="single" w:sz="4" w:space="0" w:color="666666"/>
              <w:bottom w:val="single" w:sz="4" w:space="0" w:color="666666"/>
            </w:tcBorders>
            <w:shd w:val="clear" w:color="auto" w:fill="FFFFFF"/>
            <w:tcMar>
              <w:left w:w="33" w:type="dxa"/>
            </w:tcMar>
          </w:tcPr>
          <w:p w14:paraId="67C84AB6" w14:textId="77777777" w:rsidR="006A0647" w:rsidRPr="002215D5" w:rsidRDefault="006A0647" w:rsidP="002215D5">
            <w:pPr>
              <w:spacing w:line="360" w:lineRule="auto"/>
              <w:jc w:val="both"/>
              <w:rPr>
                <w:rFonts w:ascii="Book Antiqua" w:hAnsi="Book Antiqua"/>
              </w:rPr>
            </w:pPr>
          </w:p>
        </w:tc>
      </w:tr>
      <w:tr w:rsidR="006A0647" w:rsidRPr="002215D5" w14:paraId="334572FA" w14:textId="77777777" w:rsidTr="006A0647">
        <w:trPr>
          <w:trHeight w:val="183"/>
        </w:trPr>
        <w:tc>
          <w:tcPr>
            <w:tcW w:w="2390" w:type="dxa"/>
            <w:tcBorders>
              <w:top w:val="single" w:sz="4" w:space="0" w:color="666666"/>
              <w:bottom w:val="nil"/>
            </w:tcBorders>
            <w:shd w:val="clear" w:color="auto" w:fill="FFFFFF"/>
            <w:tcMar>
              <w:left w:w="33" w:type="dxa"/>
            </w:tcMar>
          </w:tcPr>
          <w:p w14:paraId="017340F4" w14:textId="77777777" w:rsidR="006A0647" w:rsidRPr="002215D5" w:rsidRDefault="006A0647" w:rsidP="002215D5">
            <w:pPr>
              <w:spacing w:line="360" w:lineRule="auto"/>
              <w:jc w:val="both"/>
              <w:rPr>
                <w:rFonts w:ascii="Book Antiqua" w:hAnsi="Book Antiqua"/>
              </w:rPr>
            </w:pPr>
            <w:r w:rsidRPr="002215D5">
              <w:rPr>
                <w:rFonts w:ascii="Book Antiqua" w:hAnsi="Book Antiqua"/>
              </w:rPr>
              <w:t>Salicylates</w:t>
            </w:r>
          </w:p>
        </w:tc>
        <w:tc>
          <w:tcPr>
            <w:tcW w:w="1582" w:type="dxa"/>
            <w:tcBorders>
              <w:top w:val="single" w:sz="4" w:space="0" w:color="666666"/>
              <w:bottom w:val="nil"/>
            </w:tcBorders>
            <w:shd w:val="clear" w:color="auto" w:fill="FFFFFF"/>
            <w:tcMar>
              <w:left w:w="33" w:type="dxa"/>
            </w:tcMar>
          </w:tcPr>
          <w:p w14:paraId="3D8F7030" w14:textId="77777777" w:rsidR="006A0647" w:rsidRPr="002215D5" w:rsidRDefault="006A0647" w:rsidP="002215D5">
            <w:pPr>
              <w:spacing w:line="360" w:lineRule="auto"/>
              <w:jc w:val="both"/>
              <w:rPr>
                <w:rFonts w:ascii="Book Antiqua" w:hAnsi="Book Antiqua"/>
              </w:rPr>
            </w:pPr>
            <w:r w:rsidRPr="002215D5">
              <w:rPr>
                <w:rFonts w:ascii="Book Antiqua" w:hAnsi="Book Antiqua"/>
              </w:rPr>
              <w:t>Yes</w:t>
            </w:r>
          </w:p>
        </w:tc>
        <w:tc>
          <w:tcPr>
            <w:tcW w:w="5526" w:type="dxa"/>
            <w:tcBorders>
              <w:top w:val="single" w:sz="4" w:space="0" w:color="666666"/>
              <w:bottom w:val="nil"/>
            </w:tcBorders>
            <w:shd w:val="clear" w:color="auto" w:fill="FFFFFF"/>
            <w:tcMar>
              <w:left w:w="33" w:type="dxa"/>
            </w:tcMar>
          </w:tcPr>
          <w:p w14:paraId="42CFA6F9" w14:textId="0DEEC288" w:rsidR="006A0647" w:rsidRPr="002215D5" w:rsidRDefault="006A0647" w:rsidP="002215D5">
            <w:pPr>
              <w:spacing w:line="360" w:lineRule="auto"/>
              <w:jc w:val="both"/>
              <w:rPr>
                <w:rFonts w:ascii="Book Antiqua" w:hAnsi="Book Antiqua"/>
              </w:rPr>
            </w:pPr>
            <w:r w:rsidRPr="002215D5">
              <w:rPr>
                <w:rFonts w:ascii="Book Antiqua" w:hAnsi="Book Antiqua"/>
                <w:caps/>
              </w:rPr>
              <w:t>a</w:t>
            </w:r>
            <w:r w:rsidRPr="002215D5">
              <w:rPr>
                <w:rFonts w:ascii="Book Antiqua" w:hAnsi="Book Antiqua"/>
              </w:rPr>
              <w:t xml:space="preserve"> pause can be considered since data suggest a possible association of their use and poor COVID-19 outcome</w:t>
            </w:r>
          </w:p>
        </w:tc>
      </w:tr>
      <w:tr w:rsidR="006A0647" w:rsidRPr="002215D5" w14:paraId="68565D8B" w14:textId="77777777" w:rsidTr="006A0647">
        <w:trPr>
          <w:trHeight w:val="183"/>
        </w:trPr>
        <w:tc>
          <w:tcPr>
            <w:tcW w:w="2390" w:type="dxa"/>
            <w:tcBorders>
              <w:top w:val="nil"/>
            </w:tcBorders>
            <w:shd w:val="clear" w:color="auto" w:fill="FFFFFF"/>
            <w:tcMar>
              <w:left w:w="33" w:type="dxa"/>
            </w:tcMar>
          </w:tcPr>
          <w:p w14:paraId="0A58B678" w14:textId="77777777" w:rsidR="006A0647" w:rsidRPr="002215D5" w:rsidRDefault="006A0647" w:rsidP="002215D5">
            <w:pPr>
              <w:spacing w:line="360" w:lineRule="auto"/>
              <w:jc w:val="both"/>
              <w:rPr>
                <w:rFonts w:ascii="Book Antiqua" w:hAnsi="Book Antiqua"/>
              </w:rPr>
            </w:pPr>
            <w:r w:rsidRPr="002215D5">
              <w:rPr>
                <w:rFonts w:ascii="Book Antiqua" w:hAnsi="Book Antiqua"/>
              </w:rPr>
              <w:t xml:space="preserve">Locally acting steroids </w:t>
            </w:r>
          </w:p>
        </w:tc>
        <w:tc>
          <w:tcPr>
            <w:tcW w:w="1582" w:type="dxa"/>
            <w:tcBorders>
              <w:top w:val="nil"/>
            </w:tcBorders>
            <w:shd w:val="clear" w:color="auto" w:fill="FFFFFF"/>
            <w:tcMar>
              <w:left w:w="33" w:type="dxa"/>
            </w:tcMar>
          </w:tcPr>
          <w:p w14:paraId="085CBE50" w14:textId="77777777" w:rsidR="006A0647" w:rsidRPr="002215D5" w:rsidRDefault="006A0647" w:rsidP="002215D5">
            <w:pPr>
              <w:spacing w:line="360" w:lineRule="auto"/>
              <w:jc w:val="both"/>
              <w:rPr>
                <w:rFonts w:ascii="Book Antiqua" w:hAnsi="Book Antiqua"/>
              </w:rPr>
            </w:pPr>
            <w:r w:rsidRPr="002215D5">
              <w:rPr>
                <w:rFonts w:ascii="Book Antiqua" w:hAnsi="Book Antiqua"/>
              </w:rPr>
              <w:t>Yes</w:t>
            </w:r>
          </w:p>
        </w:tc>
        <w:tc>
          <w:tcPr>
            <w:tcW w:w="5526" w:type="dxa"/>
            <w:tcBorders>
              <w:top w:val="nil"/>
            </w:tcBorders>
            <w:shd w:val="clear" w:color="auto" w:fill="FFFFFF"/>
            <w:tcMar>
              <w:left w:w="33" w:type="dxa"/>
            </w:tcMar>
          </w:tcPr>
          <w:p w14:paraId="68FDB6B0" w14:textId="77777777" w:rsidR="006A0647" w:rsidRPr="002215D5" w:rsidRDefault="006A0647" w:rsidP="002215D5">
            <w:pPr>
              <w:spacing w:line="360" w:lineRule="auto"/>
              <w:jc w:val="both"/>
              <w:rPr>
                <w:rFonts w:ascii="Book Antiqua" w:hAnsi="Book Antiqua"/>
              </w:rPr>
            </w:pPr>
            <w:r w:rsidRPr="002215D5">
              <w:rPr>
                <w:rFonts w:ascii="Book Antiqua" w:hAnsi="Book Antiqua"/>
              </w:rPr>
              <w:t>No data available</w:t>
            </w:r>
          </w:p>
        </w:tc>
      </w:tr>
      <w:tr w:rsidR="006A0647" w:rsidRPr="002215D5" w14:paraId="0EE3D094" w14:textId="77777777" w:rsidTr="006A0647">
        <w:trPr>
          <w:trHeight w:val="183"/>
        </w:trPr>
        <w:tc>
          <w:tcPr>
            <w:tcW w:w="2390" w:type="dxa"/>
            <w:shd w:val="clear" w:color="auto" w:fill="FFFFFF"/>
            <w:tcMar>
              <w:left w:w="33" w:type="dxa"/>
            </w:tcMar>
          </w:tcPr>
          <w:p w14:paraId="544F9501" w14:textId="77777777" w:rsidR="006A0647" w:rsidRPr="002215D5" w:rsidRDefault="006A0647" w:rsidP="002215D5">
            <w:pPr>
              <w:spacing w:line="360" w:lineRule="auto"/>
              <w:jc w:val="both"/>
              <w:rPr>
                <w:rFonts w:ascii="Book Antiqua" w:hAnsi="Book Antiqua"/>
              </w:rPr>
            </w:pPr>
            <w:r w:rsidRPr="002215D5">
              <w:rPr>
                <w:rFonts w:ascii="Book Antiqua" w:hAnsi="Book Antiqua"/>
              </w:rPr>
              <w:t>Systemic steroids</w:t>
            </w:r>
          </w:p>
        </w:tc>
        <w:tc>
          <w:tcPr>
            <w:tcW w:w="1582" w:type="dxa"/>
            <w:shd w:val="clear" w:color="auto" w:fill="FFFFFF"/>
            <w:tcMar>
              <w:left w:w="33" w:type="dxa"/>
            </w:tcMar>
          </w:tcPr>
          <w:p w14:paraId="0C143CB4" w14:textId="77777777" w:rsidR="006A0647" w:rsidRPr="002215D5" w:rsidRDefault="006A0647" w:rsidP="002215D5">
            <w:pPr>
              <w:spacing w:line="360" w:lineRule="auto"/>
              <w:jc w:val="both"/>
              <w:rPr>
                <w:rFonts w:ascii="Book Antiqua" w:hAnsi="Book Antiqua"/>
              </w:rPr>
            </w:pPr>
            <w:r w:rsidRPr="002215D5">
              <w:rPr>
                <w:rFonts w:ascii="Book Antiqua" w:hAnsi="Book Antiqua"/>
              </w:rPr>
              <w:t>Rapid tapering</w:t>
            </w:r>
          </w:p>
        </w:tc>
        <w:tc>
          <w:tcPr>
            <w:tcW w:w="5526" w:type="dxa"/>
            <w:shd w:val="clear" w:color="auto" w:fill="FFFFFF"/>
            <w:tcMar>
              <w:left w:w="33" w:type="dxa"/>
            </w:tcMar>
          </w:tcPr>
          <w:p w14:paraId="7F698A19" w14:textId="77777777" w:rsidR="006A0647" w:rsidRPr="002215D5" w:rsidRDefault="006A0647" w:rsidP="002215D5">
            <w:pPr>
              <w:spacing w:line="360" w:lineRule="auto"/>
              <w:jc w:val="both"/>
              <w:rPr>
                <w:rFonts w:ascii="Book Antiqua" w:hAnsi="Book Antiqua"/>
              </w:rPr>
            </w:pPr>
            <w:r w:rsidRPr="002215D5">
              <w:rPr>
                <w:rFonts w:ascii="Book Antiqua" w:hAnsi="Book Antiqua"/>
                <w:caps/>
              </w:rPr>
              <w:t>d</w:t>
            </w:r>
            <w:r w:rsidRPr="002215D5">
              <w:rPr>
                <w:rFonts w:ascii="Book Antiqua" w:hAnsi="Book Antiqua"/>
              </w:rPr>
              <w:t>osage below 40</w:t>
            </w:r>
            <w:r w:rsidRPr="002215D5">
              <w:rPr>
                <w:rFonts w:ascii="Book Antiqua" w:hAnsi="Book Antiqua"/>
                <w:lang w:eastAsia="zh-CN"/>
              </w:rPr>
              <w:t xml:space="preserve"> </w:t>
            </w:r>
            <w:r w:rsidRPr="002215D5">
              <w:rPr>
                <w:rFonts w:ascii="Book Antiqua" w:hAnsi="Book Antiqua"/>
              </w:rPr>
              <w:t>mg/d is suggested along with rapid tapering, particularly in patients without pneumonia and need for oxygen supplementation</w:t>
            </w:r>
          </w:p>
        </w:tc>
      </w:tr>
      <w:tr w:rsidR="006A0647" w:rsidRPr="002215D5" w14:paraId="5787FF02" w14:textId="77777777" w:rsidTr="006A0647">
        <w:trPr>
          <w:trHeight w:val="176"/>
        </w:trPr>
        <w:tc>
          <w:tcPr>
            <w:tcW w:w="2390" w:type="dxa"/>
            <w:shd w:val="clear" w:color="auto" w:fill="FFFFFF"/>
            <w:tcMar>
              <w:left w:w="33" w:type="dxa"/>
            </w:tcMar>
          </w:tcPr>
          <w:p w14:paraId="54C57C08" w14:textId="77777777" w:rsidR="006A0647" w:rsidRPr="002215D5" w:rsidRDefault="006A0647" w:rsidP="002215D5">
            <w:pPr>
              <w:spacing w:line="360" w:lineRule="auto"/>
              <w:jc w:val="both"/>
              <w:rPr>
                <w:rFonts w:ascii="Book Antiqua" w:hAnsi="Book Antiqua"/>
              </w:rPr>
            </w:pPr>
            <w:r w:rsidRPr="002215D5">
              <w:rPr>
                <w:rFonts w:ascii="Book Antiqua" w:hAnsi="Book Antiqua"/>
              </w:rPr>
              <w:t>Azathioprine</w:t>
            </w:r>
          </w:p>
        </w:tc>
        <w:tc>
          <w:tcPr>
            <w:tcW w:w="1582" w:type="dxa"/>
            <w:shd w:val="clear" w:color="auto" w:fill="FFFFFF"/>
            <w:tcMar>
              <w:left w:w="33" w:type="dxa"/>
            </w:tcMar>
          </w:tcPr>
          <w:p w14:paraId="37341693" w14:textId="77777777" w:rsidR="006A0647" w:rsidRPr="002215D5" w:rsidRDefault="006A0647" w:rsidP="002215D5">
            <w:pPr>
              <w:spacing w:line="360" w:lineRule="auto"/>
              <w:jc w:val="both"/>
              <w:rPr>
                <w:rFonts w:ascii="Book Antiqua" w:hAnsi="Book Antiqua"/>
              </w:rPr>
            </w:pPr>
            <w:r w:rsidRPr="002215D5">
              <w:rPr>
                <w:rFonts w:ascii="Book Antiqua" w:hAnsi="Book Antiqua"/>
              </w:rPr>
              <w:t>No</w:t>
            </w:r>
          </w:p>
        </w:tc>
        <w:tc>
          <w:tcPr>
            <w:tcW w:w="5526" w:type="dxa"/>
            <w:shd w:val="clear" w:color="auto" w:fill="FFFFFF"/>
            <w:tcMar>
              <w:left w:w="33" w:type="dxa"/>
            </w:tcMar>
          </w:tcPr>
          <w:p w14:paraId="6452CCCF" w14:textId="4EFC644D" w:rsidR="006A0647" w:rsidRPr="002215D5" w:rsidRDefault="006A0647" w:rsidP="002215D5">
            <w:pPr>
              <w:spacing w:line="360" w:lineRule="auto"/>
              <w:jc w:val="both"/>
              <w:rPr>
                <w:rFonts w:ascii="Book Antiqua" w:hAnsi="Book Antiqua"/>
              </w:rPr>
            </w:pPr>
            <w:r w:rsidRPr="002215D5">
              <w:rPr>
                <w:rFonts w:ascii="Book Antiqua" w:hAnsi="Book Antiqua"/>
                <w:caps/>
              </w:rPr>
              <w:t>d</w:t>
            </w:r>
            <w:r w:rsidRPr="002215D5">
              <w:rPr>
                <w:rFonts w:ascii="Book Antiqua" w:hAnsi="Book Antiqua"/>
              </w:rPr>
              <w:t xml:space="preserve">elay treatment for </w:t>
            </w:r>
            <w:r w:rsidR="00225B62">
              <w:rPr>
                <w:rFonts w:ascii="Book Antiqua" w:hAnsi="Book Antiqua"/>
              </w:rPr>
              <w:t>2</w:t>
            </w:r>
            <w:r w:rsidRPr="002215D5">
              <w:rPr>
                <w:rFonts w:ascii="Book Antiqua" w:hAnsi="Book Antiqua"/>
              </w:rPr>
              <w:t xml:space="preserve"> wk and/or until COVID-19 symptoms resolve </w:t>
            </w:r>
          </w:p>
        </w:tc>
      </w:tr>
      <w:tr w:rsidR="006A0647" w:rsidRPr="002215D5" w14:paraId="01E5DE6C" w14:textId="77777777" w:rsidTr="006A0647">
        <w:trPr>
          <w:trHeight w:val="190"/>
        </w:trPr>
        <w:tc>
          <w:tcPr>
            <w:tcW w:w="2390" w:type="dxa"/>
            <w:shd w:val="clear" w:color="auto" w:fill="FFFFFF"/>
            <w:tcMar>
              <w:left w:w="33" w:type="dxa"/>
            </w:tcMar>
          </w:tcPr>
          <w:p w14:paraId="174ED974" w14:textId="77777777" w:rsidR="006A0647" w:rsidRPr="002215D5" w:rsidRDefault="006A0647" w:rsidP="002215D5">
            <w:pPr>
              <w:spacing w:line="360" w:lineRule="auto"/>
              <w:jc w:val="both"/>
              <w:rPr>
                <w:rFonts w:ascii="Book Antiqua" w:hAnsi="Book Antiqua"/>
              </w:rPr>
            </w:pPr>
            <w:r w:rsidRPr="002215D5">
              <w:rPr>
                <w:rFonts w:ascii="Book Antiqua" w:hAnsi="Book Antiqua"/>
              </w:rPr>
              <w:t>Methotrexate</w:t>
            </w:r>
          </w:p>
        </w:tc>
        <w:tc>
          <w:tcPr>
            <w:tcW w:w="1582" w:type="dxa"/>
            <w:shd w:val="clear" w:color="auto" w:fill="FFFFFF"/>
            <w:tcMar>
              <w:left w:w="33" w:type="dxa"/>
            </w:tcMar>
          </w:tcPr>
          <w:p w14:paraId="46F8F5EE" w14:textId="77777777" w:rsidR="006A0647" w:rsidRPr="002215D5" w:rsidRDefault="006A0647" w:rsidP="002215D5">
            <w:pPr>
              <w:spacing w:line="360" w:lineRule="auto"/>
              <w:jc w:val="both"/>
              <w:rPr>
                <w:rFonts w:ascii="Book Antiqua" w:hAnsi="Book Antiqua"/>
              </w:rPr>
            </w:pPr>
            <w:r w:rsidRPr="002215D5">
              <w:rPr>
                <w:rFonts w:ascii="Book Antiqua" w:hAnsi="Book Antiqua"/>
              </w:rPr>
              <w:t>No</w:t>
            </w:r>
          </w:p>
        </w:tc>
        <w:tc>
          <w:tcPr>
            <w:tcW w:w="5526" w:type="dxa"/>
            <w:shd w:val="clear" w:color="auto" w:fill="FFFFFF"/>
            <w:tcMar>
              <w:left w:w="33" w:type="dxa"/>
            </w:tcMar>
          </w:tcPr>
          <w:p w14:paraId="57FF8D8A" w14:textId="58B6200F" w:rsidR="006A0647" w:rsidRPr="002215D5" w:rsidRDefault="006A0647" w:rsidP="002215D5">
            <w:pPr>
              <w:spacing w:line="360" w:lineRule="auto"/>
              <w:jc w:val="both"/>
              <w:rPr>
                <w:rFonts w:ascii="Book Antiqua" w:hAnsi="Book Antiqua"/>
              </w:rPr>
            </w:pPr>
            <w:r w:rsidRPr="002215D5">
              <w:rPr>
                <w:rFonts w:ascii="Book Antiqua" w:hAnsi="Book Antiqua"/>
                <w:caps/>
              </w:rPr>
              <w:t>d</w:t>
            </w:r>
            <w:r w:rsidRPr="002215D5">
              <w:rPr>
                <w:rFonts w:ascii="Book Antiqua" w:hAnsi="Book Antiqua"/>
              </w:rPr>
              <w:t xml:space="preserve">elay treatment for </w:t>
            </w:r>
            <w:r w:rsidR="00225B62">
              <w:rPr>
                <w:rFonts w:ascii="Book Antiqua" w:hAnsi="Book Antiqua"/>
              </w:rPr>
              <w:t>2</w:t>
            </w:r>
            <w:r w:rsidR="00225B62" w:rsidRPr="002215D5">
              <w:rPr>
                <w:rFonts w:ascii="Book Antiqua" w:hAnsi="Book Antiqua"/>
              </w:rPr>
              <w:t xml:space="preserve"> </w:t>
            </w:r>
            <w:r w:rsidRPr="002215D5">
              <w:rPr>
                <w:rFonts w:ascii="Book Antiqua" w:hAnsi="Book Antiqua"/>
              </w:rPr>
              <w:t xml:space="preserve">wk and/or until COVID-19 symptoms resolve </w:t>
            </w:r>
          </w:p>
        </w:tc>
      </w:tr>
      <w:tr w:rsidR="006A0647" w:rsidRPr="002215D5" w14:paraId="4188214C" w14:textId="77777777" w:rsidTr="006A0647">
        <w:trPr>
          <w:trHeight w:val="190"/>
        </w:trPr>
        <w:tc>
          <w:tcPr>
            <w:tcW w:w="2390" w:type="dxa"/>
            <w:shd w:val="clear" w:color="auto" w:fill="FFFFFF"/>
            <w:tcMar>
              <w:left w:w="33" w:type="dxa"/>
            </w:tcMar>
          </w:tcPr>
          <w:p w14:paraId="6A928F4D" w14:textId="77777777" w:rsidR="006A0647" w:rsidRPr="002215D5" w:rsidRDefault="006A0647" w:rsidP="002215D5">
            <w:pPr>
              <w:spacing w:line="360" w:lineRule="auto"/>
              <w:jc w:val="both"/>
              <w:rPr>
                <w:rFonts w:ascii="Book Antiqua" w:hAnsi="Book Antiqua"/>
              </w:rPr>
            </w:pPr>
            <w:r w:rsidRPr="002215D5">
              <w:rPr>
                <w:rFonts w:ascii="Book Antiqua" w:hAnsi="Book Antiqua"/>
              </w:rPr>
              <w:t xml:space="preserve">Anti-TNF </w:t>
            </w:r>
          </w:p>
        </w:tc>
        <w:tc>
          <w:tcPr>
            <w:tcW w:w="1582" w:type="dxa"/>
            <w:shd w:val="clear" w:color="auto" w:fill="FFFFFF"/>
            <w:tcMar>
              <w:left w:w="33" w:type="dxa"/>
            </w:tcMar>
          </w:tcPr>
          <w:p w14:paraId="1390746A" w14:textId="77777777" w:rsidR="006A0647" w:rsidRPr="002215D5" w:rsidRDefault="006A0647" w:rsidP="002215D5">
            <w:pPr>
              <w:spacing w:line="360" w:lineRule="auto"/>
              <w:jc w:val="both"/>
              <w:rPr>
                <w:rFonts w:ascii="Book Antiqua" w:hAnsi="Book Antiqua"/>
              </w:rPr>
            </w:pPr>
            <w:r w:rsidRPr="002215D5">
              <w:rPr>
                <w:rFonts w:ascii="Book Antiqua" w:hAnsi="Book Antiqua"/>
              </w:rPr>
              <w:t>No</w:t>
            </w:r>
          </w:p>
        </w:tc>
        <w:tc>
          <w:tcPr>
            <w:tcW w:w="5526" w:type="dxa"/>
            <w:shd w:val="clear" w:color="auto" w:fill="FFFFFF"/>
            <w:tcMar>
              <w:left w:w="33" w:type="dxa"/>
            </w:tcMar>
          </w:tcPr>
          <w:p w14:paraId="27CEBF28" w14:textId="7C50C950" w:rsidR="006A0647" w:rsidRPr="002215D5" w:rsidRDefault="006A0647" w:rsidP="002215D5">
            <w:pPr>
              <w:spacing w:line="360" w:lineRule="auto"/>
              <w:jc w:val="both"/>
              <w:rPr>
                <w:rFonts w:ascii="Book Antiqua" w:hAnsi="Book Antiqua"/>
              </w:rPr>
            </w:pPr>
            <w:r w:rsidRPr="002215D5">
              <w:rPr>
                <w:rFonts w:ascii="Book Antiqua" w:hAnsi="Book Antiqua"/>
                <w:caps/>
              </w:rPr>
              <w:t>d</w:t>
            </w:r>
            <w:r w:rsidRPr="002215D5">
              <w:rPr>
                <w:rFonts w:ascii="Book Antiqua" w:hAnsi="Book Antiqua"/>
              </w:rPr>
              <w:t xml:space="preserve">elay treatment for </w:t>
            </w:r>
            <w:r w:rsidR="00225B62">
              <w:rPr>
                <w:rFonts w:ascii="Book Antiqua" w:hAnsi="Book Antiqua"/>
              </w:rPr>
              <w:t>2</w:t>
            </w:r>
            <w:r w:rsidR="00225B62" w:rsidRPr="002215D5">
              <w:rPr>
                <w:rFonts w:ascii="Book Antiqua" w:hAnsi="Book Antiqua"/>
              </w:rPr>
              <w:t xml:space="preserve"> </w:t>
            </w:r>
            <w:r w:rsidRPr="002215D5">
              <w:rPr>
                <w:rFonts w:ascii="Book Antiqua" w:hAnsi="Book Antiqua"/>
              </w:rPr>
              <w:t xml:space="preserve">wk and/or until COVID-19 symptoms resolve. Continued therapy may be considered in selected patients since no data demonstrated adverse outcome to date. </w:t>
            </w:r>
          </w:p>
        </w:tc>
      </w:tr>
      <w:tr w:rsidR="006A0647" w:rsidRPr="002215D5" w14:paraId="712B3BD8" w14:textId="77777777" w:rsidTr="006A0647">
        <w:trPr>
          <w:trHeight w:val="190"/>
        </w:trPr>
        <w:tc>
          <w:tcPr>
            <w:tcW w:w="2390" w:type="dxa"/>
            <w:shd w:val="clear" w:color="auto" w:fill="FFFFFF"/>
            <w:tcMar>
              <w:left w:w="33" w:type="dxa"/>
            </w:tcMar>
          </w:tcPr>
          <w:p w14:paraId="1E722A31" w14:textId="77777777" w:rsidR="006A0647" w:rsidRPr="002215D5" w:rsidRDefault="006A0647" w:rsidP="002215D5">
            <w:pPr>
              <w:spacing w:line="360" w:lineRule="auto"/>
              <w:jc w:val="both"/>
              <w:rPr>
                <w:rFonts w:ascii="Book Antiqua" w:hAnsi="Book Antiqua"/>
              </w:rPr>
            </w:pPr>
            <w:r w:rsidRPr="002215D5">
              <w:rPr>
                <w:rFonts w:ascii="Book Antiqua" w:hAnsi="Book Antiqua"/>
              </w:rPr>
              <w:t>Vedolizumab, anti-IL-12/23</w:t>
            </w:r>
          </w:p>
        </w:tc>
        <w:tc>
          <w:tcPr>
            <w:tcW w:w="1582" w:type="dxa"/>
            <w:shd w:val="clear" w:color="auto" w:fill="FFFFFF"/>
            <w:tcMar>
              <w:left w:w="33" w:type="dxa"/>
            </w:tcMar>
          </w:tcPr>
          <w:p w14:paraId="1CC95B84" w14:textId="77777777" w:rsidR="006A0647" w:rsidRPr="002215D5" w:rsidRDefault="006A0647" w:rsidP="002215D5">
            <w:pPr>
              <w:spacing w:line="360" w:lineRule="auto"/>
              <w:jc w:val="both"/>
              <w:rPr>
                <w:rFonts w:ascii="Book Antiqua" w:hAnsi="Book Antiqua"/>
              </w:rPr>
            </w:pPr>
            <w:r w:rsidRPr="002215D5">
              <w:rPr>
                <w:rFonts w:ascii="Book Antiqua" w:hAnsi="Book Antiqua"/>
              </w:rPr>
              <w:t>No</w:t>
            </w:r>
          </w:p>
        </w:tc>
        <w:tc>
          <w:tcPr>
            <w:tcW w:w="5526" w:type="dxa"/>
            <w:shd w:val="clear" w:color="auto" w:fill="FFFFFF"/>
            <w:tcMar>
              <w:left w:w="33" w:type="dxa"/>
            </w:tcMar>
          </w:tcPr>
          <w:p w14:paraId="73C895E4" w14:textId="65A18FB9" w:rsidR="006A0647" w:rsidRPr="002215D5" w:rsidRDefault="006A0647" w:rsidP="002215D5">
            <w:pPr>
              <w:spacing w:line="360" w:lineRule="auto"/>
              <w:jc w:val="both"/>
              <w:rPr>
                <w:rFonts w:ascii="Book Antiqua" w:hAnsi="Book Antiqua"/>
              </w:rPr>
            </w:pPr>
            <w:r w:rsidRPr="002215D5">
              <w:rPr>
                <w:rFonts w:ascii="Book Antiqua" w:hAnsi="Book Antiqua"/>
                <w:caps/>
              </w:rPr>
              <w:t>d</w:t>
            </w:r>
            <w:r w:rsidRPr="002215D5">
              <w:rPr>
                <w:rFonts w:ascii="Book Antiqua" w:hAnsi="Book Antiqua"/>
              </w:rPr>
              <w:t xml:space="preserve">elay treatment for </w:t>
            </w:r>
            <w:r w:rsidR="00343FC0">
              <w:rPr>
                <w:rFonts w:ascii="Book Antiqua" w:hAnsi="Book Antiqua"/>
              </w:rPr>
              <w:t>2</w:t>
            </w:r>
            <w:r w:rsidRPr="002215D5">
              <w:rPr>
                <w:rFonts w:ascii="Book Antiqua" w:hAnsi="Book Antiqua"/>
              </w:rPr>
              <w:t xml:space="preserve"> wk and/or until COVID-19 symptoms resolve </w:t>
            </w:r>
          </w:p>
        </w:tc>
      </w:tr>
      <w:tr w:rsidR="006A0647" w:rsidRPr="002215D5" w14:paraId="0F219BC6" w14:textId="77777777" w:rsidTr="006A0647">
        <w:trPr>
          <w:trHeight w:val="190"/>
        </w:trPr>
        <w:tc>
          <w:tcPr>
            <w:tcW w:w="2390" w:type="dxa"/>
            <w:shd w:val="clear" w:color="auto" w:fill="FFFFFF"/>
            <w:tcMar>
              <w:left w:w="33" w:type="dxa"/>
            </w:tcMar>
          </w:tcPr>
          <w:p w14:paraId="22A3BC97" w14:textId="453AA74D" w:rsidR="006A0647" w:rsidRPr="002215D5" w:rsidRDefault="006A0647" w:rsidP="002215D5">
            <w:pPr>
              <w:spacing w:line="360" w:lineRule="auto"/>
              <w:jc w:val="both"/>
              <w:rPr>
                <w:rFonts w:ascii="Book Antiqua" w:hAnsi="Book Antiqua"/>
              </w:rPr>
            </w:pPr>
            <w:r w:rsidRPr="002215D5">
              <w:rPr>
                <w:rFonts w:ascii="Book Antiqua" w:hAnsi="Book Antiqua"/>
              </w:rPr>
              <w:t xml:space="preserve">Janus </w:t>
            </w:r>
            <w:r w:rsidR="00343FC0">
              <w:rPr>
                <w:rFonts w:ascii="Book Antiqua" w:hAnsi="Book Antiqua"/>
              </w:rPr>
              <w:t>k</w:t>
            </w:r>
            <w:r w:rsidRPr="002215D5">
              <w:rPr>
                <w:rFonts w:ascii="Book Antiqua" w:hAnsi="Book Antiqua"/>
              </w:rPr>
              <w:t xml:space="preserve">inase </w:t>
            </w:r>
            <w:r w:rsidR="00343FC0">
              <w:rPr>
                <w:rFonts w:ascii="Book Antiqua" w:hAnsi="Book Antiqua"/>
              </w:rPr>
              <w:t>i</w:t>
            </w:r>
            <w:r w:rsidRPr="002215D5">
              <w:rPr>
                <w:rFonts w:ascii="Book Antiqua" w:hAnsi="Book Antiqua"/>
              </w:rPr>
              <w:t>nhibitors</w:t>
            </w:r>
          </w:p>
        </w:tc>
        <w:tc>
          <w:tcPr>
            <w:tcW w:w="1582" w:type="dxa"/>
            <w:shd w:val="clear" w:color="auto" w:fill="FFFFFF"/>
            <w:tcMar>
              <w:left w:w="33" w:type="dxa"/>
            </w:tcMar>
          </w:tcPr>
          <w:p w14:paraId="7E86AEB7" w14:textId="77777777" w:rsidR="006A0647" w:rsidRPr="002215D5" w:rsidRDefault="006A0647" w:rsidP="002215D5">
            <w:pPr>
              <w:spacing w:line="360" w:lineRule="auto"/>
              <w:jc w:val="both"/>
              <w:rPr>
                <w:rFonts w:ascii="Book Antiqua" w:hAnsi="Book Antiqua"/>
              </w:rPr>
            </w:pPr>
            <w:r w:rsidRPr="002215D5">
              <w:rPr>
                <w:rFonts w:ascii="Book Antiqua" w:hAnsi="Book Antiqua"/>
              </w:rPr>
              <w:t>No</w:t>
            </w:r>
          </w:p>
        </w:tc>
        <w:tc>
          <w:tcPr>
            <w:tcW w:w="5526" w:type="dxa"/>
            <w:shd w:val="clear" w:color="auto" w:fill="FFFFFF"/>
            <w:tcMar>
              <w:left w:w="33" w:type="dxa"/>
            </w:tcMar>
          </w:tcPr>
          <w:p w14:paraId="0FE995B9" w14:textId="7294F7A9" w:rsidR="006A0647" w:rsidRPr="002215D5" w:rsidRDefault="006A0647" w:rsidP="002215D5">
            <w:pPr>
              <w:keepNext/>
              <w:spacing w:line="360" w:lineRule="auto"/>
              <w:jc w:val="both"/>
              <w:rPr>
                <w:rFonts w:ascii="Book Antiqua" w:hAnsi="Book Antiqua"/>
              </w:rPr>
            </w:pPr>
            <w:r w:rsidRPr="002215D5">
              <w:rPr>
                <w:rFonts w:ascii="Book Antiqua" w:hAnsi="Book Antiqua"/>
                <w:caps/>
              </w:rPr>
              <w:t>d</w:t>
            </w:r>
            <w:r w:rsidRPr="002215D5">
              <w:rPr>
                <w:rFonts w:ascii="Book Antiqua" w:hAnsi="Book Antiqua"/>
              </w:rPr>
              <w:t xml:space="preserve">elay treatment for </w:t>
            </w:r>
            <w:r w:rsidR="00343FC0">
              <w:rPr>
                <w:rFonts w:ascii="Book Antiqua" w:hAnsi="Book Antiqua"/>
              </w:rPr>
              <w:t>2</w:t>
            </w:r>
            <w:r w:rsidRPr="002215D5">
              <w:rPr>
                <w:rFonts w:ascii="Book Antiqua" w:hAnsi="Book Antiqua"/>
              </w:rPr>
              <w:t xml:space="preserve"> wk and/or until COVID-19 symptoms resolve </w:t>
            </w:r>
          </w:p>
        </w:tc>
      </w:tr>
    </w:tbl>
    <w:p w14:paraId="1761ABF0" w14:textId="39800CC7" w:rsidR="003F4861" w:rsidRPr="002215D5" w:rsidRDefault="006A0647" w:rsidP="002215D5">
      <w:pPr>
        <w:pStyle w:val="Caption"/>
        <w:spacing w:after="0" w:line="360" w:lineRule="auto"/>
        <w:jc w:val="both"/>
        <w:rPr>
          <w:rFonts w:ascii="Book Antiqua" w:hAnsi="Book Antiqua" w:cs="Times New Roman"/>
          <w:b w:val="0"/>
          <w:color w:val="00000A"/>
          <w:sz w:val="24"/>
          <w:szCs w:val="24"/>
          <w:lang w:val="en-US" w:eastAsia="zh-CN"/>
        </w:rPr>
      </w:pPr>
      <w:r w:rsidRPr="002215D5">
        <w:rPr>
          <w:rFonts w:ascii="Book Antiqua" w:hAnsi="Book Antiqua" w:cs="Times New Roman"/>
          <w:b w:val="0"/>
          <w:color w:val="00000A"/>
          <w:sz w:val="24"/>
          <w:szCs w:val="24"/>
          <w:lang w:val="en-US" w:eastAsia="zh-CN"/>
        </w:rPr>
        <w:t xml:space="preserve">COVID-19: </w:t>
      </w:r>
      <w:r w:rsidRPr="002215D5">
        <w:rPr>
          <w:rFonts w:ascii="Book Antiqua" w:hAnsi="Book Antiqua" w:cs="Times New Roman"/>
          <w:b w:val="0"/>
          <w:caps/>
          <w:color w:val="00000A"/>
          <w:sz w:val="24"/>
          <w:szCs w:val="24"/>
          <w:lang w:val="en-US" w:eastAsia="zh-CN"/>
        </w:rPr>
        <w:t>c</w:t>
      </w:r>
      <w:r w:rsidRPr="002215D5">
        <w:rPr>
          <w:rFonts w:ascii="Book Antiqua" w:hAnsi="Book Antiqua" w:cs="Times New Roman"/>
          <w:b w:val="0"/>
          <w:color w:val="00000A"/>
          <w:sz w:val="24"/>
          <w:szCs w:val="24"/>
          <w:lang w:val="en-US" w:eastAsia="zh-CN"/>
        </w:rPr>
        <w:t xml:space="preserve">oronavirus disease 2019; </w:t>
      </w:r>
      <w:r w:rsidR="00F40DD0" w:rsidRPr="002215D5">
        <w:rPr>
          <w:rFonts w:ascii="Book Antiqua" w:hAnsi="Book Antiqua" w:cs="Times New Roman"/>
          <w:b w:val="0"/>
          <w:color w:val="00000A"/>
          <w:sz w:val="24"/>
          <w:szCs w:val="24"/>
          <w:lang w:val="en-US" w:eastAsia="zh-CN"/>
        </w:rPr>
        <w:t xml:space="preserve">IL: </w:t>
      </w:r>
      <w:r w:rsidR="00F40DD0" w:rsidRPr="002215D5">
        <w:rPr>
          <w:rFonts w:ascii="Book Antiqua" w:hAnsi="Book Antiqua" w:cs="Times New Roman"/>
          <w:b w:val="0"/>
          <w:caps/>
          <w:color w:val="00000A"/>
          <w:sz w:val="24"/>
          <w:szCs w:val="24"/>
          <w:lang w:val="en-US" w:eastAsia="zh-CN"/>
        </w:rPr>
        <w:t>i</w:t>
      </w:r>
      <w:r w:rsidR="00F40DD0" w:rsidRPr="002215D5">
        <w:rPr>
          <w:rFonts w:ascii="Book Antiqua" w:hAnsi="Book Antiqua" w:cs="Times New Roman"/>
          <w:b w:val="0"/>
          <w:color w:val="00000A"/>
          <w:sz w:val="24"/>
          <w:szCs w:val="24"/>
          <w:lang w:val="en-US" w:eastAsia="zh-CN"/>
        </w:rPr>
        <w:t>nterleukin</w:t>
      </w:r>
      <w:r w:rsidR="00F40DD0">
        <w:rPr>
          <w:rFonts w:ascii="Book Antiqua" w:hAnsi="Book Antiqua" w:cs="Times New Roman"/>
          <w:b w:val="0"/>
          <w:color w:val="00000A"/>
          <w:sz w:val="24"/>
          <w:szCs w:val="24"/>
          <w:lang w:val="en-US" w:eastAsia="zh-CN"/>
        </w:rPr>
        <w:t xml:space="preserve">; </w:t>
      </w:r>
      <w:r w:rsidRPr="002215D5">
        <w:rPr>
          <w:rFonts w:ascii="Book Antiqua" w:hAnsi="Book Antiqua" w:cs="Times New Roman"/>
          <w:b w:val="0"/>
          <w:color w:val="00000A"/>
          <w:sz w:val="24"/>
          <w:szCs w:val="24"/>
          <w:lang w:val="en-US" w:eastAsia="zh-CN"/>
        </w:rPr>
        <w:t>TNF: Tumor necrosis factors</w:t>
      </w:r>
      <w:r w:rsidR="00F40DD0">
        <w:rPr>
          <w:rFonts w:ascii="Book Antiqua" w:hAnsi="Book Antiqua" w:cs="Times New Roman"/>
          <w:b w:val="0"/>
          <w:color w:val="00000A"/>
          <w:sz w:val="24"/>
          <w:szCs w:val="24"/>
          <w:lang w:val="en-US" w:eastAsia="zh-CN"/>
        </w:rPr>
        <w:t>.</w:t>
      </w:r>
    </w:p>
    <w:sectPr w:rsidR="003F4861" w:rsidRPr="002215D5" w:rsidSect="002215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AE402" w14:textId="77777777" w:rsidR="00301E66" w:rsidRDefault="00301E66" w:rsidP="006A0647">
      <w:r>
        <w:separator/>
      </w:r>
    </w:p>
  </w:endnote>
  <w:endnote w:type="continuationSeparator" w:id="0">
    <w:p w14:paraId="267DAA4F" w14:textId="77777777" w:rsidR="00301E66" w:rsidRDefault="00301E66" w:rsidP="006A0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947394"/>
      <w:docPartObj>
        <w:docPartGallery w:val="Page Numbers (Bottom of Page)"/>
        <w:docPartUnique/>
      </w:docPartObj>
    </w:sdtPr>
    <w:sdtEndPr/>
    <w:sdtContent>
      <w:sdt>
        <w:sdtPr>
          <w:id w:val="98381352"/>
          <w:docPartObj>
            <w:docPartGallery w:val="Page Numbers (Top of Page)"/>
            <w:docPartUnique/>
          </w:docPartObj>
        </w:sdtPr>
        <w:sdtEndPr/>
        <w:sdtContent>
          <w:p w14:paraId="6D83C1A3" w14:textId="77777777" w:rsidR="00800293" w:rsidRPr="002215D5" w:rsidRDefault="00800293" w:rsidP="006A0647">
            <w:pPr>
              <w:pStyle w:val="Footer"/>
              <w:jc w:val="right"/>
            </w:pPr>
            <w:r w:rsidRPr="002215D5">
              <w:rPr>
                <w:rFonts w:ascii="Book Antiqua" w:hAnsi="Book Antiqua"/>
                <w:sz w:val="24"/>
                <w:szCs w:val="24"/>
                <w:lang w:val="zh-CN" w:eastAsia="zh-CN"/>
              </w:rPr>
              <w:t xml:space="preserve"> </w:t>
            </w:r>
            <w:r w:rsidRPr="002215D5">
              <w:rPr>
                <w:rFonts w:ascii="Book Antiqua" w:hAnsi="Book Antiqua"/>
                <w:sz w:val="24"/>
                <w:szCs w:val="24"/>
              </w:rPr>
              <w:fldChar w:fldCharType="begin"/>
            </w:r>
            <w:r w:rsidRPr="002215D5">
              <w:rPr>
                <w:rFonts w:ascii="Book Antiqua" w:hAnsi="Book Antiqua"/>
                <w:sz w:val="24"/>
                <w:szCs w:val="24"/>
              </w:rPr>
              <w:instrText>PAGE</w:instrText>
            </w:r>
            <w:r w:rsidRPr="002215D5">
              <w:rPr>
                <w:rFonts w:ascii="Book Antiqua" w:hAnsi="Book Antiqua"/>
                <w:sz w:val="24"/>
                <w:szCs w:val="24"/>
              </w:rPr>
              <w:fldChar w:fldCharType="separate"/>
            </w:r>
            <w:r w:rsidRPr="002215D5">
              <w:rPr>
                <w:rFonts w:ascii="Book Antiqua" w:hAnsi="Book Antiqua"/>
                <w:noProof/>
                <w:sz w:val="24"/>
                <w:szCs w:val="24"/>
              </w:rPr>
              <w:t>35</w:t>
            </w:r>
            <w:r w:rsidRPr="002215D5">
              <w:rPr>
                <w:rFonts w:ascii="Book Antiqua" w:hAnsi="Book Antiqua"/>
                <w:sz w:val="24"/>
                <w:szCs w:val="24"/>
              </w:rPr>
              <w:fldChar w:fldCharType="end"/>
            </w:r>
            <w:r w:rsidRPr="002215D5">
              <w:rPr>
                <w:rFonts w:ascii="Book Antiqua" w:hAnsi="Book Antiqua"/>
                <w:sz w:val="24"/>
                <w:szCs w:val="24"/>
                <w:lang w:val="zh-CN" w:eastAsia="zh-CN"/>
              </w:rPr>
              <w:t xml:space="preserve"> / </w:t>
            </w:r>
            <w:r w:rsidRPr="002215D5">
              <w:rPr>
                <w:rFonts w:ascii="Book Antiqua" w:hAnsi="Book Antiqua"/>
                <w:sz w:val="24"/>
                <w:szCs w:val="24"/>
              </w:rPr>
              <w:fldChar w:fldCharType="begin"/>
            </w:r>
            <w:r w:rsidRPr="002215D5">
              <w:rPr>
                <w:rFonts w:ascii="Book Antiqua" w:hAnsi="Book Antiqua"/>
                <w:sz w:val="24"/>
                <w:szCs w:val="24"/>
              </w:rPr>
              <w:instrText>NUMPAGES</w:instrText>
            </w:r>
            <w:r w:rsidRPr="002215D5">
              <w:rPr>
                <w:rFonts w:ascii="Book Antiqua" w:hAnsi="Book Antiqua"/>
                <w:sz w:val="24"/>
                <w:szCs w:val="24"/>
              </w:rPr>
              <w:fldChar w:fldCharType="separate"/>
            </w:r>
            <w:r w:rsidRPr="002215D5">
              <w:rPr>
                <w:rFonts w:ascii="Book Antiqua" w:hAnsi="Book Antiqua"/>
                <w:noProof/>
                <w:sz w:val="24"/>
                <w:szCs w:val="24"/>
              </w:rPr>
              <w:t>39</w:t>
            </w:r>
            <w:r w:rsidRPr="002215D5">
              <w:rPr>
                <w:rFonts w:ascii="Book Antiqua" w:hAnsi="Book Antiqua"/>
                <w:sz w:val="24"/>
                <w:szCs w:val="24"/>
              </w:rPr>
              <w:fldChar w:fldCharType="end"/>
            </w:r>
          </w:p>
        </w:sdtContent>
      </w:sdt>
    </w:sdtContent>
  </w:sdt>
  <w:p w14:paraId="72A87C2E" w14:textId="77777777" w:rsidR="00800293" w:rsidRDefault="00800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C86C4" w14:textId="77777777" w:rsidR="00301E66" w:rsidRDefault="00301E66" w:rsidP="006A0647">
      <w:r>
        <w:separator/>
      </w:r>
    </w:p>
  </w:footnote>
  <w:footnote w:type="continuationSeparator" w:id="0">
    <w:p w14:paraId="3531B8C4" w14:textId="77777777" w:rsidR="00301E66" w:rsidRDefault="00301E66" w:rsidP="006A0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A3F40"/>
    <w:multiLevelType w:val="multilevel"/>
    <w:tmpl w:val="75F4AFAC"/>
    <w:lvl w:ilvl="0">
      <w:start w:val="1"/>
      <w:numFmt w:val="bullet"/>
      <w:lvlText w:val=""/>
      <w:lvlJc w:val="left"/>
      <w:pPr>
        <w:ind w:left="360" w:hanging="360"/>
      </w:pPr>
      <w:rPr>
        <w:rFonts w:ascii="Symbol" w:hAnsi="Symbol" w:cs="Symbol"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18"/>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18"/>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A12"/>
    <w:rsid w:val="00047B1F"/>
    <w:rsid w:val="00066F4C"/>
    <w:rsid w:val="00086D6B"/>
    <w:rsid w:val="000D0D1D"/>
    <w:rsid w:val="000E6A7B"/>
    <w:rsid w:val="0014105A"/>
    <w:rsid w:val="00163713"/>
    <w:rsid w:val="001773B2"/>
    <w:rsid w:val="001A265A"/>
    <w:rsid w:val="001A41B2"/>
    <w:rsid w:val="001F5E4E"/>
    <w:rsid w:val="002046AF"/>
    <w:rsid w:val="002215D5"/>
    <w:rsid w:val="00225B62"/>
    <w:rsid w:val="00240B95"/>
    <w:rsid w:val="002825DF"/>
    <w:rsid w:val="002E48D3"/>
    <w:rsid w:val="00301E66"/>
    <w:rsid w:val="00305470"/>
    <w:rsid w:val="0032334B"/>
    <w:rsid w:val="00343FC0"/>
    <w:rsid w:val="00353FCB"/>
    <w:rsid w:val="0038780E"/>
    <w:rsid w:val="003D3004"/>
    <w:rsid w:val="003F4066"/>
    <w:rsid w:val="003F4861"/>
    <w:rsid w:val="00411C91"/>
    <w:rsid w:val="00463A18"/>
    <w:rsid w:val="004651CF"/>
    <w:rsid w:val="00470EA4"/>
    <w:rsid w:val="004C107D"/>
    <w:rsid w:val="005A1341"/>
    <w:rsid w:val="005E5B18"/>
    <w:rsid w:val="00604CC0"/>
    <w:rsid w:val="006164A3"/>
    <w:rsid w:val="0062136B"/>
    <w:rsid w:val="00652DD7"/>
    <w:rsid w:val="006A0647"/>
    <w:rsid w:val="006A0BA1"/>
    <w:rsid w:val="006E7AA2"/>
    <w:rsid w:val="007459A6"/>
    <w:rsid w:val="00771C59"/>
    <w:rsid w:val="0079368A"/>
    <w:rsid w:val="007C6C47"/>
    <w:rsid w:val="007F3CB4"/>
    <w:rsid w:val="00800293"/>
    <w:rsid w:val="00834453"/>
    <w:rsid w:val="00853C56"/>
    <w:rsid w:val="00865C4C"/>
    <w:rsid w:val="008740ED"/>
    <w:rsid w:val="008E41AE"/>
    <w:rsid w:val="008F1DB3"/>
    <w:rsid w:val="008F5051"/>
    <w:rsid w:val="00932776"/>
    <w:rsid w:val="00962FFD"/>
    <w:rsid w:val="00987C33"/>
    <w:rsid w:val="00991D5B"/>
    <w:rsid w:val="00992FA8"/>
    <w:rsid w:val="009937FC"/>
    <w:rsid w:val="00A477C9"/>
    <w:rsid w:val="00A77B3E"/>
    <w:rsid w:val="00AA7131"/>
    <w:rsid w:val="00AD6E45"/>
    <w:rsid w:val="00B23762"/>
    <w:rsid w:val="00B52266"/>
    <w:rsid w:val="00B76EB5"/>
    <w:rsid w:val="00B83CD1"/>
    <w:rsid w:val="00BD004A"/>
    <w:rsid w:val="00BF1368"/>
    <w:rsid w:val="00C03503"/>
    <w:rsid w:val="00C0389E"/>
    <w:rsid w:val="00C46A9D"/>
    <w:rsid w:val="00C67473"/>
    <w:rsid w:val="00C73B2B"/>
    <w:rsid w:val="00CA2A55"/>
    <w:rsid w:val="00CD4665"/>
    <w:rsid w:val="00CF15EE"/>
    <w:rsid w:val="00D07904"/>
    <w:rsid w:val="00D21401"/>
    <w:rsid w:val="00D6742C"/>
    <w:rsid w:val="00D87BBA"/>
    <w:rsid w:val="00D92F17"/>
    <w:rsid w:val="00E54017"/>
    <w:rsid w:val="00E83EB0"/>
    <w:rsid w:val="00EA00E3"/>
    <w:rsid w:val="00ED33DA"/>
    <w:rsid w:val="00F23CE5"/>
    <w:rsid w:val="00F40DD0"/>
    <w:rsid w:val="00F87BDC"/>
    <w:rsid w:val="00F90D33"/>
    <w:rsid w:val="00FA1DDA"/>
    <w:rsid w:val="00FC5D7A"/>
    <w:rsid w:val="00FD6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B13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uiPriority w:val="35"/>
    <w:unhideWhenUsed/>
    <w:qFormat/>
    <w:rsid w:val="006A0647"/>
    <w:pPr>
      <w:suppressAutoHyphens/>
      <w:spacing w:after="200"/>
    </w:pPr>
    <w:rPr>
      <w:rFonts w:ascii="Calibri" w:eastAsia="SimSun" w:hAnsi="Calibri" w:cs="Calibri"/>
      <w:b/>
      <w:bCs/>
      <w:color w:val="4F81BD"/>
      <w:sz w:val="18"/>
      <w:szCs w:val="18"/>
      <w:lang w:val="it-IT"/>
    </w:rPr>
  </w:style>
  <w:style w:type="paragraph" w:styleId="ListParagraph">
    <w:name w:val="List Paragraph"/>
    <w:basedOn w:val="Normal"/>
    <w:uiPriority w:val="34"/>
    <w:qFormat/>
    <w:rsid w:val="006A0647"/>
    <w:pPr>
      <w:suppressAutoHyphens/>
      <w:spacing w:after="160" w:line="259" w:lineRule="auto"/>
      <w:ind w:left="720"/>
      <w:contextualSpacing/>
    </w:pPr>
    <w:rPr>
      <w:rFonts w:ascii="Calibri" w:eastAsia="SimSun" w:hAnsi="Calibri" w:cs="Calibri"/>
      <w:color w:val="00000A"/>
      <w:sz w:val="22"/>
      <w:szCs w:val="22"/>
      <w:lang w:val="it-IT"/>
    </w:rPr>
  </w:style>
  <w:style w:type="paragraph" w:styleId="Header">
    <w:name w:val="header"/>
    <w:basedOn w:val="Normal"/>
    <w:link w:val="HeaderChar"/>
    <w:rsid w:val="006A064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A0647"/>
    <w:rPr>
      <w:sz w:val="18"/>
      <w:szCs w:val="18"/>
    </w:rPr>
  </w:style>
  <w:style w:type="paragraph" w:styleId="Footer">
    <w:name w:val="footer"/>
    <w:basedOn w:val="Normal"/>
    <w:link w:val="FooterChar"/>
    <w:uiPriority w:val="99"/>
    <w:rsid w:val="006A064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A0647"/>
    <w:rPr>
      <w:sz w:val="18"/>
      <w:szCs w:val="18"/>
    </w:rPr>
  </w:style>
  <w:style w:type="paragraph" w:styleId="BalloonText">
    <w:name w:val="Balloon Text"/>
    <w:basedOn w:val="Normal"/>
    <w:link w:val="BalloonTextChar"/>
    <w:rsid w:val="00A477C9"/>
    <w:rPr>
      <w:sz w:val="18"/>
      <w:szCs w:val="18"/>
    </w:rPr>
  </w:style>
  <w:style w:type="character" w:customStyle="1" w:styleId="BalloonTextChar">
    <w:name w:val="Balloon Text Char"/>
    <w:basedOn w:val="DefaultParagraphFont"/>
    <w:link w:val="BalloonText"/>
    <w:rsid w:val="00A477C9"/>
    <w:rPr>
      <w:sz w:val="18"/>
      <w:szCs w:val="18"/>
    </w:rPr>
  </w:style>
  <w:style w:type="character" w:styleId="CommentReference">
    <w:name w:val="annotation reference"/>
    <w:basedOn w:val="DefaultParagraphFont"/>
    <w:semiHidden/>
    <w:unhideWhenUsed/>
    <w:rsid w:val="00353FCB"/>
    <w:rPr>
      <w:sz w:val="16"/>
      <w:szCs w:val="16"/>
    </w:rPr>
  </w:style>
  <w:style w:type="paragraph" w:styleId="CommentText">
    <w:name w:val="annotation text"/>
    <w:basedOn w:val="Normal"/>
    <w:link w:val="CommentTextChar"/>
    <w:semiHidden/>
    <w:unhideWhenUsed/>
    <w:rsid w:val="00353FCB"/>
    <w:rPr>
      <w:sz w:val="20"/>
      <w:szCs w:val="20"/>
    </w:rPr>
  </w:style>
  <w:style w:type="character" w:customStyle="1" w:styleId="CommentTextChar">
    <w:name w:val="Comment Text Char"/>
    <w:basedOn w:val="DefaultParagraphFont"/>
    <w:link w:val="CommentText"/>
    <w:semiHidden/>
    <w:rsid w:val="00353FCB"/>
  </w:style>
  <w:style w:type="paragraph" w:styleId="CommentSubject">
    <w:name w:val="annotation subject"/>
    <w:basedOn w:val="CommentText"/>
    <w:next w:val="CommentText"/>
    <w:link w:val="CommentSubjectChar"/>
    <w:semiHidden/>
    <w:unhideWhenUsed/>
    <w:rsid w:val="00353FCB"/>
    <w:rPr>
      <w:b/>
      <w:bCs/>
    </w:rPr>
  </w:style>
  <w:style w:type="character" w:customStyle="1" w:styleId="CommentSubjectChar">
    <w:name w:val="Comment Subject Char"/>
    <w:basedOn w:val="CommentTextChar"/>
    <w:link w:val="CommentSubject"/>
    <w:semiHidden/>
    <w:rsid w:val="00353F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11028</Words>
  <Characters>62860</Characters>
  <Application>Microsoft Office Word</Application>
  <DocSecurity>0</DocSecurity>
  <Lines>523</Lines>
  <Paragraphs>147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2021-08-14T23:34:00Z</dcterms:created>
  <dcterms:modified xsi:type="dcterms:W3CDTF">2021-08-15T18:45:00Z</dcterms:modified>
</cp:coreProperties>
</file>