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0DA4" w14:textId="360A3934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Name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Journal: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color w:val="000000"/>
        </w:rPr>
        <w:t>World</w:t>
      </w:r>
      <w:r w:rsidR="005C44A6" w:rsidRPr="00895F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color w:val="000000"/>
        </w:rPr>
        <w:t>Journal</w:t>
      </w:r>
      <w:r w:rsidR="005C44A6" w:rsidRPr="00895F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6F720DF" w14:textId="3E273236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Manuscript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NO: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63494</w:t>
      </w:r>
    </w:p>
    <w:p w14:paraId="31B4F21D" w14:textId="0B8E5A58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Manuscript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Type: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</w:t>
      </w:r>
    </w:p>
    <w:p w14:paraId="05B919FB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2664B0" w14:textId="5D7170D2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COVID-19: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link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stress,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nutrition</w:t>
      </w:r>
    </w:p>
    <w:p w14:paraId="40F177BF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8BC2FD" w14:textId="52303B3E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Ristic-Medic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2EC42D44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095CE0" w14:textId="6FFB436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95F32">
        <w:rPr>
          <w:rFonts w:ascii="Book Antiqua" w:eastAsia="Book Antiqua" w:hAnsi="Book Antiqua" w:cs="Book Antiqua"/>
          <w:color w:val="000000"/>
        </w:rPr>
        <w:t>Danijela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Ristic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-Medic,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Snjezana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Petrovic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Aleksandra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Arsic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Vesna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Vucic</w:t>
      </w:r>
      <w:proofErr w:type="spellEnd"/>
    </w:p>
    <w:p w14:paraId="7D3CC8AD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EB83BE" w14:textId="0DC18FAB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Danijela</w:t>
      </w:r>
      <w:proofErr w:type="spellEnd"/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Ristic</w:t>
      </w:r>
      <w:proofErr w:type="spellEnd"/>
      <w:r w:rsidRPr="00895F32">
        <w:rPr>
          <w:rFonts w:ascii="Book Antiqua" w:eastAsia="Book Antiqua" w:hAnsi="Book Antiqua" w:cs="Book Antiqua"/>
          <w:b/>
          <w:bCs/>
          <w:color w:val="000000"/>
        </w:rPr>
        <w:t>-Medic,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Snjezana</w:t>
      </w:r>
      <w:proofErr w:type="spellEnd"/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Petrovic</w:t>
      </w:r>
      <w:proofErr w:type="spellEnd"/>
      <w:r w:rsidRPr="00895F32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Aleksandra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Arsic</w:t>
      </w:r>
      <w:proofErr w:type="spellEnd"/>
      <w:r w:rsidRPr="00895F32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Vesna</w:t>
      </w:r>
      <w:proofErr w:type="spellEnd"/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b/>
          <w:bCs/>
          <w:color w:val="000000"/>
        </w:rPr>
        <w:t>Vucic</w:t>
      </w:r>
      <w:proofErr w:type="spellEnd"/>
      <w:r w:rsidRPr="00895F32">
        <w:rPr>
          <w:rFonts w:ascii="Book Antiqua" w:eastAsia="Book Antiqua" w:hAnsi="Book Antiqua" w:cs="Book Antiqua"/>
          <w:b/>
          <w:bCs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4998" w:rsidRPr="00624998">
        <w:rPr>
          <w:rFonts w:ascii="Book Antiqua" w:eastAsia="Book Antiqua" w:hAnsi="Book Antiqua" w:cs="Book Antiqua"/>
          <w:color w:val="000000"/>
        </w:rPr>
        <w:t>Group for</w:t>
      </w:r>
      <w:r w:rsidR="00624998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Biochemistry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Dietology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Centre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Research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Excellence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Metabolism,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45A3B">
        <w:rPr>
          <w:rFonts w:ascii="Book Antiqua" w:eastAsia="Book Antiqua" w:hAnsi="Book Antiqua" w:cs="Book Antiqua"/>
          <w:color w:val="000000"/>
        </w:rPr>
        <w:t xml:space="preserve">National </w:t>
      </w:r>
      <w:r w:rsidRPr="00895F32">
        <w:rPr>
          <w:rFonts w:ascii="Book Antiqua" w:eastAsia="Book Antiqua" w:hAnsi="Book Antiqua" w:cs="Book Antiqua"/>
          <w:color w:val="000000"/>
        </w:rPr>
        <w:t>Institute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Medical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Research,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University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Belgrade,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Belgrade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11129,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Serbia</w:t>
      </w:r>
    </w:p>
    <w:p w14:paraId="2929E345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00A056" w14:textId="76DEBAC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Ristic-Medic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designed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Ristic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-Medic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Petrovic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Arsic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analyzed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interpreted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drafted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manuscript;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Vucic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critically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paper.</w:t>
      </w:r>
    </w:p>
    <w:p w14:paraId="7E13EE03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9EE312" w14:textId="1CD4D5C9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Ministry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Education,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Science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Technological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Development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Republic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Serbia,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451-03-9/2021-14/200015.</w:t>
      </w:r>
    </w:p>
    <w:p w14:paraId="337A1EA7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F6C2D5" w14:textId="1BBAE31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Danijela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Ristic-Medic,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Group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Biochemistry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Dietology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Centre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Research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Excellence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Metabolism,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360CA">
        <w:rPr>
          <w:rFonts w:ascii="Book Antiqua" w:eastAsia="Book Antiqua" w:hAnsi="Book Antiqua" w:cs="Book Antiqua"/>
          <w:color w:val="000000"/>
        </w:rPr>
        <w:t xml:space="preserve">National </w:t>
      </w:r>
      <w:r w:rsidRPr="00895F32">
        <w:rPr>
          <w:rFonts w:ascii="Book Antiqua" w:eastAsia="Book Antiqua" w:hAnsi="Book Antiqua" w:cs="Book Antiqua"/>
          <w:color w:val="000000"/>
        </w:rPr>
        <w:t>Institute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Medical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Research,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University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Belgrade,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Tadeusa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Koscuska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102,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Belgrade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11129,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Serbia.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dristicmedic@gmail.com</w:t>
      </w:r>
    </w:p>
    <w:p w14:paraId="0B9D613D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A81E61" w14:textId="3680F7B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January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28,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2021</w:t>
      </w:r>
    </w:p>
    <w:p w14:paraId="5FA23213" w14:textId="2FCEBBC5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April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11,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2021</w:t>
      </w:r>
    </w:p>
    <w:p w14:paraId="6C67DDA3" w14:textId="080E3A02" w:rsidR="00A77B3E" w:rsidRPr="0008058D" w:rsidRDefault="007E0689" w:rsidP="000805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058D" w:rsidRPr="0008058D">
        <w:rPr>
          <w:rFonts w:ascii="Book Antiqua" w:eastAsia="Book Antiqua" w:hAnsi="Book Antiqua" w:cs="Book Antiqua"/>
          <w:bCs/>
          <w:color w:val="000000"/>
        </w:rPr>
        <w:t>August 17, 2021</w:t>
      </w:r>
    </w:p>
    <w:p w14:paraId="67AEB524" w14:textId="1F3A6E2B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4681AE4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95F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C7D7D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C6E406" w14:textId="5377F8D0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Varying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degrees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reported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syndrome-coronavirus-2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(SARS-CoV-2).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general,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initiation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progression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metabolizes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various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free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radicals.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Maintaining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oxidative/antioxidative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balance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coronavirus disease 2019 (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) </w:t>
      </w:r>
      <w:r w:rsidRPr="00895F32">
        <w:rPr>
          <w:rFonts w:ascii="Book Antiqua" w:eastAsia="Book Antiqua" w:hAnsi="Book Antiqua" w:cs="Book Antiqua"/>
          <w:color w:val="000000"/>
        </w:rPr>
        <w:t>patients.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essential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elements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appear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promising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burst.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suppresses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susceptibility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Daily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necessary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support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recommended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β</w:t>
      </w:r>
      <w:r w:rsidRPr="00895F32">
        <w:rPr>
          <w:rFonts w:ascii="Book Antiqua" w:eastAsia="Book Antiqua" w:hAnsi="Book Antiqua" w:cs="Book Antiqua"/>
          <w:color w:val="000000"/>
        </w:rPr>
        <w:t>-carotene,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selenium)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Available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suggests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combination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help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optimize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trials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lacking.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Unfortunately,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possible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definitively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determine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administration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timing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intervene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because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trials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ongoing.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Until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hopefully,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clinicians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understand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assessment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2269C30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2A765" w14:textId="2EBC462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Nutrients;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Treatment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2E1C8BE2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2F2DCD" w14:textId="2BB050E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95F32">
        <w:rPr>
          <w:rFonts w:ascii="Book Antiqua" w:eastAsia="Book Antiqua" w:hAnsi="Book Antiqua" w:cs="Book Antiqua"/>
          <w:color w:val="000000"/>
        </w:rPr>
        <w:t>Ristic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-Medic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Petrovic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Arsic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Vucic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link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2021;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press</w:t>
      </w:r>
    </w:p>
    <w:p w14:paraId="64FCDD00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B7266F" w14:textId="0D11D164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highlight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optimal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system,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providing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special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emphasis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coronavirus disease 2019 </w:t>
      </w:r>
      <w:r w:rsidRPr="00895F32">
        <w:rPr>
          <w:rFonts w:ascii="Book Antiqua" w:eastAsia="Book Antiqua" w:hAnsi="Book Antiqua" w:cs="Book Antiqua"/>
          <w:color w:val="000000"/>
        </w:rPr>
        <w:t>(commonly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focusing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relevant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stress.</w:t>
      </w:r>
    </w:p>
    <w:p w14:paraId="344A5D92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F47D70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57CEB87" w14:textId="7AF21C7A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Since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first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appearance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December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Wuhan,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China,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coronavirus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(COVID-19),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syndrome-coronavirus-2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(SARS-CoV-2),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spread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63287" w:rsidRPr="00895F32">
        <w:rPr>
          <w:rFonts w:ascii="Book Antiqua" w:eastAsia="Book Antiqua" w:hAnsi="Book Antiqua" w:cs="Book Antiqua"/>
          <w:color w:val="000000"/>
        </w:rPr>
        <w:t xml:space="preserve">swiftly </w:t>
      </w:r>
      <w:r w:rsidR="00B60D08" w:rsidRPr="00895F32">
        <w:rPr>
          <w:rFonts w:ascii="Book Antiqua" w:eastAsia="Book Antiqua" w:hAnsi="Book Antiqua" w:cs="Book Antiqua"/>
          <w:color w:val="000000"/>
        </w:rPr>
        <w:t>around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world.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angiotensin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converting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enzyme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(ACE2)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receptor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32B12" w:rsidRPr="00895F32">
        <w:rPr>
          <w:rFonts w:ascii="Book Antiqua" w:eastAsia="Book Antiqua" w:hAnsi="Book Antiqua" w:cs="Book Antiqua"/>
          <w:color w:val="000000"/>
        </w:rPr>
        <w:t xml:space="preserve">has been </w:t>
      </w:r>
      <w:r w:rsidR="00433456" w:rsidRPr="00895F32">
        <w:rPr>
          <w:rFonts w:ascii="Book Antiqua" w:eastAsia="Book Antiqua" w:hAnsi="Book Antiqua" w:cs="Book Antiqua"/>
          <w:color w:val="000000"/>
        </w:rPr>
        <w:t xml:space="preserve">identified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target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vehicle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077F1" w:rsidRPr="00895F32">
        <w:rPr>
          <w:rFonts w:ascii="Book Antiqua" w:eastAsia="Book Antiqua" w:hAnsi="Book Antiqua" w:cs="Book Antiqua"/>
          <w:color w:val="000000"/>
        </w:rPr>
        <w:t>the 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D5A89" w:rsidRPr="00895F32">
        <w:rPr>
          <w:rFonts w:ascii="Book Antiqua" w:eastAsia="Book Antiqua" w:hAnsi="Book Antiqua" w:cs="Book Antiqua"/>
          <w:color w:val="000000"/>
        </w:rPr>
        <w:t xml:space="preserve">entrance </w:t>
      </w:r>
      <w:r w:rsidRPr="00895F32">
        <w:rPr>
          <w:rFonts w:ascii="Book Antiqua" w:eastAsia="Book Antiqua" w:hAnsi="Book Antiqua" w:cs="Book Antiqua"/>
          <w:color w:val="000000"/>
        </w:rPr>
        <w:t>into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cell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After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binding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bioavailability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angiotensin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becomes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extremely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available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promote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cascades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turn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contribute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pathological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disease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multiple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organ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attributed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distribution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receptors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SARS-CoV-2–infected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36%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(range: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21%–52%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)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5464A2F0" w14:textId="230138AB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occurring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course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treatment,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considered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COVID-19-associated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injury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receptors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cholangiocytes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pointed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possibility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replication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liver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COVID-19-associated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and/or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exacerbated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endothelial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changes,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coagulopathy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characteristic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course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Accordingly,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dysfunction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detected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critically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compatibility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between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histological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alternations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blood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found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through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post-mortem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analysis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patients’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samples.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Marked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derangement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intrahepatic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blood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vessels,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including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portal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fibrosis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wall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herniated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portal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Kupffer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containing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large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necrotic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debris,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vascular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thrombosis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accompanied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D-dimer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(≥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500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ng/dL)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platelet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count,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observed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895F32">
        <w:rPr>
          <w:rFonts w:ascii="Book Antiqua" w:eastAsia="Book Antiqua" w:hAnsi="Book Antiqua" w:cs="Book Antiqua"/>
          <w:color w:val="000000"/>
        </w:rPr>
        <w:t>.</w:t>
      </w:r>
    </w:p>
    <w:p w14:paraId="33CBA5A2" w14:textId="1F71E4AE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blood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flow,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50%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post-mortem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samples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large,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small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mixed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droplets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parenchyma,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condition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steatosis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recently,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steatosis,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comorbidities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diabetes,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obesity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hypertension,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recognized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independent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significantly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contributing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greater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critical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illness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lethality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269E0687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76D383F" w14:textId="6F49E4BC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POSSIBLE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INJURY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4137C23" w14:textId="430DEF8E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biochemical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findings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COVID-19-affected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elevated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transaminase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aspartate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aminotransferase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referred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AST)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alanine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transaminase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(ALT),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referent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range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20.0%-22.5%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14.6%-20.1%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respectively.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followed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slightly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bilirubin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35%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elevated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alkaline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phosphatase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gamma-glutamyl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transferase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6.1%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21.1%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respectively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meta-analysis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25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relevant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survivors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accounted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percent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parameters,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compared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non-survivors.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Moreover,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bilirubin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lactate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dehydrogenase,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albumin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proportion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markedly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albumin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succumbed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disease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95F32">
        <w:rPr>
          <w:rFonts w:ascii="Book Antiqua" w:eastAsia="Book Antiqua" w:hAnsi="Book Antiqua" w:cs="Book Antiqua"/>
          <w:color w:val="000000"/>
        </w:rPr>
        <w:t>.</w:t>
      </w:r>
    </w:p>
    <w:p w14:paraId="0A8E2DD9" w14:textId="46FACB0D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Until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now,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proposed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mechanisms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COVID-19-associated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(1</w:t>
      </w:r>
      <w:r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S</w:t>
      </w:r>
      <w:r w:rsidRPr="00895F32">
        <w:rPr>
          <w:rFonts w:ascii="Book Antiqua" w:eastAsia="Book Antiqua" w:hAnsi="Book Antiqua" w:cs="Book Antiqua"/>
          <w:color w:val="000000"/>
        </w:rPr>
        <w:t>ystemic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(2</w:t>
      </w:r>
      <w:r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H</w:t>
      </w:r>
      <w:r w:rsidRPr="00895F32">
        <w:rPr>
          <w:rFonts w:ascii="Book Antiqua" w:eastAsia="Book Antiqua" w:hAnsi="Book Antiqua" w:cs="Book Antiqua"/>
          <w:color w:val="000000"/>
        </w:rPr>
        <w:t>ypoxia–reperfusion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(3</w:t>
      </w:r>
      <w:r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D</w:t>
      </w:r>
      <w:r w:rsidRPr="00895F32">
        <w:rPr>
          <w:rFonts w:ascii="Book Antiqua" w:eastAsia="Book Antiqua" w:hAnsi="Book Antiqua" w:cs="Book Antiqua"/>
          <w:color w:val="000000"/>
        </w:rPr>
        <w:t>rug-induced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(4</w:t>
      </w:r>
      <w:r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D</w:t>
      </w:r>
      <w:r w:rsidRPr="00895F32">
        <w:rPr>
          <w:rFonts w:ascii="Book Antiqua" w:eastAsia="Book Antiqua" w:hAnsi="Book Antiqua" w:cs="Book Antiqua"/>
          <w:color w:val="000000"/>
        </w:rPr>
        <w:t>irect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and (5</w:t>
      </w:r>
      <w:r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C</w:t>
      </w:r>
      <w:r w:rsidRPr="00895F32">
        <w:rPr>
          <w:rFonts w:ascii="Book Antiqua" w:eastAsia="Book Antiqua" w:hAnsi="Book Antiqua" w:cs="Book Antiqua"/>
          <w:color w:val="000000"/>
        </w:rPr>
        <w:t>oexisting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chronic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[</w:t>
      </w:r>
      <w:r w:rsidRPr="00895F32">
        <w:rPr>
          <w:rFonts w:ascii="Book Antiqua" w:eastAsia="Book Antiqua" w:hAnsi="Book Antiqua" w:cs="Book Antiqua"/>
          <w:color w:val="000000"/>
        </w:rPr>
        <w:t>non-alcoholic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(NAFLD),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alcoholic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referred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ALD),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and/or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carcinoma,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] </w:t>
      </w:r>
      <w:r w:rsidRPr="00895F32">
        <w:rPr>
          <w:rFonts w:ascii="Book Antiqua" w:eastAsia="Book Antiqua" w:hAnsi="Book Antiqua" w:cs="Book Antiqua"/>
          <w:color w:val="000000"/>
        </w:rPr>
        <w:t>(Figure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1).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B819D3A" w14:textId="3F020AA7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Systemic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extensive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begins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lun</w:t>
      </w:r>
      <w:r w:rsidRPr="00895F32">
        <w:rPr>
          <w:rFonts w:ascii="Book Antiqua" w:eastAsia="Book Antiqua" w:hAnsi="Book Antiqua" w:cs="Book Antiqua"/>
          <w:color w:val="000000"/>
        </w:rPr>
        <w:t>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alveolar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macrophages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lung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epithelial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promote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massive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release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particularly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interleukin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(IL)-6,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tumor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necrosis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(TNF),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1β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locally,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permeability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lung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endothelium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support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dissemination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pathogen,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after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reaching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circulation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spread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through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excessive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deleterious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organs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(Figure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1).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hyperactivate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monocytes,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macrophages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lymphocytes,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generating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self-producing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loop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results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overwhelming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system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370BA" w:rsidRPr="00895F32">
        <w:rPr>
          <w:rFonts w:ascii="Book Antiqua" w:eastAsia="Book Antiqua" w:hAnsi="Book Antiqua" w:cs="Book Antiqua"/>
          <w:color w:val="000000"/>
        </w:rPr>
        <w:t>[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storm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CSS)</w:t>
      </w:r>
      <w:r w:rsidR="009370BA" w:rsidRPr="00895F32">
        <w:rPr>
          <w:rFonts w:ascii="Book Antiqua" w:eastAsia="Book Antiqua" w:hAnsi="Book Antiqua" w:cs="Book Antiqua"/>
          <w:color w:val="000000"/>
        </w:rPr>
        <w:t>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Thus,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storm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result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multiorgan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including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liver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67960D0" w14:textId="1C3F457F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consequence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pulmonary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failure,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secondary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circulation,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oxygen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accumulation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shock,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marked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oxygen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species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(ROS)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peroxidation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products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hypoxia-induced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death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(Figure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1);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while,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hand,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second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messengers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redox-sensitive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transcription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exaggerate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release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multiple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apoptosis,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followed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infiltration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tissue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consequent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damage/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failure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disturbed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blood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occurs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reperfusion,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time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state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7983BB83" w14:textId="6E641C80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course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epidemic,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treated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different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antipyretics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paracetamol,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ibuprofen),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analgetics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caffeine),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aminosalicylates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corticosteroids),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antirheumatics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chloroquine,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hydroxychloroquine)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baricitinib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abidol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lopinavir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ritonavir,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remdesivir),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drugs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hepatotoxic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despite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reports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frequent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critically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11,16,17]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dysfunction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exclusively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drugs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4DBD9A62" w14:textId="18C4474C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Abundant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receptors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makes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susceptible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[1,11]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Up-regulated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receptors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suffer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hypoxia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found.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Yet,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replication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inside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side,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harbors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body’s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largest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macrophage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pool,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indicating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lymphocytes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recognizing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consequently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death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process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7DD87CF0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3DED22" w14:textId="4D762E45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OXIDATIVE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STRESS,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</w:p>
    <w:p w14:paraId="63BF2B8F" w14:textId="43141BE6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plays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Although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nitrogen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species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(RNS)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normal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physiological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processes,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excessive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amounts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either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destroy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major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components,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DNA.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77676695"/>
      <w:r w:rsidRPr="00895F32">
        <w:rPr>
          <w:rFonts w:ascii="Book Antiqua" w:eastAsia="Book Antiqua" w:hAnsi="Book Antiqua" w:cs="Book Antiqua"/>
          <w:color w:val="000000"/>
        </w:rPr>
        <w:t>Chronic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biggest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complications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11566" w:rsidRPr="00895F32">
        <w:rPr>
          <w:rFonts w:ascii="Book Antiqua" w:eastAsia="Book Antiqua" w:hAnsi="Book Antiqua" w:cs="Book Antiqua"/>
          <w:color w:val="000000"/>
        </w:rPr>
        <w:t>commonly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1586A" w:rsidRPr="00895F32">
        <w:rPr>
          <w:rFonts w:ascii="Book Antiqua" w:eastAsia="Book Antiqua" w:hAnsi="Book Antiqua" w:cs="Book Antiqua"/>
          <w:color w:val="000000"/>
        </w:rPr>
        <w:t xml:space="preserve">these diseases are </w:t>
      </w:r>
      <w:r w:rsidR="00011566" w:rsidRPr="00895F32">
        <w:rPr>
          <w:rFonts w:ascii="Book Antiqua" w:eastAsia="Book Antiqua" w:hAnsi="Book Antiqua" w:cs="Book Antiqua"/>
          <w:color w:val="000000"/>
        </w:rPr>
        <w:t>marked</w:t>
      </w:r>
      <w:r w:rsidR="00F1586A" w:rsidRPr="00895F32">
        <w:rPr>
          <w:rFonts w:ascii="Book Antiqua" w:eastAsia="Book Antiqua" w:hAnsi="Book Antiqua" w:cs="Book Antiqua"/>
          <w:color w:val="000000"/>
        </w:rPr>
        <w:t xml:space="preserve"> by </w:t>
      </w:r>
      <w:r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stress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B3E9C" w:rsidRPr="00895F32">
        <w:rPr>
          <w:rFonts w:ascii="Book Antiqua" w:eastAsia="Book Antiqua" w:hAnsi="Book Antiqua" w:cs="Book Antiqua"/>
          <w:color w:val="000000"/>
        </w:rPr>
        <w:t>chronic liver diseases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function in all types of cells </w:t>
      </w:r>
      <w:r w:rsidR="00011566" w:rsidRPr="00895F32">
        <w:rPr>
          <w:rFonts w:ascii="Book Antiqua" w:eastAsia="Book Antiqua" w:hAnsi="Book Antiqua" w:cs="Book Antiqua"/>
          <w:color w:val="000000"/>
        </w:rPr>
        <w:t xml:space="preserve">is altered 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including </w:t>
      </w:r>
      <w:r w:rsidRPr="00895F32">
        <w:rPr>
          <w:rFonts w:ascii="Book Antiqua" w:eastAsia="Book Antiqua" w:hAnsi="Book Antiqua" w:cs="Book Antiqua"/>
          <w:color w:val="000000"/>
        </w:rPr>
        <w:t>hepatocyte,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stellate,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endothelial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Kupffer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their </w:t>
      </w:r>
      <w:r w:rsidR="001E6BE0" w:rsidRPr="00895F32">
        <w:rPr>
          <w:rFonts w:ascii="Book Antiqua" w:eastAsia="Book Antiqua" w:hAnsi="Book Antiqua" w:cs="Book Antiqua"/>
          <w:color w:val="000000"/>
        </w:rPr>
        <w:t xml:space="preserve">impaired 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gene expression </w:t>
      </w:r>
      <w:r w:rsidR="00570351" w:rsidRPr="00895F32">
        <w:rPr>
          <w:rFonts w:ascii="Book Antiqua" w:eastAsia="Book Antiqua" w:hAnsi="Book Antiqua" w:cs="Book Antiqua"/>
          <w:color w:val="000000"/>
        </w:rPr>
        <w:t>led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 to </w:t>
      </w:r>
      <w:bookmarkStart w:id="1" w:name="_Hlk78922082"/>
      <w:r w:rsidR="002B3E9C" w:rsidRPr="00895F32">
        <w:rPr>
          <w:rFonts w:ascii="Book Antiqua" w:eastAsia="Book Antiqua" w:hAnsi="Book Antiqua" w:cs="Book Antiqua"/>
          <w:color w:val="000000"/>
        </w:rPr>
        <w:t xml:space="preserve">increased liver </w:t>
      </w:r>
      <w:proofErr w:type="gramStart"/>
      <w:r w:rsidR="002B3E9C" w:rsidRPr="00895F32">
        <w:rPr>
          <w:rFonts w:ascii="Book Antiqua" w:eastAsia="Book Antiqua" w:hAnsi="Book Antiqua" w:cs="Book Antiqua"/>
          <w:color w:val="000000"/>
        </w:rPr>
        <w:t>damage</w:t>
      </w:r>
      <w:bookmarkEnd w:id="1"/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9320D8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mitochondrial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dysfunction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43259" w:rsidRPr="00895F32">
        <w:rPr>
          <w:rFonts w:ascii="Book Antiqua" w:eastAsia="Book Antiqua" w:hAnsi="Book Antiqua" w:cs="Book Antiqua"/>
          <w:color w:val="000000"/>
        </w:rPr>
        <w:t xml:space="preserve">have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11566" w:rsidRPr="00895F32">
        <w:rPr>
          <w:rFonts w:ascii="Book Antiqua" w:eastAsia="Book Antiqua" w:hAnsi="Book Antiqua" w:cs="Book Antiqua"/>
          <w:color w:val="000000"/>
        </w:rPr>
        <w:t>key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 role in the develop</w:t>
      </w:r>
      <w:r w:rsidR="00FC0982" w:rsidRPr="00895F32">
        <w:rPr>
          <w:rFonts w:ascii="Book Antiqua" w:eastAsia="Book Antiqua" w:hAnsi="Book Antiqua" w:cs="Book Antiqua"/>
          <w:color w:val="000000"/>
        </w:rPr>
        <w:t>ment</w:t>
      </w:r>
      <w:r w:rsidR="002B3E9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Mitochondrial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dysfunction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implies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formation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glutathione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(GSH)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depletion,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inhibition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β-oxidation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steatosis,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accumulation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hepatocytes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generated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lipid-rich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environment,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43259" w:rsidRPr="00895F32">
        <w:rPr>
          <w:rFonts w:ascii="Book Antiqua" w:eastAsia="Book Antiqua" w:hAnsi="Book Antiqua" w:cs="Book Antiqua"/>
          <w:color w:val="000000"/>
        </w:rPr>
        <w:t xml:space="preserve">leading to </w:t>
      </w:r>
      <w:r w:rsidRPr="00895F32">
        <w:rPr>
          <w:rFonts w:ascii="Book Antiqua" w:eastAsia="Book Antiqua" w:hAnsi="Book Antiqua" w:cs="Book Antiqua"/>
          <w:color w:val="000000"/>
        </w:rPr>
        <w:t>lipid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peroxidation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(LPO)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43259" w:rsidRPr="00895F32">
        <w:rPr>
          <w:rFonts w:ascii="Book Antiqua" w:eastAsia="Book Antiqua" w:hAnsi="Book Antiqua" w:cs="Book Antiqua"/>
          <w:color w:val="000000"/>
        </w:rPr>
        <w:t xml:space="preserve">further </w:t>
      </w:r>
      <w:r w:rsidR="00FC0982" w:rsidRPr="00895F32">
        <w:rPr>
          <w:rFonts w:ascii="Book Antiqua" w:eastAsia="Book Antiqua" w:hAnsi="Book Antiqua" w:cs="Book Antiqua"/>
          <w:color w:val="000000"/>
        </w:rPr>
        <w:t>production</w:t>
      </w:r>
      <w:r w:rsidR="00F43259" w:rsidRPr="00895F32">
        <w:rPr>
          <w:rFonts w:ascii="Book Antiqua" w:eastAsia="Book Antiqua" w:hAnsi="Book Antiqua" w:cs="Book Antiqua"/>
          <w:color w:val="000000"/>
        </w:rPr>
        <w:t xml:space="preserve"> and </w:t>
      </w:r>
      <w:r w:rsidRPr="00895F32">
        <w:rPr>
          <w:rFonts w:ascii="Book Antiqua" w:eastAsia="Book Antiqua" w:hAnsi="Book Antiqua" w:cs="Book Antiqua"/>
          <w:color w:val="000000"/>
        </w:rPr>
        <w:t>release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43259" w:rsidRPr="00895F32">
        <w:rPr>
          <w:rFonts w:ascii="Book Antiqua" w:eastAsia="Book Antiqua" w:hAnsi="Book Antiqua" w:cs="Book Antiqua"/>
          <w:color w:val="000000"/>
        </w:rPr>
        <w:t xml:space="preserve">very </w:t>
      </w:r>
      <w:r w:rsidRPr="00895F32">
        <w:rPr>
          <w:rFonts w:ascii="Book Antiqua" w:eastAsia="Book Antiqua" w:hAnsi="Book Antiqua" w:cs="Book Antiqua"/>
          <w:color w:val="000000"/>
        </w:rPr>
        <w:t>reactive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LPO</w:t>
      </w:r>
      <w:bookmarkEnd w:id="0"/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LPO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chain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hepatocytes,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leading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phosphorylation,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ATP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synthesis,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production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Moreover,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along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LPO,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including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TNF-α,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IL-8,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death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fibrosis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Furthermore,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enzymes,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particularly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superoxide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dismutase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catalase,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coenzyme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Q10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noticed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diseases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7F6F0AE" w14:textId="26285F3A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mechanisms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tissue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stress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Nevertheless,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according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knowledge,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parameters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70BA" w:rsidRPr="00895F32">
        <w:rPr>
          <w:rFonts w:ascii="Book Antiqua" w:eastAsia="Book Antiqua" w:hAnsi="Book Antiqua" w:cs="Book Antiqua"/>
          <w:color w:val="000000"/>
        </w:rPr>
        <w:t>Polonikov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people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GSH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before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developed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those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optimal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GSH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suggested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crucial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GSH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determining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individual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responsiveness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pathogenesis.</w:t>
      </w:r>
    </w:p>
    <w:p w14:paraId="177C13FD" w14:textId="0A4EFDC6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</w:t>
      </w:r>
      <w:r w:rsidRPr="00895F3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5C44A6" w:rsidRPr="00895F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</w:t>
      </w:r>
      <w:r w:rsidRPr="00895F3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95F32">
        <w:rPr>
          <w:rFonts w:ascii="Book Antiqua" w:eastAsia="Book Antiqua" w:hAnsi="Book Antiqua" w:cs="Book Antiqua"/>
          <w:color w:val="000000"/>
        </w:rPr>
        <w:t>O</w:t>
      </w:r>
      <w:r w:rsidRPr="00895F32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IL-18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1β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Besides,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lymphocytes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natural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killer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(NK)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TNF-α,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interferon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(IFN)-γ,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IL-1β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stimulate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including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contributes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storm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Additionally,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turn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synthesis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fibrinogen,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plasminogen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inhibitor-1,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C-reactive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(CRP).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molecules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consistently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disturbed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redox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balance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manifestations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lethality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patients.</w:t>
      </w:r>
    </w:p>
    <w:p w14:paraId="0E177D0C" w14:textId="207AC8A9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Considering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recognize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player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severity,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free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radical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scavenging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specific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natural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and/or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synthetic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progression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Among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natural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anti-inflammatory,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antiapoptotic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properties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effort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improve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therapies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vulnerable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SARS-CoV-2-infected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patients.</w:t>
      </w:r>
    </w:p>
    <w:p w14:paraId="3624E850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F10C52" w14:textId="4D2A8A4B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ANTIOXIDANT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NUTRIENTS,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DIET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5C44A6" w:rsidRPr="00895F3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A7275A9" w14:textId="4044A87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Vitamins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minerals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11566" w:rsidRPr="00895F32">
        <w:rPr>
          <w:rFonts w:ascii="Book Antiqua" w:eastAsia="Book Antiqua" w:hAnsi="Book Antiqua" w:cs="Book Antiqua"/>
          <w:color w:val="000000"/>
        </w:rPr>
        <w:t>are actively 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neutralizing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011566" w:rsidRPr="00895F32">
        <w:rPr>
          <w:rFonts w:ascii="Book Antiqua" w:eastAsia="Book Antiqua" w:hAnsi="Book Antiqua" w:cs="Book Antiqua"/>
          <w:color w:val="000000"/>
        </w:rPr>
        <w:t xml:space="preserve"> harmful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11566" w:rsidRPr="00895F32">
        <w:rPr>
          <w:rFonts w:ascii="Book Antiqua" w:eastAsia="Book Antiqua" w:hAnsi="Book Antiqua" w:cs="Book Antiqua"/>
          <w:color w:val="000000"/>
        </w:rPr>
        <w:t xml:space="preserve">species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0E1E" w:rsidRPr="00895F32">
        <w:rPr>
          <w:rFonts w:ascii="Book Antiqua" w:eastAsia="Book Antiqua" w:hAnsi="Book Antiqua" w:cs="Book Antiqua"/>
          <w:color w:val="000000"/>
        </w:rPr>
        <w:t>in</w:t>
      </w:r>
      <w:r w:rsidR="00011566" w:rsidRPr="00895F32">
        <w:rPr>
          <w:rFonts w:ascii="Book Antiqua" w:eastAsia="Book Antiqua" w:hAnsi="Book Antiqua" w:cs="Book Antiqua"/>
          <w:color w:val="000000"/>
        </w:rPr>
        <w:t>duce</w:t>
      </w:r>
      <w:r w:rsidR="00C60E1E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D4CF0" w:rsidRPr="00895F32">
        <w:rPr>
          <w:rFonts w:ascii="Book Antiqua" w:eastAsia="Book Antiqua" w:hAnsi="Book Antiqua" w:cs="Book Antiqua"/>
          <w:color w:val="000000"/>
        </w:rPr>
        <w:t>damages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7A5" w:rsidRPr="00895F32">
        <w:rPr>
          <w:rFonts w:ascii="Book Antiqua" w:eastAsia="Book Antiqua" w:hAnsi="Book Antiqua" w:cs="Book Antiqua"/>
          <w:color w:val="000000"/>
        </w:rPr>
        <w:t xml:space="preserve">Their deficiency </w:t>
      </w:r>
      <w:r w:rsidRPr="00895F32">
        <w:rPr>
          <w:rFonts w:ascii="Book Antiqua" w:eastAsia="Book Antiqua" w:hAnsi="Book Antiqua" w:cs="Book Antiqua"/>
          <w:color w:val="000000"/>
        </w:rPr>
        <w:t>suppresses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D071C" w:rsidRPr="00895F32">
        <w:rPr>
          <w:rFonts w:ascii="Book Antiqua" w:eastAsia="Book Antiqua" w:hAnsi="Book Antiqua" w:cs="Book Antiqua"/>
          <w:color w:val="000000"/>
        </w:rPr>
        <w:t>to the risk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steatosis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LPO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markers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plasma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capacity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(TAC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)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Literature </w:t>
      </w:r>
      <w:r w:rsidRPr="00895F32">
        <w:rPr>
          <w:rFonts w:ascii="Book Antiqua" w:eastAsia="Book Antiqua" w:hAnsi="Book Antiqua" w:cs="Book Antiqua"/>
          <w:color w:val="000000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presented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10C42"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color w:val="000000"/>
        </w:rPr>
        <w:t>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B6, B12, and </w:t>
      </w:r>
      <w:r w:rsidRPr="00895F32">
        <w:rPr>
          <w:rFonts w:ascii="Book Antiqua" w:eastAsia="Book Antiqua" w:hAnsi="Book Antiqua" w:cs="Book Antiqua"/>
          <w:color w:val="000000"/>
        </w:rPr>
        <w:t>folate</w:t>
      </w:r>
      <w:r w:rsidR="00410C42" w:rsidRPr="00895F32">
        <w:rPr>
          <w:rFonts w:ascii="Book Antiqua" w:eastAsia="Book Antiqua" w:hAnsi="Book Antiqua" w:cs="Book Antiqua"/>
          <w:color w:val="000000"/>
        </w:rPr>
        <w:t>)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,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 and minerals</w:t>
      </w:r>
      <w:r w:rsidR="00410C42" w:rsidRPr="00895F32">
        <w:rPr>
          <w:rFonts w:ascii="Book Antiqua" w:eastAsia="Book Antiqua" w:hAnsi="Book Antiqua" w:cs="Book Antiqua"/>
          <w:color w:val="000000"/>
        </w:rPr>
        <w:t xml:space="preserve"> such as </w:t>
      </w:r>
      <w:r w:rsidR="001B2365" w:rsidRPr="00895F32">
        <w:rPr>
          <w:rFonts w:ascii="Book Antiqua" w:eastAsia="Book Antiqua" w:hAnsi="Book Antiqua" w:cs="Book Antiqua"/>
          <w:color w:val="000000"/>
        </w:rPr>
        <w:t>zinc, selenium,</w:t>
      </w:r>
      <w:r w:rsidR="00410C42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B2365" w:rsidRPr="00895F32">
        <w:rPr>
          <w:rFonts w:ascii="Book Antiqua" w:eastAsia="Book Antiqua" w:hAnsi="Book Antiqua" w:cs="Book Antiqua"/>
          <w:color w:val="000000"/>
        </w:rPr>
        <w:t>iron, magnesium</w:t>
      </w:r>
      <w:r w:rsidR="00410C42" w:rsidRPr="00895F32">
        <w:rPr>
          <w:rFonts w:ascii="Book Antiqua" w:eastAsia="Book Antiqua" w:hAnsi="Book Antiqua" w:cs="Book Antiqua"/>
          <w:color w:val="000000"/>
        </w:rPr>
        <w:t xml:space="preserve"> and </w:t>
      </w:r>
      <w:r w:rsidR="001B2365" w:rsidRPr="00895F32">
        <w:rPr>
          <w:rFonts w:ascii="Book Antiqua" w:eastAsia="Book Antiqua" w:hAnsi="Book Antiqua" w:cs="Book Antiqua"/>
          <w:color w:val="000000"/>
        </w:rPr>
        <w:t xml:space="preserve">copper </w:t>
      </w:r>
      <w:r w:rsidR="0010304E" w:rsidRPr="00895F32">
        <w:rPr>
          <w:rFonts w:ascii="Book Antiqua" w:eastAsia="Book Antiqua" w:hAnsi="Book Antiqua" w:cs="Book Antiqua"/>
          <w:color w:val="000000"/>
        </w:rPr>
        <w:t xml:space="preserve">have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D07DE" w:rsidRPr="00895F32">
        <w:rPr>
          <w:rFonts w:ascii="Book Antiqua" w:eastAsia="Book Antiqua" w:hAnsi="Book Antiqua" w:cs="Book Antiqua"/>
          <w:color w:val="000000"/>
        </w:rPr>
        <w:t xml:space="preserve">common </w:t>
      </w:r>
      <w:r w:rsidRPr="00895F32">
        <w:rPr>
          <w:rFonts w:ascii="Book Antiqua" w:eastAsia="Book Antiqua" w:hAnsi="Book Antiqua" w:cs="Book Antiqua"/>
          <w:color w:val="000000"/>
        </w:rPr>
        <w:t>roles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0304E" w:rsidRPr="00895F32">
        <w:rPr>
          <w:rFonts w:ascii="Book Antiqua" w:eastAsia="Book Antiqua" w:hAnsi="Book Antiqua" w:cs="Book Antiqua"/>
          <w:color w:val="000000"/>
        </w:rPr>
        <w:t xml:space="preserve">maintaining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70BE3"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system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Inadequate</w:t>
      </w:r>
      <w:r w:rsidR="00CB3D7F" w:rsidRPr="00895F32">
        <w:rPr>
          <w:rFonts w:ascii="Book Antiqua" w:eastAsia="Book Antiqua" w:hAnsi="Book Antiqua" w:cs="Book Antiqua"/>
          <w:color w:val="000000"/>
        </w:rPr>
        <w:t xml:space="preserve"> dietary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CB3D7F" w:rsidRPr="00895F32">
        <w:rPr>
          <w:rFonts w:ascii="Book Antiqua" w:eastAsia="Book Antiqua" w:hAnsi="Book Antiqua" w:cs="Book Antiqua"/>
          <w:color w:val="000000"/>
        </w:rPr>
        <w:t xml:space="preserve">/ or </w:t>
      </w:r>
      <w:r w:rsidRPr="00895F32">
        <w:rPr>
          <w:rFonts w:ascii="Book Antiqua" w:eastAsia="Book Antiqua" w:hAnsi="Book Antiqua" w:cs="Book Antiqua"/>
          <w:color w:val="000000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FE1AA9" w:rsidRPr="00895F32">
        <w:rPr>
          <w:rFonts w:ascii="Book Antiqua" w:eastAsia="Book Antiqua" w:hAnsi="Book Antiqua" w:cs="Book Antiqua"/>
          <w:color w:val="000000"/>
        </w:rPr>
        <w:t xml:space="preserve"> micro</w:t>
      </w:r>
      <w:r w:rsidRPr="00895F32">
        <w:rPr>
          <w:rFonts w:ascii="Book Antiqua" w:eastAsia="Book Antiqua" w:hAnsi="Book Antiqua" w:cs="Book Antiqua"/>
          <w:color w:val="000000"/>
        </w:rPr>
        <w:t>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853796" w:rsidRPr="00895F32">
        <w:rPr>
          <w:rFonts w:ascii="Book Antiqua" w:eastAsia="Book Antiqua" w:hAnsi="Book Antiqua" w:cs="Book Antiqua"/>
          <w:color w:val="000000"/>
        </w:rPr>
        <w:t xml:space="preserve">contribute to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resistance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infections</w:t>
      </w:r>
      <w:r w:rsidR="003D071C" w:rsidRPr="00895F32">
        <w:rPr>
          <w:rFonts w:ascii="Book Antiqua" w:eastAsia="Book Antiqua" w:hAnsi="Book Antiqua" w:cs="Book Antiqua"/>
          <w:color w:val="000000"/>
        </w:rPr>
        <w:t>, and consequently 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burden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9320D8" w:rsidRPr="00895F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320D8" w:rsidRPr="00895F32">
        <w:rPr>
          <w:rFonts w:ascii="Book Antiqua" w:eastAsia="Book Antiqua" w:hAnsi="Book Antiqua" w:cs="Book Antiqua"/>
          <w:color w:val="000000"/>
          <w:vertAlign w:val="subscript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Zhang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Liu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point</w:t>
      </w:r>
      <w:r w:rsidR="003D071C" w:rsidRPr="00895F32">
        <w:rPr>
          <w:rFonts w:ascii="Book Antiqua" w:eastAsia="Book Antiqua" w:hAnsi="Book Antiqua" w:cs="Book Antiqua"/>
          <w:color w:val="000000"/>
        </w:rPr>
        <w:t>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assessment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besides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elements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(selenium,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zinc,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iron)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considered.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91884" w:rsidRPr="00895F32">
        <w:rPr>
          <w:rFonts w:ascii="Book Antiqua" w:eastAsia="Book Antiqua" w:hAnsi="Book Antiqua" w:cs="Book Antiqua"/>
          <w:color w:val="000000"/>
        </w:rPr>
        <w:t xml:space="preserve">Anti-inflammatory dietary index and dietary TAC </w:t>
      </w:r>
      <w:r w:rsidR="0096281A" w:rsidRPr="00895F32">
        <w:rPr>
          <w:rFonts w:ascii="Book Antiqua" w:eastAsia="Book Antiqua" w:hAnsi="Book Antiqua" w:cs="Book Antiqua"/>
          <w:color w:val="000000"/>
        </w:rPr>
        <w:t>a</w:t>
      </w:r>
      <w:r w:rsidR="003D071C" w:rsidRPr="00895F32">
        <w:rPr>
          <w:rFonts w:ascii="Book Antiqua" w:eastAsia="Book Antiqua" w:hAnsi="Book Antiqua" w:cs="Book Antiqua"/>
          <w:color w:val="000000"/>
        </w:rPr>
        <w:t>re emphasized as</w:t>
      </w:r>
      <w:r w:rsidR="0099188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D071C" w:rsidRPr="00895F32">
        <w:rPr>
          <w:rFonts w:ascii="Book Antiqua" w:eastAsia="Book Antiqua" w:hAnsi="Book Antiqua" w:cs="Book Antiqua"/>
          <w:color w:val="000000"/>
        </w:rPr>
        <w:t xml:space="preserve">a </w:t>
      </w:r>
      <w:r w:rsidRPr="00895F32">
        <w:rPr>
          <w:rFonts w:ascii="Book Antiqua" w:eastAsia="Book Antiqua" w:hAnsi="Book Antiqua" w:cs="Book Antiqua"/>
          <w:color w:val="000000"/>
        </w:rPr>
        <w:t>concept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B7C63" w:rsidRPr="00895F32">
        <w:rPr>
          <w:rFonts w:ascii="Book Antiqua" w:eastAsia="Book Antiqua" w:hAnsi="Book Antiqua" w:cs="Book Antiqua"/>
          <w:color w:val="000000"/>
        </w:rPr>
        <w:t xml:space="preserve">association </w:t>
      </w:r>
      <w:r w:rsidRPr="00895F32">
        <w:rPr>
          <w:rFonts w:ascii="Book Antiqua" w:eastAsia="Book Antiqua" w:hAnsi="Book Antiqua" w:cs="Book Antiqua"/>
          <w:color w:val="000000"/>
        </w:rPr>
        <w:t>between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91884" w:rsidRPr="00895F32">
        <w:rPr>
          <w:rFonts w:ascii="Book Antiqua" w:eastAsia="Book Antiqua" w:hAnsi="Book Antiqua" w:cs="Book Antiqua"/>
          <w:color w:val="000000"/>
        </w:rPr>
        <w:t xml:space="preserve">nutrients,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91884" w:rsidRPr="00895F32">
        <w:rPr>
          <w:rFonts w:ascii="Book Antiqua" w:eastAsia="Book Antiqua" w:hAnsi="Book Antiqua" w:cs="Book Antiqua"/>
          <w:color w:val="000000"/>
        </w:rPr>
        <w:t xml:space="preserve">sources, </w:t>
      </w:r>
      <w:r w:rsidRPr="00895F32">
        <w:rPr>
          <w:rFonts w:ascii="Book Antiqua" w:eastAsia="Book Antiqua" w:hAnsi="Book Antiqua" w:cs="Book Antiqua"/>
          <w:color w:val="000000"/>
        </w:rPr>
        <w:t>eating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habits,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stress</w:t>
      </w:r>
      <w:r w:rsidR="00991884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33,34]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D4CF0" w:rsidRPr="00895F32">
        <w:rPr>
          <w:rFonts w:ascii="Book Antiqua" w:eastAsia="Book Antiqua" w:hAnsi="Book Antiqua" w:cs="Book Antiqua"/>
          <w:color w:val="000000"/>
        </w:rPr>
        <w:t>O</w:t>
      </w:r>
      <w:r w:rsidRPr="00895F32">
        <w:rPr>
          <w:rFonts w:ascii="Book Antiqua" w:eastAsia="Book Antiqua" w:hAnsi="Book Antiqua" w:cs="Book Antiqua"/>
          <w:color w:val="000000"/>
        </w:rPr>
        <w:t>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0F3F1A" w:rsidRPr="00895F32">
        <w:rPr>
          <w:rFonts w:ascii="Book Antiqua" w:eastAsia="Book Antiqua" w:hAnsi="Book Antiqua" w:cs="Book Antiqua"/>
          <w:color w:val="000000"/>
        </w:rPr>
        <w:t xml:space="preserve"> (</w:t>
      </w:r>
      <w:r w:rsidRPr="00895F32">
        <w:rPr>
          <w:rFonts w:ascii="Book Antiqua" w:eastAsia="Book Antiqua" w:hAnsi="Book Antiqua" w:cs="Book Antiqua"/>
          <w:color w:val="000000"/>
        </w:rPr>
        <w:t>widely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plant-based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foods</w:t>
      </w:r>
      <w:r w:rsidR="000F3F1A" w:rsidRPr="00895F32">
        <w:rPr>
          <w:rFonts w:ascii="Book Antiqua" w:eastAsia="Book Antiqua" w:hAnsi="Book Antiqua" w:cs="Book Antiqua"/>
          <w:color w:val="000000"/>
        </w:rPr>
        <w:t>)</w:t>
      </w:r>
      <w:r w:rsidR="00CD4CF0" w:rsidRPr="00895F32">
        <w:rPr>
          <w:rFonts w:ascii="Book Antiqua" w:eastAsia="Book Antiqua" w:hAnsi="Book Antiqua" w:cs="Book Antiqua"/>
          <w:color w:val="000000"/>
        </w:rPr>
        <w:t xml:space="preserve"> are known nutritional ingredients with anti-inflammatory and antioxidant </w:t>
      </w:r>
      <w:proofErr w:type="gramStart"/>
      <w:r w:rsidR="00CD4CF0" w:rsidRPr="00895F32">
        <w:rPr>
          <w:rFonts w:ascii="Book Antiqua" w:eastAsia="Book Antiqua" w:hAnsi="Book Antiqua" w:cs="Book Antiqua"/>
          <w:color w:val="000000"/>
        </w:rPr>
        <w:t>properties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CD4CF0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21CE" w:rsidRPr="00895F32">
        <w:rPr>
          <w:rFonts w:ascii="Book Antiqua" w:eastAsia="Book Antiqua" w:hAnsi="Book Antiqua" w:cs="Book Antiqua"/>
          <w:color w:val="000000"/>
        </w:rPr>
        <w:t xml:space="preserve">supplementation with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21CE" w:rsidRPr="00895F32">
        <w:rPr>
          <w:rFonts w:ascii="Book Antiqua" w:eastAsia="Book Antiqua" w:hAnsi="Book Antiqua" w:cs="Book Antiqua"/>
          <w:color w:val="000000"/>
        </w:rPr>
        <w:t>daily doses of nutrients (</w:t>
      </w:r>
      <w:r w:rsidRPr="00895F32">
        <w:rPr>
          <w:rFonts w:ascii="Book Antiqua" w:eastAsia="Book Antiqua" w:hAnsi="Book Antiqua" w:cs="Book Antiqua"/>
          <w:color w:val="000000"/>
        </w:rPr>
        <w:t>vitamins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B321CE" w:rsidRPr="00895F32">
        <w:rPr>
          <w:rFonts w:ascii="Book Antiqua" w:eastAsia="Book Antiqua" w:hAnsi="Book Antiqua" w:cs="Book Antiqua"/>
          <w:color w:val="000000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21CE" w:rsidRPr="00895F32">
        <w:rPr>
          <w:rFonts w:ascii="Book Antiqua" w:eastAsia="Book Antiqua" w:hAnsi="Book Antiqua" w:cs="Book Antiqua"/>
          <w:color w:val="000000"/>
        </w:rPr>
        <w:t xml:space="preserve">than recommended </w:t>
      </w:r>
      <w:r w:rsidRPr="00895F32">
        <w:rPr>
          <w:rFonts w:ascii="Book Antiqua" w:eastAsia="Book Antiqua" w:hAnsi="Book Antiqua" w:cs="Book Antiqua"/>
          <w:color w:val="000000"/>
        </w:rPr>
        <w:t>might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</w:t>
      </w:r>
      <w:r w:rsidR="00B321CE" w:rsidRPr="00895F32">
        <w:rPr>
          <w:rFonts w:ascii="Book Antiqua" w:eastAsia="Book Antiqua" w:hAnsi="Book Antiqua" w:cs="Book Antiqua"/>
          <w:color w:val="000000"/>
        </w:rPr>
        <w:t xml:space="preserve"> in patients with COVID-19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21CE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21CE" w:rsidRPr="00895F32">
        <w:rPr>
          <w:rFonts w:ascii="Book Antiqua" w:eastAsia="Book Antiqua" w:hAnsi="Book Antiqua" w:cs="Book Antiqua"/>
          <w:color w:val="000000"/>
        </w:rPr>
        <w:t xml:space="preserve">the duration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hospitalization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[31,36-38]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contributes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E240D" w:rsidRPr="00895F32">
        <w:rPr>
          <w:rFonts w:ascii="Book Antiqua" w:eastAsia="Book Antiqua" w:hAnsi="Book Antiqua" w:cs="Book Antiqua"/>
          <w:color w:val="000000"/>
        </w:rPr>
        <w:t xml:space="preserve">the onset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progression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E240D" w:rsidRPr="00895F32">
        <w:rPr>
          <w:rFonts w:ascii="Book Antiqua" w:eastAsia="Book Antiqua" w:hAnsi="Book Antiqua" w:cs="Book Antiqua"/>
          <w:color w:val="000000"/>
        </w:rPr>
        <w:t xml:space="preserve">damage through related pathological </w:t>
      </w:r>
      <w:proofErr w:type="gramStart"/>
      <w:r w:rsidR="006E240D" w:rsidRPr="00895F32">
        <w:rPr>
          <w:rFonts w:ascii="Book Antiqua" w:eastAsia="Book Antiqua" w:hAnsi="Book Antiqua" w:cs="Book Antiqua"/>
          <w:color w:val="000000"/>
        </w:rPr>
        <w:t>mechanism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F3F1A" w:rsidRPr="00895F32">
        <w:rPr>
          <w:rFonts w:ascii="Book Antiqua" w:eastAsia="Book Antiqua" w:hAnsi="Book Antiqua" w:cs="Book Antiqua"/>
          <w:color w:val="000000"/>
        </w:rPr>
        <w:t xml:space="preserve">According to a recent study by </w:t>
      </w:r>
      <w:r w:rsidR="001B0689" w:rsidRPr="00895F32">
        <w:rPr>
          <w:rFonts w:ascii="Book Antiqua" w:eastAsia="Book Antiqua" w:hAnsi="Book Antiqua" w:cs="Book Antiqua"/>
          <w:color w:val="000000"/>
        </w:rPr>
        <w:t xml:space="preserve">de </w:t>
      </w:r>
      <w:r w:rsidR="000F3F1A" w:rsidRPr="00895F32">
        <w:rPr>
          <w:rFonts w:ascii="Book Antiqua" w:eastAsia="Book Antiqua" w:hAnsi="Book Antiqua" w:cs="Book Antiqua"/>
          <w:color w:val="000000"/>
        </w:rPr>
        <w:t xml:space="preserve">Oliveira </w:t>
      </w:r>
      <w:r w:rsidR="000F3F1A" w:rsidRPr="00895F3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F3F1A"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3796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3796" w:rsidRPr="00895F3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85379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8302A" w:rsidRPr="00895F32">
        <w:rPr>
          <w:rFonts w:ascii="Book Antiqua" w:hAnsi="Book Antiqua"/>
          <w:color w:val="333333"/>
          <w:shd w:val="clear" w:color="auto" w:fill="FCFCFC"/>
        </w:rPr>
        <w:t>NA</w:t>
      </w:r>
      <w:r w:rsidR="00F115F3">
        <w:rPr>
          <w:rFonts w:ascii="Book Antiqua" w:hAnsi="Book Antiqua"/>
          <w:color w:val="333333"/>
          <w:shd w:val="clear" w:color="auto" w:fill="FCFCFC"/>
        </w:rPr>
        <w:t xml:space="preserve">FLD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16340B" w:rsidRPr="00895F32">
        <w:rPr>
          <w:rFonts w:ascii="Book Antiqua" w:eastAsia="Book Antiqua" w:hAnsi="Book Antiqua" w:cs="Book Antiqua"/>
          <w:color w:val="000000"/>
        </w:rPr>
        <w:t xml:space="preserve"> have higher </w:t>
      </w:r>
      <w:r w:rsidR="00C70BE3" w:rsidRPr="00895F32">
        <w:rPr>
          <w:rFonts w:ascii="Book Antiqua" w:eastAsia="Book Antiqua" w:hAnsi="Book Antiqua" w:cs="Book Antiqua"/>
          <w:color w:val="000000"/>
        </w:rPr>
        <w:t>dietary TAC</w:t>
      </w:r>
      <w:r w:rsidR="00AF3E5A" w:rsidRPr="00895F32">
        <w:rPr>
          <w:rFonts w:ascii="Book Antiqua" w:eastAsia="Book Antiqua" w:hAnsi="Book Antiqua" w:cs="Book Antiqua"/>
          <w:color w:val="000000"/>
        </w:rPr>
        <w:t xml:space="preserve">. </w:t>
      </w:r>
      <w:r w:rsidR="003D071C" w:rsidRPr="00895F32">
        <w:rPr>
          <w:rFonts w:ascii="Book Antiqua" w:eastAsia="Book Antiqua" w:hAnsi="Book Antiqua" w:cs="Book Antiqua"/>
          <w:color w:val="000000"/>
        </w:rPr>
        <w:t xml:space="preserve"> It </w:t>
      </w:r>
      <w:r w:rsidR="00570351" w:rsidRPr="00895F32">
        <w:rPr>
          <w:rFonts w:ascii="Book Antiqua" w:eastAsia="Book Antiqua" w:hAnsi="Book Antiqua" w:cs="Book Antiqua"/>
          <w:color w:val="000000"/>
        </w:rPr>
        <w:t>suggests 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573" w:rsidRPr="00895F32">
        <w:rPr>
          <w:rFonts w:ascii="Book Antiqua" w:eastAsia="Book Antiqua" w:hAnsi="Book Antiqua" w:cs="Book Antiqua"/>
          <w:color w:val="000000"/>
        </w:rPr>
        <w:t xml:space="preserve">that increased </w:t>
      </w:r>
      <w:proofErr w:type="gramStart"/>
      <w:r w:rsidR="00CC6573" w:rsidRPr="00895F32">
        <w:rPr>
          <w:rFonts w:ascii="Book Antiqua" w:eastAsia="Book Antiqua" w:hAnsi="Book Antiqua" w:cs="Book Antiqua"/>
          <w:color w:val="000000"/>
        </w:rPr>
        <w:t xml:space="preserve">consumption 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naturally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481194" w:rsidRPr="00895F32">
        <w:rPr>
          <w:rFonts w:ascii="Book Antiqua" w:eastAsia="Book Antiqua" w:hAnsi="Book Antiqua" w:cs="Book Antiqua"/>
          <w:color w:val="000000"/>
        </w:rPr>
        <w:t xml:space="preserve"> TAC </w:t>
      </w:r>
      <w:r w:rsidR="00CC2A54" w:rsidRPr="00895F32">
        <w:rPr>
          <w:rFonts w:ascii="Book Antiqua" w:eastAsia="Book Antiqua" w:hAnsi="Book Antiqua" w:cs="Book Antiqua"/>
          <w:color w:val="000000"/>
        </w:rPr>
        <w:t>leads to reduced production of LPO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1418C65D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7E9BE7" w14:textId="4F740EE8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</w:p>
    <w:p w14:paraId="352FB6A6" w14:textId="3E31A14B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homeostasis.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plays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regulating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(promoting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growth)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TNF-α,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microbial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macrophages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phagocytic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explosive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macrophages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inflammation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immunomodulatory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properties,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type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IFNs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e.g</w:t>
      </w:r>
      <w:r w:rsidRPr="00895F32">
        <w:rPr>
          <w:rFonts w:ascii="Book Antiqua" w:eastAsia="Book Antiqua" w:hAnsi="Book Antiqua" w:cs="Book Antiqua"/>
          <w:color w:val="000000"/>
        </w:rPr>
        <w:t>.,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IFN-I),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cytokines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Thus,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E4F9C" w:rsidRPr="00895F32">
        <w:rPr>
          <w:rFonts w:ascii="Book Antiqua" w:eastAsia="Book Antiqua" w:hAnsi="Book Antiqua" w:cs="Book Antiqua"/>
          <w:color w:val="000000"/>
        </w:rPr>
        <w:t xml:space="preserve">promoted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</w:t>
      </w:r>
      <w:r w:rsidR="00AE4F9C" w:rsidRPr="00895F32">
        <w:rPr>
          <w:rFonts w:ascii="Book Antiqua" w:eastAsia="Book Antiqua" w:hAnsi="Book Antiqua" w:cs="Book Antiqua"/>
          <w:color w:val="000000"/>
        </w:rPr>
        <w:t xml:space="preserve"> mediated by IFN-I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retinoid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signaling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strongly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inhibit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coronaviruses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01721" w:rsidRPr="00895F32">
        <w:rPr>
          <w:rFonts w:ascii="Book Antiqua" w:eastAsia="Book Antiqua" w:hAnsi="Book Antiqua" w:cs="Book Antiqua"/>
          <w:color w:val="000000"/>
        </w:rPr>
        <w:t>Thus, r</w:t>
      </w:r>
      <w:r w:rsidRPr="00895F32">
        <w:rPr>
          <w:rFonts w:ascii="Book Antiqua" w:eastAsia="Book Antiqua" w:hAnsi="Book Antiqua" w:cs="Book Antiqua"/>
          <w:color w:val="000000"/>
        </w:rPr>
        <w:t>etinoids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573" w:rsidRPr="00895F32">
        <w:rPr>
          <w:rFonts w:ascii="Book Antiqua" w:eastAsia="Book Antiqua" w:hAnsi="Book Antiqua" w:cs="Book Antiqua"/>
          <w:color w:val="000000"/>
        </w:rPr>
        <w:t>possibly suppress</w:t>
      </w:r>
      <w:r w:rsidR="00901721" w:rsidRPr="00895F32">
        <w:rPr>
          <w:rFonts w:ascii="Book Antiqua" w:eastAsia="Book Antiqua" w:hAnsi="Book Antiqua" w:cs="Book Antiqua"/>
          <w:color w:val="000000"/>
        </w:rPr>
        <w:t xml:space="preserve"> viral replication </w:t>
      </w:r>
      <w:r w:rsidR="00901721" w:rsidRPr="00895F32">
        <w:rPr>
          <w:rFonts w:ascii="Book Antiqua" w:hAnsi="Book Antiqua" w:cs="Arial"/>
          <w:color w:val="4D5156"/>
          <w:shd w:val="clear" w:color="auto" w:fill="FFFFFF"/>
        </w:rPr>
        <w:t xml:space="preserve">in </w:t>
      </w:r>
      <w:r w:rsidR="00901721" w:rsidRPr="00D7475E">
        <w:rPr>
          <w:rFonts w:ascii="Book Antiqua" w:hAnsi="Book Antiqua" w:cs="Arial"/>
          <w:shd w:val="clear" w:color="auto" w:fill="FFFFFF"/>
        </w:rPr>
        <w:t>C</w:t>
      </w:r>
      <w:r w:rsidR="00901721" w:rsidRPr="00D7475E">
        <w:rPr>
          <w:rStyle w:val="ac"/>
          <w:rFonts w:ascii="Book Antiqua" w:hAnsi="Book Antiqua" w:cs="Arial"/>
          <w:i w:val="0"/>
          <w:iCs w:val="0"/>
          <w:shd w:val="clear" w:color="auto" w:fill="FFFFFF"/>
        </w:rPr>
        <w:t>OVID</w:t>
      </w:r>
      <w:r w:rsidR="00901721" w:rsidRPr="00D7475E">
        <w:rPr>
          <w:rFonts w:ascii="Book Antiqua" w:hAnsi="Book Antiqua" w:cs="Arial"/>
          <w:shd w:val="clear" w:color="auto" w:fill="FFFFFF"/>
        </w:rPr>
        <w:t>-19 patients</w:t>
      </w:r>
      <w:r w:rsidR="00901721" w:rsidRPr="00D7475E">
        <w:rPr>
          <w:rFonts w:ascii="Book Antiqua" w:eastAsia="Book Antiqua" w:hAnsi="Book Antiqua" w:cs="Book Antiqua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interfere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uptake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inhibiting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27ECDF5" w14:textId="3A9CBB79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01721" w:rsidRPr="00895F32">
        <w:rPr>
          <w:rFonts w:ascii="Book Antiqua" w:eastAsia="Book Antiqua" w:hAnsi="Book Antiqua" w:cs="Book Antiqua"/>
          <w:color w:val="000000"/>
        </w:rPr>
        <w:t xml:space="preserve">plant </w:t>
      </w:r>
      <w:r w:rsidRPr="00895F32">
        <w:rPr>
          <w:rFonts w:ascii="Book Antiqua" w:eastAsia="Book Antiqua" w:hAnsi="Book Antiqua" w:cs="Book Antiqua"/>
          <w:color w:val="000000"/>
        </w:rPr>
        <w:t>sources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carotenoids,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β-carotene</w:t>
      </w:r>
      <w:r w:rsidR="00CC6573" w:rsidRPr="00895F32">
        <w:rPr>
          <w:rFonts w:ascii="Book Antiqua" w:eastAsia="Book Antiqua" w:hAnsi="Book Antiqua" w:cs="Book Antiqua"/>
          <w:color w:val="000000"/>
        </w:rPr>
        <w:t>, while</w:t>
      </w:r>
      <w:r w:rsidR="004B3F3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573" w:rsidRPr="00895F32">
        <w:rPr>
          <w:rFonts w:ascii="Book Antiqua" w:eastAsia="Book Antiqua" w:hAnsi="Book Antiqua" w:cs="Book Antiqua"/>
          <w:color w:val="000000"/>
        </w:rPr>
        <w:t>a</w:t>
      </w:r>
      <w:r w:rsidR="004B3F3C" w:rsidRPr="00895F32">
        <w:rPr>
          <w:rFonts w:ascii="Book Antiqua" w:eastAsia="Book Antiqua" w:hAnsi="Book Antiqua" w:cs="Book Antiqua"/>
          <w:color w:val="000000"/>
        </w:rPr>
        <w:t xml:space="preserve">nimal sources are rich in </w:t>
      </w:r>
      <w:r w:rsidRPr="00895F32">
        <w:rPr>
          <w:rFonts w:ascii="Book Antiqua" w:eastAsia="Book Antiqua" w:hAnsi="Book Antiqua" w:cs="Book Antiqua"/>
          <w:color w:val="000000"/>
        </w:rPr>
        <w:t>retinyl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esters</w:t>
      </w:r>
      <w:r w:rsidR="00F115F3">
        <w:rPr>
          <w:rFonts w:ascii="Book Antiqua" w:eastAsia="Book Antiqua" w:hAnsi="Book Antiqua" w:cs="Book Antiqua"/>
          <w:color w:val="000000"/>
        </w:rPr>
        <w:t xml:space="preserve">. </w:t>
      </w:r>
      <w:r w:rsidRPr="00895F32">
        <w:rPr>
          <w:rFonts w:ascii="Book Antiqua" w:eastAsia="Book Antiqua" w:hAnsi="Book Antiqua" w:cs="Book Antiqua"/>
          <w:color w:val="000000"/>
        </w:rPr>
        <w:t>Major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sources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β-carotene</w:t>
      </w:r>
      <w:proofErr w:type="gram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scavenger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enhances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lymphocyte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production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represents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largest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573" w:rsidRPr="00895F32">
        <w:rPr>
          <w:rFonts w:ascii="Book Antiqua" w:eastAsia="Book Antiqua" w:hAnsi="Book Antiqua" w:cs="Book Antiqua"/>
          <w:color w:val="000000"/>
        </w:rPr>
        <w:t xml:space="preserve">pool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retinyl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esters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stellate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C-infected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lack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IFN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therapy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declining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circulating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levels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Adequate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daily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</w:t>
      </w:r>
      <w:r w:rsidR="004478E7" w:rsidRPr="00895F32">
        <w:rPr>
          <w:rFonts w:ascii="Book Antiqua" w:eastAsia="Book Antiqua" w:hAnsi="Book Antiqua" w:cs="Book Antiqua"/>
          <w:color w:val="000000"/>
        </w:rPr>
        <w:t xml:space="preserve">about </w:t>
      </w:r>
      <w:r w:rsidRPr="00895F32">
        <w:rPr>
          <w:rFonts w:ascii="Book Antiqua" w:eastAsia="Book Antiqua" w:hAnsi="Book Antiqua" w:cs="Book Antiqua"/>
          <w:color w:val="000000"/>
        </w:rPr>
        <w:t>650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/d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women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750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/d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men)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liver storage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E21E4" w:rsidRPr="00895F32">
        <w:rPr>
          <w:rFonts w:ascii="Book Antiqua" w:eastAsia="Book Antiqua" w:hAnsi="Book Antiqua" w:cs="Book Antiqua"/>
          <w:color w:val="000000"/>
        </w:rPr>
        <w:t>below</w:t>
      </w:r>
      <w:r w:rsidR="0039517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80%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healthy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6085" w:rsidRPr="00895F32">
        <w:rPr>
          <w:rFonts w:ascii="Book Antiqua" w:eastAsia="Book Antiqua" w:hAnsi="Book Antiqua" w:cs="Book Antiqua"/>
          <w:color w:val="000000"/>
        </w:rPr>
        <w:t xml:space="preserve">person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required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395174" w:rsidRPr="00895F32">
        <w:rPr>
          <w:rFonts w:ascii="Book Antiqua" w:eastAsia="Book Antiqua" w:hAnsi="Book Antiqua" w:cs="Book Antiqua"/>
          <w:color w:val="000000"/>
        </w:rPr>
        <w:t xml:space="preserve"> keep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retinol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95174" w:rsidRPr="00895F32">
        <w:rPr>
          <w:rFonts w:ascii="Book Antiqua" w:eastAsia="Book Antiqua" w:hAnsi="Book Antiqua" w:cs="Book Antiqua"/>
          <w:color w:val="000000"/>
        </w:rPr>
        <w:t xml:space="preserve">in plasma </w:t>
      </w:r>
      <w:r w:rsidRPr="00895F32">
        <w:rPr>
          <w:rFonts w:ascii="Book Antiqua" w:eastAsia="Book Antiqua" w:hAnsi="Book Antiqua" w:cs="Book Antiqua"/>
          <w:color w:val="000000"/>
        </w:rPr>
        <w:t>around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µmol/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45].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western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European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countries,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demonstrated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24A5F" w:rsidRPr="00895F32">
        <w:rPr>
          <w:rFonts w:ascii="Book Antiqua" w:eastAsia="Book Antiqua" w:hAnsi="Book Antiqua" w:cs="Book Antiqua"/>
          <w:color w:val="000000"/>
        </w:rPr>
        <w:t xml:space="preserve">low </w:t>
      </w:r>
      <w:r w:rsidR="00FB6085" w:rsidRPr="00895F32">
        <w:rPr>
          <w:rFonts w:ascii="Book Antiqua" w:eastAsia="Book Antiqua" w:hAnsi="Book Antiqua" w:cs="Book Antiqua"/>
          <w:color w:val="000000"/>
        </w:rPr>
        <w:t xml:space="preserve">levels of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24A5F" w:rsidRPr="00895F32">
        <w:rPr>
          <w:rFonts w:ascii="Book Antiqua" w:eastAsia="Book Antiqua" w:hAnsi="Book Antiqua" w:cs="Book Antiqua"/>
          <w:color w:val="000000"/>
        </w:rPr>
        <w:t xml:space="preserve">associated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24A5F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Pr="00895F32">
        <w:rPr>
          <w:rFonts w:ascii="Book Antiqua" w:eastAsia="Book Antiqua" w:hAnsi="Book Antiqua" w:cs="Book Antiqua"/>
          <w:color w:val="000000"/>
        </w:rPr>
        <w:t>incidence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mortality</w:t>
      </w:r>
      <w:r w:rsidR="00024A5F" w:rsidRPr="00895F32">
        <w:rPr>
          <w:rFonts w:ascii="Book Antiqua" w:eastAsia="Book Antiqua" w:hAnsi="Book Antiqua" w:cs="Book Antiqua"/>
          <w:color w:val="000000"/>
        </w:rPr>
        <w:t xml:space="preserve"> of COVID-19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164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can occur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C6573"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164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C1649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16494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Pr="00895F32">
        <w:rPr>
          <w:rFonts w:ascii="Book Antiqua" w:eastAsia="Book Antiqua" w:hAnsi="Book Antiqua" w:cs="Book Antiqua"/>
          <w:color w:val="000000"/>
        </w:rPr>
        <w:t>lung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16494" w:rsidRPr="00895F32">
        <w:rPr>
          <w:rFonts w:ascii="Book Antiqua" w:eastAsia="Book Antiqua" w:hAnsi="Book Antiqua" w:cs="Book Antiqua"/>
          <w:color w:val="000000"/>
        </w:rPr>
        <w:t xml:space="preserve">body </w:t>
      </w:r>
      <w:r w:rsidRPr="00895F32">
        <w:rPr>
          <w:rFonts w:ascii="Book Antiqua" w:eastAsia="Book Antiqua" w:hAnsi="Book Antiqua" w:cs="Book Antiqua"/>
          <w:color w:val="000000"/>
        </w:rPr>
        <w:t>stores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</w:t>
      </w:r>
      <w:r w:rsidR="00C16494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16494" w:rsidRPr="00895F32">
        <w:rPr>
          <w:rFonts w:ascii="Book Antiqua" w:eastAsia="Book Antiqua" w:hAnsi="Book Antiqua" w:cs="Book Antiqua"/>
          <w:color w:val="000000"/>
        </w:rPr>
        <w:t>process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suggesting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5AFE6B3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83251CC" w14:textId="1979BB48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D78D7C1" w14:textId="29D0F643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1DB1" w:rsidRPr="00895F32">
        <w:rPr>
          <w:rFonts w:ascii="Book Antiqua" w:eastAsia="Book Antiqua" w:hAnsi="Book Antiqua" w:cs="Book Antiqua"/>
          <w:color w:val="000000"/>
        </w:rPr>
        <w:t xml:space="preserve">is involved in several functions in the body, including </w:t>
      </w:r>
      <w:r w:rsidRPr="00895F32">
        <w:rPr>
          <w:rFonts w:ascii="Book Antiqua" w:eastAsia="Book Antiqua" w:hAnsi="Book Antiqua" w:cs="Book Antiqua"/>
          <w:color w:val="000000"/>
        </w:rPr>
        <w:t>increas</w:t>
      </w:r>
      <w:r w:rsidR="00CC6573" w:rsidRPr="00895F32">
        <w:rPr>
          <w:rFonts w:ascii="Book Antiqua" w:eastAsia="Book Antiqua" w:hAnsi="Book Antiqua" w:cs="Book Antiqua"/>
          <w:color w:val="000000"/>
        </w:rPr>
        <w:t>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burst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macrophages,</w:t>
      </w:r>
      <w:r w:rsidR="005B46F3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and biosynthesis</w:t>
      </w:r>
      <w:r w:rsidR="005B46F3" w:rsidRPr="00895F32">
        <w:rPr>
          <w:rFonts w:ascii="Book Antiqua" w:eastAsia="Book Antiqua" w:hAnsi="Book Antiqua" w:cs="Book Antiqua"/>
          <w:color w:val="000000"/>
        </w:rPr>
        <w:t xml:space="preserve"> of </w:t>
      </w:r>
      <w:r w:rsidRPr="00895F32">
        <w:rPr>
          <w:rFonts w:ascii="Book Antiqua" w:eastAsia="Book Antiqua" w:hAnsi="Book Antiqua" w:cs="Book Antiqua"/>
          <w:color w:val="000000"/>
        </w:rPr>
        <w:t>superoxide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B46F3" w:rsidRPr="00895F32">
        <w:rPr>
          <w:rFonts w:ascii="Book Antiqua" w:eastAsia="Book Antiqua" w:hAnsi="Book Antiqua" w:cs="Book Antiqua"/>
          <w:color w:val="000000"/>
        </w:rPr>
        <w:t xml:space="preserve">dismutase. </w:t>
      </w:r>
      <w:r w:rsidR="00CC6573" w:rsidRPr="00895F32">
        <w:rPr>
          <w:rFonts w:ascii="Book Antiqua" w:eastAsia="Book Antiqua" w:hAnsi="Book Antiqua" w:cs="Book Antiqua"/>
          <w:color w:val="000000"/>
        </w:rPr>
        <w:t xml:space="preserve">Furthermore, it </w:t>
      </w:r>
      <w:r w:rsidR="00570351" w:rsidRPr="00895F32">
        <w:rPr>
          <w:rFonts w:ascii="Book Antiqua" w:eastAsia="Book Antiqua" w:hAnsi="Book Antiqua" w:cs="Book Antiqua"/>
          <w:color w:val="000000"/>
        </w:rPr>
        <w:t>suppresses</w:t>
      </w:r>
      <w:r w:rsidR="00CC6573" w:rsidRPr="00895F32">
        <w:rPr>
          <w:rFonts w:ascii="Book Antiqua" w:eastAsia="Book Antiqua" w:hAnsi="Book Antiqua" w:cs="Book Antiqua"/>
          <w:color w:val="000000"/>
        </w:rPr>
        <w:t xml:space="preserve"> the expression of </w:t>
      </w:r>
      <w:r w:rsidR="00CE21E4" w:rsidRPr="00895F32">
        <w:rPr>
          <w:rFonts w:ascii="Book Antiqua" w:eastAsia="Book Antiqua" w:hAnsi="Book Antiqua" w:cs="Book Antiqua"/>
          <w:color w:val="000000"/>
        </w:rPr>
        <w:t>p</w:t>
      </w:r>
      <w:r w:rsidRPr="00895F32">
        <w:rPr>
          <w:rFonts w:ascii="Book Antiqua" w:eastAsia="Book Antiqua" w:hAnsi="Book Antiqua" w:cs="Book Antiqua"/>
          <w:color w:val="000000"/>
        </w:rPr>
        <w:t>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CC6573" w:rsidRPr="00895F32">
        <w:rPr>
          <w:rFonts w:ascii="Book Antiqua" w:eastAsia="Book Antiqua" w:hAnsi="Book Antiqua" w:cs="Book Antiqua"/>
          <w:color w:val="000000"/>
        </w:rPr>
        <w:t>, while promotes</w:t>
      </w:r>
      <w:r w:rsidR="00CE21E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F659F2" w:rsidRPr="00895F32">
        <w:rPr>
          <w:rFonts w:ascii="Book Antiqua" w:eastAsia="Book Antiqua" w:hAnsi="Book Antiqua" w:cs="Book Antiqua"/>
          <w:color w:val="000000"/>
        </w:rPr>
        <w:t>.</w:t>
      </w:r>
      <w:r w:rsidR="001A6038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5539E" w:rsidRPr="00895F32">
        <w:rPr>
          <w:rFonts w:ascii="Book Antiqua" w:eastAsia="Book Antiqua" w:hAnsi="Book Antiqua" w:cs="Book Antiqua"/>
          <w:color w:val="000000"/>
        </w:rPr>
        <w:t xml:space="preserve">In </w:t>
      </w:r>
      <w:r w:rsidR="00CC6573" w:rsidRPr="00895F32">
        <w:rPr>
          <w:rFonts w:ascii="Book Antiqua" w:eastAsia="Book Antiqua" w:hAnsi="Book Antiqua" w:cs="Book Antiqua"/>
          <w:color w:val="000000"/>
        </w:rPr>
        <w:t xml:space="preserve">patients with </w:t>
      </w:r>
      <w:r w:rsidR="00D5539E" w:rsidRPr="00895F32">
        <w:rPr>
          <w:rFonts w:ascii="Book Antiqua" w:eastAsia="Book Antiqua" w:hAnsi="Book Antiqua" w:cs="Book Antiqua"/>
          <w:color w:val="000000"/>
        </w:rPr>
        <w:t>chronic liver diseases</w:t>
      </w:r>
      <w:r w:rsidR="00CC6573" w:rsidRPr="00895F32">
        <w:rPr>
          <w:rFonts w:ascii="Book Antiqua" w:eastAsia="Book Antiqua" w:hAnsi="Book Antiqua" w:cs="Book Antiqua"/>
          <w:color w:val="000000"/>
        </w:rPr>
        <w:t>,</w:t>
      </w:r>
      <w:r w:rsidR="00D5539E" w:rsidRPr="00895F32" w:rsidDel="00F659F2">
        <w:rPr>
          <w:rFonts w:ascii="Book Antiqua" w:eastAsia="Book Antiqua" w:hAnsi="Book Antiqua" w:cs="Book Antiqua"/>
          <w:color w:val="000000"/>
        </w:rPr>
        <w:t xml:space="preserve"> </w:t>
      </w:r>
      <w:r w:rsidR="00D5539E" w:rsidRPr="00895F32">
        <w:rPr>
          <w:rFonts w:ascii="Book Antiqua" w:eastAsia="Book Antiqua" w:hAnsi="Book Antiqua" w:cs="Book Antiqua"/>
          <w:color w:val="000000"/>
        </w:rPr>
        <w:t>v</w:t>
      </w:r>
      <w:r w:rsidRPr="00895F32">
        <w:rPr>
          <w:rFonts w:ascii="Book Antiqua" w:eastAsia="Book Antiqua" w:hAnsi="Book Antiqua" w:cs="Book Antiqua"/>
          <w:color w:val="000000"/>
        </w:rPr>
        <w:t>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often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reported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BA0F8A" w:rsidRPr="00895F32">
        <w:rPr>
          <w:rFonts w:ascii="Book Antiqua" w:eastAsia="Book Antiqua" w:hAnsi="Book Antiqua" w:cs="Book Antiqua"/>
          <w:color w:val="000000"/>
        </w:rPr>
        <w:t xml:space="preserve">, due to impaired </w:t>
      </w:r>
      <w:r w:rsidR="00CE21E4" w:rsidRPr="00895F32">
        <w:rPr>
          <w:rFonts w:ascii="Book Antiqua" w:eastAsia="Book Antiqua" w:hAnsi="Book Antiqua" w:cs="Book Antiqua"/>
          <w:color w:val="000000"/>
        </w:rPr>
        <w:t>s</w:t>
      </w:r>
      <w:r w:rsidRPr="00895F32">
        <w:rPr>
          <w:rFonts w:ascii="Book Antiqua" w:eastAsia="Book Antiqua" w:hAnsi="Book Antiqua" w:cs="Book Antiqua"/>
          <w:color w:val="000000"/>
        </w:rPr>
        <w:t>ynthesis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80CAA" w:rsidRPr="00895F32">
        <w:rPr>
          <w:rFonts w:ascii="Book Antiqua" w:eastAsia="Book Antiqua" w:hAnsi="Book Antiqua" w:cs="Book Antiqua"/>
          <w:color w:val="000000"/>
        </w:rPr>
        <w:t>v</w:t>
      </w:r>
      <w:r w:rsidRPr="00895F32">
        <w:rPr>
          <w:rFonts w:ascii="Book Antiqua" w:eastAsia="Book Antiqua" w:hAnsi="Book Antiqua" w:cs="Book Antiqua"/>
          <w:color w:val="000000"/>
        </w:rPr>
        <w:t>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D–binding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BA0F8A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hydroxylation</w:t>
      </w:r>
      <w:r w:rsidR="00BA0F8A" w:rsidRPr="00895F32">
        <w:rPr>
          <w:rFonts w:ascii="Book Antiqua" w:eastAsia="Book Antiqua" w:hAnsi="Book Antiqua" w:cs="Book Antiqua"/>
          <w:color w:val="000000"/>
        </w:rPr>
        <w:t xml:space="preserve">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>vitamin 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>In spite of available</w:t>
      </w:r>
      <w:r w:rsidR="007D5A41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>evidence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C45490" w:rsidRPr="00895F32">
        <w:rPr>
          <w:rFonts w:ascii="Book Antiqua" w:eastAsia="Book Antiqua" w:hAnsi="Book Antiqua" w:cs="Book Antiqua"/>
          <w:color w:val="000000"/>
        </w:rPr>
        <w:t xml:space="preserve"> 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therapeutic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45490" w:rsidRPr="00895F32">
        <w:rPr>
          <w:rFonts w:ascii="Book Antiqua" w:eastAsia="Book Antiqua" w:hAnsi="Book Antiqua" w:cs="Book Antiqua"/>
          <w:color w:val="000000"/>
        </w:rPr>
        <w:t xml:space="preserve">effect of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E21E4" w:rsidRPr="00895F32">
        <w:rPr>
          <w:rFonts w:ascii="Book Antiqua" w:eastAsia="Book Antiqua" w:hAnsi="Book Antiqua" w:cs="Book Antiqua"/>
          <w:color w:val="000000"/>
        </w:rPr>
        <w:t xml:space="preserve">still remain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controversial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required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clarify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whether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C45490" w:rsidRPr="00895F32">
        <w:rPr>
          <w:rFonts w:ascii="Book Antiqua" w:eastAsia="Book Antiqua" w:hAnsi="Book Antiqua" w:cs="Book Antiqua"/>
          <w:color w:val="000000"/>
        </w:rPr>
        <w:t>i</w:t>
      </w:r>
      <w:r w:rsidRPr="00895F32">
        <w:rPr>
          <w:rFonts w:ascii="Book Antiqua" w:eastAsia="Book Antiqua" w:hAnsi="Book Antiqua" w:cs="Book Antiqua"/>
          <w:color w:val="000000"/>
        </w:rPr>
        <w:t>sease</w:t>
      </w:r>
      <w:r w:rsidR="00C45490" w:rsidRPr="00895F32">
        <w:rPr>
          <w:rFonts w:ascii="Book Antiqua" w:eastAsia="Book Antiqua" w:hAnsi="Book Antiqua" w:cs="Book Antiqua"/>
          <w:color w:val="000000"/>
        </w:rPr>
        <w:t>s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FF9B605" w14:textId="05C4717D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>is actively 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D80CAA" w:rsidRPr="00895F32">
        <w:rPr>
          <w:rFonts w:ascii="Book Antiqua" w:eastAsia="Book Antiqua" w:hAnsi="Book Antiqua" w:cs="Book Antiqua"/>
          <w:color w:val="000000"/>
        </w:rPr>
        <w:t xml:space="preserve"> antioxidant,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immunomodulatory,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induces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enzymes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involved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defense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system.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B1516" w:rsidRPr="00895F32">
        <w:rPr>
          <w:rFonts w:ascii="Book Antiqua" w:eastAsia="Book Antiqua" w:hAnsi="Book Antiqua" w:cs="Book Antiqua"/>
          <w:color w:val="000000"/>
        </w:rPr>
        <w:t>-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GSH,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suppresses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NADPH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oxidase.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way,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oxidation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80CAA" w:rsidRPr="00895F32">
        <w:rPr>
          <w:rFonts w:ascii="Book Antiqua" w:eastAsia="Book Antiqua" w:hAnsi="Book Antiqua" w:cs="Book Antiqua"/>
          <w:color w:val="000000"/>
        </w:rPr>
        <w:t xml:space="preserve">deficiency of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global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health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>challenge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</w:t>
      </w:r>
      <w:r w:rsidR="00BA0F8A" w:rsidRPr="00895F32">
        <w:rPr>
          <w:rFonts w:ascii="Book Antiqua" w:eastAsia="Book Antiqua" w:hAnsi="Book Antiqua" w:cs="Book Antiqua"/>
          <w:color w:val="000000"/>
        </w:rPr>
        <w:t>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 xml:space="preserve">notable </w:t>
      </w:r>
      <w:r w:rsidRPr="00895F32">
        <w:rPr>
          <w:rFonts w:ascii="Book Antiqua" w:eastAsia="Book Antiqua" w:hAnsi="Book Antiqua" w:cs="Book Antiqua"/>
          <w:color w:val="000000"/>
        </w:rPr>
        <w:t>topic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7069B" w:rsidRPr="00D7475E">
        <w:rPr>
          <w:rFonts w:ascii="Book Antiqua" w:hAnsi="Book Antiqua" w:cs="Arial"/>
          <w:shd w:val="clear" w:color="auto" w:fill="FFFFFF"/>
        </w:rPr>
        <w:t xml:space="preserve">of research and </w:t>
      </w:r>
      <w:r w:rsidR="00B35C8D" w:rsidRPr="00D7475E">
        <w:rPr>
          <w:rFonts w:ascii="Book Antiqua" w:hAnsi="Book Antiqua" w:cs="Arial"/>
          <w:shd w:val="clear" w:color="auto" w:fill="FFFFFF"/>
        </w:rPr>
        <w:t>discussion during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pandemic.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A0F8A" w:rsidRPr="00895F32">
        <w:rPr>
          <w:rFonts w:ascii="Book Antiqua" w:eastAsia="Book Antiqua" w:hAnsi="Book Antiqua" w:cs="Book Antiqua"/>
          <w:color w:val="000000"/>
        </w:rPr>
        <w:t xml:space="preserve">elevates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7069B" w:rsidRPr="00895F32">
        <w:rPr>
          <w:rFonts w:ascii="Book Antiqua" w:eastAsia="Book Antiqua" w:hAnsi="Book Antiqua" w:cs="Book Antiqua"/>
          <w:color w:val="000000"/>
        </w:rPr>
        <w:t>vulnerab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ility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infections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Thus, </w:t>
      </w:r>
      <w:r w:rsidR="0099257D" w:rsidRPr="00895F32">
        <w:rPr>
          <w:rFonts w:ascii="Book Antiqua" w:eastAsia="Book Antiqua" w:hAnsi="Book Antiqua" w:cs="Book Antiqua"/>
          <w:color w:val="000000"/>
        </w:rPr>
        <w:t>s</w:t>
      </w:r>
      <w:r w:rsidRPr="00895F32">
        <w:rPr>
          <w:rFonts w:ascii="Book Antiqua" w:eastAsia="Book Antiqua" w:hAnsi="Book Antiqua" w:cs="Book Antiqua"/>
          <w:color w:val="000000"/>
        </w:rPr>
        <w:t>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enhances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innate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influenza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viral </w:t>
      </w:r>
      <w:r w:rsidRPr="00895F32">
        <w:rPr>
          <w:rFonts w:ascii="Book Antiqua" w:eastAsia="Book Antiqua" w:hAnsi="Book Antiqua" w:cs="Book Antiqua"/>
          <w:color w:val="000000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Pr="00895F32">
        <w:rPr>
          <w:rFonts w:ascii="MS Mincho" w:eastAsia="MS Mincho" w:hAnsi="MS Mincho" w:cs="MS Mincho" w:hint="eastAsia"/>
          <w:color w:val="000000"/>
          <w:shd w:val="clear" w:color="auto" w:fill="FFFFFF"/>
        </w:rPr>
        <w:t> 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9C8AC6A" w14:textId="7A7ECC50" w:rsidR="00A77B3E" w:rsidRPr="00895F32" w:rsidRDefault="00BA0F8A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="007E0689" w:rsidRPr="00895F32">
        <w:rPr>
          <w:rFonts w:ascii="Book Antiqua" w:eastAsia="Book Antiqua" w:hAnsi="Book Antiqua" w:cs="Book Antiqua"/>
          <w:color w:val="000000"/>
        </w:rPr>
        <w:t>immunomodulatory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 this vitamin are well established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, </w:t>
      </w:r>
      <w:r w:rsidR="00846614" w:rsidRPr="00895F32">
        <w:rPr>
          <w:rFonts w:ascii="Book Antiqua" w:eastAsia="Book Antiqua" w:hAnsi="Book Antiqua" w:cs="Book Antiqua"/>
          <w:color w:val="000000"/>
        </w:rPr>
        <w:t>a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nd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B35C8D" w:rsidRPr="00895F32">
        <w:rPr>
          <w:rFonts w:ascii="Book Antiqua" w:eastAsia="Book Antiqua" w:hAnsi="Book Antiqua" w:cs="Book Antiqua"/>
          <w:color w:val="000000"/>
        </w:rPr>
        <w:t xml:space="preserve"> supplements </w:t>
      </w:r>
      <w:r w:rsidRPr="00895F32">
        <w:rPr>
          <w:rFonts w:ascii="Book Antiqua" w:eastAsia="Book Antiqua" w:hAnsi="Book Antiqua" w:cs="Book Antiqua"/>
          <w:color w:val="000000"/>
        </w:rPr>
        <w:t>seems to be</w:t>
      </w:r>
      <w:r w:rsidR="00DE4C5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useful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prevention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treatment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stimulates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binding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angiotensin-II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receptor,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thereby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diminishing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number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particles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can </w:t>
      </w:r>
      <w:r w:rsidR="00DE4C5C" w:rsidRPr="00895F32">
        <w:rPr>
          <w:rFonts w:ascii="Book Antiqua" w:eastAsia="Book Antiqua" w:hAnsi="Book Antiqua" w:cs="Book Antiqua"/>
          <w:color w:val="000000"/>
        </w:rPr>
        <w:t xml:space="preserve">bind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receptors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enter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cell</w:t>
      </w:r>
      <w:r w:rsidR="003C1CEB" w:rsidRPr="00895F32">
        <w:rPr>
          <w:rFonts w:ascii="Book Antiqua" w:eastAsia="Book Antiqua" w:hAnsi="Book Antiqua" w:cs="Book Antiqua"/>
          <w:color w:val="000000"/>
        </w:rPr>
        <w:t>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55,56]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Two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meta-analysis</w:t>
      </w:r>
      <w:r w:rsidR="00DE4C5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reported 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DE4C5C" w:rsidRPr="00895F32">
        <w:rPr>
          <w:rFonts w:ascii="Book Antiqua" w:eastAsia="Book Antiqua" w:hAnsi="Book Antiqua" w:cs="Book Antiqua"/>
          <w:color w:val="000000"/>
        </w:rPr>
        <w:t xml:space="preserve"> with a low blood vitamin D level</w:t>
      </w:r>
      <w:r w:rsidR="003C1CEB" w:rsidRPr="00895F32">
        <w:rPr>
          <w:rFonts w:ascii="Book Antiqua" w:eastAsia="Book Antiqua" w:hAnsi="Book Antiqua" w:cs="Book Antiqua"/>
          <w:color w:val="000000"/>
        </w:rPr>
        <w:t>s</w:t>
      </w:r>
      <w:r w:rsidR="00DE4C5C" w:rsidRPr="00895F32">
        <w:rPr>
          <w:rFonts w:ascii="Book Antiqua" w:eastAsia="Book Antiqua" w:hAnsi="Book Antiqua" w:cs="Book Antiqua"/>
          <w:color w:val="000000"/>
        </w:rPr>
        <w:t xml:space="preserve"> have worse prognoses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significantly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CRP,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DE4C5C"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marker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inflammation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storm,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highly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expressed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in COVID</w:t>
      </w:r>
      <w:r w:rsidR="007E0689" w:rsidRPr="00895F32">
        <w:rPr>
          <w:rFonts w:ascii="Book Antiqua" w:eastAsia="Book Antiqua" w:hAnsi="Book Antiqua" w:cs="Book Antiqua"/>
          <w:color w:val="000000"/>
        </w:rPr>
        <w:t>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24E2D" w:rsidRPr="00895F32">
        <w:rPr>
          <w:rFonts w:ascii="Book Antiqua" w:eastAsia="Book Antiqua" w:hAnsi="Book Antiqua" w:cs="Book Antiqua"/>
          <w:color w:val="000000"/>
        </w:rPr>
        <w:t xml:space="preserve">patients with severe </w:t>
      </w:r>
      <w:r w:rsidR="007E0689" w:rsidRPr="00895F32">
        <w:rPr>
          <w:rFonts w:ascii="Book Antiqua" w:eastAsia="Book Antiqua" w:hAnsi="Book Antiqua" w:cs="Book Antiqua"/>
          <w:color w:val="000000"/>
        </w:rPr>
        <w:t>symptoms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correlate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deficiency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Therefore,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adjuvant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therapeutic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treatment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novel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virus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Ongoing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trials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61-66]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presented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1.</w:t>
      </w:r>
    </w:p>
    <w:p w14:paraId="528B4D1A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519BC2E" w14:textId="65F4378C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</w:p>
    <w:p w14:paraId="07551378" w14:textId="27FC007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role,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maintains</w:t>
      </w:r>
      <w:r w:rsidR="00EB02DA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A3E42" w:rsidRPr="00895F32">
        <w:rPr>
          <w:rFonts w:ascii="Book Antiqua" w:eastAsia="Book Antiqua" w:hAnsi="Book Antiqua" w:cs="Book Antiqua"/>
          <w:color w:val="000000"/>
        </w:rPr>
        <w:t>cellular</w:t>
      </w:r>
      <w:r w:rsidR="00EB02DA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redox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A3E42" w:rsidRPr="00895F32">
        <w:rPr>
          <w:rFonts w:ascii="Book Antiqua" w:eastAsia="Book Antiqua" w:hAnsi="Book Antiqua" w:cs="Book Antiqua"/>
          <w:color w:val="000000"/>
        </w:rPr>
        <w:t>balance</w:t>
      </w:r>
      <w:r w:rsidR="00EB02DA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A3E42" w:rsidRPr="00895F32">
        <w:rPr>
          <w:rFonts w:ascii="Book Antiqua" w:eastAsia="Book Antiqua" w:hAnsi="Book Antiqua" w:cs="Book Antiqua"/>
          <w:color w:val="000000"/>
        </w:rPr>
        <w:t xml:space="preserve">free radicals </w:t>
      </w:r>
      <w:r w:rsidR="00EB02DA" w:rsidRPr="00895F32">
        <w:rPr>
          <w:rFonts w:ascii="Book Antiqua" w:hAnsi="Book Antiqua" w:cs="Arial"/>
          <w:color w:val="4D5156"/>
          <w:shd w:val="clear" w:color="auto" w:fill="FFFFFF"/>
        </w:rPr>
        <w:t>(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RNS</w:t>
      </w:r>
      <w:r w:rsidR="00EB02DA" w:rsidRPr="00895F32">
        <w:rPr>
          <w:rFonts w:ascii="Book Antiqua" w:eastAsia="Book Antiqua" w:hAnsi="Book Antiqua" w:cs="Book Antiqua"/>
          <w:color w:val="000000"/>
        </w:rPr>
        <w:t xml:space="preserve">)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3A3E42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A3E42" w:rsidRPr="00895F32">
        <w:rPr>
          <w:rFonts w:ascii="Book Antiqua" w:eastAsia="Book Antiqua" w:hAnsi="Book Antiqua" w:cs="Book Antiqua"/>
          <w:color w:val="000000"/>
        </w:rPr>
        <w:t>fight</w:t>
      </w:r>
      <w:r w:rsidR="000A578B" w:rsidRPr="000A578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A578B" w:rsidRPr="000A578B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0A578B">
        <w:rPr>
          <w:rFonts w:ascii="Book Antiqua" w:eastAsia="Book Antiqua" w:hAnsi="Book Antiqua" w:cs="Book Antiqua"/>
          <w:color w:val="000000"/>
        </w:rPr>
        <w:t>.</w:t>
      </w:r>
      <w:r w:rsidR="00AD58AE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D7475E">
        <w:rPr>
          <w:rFonts w:ascii="Book Antiqua" w:eastAsia="Book Antiqua" w:hAnsi="Book Antiqua" w:cs="Book Antiqua"/>
        </w:rPr>
        <w:t>Also,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vitamin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C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regenerates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="001B729B" w:rsidRPr="00D7475E">
        <w:rPr>
          <w:rFonts w:ascii="Book Antiqua" w:hAnsi="Book Antiqua"/>
          <w:shd w:val="clear" w:color="auto" w:fill="FFFFFF"/>
        </w:rPr>
        <w:t xml:space="preserve">oxidized </w:t>
      </w:r>
      <w:r w:rsidRPr="00D7475E">
        <w:rPr>
          <w:rFonts w:ascii="Book Antiqua" w:eastAsia="Book Antiqua" w:hAnsi="Book Antiqua" w:cs="Book Antiqua"/>
        </w:rPr>
        <w:t>vitamin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E,</w:t>
      </w:r>
      <w:r w:rsidR="001B729B" w:rsidRPr="00D7475E">
        <w:rPr>
          <w:rFonts w:ascii="Book Antiqua" w:eastAsia="Book Antiqua" w:hAnsi="Book Antiqua" w:cs="Book Antiqua"/>
        </w:rPr>
        <w:t xml:space="preserve"> GSH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="001B729B" w:rsidRPr="00D7475E">
        <w:rPr>
          <w:rFonts w:ascii="Book Antiqua" w:hAnsi="Book Antiqua"/>
          <w:shd w:val="clear" w:color="auto" w:fill="FFFFFF"/>
        </w:rPr>
        <w:t>and carotenoids</w:t>
      </w:r>
      <w:r w:rsidR="001B729B" w:rsidRPr="00D7475E">
        <w:rPr>
          <w:rFonts w:ascii="Book Antiqua" w:eastAsia="Book Antiqua" w:hAnsi="Book Antiqua" w:cs="Book Antiqua"/>
        </w:rPr>
        <w:t xml:space="preserve">, </w:t>
      </w:r>
      <w:r w:rsidRPr="00D7475E">
        <w:rPr>
          <w:rFonts w:ascii="Book Antiqua" w:eastAsia="Book Antiqua" w:hAnsi="Book Antiqua" w:cs="Book Antiqua"/>
        </w:rPr>
        <w:t>mod</w:t>
      </w:r>
      <w:r w:rsidR="001B729B" w:rsidRPr="00D7475E">
        <w:rPr>
          <w:rFonts w:ascii="Book Antiqua" w:eastAsia="Book Antiqua" w:hAnsi="Book Antiqua" w:cs="Book Antiqua"/>
        </w:rPr>
        <w:t xml:space="preserve">ifies </w:t>
      </w:r>
      <w:r w:rsidR="001B729B" w:rsidRPr="00D7475E">
        <w:rPr>
          <w:rFonts w:ascii="Book Antiqua" w:hAnsi="Book Antiqua" w:cs="Arial"/>
          <w:shd w:val="clear" w:color="auto" w:fill="FFFFFF"/>
        </w:rPr>
        <w:t>pro-inflammatory </w:t>
      </w:r>
      <w:r w:rsidRPr="00D7475E">
        <w:rPr>
          <w:rFonts w:ascii="Book Antiqua" w:eastAsia="Book Antiqua" w:hAnsi="Book Antiqua" w:cs="Book Antiqua"/>
        </w:rPr>
        <w:t>cytokine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production,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D7475E">
        <w:rPr>
          <w:rFonts w:ascii="Book Antiqua" w:eastAsia="Book Antiqua" w:hAnsi="Book Antiqua" w:cs="Book Antiqua"/>
        </w:rPr>
        <w:t>and</w:t>
      </w:r>
      <w:r w:rsidR="005B1516" w:rsidRPr="00D7475E">
        <w:rPr>
          <w:rFonts w:ascii="Book Antiqua" w:eastAsia="Book Antiqua" w:hAnsi="Book Antiqua" w:cs="Book Antiqua"/>
        </w:rPr>
        <w:t xml:space="preserve"> lower </w:t>
      </w:r>
      <w:r w:rsidR="004E63CF" w:rsidRPr="00D7475E">
        <w:rPr>
          <w:rFonts w:ascii="Book Antiqua" w:eastAsia="Book Antiqua" w:hAnsi="Book Antiqua" w:cs="Book Antiqua"/>
        </w:rPr>
        <w:t>blood</w:t>
      </w:r>
      <w:r w:rsidR="00EF3EF2" w:rsidRPr="00D7475E">
        <w:rPr>
          <w:rFonts w:ascii="Book Antiqua" w:eastAsia="Book Antiqua" w:hAnsi="Book Antiqua" w:cs="Book Antiqua"/>
        </w:rPr>
        <w:t xml:space="preserve"> histamine</w:t>
      </w:r>
      <w:r w:rsidR="007E2BDA" w:rsidRPr="00D7475E">
        <w:rPr>
          <w:rFonts w:ascii="Book Antiqua" w:eastAsia="Book Antiqua" w:hAnsi="Book Antiqua" w:cs="Book Antiqua"/>
        </w:rPr>
        <w:t>.</w:t>
      </w:r>
      <w:r w:rsidR="005B1516" w:rsidRPr="00D7475E">
        <w:rPr>
          <w:rFonts w:ascii="Book Antiqua" w:eastAsia="Book Antiqua" w:hAnsi="Book Antiqua" w:cs="Book Antiqua"/>
        </w:rPr>
        <w:t xml:space="preserve"> </w:t>
      </w:r>
      <w:r w:rsidR="004E63CF" w:rsidRPr="00D7475E">
        <w:rPr>
          <w:rFonts w:ascii="Book Antiqua" w:eastAsia="Book Antiqua" w:hAnsi="Book Antiqua" w:cs="Book Antiqua"/>
        </w:rPr>
        <w:t xml:space="preserve">The meta-analysis </w:t>
      </w:r>
      <w:r w:rsidR="004E63CF" w:rsidRPr="00895F32">
        <w:rPr>
          <w:rFonts w:ascii="Book Antiqua" w:eastAsia="Book Antiqua" w:hAnsi="Book Antiqua" w:cs="Book Antiqua"/>
          <w:color w:val="000000"/>
        </w:rPr>
        <w:t xml:space="preserve">reported </w:t>
      </w:r>
      <w:r w:rsidR="00897C5A" w:rsidRPr="00895F32">
        <w:rPr>
          <w:rFonts w:ascii="Book Antiqua" w:eastAsia="Book Antiqua" w:hAnsi="Book Antiqua" w:cs="Book Antiqua"/>
          <w:color w:val="000000"/>
        </w:rPr>
        <w:t xml:space="preserve">that </w:t>
      </w:r>
      <w:r w:rsidR="00E70A8C" w:rsidRPr="00895F32">
        <w:rPr>
          <w:rFonts w:ascii="Book Antiqua" w:eastAsia="Book Antiqua" w:hAnsi="Book Antiqua" w:cs="Book Antiqua"/>
          <w:color w:val="000000"/>
        </w:rPr>
        <w:t>a</w:t>
      </w:r>
      <w:r w:rsidRPr="00895F32">
        <w:rPr>
          <w:rFonts w:ascii="Book Antiqua" w:eastAsia="Book Antiqua" w:hAnsi="Book Antiqua" w:cs="Book Antiqua"/>
          <w:color w:val="000000"/>
        </w:rPr>
        <w:t>dministration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70A8C" w:rsidRPr="00895F32">
        <w:rPr>
          <w:rFonts w:ascii="Book Antiqua" w:eastAsia="Book Antiqua" w:hAnsi="Book Antiqua" w:cs="Book Antiqua"/>
          <w:color w:val="000000"/>
        </w:rPr>
        <w:t xml:space="preserve">high doses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of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was </w:t>
      </w:r>
      <w:r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70A8C" w:rsidRPr="00895F32">
        <w:rPr>
          <w:rFonts w:ascii="Book Antiqua" w:eastAsia="Book Antiqua" w:hAnsi="Book Antiqua" w:cs="Book Antiqua"/>
          <w:color w:val="000000"/>
        </w:rPr>
        <w:t xml:space="preserve">with a reduction </w:t>
      </w:r>
      <w:r w:rsidR="00E70A8C" w:rsidRPr="00895F32">
        <w:rPr>
          <w:rFonts w:ascii="Book Antiqua" w:eastAsia="Book Antiqua" w:hAnsi="Book Antiqua" w:cs="Book Antiqua"/>
          <w:color w:val="000000"/>
        </w:rPr>
        <w:lastRenderedPageBreak/>
        <w:t xml:space="preserve">in-hospital </w:t>
      </w:r>
      <w:r w:rsidRPr="00895F32">
        <w:rPr>
          <w:rFonts w:ascii="Book Antiqua" w:eastAsia="Book Antiqua" w:hAnsi="Book Antiqua" w:cs="Book Antiqua"/>
          <w:color w:val="000000"/>
        </w:rPr>
        <w:t>mortality</w:t>
      </w:r>
      <w:r w:rsidR="00E70A8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70351" w:rsidRPr="00895F32">
        <w:rPr>
          <w:rFonts w:ascii="Book Antiqua" w:eastAsia="Book Antiqua" w:hAnsi="Book Antiqua" w:cs="Book Antiqua"/>
          <w:color w:val="000000"/>
        </w:rPr>
        <w:t>among 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sepsis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86F0C" w:rsidRPr="00895F32">
        <w:rPr>
          <w:rFonts w:ascii="Book Antiqua" w:eastAsia="Book Antiqua" w:hAnsi="Book Antiqua" w:cs="Book Antiqua"/>
          <w:color w:val="000000"/>
        </w:rPr>
        <w:t xml:space="preserve">The hepatoprotective property of water soluble vitamin C is attributed to its antioxidant action, </w:t>
      </w:r>
      <w:r w:rsidRPr="00895F32">
        <w:rPr>
          <w:rFonts w:ascii="Book Antiqua" w:eastAsia="Book Antiqua" w:hAnsi="Book Antiqua" w:cs="Book Antiqua"/>
          <w:color w:val="000000"/>
        </w:rPr>
        <w:t>Animal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models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strong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significantly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decreases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markers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ballooning,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F2CC5" w:rsidRPr="00895F32">
        <w:rPr>
          <w:rFonts w:ascii="Book Antiqua" w:eastAsia="Book Antiqua" w:hAnsi="Book Antiqua" w:cs="Book Antiqua"/>
          <w:color w:val="000000"/>
        </w:rPr>
        <w:t>pro</w:t>
      </w:r>
      <w:r w:rsidRPr="00895F32">
        <w:rPr>
          <w:rFonts w:ascii="Book Antiqua" w:eastAsia="Book Antiqua" w:hAnsi="Book Antiqua" w:cs="Book Antiqua"/>
          <w:color w:val="000000"/>
        </w:rPr>
        <w:t>oxid</w:t>
      </w:r>
      <w:r w:rsidR="004F2CC5" w:rsidRPr="00895F32">
        <w:rPr>
          <w:rFonts w:ascii="Book Antiqua" w:eastAsia="Book Antiqua" w:hAnsi="Book Antiqua" w:cs="Book Antiqua"/>
          <w:color w:val="000000"/>
        </w:rPr>
        <w:t xml:space="preserve">ant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potential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is </w:t>
      </w:r>
      <w:r w:rsidRPr="00895F32">
        <w:rPr>
          <w:rFonts w:ascii="Book Antiqua" w:eastAsia="Book Antiqua" w:hAnsi="Book Antiqua" w:cs="Book Antiqua"/>
          <w:color w:val="000000"/>
        </w:rPr>
        <w:t>enhanced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A4754" w:rsidRPr="00895F32">
        <w:rPr>
          <w:rFonts w:ascii="Book Antiqua" w:eastAsia="Book Antiqua" w:hAnsi="Book Antiqua" w:cs="Book Antiqua"/>
          <w:color w:val="000000"/>
        </w:rPr>
        <w:t>i</w:t>
      </w:r>
      <w:r w:rsidRPr="00895F32">
        <w:rPr>
          <w:rFonts w:ascii="Book Antiqua" w:eastAsia="Book Antiqua" w:hAnsi="Book Antiqua" w:cs="Book Antiqua"/>
          <w:color w:val="000000"/>
        </w:rPr>
        <w:t>ron</w:t>
      </w:r>
      <w:r w:rsidR="00EA4754" w:rsidRPr="00895F32">
        <w:rPr>
          <w:rFonts w:ascii="Book Antiqua" w:eastAsia="Book Antiqua" w:hAnsi="Book Antiqua" w:cs="Book Antiqua"/>
          <w:color w:val="000000"/>
        </w:rPr>
        <w:t xml:space="preserve"> and </w:t>
      </w:r>
      <w:r w:rsidR="009A7DCA" w:rsidRPr="00895F32">
        <w:rPr>
          <w:rFonts w:ascii="Book Antiqua" w:eastAsia="Book Antiqua" w:hAnsi="Book Antiqua" w:cs="Book Antiqua"/>
          <w:color w:val="000000"/>
        </w:rPr>
        <w:t>c</w:t>
      </w:r>
      <w:r w:rsidR="003C1CEB" w:rsidRPr="00895F32">
        <w:rPr>
          <w:rFonts w:ascii="Book Antiqua" w:eastAsia="Book Antiqua" w:hAnsi="Book Antiqua" w:cs="Book Antiqua"/>
          <w:color w:val="000000"/>
        </w:rPr>
        <w:t>o</w:t>
      </w:r>
      <w:r w:rsidR="009A7DCA" w:rsidRPr="00895F32">
        <w:rPr>
          <w:rFonts w:ascii="Book Antiqua" w:eastAsia="Book Antiqua" w:hAnsi="Book Antiqua" w:cs="Book Antiqua"/>
          <w:color w:val="000000"/>
        </w:rPr>
        <w:t>pper</w:t>
      </w:r>
      <w:r w:rsidR="00ED025C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300DF" w:rsidRPr="00895F32">
        <w:rPr>
          <w:rFonts w:ascii="Book Antiqua" w:eastAsia="Book Antiqua" w:hAnsi="Book Antiqua" w:cs="Book Antiqua"/>
          <w:color w:val="000000"/>
        </w:rPr>
        <w:t>catalyst</w:t>
      </w:r>
      <w:r w:rsidR="003C1CEB" w:rsidRPr="00895F32">
        <w:rPr>
          <w:rFonts w:ascii="Book Antiqua" w:eastAsia="Book Antiqua" w:hAnsi="Book Antiqua" w:cs="Book Antiqua"/>
          <w:color w:val="000000"/>
        </w:rPr>
        <w:t>s</w:t>
      </w:r>
      <w:r w:rsidR="005300DF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300DF" w:rsidRPr="00D7475E">
        <w:rPr>
          <w:rFonts w:ascii="Book Antiqua" w:eastAsia="Book Antiqua" w:hAnsi="Book Antiqua" w:cs="Book Antiqua"/>
          <w:i/>
          <w:iCs/>
        </w:rPr>
        <w:t>in vitro</w:t>
      </w:r>
      <w:r w:rsidR="005300DF" w:rsidRPr="00D7475E">
        <w:rPr>
          <w:rFonts w:ascii="Book Antiqua" w:eastAsia="Book Antiqua" w:hAnsi="Book Antiqua" w:cs="Book Antiqua"/>
        </w:rPr>
        <w:t>.</w:t>
      </w:r>
      <w:r w:rsidR="005C44A6" w:rsidRPr="00D7475E">
        <w:rPr>
          <w:rFonts w:ascii="Book Antiqua" w:eastAsia="Book Antiqua" w:hAnsi="Book Antiqua" w:cs="Book Antiqua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Through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Fenton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reaction,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resulting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="00B25CFA" w:rsidRPr="00895F32">
        <w:rPr>
          <w:rFonts w:ascii="Book Antiqua" w:eastAsia="Book Antiqua" w:hAnsi="Book Antiqua" w:cs="Book Antiqua"/>
          <w:color w:val="000000"/>
        </w:rPr>
        <w:t xml:space="preserve">formation of </w:t>
      </w:r>
      <w:r w:rsidR="00BA22D1" w:rsidRPr="00895F32">
        <w:rPr>
          <w:rFonts w:ascii="Book Antiqua" w:eastAsia="Book Antiqua" w:hAnsi="Book Antiqua" w:cs="Book Antiqua"/>
          <w:color w:val="000000"/>
        </w:rPr>
        <w:t xml:space="preserve">hydroxyl radicals from </w:t>
      </w:r>
      <w:r w:rsidRPr="00895F32">
        <w:rPr>
          <w:rFonts w:ascii="Book Antiqua" w:eastAsia="Book Antiqua" w:hAnsi="Book Antiqua" w:cs="Book Antiqua"/>
          <w:color w:val="000000"/>
        </w:rPr>
        <w:t>hydrogen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peroxide</w:t>
      </w:r>
      <w:r w:rsidR="00BA22D1" w:rsidRPr="00895F32">
        <w:rPr>
          <w:rFonts w:ascii="Book Antiqua" w:eastAsia="Book Antiqua" w:hAnsi="Book Antiqua" w:cs="Book Antiqua"/>
          <w:color w:val="000000"/>
        </w:rPr>
        <w:t>.</w:t>
      </w:r>
      <w:r w:rsidR="003817E5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intake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choice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early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treatment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[70,71]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895F32">
        <w:rPr>
          <w:rFonts w:ascii="Book Antiqua" w:eastAsia="Book Antiqua" w:hAnsi="Book Antiqua" w:cs="Book Antiqua"/>
          <w:color w:val="000000"/>
        </w:rPr>
        <w:t>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46010" w:rsidRPr="00895F32">
        <w:rPr>
          <w:rFonts w:ascii="Book Antiqua" w:eastAsia="Book Antiqua" w:hAnsi="Book Antiqua" w:cs="Book Antiqua"/>
          <w:color w:val="000000"/>
        </w:rPr>
        <w:t xml:space="preserve">studies </w:t>
      </w:r>
      <w:r w:rsidRPr="00895F32">
        <w:rPr>
          <w:rFonts w:ascii="Book Antiqua" w:eastAsia="Book Antiqua" w:hAnsi="Book Antiqua" w:cs="Book Antiqua"/>
          <w:color w:val="000000"/>
        </w:rPr>
        <w:t>evaluating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infusion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46010" w:rsidRPr="00895F32">
        <w:rPr>
          <w:rFonts w:ascii="Book Antiqua" w:eastAsia="Book Antiqua" w:hAnsi="Book Antiqua" w:cs="Book Antiqua"/>
          <w:color w:val="000000"/>
        </w:rPr>
        <w:t xml:space="preserve">patients </w:t>
      </w:r>
      <w:r w:rsidR="007E2BDA" w:rsidRPr="00895F32">
        <w:rPr>
          <w:rFonts w:ascii="Book Antiqua" w:eastAsia="Book Antiqua" w:hAnsi="Book Antiqua" w:cs="Book Antiqua"/>
          <w:color w:val="000000"/>
        </w:rPr>
        <w:t>with COVID</w:t>
      </w:r>
      <w:r w:rsidRPr="00895F32">
        <w:rPr>
          <w:rFonts w:ascii="Book Antiqua" w:eastAsia="Book Antiqua" w:hAnsi="Book Antiqua" w:cs="Book Antiqua"/>
          <w:color w:val="000000"/>
        </w:rPr>
        <w:t>-19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 are in progress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)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72-76]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indisputable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consumption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citrus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fruits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vegetables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contain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supporting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system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pandemic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65D8A581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522792" w14:textId="0823868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</w:p>
    <w:p w14:paraId="38E4C3B9" w14:textId="7AA0B52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a </w:t>
      </w:r>
      <w:r w:rsidR="00570351" w:rsidRPr="00895F32">
        <w:rPr>
          <w:rFonts w:ascii="Book Antiqua" w:eastAsia="Book Antiqua" w:hAnsi="Book Antiqua" w:cs="Book Antiqua"/>
          <w:bCs/>
          <w:color w:val="000000"/>
        </w:rPr>
        <w:t>well</w:t>
      </w:r>
      <w:r w:rsidR="00570351" w:rsidRPr="00895F32">
        <w:rPr>
          <w:rFonts w:ascii="Book Antiqua" w:eastAsia="Book Antiqua" w:hAnsi="Book Antiqua" w:cs="Book Antiqua"/>
          <w:color w:val="000000"/>
        </w:rPr>
        <w:t>-known</w:t>
      </w:r>
      <w:r w:rsidR="0084661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fat-soluble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vitamin, with a high </w:t>
      </w:r>
      <w:r w:rsidR="006A4449" w:rsidRPr="00895F32">
        <w:rPr>
          <w:rFonts w:ascii="Book Antiqua" w:eastAsia="Book Antiqua" w:hAnsi="Book Antiqua" w:cs="Book Antiqua"/>
          <w:color w:val="000000"/>
        </w:rPr>
        <w:t>antioxidant</w:t>
      </w:r>
      <w:r w:rsidR="003C1CEB" w:rsidRPr="00895F32">
        <w:rPr>
          <w:rFonts w:ascii="Book Antiqua" w:eastAsia="Book Antiqua" w:hAnsi="Book Antiqua" w:cs="Book Antiqua"/>
          <w:color w:val="000000"/>
        </w:rPr>
        <w:t xml:space="preserve"> potential</w:t>
      </w:r>
      <w:r w:rsidR="00AE4A88" w:rsidRPr="00895F32">
        <w:rPr>
          <w:rFonts w:ascii="Book Antiqua" w:eastAsia="Book Antiqua" w:hAnsi="Book Antiqua" w:cs="Book Antiqua"/>
          <w:color w:val="000000"/>
        </w:rPr>
        <w:t xml:space="preserve">, </w:t>
      </w:r>
      <w:r w:rsidR="00AE431F" w:rsidRPr="00895F32">
        <w:rPr>
          <w:rFonts w:ascii="Book Antiqua" w:eastAsia="Book Antiqua" w:hAnsi="Book Antiqua" w:cs="Book Antiqua"/>
          <w:color w:val="000000"/>
        </w:rPr>
        <w:t>which combats free radicals by a</w:t>
      </w:r>
      <w:r w:rsidR="00AE4A88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A4449" w:rsidRPr="00895F32">
        <w:rPr>
          <w:rFonts w:ascii="Book Antiqua" w:eastAsia="Book Antiqua" w:hAnsi="Book Antiqua" w:cs="Book Antiqua"/>
          <w:color w:val="000000"/>
        </w:rPr>
        <w:t xml:space="preserve">chain-breaking effect and </w:t>
      </w:r>
      <w:r w:rsidRPr="00895F32">
        <w:rPr>
          <w:rFonts w:ascii="Book Antiqua" w:eastAsia="Book Antiqua" w:hAnsi="Book Antiqua" w:cs="Book Antiqua"/>
          <w:color w:val="000000"/>
        </w:rPr>
        <w:t>protects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E431F" w:rsidRPr="00895F32">
        <w:rPr>
          <w:rFonts w:ascii="Book Antiqua" w:eastAsia="Book Antiqua" w:hAnsi="Book Antiqua" w:cs="Book Antiqua"/>
          <w:color w:val="000000"/>
        </w:rPr>
        <w:t xml:space="preserve">from oxidative damage. </w:t>
      </w:r>
      <w:r w:rsidRPr="00895F32">
        <w:rPr>
          <w:rFonts w:ascii="Book Antiqua" w:eastAsia="Book Antiqua" w:hAnsi="Book Antiqua" w:cs="Book Antiqua"/>
          <w:color w:val="000000"/>
        </w:rPr>
        <w:t>Also,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enhances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A4449" w:rsidRPr="00895F32">
        <w:rPr>
          <w:rFonts w:ascii="Book Antiqua" w:eastAsia="Book Antiqua" w:hAnsi="Book Antiqua" w:cs="Book Antiqua"/>
          <w:color w:val="000000"/>
        </w:rPr>
        <w:t xml:space="preserve">of IL-2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F7656" w:rsidRPr="00895F32">
        <w:rPr>
          <w:rFonts w:ascii="Book Antiqua" w:eastAsia="Book Antiqua" w:hAnsi="Book Antiqua" w:cs="Book Antiqua"/>
          <w:color w:val="000000"/>
        </w:rPr>
        <w:t xml:space="preserve">reduces </w:t>
      </w:r>
      <w:r w:rsidRPr="00895F32">
        <w:rPr>
          <w:rFonts w:ascii="Book Antiqua" w:eastAsia="Book Antiqua" w:hAnsi="Book Antiqua" w:cs="Book Antiqua"/>
          <w:color w:val="000000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prostaglandin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6A4449" w:rsidRPr="00895F32">
        <w:rPr>
          <w:rFonts w:ascii="Book Antiqua" w:eastAsia="Book Antiqua" w:hAnsi="Book Antiqua" w:cs="Book Antiqua"/>
          <w:color w:val="000000"/>
        </w:rPr>
        <w:t xml:space="preserve">. Thus, vitamin E </w:t>
      </w:r>
      <w:r w:rsidRPr="00895F32">
        <w:rPr>
          <w:rFonts w:ascii="Book Antiqua" w:eastAsia="Book Antiqua" w:hAnsi="Book Antiqua" w:cs="Book Antiqua"/>
          <w:color w:val="000000"/>
        </w:rPr>
        <w:t>indirectly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F7656" w:rsidRPr="00895F32">
        <w:rPr>
          <w:rFonts w:ascii="Book Antiqua" w:eastAsia="Book Antiqua" w:hAnsi="Book Antiqua" w:cs="Book Antiqua"/>
          <w:color w:val="000000"/>
        </w:rPr>
        <w:t xml:space="preserve">saves </w:t>
      </w:r>
      <w:r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function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F7656" w:rsidRPr="00895F32">
        <w:rPr>
          <w:rFonts w:ascii="Book Antiqua" w:eastAsia="Book Antiqua" w:hAnsi="Book Antiqua" w:cs="Book Antiqua"/>
          <w:color w:val="000000"/>
        </w:rPr>
        <w:t xml:space="preserve">In addition, </w:t>
      </w:r>
      <w:r w:rsidR="00C54BB9" w:rsidRPr="00895F32">
        <w:rPr>
          <w:rFonts w:ascii="Book Antiqua" w:eastAsia="Book Antiqua" w:hAnsi="Book Antiqua" w:cs="Book Antiqua"/>
          <w:color w:val="000000"/>
        </w:rPr>
        <w:t xml:space="preserve">blood level of vitamin E inversely correlates with the number of products of oxidative stress, which is in </w:t>
      </w:r>
      <w:r w:rsidR="00570351" w:rsidRPr="00895F32">
        <w:rPr>
          <w:rFonts w:ascii="Book Antiqua" w:eastAsia="Book Antiqua" w:hAnsi="Book Antiqua" w:cs="Book Antiqua"/>
          <w:color w:val="000000"/>
        </w:rPr>
        <w:t xml:space="preserve">line </w:t>
      </w:r>
      <w:r w:rsidR="00570351" w:rsidRPr="00895F32" w:rsidDel="00C54BB9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E6CA0" w:rsidRPr="00895F32">
        <w:rPr>
          <w:rFonts w:ascii="Book Antiqua" w:eastAsia="Book Antiqua" w:hAnsi="Book Antiqua" w:cs="Book Antiqua"/>
          <w:color w:val="000000"/>
        </w:rPr>
        <w:t xml:space="preserve">degree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D1216" w:rsidRPr="00895F32">
        <w:rPr>
          <w:rFonts w:ascii="Book Antiqua" w:eastAsia="Book Antiqua" w:hAnsi="Book Antiqua" w:cs="Book Antiqua"/>
          <w:color w:val="000000"/>
        </w:rPr>
        <w:t>injury</w:t>
      </w:r>
      <w:r w:rsidR="00C54BB9" w:rsidRPr="00895F32">
        <w:rPr>
          <w:rFonts w:ascii="Book Antiqua" w:eastAsia="Book Antiqua" w:hAnsi="Book Antiqua" w:cs="Book Antiqua"/>
          <w:color w:val="000000"/>
        </w:rPr>
        <w:t>.</w:t>
      </w:r>
      <w:r w:rsidR="00AE4A88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action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derivatives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integrity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membrane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adaptive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638F0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Natural isomers of vitamin E, α and γ </w:t>
      </w:r>
      <w:r w:rsidR="0057035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tocopherols also</w:t>
      </w:r>
      <w:r w:rsidR="00C54BB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have</w:t>
      </w:r>
      <w:r w:rsidR="001B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scavenging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4BB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5531D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1F7D33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7D33" w:rsidRPr="00895F32">
        <w:rPr>
          <w:rFonts w:ascii="Book Antiqua" w:eastAsia="Book Antiqua" w:hAnsi="Book Antiqua" w:cs="Book Antiqua"/>
          <w:color w:val="000000"/>
        </w:rPr>
        <w:t>v</w:t>
      </w:r>
      <w:r w:rsidRPr="00895F32">
        <w:rPr>
          <w:rFonts w:ascii="Book Antiqua" w:eastAsia="Book Antiqua" w:hAnsi="Book Antiqua" w:cs="Book Antiqua"/>
          <w:color w:val="000000"/>
        </w:rPr>
        <w:t>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F7D33" w:rsidRPr="00895F32">
        <w:rPr>
          <w:rFonts w:ascii="Book Antiqua" w:eastAsia="Book Antiqua" w:hAnsi="Book Antiqua" w:cs="Book Antiqua"/>
          <w:color w:val="000000"/>
        </w:rPr>
        <w:t>with vitamin C</w:t>
      </w:r>
      <w:r w:rsidR="00885D6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alone,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885D64" w:rsidRPr="00895F32">
        <w:rPr>
          <w:rFonts w:ascii="Book Antiqua" w:hAnsi="Book Antiqua"/>
        </w:rPr>
        <w:t>facilitate</w:t>
      </w:r>
      <w:r w:rsidR="00C54BB9" w:rsidRPr="00895F32">
        <w:rPr>
          <w:rFonts w:ascii="Book Antiqua" w:hAnsi="Book Antiqua"/>
        </w:rPr>
        <w:t>s</w:t>
      </w:r>
      <w:r w:rsidR="00885D64" w:rsidRPr="00895F32">
        <w:rPr>
          <w:rFonts w:ascii="Book Antiqua" w:hAnsi="Book Antiqua"/>
        </w:rPr>
        <w:t xml:space="preserve"> the removal of </w:t>
      </w:r>
      <w:r w:rsidRPr="00895F32">
        <w:rPr>
          <w:rFonts w:ascii="Book Antiqua" w:eastAsia="Book Antiqua" w:hAnsi="Book Antiqua" w:cs="Book Antiqua"/>
          <w:color w:val="000000"/>
        </w:rPr>
        <w:t>free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radicals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885D64" w:rsidRPr="00895F32">
        <w:rPr>
          <w:rFonts w:ascii="Book Antiqua" w:eastAsia="Book Antiqua" w:hAnsi="Book Antiqua" w:cs="Book Antiqua"/>
          <w:color w:val="000000"/>
        </w:rPr>
        <w:t xml:space="preserve">formed </w:t>
      </w:r>
      <w:r w:rsidR="00570351" w:rsidRPr="00895F32">
        <w:rPr>
          <w:rFonts w:ascii="Book Antiqua" w:eastAsia="Book Antiqua" w:hAnsi="Book Antiqua" w:cs="Book Antiqua"/>
          <w:color w:val="000000"/>
        </w:rPr>
        <w:t>in 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tissue</w:t>
      </w:r>
      <w:r w:rsidR="00570351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meta-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AST,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ALT,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steatosis,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ballooning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normalizing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chronic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injury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600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mg,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800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IU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recommended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nondiabetic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nonalcoholic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steatohepatitis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known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NASH)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[80,81]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Sahin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IU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800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IJ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infections.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E1018" w:rsidRPr="00895F32">
        <w:rPr>
          <w:rFonts w:ascii="Book Antiqua" w:eastAsia="Book Antiqua" w:hAnsi="Book Antiqua" w:cs="Book Antiqua"/>
          <w:color w:val="000000"/>
        </w:rPr>
        <w:t>V</w:t>
      </w:r>
      <w:r w:rsidRPr="00895F32">
        <w:rPr>
          <w:rFonts w:ascii="Book Antiqua" w:eastAsia="Book Antiqua" w:hAnsi="Book Antiqua" w:cs="Book Antiqua"/>
          <w:color w:val="000000"/>
        </w:rPr>
        <w:t>itamins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E1018" w:rsidRPr="00895F32">
        <w:rPr>
          <w:rFonts w:ascii="Book Antiqua" w:eastAsia="Book Antiqua" w:hAnsi="Book Antiqua" w:cs="Book Antiqua"/>
          <w:color w:val="000000"/>
        </w:rPr>
        <w:t xml:space="preserve">in combination </w:t>
      </w:r>
      <w:r w:rsidRPr="00895F32">
        <w:rPr>
          <w:rFonts w:ascii="Book Antiqua" w:eastAsia="Book Antiqua" w:hAnsi="Book Antiqua" w:cs="Book Antiqua"/>
          <w:color w:val="000000"/>
        </w:rPr>
        <w:t>ha</w:t>
      </w:r>
      <w:r w:rsidR="00C54BB9" w:rsidRPr="00895F32">
        <w:rPr>
          <w:rFonts w:ascii="Book Antiqua" w:eastAsia="Book Antiqua" w:hAnsi="Book Antiqua" w:cs="Book Antiqua"/>
          <w:color w:val="000000"/>
        </w:rPr>
        <w:t>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suggested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E1018" w:rsidRPr="00895F32">
        <w:rPr>
          <w:rFonts w:ascii="Book Antiqua" w:eastAsia="Book Antiqua" w:hAnsi="Book Antiqua" w:cs="Book Antiqua"/>
          <w:color w:val="000000"/>
        </w:rPr>
        <w:t xml:space="preserve">useful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therapy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E1018" w:rsidRPr="00895F32">
        <w:rPr>
          <w:rFonts w:ascii="Book Antiqua" w:eastAsia="Book Antiqua" w:hAnsi="Book Antiqua" w:cs="Book Antiqua"/>
          <w:color w:val="000000"/>
        </w:rPr>
        <w:t xml:space="preserve">in treating </w:t>
      </w:r>
      <w:r w:rsidR="00136433" w:rsidRPr="00895F32">
        <w:rPr>
          <w:rFonts w:ascii="Book Antiqua" w:eastAsia="Book Antiqua" w:hAnsi="Book Antiqua" w:cs="Book Antiqua"/>
          <w:color w:val="000000"/>
        </w:rPr>
        <w:t xml:space="preserve">critically ill COVID-19 patients with </w:t>
      </w:r>
      <w:r w:rsidRPr="00895F32">
        <w:rPr>
          <w:rFonts w:ascii="Book Antiqua" w:eastAsia="Book Antiqua" w:hAnsi="Book Antiqua" w:cs="Book Antiqua"/>
          <w:color w:val="000000"/>
        </w:rPr>
        <w:t>gastric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cardia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complications.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Major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sources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recommended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intake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1.</w:t>
      </w:r>
      <w:r w:rsidR="000E1018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B355F68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0999F266" w14:textId="2D79A445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Vitamins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B6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B12</w:t>
      </w:r>
    </w:p>
    <w:p w14:paraId="71F4EFD2" w14:textId="7698CC84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</w:pP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01C04" w:rsidRPr="00895F32">
        <w:rPr>
          <w:rFonts w:ascii="Book Antiqua" w:eastAsia="Book Antiqua" w:hAnsi="Book Antiqua" w:cs="Book Antiqua"/>
          <w:color w:val="000000"/>
        </w:rPr>
        <w:t xml:space="preserve">essential </w:t>
      </w:r>
      <w:r w:rsidR="00F253EE" w:rsidRPr="00895F32">
        <w:rPr>
          <w:rFonts w:ascii="Book Antiqua" w:eastAsia="Book Antiqua" w:hAnsi="Book Antiqua" w:cs="Book Antiqua"/>
          <w:color w:val="000000"/>
        </w:rPr>
        <w:t>co</w:t>
      </w:r>
      <w:r w:rsidR="00D01C04" w:rsidRPr="00895F32">
        <w:rPr>
          <w:rFonts w:ascii="Book Antiqua" w:eastAsia="Book Antiqua" w:hAnsi="Book Antiqua" w:cs="Book Antiqua"/>
          <w:color w:val="000000"/>
        </w:rPr>
        <w:t xml:space="preserve">factor </w:t>
      </w:r>
      <w:r w:rsidR="00C54BB9" w:rsidRPr="00895F32">
        <w:rPr>
          <w:rFonts w:ascii="Book Antiqua" w:eastAsia="Book Antiqua" w:hAnsi="Book Antiqua" w:cs="Book Antiqua"/>
          <w:color w:val="000000"/>
        </w:rPr>
        <w:t xml:space="preserve">for </w:t>
      </w:r>
      <w:r w:rsidRPr="00895F32">
        <w:rPr>
          <w:rFonts w:ascii="Book Antiqua" w:eastAsia="Book Antiqua" w:hAnsi="Book Antiqua" w:cs="Book Antiqua"/>
          <w:color w:val="000000"/>
        </w:rPr>
        <w:t>metabolism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amino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CE365F" w:rsidRPr="00895F32">
        <w:rPr>
          <w:rFonts w:ascii="Book Antiqua" w:eastAsia="Book Antiqua" w:hAnsi="Book Antiqua" w:cs="Book Antiqua"/>
          <w:color w:val="000000"/>
        </w:rPr>
        <w:t>, which are structural components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</w:rPr>
        <w:t xml:space="preserve">It has been shown that </w:t>
      </w:r>
      <w:r w:rsidRPr="00895F32">
        <w:rPr>
          <w:rFonts w:ascii="Book Antiqua" w:eastAsia="Book Antiqua" w:hAnsi="Book Antiqua" w:cs="Book Antiqua"/>
          <w:color w:val="000000"/>
        </w:rPr>
        <w:t>higher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</w:rPr>
        <w:t xml:space="preserve">of </w:t>
      </w:r>
      <w:r w:rsidR="00B5329D" w:rsidRPr="00895F32">
        <w:rPr>
          <w:rFonts w:ascii="Book Antiqua" w:eastAsia="Book Antiqua" w:hAnsi="Book Antiqua" w:cs="Book Antiqua"/>
          <w:color w:val="000000"/>
        </w:rPr>
        <w:t>vitamin B6, pyridoxal 5'-phosphate (PLP) in plasma</w:t>
      </w:r>
      <w:r w:rsidR="00E94859" w:rsidRPr="00895F32">
        <w:rPr>
          <w:rFonts w:ascii="Book Antiqua" w:eastAsia="Book Antiqua" w:hAnsi="Book Antiqua" w:cs="Book Antiqua"/>
          <w:color w:val="000000"/>
        </w:rPr>
        <w:t xml:space="preserve"> with </w:t>
      </w:r>
      <w:r w:rsidR="00E94859" w:rsidRPr="00895F32">
        <w:rPr>
          <w:rFonts w:ascii="Book Antiqua" w:hAnsi="Book Antiqua" w:cs="Segoe UI"/>
          <w:color w:val="212121"/>
          <w:shd w:val="clear" w:color="auto" w:fill="FFFFFF"/>
        </w:rPr>
        <w:t>parallel reduction in liver PLP</w:t>
      </w:r>
      <w:r w:rsidR="00CE365F" w:rsidRPr="00895F32">
        <w:rPr>
          <w:rFonts w:ascii="Book Antiqua" w:hAnsi="Book Antiqua" w:cs="Segoe UI"/>
          <w:color w:val="212121"/>
          <w:shd w:val="clear" w:color="auto" w:fill="FFFFFF"/>
        </w:rPr>
        <w:t xml:space="preserve"> is</w:t>
      </w:r>
      <w:r w:rsidR="00B5329D" w:rsidRPr="00895F32">
        <w:rPr>
          <w:rFonts w:ascii="Book Antiqua" w:eastAsia="Book Antiqua" w:hAnsi="Book Antiqua" w:cs="Book Antiqua"/>
          <w:color w:val="000000"/>
        </w:rPr>
        <w:t xml:space="preserve"> linked to the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inflammation</w:t>
      </w:r>
      <w:r w:rsidR="00CE365F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E365F" w:rsidRPr="00895F32">
        <w:rPr>
          <w:rFonts w:ascii="Book Antiqua" w:eastAsia="Book Antiqua" w:hAnsi="Book Antiqua" w:cs="Book Antiqua"/>
          <w:color w:val="000000"/>
        </w:rPr>
        <w:t>rate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B5329D" w:rsidRPr="00895F32">
        <w:rPr>
          <w:rFonts w:ascii="Book Antiqua" w:hAnsi="Book Antiqua" w:cs="Segoe UI"/>
          <w:color w:val="212121"/>
          <w:shd w:val="clear" w:color="auto" w:fill="FFFFFF"/>
        </w:rPr>
        <w:t> </w:t>
      </w:r>
      <w:r w:rsidR="00E94859" w:rsidRPr="00895F32">
        <w:rPr>
          <w:rFonts w:ascii="Book Antiqua" w:eastAsia="Book Antiqua" w:hAnsi="Book Antiqua" w:cs="Book Antiqua"/>
          <w:color w:val="000000"/>
        </w:rPr>
        <w:t xml:space="preserve">Adequate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6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(and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12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85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supplementation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85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included in current protocols </w:t>
      </w:r>
      <w:r w:rsidR="007D5A4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the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5A4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order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5A4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1A2E5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homocysteine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2E5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metabolism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5A4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corona virus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64B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Vitamin B6 administration </w:t>
      </w:r>
      <w:r w:rsidR="00A03EA8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F64B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can decrease levels of </w:t>
      </w:r>
      <w:r w:rsidR="006F64B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inflammatory markers such as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TNF-</w:t>
      </w:r>
      <w:r w:rsidR="006F64B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6F64B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proofErr w:type="gramEnd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-6,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as well as</w:t>
      </w:r>
      <w:r w:rsidR="00A03EA8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D-dimer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values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coagulopathy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1356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ethylcobalamin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2BDA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may improve</w:t>
      </w:r>
      <w:r w:rsidR="001356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clinical deterioration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356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during SARS-CoV-2 infection and 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decrease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COVID-19-related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65F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symptoms and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="00135694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12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(500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μg</w:t>
      </w:r>
      <w:proofErr w:type="spellEnd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(1000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IU)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oxygen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</w:p>
    <w:p w14:paraId="5DA8DCA1" w14:textId="77777777" w:rsidR="001B0689" w:rsidRPr="00895F32" w:rsidRDefault="001B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E34040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Zinc</w:t>
      </w:r>
    </w:p>
    <w:p w14:paraId="5F249524" w14:textId="20797778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Zinc</w:t>
      </w:r>
      <w:r w:rsidR="004219DC" w:rsidRPr="00895F32">
        <w:rPr>
          <w:rFonts w:ascii="Book Antiqua" w:eastAsia="Book Antiqua" w:hAnsi="Book Antiqua" w:cs="Book Antiqua"/>
          <w:color w:val="000000"/>
        </w:rPr>
        <w:t xml:space="preserve"> enhances the function of antioxidant proteins and it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_Hlk79253358"/>
      <w:r w:rsidR="00832D11" w:rsidRPr="00895F32">
        <w:rPr>
          <w:rFonts w:ascii="Book Antiqua" w:eastAsia="Book Antiqua" w:hAnsi="Book Antiqua" w:cs="Book Antiqua"/>
          <w:bCs/>
          <w:color w:val="000000"/>
        </w:rPr>
        <w:t>is well</w:t>
      </w:r>
      <w:r w:rsidR="00832D11" w:rsidRPr="00895F32">
        <w:rPr>
          <w:rFonts w:ascii="Book Antiqua" w:eastAsia="Book Antiqua" w:hAnsi="Book Antiqua" w:cs="Book Antiqua"/>
          <w:color w:val="000000"/>
        </w:rPr>
        <w:t xml:space="preserve"> known on its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832D11" w:rsidRPr="00895F32">
        <w:rPr>
          <w:rFonts w:ascii="Book Antiqua" w:eastAsia="Book Antiqua" w:hAnsi="Book Antiqua" w:cs="Book Antiqua"/>
          <w:color w:val="000000"/>
        </w:rPr>
        <w:t xml:space="preserve">activity, including </w:t>
      </w:r>
      <w:bookmarkEnd w:id="2"/>
      <w:r w:rsidRPr="00895F32">
        <w:rPr>
          <w:rFonts w:ascii="Book Antiqua" w:eastAsia="Book Antiqua" w:hAnsi="Book Antiqua" w:cs="Book Antiqua"/>
          <w:color w:val="000000"/>
        </w:rPr>
        <w:t>protect</w:t>
      </w:r>
      <w:r w:rsidR="00832D11" w:rsidRPr="00895F32">
        <w:rPr>
          <w:rFonts w:ascii="Book Antiqua" w:eastAsia="Book Antiqua" w:hAnsi="Book Antiqua" w:cs="Book Antiqua"/>
          <w:color w:val="000000"/>
        </w:rPr>
        <w:t xml:space="preserve">ion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RNS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A37B5" w:rsidRPr="00895F32">
        <w:rPr>
          <w:rFonts w:ascii="Book Antiqua" w:eastAsia="Book Antiqua" w:hAnsi="Book Antiqua" w:cs="Book Antiqua"/>
          <w:color w:val="000000"/>
        </w:rPr>
        <w:t>It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 also has a strong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929DC" w:rsidRPr="00895F32">
        <w:rPr>
          <w:rFonts w:ascii="Book Antiqua" w:eastAsia="Book Antiqua" w:hAnsi="Book Antiqua" w:cs="Book Antiqua"/>
          <w:color w:val="000000"/>
        </w:rPr>
        <w:t>action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929DC" w:rsidRPr="00895F32">
        <w:rPr>
          <w:rFonts w:ascii="Book Antiqua" w:eastAsia="Book Antiqua" w:hAnsi="Book Antiqua" w:cs="Book Antiqua"/>
          <w:color w:val="000000"/>
        </w:rPr>
        <w:t>reduces proliferation of proinflammatory Th17 and Th9 cells</w:t>
      </w:r>
      <w:r w:rsidR="006A37B5" w:rsidRPr="00895F32">
        <w:rPr>
          <w:rFonts w:ascii="Book Antiqua" w:eastAsia="Book Antiqua" w:hAnsi="Book Antiqua" w:cs="Book Antiqua"/>
          <w:color w:val="000000"/>
        </w:rPr>
        <w:t>,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 and </w:t>
      </w:r>
      <w:r w:rsidR="006A37B5" w:rsidRPr="00895F32">
        <w:rPr>
          <w:rFonts w:ascii="Book Antiqua" w:eastAsia="Book Antiqua" w:hAnsi="Book Antiqua" w:cs="Book Antiqua"/>
          <w:color w:val="000000"/>
        </w:rPr>
        <w:t xml:space="preserve">thus 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decreases </w:t>
      </w:r>
      <w:r w:rsidRPr="00895F32">
        <w:rPr>
          <w:rFonts w:ascii="Book Antiqua" w:eastAsia="Book Antiqua" w:hAnsi="Book Antiqua" w:cs="Book Antiqua"/>
          <w:color w:val="000000"/>
        </w:rPr>
        <w:t>release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of proinflammatory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TNF-α, </w:t>
      </w:r>
      <w:r w:rsidRPr="00895F32">
        <w:rPr>
          <w:rFonts w:ascii="Book Antiqua" w:eastAsia="Book Antiqua" w:hAnsi="Book Antiqua" w:cs="Book Antiqua"/>
          <w:color w:val="000000"/>
        </w:rPr>
        <w:t>IL-2</w:t>
      </w:r>
      <w:r w:rsidR="00C929DC" w:rsidRPr="00895F32">
        <w:rPr>
          <w:rFonts w:ascii="Book Antiqua" w:eastAsia="Book Antiqua" w:hAnsi="Book Antiqua" w:cs="Book Antiqua"/>
          <w:color w:val="000000"/>
        </w:rPr>
        <w:t xml:space="preserve"> 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IL-6.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considered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major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mineral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immunomodulatory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ACE2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A37B5" w:rsidRPr="00895F32">
        <w:rPr>
          <w:rFonts w:ascii="Book Antiqua" w:eastAsia="Book Antiqua" w:hAnsi="Book Antiqua" w:cs="Book Antiqua"/>
          <w:color w:val="000000"/>
        </w:rPr>
        <w:t>I</w:t>
      </w:r>
      <w:r w:rsidR="006A37B5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 NAFLD patients, with comorbidities such as old age, overweight,</w:t>
      </w:r>
      <w:r w:rsidR="006A37B5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6A37B5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isturbance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atherosclerosis</w:t>
      </w:r>
      <w:r w:rsidR="006A37B5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 z</w:t>
      </w:r>
      <w:r w:rsidR="006A37B5" w:rsidRPr="00895F32">
        <w:rPr>
          <w:rFonts w:ascii="Book Antiqua" w:eastAsia="Book Antiqua" w:hAnsi="Book Antiqua" w:cs="Book Antiqua"/>
          <w:color w:val="000000"/>
        </w:rPr>
        <w:t xml:space="preserve">inc </w:t>
      </w:r>
      <w:r w:rsidR="006A37B5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deficiency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  <w:r w:rsidR="002849E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proofErr w:type="gramEnd"/>
      <w:r w:rsidR="002849E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49E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increase the risk of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11E17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D67FE2" w:rsidRPr="00895F32">
        <w:rPr>
          <w:rFonts w:ascii="Book Antiqua" w:eastAsia="Book Antiqua" w:hAnsi="Book Antiqua" w:cs="Book Antiqua"/>
          <w:color w:val="000000"/>
        </w:rPr>
        <w:t>However</w:t>
      </w:r>
      <w:r w:rsidR="009C2DD7" w:rsidRPr="00895F32">
        <w:rPr>
          <w:rFonts w:ascii="Book Antiqua" w:eastAsia="Book Antiqua" w:hAnsi="Book Antiqua" w:cs="Book Antiqua"/>
          <w:color w:val="000000"/>
        </w:rPr>
        <w:t>,</w:t>
      </w:r>
      <w:r w:rsidR="00D67FE2" w:rsidRPr="00895F32">
        <w:rPr>
          <w:rFonts w:ascii="Book Antiqua" w:eastAsia="Book Antiqua" w:hAnsi="Book Antiqua" w:cs="Book Antiqua"/>
          <w:color w:val="000000"/>
        </w:rPr>
        <w:t xml:space="preserve"> in t</w:t>
      </w:r>
      <w:r w:rsidRPr="00895F32">
        <w:rPr>
          <w:rFonts w:ascii="Book Antiqua" w:eastAsia="Book Antiqua" w:hAnsi="Book Antiqua" w:cs="Book Antiqua"/>
          <w:color w:val="000000"/>
        </w:rPr>
        <w:t>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latest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meta-analyses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randomized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9C2DD7" w:rsidRPr="00895F32">
        <w:rPr>
          <w:rFonts w:ascii="Book Antiqua" w:eastAsia="Book Antiqua" w:hAnsi="Book Antiqua" w:cs="Book Antiqua"/>
          <w:color w:val="000000"/>
        </w:rPr>
        <w:t>, the</w:t>
      </w:r>
      <w:r w:rsidR="009C2DD7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decrease of IL-6, increase of IL-2 </w:t>
      </w:r>
      <w:r w:rsidR="009C2DD7" w:rsidRPr="00895F32">
        <w:rPr>
          <w:rFonts w:ascii="Book Antiqua" w:eastAsia="Book Antiqua" w:hAnsi="Book Antiqua" w:cs="Book Antiqua"/>
          <w:color w:val="000000"/>
        </w:rPr>
        <w:t>and no</w:t>
      </w:r>
      <w:r w:rsidR="009C2DD7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ameliorative effects on TNF-α level due 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328BA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been </w:t>
      </w:r>
      <w:proofErr w:type="gramStart"/>
      <w:r w:rsidR="00D328BA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6010" w:rsidRPr="00895F32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</w:p>
    <w:p w14:paraId="197A6145" w14:textId="6EE90D5C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uncoating,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binding,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replication.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Finzi</w:t>
      </w:r>
      <w:proofErr w:type="spellEnd"/>
      <w:r w:rsidR="004219DC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9DC" w:rsidRPr="00895F3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et al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[88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44A6" w:rsidRPr="00895F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54C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clinical respiratory symptoms </w:t>
      </w:r>
      <w:r w:rsidR="00CF57F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were improved in COVID-19 patients supplemented with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dose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CF57F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citrate,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57F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zinc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gluconate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57F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zinc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acetate</w:t>
      </w:r>
      <w:r w:rsidR="00CF57F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Roy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curcumin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speculated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167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 synergy</w:t>
      </w:r>
      <w:r w:rsidR="00E8357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95E8C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with curcumin</w:t>
      </w:r>
      <w:r w:rsidR="00E6167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357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promote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357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synthesis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ionophore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complexes,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3572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leading to the </w:t>
      </w:r>
      <w:r w:rsidR="00895E8C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synchronized and improved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acti</w:t>
      </w:r>
      <w:r w:rsidR="00895E8C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vity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Curcumas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exert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entry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cell,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inhibits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RNA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polymerase.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Major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sources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zinc,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recommended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intake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ongoing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examines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zinc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symptoms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1.</w:t>
      </w:r>
    </w:p>
    <w:p w14:paraId="06F249B8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802CD6C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Selenium</w:t>
      </w:r>
    </w:p>
    <w:p w14:paraId="3E8F56D7" w14:textId="7FBA7F14" w:rsidR="00A77B3E" w:rsidRPr="00895F32" w:rsidRDefault="00C03DE1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hAnsi="Book Antiqua"/>
          <w:color w:val="544946"/>
          <w:w w:val="105"/>
        </w:rPr>
        <w:t xml:space="preserve">As a part of </w:t>
      </w:r>
      <w:proofErr w:type="spellStart"/>
      <w:r w:rsidRPr="00895F32">
        <w:rPr>
          <w:rFonts w:ascii="Book Antiqua" w:hAnsi="Book Antiqua"/>
          <w:color w:val="544946"/>
          <w:w w:val="105"/>
        </w:rPr>
        <w:t>selenoproteins</w:t>
      </w:r>
      <w:proofErr w:type="spellEnd"/>
      <w:r w:rsidRPr="00895F32">
        <w:rPr>
          <w:rFonts w:ascii="Book Antiqua" w:hAnsi="Book Antiqua"/>
          <w:color w:val="544946"/>
          <w:w w:val="105"/>
        </w:rPr>
        <w:t>,</w:t>
      </w:r>
      <w:r w:rsidRPr="00895F32">
        <w:rPr>
          <w:rFonts w:ascii="Book Antiqua" w:eastAsia="Book Antiqua" w:hAnsi="Book Antiqua" w:cs="Book Antiqua"/>
          <w:color w:val="000000"/>
        </w:rPr>
        <w:t xml:space="preserve"> s</w:t>
      </w:r>
      <w:r w:rsidR="007E0689" w:rsidRPr="00895F32">
        <w:rPr>
          <w:rFonts w:ascii="Book Antiqua" w:eastAsia="Book Antiqua" w:hAnsi="Book Antiqua" w:cs="Book Antiqua"/>
          <w:color w:val="000000"/>
        </w:rPr>
        <w:t>elenium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Cs/>
          <w:color w:val="000000"/>
        </w:rPr>
        <w:t>ha</w:t>
      </w:r>
      <w:r w:rsidR="007E0689"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essential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role in regulation of </w:t>
      </w:r>
      <w:r w:rsidR="007E0689" w:rsidRPr="00895F32">
        <w:rPr>
          <w:rFonts w:ascii="Book Antiqua" w:eastAsia="Book Antiqua" w:hAnsi="Book Antiqua" w:cs="Book Antiqua"/>
          <w:color w:val="000000"/>
        </w:rPr>
        <w:t>redox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</w:t>
      </w:r>
      <w:r w:rsidRPr="00895F32">
        <w:rPr>
          <w:rFonts w:ascii="Book Antiqua" w:eastAsia="Book Antiqua" w:hAnsi="Book Antiqua" w:cs="Book Antiqua"/>
          <w:color w:val="000000"/>
        </w:rPr>
        <w:t>actions,</w:t>
      </w:r>
      <w:r w:rsidRPr="00895F32">
        <w:rPr>
          <w:rFonts w:ascii="Book Antiqua" w:hAnsi="Book Antiqua"/>
          <w:color w:val="544946"/>
          <w:w w:val="105"/>
        </w:rPr>
        <w:t xml:space="preserve"> particularly in suppression of</w:t>
      </w:r>
      <w:r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stress.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selenium</w:t>
      </w:r>
      <w:r w:rsidRPr="00895F32">
        <w:rPr>
          <w:rFonts w:ascii="Book Antiqua" w:eastAsia="Book Antiqua" w:hAnsi="Book Antiqua" w:cs="Book Antiqua"/>
          <w:color w:val="000000"/>
        </w:rPr>
        <w:t xml:space="preserve"> in the diet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Pr="00895F32">
        <w:rPr>
          <w:rFonts w:ascii="Book Antiqua" w:eastAsia="Book Antiqua" w:hAnsi="Book Antiqua" w:cs="Book Antiqua"/>
          <w:color w:val="000000"/>
        </w:rPr>
        <w:t xml:space="preserve"> concomitant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elevated </w:t>
      </w:r>
      <w:r w:rsidR="007E0689"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host</w:t>
      </w:r>
      <w:r w:rsidRPr="00895F32">
        <w:rPr>
          <w:rFonts w:ascii="Book Antiqua" w:eastAsia="Book Antiqua" w:hAnsi="Book Antiqua" w:cs="Book Antiqua"/>
          <w:color w:val="000000"/>
        </w:rPr>
        <w:t xml:space="preserve"> tissue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hAnsi="Book Antiqua"/>
          <w:color w:val="544946"/>
          <w:w w:val="105"/>
        </w:rPr>
        <w:t xml:space="preserve">may lead to alteration of </w:t>
      </w:r>
      <w:r w:rsidR="007E0689"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genome.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hAnsi="Book Antiqua"/>
          <w:color w:val="544946"/>
          <w:w w:val="105"/>
        </w:rPr>
        <w:t xml:space="preserve">The activity of </w:t>
      </w:r>
      <w:proofErr w:type="spellStart"/>
      <w:r w:rsidRPr="00895F32">
        <w:rPr>
          <w:rFonts w:ascii="Book Antiqua" w:hAnsi="Book Antiqua"/>
          <w:color w:val="544946"/>
          <w:w w:val="105"/>
        </w:rPr>
        <w:t>s</w:t>
      </w:r>
      <w:r w:rsidR="007E0689" w:rsidRPr="00895F32">
        <w:rPr>
          <w:rFonts w:ascii="Book Antiqua" w:eastAsia="Book Antiqua" w:hAnsi="Book Antiqua" w:cs="Book Antiqua"/>
          <w:color w:val="000000"/>
        </w:rPr>
        <w:t>elenoproteins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hAnsi="Book Antiqua"/>
          <w:color w:val="544946"/>
          <w:w w:val="105"/>
        </w:rPr>
        <w:t>in</w:t>
      </w:r>
      <w:r w:rsidRPr="00895F32" w:rsidDel="00C03DE1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defense,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affect</w:t>
      </w:r>
      <w:r w:rsidRPr="00895F32">
        <w:rPr>
          <w:rFonts w:ascii="Book Antiqua" w:eastAsia="Book Antiqua" w:hAnsi="Book Antiqua" w:cs="Book Antiqua"/>
          <w:color w:val="000000"/>
        </w:rPr>
        <w:t xml:space="preserve">s </w:t>
      </w:r>
      <w:r w:rsidR="00444FE8" w:rsidRPr="00895F32">
        <w:rPr>
          <w:rFonts w:ascii="Book Antiqua" w:hAnsi="Book Antiqua"/>
          <w:color w:val="544946"/>
          <w:w w:val="105"/>
        </w:rPr>
        <w:t xml:space="preserve">function of host </w:t>
      </w:r>
      <w:r w:rsidR="007E0689" w:rsidRPr="00895F32">
        <w:rPr>
          <w:rFonts w:ascii="Book Antiqua" w:eastAsia="Book Antiqua" w:hAnsi="Book Antiqua" w:cs="Book Antiqua"/>
          <w:color w:val="000000"/>
        </w:rPr>
        <w:t>leukocyte</w:t>
      </w:r>
      <w:r w:rsidR="00444FE8"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cell</w:t>
      </w:r>
      <w:r w:rsidR="00444FE8" w:rsidRPr="00895F32">
        <w:rPr>
          <w:rFonts w:ascii="Book Antiqua" w:eastAsia="Book Antiqua" w:hAnsi="Book Antiqua" w:cs="Book Antiqua"/>
          <w:color w:val="000000"/>
        </w:rPr>
        <w:t>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444FE8" w:rsidRPr="00895F32">
        <w:rPr>
          <w:rFonts w:ascii="Book Antiqua" w:eastAsia="Book Antiqua" w:hAnsi="Book Antiqua" w:cs="Book Antiqua"/>
          <w:color w:val="000000"/>
        </w:rPr>
        <w:t>, while s</w:t>
      </w:r>
      <w:r w:rsidR="007E0689" w:rsidRPr="00895F32">
        <w:rPr>
          <w:rFonts w:ascii="Book Antiqua" w:eastAsia="Book Antiqua" w:hAnsi="Book Antiqua" w:cs="Book Antiqua"/>
          <w:color w:val="000000"/>
        </w:rPr>
        <w:t>elenium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44FE8" w:rsidRPr="00895F32">
        <w:rPr>
          <w:rFonts w:ascii="Book Antiqua" w:eastAsia="Book Antiqua" w:hAnsi="Book Antiqua"/>
          <w:color w:val="000000"/>
        </w:rPr>
        <w:t xml:space="preserve">alters 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response</w:t>
      </w:r>
      <w:r w:rsidR="00444FE8" w:rsidRPr="00895F32">
        <w:rPr>
          <w:rFonts w:ascii="Book Antiqua" w:eastAsia="Book Antiqua" w:hAnsi="Book Antiqua" w:cs="Book Antiqua"/>
          <w:color w:val="000000"/>
        </w:rPr>
        <w:t xml:space="preserve"> 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44FE8" w:rsidRPr="00895F32">
        <w:rPr>
          <w:rFonts w:ascii="Book Antiqua" w:eastAsia="Book Antiqua" w:hAnsi="Book Antiqua"/>
          <w:color w:val="000000"/>
        </w:rPr>
        <w:t>reducing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proliferation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cells,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44FE8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="007E0689" w:rsidRPr="00895F32">
        <w:rPr>
          <w:rFonts w:ascii="Book Antiqua" w:eastAsia="Book Antiqua" w:hAnsi="Book Antiqua" w:cs="Book Antiqua"/>
          <w:color w:val="000000"/>
        </w:rPr>
        <w:t>lymphocyte-mediated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toxicity,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activity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44FE8" w:rsidRPr="00895F32">
        <w:rPr>
          <w:rFonts w:ascii="Book Antiqua" w:eastAsia="Book Antiqua" w:hAnsi="Book Antiqua"/>
          <w:color w:val="000000"/>
        </w:rPr>
        <w:t xml:space="preserve">Besides being </w:t>
      </w:r>
      <w:r w:rsidR="007E0689" w:rsidRPr="00895F32">
        <w:rPr>
          <w:rFonts w:ascii="Book Antiqua" w:eastAsia="Book Antiqua" w:hAnsi="Book Antiqua" w:cs="Book Antiqua"/>
          <w:color w:val="000000"/>
        </w:rPr>
        <w:t>pointed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out</w:t>
      </w:r>
      <w:r w:rsidR="00444FE8" w:rsidRPr="00895F32">
        <w:rPr>
          <w:rFonts w:ascii="Book Antiqua" w:eastAsia="Book Antiqua" w:hAnsi="Book Antiqua"/>
          <w:color w:val="000000"/>
        </w:rPr>
        <w:t xml:space="preserve"> as a promising</w:t>
      </w:r>
      <w:r w:rsidR="00444FE8" w:rsidRPr="00895F32">
        <w:rPr>
          <w:rFonts w:ascii="Book Antiqua" w:eastAsia="Book Antiqua" w:hAnsi="Book Antiqua" w:cs="Book Antiqua"/>
          <w:color w:val="000000"/>
        </w:rPr>
        <w:t xml:space="preserve"> treatment </w:t>
      </w:r>
      <w:r w:rsidR="00C63060" w:rsidRPr="00895F32">
        <w:rPr>
          <w:rFonts w:ascii="Book Antiqua" w:eastAsia="Book Antiqua" w:hAnsi="Book Antiqua" w:cs="Book Antiqua"/>
          <w:color w:val="000000"/>
        </w:rPr>
        <w:t>for</w:t>
      </w:r>
      <w:r w:rsidR="00444FE8" w:rsidRPr="00895F32">
        <w:rPr>
          <w:rFonts w:ascii="Book Antiqua" w:eastAsia="Book Antiqua" w:hAnsi="Book Antiqua" w:cs="Book Antiqua"/>
          <w:color w:val="000000"/>
        </w:rPr>
        <w:t xml:space="preserve"> COVID-19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3060" w:rsidRPr="00895F32">
        <w:rPr>
          <w:rFonts w:ascii="Book Antiqua" w:eastAsia="Book Antiqua" w:hAnsi="Book Antiqua"/>
          <w:color w:val="000000"/>
        </w:rPr>
        <w:t xml:space="preserve">crucial role of </w:t>
      </w:r>
      <w:r w:rsidR="007E0689" w:rsidRPr="00895F32">
        <w:rPr>
          <w:rFonts w:ascii="Book Antiqua" w:eastAsia="Book Antiqua" w:hAnsi="Book Antiqua" w:cs="Book Antiqua"/>
          <w:color w:val="000000"/>
        </w:rPr>
        <w:t>selenium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3060" w:rsidRPr="00895F32">
        <w:rPr>
          <w:rFonts w:ascii="Book Antiqua" w:eastAsia="Book Antiqua" w:hAnsi="Book Antiqua" w:cs="Book Antiqua"/>
          <w:color w:val="000000"/>
        </w:rPr>
        <w:t xml:space="preserve">in the SARS-CoV-2 emergence and spread </w:t>
      </w:r>
      <w:r w:rsidR="00C63060" w:rsidRPr="00895F32">
        <w:rPr>
          <w:rFonts w:ascii="Book Antiqua" w:eastAsia="Book Antiqua" w:hAnsi="Book Antiqua"/>
          <w:color w:val="000000"/>
        </w:rPr>
        <w:t>has been suggested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C63060" w:rsidRPr="00895F32">
        <w:rPr>
          <w:rFonts w:ascii="Book Antiqua" w:eastAsia="Book Antiqua" w:hAnsi="Book Antiqua"/>
          <w:color w:val="000000"/>
        </w:rPr>
        <w:t>Low</w:t>
      </w:r>
      <w:r w:rsidR="00C63060" w:rsidRPr="00895F32">
        <w:rPr>
          <w:rFonts w:ascii="Book Antiqua" w:eastAsia="Book Antiqua" w:hAnsi="Book Antiqua" w:cs="Book Antiqua"/>
          <w:color w:val="000000"/>
        </w:rPr>
        <w:t xml:space="preserve"> s</w:t>
      </w:r>
      <w:r w:rsidR="007E0689" w:rsidRPr="00895F32">
        <w:rPr>
          <w:rFonts w:ascii="Book Antiqua" w:eastAsia="Book Antiqua" w:hAnsi="Book Antiqua" w:cs="Book Antiqua"/>
          <w:color w:val="000000"/>
        </w:rPr>
        <w:t>elenium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3060" w:rsidRPr="00895F32">
        <w:rPr>
          <w:rFonts w:ascii="Book Antiqua" w:eastAsia="Book Antiqua" w:hAnsi="Book Antiqua"/>
          <w:color w:val="000000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genome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leading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becoming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virulent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3060" w:rsidRPr="00895F32">
        <w:rPr>
          <w:rFonts w:ascii="Book Antiqua" w:eastAsia="Book Antiqua" w:hAnsi="Book Antiqua"/>
          <w:color w:val="000000"/>
        </w:rPr>
        <w:t xml:space="preserve">Dietary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C63060" w:rsidRPr="00895F32">
        <w:rPr>
          <w:rFonts w:ascii="Book Antiqua" w:eastAsia="Book Antiqua" w:hAnsi="Book Antiqua" w:cs="Book Antiqua"/>
          <w:color w:val="000000"/>
        </w:rPr>
        <w:t xml:space="preserve">of </w:t>
      </w:r>
      <w:r w:rsidR="00C63060" w:rsidRPr="00895F32">
        <w:rPr>
          <w:rFonts w:ascii="Book Antiqua" w:eastAsia="Book Antiqua" w:hAnsi="Book Antiqua"/>
          <w:color w:val="000000"/>
        </w:rPr>
        <w:t xml:space="preserve">selenium can stimulate the activity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cytotoxic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effector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cells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1C034F33" w14:textId="5B7825AD" w:rsidR="00A77B3E" w:rsidRPr="00895F32" w:rsidRDefault="00ED7F61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="007E0689" w:rsidRPr="00895F32">
        <w:rPr>
          <w:rFonts w:ascii="Book Antiqua" w:eastAsia="Book Antiqua" w:hAnsi="Book Antiqua" w:cs="Book Antiqua"/>
          <w:color w:val="000000"/>
        </w:rPr>
        <w:t>meta-analysis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effects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hAnsi="Book Antiqua"/>
          <w:color w:val="544946"/>
          <w:w w:val="105"/>
        </w:rPr>
        <w:t xml:space="preserve">revealed decreased </w:t>
      </w:r>
      <w:r w:rsidRPr="00895F32">
        <w:rPr>
          <w:rFonts w:ascii="Book Antiqua" w:eastAsia="Book Antiqua" w:hAnsi="Book Antiqua" w:cs="Book Antiqua"/>
          <w:color w:val="000000"/>
        </w:rPr>
        <w:t>mortality and the requirement of mechanical ventilation, but no</w:t>
      </w:r>
      <w:r w:rsidR="00151402" w:rsidRPr="00895F32">
        <w:rPr>
          <w:rFonts w:ascii="Book Antiqua" w:eastAsia="Book Antiqua" w:hAnsi="Book Antiqua" w:cs="Book Antiqua"/>
          <w:color w:val="000000"/>
        </w:rPr>
        <w:t xml:space="preserve"> shorter time in intensive care unit (ICU) </w:t>
      </w:r>
      <w:r w:rsidR="00151402" w:rsidRPr="00895F32">
        <w:rPr>
          <w:rFonts w:ascii="Book Antiqua" w:hAnsi="Book Antiqua"/>
          <w:color w:val="544946"/>
          <w:spacing w:val="10"/>
          <w:w w:val="105"/>
        </w:rPr>
        <w:t xml:space="preserve">due to </w:t>
      </w:r>
      <w:r w:rsidR="00151402" w:rsidRPr="00895F32">
        <w:rPr>
          <w:rFonts w:ascii="Book Antiqua" w:hAnsi="Book Antiqua"/>
          <w:bCs/>
          <w:color w:val="000000"/>
        </w:rPr>
        <w:t xml:space="preserve">antioxidant </w:t>
      </w:r>
      <w:r w:rsidR="007E0689" w:rsidRPr="00895F32">
        <w:rPr>
          <w:rFonts w:ascii="Book Antiqua" w:eastAsia="Book Antiqua" w:hAnsi="Book Antiqua" w:cs="Book Antiqua"/>
          <w:color w:val="000000"/>
        </w:rPr>
        <w:t>therapies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(</w:t>
      </w:r>
      <w:r w:rsidR="00151402" w:rsidRPr="00895F32">
        <w:rPr>
          <w:rFonts w:ascii="Book Antiqua" w:hAnsi="Book Antiqua"/>
          <w:color w:val="544946"/>
          <w:spacing w:val="10"/>
          <w:w w:val="105"/>
        </w:rPr>
        <w:t>predominantly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eastAsia="Book Antiqua" w:hAnsi="Book Antiqua" w:cs="Book Antiqua"/>
          <w:color w:val="000000"/>
        </w:rPr>
        <w:t xml:space="preserve">supplementation of </w:t>
      </w:r>
      <w:r w:rsidR="007E0689" w:rsidRPr="00895F32">
        <w:rPr>
          <w:rFonts w:ascii="Book Antiqua" w:eastAsia="Book Antiqua" w:hAnsi="Book Antiqua" w:cs="Book Antiqua"/>
          <w:color w:val="000000"/>
        </w:rPr>
        <w:t>selenium)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[95,96]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eastAsia="Book Antiqua" w:hAnsi="Book Antiqua" w:cs="Book Antiqua"/>
          <w:color w:val="000000"/>
        </w:rPr>
        <w:t xml:space="preserve">in </w:t>
      </w:r>
      <w:r w:rsidR="007E0689" w:rsidRPr="00895F32">
        <w:rPr>
          <w:rFonts w:ascii="Book Antiqua" w:eastAsia="Book Antiqua" w:hAnsi="Book Antiqua" w:cs="Book Antiqua"/>
          <w:color w:val="000000"/>
        </w:rPr>
        <w:t>meta-analysis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hAnsi="Book Antiqua"/>
          <w:color w:val="544946"/>
          <w:spacing w:val="6"/>
          <w:w w:val="105"/>
        </w:rPr>
        <w:t>performed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0689" w:rsidRPr="00895F32">
        <w:rPr>
          <w:rFonts w:ascii="Book Antiqua" w:eastAsia="Book Antiqua" w:hAnsi="Book Antiqua" w:cs="Book Antiqua"/>
          <w:color w:val="000000"/>
        </w:rPr>
        <w:t>Allingstrup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Afshari</w:t>
      </w:r>
      <w:proofErr w:type="spell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151402" w:rsidRPr="00895F32">
        <w:rPr>
          <w:rFonts w:ascii="Book Antiqua" w:eastAsia="Book Antiqua" w:hAnsi="Book Antiqua" w:cs="Book Antiqua"/>
          <w:color w:val="000000"/>
        </w:rPr>
        <w:t xml:space="preserve">, </w:t>
      </w:r>
      <w:r w:rsidR="00151402" w:rsidRPr="00895F32">
        <w:rPr>
          <w:rFonts w:ascii="Book Antiqua" w:hAnsi="Book Antiqua"/>
          <w:color w:val="544946"/>
          <w:spacing w:val="5"/>
          <w:w w:val="105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clear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hAnsi="Book Antiqua"/>
          <w:color w:val="544946"/>
          <w:spacing w:val="5"/>
          <w:w w:val="105"/>
        </w:rPr>
        <w:t>results supporting beneficial effect</w:t>
      </w:r>
      <w:r w:rsidR="00151402" w:rsidRPr="00895F32" w:rsidDel="0015140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selenium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hAnsi="Book Antiqua"/>
          <w:color w:val="544946"/>
          <w:spacing w:val="5"/>
          <w:w w:val="105"/>
        </w:rPr>
        <w:t>in</w:t>
      </w:r>
      <w:r w:rsidR="00151402" w:rsidRPr="00895F32">
        <w:rPr>
          <w:rFonts w:ascii="Book Antiqua" w:hAnsi="Book Antiqua"/>
          <w:color w:val="544946"/>
          <w:w w:val="105"/>
        </w:rPr>
        <w:t xml:space="preserve"> critically ill 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51402" w:rsidRPr="00895F32">
        <w:rPr>
          <w:rFonts w:ascii="Book Antiqua" w:hAnsi="Book Antiqua"/>
          <w:color w:val="544946"/>
          <w:w w:val="105"/>
        </w:rPr>
        <w:t xml:space="preserve">including </w:t>
      </w:r>
      <w:r w:rsidR="00151402" w:rsidRPr="00895F32">
        <w:rPr>
          <w:rFonts w:ascii="Book Antiqua" w:eastAsia="Times New Roman" w:hAnsi="Book Antiqua"/>
          <w:color w:val="202124"/>
          <w:lang w:val="en" w:eastAsia="sr-Latn-RS"/>
        </w:rPr>
        <w:t xml:space="preserve">less </w:t>
      </w:r>
      <w:r w:rsidR="007E0689" w:rsidRPr="00895F32">
        <w:rPr>
          <w:rFonts w:ascii="Book Antiqua" w:eastAsia="Book Antiqua" w:hAnsi="Book Antiqua" w:cs="Book Antiqua"/>
          <w:color w:val="000000"/>
        </w:rPr>
        <w:t>days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ventilat</w:t>
      </w:r>
      <w:r w:rsidR="005C66FC" w:rsidRPr="00895F32">
        <w:rPr>
          <w:rFonts w:ascii="Book Antiqua" w:eastAsia="Book Antiqua" w:hAnsi="Book Antiqua" w:cs="Book Antiqua"/>
          <w:color w:val="000000"/>
        </w:rPr>
        <w:t>ion 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C66FC" w:rsidRPr="00895F32">
        <w:rPr>
          <w:rFonts w:ascii="Book Antiqua" w:hAnsi="Book Antiqua"/>
          <w:color w:val="202124"/>
          <w:lang w:val="en" w:eastAsia="sr-Latn-RS"/>
        </w:rPr>
        <w:t xml:space="preserve">shorter ICU and </w:t>
      </w:r>
      <w:r w:rsidR="007E0689" w:rsidRPr="00895F32">
        <w:rPr>
          <w:rFonts w:ascii="Book Antiqua" w:eastAsia="Book Antiqua" w:hAnsi="Book Antiqua" w:cs="Book Antiqua"/>
          <w:color w:val="000000"/>
        </w:rPr>
        <w:t>hospital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stay</w:t>
      </w:r>
      <w:r w:rsidR="00C93AB4" w:rsidRPr="00895F32">
        <w:rPr>
          <w:rFonts w:ascii="Book Antiqua" w:eastAsia="Book Antiqua" w:hAnsi="Book Antiqua" w:cs="Book Antiqua"/>
          <w:color w:val="000000"/>
        </w:rPr>
        <w:t>,</w:t>
      </w:r>
      <w:r w:rsidR="005C66FC" w:rsidRPr="00895F32">
        <w:rPr>
          <w:rFonts w:ascii="Book Antiqua" w:hAnsi="Book Antiqua"/>
          <w:color w:val="202124"/>
          <w:lang w:val="en" w:eastAsia="sr-Latn-RS"/>
        </w:rPr>
        <w:t xml:space="preserve"> was shown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C66FC" w:rsidRPr="00895F32">
        <w:rPr>
          <w:rFonts w:ascii="Book Antiqua" w:eastAsia="Book Antiqua" w:hAnsi="Book Antiqua" w:cs="Book Antiqua"/>
          <w:color w:val="000000"/>
        </w:rPr>
        <w:t xml:space="preserve">The elevated </w:t>
      </w:r>
      <w:r w:rsidR="007E0689" w:rsidRPr="00895F32">
        <w:rPr>
          <w:rFonts w:ascii="Book Antiqua" w:eastAsia="Book Antiqua" w:hAnsi="Book Antiqua" w:cs="Book Antiqua"/>
          <w:color w:val="000000"/>
        </w:rPr>
        <w:t>ratio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thromboxane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prostacyclin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C66FC" w:rsidRPr="00895F32">
        <w:rPr>
          <w:rFonts w:ascii="Book Antiqua" w:hAnsi="Book Antiqua"/>
          <w:color w:val="544946"/>
          <w:w w:val="105"/>
        </w:rPr>
        <w:t xml:space="preserve">followed by </w:t>
      </w:r>
      <w:r w:rsidR="007E0689" w:rsidRPr="00895F32">
        <w:rPr>
          <w:rFonts w:ascii="Book Antiqua" w:eastAsia="Book Antiqua" w:hAnsi="Book Antiqua" w:cs="Book Antiqua"/>
          <w:color w:val="000000"/>
        </w:rPr>
        <w:t>vasoconstriction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blood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coagulation</w:t>
      </w:r>
      <w:r w:rsidR="005C66FC" w:rsidRPr="00895F32">
        <w:rPr>
          <w:rFonts w:ascii="Book Antiqua" w:eastAsia="Book Antiqua" w:hAnsi="Book Antiqua" w:cs="Book Antiqua"/>
          <w:color w:val="000000"/>
        </w:rPr>
        <w:t xml:space="preserve">, </w:t>
      </w:r>
      <w:r w:rsidR="005C66FC" w:rsidRPr="00895F32">
        <w:rPr>
          <w:rFonts w:ascii="Book Antiqua" w:hAnsi="Book Antiqua"/>
          <w:color w:val="544946"/>
          <w:w w:val="105"/>
        </w:rPr>
        <w:t xml:space="preserve">has been found </w:t>
      </w:r>
      <w:r w:rsidR="005C66FC" w:rsidRPr="00895F32">
        <w:rPr>
          <w:rFonts w:ascii="Book Antiqua" w:eastAsia="Book Antiqua" w:hAnsi="Book Antiqua" w:cs="Book Antiqua"/>
          <w:color w:val="000000"/>
        </w:rPr>
        <w:t>in animal models</w:t>
      </w:r>
      <w:r w:rsidR="005C66FC" w:rsidRPr="00895F32">
        <w:rPr>
          <w:rFonts w:ascii="Book Antiqua" w:hAnsi="Book Antiqua"/>
          <w:color w:val="544946"/>
          <w:w w:val="105"/>
        </w:rPr>
        <w:t xml:space="preserve"> deficient in </w:t>
      </w:r>
      <w:proofErr w:type="gramStart"/>
      <w:r w:rsidR="005C66FC" w:rsidRPr="00895F32">
        <w:rPr>
          <w:rFonts w:ascii="Book Antiqua" w:hAnsi="Book Antiqua"/>
          <w:color w:val="544946"/>
          <w:w w:val="105"/>
        </w:rPr>
        <w:t>selenium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C66FC" w:rsidRPr="00895F32">
        <w:rPr>
          <w:rFonts w:ascii="Book Antiqua" w:eastAsia="Book Antiqua" w:hAnsi="Book Antiqua" w:cs="Book Antiqua"/>
          <w:color w:val="000000"/>
        </w:rPr>
        <w:t xml:space="preserve">The </w:t>
      </w:r>
      <w:r w:rsidR="005C66FC" w:rsidRPr="00895F32">
        <w:rPr>
          <w:rFonts w:ascii="Book Antiqua" w:hAnsi="Book Antiqua"/>
          <w:color w:val="544946"/>
          <w:w w:val="105"/>
        </w:rPr>
        <w:t>same mechanism possible</w:t>
      </w:r>
      <w:r w:rsidR="005C66FC" w:rsidRPr="00895F32" w:rsidDel="005C66FC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explain</w:t>
      </w:r>
      <w:r w:rsidR="005C66FC" w:rsidRPr="00895F32">
        <w:rPr>
          <w:rFonts w:ascii="Book Antiqua" w:eastAsia="Book Antiqua" w:hAnsi="Book Antiqua" w:cs="Book Antiqua"/>
          <w:color w:val="000000"/>
        </w:rPr>
        <w:t>s 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venous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thromboembolism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66FC" w:rsidRPr="00895F32">
        <w:rPr>
          <w:rFonts w:ascii="Book Antiqua" w:hAnsi="Book Antiqua"/>
          <w:color w:val="544946"/>
          <w:w w:val="105"/>
        </w:rPr>
        <w:t xml:space="preserve"> with selenium deficiency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460209E1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5741D8F9" w14:textId="015C8265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Iron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42DB94D" w14:textId="7DB2694C" w:rsidR="00A77B3E" w:rsidRPr="00895F32" w:rsidRDefault="00DE33EC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Among many other physiological roles, i</w:t>
      </w:r>
      <w:r w:rsidR="007E0689" w:rsidRPr="00895F32">
        <w:rPr>
          <w:rFonts w:ascii="Book Antiqua" w:eastAsia="Book Antiqua" w:hAnsi="Book Antiqua" w:cs="Book Antiqua"/>
          <w:color w:val="000000"/>
        </w:rPr>
        <w:t>ron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known to </w:t>
      </w:r>
      <w:r w:rsidR="007E0689" w:rsidRPr="00895F32">
        <w:rPr>
          <w:rFonts w:ascii="Book Antiqua" w:eastAsia="Book Antiqua" w:hAnsi="Book Antiqua" w:cs="Book Antiqua"/>
          <w:color w:val="000000"/>
        </w:rPr>
        <w:t>regulat</w:t>
      </w:r>
      <w:r w:rsidR="00FE416F" w:rsidRPr="00895F32">
        <w:rPr>
          <w:rFonts w:ascii="Book Antiqua" w:eastAsia="Book Antiqua" w:hAnsi="Book Antiqua" w:cs="Book Antiqua"/>
          <w:color w:val="000000"/>
        </w:rPr>
        <w:t xml:space="preserve">e production and action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cytokine</w:t>
      </w:r>
      <w:r w:rsidR="00FE416F" w:rsidRPr="00895F32">
        <w:rPr>
          <w:rFonts w:ascii="Book Antiqua" w:eastAsia="Book Antiqua" w:hAnsi="Book Antiqua" w:cs="Book Antiqua"/>
          <w:color w:val="000000"/>
        </w:rPr>
        <w:t>s. It is also involved in 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generation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ROS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E416F" w:rsidRPr="00895F32">
        <w:rPr>
          <w:rFonts w:ascii="Book Antiqua" w:eastAsia="Book Antiqua" w:hAnsi="Book Antiqua" w:cs="Book Antiqua"/>
          <w:color w:val="000000"/>
        </w:rPr>
        <w:t xml:space="preserve">in </w:t>
      </w:r>
      <w:r w:rsidR="007E0689" w:rsidRPr="00895F32">
        <w:rPr>
          <w:rFonts w:ascii="Book Antiqua" w:eastAsia="Book Antiqua" w:hAnsi="Book Antiqua" w:cs="Book Antiqua"/>
          <w:color w:val="000000"/>
        </w:rPr>
        <w:t>neutrophils</w:t>
      </w:r>
      <w:r w:rsidR="00FE416F" w:rsidRPr="00895F32">
        <w:rPr>
          <w:rFonts w:ascii="Book Antiqua" w:eastAsia="Book Antiqua" w:hAnsi="Book Antiqua" w:cs="Book Antiqua"/>
          <w:color w:val="000000"/>
        </w:rPr>
        <w:t>, which presents pathogen-killing 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burst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enhanced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hepcidin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favors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persistence</w:t>
      </w:r>
      <w:r w:rsidR="00102F0B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 while the</w:t>
      </w:r>
      <w:r w:rsidR="00D00DAA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2F0B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nflammation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3" w:name="_Hlk79109614"/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3"/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might be associated with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promot</w:t>
      </w:r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ion 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hepcidin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production.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Elevated h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epcidin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reduces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iron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6B56CE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thus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diminishing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effect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iron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supplementation. Even more,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sequestration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iron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macrophages,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hepatocytes and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enterocytes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F5701" w:rsidRPr="00895F32" w:rsidDel="004F570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be reduced by </w:t>
      </w:r>
      <w:proofErr w:type="gramStart"/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hepcidin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When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colonize</w:t>
      </w:r>
      <w:r w:rsidR="004F5701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2F0B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accumulated iron is used for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replication.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context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SARS-</w:t>
      </w:r>
      <w:proofErr w:type="spellStart"/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</w:t>
      </w:r>
      <w:proofErr w:type="spellEnd"/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indicates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iron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replication,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why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iron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ag</w:t>
      </w:r>
      <w:r w:rsidR="0023519E">
        <w:rPr>
          <w:rFonts w:ascii="Book Antiqua" w:eastAsia="Book Antiqua" w:hAnsi="Book Antiqua" w:cs="Book Antiqua"/>
          <w:color w:val="000000"/>
          <w:shd w:val="clear" w:color="auto" w:fill="FFFFFF"/>
        </w:rPr>
        <w:t>ent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92A8794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A012FB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Copper</w:t>
      </w:r>
    </w:p>
    <w:p w14:paraId="2B04F556" w14:textId="5070A10D" w:rsidR="00A77B3E" w:rsidRPr="00895F32" w:rsidRDefault="001600F1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 xml:space="preserve">Being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copper/zinc-superoxide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dismutase,</w:t>
      </w:r>
      <w:r w:rsidRPr="00895F32">
        <w:rPr>
          <w:rFonts w:ascii="Book Antiqua" w:eastAsia="Book Antiqua" w:hAnsi="Book Antiqua" w:cs="Book Antiqua"/>
          <w:color w:val="000000"/>
        </w:rPr>
        <w:t xml:space="preserve"> 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enzyme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essential </w:t>
      </w:r>
      <w:r w:rsidR="009F53A4" w:rsidRPr="00895F32">
        <w:rPr>
          <w:rFonts w:ascii="Book Antiqua" w:eastAsia="Book Antiqua" w:hAnsi="Book Antiqua" w:cs="Book Antiqua"/>
          <w:color w:val="000000"/>
        </w:rPr>
        <w:t>for</w:t>
      </w:r>
      <w:r w:rsidRPr="00895F32">
        <w:rPr>
          <w:rFonts w:ascii="Book Antiqua" w:eastAsia="Book Antiqua" w:hAnsi="Book Antiqua" w:cs="Book Antiqua"/>
          <w:color w:val="000000"/>
        </w:rPr>
        <w:t xml:space="preserve"> anti-ROS </w:t>
      </w:r>
      <w:r w:rsidR="007E0689" w:rsidRPr="00895F32">
        <w:rPr>
          <w:rFonts w:ascii="Book Antiqua" w:eastAsia="Book Antiqua" w:hAnsi="Book Antiqua" w:cs="Book Antiqua"/>
          <w:color w:val="000000"/>
        </w:rPr>
        <w:t>defense,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F53A4" w:rsidRPr="00895F32">
        <w:rPr>
          <w:rFonts w:ascii="Book Antiqua" w:eastAsia="Book Antiqua" w:hAnsi="Book Antiqua" w:cs="Book Antiqua"/>
          <w:color w:val="000000"/>
        </w:rPr>
        <w:t xml:space="preserve">copper </w:t>
      </w:r>
      <w:r w:rsidR="007E0689" w:rsidRPr="00895F32">
        <w:rPr>
          <w:rFonts w:ascii="Book Antiqua" w:eastAsia="Book Antiqua" w:hAnsi="Book Antiqua" w:cs="Book Antiqua"/>
          <w:color w:val="000000"/>
        </w:rPr>
        <w:t>accumulates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sites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inflammation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free-radical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scavenger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maintaining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intracellular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balance,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suggested.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general,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lastRenderedPageBreak/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IL-2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production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response,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antibody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production.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Between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80%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95%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transported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ceruloplasmin,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inflammation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Changes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homeostasis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crucial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component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respiratory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burst.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66C61" w:rsidRPr="00895F32">
        <w:rPr>
          <w:rFonts w:ascii="Book Antiqua" w:eastAsia="Book Antiqua" w:hAnsi="Book Antiqua" w:cs="Book Antiqua"/>
          <w:color w:val="000000"/>
        </w:rPr>
        <w:t xml:space="preserve">distinctive </w:t>
      </w:r>
      <w:r w:rsidR="007E0689" w:rsidRPr="00895F32">
        <w:rPr>
          <w:rFonts w:ascii="Book Antiqua" w:eastAsia="Book Antiqua" w:hAnsi="Book Antiqua" w:cs="Book Antiqua"/>
          <w:color w:val="000000"/>
        </w:rPr>
        <w:t>antimicrobial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properties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66C61" w:rsidRPr="00895F32">
        <w:rPr>
          <w:rFonts w:ascii="Book Antiqua" w:eastAsia="Book Antiqua" w:hAnsi="Book Antiqua" w:cs="Book Antiqua"/>
          <w:color w:val="000000"/>
        </w:rPr>
        <w:t xml:space="preserve">and helps to </w:t>
      </w:r>
      <w:r w:rsidR="007E0689" w:rsidRPr="00895F32">
        <w:rPr>
          <w:rFonts w:ascii="Book Antiqua" w:eastAsia="Book Antiqua" w:hAnsi="Book Antiqua" w:cs="Book Antiqua"/>
          <w:color w:val="000000"/>
        </w:rPr>
        <w:t>destroy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266C61" w:rsidRPr="00895F32">
        <w:rPr>
          <w:rFonts w:ascii="Book Antiqua" w:eastAsia="Book Antiqua" w:hAnsi="Book Antiqua" w:cs="Book Antiqua"/>
          <w:color w:val="000000"/>
        </w:rPr>
        <w:t>broad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range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microorganisms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6C61" w:rsidRPr="00895F32">
        <w:rPr>
          <w:rFonts w:ascii="Book Antiqua" w:eastAsia="Book Antiqua" w:hAnsi="Book Antiqua" w:cs="Book Antiqua"/>
          <w:bCs/>
          <w:color w:val="000000"/>
        </w:rPr>
        <w:t xml:space="preserve">It competes with zinc </w:t>
      </w:r>
      <w:r w:rsidR="00266C61" w:rsidRPr="00895F32">
        <w:rPr>
          <w:rFonts w:ascii="Book Antiqua" w:eastAsia="Book Antiqua" w:hAnsi="Book Antiqua" w:cs="Book Antiqua"/>
          <w:color w:val="000000"/>
        </w:rPr>
        <w:t xml:space="preserve">for the same absorption site, </w:t>
      </w:r>
      <w:r w:rsidR="004950FE" w:rsidRPr="00895F32">
        <w:rPr>
          <w:rFonts w:ascii="Book Antiqua" w:eastAsia="Book Antiqua" w:hAnsi="Book Antiqua" w:cs="Book Antiqua"/>
          <w:color w:val="000000"/>
        </w:rPr>
        <w:t xml:space="preserve">and the copper deficiency is likely to occur when zinc orally supplemented at </w:t>
      </w:r>
      <w:r w:rsidR="004950FE" w:rsidRPr="00895F32">
        <w:rPr>
          <w:rFonts w:ascii="Book Antiqua" w:eastAsia="Book Antiqua" w:hAnsi="Book Antiqua" w:cs="Book Antiqua"/>
          <w:bCs/>
          <w:color w:val="000000"/>
        </w:rPr>
        <w:t>h</w:t>
      </w:r>
      <w:r w:rsidR="007E0689" w:rsidRPr="00895F32">
        <w:rPr>
          <w:rFonts w:ascii="Book Antiqua" w:eastAsia="Book Antiqua" w:hAnsi="Book Antiqua" w:cs="Book Antiqua"/>
          <w:color w:val="000000"/>
        </w:rPr>
        <w:t>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doses.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identified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disease,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associated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insulin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resistance,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steatosis,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accelerated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progression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NASH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102,103]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inactivating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viruses,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influenza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A/WSN/33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SARS-CoV-2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very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sensitive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surface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copper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proposed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treatment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844A906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1541A3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Magnesium</w:t>
      </w:r>
    </w:p>
    <w:p w14:paraId="33841129" w14:textId="7EF74BB2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D2551" w:rsidRPr="00895F32">
        <w:rPr>
          <w:rFonts w:ascii="Book Antiqua" w:eastAsia="Book Antiqua" w:hAnsi="Book Antiqua" w:cs="Book Antiqua"/>
          <w:color w:val="000000"/>
        </w:rPr>
        <w:t xml:space="preserve">is involved in several functions in the body, including antioxidant defense. It assists </w:t>
      </w:r>
      <w:r w:rsidR="00A50FA1" w:rsidRPr="00895F32">
        <w:rPr>
          <w:rFonts w:ascii="Book Antiqua" w:eastAsia="Book Antiqua" w:hAnsi="Book Antiqua" w:cs="Book Antiqua"/>
          <w:color w:val="000000"/>
        </w:rPr>
        <w:t>in DNA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D2551" w:rsidRPr="00895F32">
        <w:rPr>
          <w:rFonts w:ascii="Book Antiqua" w:eastAsia="Book Antiqua" w:hAnsi="Book Antiqua" w:cs="Book Antiqua"/>
          <w:color w:val="000000"/>
        </w:rPr>
        <w:t xml:space="preserve">protection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D2551" w:rsidRPr="00895F32">
        <w:rPr>
          <w:rFonts w:ascii="Book Antiqua" w:eastAsia="Book Antiqua" w:hAnsi="Book Antiqua" w:cs="Book Antiqua"/>
          <w:color w:val="000000"/>
        </w:rPr>
        <w:t xml:space="preserve"> and</w:t>
      </w:r>
      <w:r w:rsidR="00064FCA" w:rsidRPr="00895F32">
        <w:rPr>
          <w:rFonts w:ascii="Book Antiqua" w:eastAsia="Book Antiqua" w:hAnsi="Book Antiqua" w:cs="Book Antiqua"/>
          <w:color w:val="000000"/>
        </w:rPr>
        <w:t xml:space="preserve"> diminishes the production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superoxide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64FCA" w:rsidRPr="00895F32">
        <w:rPr>
          <w:rFonts w:ascii="Book Antiqua" w:eastAsia="Book Antiqua" w:hAnsi="Book Antiqua" w:cs="Book Antiqua"/>
          <w:color w:val="000000"/>
        </w:rPr>
        <w:t>radical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hypothesized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encourage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transition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critical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manifestations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infection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maintains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lung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airway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hyper-reactivity.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>It has been noticed that m</w:t>
      </w:r>
      <w:r w:rsidRPr="00895F32">
        <w:rPr>
          <w:rFonts w:ascii="Book Antiqua" w:eastAsia="Book Antiqua" w:hAnsi="Book Antiqua" w:cs="Book Antiqua"/>
          <w:color w:val="000000"/>
        </w:rPr>
        <w:t>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deficiency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>related to 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 xml:space="preserve">of immune cells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 xml:space="preserve">levels of </w:t>
      </w:r>
      <w:r w:rsidRPr="00895F32">
        <w:rPr>
          <w:rFonts w:ascii="Book Antiqua" w:eastAsia="Book Antiqua" w:hAnsi="Book Antiqua" w:cs="Book Antiqua"/>
          <w:color w:val="000000"/>
        </w:rPr>
        <w:t>IL-6,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 xml:space="preserve">which is recognized as a key player in </w:t>
      </w:r>
      <w:r w:rsidR="00A50FA1" w:rsidRPr="00895F32">
        <w:rPr>
          <w:rFonts w:ascii="Book Antiqua" w:eastAsia="Book Antiqua" w:hAnsi="Book Antiqua" w:cs="Book Antiqua"/>
          <w:color w:val="000000"/>
        </w:rPr>
        <w:t>the COVID</w:t>
      </w:r>
      <w:r w:rsidR="00CF7E81" w:rsidRPr="00895F32">
        <w:rPr>
          <w:rFonts w:ascii="Book Antiqua" w:eastAsia="Book Antiqua" w:hAnsi="Book Antiqua" w:cs="Book Antiqua"/>
          <w:color w:val="000000"/>
        </w:rPr>
        <w:t xml:space="preserve">-19 associated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storm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>According to a recent study 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5C44A6" w:rsidRPr="00895F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064FCA" w:rsidRPr="00895F32">
        <w:rPr>
          <w:rFonts w:ascii="Book Antiqua" w:eastAsia="Book Antiqua" w:hAnsi="Book Antiqua" w:cs="Book Antiqua"/>
          <w:color w:val="000000"/>
        </w:rPr>
        <w:t>concomitant oral supplementation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magnesium,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B12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54B0B" w:rsidRPr="00895F32">
        <w:rPr>
          <w:rFonts w:ascii="Book Antiqua" w:eastAsia="Book Antiqua" w:hAnsi="Book Antiqua" w:cs="Book Antiqua"/>
          <w:color w:val="000000"/>
        </w:rPr>
        <w:t xml:space="preserve">decreases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deterioration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54B0B" w:rsidRPr="00895F32">
        <w:rPr>
          <w:rFonts w:ascii="Book Antiqua" w:eastAsia="Book Antiqua" w:hAnsi="Book Antiqua" w:cs="Book Antiqua"/>
          <w:color w:val="000000"/>
        </w:rPr>
        <w:t xml:space="preserve">patients with </w:t>
      </w:r>
      <w:r w:rsidRPr="00895F32">
        <w:rPr>
          <w:rFonts w:ascii="Book Antiqua" w:eastAsia="Book Antiqua" w:hAnsi="Book Antiqua" w:cs="Book Antiqua"/>
          <w:color w:val="000000"/>
        </w:rPr>
        <w:t>COVID-19.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relationship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physiology.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suggests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magnesium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54B0B" w:rsidRPr="00895F32">
        <w:rPr>
          <w:rFonts w:ascii="Book Antiqua" w:eastAsia="Book Antiqua" w:hAnsi="Book Antiqua" w:cs="Book Antiqua"/>
          <w:color w:val="000000"/>
        </w:rPr>
        <w:t>contribute 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54B0B" w:rsidRPr="00895F32">
        <w:rPr>
          <w:rFonts w:ascii="Book Antiqua" w:eastAsia="Book Antiqua" w:hAnsi="Book Antiqua" w:cs="Book Antiqua"/>
          <w:color w:val="000000"/>
        </w:rPr>
        <w:t xml:space="preserve">effects of </w:t>
      </w:r>
      <w:r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54B0B" w:rsidRPr="00895F32">
        <w:rPr>
          <w:rFonts w:ascii="Book Antiqua" w:eastAsia="Book Antiqua" w:hAnsi="Book Antiqua" w:cs="Book Antiqua"/>
          <w:color w:val="000000"/>
        </w:rPr>
        <w:t xml:space="preserve">on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outcomes.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6C9330FA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CAD3EA" w14:textId="240F6BF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3130A3D5" w14:textId="786ECE79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large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class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exert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ultraviolet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radiations,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different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pathogens.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Although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8000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contain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phenolic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rings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hydroxyl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groups.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common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flavonoids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(including,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flavonols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isoflavones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flavones,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flavanones,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flavan-3-ols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anthocyanins),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nonflavonoids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phenolic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(gallic,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ellagic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chlorogenic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hydoxycinnamic</w:t>
      </w:r>
      <w:proofErr w:type="spellEnd"/>
      <w:r w:rsidRPr="00895F32">
        <w:rPr>
          <w:rFonts w:ascii="Book Antiqua" w:eastAsia="Book Antiqua" w:hAnsi="Book Antiqua" w:cs="Book Antiqua"/>
          <w:color w:val="000000"/>
        </w:rPr>
        <w:t>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stilbenes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(resveratrol),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lignans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documented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literature.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Among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targeted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hepatitis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herpes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simplex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virus-1,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influenza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Epstein-Barr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virus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coronaviruses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still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sparse.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3209E478" w14:textId="2AF6B8A4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exert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ways.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first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inhibition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entry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spike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(S)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coronaviruses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responsible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meaningful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target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therapies.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demonstrated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interference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particular,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luteolin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quercetin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Vero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cells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emodin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interfered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interaction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between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receptor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cells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Hesperidin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similar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protein-ACE2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interaction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emodin,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curcumin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Citrus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species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possess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affinity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protein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408E8B03" w14:textId="24D3EF87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targeting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curcumin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resveratrol,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down-regulate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function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affecting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Further,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Jena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recently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published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computational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flavonoids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catechin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curcumin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impeding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interaction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implications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confirmed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far.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Ongoing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examine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curcumin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silymarin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outcomes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114-116]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presented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1.</w:t>
      </w:r>
    </w:p>
    <w:p w14:paraId="3777CD81" w14:textId="540FD8EC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Considering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ACE2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abundantly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expressed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organ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represents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target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cytotoxicity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caused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replication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lastRenderedPageBreak/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cells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Accordingly,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012BD" w:rsidRPr="00895F32">
        <w:rPr>
          <w:rFonts w:ascii="Book Antiqua" w:eastAsia="Book Antiqua" w:hAnsi="Book Antiqua" w:cs="Book Antiqua"/>
          <w:color w:val="000000"/>
        </w:rPr>
        <w:t xml:space="preserve">persons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chronic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012BD" w:rsidRPr="00895F32">
        <w:rPr>
          <w:rFonts w:ascii="Book Antiqua" w:eastAsia="Book Antiqua" w:hAnsi="Book Antiqua" w:cs="Book Antiqua"/>
          <w:color w:val="000000"/>
        </w:rPr>
        <w:t>can 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consequences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1012BD" w:rsidRPr="00895F32">
        <w:rPr>
          <w:rFonts w:ascii="Book Antiqua" w:eastAsia="Book Antiqua" w:hAnsi="Book Antiqua" w:cs="Book Antiqua"/>
          <w:color w:val="000000"/>
        </w:rPr>
        <w:t xml:space="preserve">on health after </w:t>
      </w:r>
      <w:r w:rsidR="005A5B26" w:rsidRPr="00895F32">
        <w:rPr>
          <w:rFonts w:ascii="Book Antiqua" w:eastAsia="Book Antiqua" w:hAnsi="Book Antiqua" w:cs="Book Antiqua"/>
          <w:color w:val="000000"/>
        </w:rPr>
        <w:t>SARS-CoV-2 infection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diminish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complications.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A13986C" w14:textId="2CBAA719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i/>
          <w:iCs/>
          <w:color w:val="000000"/>
        </w:rPr>
        <w:t>Aloe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vera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nutraceuticals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strongest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quercetin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kaempferol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components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viruses.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effectively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replication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influenza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virus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lungs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mice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Therefore,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quercetin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kaempferol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candidates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protection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</w:p>
    <w:p w14:paraId="2CCB1072" w14:textId="16FCB490" w:rsidR="00A77B3E" w:rsidRPr="00895F32" w:rsidRDefault="007E0689" w:rsidP="00895F32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tea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coffee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commonly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consumed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beverages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worldwide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sources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50FA1" w:rsidRPr="00895F32">
        <w:rPr>
          <w:rFonts w:ascii="Book Antiqua" w:eastAsia="Book Antiqua" w:hAnsi="Book Antiqua" w:cs="Book Antiqua"/>
          <w:color w:val="000000"/>
        </w:rPr>
        <w:t>polyphenols from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tea</w:t>
      </w:r>
      <w:r w:rsidR="005A5B26" w:rsidRPr="00895F32">
        <w:rPr>
          <w:rFonts w:ascii="Book Antiqua" w:eastAsia="Book Antiqua" w:hAnsi="Book Antiqua" w:cs="Book Antiqua"/>
          <w:color w:val="000000"/>
        </w:rPr>
        <w:t>:</w:t>
      </w:r>
      <w:r w:rsidR="00A50FA1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A5B26" w:rsidRPr="00895F32">
        <w:rPr>
          <w:rFonts w:ascii="Book Antiqua" w:eastAsia="Book Antiqua" w:hAnsi="Book Antiqua" w:cs="Book Antiqua"/>
          <w:color w:val="000000"/>
        </w:rPr>
        <w:t xml:space="preserve">gallocatechin-3-gallate, epigallocatechin </w:t>
      </w:r>
      <w:proofErr w:type="spellStart"/>
      <w:r w:rsidR="005A5B26" w:rsidRPr="00895F32">
        <w:rPr>
          <w:rFonts w:ascii="Book Antiqua" w:eastAsia="Book Antiqua" w:hAnsi="Book Antiqua" w:cs="Book Antiqua"/>
          <w:color w:val="000000"/>
        </w:rPr>
        <w:t>gallate</w:t>
      </w:r>
      <w:proofErr w:type="spellEnd"/>
      <w:r w:rsidR="005A5B26" w:rsidRPr="00895F32">
        <w:rPr>
          <w:rFonts w:ascii="Book Antiqua" w:eastAsia="Book Antiqua" w:hAnsi="Book Antiqua" w:cs="Book Antiqua"/>
          <w:color w:val="000000"/>
        </w:rPr>
        <w:t xml:space="preserve">, and </w:t>
      </w:r>
      <w:proofErr w:type="spellStart"/>
      <w:r w:rsidR="005A5B26" w:rsidRPr="00895F32">
        <w:rPr>
          <w:rFonts w:ascii="Book Antiqua" w:eastAsia="Book Antiqua" w:hAnsi="Book Antiqua" w:cs="Book Antiqua"/>
          <w:color w:val="000000"/>
        </w:rPr>
        <w:t>epicatechingallate</w:t>
      </w:r>
      <w:proofErr w:type="spellEnd"/>
      <w:r w:rsidR="005A5B2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A57E1" w:rsidRPr="00895F32">
        <w:rPr>
          <w:rFonts w:ascii="Book Antiqua" w:eastAsia="Book Antiqua" w:hAnsi="Book Antiqua" w:cs="Book Antiqua"/>
          <w:color w:val="000000"/>
        </w:rPr>
        <w:t xml:space="preserve">are </w:t>
      </w:r>
      <w:r w:rsidR="00A50FA1" w:rsidRPr="00895F32">
        <w:rPr>
          <w:rFonts w:ascii="Book Antiqua" w:eastAsia="Book Antiqua" w:hAnsi="Book Antiqua" w:cs="Book Antiqua"/>
          <w:color w:val="000000"/>
        </w:rPr>
        <w:t>recognized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A57E1" w:rsidRPr="00895F32">
        <w:rPr>
          <w:rFonts w:ascii="Book Antiqua" w:eastAsia="Book Antiqua" w:hAnsi="Book Antiqua" w:cs="Book Antiqua"/>
          <w:color w:val="000000"/>
        </w:rPr>
        <w:t>potential weapon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battle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Moreover,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coffee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tea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prevalence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type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diabetes,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NAFLD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120]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542BB83" w14:textId="70E8E9D2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Another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mechanism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suppression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host.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above-mentioned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storm,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responsible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lethal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outcome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worldwide,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including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curcumin,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resveratrol,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emodin,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epigallocatechin,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gallate,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naringenin,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apigenin,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kaempferol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895F32">
        <w:rPr>
          <w:rFonts w:ascii="Book Antiqua" w:eastAsia="Book Antiqua" w:hAnsi="Book Antiqua" w:cs="Book Antiqua"/>
          <w:color w:val="000000"/>
        </w:rPr>
        <w:t>;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although,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beneficial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confirmed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studies.</w:t>
      </w:r>
    </w:p>
    <w:p w14:paraId="6C2038C0" w14:textId="2E71801B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lead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immune-mediated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liver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mediates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body’s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fight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storm,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protect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Nevertheless,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hepatoprotective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different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urgently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needed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confirm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hypothesis.</w:t>
      </w:r>
    </w:p>
    <w:p w14:paraId="2B2E0561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1F9115CF" w14:textId="0C47450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acids</w:t>
      </w:r>
    </w:p>
    <w:p w14:paraId="1BFE6930" w14:textId="5D9B6CA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players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hepatic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metabolism.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</w:t>
      </w:r>
      <w:r w:rsidR="00AB0BD5" w:rsidRPr="00895F32">
        <w:rPr>
          <w:rFonts w:ascii="Book Antiqua" w:eastAsia="Book Antiqua" w:hAnsi="Book Antiqua" w:cs="Book Antiqua"/>
          <w:color w:val="000000"/>
        </w:rPr>
        <w:t>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B0BD5" w:rsidRPr="00895F32">
        <w:rPr>
          <w:rFonts w:ascii="Book Antiqua" w:eastAsia="Book Antiqua" w:hAnsi="Book Antiqua" w:cs="Book Antiqua"/>
          <w:color w:val="000000"/>
        </w:rPr>
        <w:t>promote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7303F" w:rsidRPr="00895F32">
        <w:rPr>
          <w:rFonts w:ascii="Book Antiqua" w:eastAsia="Book Antiqua" w:hAnsi="Book Antiqua" w:cs="Book Antiqua"/>
          <w:color w:val="000000"/>
        </w:rPr>
        <w:t xml:space="preserve">decrease </w:t>
      </w:r>
      <w:r w:rsidRPr="00895F32">
        <w:rPr>
          <w:rFonts w:ascii="Book Antiqua" w:eastAsia="Book Antiqua" w:hAnsi="Book Antiqua" w:cs="Book Antiqua"/>
          <w:color w:val="000000"/>
        </w:rPr>
        <w:t>endogenous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lipid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7303F" w:rsidRPr="00895F32">
        <w:rPr>
          <w:rFonts w:ascii="Book Antiqua" w:eastAsia="Book Antiqua" w:hAnsi="Book Antiqua" w:cs="Book Antiqua"/>
          <w:color w:val="000000"/>
        </w:rPr>
        <w:t>synthesis by altering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7303F" w:rsidRPr="00895F32">
        <w:rPr>
          <w:rFonts w:ascii="Book Antiqua" w:eastAsia="Book Antiqua" w:hAnsi="Book Antiqua" w:cs="Book Antiqua"/>
          <w:color w:val="000000"/>
        </w:rPr>
        <w:t>expression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acid</w:t>
      </w:r>
      <w:r w:rsidR="002D6055" w:rsidRPr="00895F32">
        <w:rPr>
          <w:rFonts w:ascii="Book Antiqua" w:eastAsia="Book Antiqua" w:hAnsi="Book Antiqua" w:cs="Book Antiqua"/>
          <w:color w:val="000000"/>
        </w:rPr>
        <w:t>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Despite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genetic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anthropometric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factors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could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influence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eicosapentaenoic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(EPA)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docosahexaenoic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(DHA)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7F72" w:rsidRPr="00895F32">
        <w:rPr>
          <w:rFonts w:ascii="Book Antiqua" w:eastAsia="Book Antiqua" w:hAnsi="Book Antiqua" w:cs="Book Antiqua"/>
          <w:color w:val="000000"/>
        </w:rPr>
        <w:t xml:space="preserve">possess a strong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7F72" w:rsidRPr="00895F32">
        <w:rPr>
          <w:rFonts w:ascii="Book Antiqua" w:eastAsia="Book Antiqua" w:hAnsi="Book Antiqua" w:cs="Book Antiqua"/>
          <w:color w:val="000000"/>
        </w:rPr>
        <w:t>potential. Thus, 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250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mg/d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3C7F72" w:rsidRPr="00895F32">
        <w:rPr>
          <w:rFonts w:ascii="Book Antiqua" w:eastAsia="Book Antiqua" w:hAnsi="Book Antiqua" w:cs="Book Antiqua"/>
          <w:color w:val="000000"/>
        </w:rPr>
        <w:t>recommended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maint</w:t>
      </w:r>
      <w:r w:rsidR="00EB688E" w:rsidRPr="00895F32">
        <w:rPr>
          <w:rFonts w:ascii="Book Antiqua" w:eastAsia="Book Antiqua" w:hAnsi="Book Antiqua" w:cs="Book Antiqua"/>
          <w:color w:val="000000"/>
        </w:rPr>
        <w:t>aining optimal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health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Zheng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[124]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statistically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significant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association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between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obese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those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Mahamid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44A6" w:rsidRPr="00895F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46010" w:rsidRPr="00895F3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is a significant </w:t>
      </w:r>
      <w:r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factor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independently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both </w:t>
      </w:r>
      <w:r w:rsidRPr="00895F32">
        <w:rPr>
          <w:rFonts w:ascii="Book Antiqua" w:eastAsia="Book Antiqua" w:hAnsi="Book Antiqua" w:cs="Book Antiqua"/>
          <w:color w:val="000000"/>
        </w:rPr>
        <w:t>sex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>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metabolic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syndrome.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 patients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B11864" w:rsidRPr="00895F32">
        <w:rPr>
          <w:rFonts w:ascii="Book Antiqua" w:eastAsia="Book Antiqua" w:hAnsi="Book Antiqua" w:cs="Book Antiqua"/>
          <w:color w:val="000000"/>
        </w:rPr>
        <w:t>in particular thos</w:t>
      </w:r>
      <w:r w:rsidR="00E35156" w:rsidRPr="00895F32">
        <w:rPr>
          <w:rFonts w:ascii="Book Antiqua" w:eastAsia="Book Antiqua" w:hAnsi="Book Antiqua" w:cs="Book Antiqua"/>
          <w:color w:val="000000"/>
        </w:rPr>
        <w:t>e</w:t>
      </w:r>
      <w:r w:rsidR="00B11864" w:rsidRPr="00895F32">
        <w:rPr>
          <w:rFonts w:ascii="Book Antiqua" w:eastAsia="Book Antiqua" w:hAnsi="Book Antiqua" w:cs="Book Antiqua"/>
          <w:color w:val="000000"/>
        </w:rPr>
        <w:t xml:space="preserve"> with associated obesity</w:t>
      </w:r>
      <w:r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35156" w:rsidRPr="00895F32">
        <w:rPr>
          <w:rFonts w:ascii="Book Antiqua" w:eastAsia="Book Antiqua" w:hAnsi="Book Antiqua" w:cs="Book Antiqua"/>
          <w:color w:val="000000"/>
        </w:rPr>
        <w:t xml:space="preserve">commonly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impaired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35156" w:rsidRPr="00895F32">
        <w:rPr>
          <w:rFonts w:ascii="Book Antiqua" w:eastAsia="Book Antiqua" w:hAnsi="Book Antiqua" w:cs="Book Antiqua"/>
          <w:color w:val="000000"/>
        </w:rPr>
        <w:t xml:space="preserve">level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35156" w:rsidRPr="00895F32">
        <w:rPr>
          <w:rFonts w:ascii="Book Antiqua" w:eastAsia="Book Antiqua" w:hAnsi="Book Antiqua" w:cs="Book Antiqua"/>
          <w:color w:val="000000"/>
        </w:rPr>
        <w:t>an increased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omega-6/omega-3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ratio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877B48" w:rsidRPr="00895F32">
        <w:rPr>
          <w:rFonts w:ascii="Book Antiqua" w:eastAsia="Book Antiqua" w:hAnsi="Book Antiqua" w:cs="Book Antiqua"/>
          <w:color w:val="000000"/>
        </w:rPr>
        <w:t xml:space="preserve">ameliorated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A4BFD" w:rsidRPr="00895F32">
        <w:rPr>
          <w:rFonts w:ascii="Book Antiqua" w:eastAsia="Book Antiqua" w:hAnsi="Book Antiqua" w:cs="Book Antiqua"/>
          <w:color w:val="000000"/>
        </w:rPr>
        <w:t xml:space="preserve">a nutritional </w:t>
      </w:r>
      <w:proofErr w:type="gramStart"/>
      <w:r w:rsidR="00EA4BFD" w:rsidRPr="00895F32">
        <w:rPr>
          <w:rFonts w:ascii="Book Antiqua" w:eastAsia="Book Antiqua" w:hAnsi="Book Antiqua" w:cs="Book Antiqua"/>
          <w:color w:val="000000"/>
        </w:rPr>
        <w:t>intervention</w:t>
      </w:r>
      <w:r w:rsidR="001B0689" w:rsidRPr="00895F32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125,126].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1618C1" w14:textId="4DD84D66" w:rsidR="00A77B3E" w:rsidRPr="00895F32" w:rsidRDefault="00877B48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T</w:t>
      </w:r>
      <w:r w:rsidR="007E0689" w:rsidRPr="00895F32">
        <w:rPr>
          <w:rFonts w:ascii="Book Antiqua" w:eastAsia="Book Antiqua" w:hAnsi="Book Antiqua" w:cs="Book Antiqua"/>
          <w:color w:val="000000"/>
        </w:rPr>
        <w:t>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European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Society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Parenteral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Enteral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 xml:space="preserve">has recently </w:t>
      </w:r>
      <w:r w:rsidR="00E407A7" w:rsidRPr="00895F32">
        <w:rPr>
          <w:rFonts w:ascii="Book Antiqua" w:eastAsia="Book Antiqua" w:hAnsi="Book Antiqua" w:cs="Book Antiqua"/>
          <w:color w:val="000000"/>
        </w:rPr>
        <w:t>declar</w:t>
      </w:r>
      <w:r w:rsidRPr="00895F32">
        <w:rPr>
          <w:rFonts w:ascii="Book Antiqua" w:eastAsia="Book Antiqua" w:hAnsi="Book Antiqua" w:cs="Book Antiqua"/>
          <w:color w:val="000000"/>
        </w:rPr>
        <w:t xml:space="preserve">ed that </w:t>
      </w:r>
      <w:r w:rsidR="007E0689"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acids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407A7" w:rsidRPr="00895F32">
        <w:rPr>
          <w:rFonts w:ascii="Book Antiqua" w:eastAsia="Book Antiqua" w:hAnsi="Book Antiqua" w:cs="Book Antiqua"/>
          <w:color w:val="000000"/>
        </w:rPr>
        <w:t>can 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oxygenation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127,128]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5445F" w:rsidRPr="00895F32">
        <w:rPr>
          <w:rFonts w:ascii="Book Antiqua" w:eastAsia="Book Antiqua" w:hAnsi="Book Antiqua" w:cs="Book Antiqua"/>
          <w:color w:val="000000"/>
        </w:rPr>
        <w:t>Bistrian</w:t>
      </w:r>
      <w:proofErr w:type="spell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proposed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 </w:t>
      </w:r>
      <w:r w:rsidR="007E0689" w:rsidRPr="00895F32">
        <w:rPr>
          <w:rFonts w:ascii="Book Antiqua" w:eastAsia="Book Antiqua" w:hAnsi="Book Antiqua" w:cs="Book Antiqua"/>
          <w:color w:val="000000"/>
        </w:rPr>
        <w:t>parenteral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C7026" w:rsidRPr="00895F32">
        <w:rPr>
          <w:rFonts w:ascii="Book Antiqua" w:eastAsia="Book Antiqua" w:hAnsi="Book Antiqua" w:cs="Book Antiqua"/>
          <w:color w:val="000000"/>
        </w:rPr>
        <w:t xml:space="preserve">with high doses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EPA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DHA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(4–6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g/d),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C7026" w:rsidRPr="00895F32">
        <w:rPr>
          <w:rFonts w:ascii="Book Antiqua" w:eastAsia="Book Antiqua" w:hAnsi="Book Antiqua" w:cs="Book Antiqua"/>
          <w:color w:val="000000"/>
        </w:rPr>
        <w:t xml:space="preserve">for </w:t>
      </w:r>
      <w:r w:rsidR="007E0689" w:rsidRPr="00895F32">
        <w:rPr>
          <w:rFonts w:ascii="Book Antiqua" w:eastAsia="Book Antiqua" w:hAnsi="Book Antiqua" w:cs="Book Antiqua"/>
          <w:color w:val="000000"/>
        </w:rPr>
        <w:t>treat</w:t>
      </w:r>
      <w:r w:rsidR="007C7026" w:rsidRPr="00895F32">
        <w:rPr>
          <w:rFonts w:ascii="Book Antiqua" w:eastAsia="Book Antiqua" w:hAnsi="Book Antiqua" w:cs="Book Antiqua"/>
          <w:color w:val="000000"/>
        </w:rPr>
        <w:t>ment 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severe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C7026" w:rsidRPr="00895F32">
        <w:rPr>
          <w:rFonts w:ascii="Book Antiqua" w:eastAsia="Book Antiqua" w:hAnsi="Book Antiqua" w:cs="Book Antiqua"/>
          <w:color w:val="000000"/>
        </w:rPr>
        <w:t>COVID-19</w:t>
      </w:r>
      <w:r w:rsidR="007E0689" w:rsidRPr="00895F32">
        <w:rPr>
          <w:rFonts w:ascii="Book Antiqua" w:eastAsia="Book Antiqua" w:hAnsi="Book Antiqua" w:cs="Book Antiqua"/>
          <w:color w:val="000000"/>
        </w:rPr>
        <w:t>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inhibit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cytokine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421520" w:rsidRPr="00895F32">
        <w:rPr>
          <w:rFonts w:ascii="Book Antiqua" w:eastAsia="Book Antiqua" w:hAnsi="Book Antiqua" w:cs="Book Antiqua"/>
          <w:color w:val="000000"/>
        </w:rPr>
        <w:t xml:space="preserve">storm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31CE4" w:rsidRPr="00895F32">
        <w:rPr>
          <w:rFonts w:ascii="Book Antiqua" w:eastAsia="Book Antiqua" w:hAnsi="Book Antiqua" w:cs="Book Antiqua"/>
          <w:color w:val="000000"/>
        </w:rPr>
        <w:t xml:space="preserve">reduce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inflammat</w:t>
      </w:r>
      <w:r w:rsidR="00731CE4" w:rsidRPr="00895F32">
        <w:rPr>
          <w:rFonts w:ascii="Book Antiqua" w:eastAsia="Book Antiqua" w:hAnsi="Book Antiqua" w:cs="Book Antiqua"/>
          <w:color w:val="000000"/>
        </w:rPr>
        <w:t>ion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6717B" w:rsidRPr="00895F32">
        <w:rPr>
          <w:rFonts w:ascii="Book Antiqua" w:eastAsia="Book Antiqua" w:hAnsi="Book Antiqua" w:cs="Book Antiqua"/>
          <w:color w:val="000000"/>
        </w:rPr>
        <w:t xml:space="preserve">possible </w:t>
      </w:r>
      <w:r w:rsidR="007E0689" w:rsidRPr="00895F32">
        <w:rPr>
          <w:rFonts w:ascii="Book Antiqua" w:eastAsia="Book Antiqua" w:hAnsi="Book Antiqua" w:cs="Book Antiqua"/>
          <w:color w:val="000000"/>
        </w:rPr>
        <w:t>benefits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31CE4" w:rsidRPr="00895F32">
        <w:rPr>
          <w:rFonts w:ascii="Book Antiqua" w:eastAsia="Book Antiqua" w:hAnsi="Book Antiqua" w:cs="Book Antiqua"/>
          <w:color w:val="000000"/>
        </w:rPr>
        <w:t>int</w:t>
      </w:r>
      <w:r w:rsidR="006064D8" w:rsidRPr="00895F32">
        <w:rPr>
          <w:rFonts w:ascii="Book Antiqua" w:eastAsia="Book Antiqua" w:hAnsi="Book Antiqua" w:cs="Book Antiqua"/>
          <w:color w:val="000000"/>
        </w:rPr>
        <w:t>ervention</w:t>
      </w:r>
      <w:r w:rsidR="00731CE4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reviewed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authors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concluded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although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EPA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DHA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E6717B" w:rsidRPr="00895F32">
        <w:rPr>
          <w:rFonts w:ascii="Book Antiqua" w:eastAsia="Book Antiqua" w:hAnsi="Book Antiqua" w:cs="Book Antiqua"/>
          <w:color w:val="000000"/>
        </w:rPr>
        <w:t xml:space="preserve">positively affect </w:t>
      </w:r>
      <w:r w:rsidR="00FA7A7E" w:rsidRPr="00895F32">
        <w:rPr>
          <w:rFonts w:ascii="Book Antiqua" w:eastAsia="Book Antiqua" w:hAnsi="Book Antiqua" w:cs="Book Antiqua"/>
          <w:color w:val="000000"/>
        </w:rPr>
        <w:t xml:space="preserve">resolution of </w:t>
      </w:r>
      <w:r w:rsidR="007E0689" w:rsidRPr="00895F32">
        <w:rPr>
          <w:rFonts w:ascii="Book Antiqua" w:eastAsia="Book Antiqua" w:hAnsi="Book Antiqua" w:cs="Book Antiqua"/>
          <w:color w:val="000000"/>
        </w:rPr>
        <w:t>inflammation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recovery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excess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A7A7E" w:rsidRPr="00895F32">
        <w:rPr>
          <w:rFonts w:ascii="Book Antiqua" w:eastAsia="Book Antiqua" w:hAnsi="Book Antiqua" w:cs="Book Antiqua"/>
          <w:color w:val="000000"/>
        </w:rPr>
        <w:t>EPA and/or DHA</w:t>
      </w:r>
      <w:r w:rsidR="0076509C" w:rsidRPr="00895F32">
        <w:rPr>
          <w:rFonts w:ascii="Book Antiqua" w:eastAsia="Book Antiqua" w:hAnsi="Book Antiqua" w:cs="Book Antiqua"/>
          <w:color w:val="000000"/>
        </w:rPr>
        <w:t xml:space="preserve"> can induce </w:t>
      </w:r>
      <w:r w:rsidR="001B0689" w:rsidRPr="00895F32">
        <w:rPr>
          <w:rFonts w:ascii="Book Antiqua" w:eastAsia="Book Antiqua" w:hAnsi="Book Antiqua" w:cs="Book Antiqua"/>
          <w:color w:val="000000"/>
        </w:rPr>
        <w:t>LPO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membranes</w:t>
      </w:r>
      <w:r w:rsidR="0076509C" w:rsidRPr="00895F32">
        <w:rPr>
          <w:rFonts w:ascii="Book Antiqua" w:eastAsia="Book Antiqua" w:hAnsi="Book Antiqua" w:cs="Book Antiqua"/>
          <w:color w:val="000000"/>
        </w:rPr>
        <w:t xml:space="preserve">, resulting in </w:t>
      </w:r>
      <w:r w:rsidR="007E0689" w:rsidRPr="00895F32">
        <w:rPr>
          <w:rFonts w:ascii="Book Antiqua" w:eastAsia="Book Antiqua" w:hAnsi="Book Antiqua" w:cs="Book Antiqua"/>
          <w:color w:val="000000"/>
        </w:rPr>
        <w:t>cell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6509C" w:rsidRPr="00895F32">
        <w:rPr>
          <w:rFonts w:ascii="Book Antiqua" w:eastAsia="Book Antiqua" w:hAnsi="Book Antiqua" w:cs="Book Antiqua"/>
          <w:color w:val="000000"/>
        </w:rPr>
        <w:t xml:space="preserve">due to elevated oxidative stress. This could be prevented by a concomitant supplementation with </w:t>
      </w:r>
      <w:r w:rsidR="007E0689" w:rsidRPr="00895F32">
        <w:rPr>
          <w:rFonts w:ascii="Book Antiqua" w:eastAsia="Book Antiqua" w:hAnsi="Book Antiqua" w:cs="Book Antiqua"/>
          <w:color w:val="000000"/>
        </w:rPr>
        <w:t>antioxidants,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vitamin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0689" w:rsidRPr="00895F32">
        <w:rPr>
          <w:rFonts w:ascii="Book Antiqua" w:eastAsia="Book Antiqua" w:hAnsi="Book Antiqua" w:cs="Book Antiqua"/>
          <w:color w:val="000000"/>
        </w:rPr>
        <w:t>E</w:t>
      </w:r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689" w:rsidRPr="00895F32">
        <w:rPr>
          <w:rFonts w:ascii="Book Antiqua" w:eastAsia="Book Antiqua" w:hAnsi="Book Antiqua" w:cs="Book Antiqua"/>
          <w:color w:val="000000"/>
          <w:vertAlign w:val="superscript"/>
        </w:rPr>
        <w:t>30,36]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based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trials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been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completed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date,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A67F7E" w:rsidRPr="00895F32">
        <w:rPr>
          <w:rFonts w:ascii="Book Antiqua" w:eastAsia="Book Antiqua" w:hAnsi="Book Antiqua" w:cs="Book Antiqua"/>
          <w:color w:val="000000"/>
        </w:rPr>
        <w:t>still difficult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determine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064D8" w:rsidRPr="00895F32">
        <w:rPr>
          <w:rFonts w:ascii="Book Antiqua" w:eastAsia="Book Antiqua" w:hAnsi="Book Antiqua" w:cs="Book Antiqua"/>
          <w:color w:val="000000"/>
        </w:rPr>
        <w:t xml:space="preserve">optimal </w:t>
      </w:r>
      <w:r w:rsidR="007E0689" w:rsidRPr="00895F32">
        <w:rPr>
          <w:rFonts w:ascii="Book Antiqua" w:eastAsia="Book Antiqua" w:hAnsi="Book Antiqua" w:cs="Book Antiqua"/>
          <w:color w:val="000000"/>
        </w:rPr>
        <w:t>dose,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route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064D8" w:rsidRPr="00895F32">
        <w:rPr>
          <w:rFonts w:ascii="Book Antiqua" w:eastAsia="Book Antiqua" w:hAnsi="Book Antiqua" w:cs="Book Antiqua"/>
          <w:color w:val="000000"/>
        </w:rPr>
        <w:t xml:space="preserve">and timing </w:t>
      </w:r>
      <w:r w:rsidR="007E0689"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6064D8" w:rsidRPr="00895F32">
        <w:rPr>
          <w:rFonts w:ascii="Book Antiqua" w:eastAsia="Book Antiqua" w:hAnsi="Book Antiqua" w:cs="Book Antiqua"/>
          <w:color w:val="000000"/>
        </w:rPr>
        <w:t xml:space="preserve">omega-3 fatty acids </w:t>
      </w:r>
      <w:r w:rsidR="007E0689" w:rsidRPr="00895F32">
        <w:rPr>
          <w:rFonts w:ascii="Book Antiqua" w:eastAsia="Book Antiqua" w:hAnsi="Book Antiqua" w:cs="Book Antiqua"/>
          <w:color w:val="000000"/>
        </w:rPr>
        <w:t>administration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</w:t>
      </w:r>
      <w:r w:rsidR="006064D8" w:rsidRPr="00895F32">
        <w:rPr>
          <w:rFonts w:ascii="Book Antiqua" w:eastAsia="Book Antiqua" w:hAnsi="Book Antiqua" w:cs="Book Antiqua"/>
          <w:color w:val="000000"/>
        </w:rPr>
        <w:t xml:space="preserve"> patients</w:t>
      </w:r>
      <w:r w:rsidR="007E0689"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Until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randomized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clinical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test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data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validated,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omega-3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fatty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supplementation,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especially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doses,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must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be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performed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carefully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patients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7E0689" w:rsidRPr="00895F32">
        <w:rPr>
          <w:rFonts w:ascii="Book Antiqua" w:eastAsia="Book Antiqua" w:hAnsi="Book Antiqua" w:cs="Book Antiqua"/>
          <w:color w:val="000000"/>
        </w:rPr>
        <w:t>COVID-19.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CC04E14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487FFDF4" w14:textId="1E80D3C2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>patterns</w:t>
      </w:r>
      <w:r w:rsidR="005C44A6" w:rsidRPr="00895F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13E4551" w14:textId="39A621FA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pandemic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provides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researchers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new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opportunities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keep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public,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especially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those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high-risk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groups,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constantly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informed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potential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benefits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good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healthy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habits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therapy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[40,131]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vulnerable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elderly,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declined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gastrointestinal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uptake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micronutrients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macronutrients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Many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have shown association </w:t>
      </w:r>
      <w:r w:rsidR="00A50FA1" w:rsidRPr="00895F32">
        <w:rPr>
          <w:rFonts w:ascii="Book Antiqua" w:eastAsia="Book Antiqua" w:hAnsi="Book Antiqua" w:cs="Book Antiqua"/>
          <w:color w:val="000000"/>
        </w:rPr>
        <w:t>between 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plant foods, </w:t>
      </w:r>
      <w:r w:rsidRPr="00895F32">
        <w:rPr>
          <w:rFonts w:ascii="Book Antiqua" w:eastAsia="Book Antiqua" w:hAnsi="Book Antiqua" w:cs="Book Antiqua"/>
          <w:color w:val="000000"/>
        </w:rPr>
        <w:t>fruit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 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vegetables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97358C" w:rsidRPr="00895F32">
        <w:rPr>
          <w:rFonts w:ascii="Book Antiqua" w:eastAsia="Book Antiqua" w:hAnsi="Book Antiqua" w:cs="Book Antiqua"/>
          <w:color w:val="000000"/>
        </w:rPr>
        <w:t xml:space="preserve">and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levels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FB1661" w:rsidRPr="00895F32">
        <w:rPr>
          <w:rFonts w:ascii="Book Antiqua" w:eastAsia="Book Antiqua" w:hAnsi="Book Antiqua" w:cs="Book Antiqua"/>
          <w:color w:val="000000"/>
        </w:rPr>
        <w:t>parameters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7CF61FCB" w14:textId="3F77AFB3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There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strong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evidence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A66DF" w:rsidRPr="00895F32">
        <w:rPr>
          <w:rFonts w:ascii="Book Antiqua" w:eastAsia="Book Antiqua" w:hAnsi="Book Antiqua" w:cs="Book Antiqua"/>
          <w:color w:val="000000"/>
        </w:rPr>
        <w:t>favorable</w:t>
      </w:r>
      <w:r w:rsidR="00FB1661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A66DF" w:rsidRPr="00895F32">
        <w:rPr>
          <w:rFonts w:ascii="Book Antiqua" w:eastAsia="Book Antiqua" w:hAnsi="Book Antiqua" w:cs="Book Antiqua"/>
          <w:color w:val="000000"/>
        </w:rPr>
        <w:t xml:space="preserve">impact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Mediterranean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IL-6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66DF" w:rsidRPr="00895F32">
        <w:rPr>
          <w:rFonts w:ascii="Book Antiqua" w:eastAsia="Book Antiqua" w:hAnsi="Book Antiqua" w:cs="Book Antiqua"/>
          <w:color w:val="000000"/>
        </w:rPr>
        <w:t>values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Traditionally,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Mediterranean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characterized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simple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carbohydrates,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high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consumption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olive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oil,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fiber,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fresh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fruit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vegetables,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legumes,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whole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grains,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olives,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fish,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moderate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consumption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dairy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</w:t>
      </w:r>
      <w:r w:rsidR="00195915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="005A66DF"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poultry,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low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meat,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many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condiments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spices,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regular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moderate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intake.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Oleic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acid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consumption,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abundant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olive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oil,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feature.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components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directly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synthesis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various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enzymes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tissue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generated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stress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092EBA31" w14:textId="12561C5B" w:rsidR="00A77B3E" w:rsidRPr="00895F32" w:rsidRDefault="007E0689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Numerous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studies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also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shown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anti-inflammatory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effect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approach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stop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hypertension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(referred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DASH)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diet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nutrients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(bayberry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juice,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chocolate,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onion,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lettuce,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tomato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products)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TAC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plasma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thereby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reduce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NAFLD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through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modifications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well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documented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However,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support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help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battle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against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improving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immune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responses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aiding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95F32">
        <w:rPr>
          <w:rFonts w:ascii="Book Antiqua" w:eastAsia="Book Antiqua" w:hAnsi="Book Antiqua" w:cs="Book Antiqua"/>
          <w:color w:val="000000"/>
        </w:rPr>
        <w:t>processes</w:t>
      </w:r>
      <w:r w:rsidRPr="00895F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95F32">
        <w:rPr>
          <w:rFonts w:ascii="Book Antiqua" w:eastAsia="Book Antiqua" w:hAnsi="Book Antiqua" w:cs="Book Antiqua"/>
          <w:color w:val="000000"/>
          <w:vertAlign w:val="superscript"/>
        </w:rPr>
        <w:t>40,136]</w:t>
      </w:r>
      <w:r w:rsidRPr="00895F32">
        <w:rPr>
          <w:rFonts w:ascii="Book Antiqua" w:eastAsia="Book Antiqua" w:hAnsi="Book Antiqua" w:cs="Book Antiqua"/>
          <w:color w:val="000000"/>
        </w:rPr>
        <w:t>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60A99EA0" w14:textId="77777777" w:rsidR="00A77B3E" w:rsidRPr="00895F32" w:rsidRDefault="00A77B3E" w:rsidP="00895F32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66373C23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0AE6A6" w14:textId="376E4293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Foods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vitamins,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minerals,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polyphenols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bioactive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compounds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decrease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inflammatory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pathway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activity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prevent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liver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damage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patients.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additional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aspect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ability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control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oxidative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stress.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pandemic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crisis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respect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nutrients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recognize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deficiencies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intervene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status.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Constant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public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informing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about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balanced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diet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healthy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eating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habits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C44A6" w:rsidRPr="00895F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SARS-CoV-2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infection.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</w:p>
    <w:p w14:paraId="6D3F69A2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46B75" w14:textId="77777777" w:rsidR="00A77B3E" w:rsidRPr="00B923C4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75E">
        <w:rPr>
          <w:rFonts w:ascii="Book Antiqua" w:eastAsia="Book Antiqua" w:hAnsi="Book Antiqua" w:cs="Book Antiqua"/>
          <w:b/>
        </w:rPr>
        <w:t>REFERENCES</w:t>
      </w:r>
    </w:p>
    <w:p w14:paraId="35465D0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1 </w:t>
      </w:r>
      <w:proofErr w:type="spellStart"/>
      <w:r w:rsidRPr="00D7475E">
        <w:rPr>
          <w:rFonts w:ascii="Book Antiqua" w:hAnsi="Book Antiqua"/>
          <w:b/>
          <w:bCs/>
        </w:rPr>
        <w:t>Lizardo-Thiebaud</w:t>
      </w:r>
      <w:proofErr w:type="spellEnd"/>
      <w:r w:rsidRPr="00D7475E">
        <w:rPr>
          <w:rFonts w:ascii="Book Antiqua" w:hAnsi="Book Antiqua"/>
          <w:b/>
          <w:bCs/>
        </w:rPr>
        <w:t xml:space="preserve"> MJ</w:t>
      </w:r>
      <w:r w:rsidRPr="00D7475E">
        <w:rPr>
          <w:rFonts w:ascii="Book Antiqua" w:hAnsi="Book Antiqua"/>
        </w:rPr>
        <w:t xml:space="preserve">, Cervantes-Alvarez E, Limon-de la Rosa N, Tejeda-Dominguez F, Palacios-Jimenez M, Méndez-Guerrero O, </w:t>
      </w:r>
      <w:proofErr w:type="spellStart"/>
      <w:r w:rsidRPr="00D7475E">
        <w:rPr>
          <w:rFonts w:ascii="Book Antiqua" w:hAnsi="Book Antiqua"/>
        </w:rPr>
        <w:t>Delaye</w:t>
      </w:r>
      <w:proofErr w:type="spellEnd"/>
      <w:r w:rsidRPr="00D7475E">
        <w:rPr>
          <w:rFonts w:ascii="Book Antiqua" w:hAnsi="Book Antiqua"/>
        </w:rPr>
        <w:t xml:space="preserve">-Martinez M, Rodriguez-Alvarez F, Romero-Morales B, Liu WH, Huang CA, </w:t>
      </w:r>
      <w:proofErr w:type="spellStart"/>
      <w:r w:rsidRPr="00D7475E">
        <w:rPr>
          <w:rFonts w:ascii="Book Antiqua" w:hAnsi="Book Antiqua"/>
        </w:rPr>
        <w:t>Kershenobich</w:t>
      </w:r>
      <w:proofErr w:type="spellEnd"/>
      <w:r w:rsidRPr="00D7475E">
        <w:rPr>
          <w:rFonts w:ascii="Book Antiqua" w:hAnsi="Book Antiqua"/>
        </w:rPr>
        <w:t xml:space="preserve"> D, Navarro-Alvarez N. Direct or Collateral Liver Damage in SARS-CoV-2-Infected Patients. </w:t>
      </w:r>
      <w:r w:rsidRPr="00D7475E">
        <w:rPr>
          <w:rFonts w:ascii="Book Antiqua" w:hAnsi="Book Antiqua"/>
          <w:i/>
          <w:iCs/>
        </w:rPr>
        <w:t>Semin Liver Dis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40</w:t>
      </w:r>
      <w:r w:rsidRPr="00D7475E">
        <w:rPr>
          <w:rFonts w:ascii="Book Antiqua" w:hAnsi="Book Antiqua"/>
        </w:rPr>
        <w:t>: 321-330 [PMID: 32886936 DOI: 10.1055/s-0040-1715108]</w:t>
      </w:r>
    </w:p>
    <w:p w14:paraId="676B9801" w14:textId="2A7E800F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2 </w:t>
      </w:r>
      <w:proofErr w:type="spellStart"/>
      <w:r w:rsidRPr="00D7475E">
        <w:rPr>
          <w:rFonts w:ascii="Book Antiqua" w:hAnsi="Book Antiqua"/>
          <w:b/>
          <w:bCs/>
        </w:rPr>
        <w:t>Beltrán-García</w:t>
      </w:r>
      <w:proofErr w:type="spellEnd"/>
      <w:r w:rsidRPr="00D7475E">
        <w:rPr>
          <w:rFonts w:ascii="Book Antiqua" w:hAnsi="Book Antiqua"/>
          <w:b/>
          <w:bCs/>
        </w:rPr>
        <w:t xml:space="preserve"> J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Osca-Verdegal</w:t>
      </w:r>
      <w:proofErr w:type="spellEnd"/>
      <w:r w:rsidRPr="00D7475E">
        <w:rPr>
          <w:rFonts w:ascii="Book Antiqua" w:hAnsi="Book Antiqua"/>
        </w:rPr>
        <w:t xml:space="preserve"> R, </w:t>
      </w:r>
      <w:proofErr w:type="spellStart"/>
      <w:r w:rsidRPr="00D7475E">
        <w:rPr>
          <w:rFonts w:ascii="Book Antiqua" w:hAnsi="Book Antiqua"/>
        </w:rPr>
        <w:t>Pallardó</w:t>
      </w:r>
      <w:proofErr w:type="spellEnd"/>
      <w:r w:rsidRPr="00D7475E">
        <w:rPr>
          <w:rFonts w:ascii="Book Antiqua" w:hAnsi="Book Antiqua"/>
        </w:rPr>
        <w:t xml:space="preserve"> FV, </w:t>
      </w:r>
      <w:proofErr w:type="spellStart"/>
      <w:r w:rsidRPr="00D7475E">
        <w:rPr>
          <w:rFonts w:ascii="Book Antiqua" w:hAnsi="Book Antiqua"/>
        </w:rPr>
        <w:t>Ferreres</w:t>
      </w:r>
      <w:proofErr w:type="spellEnd"/>
      <w:r w:rsidRPr="00D7475E">
        <w:rPr>
          <w:rFonts w:ascii="Book Antiqua" w:hAnsi="Book Antiqua"/>
        </w:rPr>
        <w:t xml:space="preserve"> J, Rodríguez M, </w:t>
      </w:r>
      <w:proofErr w:type="spellStart"/>
      <w:r w:rsidRPr="00D7475E">
        <w:rPr>
          <w:rFonts w:ascii="Book Antiqua" w:hAnsi="Book Antiqua"/>
        </w:rPr>
        <w:t>Mulet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Sanchis-Gomar</w:t>
      </w:r>
      <w:proofErr w:type="spellEnd"/>
      <w:r w:rsidRPr="00D7475E">
        <w:rPr>
          <w:rFonts w:ascii="Book Antiqua" w:hAnsi="Book Antiqua"/>
        </w:rPr>
        <w:t xml:space="preserve"> F, </w:t>
      </w:r>
      <w:proofErr w:type="spellStart"/>
      <w:r w:rsidRPr="00D7475E">
        <w:rPr>
          <w:rFonts w:ascii="Book Antiqua" w:hAnsi="Book Antiqua"/>
        </w:rPr>
        <w:t>Carbonell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García-Giménez</w:t>
      </w:r>
      <w:proofErr w:type="spellEnd"/>
      <w:r w:rsidRPr="00D7475E">
        <w:rPr>
          <w:rFonts w:ascii="Book Antiqua" w:hAnsi="Book Antiqua"/>
        </w:rPr>
        <w:t xml:space="preserve"> JL. Oxidative Stress and Inflammation in COVID-19-Associated Sepsis: The Potential Role of Anti-Oxidant Therapy in Avoiding Disease Progression. </w:t>
      </w:r>
      <w:r w:rsidRPr="00D7475E">
        <w:rPr>
          <w:rFonts w:ascii="Book Antiqua" w:hAnsi="Book Antiqua"/>
          <w:i/>
          <w:iCs/>
        </w:rPr>
        <w:t>Antioxidants (Basel)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Pr="00D7475E">
        <w:rPr>
          <w:rFonts w:ascii="Book Antiqua" w:hAnsi="Book Antiqua"/>
        </w:rPr>
        <w:t>: 936 [PMID: 33003552 DOI: 10.3390/antiox9100936]</w:t>
      </w:r>
    </w:p>
    <w:p w14:paraId="25B33CA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3 </w:t>
      </w:r>
      <w:proofErr w:type="spellStart"/>
      <w:r w:rsidRPr="00D7475E">
        <w:rPr>
          <w:rFonts w:ascii="Book Antiqua" w:hAnsi="Book Antiqua"/>
          <w:b/>
          <w:bCs/>
        </w:rPr>
        <w:t>Laforge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Elbim</w:t>
      </w:r>
      <w:proofErr w:type="spellEnd"/>
      <w:r w:rsidRPr="00D7475E">
        <w:rPr>
          <w:rFonts w:ascii="Book Antiqua" w:hAnsi="Book Antiqua"/>
        </w:rPr>
        <w:t xml:space="preserve"> C, Frère C, </w:t>
      </w:r>
      <w:proofErr w:type="spellStart"/>
      <w:r w:rsidRPr="00D7475E">
        <w:rPr>
          <w:rFonts w:ascii="Book Antiqua" w:hAnsi="Book Antiqua"/>
        </w:rPr>
        <w:t>Hémadi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Massaad</w:t>
      </w:r>
      <w:proofErr w:type="spellEnd"/>
      <w:r w:rsidRPr="00D7475E">
        <w:rPr>
          <w:rFonts w:ascii="Book Antiqua" w:hAnsi="Book Antiqua"/>
        </w:rPr>
        <w:t xml:space="preserve"> C, </w:t>
      </w:r>
      <w:proofErr w:type="spellStart"/>
      <w:r w:rsidRPr="00D7475E">
        <w:rPr>
          <w:rFonts w:ascii="Book Antiqua" w:hAnsi="Book Antiqua"/>
        </w:rPr>
        <w:t>Nuss</w:t>
      </w:r>
      <w:proofErr w:type="spellEnd"/>
      <w:r w:rsidRPr="00D7475E">
        <w:rPr>
          <w:rFonts w:ascii="Book Antiqua" w:hAnsi="Book Antiqua"/>
        </w:rPr>
        <w:t xml:space="preserve"> P, </w:t>
      </w:r>
      <w:proofErr w:type="spellStart"/>
      <w:r w:rsidRPr="00D7475E">
        <w:rPr>
          <w:rFonts w:ascii="Book Antiqua" w:hAnsi="Book Antiqua"/>
        </w:rPr>
        <w:t>Benoliel</w:t>
      </w:r>
      <w:proofErr w:type="spellEnd"/>
      <w:r w:rsidRPr="00D7475E">
        <w:rPr>
          <w:rFonts w:ascii="Book Antiqua" w:hAnsi="Book Antiqua"/>
        </w:rPr>
        <w:t xml:space="preserve"> JJ, Becker C. Tissue damage from neutrophil-induced oxidative stress in COVID-19. </w:t>
      </w:r>
      <w:r w:rsidRPr="00D7475E">
        <w:rPr>
          <w:rFonts w:ascii="Book Antiqua" w:hAnsi="Book Antiqua"/>
          <w:i/>
          <w:iCs/>
        </w:rPr>
        <w:t>Nat Rev Immunol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20</w:t>
      </w:r>
      <w:r w:rsidRPr="00D7475E">
        <w:rPr>
          <w:rFonts w:ascii="Book Antiqua" w:hAnsi="Book Antiqua"/>
        </w:rPr>
        <w:t>: 515-516 [PMID: 32728221 DOI: 10.1038/s41577-020-0407-1]</w:t>
      </w:r>
    </w:p>
    <w:p w14:paraId="68298CE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4 </w:t>
      </w:r>
      <w:proofErr w:type="spellStart"/>
      <w:r w:rsidRPr="00D7475E">
        <w:rPr>
          <w:rFonts w:ascii="Book Antiqua" w:hAnsi="Book Antiqua"/>
          <w:b/>
          <w:bCs/>
        </w:rPr>
        <w:t>Soldo</w:t>
      </w:r>
      <w:proofErr w:type="spellEnd"/>
      <w:r w:rsidRPr="00D7475E">
        <w:rPr>
          <w:rFonts w:ascii="Book Antiqua" w:hAnsi="Book Antiqua"/>
          <w:b/>
          <w:bCs/>
        </w:rPr>
        <w:t xml:space="preserve"> J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Heni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Königsrainer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Häring</w:t>
      </w:r>
      <w:proofErr w:type="spellEnd"/>
      <w:r w:rsidRPr="00D7475E">
        <w:rPr>
          <w:rFonts w:ascii="Book Antiqua" w:hAnsi="Book Antiqua"/>
        </w:rPr>
        <w:t xml:space="preserve"> HU, </w:t>
      </w:r>
      <w:proofErr w:type="spellStart"/>
      <w:r w:rsidRPr="00D7475E">
        <w:rPr>
          <w:rFonts w:ascii="Book Antiqua" w:hAnsi="Book Antiqua"/>
        </w:rPr>
        <w:t>Birkenfeld</w:t>
      </w:r>
      <w:proofErr w:type="spellEnd"/>
      <w:r w:rsidRPr="00D7475E">
        <w:rPr>
          <w:rFonts w:ascii="Book Antiqua" w:hAnsi="Book Antiqua"/>
        </w:rPr>
        <w:t xml:space="preserve"> AL, Peter A. Increased Hepatic ACE2 Expression in NAFL and Diabetes-A Risk for COVID-19 Patients? </w:t>
      </w:r>
      <w:r w:rsidRPr="00D7475E">
        <w:rPr>
          <w:rFonts w:ascii="Book Antiqua" w:hAnsi="Book Antiqua"/>
          <w:i/>
          <w:iCs/>
        </w:rPr>
        <w:t>Diabetes Care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43</w:t>
      </w:r>
      <w:r w:rsidRPr="00D7475E">
        <w:rPr>
          <w:rFonts w:ascii="Book Antiqua" w:hAnsi="Book Antiqua"/>
        </w:rPr>
        <w:t>: e134-e136 [PMID: 32753456 DOI: 10.2337/dc20-1458]</w:t>
      </w:r>
    </w:p>
    <w:p w14:paraId="1D10794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5 </w:t>
      </w:r>
      <w:proofErr w:type="spellStart"/>
      <w:r w:rsidRPr="00D7475E">
        <w:rPr>
          <w:rFonts w:ascii="Book Antiqua" w:hAnsi="Book Antiqua"/>
          <w:b/>
          <w:bCs/>
        </w:rPr>
        <w:t>Nardo</w:t>
      </w:r>
      <w:proofErr w:type="spellEnd"/>
      <w:r w:rsidRPr="00D7475E">
        <w:rPr>
          <w:rFonts w:ascii="Book Antiqua" w:hAnsi="Book Antiqua"/>
          <w:b/>
          <w:bCs/>
        </w:rPr>
        <w:t xml:space="preserve"> AD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Schneeweiss-Gleixner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Bakail</w:t>
      </w:r>
      <w:proofErr w:type="spellEnd"/>
      <w:r w:rsidRPr="00D7475E">
        <w:rPr>
          <w:rFonts w:ascii="Book Antiqua" w:hAnsi="Book Antiqua"/>
        </w:rPr>
        <w:t xml:space="preserve"> M, Dixon ED, Lax SF, </w:t>
      </w:r>
      <w:proofErr w:type="spellStart"/>
      <w:r w:rsidRPr="00D7475E">
        <w:rPr>
          <w:rFonts w:ascii="Book Antiqua" w:hAnsi="Book Antiqua"/>
        </w:rPr>
        <w:t>Trauner</w:t>
      </w:r>
      <w:proofErr w:type="spellEnd"/>
      <w:r w:rsidRPr="00D7475E">
        <w:rPr>
          <w:rFonts w:ascii="Book Antiqua" w:hAnsi="Book Antiqua"/>
        </w:rPr>
        <w:t xml:space="preserve"> M. Pathophysiological mechanisms of liver injury in COVID-19. </w:t>
      </w:r>
      <w:r w:rsidRPr="00D7475E">
        <w:rPr>
          <w:rFonts w:ascii="Book Antiqua" w:hAnsi="Book Antiqua"/>
          <w:i/>
          <w:iCs/>
        </w:rPr>
        <w:t>Liver Int</w:t>
      </w:r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41</w:t>
      </w:r>
      <w:r w:rsidRPr="00D7475E">
        <w:rPr>
          <w:rFonts w:ascii="Book Antiqua" w:hAnsi="Book Antiqua"/>
        </w:rPr>
        <w:t>: 20-32 [PMID: 33190346 DOI: 10.1111/liv.14730]</w:t>
      </w:r>
    </w:p>
    <w:p w14:paraId="1C087095" w14:textId="7B8752B1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nl-NL"/>
        </w:rPr>
      </w:pPr>
      <w:r w:rsidRPr="00D7475E">
        <w:rPr>
          <w:rFonts w:ascii="Book Antiqua" w:hAnsi="Book Antiqua"/>
        </w:rPr>
        <w:t>6 </w:t>
      </w:r>
      <w:r w:rsidRPr="00D7475E">
        <w:rPr>
          <w:rFonts w:ascii="Book Antiqua" w:hAnsi="Book Antiqua"/>
          <w:b/>
          <w:bCs/>
        </w:rPr>
        <w:t>Morgan K</w:t>
      </w:r>
      <w:r w:rsidRPr="00D7475E">
        <w:rPr>
          <w:rFonts w:ascii="Book Antiqua" w:hAnsi="Book Antiqua"/>
        </w:rPr>
        <w:t xml:space="preserve">, Samuel K, </w:t>
      </w:r>
      <w:proofErr w:type="spellStart"/>
      <w:r w:rsidRPr="00D7475E">
        <w:rPr>
          <w:rFonts w:ascii="Book Antiqua" w:hAnsi="Book Antiqua"/>
        </w:rPr>
        <w:t>Vandeputte</w:t>
      </w:r>
      <w:proofErr w:type="spellEnd"/>
      <w:r w:rsidRPr="00D7475E">
        <w:rPr>
          <w:rFonts w:ascii="Book Antiqua" w:hAnsi="Book Antiqua"/>
        </w:rPr>
        <w:t xml:space="preserve"> M, Hayes PC, </w:t>
      </w:r>
      <w:proofErr w:type="spellStart"/>
      <w:r w:rsidRPr="00D7475E">
        <w:rPr>
          <w:rFonts w:ascii="Book Antiqua" w:hAnsi="Book Antiqua"/>
        </w:rPr>
        <w:t>Plevris</w:t>
      </w:r>
      <w:proofErr w:type="spellEnd"/>
      <w:r w:rsidRPr="00D7475E">
        <w:rPr>
          <w:rFonts w:ascii="Book Antiqua" w:hAnsi="Book Antiqua"/>
        </w:rPr>
        <w:t xml:space="preserve"> JN. SARS-CoV-2 Infection and the Liver. </w:t>
      </w:r>
      <w:r w:rsidRPr="00D7475E">
        <w:rPr>
          <w:rFonts w:ascii="Book Antiqua" w:hAnsi="Book Antiqua"/>
          <w:i/>
          <w:iCs/>
          <w:lang w:val="nl-NL"/>
        </w:rPr>
        <w:t>Pathogens</w:t>
      </w:r>
      <w:r w:rsidRPr="00D7475E">
        <w:rPr>
          <w:rFonts w:ascii="Book Antiqua" w:hAnsi="Book Antiqua"/>
          <w:lang w:val="nl-NL"/>
        </w:rPr>
        <w:t> 2020; </w:t>
      </w:r>
      <w:r w:rsidRPr="00D7475E">
        <w:rPr>
          <w:rFonts w:ascii="Book Antiqua" w:hAnsi="Book Antiqua"/>
          <w:b/>
          <w:bCs/>
          <w:lang w:val="nl-NL"/>
        </w:rPr>
        <w:t>9</w:t>
      </w:r>
      <w:r w:rsidRPr="00D7475E">
        <w:rPr>
          <w:rFonts w:ascii="Book Antiqua" w:hAnsi="Book Antiqua"/>
          <w:lang w:val="nl-NL"/>
        </w:rPr>
        <w:t>: 430 [PMID: 32486188 DOI: 10.3390/pathogens9060430]</w:t>
      </w:r>
    </w:p>
    <w:p w14:paraId="0AD3BFE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  <w:lang w:val="nl-NL"/>
        </w:rPr>
        <w:t>7 </w:t>
      </w:r>
      <w:r w:rsidRPr="00D7475E">
        <w:rPr>
          <w:rFonts w:ascii="Book Antiqua" w:hAnsi="Book Antiqua"/>
          <w:b/>
          <w:bCs/>
          <w:lang w:val="nl-NL"/>
        </w:rPr>
        <w:t>Zhang C</w:t>
      </w:r>
      <w:r w:rsidRPr="00D7475E">
        <w:rPr>
          <w:rFonts w:ascii="Book Antiqua" w:hAnsi="Book Antiqua"/>
          <w:lang w:val="nl-NL"/>
        </w:rPr>
        <w:t xml:space="preserve">, Shi L, Wang FS. </w:t>
      </w:r>
      <w:r w:rsidRPr="00D7475E">
        <w:rPr>
          <w:rFonts w:ascii="Book Antiqua" w:hAnsi="Book Antiqua"/>
        </w:rPr>
        <w:t>Liver injury in COVID-19: management and challenges. </w:t>
      </w:r>
      <w:r w:rsidRPr="00D7475E">
        <w:rPr>
          <w:rFonts w:ascii="Book Antiqua" w:hAnsi="Book Antiqua"/>
          <w:i/>
          <w:iCs/>
        </w:rPr>
        <w:t>Lancet Gastroenterol Hepatol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5</w:t>
      </w:r>
      <w:r w:rsidRPr="00D7475E">
        <w:rPr>
          <w:rFonts w:ascii="Book Antiqua" w:hAnsi="Book Antiqua"/>
        </w:rPr>
        <w:t>: 428-430 [PMID: 32145190 DOI: 10.1016/S2468-1253(20)30057-1]</w:t>
      </w:r>
    </w:p>
    <w:p w14:paraId="7876989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8 </w:t>
      </w:r>
      <w:proofErr w:type="spellStart"/>
      <w:r w:rsidRPr="00D7475E">
        <w:rPr>
          <w:rFonts w:ascii="Book Antiqua" w:hAnsi="Book Antiqua"/>
          <w:b/>
          <w:bCs/>
        </w:rPr>
        <w:t>Sonzogni</w:t>
      </w:r>
      <w:proofErr w:type="spellEnd"/>
      <w:r w:rsidRPr="00D7475E">
        <w:rPr>
          <w:rFonts w:ascii="Book Antiqua" w:hAnsi="Book Antiqua"/>
          <w:b/>
          <w:bCs/>
        </w:rPr>
        <w:t xml:space="preserve"> A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Previtali</w:t>
      </w:r>
      <w:proofErr w:type="spellEnd"/>
      <w:r w:rsidRPr="00D7475E">
        <w:rPr>
          <w:rFonts w:ascii="Book Antiqua" w:hAnsi="Book Antiqua"/>
        </w:rPr>
        <w:t xml:space="preserve"> G, </w:t>
      </w:r>
      <w:proofErr w:type="spellStart"/>
      <w:r w:rsidRPr="00D7475E">
        <w:rPr>
          <w:rFonts w:ascii="Book Antiqua" w:hAnsi="Book Antiqua"/>
        </w:rPr>
        <w:t>Seghezzi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Grazia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Alessio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Gianatti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Licini</w:t>
      </w:r>
      <w:proofErr w:type="spellEnd"/>
      <w:r w:rsidRPr="00D7475E">
        <w:rPr>
          <w:rFonts w:ascii="Book Antiqua" w:hAnsi="Book Antiqua"/>
        </w:rPr>
        <w:t xml:space="preserve"> L, </w:t>
      </w:r>
      <w:proofErr w:type="spellStart"/>
      <w:r w:rsidRPr="00D7475E">
        <w:rPr>
          <w:rFonts w:ascii="Book Antiqua" w:hAnsi="Book Antiqua"/>
        </w:rPr>
        <w:t>Morotti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Zerbi</w:t>
      </w:r>
      <w:proofErr w:type="spellEnd"/>
      <w:r w:rsidRPr="00D7475E">
        <w:rPr>
          <w:rFonts w:ascii="Book Antiqua" w:hAnsi="Book Antiqua"/>
        </w:rPr>
        <w:t xml:space="preserve"> P, </w:t>
      </w:r>
      <w:proofErr w:type="spellStart"/>
      <w:r w:rsidRPr="00D7475E">
        <w:rPr>
          <w:rFonts w:ascii="Book Antiqua" w:hAnsi="Book Antiqua"/>
        </w:rPr>
        <w:t>Carsana</w:t>
      </w:r>
      <w:proofErr w:type="spellEnd"/>
      <w:r w:rsidRPr="00D7475E">
        <w:rPr>
          <w:rFonts w:ascii="Book Antiqua" w:hAnsi="Book Antiqua"/>
        </w:rPr>
        <w:t xml:space="preserve"> L, Rossi R, Lauri E, </w:t>
      </w:r>
      <w:proofErr w:type="spellStart"/>
      <w:r w:rsidRPr="00D7475E">
        <w:rPr>
          <w:rFonts w:ascii="Book Antiqua" w:hAnsi="Book Antiqua"/>
        </w:rPr>
        <w:t>Pellegrinelli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Nebuloni</w:t>
      </w:r>
      <w:proofErr w:type="spellEnd"/>
      <w:r w:rsidRPr="00D7475E">
        <w:rPr>
          <w:rFonts w:ascii="Book Antiqua" w:hAnsi="Book Antiqua"/>
        </w:rPr>
        <w:t xml:space="preserve"> M. Liver histopathology in severe COVID 19 respiratory failure is suggestive of vascular alterations. </w:t>
      </w:r>
      <w:r w:rsidRPr="00D7475E">
        <w:rPr>
          <w:rFonts w:ascii="Book Antiqua" w:hAnsi="Book Antiqua"/>
          <w:i/>
          <w:iCs/>
        </w:rPr>
        <w:t>Liver Int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40</w:t>
      </w:r>
      <w:r w:rsidRPr="00D7475E">
        <w:rPr>
          <w:rFonts w:ascii="Book Antiqua" w:hAnsi="Book Antiqua"/>
        </w:rPr>
        <w:t>: 2110-2116 [PMID: 32654359 DOI: 10.1111/liv.14601]</w:t>
      </w:r>
    </w:p>
    <w:p w14:paraId="78CA0E6F" w14:textId="17925E9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9 </w:t>
      </w:r>
      <w:r w:rsidRPr="00D7475E">
        <w:rPr>
          <w:rFonts w:ascii="Book Antiqua" w:hAnsi="Book Antiqua"/>
          <w:b/>
          <w:bCs/>
        </w:rPr>
        <w:t>Palomar-Lever A</w:t>
      </w:r>
      <w:r w:rsidRPr="00D7475E">
        <w:rPr>
          <w:rFonts w:ascii="Book Antiqua" w:hAnsi="Book Antiqua"/>
        </w:rPr>
        <w:t xml:space="preserve">, Barraza G, Galicia-Alba J, </w:t>
      </w:r>
      <w:proofErr w:type="spellStart"/>
      <w:r w:rsidRPr="00D7475E">
        <w:rPr>
          <w:rFonts w:ascii="Book Antiqua" w:hAnsi="Book Antiqua"/>
        </w:rPr>
        <w:t>Echeverri-Bolaños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Escarria-Panesso</w:t>
      </w:r>
      <w:proofErr w:type="spellEnd"/>
      <w:r w:rsidRPr="00D7475E">
        <w:rPr>
          <w:rFonts w:ascii="Book Antiqua" w:hAnsi="Book Antiqua"/>
        </w:rPr>
        <w:t xml:space="preserve"> R, Padua-Barrios J, </w:t>
      </w:r>
      <w:proofErr w:type="spellStart"/>
      <w:r w:rsidRPr="00D7475E">
        <w:rPr>
          <w:rFonts w:ascii="Book Antiqua" w:hAnsi="Book Antiqua"/>
        </w:rPr>
        <w:t>Halabe-Cherem</w:t>
      </w:r>
      <w:proofErr w:type="spellEnd"/>
      <w:r w:rsidRPr="00D7475E">
        <w:rPr>
          <w:rFonts w:ascii="Book Antiqua" w:hAnsi="Book Antiqua"/>
        </w:rPr>
        <w:t xml:space="preserve"> J, Hernandez-Molina G, </w:t>
      </w:r>
      <w:proofErr w:type="spellStart"/>
      <w:r w:rsidRPr="00D7475E">
        <w:rPr>
          <w:rFonts w:ascii="Book Antiqua" w:hAnsi="Book Antiqua"/>
        </w:rPr>
        <w:t>Chargoy-Loustaunau</w:t>
      </w:r>
      <w:proofErr w:type="spellEnd"/>
      <w:r w:rsidRPr="00D7475E">
        <w:rPr>
          <w:rFonts w:ascii="Book Antiqua" w:hAnsi="Book Antiqua"/>
        </w:rPr>
        <w:t xml:space="preserve"> TN, Kimura-</w:t>
      </w:r>
      <w:proofErr w:type="spellStart"/>
      <w:r w:rsidRPr="00D7475E">
        <w:rPr>
          <w:rFonts w:ascii="Book Antiqua" w:hAnsi="Book Antiqua"/>
        </w:rPr>
        <w:t>Hayama</w:t>
      </w:r>
      <w:proofErr w:type="spellEnd"/>
      <w:r w:rsidRPr="00D7475E">
        <w:rPr>
          <w:rFonts w:ascii="Book Antiqua" w:hAnsi="Book Antiqua"/>
        </w:rPr>
        <w:t xml:space="preserve"> E. Hepatic steatosis as an independent risk factor for severe disease in patients with COVID-19: A computed tomography study. </w:t>
      </w:r>
      <w:r w:rsidRPr="00D7475E">
        <w:rPr>
          <w:rFonts w:ascii="Book Antiqua" w:hAnsi="Book Antiqua"/>
          <w:i/>
          <w:iCs/>
        </w:rPr>
        <w:t>JGH Open</w:t>
      </w:r>
      <w:r w:rsidRPr="00D7475E">
        <w:rPr>
          <w:rFonts w:ascii="Book Antiqua" w:hAnsi="Book Antiqua"/>
        </w:rPr>
        <w:t xml:space="preserve"> 2020; </w:t>
      </w:r>
      <w:r w:rsidRPr="00D7475E">
        <w:rPr>
          <w:rFonts w:ascii="Book Antiqua" w:hAnsi="Book Antiqua"/>
          <w:b/>
          <w:bCs/>
        </w:rPr>
        <w:t>4</w:t>
      </w:r>
      <w:r w:rsidRPr="00D7475E">
        <w:rPr>
          <w:rFonts w:ascii="Book Antiqua" w:hAnsi="Book Antiqua"/>
        </w:rPr>
        <w:t>: 1102-1107 [PMID: 32838045 DOI: 10.1002/jgh3.12395]</w:t>
      </w:r>
    </w:p>
    <w:p w14:paraId="7A98B022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10 </w:t>
      </w:r>
      <w:r w:rsidRPr="00D7475E">
        <w:rPr>
          <w:rFonts w:ascii="Book Antiqua" w:hAnsi="Book Antiqua"/>
          <w:b/>
          <w:bCs/>
        </w:rPr>
        <w:t>Ye L</w:t>
      </w:r>
      <w:r w:rsidRPr="00D7475E">
        <w:rPr>
          <w:rFonts w:ascii="Book Antiqua" w:hAnsi="Book Antiqua"/>
        </w:rPr>
        <w:t>, Chen B, Wang Y, Yang Y, Zeng J, Deng G, Deng Y, Zeng F. Prognostic value of liver biochemical parameters for COVID-19 mortality. </w:t>
      </w:r>
      <w:r w:rsidRPr="00D7475E">
        <w:rPr>
          <w:rFonts w:ascii="Book Antiqua" w:hAnsi="Book Antiqua"/>
          <w:i/>
          <w:iCs/>
        </w:rPr>
        <w:t>Ann Hepatol</w:t>
      </w:r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21</w:t>
      </w:r>
      <w:r w:rsidRPr="00D7475E">
        <w:rPr>
          <w:rFonts w:ascii="Book Antiqua" w:hAnsi="Book Antiqua"/>
        </w:rPr>
        <w:t>: 100279 [PMID: 33157267 DOI: 10.1016/j.aohep.2020.10.007]</w:t>
      </w:r>
    </w:p>
    <w:p w14:paraId="4EA9F346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11 </w:t>
      </w:r>
      <w:r w:rsidRPr="00D7475E">
        <w:rPr>
          <w:rFonts w:ascii="Book Antiqua" w:hAnsi="Book Antiqua"/>
          <w:b/>
          <w:bCs/>
        </w:rPr>
        <w:t>Zhong P</w:t>
      </w:r>
      <w:r w:rsidRPr="00D7475E">
        <w:rPr>
          <w:rFonts w:ascii="Book Antiqua" w:hAnsi="Book Antiqua"/>
        </w:rPr>
        <w:t>, Xu J, Yang D, Shen Y, Wang L, Feng Y, Du C, Song Y, Wu C, Hu X, Sun Y. COVID-19-associated gastrointestinal and liver injury: clinical features and potential mechanisms. </w:t>
      </w:r>
      <w:r w:rsidRPr="00D7475E">
        <w:rPr>
          <w:rFonts w:ascii="Book Antiqua" w:hAnsi="Book Antiqua"/>
          <w:i/>
          <w:iCs/>
        </w:rPr>
        <w:t xml:space="preserve">Signal </w:t>
      </w:r>
      <w:proofErr w:type="spellStart"/>
      <w:r w:rsidRPr="00D7475E">
        <w:rPr>
          <w:rFonts w:ascii="Book Antiqua" w:hAnsi="Book Antiqua"/>
          <w:i/>
          <w:iCs/>
        </w:rPr>
        <w:t>Transduct</w:t>
      </w:r>
      <w:proofErr w:type="spellEnd"/>
      <w:r w:rsidRPr="00D7475E">
        <w:rPr>
          <w:rFonts w:ascii="Book Antiqua" w:hAnsi="Book Antiqua"/>
          <w:i/>
          <w:iCs/>
        </w:rPr>
        <w:t xml:space="preserve"> Target </w:t>
      </w:r>
      <w:proofErr w:type="spellStart"/>
      <w:r w:rsidRPr="00D7475E">
        <w:rPr>
          <w:rFonts w:ascii="Book Antiqua" w:hAnsi="Book Antiqua"/>
          <w:i/>
          <w:iCs/>
        </w:rPr>
        <w:t>Ther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5</w:t>
      </w:r>
      <w:r w:rsidRPr="00D7475E">
        <w:rPr>
          <w:rFonts w:ascii="Book Antiqua" w:hAnsi="Book Antiqua"/>
        </w:rPr>
        <w:t>: 256 [PMID: 33139693 DOI: 10.1038/s41392-020-00373-7]</w:t>
      </w:r>
    </w:p>
    <w:p w14:paraId="68E6A60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12 </w:t>
      </w:r>
      <w:r w:rsidRPr="00D7475E">
        <w:rPr>
          <w:rFonts w:ascii="Book Antiqua" w:hAnsi="Book Antiqua"/>
          <w:b/>
          <w:bCs/>
        </w:rPr>
        <w:t>Feng G</w:t>
      </w:r>
      <w:r w:rsidRPr="00D7475E">
        <w:rPr>
          <w:rFonts w:ascii="Book Antiqua" w:hAnsi="Book Antiqua"/>
        </w:rPr>
        <w:t xml:space="preserve">, Zheng KI, Yan QQ, Rios RS, </w:t>
      </w:r>
      <w:proofErr w:type="spellStart"/>
      <w:r w:rsidRPr="00D7475E">
        <w:rPr>
          <w:rFonts w:ascii="Book Antiqua" w:hAnsi="Book Antiqua"/>
        </w:rPr>
        <w:t>Targher</w:t>
      </w:r>
      <w:proofErr w:type="spellEnd"/>
      <w:r w:rsidRPr="00D7475E">
        <w:rPr>
          <w:rFonts w:ascii="Book Antiqua" w:hAnsi="Book Antiqua"/>
        </w:rPr>
        <w:t xml:space="preserve"> G, Byrne CD, Poucke SV, Liu WY, Zheng MH. COVID-19 and Liver Dysfunction: Current Insights and Emergent Therapeutic Strategies. </w:t>
      </w:r>
      <w:r w:rsidRPr="00D7475E">
        <w:rPr>
          <w:rFonts w:ascii="Book Antiqua" w:hAnsi="Book Antiqua"/>
          <w:i/>
          <w:iCs/>
        </w:rPr>
        <w:t xml:space="preserve">J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Transl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Hepatol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8</w:t>
      </w:r>
      <w:r w:rsidRPr="00D7475E">
        <w:rPr>
          <w:rFonts w:ascii="Book Antiqua" w:hAnsi="Book Antiqua"/>
        </w:rPr>
        <w:t>: 18-24 [PMID: 32274342 DOI: 10.14218/JCTH.2020.00018]</w:t>
      </w:r>
    </w:p>
    <w:p w14:paraId="737D8149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13 </w:t>
      </w:r>
      <w:r w:rsidRPr="00D7475E">
        <w:rPr>
          <w:rFonts w:ascii="Book Antiqua" w:hAnsi="Book Antiqua"/>
          <w:b/>
          <w:bCs/>
        </w:rPr>
        <w:t>Huang C</w:t>
      </w:r>
      <w:r w:rsidRPr="00D7475E">
        <w:rPr>
          <w:rFonts w:ascii="Book Antiqua" w:hAnsi="Book Antiqua"/>
        </w:rPr>
        <w:t>, Li Q, Xu W, Chen L. Molecular and cellular mechanisms of liver dysfunction in COVID-19. </w:t>
      </w:r>
      <w:proofErr w:type="spellStart"/>
      <w:r w:rsidRPr="00D7475E">
        <w:rPr>
          <w:rFonts w:ascii="Book Antiqua" w:hAnsi="Book Antiqua"/>
          <w:i/>
          <w:iCs/>
        </w:rPr>
        <w:t>Discov</w:t>
      </w:r>
      <w:proofErr w:type="spellEnd"/>
      <w:r w:rsidRPr="00D7475E">
        <w:rPr>
          <w:rFonts w:ascii="Book Antiqua" w:hAnsi="Book Antiqua"/>
          <w:i/>
          <w:iCs/>
        </w:rPr>
        <w:t xml:space="preserve"> Med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30</w:t>
      </w:r>
      <w:r w:rsidRPr="00D7475E">
        <w:rPr>
          <w:rFonts w:ascii="Book Antiqua" w:hAnsi="Book Antiqua"/>
        </w:rPr>
        <w:t>: 107-112 [PMID: 33382966]</w:t>
      </w:r>
    </w:p>
    <w:p w14:paraId="30D5C6A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14 </w:t>
      </w:r>
      <w:proofErr w:type="spellStart"/>
      <w:r w:rsidRPr="00D7475E">
        <w:rPr>
          <w:rFonts w:ascii="Book Antiqua" w:hAnsi="Book Antiqua"/>
          <w:b/>
          <w:bCs/>
        </w:rPr>
        <w:t>Henrion</w:t>
      </w:r>
      <w:proofErr w:type="spellEnd"/>
      <w:r w:rsidRPr="00D7475E">
        <w:rPr>
          <w:rFonts w:ascii="Book Antiqua" w:hAnsi="Book Antiqua"/>
          <w:b/>
          <w:bCs/>
        </w:rPr>
        <w:t xml:space="preserve"> J</w:t>
      </w:r>
      <w:r w:rsidRPr="00D7475E">
        <w:rPr>
          <w:rFonts w:ascii="Book Antiqua" w:hAnsi="Book Antiqua"/>
        </w:rPr>
        <w:t>. Ischemia/reperfusion injury of the liver: pathophysiologic hypotheses and potential relevance to human hypoxic hepatitis. </w:t>
      </w:r>
      <w:proofErr w:type="spellStart"/>
      <w:r w:rsidRPr="00D7475E">
        <w:rPr>
          <w:rFonts w:ascii="Book Antiqua" w:hAnsi="Book Antiqua"/>
          <w:i/>
          <w:iCs/>
        </w:rPr>
        <w:t>Acta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Gastroenterol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Belg</w:t>
      </w:r>
      <w:proofErr w:type="spellEnd"/>
      <w:r w:rsidRPr="00D7475E">
        <w:rPr>
          <w:rFonts w:ascii="Book Antiqua" w:hAnsi="Book Antiqua"/>
        </w:rPr>
        <w:t> 2000; </w:t>
      </w:r>
      <w:r w:rsidRPr="00D7475E">
        <w:rPr>
          <w:rFonts w:ascii="Book Antiqua" w:hAnsi="Book Antiqua"/>
          <w:b/>
          <w:bCs/>
        </w:rPr>
        <w:t>63</w:t>
      </w:r>
      <w:r w:rsidRPr="00D7475E">
        <w:rPr>
          <w:rFonts w:ascii="Book Antiqua" w:hAnsi="Book Antiqua"/>
        </w:rPr>
        <w:t>: 336-347 [PMID: 11233516]</w:t>
      </w:r>
    </w:p>
    <w:p w14:paraId="1433D01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15 </w:t>
      </w:r>
      <w:proofErr w:type="spellStart"/>
      <w:r w:rsidRPr="00D7475E">
        <w:rPr>
          <w:rFonts w:ascii="Book Antiqua" w:hAnsi="Book Antiqua"/>
          <w:b/>
          <w:bCs/>
        </w:rPr>
        <w:t>Olry</w:t>
      </w:r>
      <w:proofErr w:type="spellEnd"/>
      <w:r w:rsidRPr="00D7475E">
        <w:rPr>
          <w:rFonts w:ascii="Book Antiqua" w:hAnsi="Book Antiqua"/>
          <w:b/>
          <w:bCs/>
        </w:rPr>
        <w:t xml:space="preserve"> A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Meunier</w:t>
      </w:r>
      <w:proofErr w:type="spellEnd"/>
      <w:r w:rsidRPr="00D7475E">
        <w:rPr>
          <w:rFonts w:ascii="Book Antiqua" w:hAnsi="Book Antiqua"/>
        </w:rPr>
        <w:t xml:space="preserve"> L, </w:t>
      </w:r>
      <w:proofErr w:type="spellStart"/>
      <w:r w:rsidRPr="00D7475E">
        <w:rPr>
          <w:rFonts w:ascii="Book Antiqua" w:hAnsi="Book Antiqua"/>
        </w:rPr>
        <w:t>Délire</w:t>
      </w:r>
      <w:proofErr w:type="spellEnd"/>
      <w:r w:rsidRPr="00D7475E">
        <w:rPr>
          <w:rFonts w:ascii="Book Antiqua" w:hAnsi="Book Antiqua"/>
        </w:rPr>
        <w:t xml:space="preserve"> B, </w:t>
      </w:r>
      <w:proofErr w:type="spellStart"/>
      <w:r w:rsidRPr="00D7475E">
        <w:rPr>
          <w:rFonts w:ascii="Book Antiqua" w:hAnsi="Book Antiqua"/>
        </w:rPr>
        <w:t>Larrey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Horsmans</w:t>
      </w:r>
      <w:proofErr w:type="spellEnd"/>
      <w:r w:rsidRPr="00D7475E">
        <w:rPr>
          <w:rFonts w:ascii="Book Antiqua" w:hAnsi="Book Antiqua"/>
        </w:rPr>
        <w:t xml:space="preserve"> Y, Le </w:t>
      </w:r>
      <w:proofErr w:type="spellStart"/>
      <w:r w:rsidRPr="00D7475E">
        <w:rPr>
          <w:rFonts w:ascii="Book Antiqua" w:hAnsi="Book Antiqua"/>
        </w:rPr>
        <w:t>Louët</w:t>
      </w:r>
      <w:proofErr w:type="spellEnd"/>
      <w:r w:rsidRPr="00D7475E">
        <w:rPr>
          <w:rFonts w:ascii="Book Antiqua" w:hAnsi="Book Antiqua"/>
        </w:rPr>
        <w:t xml:space="preserve"> H. Drug-Induced Liver Injury and COVID-19 Infection: The Rules Remain the Same. </w:t>
      </w:r>
      <w:r w:rsidRPr="00D7475E">
        <w:rPr>
          <w:rFonts w:ascii="Book Antiqua" w:hAnsi="Book Antiqua"/>
          <w:i/>
          <w:iCs/>
        </w:rPr>
        <w:t xml:space="preserve">Drug </w:t>
      </w:r>
      <w:proofErr w:type="spellStart"/>
      <w:r w:rsidRPr="00D7475E">
        <w:rPr>
          <w:rFonts w:ascii="Book Antiqua" w:hAnsi="Book Antiqua"/>
          <w:i/>
          <w:iCs/>
        </w:rPr>
        <w:t>Saf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43</w:t>
      </w:r>
      <w:r w:rsidRPr="00D7475E">
        <w:rPr>
          <w:rFonts w:ascii="Book Antiqua" w:hAnsi="Book Antiqua"/>
        </w:rPr>
        <w:t>: 615-617 [PMID: 32514859 DOI: 10.1007/s40264-020-00954-z]</w:t>
      </w:r>
    </w:p>
    <w:p w14:paraId="22C3A64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16 </w:t>
      </w:r>
      <w:proofErr w:type="spellStart"/>
      <w:r w:rsidRPr="00D7475E">
        <w:rPr>
          <w:rFonts w:ascii="Book Antiqua" w:hAnsi="Book Antiqua"/>
          <w:b/>
          <w:bCs/>
        </w:rPr>
        <w:t>Boeckmans</w:t>
      </w:r>
      <w:proofErr w:type="spellEnd"/>
      <w:r w:rsidRPr="00D7475E">
        <w:rPr>
          <w:rFonts w:ascii="Book Antiqua" w:hAnsi="Book Antiqua"/>
          <w:b/>
          <w:bCs/>
        </w:rPr>
        <w:t xml:space="preserve"> J</w:t>
      </w:r>
      <w:r w:rsidRPr="00D7475E">
        <w:rPr>
          <w:rFonts w:ascii="Book Antiqua" w:hAnsi="Book Antiqua"/>
        </w:rPr>
        <w:t xml:space="preserve">, Rodrigues RM, </w:t>
      </w:r>
      <w:proofErr w:type="spellStart"/>
      <w:r w:rsidRPr="00D7475E">
        <w:rPr>
          <w:rFonts w:ascii="Book Antiqua" w:hAnsi="Book Antiqua"/>
        </w:rPr>
        <w:t>Demuyser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Piérard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Vanhaecke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Rogiers</w:t>
      </w:r>
      <w:proofErr w:type="spellEnd"/>
      <w:r w:rsidRPr="00D7475E">
        <w:rPr>
          <w:rFonts w:ascii="Book Antiqua" w:hAnsi="Book Antiqua"/>
        </w:rPr>
        <w:t xml:space="preserve"> V. COVID-19 and drug-induced liver injury: a problem of plenty or a petty point? </w:t>
      </w:r>
      <w:r w:rsidRPr="00D7475E">
        <w:rPr>
          <w:rFonts w:ascii="Book Antiqua" w:hAnsi="Book Antiqua"/>
          <w:i/>
          <w:iCs/>
        </w:rPr>
        <w:t xml:space="preserve">Arch </w:t>
      </w:r>
      <w:proofErr w:type="spellStart"/>
      <w:r w:rsidRPr="00D7475E">
        <w:rPr>
          <w:rFonts w:ascii="Book Antiqua" w:hAnsi="Book Antiqua"/>
          <w:i/>
          <w:iCs/>
        </w:rPr>
        <w:t>Toxicol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94</w:t>
      </w:r>
      <w:r w:rsidRPr="00D7475E">
        <w:rPr>
          <w:rFonts w:ascii="Book Antiqua" w:hAnsi="Book Antiqua"/>
        </w:rPr>
        <w:t>: 1367-1369 [PMID: 32266419 DOI: 10.1007/s00204-020-02734-1]</w:t>
      </w:r>
    </w:p>
    <w:p w14:paraId="46CEBF0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17 </w:t>
      </w:r>
      <w:r w:rsidRPr="00D7475E">
        <w:rPr>
          <w:rFonts w:ascii="Book Antiqua" w:hAnsi="Book Antiqua"/>
          <w:b/>
          <w:bCs/>
        </w:rPr>
        <w:t>Fan Z</w:t>
      </w:r>
      <w:r w:rsidRPr="00D7475E">
        <w:rPr>
          <w:rFonts w:ascii="Book Antiqua" w:hAnsi="Book Antiqua"/>
        </w:rPr>
        <w:t>, Chen L, Li J, Cheng X, Yang J, Tian C, Zhang Y, Huang S, Liu Z, Cheng J. Clinical Features of COVID-19-Related Liver Functional Abnormality. </w:t>
      </w:r>
      <w:r w:rsidRPr="00D7475E">
        <w:rPr>
          <w:rFonts w:ascii="Book Antiqua" w:hAnsi="Book Antiqua"/>
          <w:i/>
          <w:iCs/>
        </w:rPr>
        <w:t>Clin Gastroenterol Hepatol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18</w:t>
      </w:r>
      <w:r w:rsidRPr="00D7475E">
        <w:rPr>
          <w:rFonts w:ascii="Book Antiqua" w:hAnsi="Book Antiqua"/>
        </w:rPr>
        <w:t>: 1561-1566 [PMID: 32283325 DOI: 10.1016/j.cgh.2020.04.002]</w:t>
      </w:r>
    </w:p>
    <w:p w14:paraId="0483ED4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18 </w:t>
      </w:r>
      <w:proofErr w:type="spellStart"/>
      <w:r w:rsidRPr="00D7475E">
        <w:rPr>
          <w:rFonts w:ascii="Book Antiqua" w:hAnsi="Book Antiqua"/>
          <w:b/>
          <w:bCs/>
        </w:rPr>
        <w:t>Grattagliano</w:t>
      </w:r>
      <w:proofErr w:type="spellEnd"/>
      <w:r w:rsidRPr="00D7475E">
        <w:rPr>
          <w:rFonts w:ascii="Book Antiqua" w:hAnsi="Book Antiqua"/>
          <w:b/>
          <w:bCs/>
        </w:rPr>
        <w:t xml:space="preserve"> I</w:t>
      </w:r>
      <w:r w:rsidRPr="00D7475E">
        <w:rPr>
          <w:rFonts w:ascii="Book Antiqua" w:hAnsi="Book Antiqua"/>
        </w:rPr>
        <w:t xml:space="preserve">, de Bari O, Bernardo TC, Oliveira PJ, Wang DQ, </w:t>
      </w:r>
      <w:proofErr w:type="spellStart"/>
      <w:r w:rsidRPr="00D7475E">
        <w:rPr>
          <w:rFonts w:ascii="Book Antiqua" w:hAnsi="Book Antiqua"/>
        </w:rPr>
        <w:t>Portincasa</w:t>
      </w:r>
      <w:proofErr w:type="spellEnd"/>
      <w:r w:rsidRPr="00D7475E">
        <w:rPr>
          <w:rFonts w:ascii="Book Antiqua" w:hAnsi="Book Antiqua"/>
        </w:rPr>
        <w:t xml:space="preserve"> P. Role of mitochondria in nonalcoholic fatty liver disease--from origin to propagation. 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Biochem</w:t>
      </w:r>
      <w:proofErr w:type="spellEnd"/>
      <w:r w:rsidRPr="00D7475E">
        <w:rPr>
          <w:rFonts w:ascii="Book Antiqua" w:hAnsi="Book Antiqua"/>
        </w:rPr>
        <w:t> 2012; </w:t>
      </w:r>
      <w:r w:rsidRPr="00D7475E">
        <w:rPr>
          <w:rFonts w:ascii="Book Antiqua" w:hAnsi="Book Antiqua"/>
          <w:b/>
          <w:bCs/>
        </w:rPr>
        <w:t>45</w:t>
      </w:r>
      <w:r w:rsidRPr="00D7475E">
        <w:rPr>
          <w:rFonts w:ascii="Book Antiqua" w:hAnsi="Book Antiqua"/>
        </w:rPr>
        <w:t>: 610-618 [PMID: 22484459 DOI: 10.1016/j.clinbiochem.2012.03.024]</w:t>
      </w:r>
    </w:p>
    <w:p w14:paraId="54318B7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19 </w:t>
      </w:r>
      <w:r w:rsidRPr="00D7475E">
        <w:rPr>
          <w:rFonts w:ascii="Book Antiqua" w:hAnsi="Book Antiqua"/>
          <w:b/>
          <w:bCs/>
        </w:rPr>
        <w:t>Zhu R</w:t>
      </w:r>
      <w:r w:rsidRPr="00D7475E">
        <w:rPr>
          <w:rFonts w:ascii="Book Antiqua" w:hAnsi="Book Antiqua"/>
        </w:rPr>
        <w:t>, Wang Y, Zhang L, Guo Q. Oxidative stress and liver disease. </w:t>
      </w:r>
      <w:r w:rsidRPr="00D7475E">
        <w:rPr>
          <w:rFonts w:ascii="Book Antiqua" w:hAnsi="Book Antiqua"/>
          <w:i/>
          <w:iCs/>
        </w:rPr>
        <w:t>Hepatol Res</w:t>
      </w:r>
      <w:r w:rsidRPr="00D7475E">
        <w:rPr>
          <w:rFonts w:ascii="Book Antiqua" w:hAnsi="Book Antiqua"/>
        </w:rPr>
        <w:t> 2012; </w:t>
      </w:r>
      <w:r w:rsidRPr="00D7475E">
        <w:rPr>
          <w:rFonts w:ascii="Book Antiqua" w:hAnsi="Book Antiqua"/>
          <w:b/>
          <w:bCs/>
        </w:rPr>
        <w:t>42</w:t>
      </w:r>
      <w:r w:rsidRPr="00D7475E">
        <w:rPr>
          <w:rFonts w:ascii="Book Antiqua" w:hAnsi="Book Antiqua"/>
        </w:rPr>
        <w:t>: 741-749 [PMID: 22489668 DOI: 10.1111/j.1872-034X.2012.00996.x]</w:t>
      </w:r>
    </w:p>
    <w:p w14:paraId="0BBF23B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20 </w:t>
      </w:r>
      <w:proofErr w:type="spellStart"/>
      <w:r w:rsidRPr="00D7475E">
        <w:rPr>
          <w:rFonts w:ascii="Book Antiqua" w:hAnsi="Book Antiqua"/>
          <w:b/>
          <w:bCs/>
        </w:rPr>
        <w:t>Ucar</w:t>
      </w:r>
      <w:proofErr w:type="spellEnd"/>
      <w:r w:rsidRPr="00D7475E">
        <w:rPr>
          <w:rFonts w:ascii="Book Antiqua" w:hAnsi="Book Antiqua"/>
          <w:b/>
          <w:bCs/>
        </w:rPr>
        <w:t xml:space="preserve"> F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Sezer</w:t>
      </w:r>
      <w:proofErr w:type="spellEnd"/>
      <w:r w:rsidRPr="00D7475E">
        <w:rPr>
          <w:rFonts w:ascii="Book Antiqua" w:hAnsi="Book Antiqua"/>
        </w:rPr>
        <w:t xml:space="preserve"> S, Erdogan S, </w:t>
      </w:r>
      <w:proofErr w:type="spellStart"/>
      <w:r w:rsidRPr="00D7475E">
        <w:rPr>
          <w:rFonts w:ascii="Book Antiqua" w:hAnsi="Book Antiqua"/>
        </w:rPr>
        <w:t>Akyol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Armutcu</w:t>
      </w:r>
      <w:proofErr w:type="spellEnd"/>
      <w:r w:rsidRPr="00D7475E">
        <w:rPr>
          <w:rFonts w:ascii="Book Antiqua" w:hAnsi="Book Antiqua"/>
        </w:rPr>
        <w:t xml:space="preserve"> F, </w:t>
      </w:r>
      <w:proofErr w:type="spellStart"/>
      <w:r w:rsidRPr="00D7475E">
        <w:rPr>
          <w:rFonts w:ascii="Book Antiqua" w:hAnsi="Book Antiqua"/>
        </w:rPr>
        <w:t>Akyol</w:t>
      </w:r>
      <w:proofErr w:type="spellEnd"/>
      <w:r w:rsidRPr="00D7475E">
        <w:rPr>
          <w:rFonts w:ascii="Book Antiqua" w:hAnsi="Book Antiqua"/>
        </w:rPr>
        <w:t xml:space="preserve"> O. The relationship between oxidative stress and nonalcoholic fatty liver disease: Its effects on the development of nonalcoholic steatohepatitis. </w:t>
      </w:r>
      <w:r w:rsidRPr="00D7475E">
        <w:rPr>
          <w:rFonts w:ascii="Book Antiqua" w:hAnsi="Book Antiqua"/>
          <w:i/>
          <w:iCs/>
        </w:rPr>
        <w:t>Redox Rep</w:t>
      </w:r>
      <w:r w:rsidRPr="00D7475E">
        <w:rPr>
          <w:rFonts w:ascii="Book Antiqua" w:hAnsi="Book Antiqua"/>
        </w:rPr>
        <w:t> 2013; </w:t>
      </w:r>
      <w:r w:rsidRPr="00D7475E">
        <w:rPr>
          <w:rFonts w:ascii="Book Antiqua" w:hAnsi="Book Antiqua"/>
          <w:b/>
          <w:bCs/>
        </w:rPr>
        <w:t>18</w:t>
      </w:r>
      <w:r w:rsidRPr="00D7475E">
        <w:rPr>
          <w:rFonts w:ascii="Book Antiqua" w:hAnsi="Book Antiqua"/>
        </w:rPr>
        <w:t>: 127-133 [PMID: 23743495 DOI: 10.1179/1351000213Y.0000000050]</w:t>
      </w:r>
    </w:p>
    <w:p w14:paraId="3EC965F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21 </w:t>
      </w:r>
      <w:proofErr w:type="spellStart"/>
      <w:r w:rsidRPr="00D7475E">
        <w:rPr>
          <w:rFonts w:ascii="Book Antiqua" w:hAnsi="Book Antiqua"/>
          <w:b/>
          <w:bCs/>
        </w:rPr>
        <w:t>Rolo</w:t>
      </w:r>
      <w:proofErr w:type="spellEnd"/>
      <w:r w:rsidRPr="00D7475E">
        <w:rPr>
          <w:rFonts w:ascii="Book Antiqua" w:hAnsi="Book Antiqua"/>
          <w:b/>
          <w:bCs/>
        </w:rPr>
        <w:t xml:space="preserve"> AP</w:t>
      </w:r>
      <w:r w:rsidRPr="00D7475E">
        <w:rPr>
          <w:rFonts w:ascii="Book Antiqua" w:hAnsi="Book Antiqua"/>
        </w:rPr>
        <w:t xml:space="preserve">, Teodoro JS, </w:t>
      </w:r>
      <w:proofErr w:type="spellStart"/>
      <w:r w:rsidRPr="00D7475E">
        <w:rPr>
          <w:rFonts w:ascii="Book Antiqua" w:hAnsi="Book Antiqua"/>
        </w:rPr>
        <w:t>Palmeira</w:t>
      </w:r>
      <w:proofErr w:type="spellEnd"/>
      <w:r w:rsidRPr="00D7475E">
        <w:rPr>
          <w:rFonts w:ascii="Book Antiqua" w:hAnsi="Book Antiqua"/>
        </w:rPr>
        <w:t xml:space="preserve"> CM. Role of oxidative stress in the pathogenesis of nonalcoholic steatohepatitis. </w:t>
      </w:r>
      <w:r w:rsidRPr="00D7475E">
        <w:rPr>
          <w:rFonts w:ascii="Book Antiqua" w:hAnsi="Book Antiqua"/>
          <w:i/>
          <w:iCs/>
        </w:rPr>
        <w:t xml:space="preserve">Free </w:t>
      </w:r>
      <w:proofErr w:type="spellStart"/>
      <w:r w:rsidRPr="00D7475E">
        <w:rPr>
          <w:rFonts w:ascii="Book Antiqua" w:hAnsi="Book Antiqua"/>
          <w:i/>
          <w:iCs/>
        </w:rPr>
        <w:t>Radic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Biol</w:t>
      </w:r>
      <w:proofErr w:type="spellEnd"/>
      <w:r w:rsidRPr="00D7475E">
        <w:rPr>
          <w:rFonts w:ascii="Book Antiqua" w:hAnsi="Book Antiqua"/>
          <w:i/>
          <w:iCs/>
        </w:rPr>
        <w:t xml:space="preserve"> Med</w:t>
      </w:r>
      <w:r w:rsidRPr="00D7475E">
        <w:rPr>
          <w:rFonts w:ascii="Book Antiqua" w:hAnsi="Book Antiqua"/>
        </w:rPr>
        <w:t> 2012; </w:t>
      </w:r>
      <w:r w:rsidRPr="00D7475E">
        <w:rPr>
          <w:rFonts w:ascii="Book Antiqua" w:hAnsi="Book Antiqua"/>
          <w:b/>
          <w:bCs/>
        </w:rPr>
        <w:t>52</w:t>
      </w:r>
      <w:r w:rsidRPr="00D7475E">
        <w:rPr>
          <w:rFonts w:ascii="Book Antiqua" w:hAnsi="Book Antiqua"/>
        </w:rPr>
        <w:t>: 59-69 [PMID: 22064361 DOI: 10.1016/j.freeradbiomed.2011.10.003]</w:t>
      </w:r>
    </w:p>
    <w:p w14:paraId="4F5989B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22 </w:t>
      </w:r>
      <w:proofErr w:type="spellStart"/>
      <w:r w:rsidRPr="00D7475E">
        <w:rPr>
          <w:rFonts w:ascii="Book Antiqua" w:hAnsi="Book Antiqua"/>
          <w:b/>
          <w:bCs/>
        </w:rPr>
        <w:t>Yesilova</w:t>
      </w:r>
      <w:proofErr w:type="spellEnd"/>
      <w:r w:rsidRPr="00D7475E">
        <w:rPr>
          <w:rFonts w:ascii="Book Antiqua" w:hAnsi="Book Antiqua"/>
          <w:b/>
          <w:bCs/>
        </w:rPr>
        <w:t xml:space="preserve"> Z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Yaman</w:t>
      </w:r>
      <w:proofErr w:type="spellEnd"/>
      <w:r w:rsidRPr="00D7475E">
        <w:rPr>
          <w:rFonts w:ascii="Book Antiqua" w:hAnsi="Book Antiqua"/>
        </w:rPr>
        <w:t xml:space="preserve"> H, </w:t>
      </w:r>
      <w:proofErr w:type="spellStart"/>
      <w:r w:rsidRPr="00D7475E">
        <w:rPr>
          <w:rFonts w:ascii="Book Antiqua" w:hAnsi="Book Antiqua"/>
        </w:rPr>
        <w:t>Oktenli</w:t>
      </w:r>
      <w:proofErr w:type="spellEnd"/>
      <w:r w:rsidRPr="00D7475E">
        <w:rPr>
          <w:rFonts w:ascii="Book Antiqua" w:hAnsi="Book Antiqua"/>
        </w:rPr>
        <w:t xml:space="preserve"> C, </w:t>
      </w:r>
      <w:proofErr w:type="spellStart"/>
      <w:r w:rsidRPr="00D7475E">
        <w:rPr>
          <w:rFonts w:ascii="Book Antiqua" w:hAnsi="Book Antiqua"/>
        </w:rPr>
        <w:t>Ozcan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Uygun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Cakir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Sanisoglu</w:t>
      </w:r>
      <w:proofErr w:type="spellEnd"/>
      <w:r w:rsidRPr="00D7475E">
        <w:rPr>
          <w:rFonts w:ascii="Book Antiqua" w:hAnsi="Book Antiqua"/>
        </w:rPr>
        <w:t xml:space="preserve"> SY, </w:t>
      </w:r>
      <w:proofErr w:type="spellStart"/>
      <w:r w:rsidRPr="00D7475E">
        <w:rPr>
          <w:rFonts w:ascii="Book Antiqua" w:hAnsi="Book Antiqua"/>
        </w:rPr>
        <w:t>Erdil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Ates</w:t>
      </w:r>
      <w:proofErr w:type="spellEnd"/>
      <w:r w:rsidRPr="00D7475E">
        <w:rPr>
          <w:rFonts w:ascii="Book Antiqua" w:hAnsi="Book Antiqua"/>
        </w:rPr>
        <w:t xml:space="preserve"> Y, Aslan M, </w:t>
      </w:r>
      <w:proofErr w:type="spellStart"/>
      <w:r w:rsidRPr="00D7475E">
        <w:rPr>
          <w:rFonts w:ascii="Book Antiqua" w:hAnsi="Book Antiqua"/>
        </w:rPr>
        <w:t>Musabak</w:t>
      </w:r>
      <w:proofErr w:type="spellEnd"/>
      <w:r w:rsidRPr="00D7475E">
        <w:rPr>
          <w:rFonts w:ascii="Book Antiqua" w:hAnsi="Book Antiqua"/>
        </w:rPr>
        <w:t xml:space="preserve"> U, Erbil MK, </w:t>
      </w:r>
      <w:proofErr w:type="spellStart"/>
      <w:r w:rsidRPr="00D7475E">
        <w:rPr>
          <w:rFonts w:ascii="Book Antiqua" w:hAnsi="Book Antiqua"/>
        </w:rPr>
        <w:t>Karaeren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Dagalp</w:t>
      </w:r>
      <w:proofErr w:type="spellEnd"/>
      <w:r w:rsidRPr="00D7475E">
        <w:rPr>
          <w:rFonts w:ascii="Book Antiqua" w:hAnsi="Book Antiqua"/>
        </w:rPr>
        <w:t xml:space="preserve"> K. Systemic markers of lipid peroxidation and antioxidants in patients with nonalcoholic Fatty liver disease. </w:t>
      </w:r>
      <w:r w:rsidRPr="00D7475E">
        <w:rPr>
          <w:rFonts w:ascii="Book Antiqua" w:hAnsi="Book Antiqua"/>
          <w:i/>
          <w:iCs/>
        </w:rPr>
        <w:t>Am J Gastroenterol</w:t>
      </w:r>
      <w:r w:rsidRPr="00D7475E">
        <w:rPr>
          <w:rFonts w:ascii="Book Antiqua" w:hAnsi="Book Antiqua"/>
        </w:rPr>
        <w:t> 2005; </w:t>
      </w:r>
      <w:r w:rsidRPr="00D7475E">
        <w:rPr>
          <w:rFonts w:ascii="Book Antiqua" w:hAnsi="Book Antiqua"/>
          <w:b/>
          <w:bCs/>
        </w:rPr>
        <w:t>100</w:t>
      </w:r>
      <w:r w:rsidRPr="00D7475E">
        <w:rPr>
          <w:rFonts w:ascii="Book Antiqua" w:hAnsi="Book Antiqua"/>
        </w:rPr>
        <w:t>: 850-855 [PMID: 15784031 DOI: 10.1111/j.1572-0241.2005.41500.x]</w:t>
      </w:r>
    </w:p>
    <w:p w14:paraId="3904711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23 </w:t>
      </w:r>
      <w:proofErr w:type="spellStart"/>
      <w:r w:rsidRPr="00D7475E">
        <w:rPr>
          <w:rFonts w:ascii="Book Antiqua" w:hAnsi="Book Antiqua"/>
          <w:b/>
          <w:bCs/>
        </w:rPr>
        <w:t>Schönrich</w:t>
      </w:r>
      <w:proofErr w:type="spellEnd"/>
      <w:r w:rsidRPr="00D7475E">
        <w:rPr>
          <w:rFonts w:ascii="Book Antiqua" w:hAnsi="Book Antiqua"/>
          <w:b/>
          <w:bCs/>
        </w:rPr>
        <w:t xml:space="preserve"> G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Raftery</w:t>
      </w:r>
      <w:proofErr w:type="spellEnd"/>
      <w:r w:rsidRPr="00D7475E">
        <w:rPr>
          <w:rFonts w:ascii="Book Antiqua" w:hAnsi="Book Antiqua"/>
        </w:rPr>
        <w:t xml:space="preserve"> MJ, </w:t>
      </w:r>
      <w:proofErr w:type="spellStart"/>
      <w:r w:rsidRPr="00D7475E">
        <w:rPr>
          <w:rFonts w:ascii="Book Antiqua" w:hAnsi="Book Antiqua"/>
        </w:rPr>
        <w:t>Samstag</w:t>
      </w:r>
      <w:proofErr w:type="spellEnd"/>
      <w:r w:rsidRPr="00D7475E">
        <w:rPr>
          <w:rFonts w:ascii="Book Antiqua" w:hAnsi="Book Antiqua"/>
        </w:rPr>
        <w:t xml:space="preserve"> Y. Devilishly radical </w:t>
      </w:r>
      <w:proofErr w:type="spellStart"/>
      <w:r w:rsidRPr="00D7475E">
        <w:rPr>
          <w:rFonts w:ascii="Book Antiqua" w:hAnsi="Book Antiqua"/>
        </w:rPr>
        <w:t>NETwork</w:t>
      </w:r>
      <w:proofErr w:type="spellEnd"/>
      <w:r w:rsidRPr="00D7475E">
        <w:rPr>
          <w:rFonts w:ascii="Book Antiqua" w:hAnsi="Book Antiqua"/>
        </w:rPr>
        <w:t xml:space="preserve"> in COVID-19: Oxidative stress, neutrophil extracellular traps (NETs), and T cell suppression. </w:t>
      </w:r>
      <w:proofErr w:type="spellStart"/>
      <w:r w:rsidRPr="00D7475E">
        <w:rPr>
          <w:rFonts w:ascii="Book Antiqua" w:hAnsi="Book Antiqua"/>
          <w:i/>
          <w:iCs/>
        </w:rPr>
        <w:t>Adv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Regul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77</w:t>
      </w:r>
      <w:r w:rsidRPr="00D7475E">
        <w:rPr>
          <w:rFonts w:ascii="Book Antiqua" w:hAnsi="Book Antiqua"/>
        </w:rPr>
        <w:t>: 100741 [PMID: 32773102 DOI: 10.1016/j.jbior.2020.100741]</w:t>
      </w:r>
    </w:p>
    <w:p w14:paraId="7A74649C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24 </w:t>
      </w:r>
      <w:proofErr w:type="spellStart"/>
      <w:r w:rsidRPr="00D7475E">
        <w:rPr>
          <w:rFonts w:ascii="Book Antiqua" w:hAnsi="Book Antiqua"/>
          <w:b/>
          <w:bCs/>
        </w:rPr>
        <w:t>Polonikov</w:t>
      </w:r>
      <w:proofErr w:type="spellEnd"/>
      <w:r w:rsidRPr="00D7475E">
        <w:rPr>
          <w:rFonts w:ascii="Book Antiqua" w:hAnsi="Book Antiqua"/>
          <w:b/>
          <w:bCs/>
        </w:rPr>
        <w:t xml:space="preserve"> A</w:t>
      </w:r>
      <w:r w:rsidRPr="00D7475E">
        <w:rPr>
          <w:rFonts w:ascii="Book Antiqua" w:hAnsi="Book Antiqua"/>
        </w:rPr>
        <w:t>. Endogenous Deficiency of Glutathione as the Most Likely Cause of Serious Manifestations and Death in COVID-19 Patients. </w:t>
      </w:r>
      <w:r w:rsidRPr="00D7475E">
        <w:rPr>
          <w:rFonts w:ascii="Book Antiqua" w:hAnsi="Book Antiqua"/>
          <w:i/>
          <w:iCs/>
        </w:rPr>
        <w:t>ACS Infect Dis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6</w:t>
      </w:r>
      <w:r w:rsidRPr="00D7475E">
        <w:rPr>
          <w:rFonts w:ascii="Book Antiqua" w:hAnsi="Book Antiqua"/>
        </w:rPr>
        <w:t>: 1558-1562 [PMID: 32463221 DOI: 10.1021/acsinfecdis.0c00288]</w:t>
      </w:r>
    </w:p>
    <w:p w14:paraId="5E44B74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25 </w:t>
      </w:r>
      <w:r w:rsidRPr="00D7475E">
        <w:rPr>
          <w:rFonts w:ascii="Book Antiqua" w:hAnsi="Book Antiqua"/>
          <w:b/>
          <w:bCs/>
        </w:rPr>
        <w:t>Libby P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Lüscher</w:t>
      </w:r>
      <w:proofErr w:type="spellEnd"/>
      <w:r w:rsidRPr="00D7475E">
        <w:rPr>
          <w:rFonts w:ascii="Book Antiqua" w:hAnsi="Book Antiqua"/>
        </w:rPr>
        <w:t xml:space="preserve"> T. COVID-19 is, in the end, an endothelial disease. </w:t>
      </w:r>
      <w:r w:rsidRPr="00D7475E">
        <w:rPr>
          <w:rFonts w:ascii="Book Antiqua" w:hAnsi="Book Antiqua"/>
          <w:i/>
          <w:iCs/>
        </w:rPr>
        <w:t>Eur Heart J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41</w:t>
      </w:r>
      <w:r w:rsidRPr="00D7475E">
        <w:rPr>
          <w:rFonts w:ascii="Book Antiqua" w:hAnsi="Book Antiqua"/>
        </w:rPr>
        <w:t>: 3038-3044 [PMID: 32882706 DOI: 10.1093/</w:t>
      </w:r>
      <w:proofErr w:type="spellStart"/>
      <w:r w:rsidRPr="00D7475E">
        <w:rPr>
          <w:rFonts w:ascii="Book Antiqua" w:hAnsi="Book Antiqua"/>
        </w:rPr>
        <w:t>eurheartj</w:t>
      </w:r>
      <w:proofErr w:type="spellEnd"/>
      <w:r w:rsidRPr="00D7475E">
        <w:rPr>
          <w:rFonts w:ascii="Book Antiqua" w:hAnsi="Book Antiqua"/>
        </w:rPr>
        <w:t>/ehaa623]</w:t>
      </w:r>
    </w:p>
    <w:p w14:paraId="0D37C2F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26 </w:t>
      </w:r>
      <w:r w:rsidRPr="00D7475E">
        <w:rPr>
          <w:rFonts w:ascii="Book Antiqua" w:hAnsi="Book Antiqua"/>
          <w:b/>
          <w:bCs/>
        </w:rPr>
        <w:t>Wright FL</w:t>
      </w:r>
      <w:r w:rsidRPr="00D7475E">
        <w:rPr>
          <w:rFonts w:ascii="Book Antiqua" w:hAnsi="Book Antiqua"/>
        </w:rPr>
        <w:t xml:space="preserve">, Vogler TO, Moore EE, Moore HB, </w:t>
      </w:r>
      <w:proofErr w:type="spellStart"/>
      <w:r w:rsidRPr="00D7475E">
        <w:rPr>
          <w:rFonts w:ascii="Book Antiqua" w:hAnsi="Book Antiqua"/>
        </w:rPr>
        <w:t>Wohlauer</w:t>
      </w:r>
      <w:proofErr w:type="spellEnd"/>
      <w:r w:rsidRPr="00D7475E">
        <w:rPr>
          <w:rFonts w:ascii="Book Antiqua" w:hAnsi="Book Antiqua"/>
        </w:rPr>
        <w:t xml:space="preserve"> MV, Urban S, </w:t>
      </w:r>
      <w:proofErr w:type="spellStart"/>
      <w:r w:rsidRPr="00D7475E">
        <w:rPr>
          <w:rFonts w:ascii="Book Antiqua" w:hAnsi="Book Antiqua"/>
        </w:rPr>
        <w:t>Nydam</w:t>
      </w:r>
      <w:proofErr w:type="spellEnd"/>
      <w:r w:rsidRPr="00D7475E">
        <w:rPr>
          <w:rFonts w:ascii="Book Antiqua" w:hAnsi="Book Antiqua"/>
        </w:rPr>
        <w:t xml:space="preserve"> TL, Moore PK, McIntyre RC Jr. Fibrinolysis Shutdown Correlation with Thromboembolic Events in Severe COVID-19 Infection. </w:t>
      </w:r>
      <w:r w:rsidRPr="00D7475E">
        <w:rPr>
          <w:rFonts w:ascii="Book Antiqua" w:hAnsi="Book Antiqua"/>
          <w:i/>
          <w:iCs/>
        </w:rPr>
        <w:t>J Am Coll Surg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231</w:t>
      </w:r>
      <w:r w:rsidRPr="00D7475E">
        <w:rPr>
          <w:rFonts w:ascii="Book Antiqua" w:hAnsi="Book Antiqua"/>
        </w:rPr>
        <w:t>: 193-203.e1 [PMID: 32422349 DOI: 10.1016/j.jamcollsurg.2020.05.007]</w:t>
      </w:r>
    </w:p>
    <w:p w14:paraId="2F400D1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27 </w:t>
      </w:r>
      <w:proofErr w:type="spellStart"/>
      <w:r w:rsidRPr="00D7475E">
        <w:rPr>
          <w:rFonts w:ascii="Book Antiqua" w:hAnsi="Book Antiqua"/>
          <w:b/>
          <w:bCs/>
        </w:rPr>
        <w:t>Vučić</w:t>
      </w:r>
      <w:proofErr w:type="spellEnd"/>
      <w:r w:rsidRPr="00D7475E">
        <w:rPr>
          <w:rFonts w:ascii="Book Antiqua" w:hAnsi="Book Antiqua"/>
          <w:b/>
          <w:bCs/>
        </w:rPr>
        <w:t xml:space="preserve"> V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Grabež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Trchounian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Arsić</w:t>
      </w:r>
      <w:proofErr w:type="spellEnd"/>
      <w:r w:rsidRPr="00D7475E">
        <w:rPr>
          <w:rFonts w:ascii="Book Antiqua" w:hAnsi="Book Antiqua"/>
        </w:rPr>
        <w:t xml:space="preserve"> A. Composition and Potential Health Benefits of Pomegranate: A Review. </w:t>
      </w:r>
      <w:proofErr w:type="spellStart"/>
      <w:r w:rsidRPr="00D7475E">
        <w:rPr>
          <w:rFonts w:ascii="Book Antiqua" w:hAnsi="Book Antiqua"/>
          <w:i/>
          <w:iCs/>
        </w:rPr>
        <w:t>Curr</w:t>
      </w:r>
      <w:proofErr w:type="spellEnd"/>
      <w:r w:rsidRPr="00D7475E">
        <w:rPr>
          <w:rFonts w:ascii="Book Antiqua" w:hAnsi="Book Antiqua"/>
          <w:i/>
          <w:iCs/>
        </w:rPr>
        <w:t xml:space="preserve"> Pharm Des</w:t>
      </w:r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25</w:t>
      </w:r>
      <w:r w:rsidRPr="00D7475E">
        <w:rPr>
          <w:rFonts w:ascii="Book Antiqua" w:hAnsi="Book Antiqua"/>
        </w:rPr>
        <w:t>: 1817-1827 [PMID: 31298147 DOI: 10.2174/1381612825666190708183941]</w:t>
      </w:r>
    </w:p>
    <w:p w14:paraId="4744345B" w14:textId="7C7A2380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28 </w:t>
      </w:r>
      <w:proofErr w:type="spellStart"/>
      <w:r w:rsidRPr="00D7475E">
        <w:rPr>
          <w:rFonts w:ascii="Book Antiqua" w:hAnsi="Book Antiqua"/>
          <w:b/>
          <w:bCs/>
        </w:rPr>
        <w:t>Petrovic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Arsic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Ristic</w:t>
      </w:r>
      <w:proofErr w:type="spellEnd"/>
      <w:r w:rsidRPr="00D7475E">
        <w:rPr>
          <w:rFonts w:ascii="Book Antiqua" w:hAnsi="Book Antiqua"/>
        </w:rPr>
        <w:t>-Medic D, Cvetkovic Z, Vucic V. Lipid Peroxidation and Antioxidant Supplementation in Neurodegenerative Diseases: A Review of Human Studies. </w:t>
      </w:r>
      <w:r w:rsidRPr="00D7475E">
        <w:rPr>
          <w:rFonts w:ascii="Book Antiqua" w:hAnsi="Book Antiqua"/>
          <w:i/>
          <w:iCs/>
        </w:rPr>
        <w:t>Antioxidants (Basel)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="00C35AFA" w:rsidRPr="00D7475E">
        <w:rPr>
          <w:rFonts w:ascii="Book Antiqua" w:hAnsi="Book Antiqua"/>
        </w:rPr>
        <w:t>: 1128</w:t>
      </w:r>
      <w:r w:rsidRPr="00D7475E">
        <w:rPr>
          <w:rFonts w:ascii="Book Antiqua" w:hAnsi="Book Antiqua"/>
        </w:rPr>
        <w:t> [PMID: 33202952 DOI: 10.3390/antiox9111128]</w:t>
      </w:r>
    </w:p>
    <w:p w14:paraId="1E995596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29 </w:t>
      </w:r>
      <w:r w:rsidRPr="00D7475E">
        <w:rPr>
          <w:rFonts w:ascii="Book Antiqua" w:hAnsi="Book Antiqua"/>
          <w:b/>
          <w:bCs/>
        </w:rPr>
        <w:t>Coelho JM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Cansanção</w:t>
      </w:r>
      <w:proofErr w:type="spellEnd"/>
      <w:r w:rsidRPr="00D7475E">
        <w:rPr>
          <w:rFonts w:ascii="Book Antiqua" w:hAnsi="Book Antiqua"/>
        </w:rPr>
        <w:t xml:space="preserve"> K, Perez RM, </w:t>
      </w:r>
      <w:proofErr w:type="spellStart"/>
      <w:r w:rsidRPr="00D7475E">
        <w:rPr>
          <w:rFonts w:ascii="Book Antiqua" w:hAnsi="Book Antiqua"/>
        </w:rPr>
        <w:t>Leite</w:t>
      </w:r>
      <w:proofErr w:type="spellEnd"/>
      <w:r w:rsidRPr="00D7475E">
        <w:rPr>
          <w:rFonts w:ascii="Book Antiqua" w:hAnsi="Book Antiqua"/>
        </w:rPr>
        <w:t xml:space="preserve"> NC, </w:t>
      </w:r>
      <w:proofErr w:type="spellStart"/>
      <w:r w:rsidRPr="00D7475E">
        <w:rPr>
          <w:rFonts w:ascii="Book Antiqua" w:hAnsi="Book Antiqua"/>
        </w:rPr>
        <w:t>Padilha</w:t>
      </w:r>
      <w:proofErr w:type="spellEnd"/>
      <w:r w:rsidRPr="00D7475E">
        <w:rPr>
          <w:rFonts w:ascii="Book Antiqua" w:hAnsi="Book Antiqua"/>
        </w:rPr>
        <w:t xml:space="preserve"> P, </w:t>
      </w:r>
      <w:proofErr w:type="spellStart"/>
      <w:r w:rsidRPr="00D7475E">
        <w:rPr>
          <w:rFonts w:ascii="Book Antiqua" w:hAnsi="Book Antiqua"/>
        </w:rPr>
        <w:t>Ramalho</w:t>
      </w:r>
      <w:proofErr w:type="spellEnd"/>
      <w:r w:rsidRPr="00D7475E">
        <w:rPr>
          <w:rFonts w:ascii="Book Antiqua" w:hAnsi="Book Antiqua"/>
        </w:rPr>
        <w:t xml:space="preserve"> A, Peres W. Association between serum and dietary antioxidant micronutrients and advanced liver fibrosis in non-alcoholic fatty liver disease: an observational study. </w:t>
      </w:r>
      <w:proofErr w:type="spellStart"/>
      <w:r w:rsidRPr="00D7475E">
        <w:rPr>
          <w:rFonts w:ascii="Book Antiqua" w:hAnsi="Book Antiqua"/>
          <w:i/>
          <w:iCs/>
        </w:rPr>
        <w:t>PeerJ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8</w:t>
      </w:r>
      <w:r w:rsidRPr="00D7475E">
        <w:rPr>
          <w:rFonts w:ascii="Book Antiqua" w:hAnsi="Book Antiqua"/>
        </w:rPr>
        <w:t>: e9838 [PMID: 32995080 DOI: 10.7717/peerj.9838]</w:t>
      </w:r>
    </w:p>
    <w:p w14:paraId="7B751CC0" w14:textId="1CD1ECB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30 </w:t>
      </w:r>
      <w:r w:rsidRPr="00D7475E">
        <w:rPr>
          <w:rFonts w:ascii="Book Antiqua" w:hAnsi="Book Antiqua"/>
          <w:b/>
          <w:bCs/>
        </w:rPr>
        <w:t>Calder PC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Carr</w:t>
      </w:r>
      <w:proofErr w:type="spellEnd"/>
      <w:r w:rsidRPr="00D7475E">
        <w:rPr>
          <w:rFonts w:ascii="Book Antiqua" w:hAnsi="Book Antiqua"/>
        </w:rPr>
        <w:t xml:space="preserve"> AC, </w:t>
      </w:r>
      <w:proofErr w:type="spellStart"/>
      <w:r w:rsidRPr="00D7475E">
        <w:rPr>
          <w:rFonts w:ascii="Book Antiqua" w:hAnsi="Book Antiqua"/>
        </w:rPr>
        <w:t>Gombart</w:t>
      </w:r>
      <w:proofErr w:type="spellEnd"/>
      <w:r w:rsidRPr="00D7475E">
        <w:rPr>
          <w:rFonts w:ascii="Book Antiqua" w:hAnsi="Book Antiqua"/>
        </w:rPr>
        <w:t xml:space="preserve"> AF, </w:t>
      </w:r>
      <w:proofErr w:type="spellStart"/>
      <w:r w:rsidRPr="00D7475E">
        <w:rPr>
          <w:rFonts w:ascii="Book Antiqua" w:hAnsi="Book Antiqua"/>
        </w:rPr>
        <w:t>Eggersdorfer</w:t>
      </w:r>
      <w:proofErr w:type="spellEnd"/>
      <w:r w:rsidRPr="00D7475E">
        <w:rPr>
          <w:rFonts w:ascii="Book Antiqua" w:hAnsi="Book Antiqua"/>
        </w:rPr>
        <w:t xml:space="preserve"> M. Optimal Nutritional Status for a Well-Functioning Immune System Is an Important Factor to Protect against Viral Infections.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35AFA" w:rsidRPr="00D7475E">
        <w:rPr>
          <w:rFonts w:ascii="Book Antiqua" w:hAnsi="Book Antiqua"/>
        </w:rPr>
        <w:t>: 1181</w:t>
      </w:r>
      <w:r w:rsidRPr="00D7475E">
        <w:rPr>
          <w:rFonts w:ascii="Book Antiqua" w:hAnsi="Book Antiqua"/>
        </w:rPr>
        <w:t> [PMID: 32340216 DOI: 10.3390/nu12041181]</w:t>
      </w:r>
    </w:p>
    <w:p w14:paraId="56DCF9F8" w14:textId="3A89DF3B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31 </w:t>
      </w:r>
      <w:proofErr w:type="spellStart"/>
      <w:r w:rsidRPr="00D7475E">
        <w:rPr>
          <w:rFonts w:ascii="Book Antiqua" w:hAnsi="Book Antiqua"/>
          <w:b/>
          <w:bCs/>
        </w:rPr>
        <w:t>Gombart</w:t>
      </w:r>
      <w:proofErr w:type="spellEnd"/>
      <w:r w:rsidRPr="00D7475E">
        <w:rPr>
          <w:rFonts w:ascii="Book Antiqua" w:hAnsi="Book Antiqua"/>
          <w:b/>
          <w:bCs/>
        </w:rPr>
        <w:t xml:space="preserve"> AF</w:t>
      </w:r>
      <w:r w:rsidRPr="00D7475E">
        <w:rPr>
          <w:rFonts w:ascii="Book Antiqua" w:hAnsi="Book Antiqua"/>
        </w:rPr>
        <w:t xml:space="preserve">, Pierre A, </w:t>
      </w:r>
      <w:proofErr w:type="spellStart"/>
      <w:r w:rsidRPr="00D7475E">
        <w:rPr>
          <w:rFonts w:ascii="Book Antiqua" w:hAnsi="Book Antiqua"/>
        </w:rPr>
        <w:t>Maggini</w:t>
      </w:r>
      <w:proofErr w:type="spellEnd"/>
      <w:r w:rsidRPr="00D7475E">
        <w:rPr>
          <w:rFonts w:ascii="Book Antiqua" w:hAnsi="Book Antiqua"/>
        </w:rPr>
        <w:t xml:space="preserve"> S. A Review of Micronutrients and the Immune System-Working in Harmony to Reduce the Risk of Infection.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35AFA" w:rsidRPr="00D7475E">
        <w:rPr>
          <w:rFonts w:ascii="Book Antiqua" w:hAnsi="Book Antiqua"/>
        </w:rPr>
        <w:t>: 236</w:t>
      </w:r>
      <w:r w:rsidRPr="00D7475E">
        <w:rPr>
          <w:rFonts w:ascii="Book Antiqua" w:hAnsi="Book Antiqua"/>
        </w:rPr>
        <w:t> [PMID: 31963293 DOI: 10.3390/nu12010236]</w:t>
      </w:r>
    </w:p>
    <w:p w14:paraId="766E819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32 </w:t>
      </w:r>
      <w:r w:rsidRPr="00D7475E">
        <w:rPr>
          <w:rFonts w:ascii="Book Antiqua" w:hAnsi="Book Antiqua"/>
          <w:b/>
          <w:bCs/>
        </w:rPr>
        <w:t>Zhang L</w:t>
      </w:r>
      <w:r w:rsidRPr="00D7475E">
        <w:rPr>
          <w:rFonts w:ascii="Book Antiqua" w:hAnsi="Book Antiqua"/>
        </w:rPr>
        <w:t>, Liu Y. Potential interventions for novel coronavirus in China: A systematic review. </w:t>
      </w:r>
      <w:r w:rsidRPr="00D7475E">
        <w:rPr>
          <w:rFonts w:ascii="Book Antiqua" w:hAnsi="Book Antiqua"/>
          <w:i/>
          <w:iCs/>
        </w:rPr>
        <w:t xml:space="preserve">J Med </w:t>
      </w:r>
      <w:proofErr w:type="spellStart"/>
      <w:r w:rsidRPr="00D7475E">
        <w:rPr>
          <w:rFonts w:ascii="Book Antiqua" w:hAnsi="Book Antiqua"/>
          <w:i/>
          <w:iCs/>
        </w:rPr>
        <w:t>Virol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92</w:t>
      </w:r>
      <w:r w:rsidRPr="00D7475E">
        <w:rPr>
          <w:rFonts w:ascii="Book Antiqua" w:hAnsi="Book Antiqua"/>
        </w:rPr>
        <w:t>: 479-490 [PMID: 32052466 DOI: 10.1002/jmv.25707]</w:t>
      </w:r>
    </w:p>
    <w:p w14:paraId="086FAB7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33 </w:t>
      </w:r>
      <w:proofErr w:type="spellStart"/>
      <w:r w:rsidRPr="00D7475E">
        <w:rPr>
          <w:rFonts w:ascii="Book Antiqua" w:hAnsi="Book Antiqua"/>
          <w:b/>
          <w:bCs/>
        </w:rPr>
        <w:t>Shivappa</w:t>
      </w:r>
      <w:proofErr w:type="spellEnd"/>
      <w:r w:rsidRPr="00D7475E">
        <w:rPr>
          <w:rFonts w:ascii="Book Antiqua" w:hAnsi="Book Antiqua"/>
          <w:b/>
          <w:bCs/>
        </w:rPr>
        <w:t xml:space="preserve"> N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Steck</w:t>
      </w:r>
      <w:proofErr w:type="spellEnd"/>
      <w:r w:rsidRPr="00D7475E">
        <w:rPr>
          <w:rFonts w:ascii="Book Antiqua" w:hAnsi="Book Antiqua"/>
        </w:rPr>
        <w:t xml:space="preserve"> SE, Hurley TG, Hussey JR, Hébert JR. Designing and developing a literature-derived, population-based dietary inflammatory index. </w:t>
      </w:r>
      <w:r w:rsidRPr="00D7475E">
        <w:rPr>
          <w:rFonts w:ascii="Book Antiqua" w:hAnsi="Book Antiqua"/>
          <w:i/>
          <w:iCs/>
        </w:rPr>
        <w:t xml:space="preserve">Public Health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2014; </w:t>
      </w:r>
      <w:r w:rsidRPr="00D7475E">
        <w:rPr>
          <w:rFonts w:ascii="Book Antiqua" w:hAnsi="Book Antiqua"/>
          <w:b/>
          <w:bCs/>
        </w:rPr>
        <w:t>17</w:t>
      </w:r>
      <w:r w:rsidRPr="00D7475E">
        <w:rPr>
          <w:rFonts w:ascii="Book Antiqua" w:hAnsi="Book Antiqua"/>
        </w:rPr>
        <w:t>: 1689-1696 [PMID: 23941862 DOI: 10.1017/S1368980013002115]</w:t>
      </w:r>
    </w:p>
    <w:p w14:paraId="3F12EEF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34 </w:t>
      </w:r>
      <w:proofErr w:type="spellStart"/>
      <w:r w:rsidRPr="00D7475E">
        <w:rPr>
          <w:rFonts w:ascii="Book Antiqua" w:hAnsi="Book Antiqua"/>
          <w:b/>
          <w:bCs/>
        </w:rPr>
        <w:t>Sohouli</w:t>
      </w:r>
      <w:proofErr w:type="spellEnd"/>
      <w:r w:rsidRPr="00D7475E">
        <w:rPr>
          <w:rFonts w:ascii="Book Antiqua" w:hAnsi="Book Antiqua"/>
          <w:b/>
          <w:bCs/>
        </w:rPr>
        <w:t xml:space="preserve"> MH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Fatahi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Sayyari</w:t>
      </w:r>
      <w:proofErr w:type="spellEnd"/>
      <w:r w:rsidRPr="00D7475E">
        <w:rPr>
          <w:rFonts w:ascii="Book Antiqua" w:hAnsi="Book Antiqua"/>
        </w:rPr>
        <w:t xml:space="preserve"> A, Olang B, </w:t>
      </w:r>
      <w:proofErr w:type="spellStart"/>
      <w:r w:rsidRPr="00D7475E">
        <w:rPr>
          <w:rFonts w:ascii="Book Antiqua" w:hAnsi="Book Antiqua"/>
        </w:rPr>
        <w:t>Shidfar</w:t>
      </w:r>
      <w:proofErr w:type="spellEnd"/>
      <w:r w:rsidRPr="00D7475E">
        <w:rPr>
          <w:rFonts w:ascii="Book Antiqua" w:hAnsi="Book Antiqua"/>
        </w:rPr>
        <w:t xml:space="preserve"> F. Associations between dietary total antioxidant capacity and odds of non-alcoholic fatty liver disease (NAFLD) in adults: a case-control study. </w:t>
      </w:r>
      <w:r w:rsidRPr="00D7475E">
        <w:rPr>
          <w:rFonts w:ascii="Book Antiqua" w:hAnsi="Book Antiqua"/>
          <w:i/>
          <w:iCs/>
        </w:rPr>
        <w:t xml:space="preserve">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Sci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Pr="00D7475E">
        <w:rPr>
          <w:rFonts w:ascii="Book Antiqua" w:hAnsi="Book Antiqua"/>
        </w:rPr>
        <w:t>: e48 [PMID: 33244400 DOI: 10.1017/jns.2020.39]</w:t>
      </w:r>
    </w:p>
    <w:p w14:paraId="54676788" w14:textId="4A421D0A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35 </w:t>
      </w:r>
      <w:proofErr w:type="spellStart"/>
      <w:r w:rsidRPr="00D7475E">
        <w:rPr>
          <w:rFonts w:ascii="Book Antiqua" w:hAnsi="Book Antiqua"/>
          <w:b/>
          <w:bCs/>
        </w:rPr>
        <w:t>Iddir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Brito A, </w:t>
      </w:r>
      <w:proofErr w:type="spellStart"/>
      <w:r w:rsidRPr="00D7475E">
        <w:rPr>
          <w:rFonts w:ascii="Book Antiqua" w:hAnsi="Book Antiqua"/>
        </w:rPr>
        <w:t>Dingeo</w:t>
      </w:r>
      <w:proofErr w:type="spellEnd"/>
      <w:r w:rsidRPr="00D7475E">
        <w:rPr>
          <w:rFonts w:ascii="Book Antiqua" w:hAnsi="Book Antiqua"/>
        </w:rPr>
        <w:t xml:space="preserve"> G, Fernandez Del Campo SS, </w:t>
      </w:r>
      <w:proofErr w:type="spellStart"/>
      <w:r w:rsidRPr="00D7475E">
        <w:rPr>
          <w:rFonts w:ascii="Book Antiqua" w:hAnsi="Book Antiqua"/>
        </w:rPr>
        <w:t>Samouda</w:t>
      </w:r>
      <w:proofErr w:type="spellEnd"/>
      <w:r w:rsidRPr="00D7475E">
        <w:rPr>
          <w:rFonts w:ascii="Book Antiqua" w:hAnsi="Book Antiqua"/>
        </w:rPr>
        <w:t xml:space="preserve"> H, La </w:t>
      </w:r>
      <w:proofErr w:type="spellStart"/>
      <w:r w:rsidRPr="00D7475E">
        <w:rPr>
          <w:rFonts w:ascii="Book Antiqua" w:hAnsi="Book Antiqua"/>
        </w:rPr>
        <w:t>Frano</w:t>
      </w:r>
      <w:proofErr w:type="spellEnd"/>
      <w:r w:rsidRPr="00D7475E">
        <w:rPr>
          <w:rFonts w:ascii="Book Antiqua" w:hAnsi="Book Antiqua"/>
        </w:rPr>
        <w:t xml:space="preserve"> MR, Bohn T. Strengthening the Immune System and Reducing Inflammation and Oxidative Stress through Diet and Nutrition: Considerations during the COVID-19 Crisis.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35AFA" w:rsidRPr="00D7475E">
        <w:rPr>
          <w:rFonts w:ascii="Book Antiqua" w:hAnsi="Book Antiqua"/>
        </w:rPr>
        <w:t>: 1562</w:t>
      </w:r>
      <w:r w:rsidRPr="00D7475E">
        <w:rPr>
          <w:rFonts w:ascii="Book Antiqua" w:hAnsi="Book Antiqua"/>
        </w:rPr>
        <w:t> [PMID: 32471251 DOI: 10.3390/nu12061562]</w:t>
      </w:r>
    </w:p>
    <w:p w14:paraId="1DFB9D6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36 </w:t>
      </w:r>
      <w:r w:rsidRPr="00D7475E">
        <w:rPr>
          <w:rFonts w:ascii="Book Antiqua" w:hAnsi="Book Antiqua"/>
          <w:b/>
          <w:bCs/>
        </w:rPr>
        <w:t>Calder PC</w:t>
      </w:r>
      <w:r w:rsidRPr="00D7475E">
        <w:rPr>
          <w:rFonts w:ascii="Book Antiqua" w:hAnsi="Book Antiqua"/>
        </w:rPr>
        <w:t>. Nutrition, immunity and COVID-19. </w:t>
      </w:r>
      <w:r w:rsidRPr="00D7475E">
        <w:rPr>
          <w:rFonts w:ascii="Book Antiqua" w:hAnsi="Book Antiqua"/>
          <w:i/>
          <w:iCs/>
        </w:rPr>
        <w:t xml:space="preserve">BMJ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Prev</w:t>
      </w:r>
      <w:proofErr w:type="spellEnd"/>
      <w:r w:rsidRPr="00D7475E">
        <w:rPr>
          <w:rFonts w:ascii="Book Antiqua" w:hAnsi="Book Antiqua"/>
          <w:i/>
          <w:iCs/>
        </w:rPr>
        <w:t xml:space="preserve"> Health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</w:t>
      </w:r>
      <w:r w:rsidRPr="00D7475E">
        <w:rPr>
          <w:rFonts w:ascii="Book Antiqua" w:hAnsi="Book Antiqua"/>
        </w:rPr>
        <w:t>: 74-92 [PMID: 33230497 DOI: 10.1136/bmjnph-2020-000085]</w:t>
      </w:r>
    </w:p>
    <w:p w14:paraId="58D25FD1" w14:textId="077A18F9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37 </w:t>
      </w:r>
      <w:proofErr w:type="spellStart"/>
      <w:r w:rsidRPr="00D7475E">
        <w:rPr>
          <w:rFonts w:ascii="Book Antiqua" w:hAnsi="Book Antiqua"/>
          <w:b/>
          <w:bCs/>
        </w:rPr>
        <w:t>Hemilä</w:t>
      </w:r>
      <w:proofErr w:type="spellEnd"/>
      <w:r w:rsidRPr="00D7475E">
        <w:rPr>
          <w:rFonts w:ascii="Book Antiqua" w:hAnsi="Book Antiqua"/>
          <w:b/>
          <w:bCs/>
        </w:rPr>
        <w:t xml:space="preserve"> H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Chalker</w:t>
      </w:r>
      <w:proofErr w:type="spellEnd"/>
      <w:r w:rsidRPr="00D7475E">
        <w:rPr>
          <w:rFonts w:ascii="Book Antiqua" w:hAnsi="Book Antiqua"/>
        </w:rPr>
        <w:t xml:space="preserve"> E. Vitamin C Can Shorten the Length of Stay in the ICU: A Meta-Analysis.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11</w:t>
      </w:r>
      <w:r w:rsidR="00C35AFA" w:rsidRPr="00D7475E">
        <w:rPr>
          <w:rFonts w:ascii="Book Antiqua" w:hAnsi="Book Antiqua"/>
        </w:rPr>
        <w:t>: 708</w:t>
      </w:r>
      <w:r w:rsidRPr="00D7475E">
        <w:rPr>
          <w:rFonts w:ascii="Book Antiqua" w:hAnsi="Book Antiqua"/>
        </w:rPr>
        <w:t> [PMID: 30934660 DOI: 10.3390/nu11040708]</w:t>
      </w:r>
    </w:p>
    <w:p w14:paraId="19B2C83E" w14:textId="7F462BB2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38 </w:t>
      </w:r>
      <w:r w:rsidRPr="00D7475E">
        <w:rPr>
          <w:rFonts w:ascii="Book Antiqua" w:hAnsi="Book Antiqua"/>
          <w:b/>
          <w:bCs/>
        </w:rPr>
        <w:t>Grant WB</w:t>
      </w:r>
      <w:r w:rsidRPr="00D7475E">
        <w:rPr>
          <w:rFonts w:ascii="Book Antiqua" w:hAnsi="Book Antiqua"/>
        </w:rPr>
        <w:t xml:space="preserve">, Lahore H, McDonnell SL, </w:t>
      </w:r>
      <w:proofErr w:type="spellStart"/>
      <w:r w:rsidRPr="00D7475E">
        <w:rPr>
          <w:rFonts w:ascii="Book Antiqua" w:hAnsi="Book Antiqua"/>
        </w:rPr>
        <w:t>Baggerly</w:t>
      </w:r>
      <w:proofErr w:type="spellEnd"/>
      <w:r w:rsidRPr="00D7475E">
        <w:rPr>
          <w:rFonts w:ascii="Book Antiqua" w:hAnsi="Book Antiqua"/>
        </w:rPr>
        <w:t xml:space="preserve"> CA, French CB, </w:t>
      </w:r>
      <w:proofErr w:type="spellStart"/>
      <w:r w:rsidRPr="00D7475E">
        <w:rPr>
          <w:rFonts w:ascii="Book Antiqua" w:hAnsi="Book Antiqua"/>
        </w:rPr>
        <w:t>Aliano</w:t>
      </w:r>
      <w:proofErr w:type="spellEnd"/>
      <w:r w:rsidRPr="00D7475E">
        <w:rPr>
          <w:rFonts w:ascii="Book Antiqua" w:hAnsi="Book Antiqua"/>
        </w:rPr>
        <w:t xml:space="preserve"> JL, </w:t>
      </w:r>
      <w:proofErr w:type="spellStart"/>
      <w:r w:rsidRPr="00D7475E">
        <w:rPr>
          <w:rFonts w:ascii="Book Antiqua" w:hAnsi="Book Antiqua"/>
        </w:rPr>
        <w:t>Bhattoa</w:t>
      </w:r>
      <w:proofErr w:type="spellEnd"/>
      <w:r w:rsidRPr="00D7475E">
        <w:rPr>
          <w:rFonts w:ascii="Book Antiqua" w:hAnsi="Book Antiqua"/>
        </w:rPr>
        <w:t xml:space="preserve"> HP. Evidence that Vitamin D Supplementation Could Reduce Risk of Influenza and COVID-19 Infections and Deaths.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35AFA" w:rsidRPr="00D7475E">
        <w:rPr>
          <w:rFonts w:ascii="Book Antiqua" w:hAnsi="Book Antiqua"/>
        </w:rPr>
        <w:t>: 988</w:t>
      </w:r>
      <w:r w:rsidRPr="00D7475E">
        <w:rPr>
          <w:rFonts w:ascii="Book Antiqua" w:hAnsi="Book Antiqua"/>
        </w:rPr>
        <w:t> [PMID: 32252338 DOI: 10.3390/nu12040988]</w:t>
      </w:r>
    </w:p>
    <w:p w14:paraId="7AB8BAE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39 </w:t>
      </w:r>
      <w:r w:rsidRPr="00D7475E">
        <w:rPr>
          <w:rFonts w:ascii="Book Antiqua" w:hAnsi="Book Antiqua"/>
          <w:b/>
          <w:bCs/>
        </w:rPr>
        <w:t>de Oliveira DG</w:t>
      </w:r>
      <w:r w:rsidRPr="00D7475E">
        <w:rPr>
          <w:rFonts w:ascii="Book Antiqua" w:hAnsi="Book Antiqua"/>
        </w:rPr>
        <w:t xml:space="preserve">, de </w:t>
      </w:r>
      <w:proofErr w:type="spellStart"/>
      <w:r w:rsidRPr="00D7475E">
        <w:rPr>
          <w:rFonts w:ascii="Book Antiqua" w:hAnsi="Book Antiqua"/>
        </w:rPr>
        <w:t>Faria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Ghetti</w:t>
      </w:r>
      <w:proofErr w:type="spellEnd"/>
      <w:r w:rsidRPr="00D7475E">
        <w:rPr>
          <w:rFonts w:ascii="Book Antiqua" w:hAnsi="Book Antiqua"/>
        </w:rPr>
        <w:t xml:space="preserve"> F, Moreira APB, </w:t>
      </w:r>
      <w:proofErr w:type="spellStart"/>
      <w:r w:rsidRPr="00D7475E">
        <w:rPr>
          <w:rFonts w:ascii="Book Antiqua" w:hAnsi="Book Antiqua"/>
        </w:rPr>
        <w:t>Hermsdorff</w:t>
      </w:r>
      <w:proofErr w:type="spellEnd"/>
      <w:r w:rsidRPr="00D7475E">
        <w:rPr>
          <w:rFonts w:ascii="Book Antiqua" w:hAnsi="Book Antiqua"/>
        </w:rPr>
        <w:t xml:space="preserve"> HHM, de Oliveira JM, de Castro Ferreira LEVV. Association between dietary total antioxidant capacity and hepatocellular ballooning in nonalcoholic steatohepatitis: a cross-sectional study. </w:t>
      </w:r>
      <w:proofErr w:type="spellStart"/>
      <w:r w:rsidRPr="00D7475E">
        <w:rPr>
          <w:rFonts w:ascii="Book Antiqua" w:hAnsi="Book Antiqua"/>
          <w:i/>
          <w:iCs/>
        </w:rPr>
        <w:t>Eur</w:t>
      </w:r>
      <w:proofErr w:type="spellEnd"/>
      <w:r w:rsidRPr="00D7475E">
        <w:rPr>
          <w:rFonts w:ascii="Book Antiqua" w:hAnsi="Book Antiqua"/>
          <w:i/>
          <w:iCs/>
        </w:rPr>
        <w:t xml:space="preserve"> 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58</w:t>
      </w:r>
      <w:r w:rsidRPr="00D7475E">
        <w:rPr>
          <w:rFonts w:ascii="Book Antiqua" w:hAnsi="Book Antiqua"/>
        </w:rPr>
        <w:t>: 2263-2270 [PMID: 30019089 DOI: 10.1007/s00394-018-1776-0]</w:t>
      </w:r>
    </w:p>
    <w:p w14:paraId="1BE71B9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40 </w:t>
      </w:r>
      <w:proofErr w:type="spellStart"/>
      <w:r w:rsidRPr="00D7475E">
        <w:rPr>
          <w:rFonts w:ascii="Book Antiqua" w:hAnsi="Book Antiqua"/>
          <w:b/>
          <w:bCs/>
        </w:rPr>
        <w:t>Budhwar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Sethi</w:t>
      </w:r>
      <w:proofErr w:type="spellEnd"/>
      <w:r w:rsidRPr="00D7475E">
        <w:rPr>
          <w:rFonts w:ascii="Book Antiqua" w:hAnsi="Book Antiqua"/>
        </w:rPr>
        <w:t xml:space="preserve"> K, Chakraborty M. A Rapid Advice Guideline for the Prevention of Novel Coronavirus Through Nutritional Intervention. </w:t>
      </w:r>
      <w:proofErr w:type="spellStart"/>
      <w:r w:rsidRPr="00D7475E">
        <w:rPr>
          <w:rFonts w:ascii="Book Antiqua" w:hAnsi="Book Antiqua"/>
          <w:i/>
          <w:iCs/>
        </w:rPr>
        <w:t>Curr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Rep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Pr="00D7475E">
        <w:rPr>
          <w:rFonts w:ascii="Book Antiqua" w:hAnsi="Book Antiqua"/>
        </w:rPr>
        <w:t>: 119-128 [PMID: 32578027 DOI: 10.1007/s13668-020-00325-1]</w:t>
      </w:r>
    </w:p>
    <w:p w14:paraId="0C1A4A73" w14:textId="3C5FEDB0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41 </w:t>
      </w:r>
      <w:proofErr w:type="spellStart"/>
      <w:r w:rsidRPr="00D7475E">
        <w:rPr>
          <w:rFonts w:ascii="Book Antiqua" w:hAnsi="Book Antiqua"/>
          <w:b/>
          <w:bCs/>
        </w:rPr>
        <w:t>Galmés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>, Serra F, Palou A. Current State of Evidence: Influence of Nutritional and Nutrigenetic Factors on Immunity in the COVID-19 Pandemic Framework.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35AFA" w:rsidRPr="00D7475E">
        <w:rPr>
          <w:rFonts w:ascii="Book Antiqua" w:hAnsi="Book Antiqua"/>
        </w:rPr>
        <w:t>: 2738</w:t>
      </w:r>
      <w:r w:rsidRPr="00D7475E">
        <w:rPr>
          <w:rFonts w:ascii="Book Antiqua" w:hAnsi="Book Antiqua"/>
        </w:rPr>
        <w:t> [PMID: 32911778 DOI: 10.3390/nu12092738]</w:t>
      </w:r>
    </w:p>
    <w:p w14:paraId="67A6C20A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42 </w:t>
      </w:r>
      <w:proofErr w:type="spellStart"/>
      <w:r w:rsidRPr="00D7475E">
        <w:rPr>
          <w:rFonts w:ascii="Book Antiqua" w:hAnsi="Book Antiqua"/>
          <w:b/>
          <w:bCs/>
        </w:rPr>
        <w:t>Trasino</w:t>
      </w:r>
      <w:proofErr w:type="spellEnd"/>
      <w:r w:rsidRPr="00D7475E">
        <w:rPr>
          <w:rFonts w:ascii="Book Antiqua" w:hAnsi="Book Antiqua"/>
          <w:b/>
          <w:bCs/>
        </w:rPr>
        <w:t xml:space="preserve"> SE</w:t>
      </w:r>
      <w:r w:rsidRPr="00D7475E">
        <w:rPr>
          <w:rFonts w:ascii="Book Antiqua" w:hAnsi="Book Antiqua"/>
        </w:rPr>
        <w:t>. A role for retinoids in the treatment of COVID-19? 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Exp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Pharmacol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Physiol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47</w:t>
      </w:r>
      <w:r w:rsidRPr="00D7475E">
        <w:rPr>
          <w:rFonts w:ascii="Book Antiqua" w:hAnsi="Book Antiqua"/>
        </w:rPr>
        <w:t>: 1765-1767 [PMID: 32459003 DOI: 10.1111/1440-1681.13354]</w:t>
      </w:r>
    </w:p>
    <w:p w14:paraId="036EF68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43 </w:t>
      </w:r>
      <w:proofErr w:type="spellStart"/>
      <w:r w:rsidRPr="00D7475E">
        <w:rPr>
          <w:rFonts w:ascii="Book Antiqua" w:hAnsi="Book Antiqua"/>
          <w:b/>
          <w:bCs/>
        </w:rPr>
        <w:t>Sahin</w:t>
      </w:r>
      <w:proofErr w:type="spellEnd"/>
      <w:r w:rsidRPr="00D7475E">
        <w:rPr>
          <w:rFonts w:ascii="Book Antiqua" w:hAnsi="Book Antiqua"/>
          <w:b/>
          <w:bCs/>
        </w:rPr>
        <w:t xml:space="preserve"> E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Orhan</w:t>
      </w:r>
      <w:proofErr w:type="spellEnd"/>
      <w:r w:rsidRPr="00D7475E">
        <w:rPr>
          <w:rFonts w:ascii="Book Antiqua" w:hAnsi="Book Antiqua"/>
        </w:rPr>
        <w:t xml:space="preserve"> C, </w:t>
      </w:r>
      <w:proofErr w:type="spellStart"/>
      <w:r w:rsidRPr="00D7475E">
        <w:rPr>
          <w:rFonts w:ascii="Book Antiqua" w:hAnsi="Book Antiqua"/>
        </w:rPr>
        <w:t>Uckun</w:t>
      </w:r>
      <w:proofErr w:type="spellEnd"/>
      <w:r w:rsidRPr="00D7475E">
        <w:rPr>
          <w:rFonts w:ascii="Book Antiqua" w:hAnsi="Book Antiqua"/>
        </w:rPr>
        <w:t xml:space="preserve"> FM, </w:t>
      </w:r>
      <w:proofErr w:type="spellStart"/>
      <w:r w:rsidRPr="00D7475E">
        <w:rPr>
          <w:rFonts w:ascii="Book Antiqua" w:hAnsi="Book Antiqua"/>
        </w:rPr>
        <w:t>Sahin</w:t>
      </w:r>
      <w:proofErr w:type="spellEnd"/>
      <w:r w:rsidRPr="00D7475E">
        <w:rPr>
          <w:rFonts w:ascii="Book Antiqua" w:hAnsi="Book Antiqua"/>
        </w:rPr>
        <w:t xml:space="preserve"> K. Clinical Impact Potential of Supplemental Nutrients as Adjuncts of Therapy in High-Risk COVID-19 for Obese Patients. </w:t>
      </w:r>
      <w:r w:rsidRPr="00D7475E">
        <w:rPr>
          <w:rFonts w:ascii="Book Antiqua" w:hAnsi="Book Antiqua"/>
          <w:i/>
          <w:iCs/>
        </w:rPr>
        <w:t xml:space="preserve">Front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7</w:t>
      </w:r>
      <w:r w:rsidRPr="00D7475E">
        <w:rPr>
          <w:rFonts w:ascii="Book Antiqua" w:hAnsi="Book Antiqua"/>
        </w:rPr>
        <w:t>: 580504 [PMID: 33195370 DOI: 10.3389/fnut.2020.580504]</w:t>
      </w:r>
    </w:p>
    <w:p w14:paraId="52F4DE1B" w14:textId="719E1F82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44</w:t>
      </w:r>
      <w:r w:rsidRPr="00D7475E">
        <w:rPr>
          <w:rFonts w:ascii="Book Antiqua" w:hAnsi="Book Antiqua"/>
          <w:b/>
          <w:bCs/>
        </w:rPr>
        <w:t xml:space="preserve"> </w:t>
      </w:r>
      <w:proofErr w:type="spellStart"/>
      <w:r w:rsidRPr="00D7475E">
        <w:rPr>
          <w:rFonts w:ascii="Book Antiqua" w:hAnsi="Book Antiqua"/>
          <w:b/>
          <w:bCs/>
        </w:rPr>
        <w:t>Stipp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. SARS-CoV-2: Micronutrient Optimization in Supporting Host Immunocompetence. </w:t>
      </w:r>
      <w:r w:rsidRPr="00D7475E">
        <w:rPr>
          <w:rFonts w:ascii="Book Antiqua" w:hAnsi="Book Antiqua"/>
          <w:i/>
          <w:iCs/>
        </w:rPr>
        <w:t xml:space="preserve">Int J Clin </w:t>
      </w:r>
      <w:bookmarkStart w:id="4" w:name="OLE_LINK2"/>
      <w:r w:rsidRPr="00D7475E">
        <w:rPr>
          <w:rFonts w:ascii="Book Antiqua" w:hAnsi="Book Antiqua"/>
          <w:i/>
          <w:iCs/>
        </w:rPr>
        <w:t>Case Re</w:t>
      </w:r>
      <w:bookmarkEnd w:id="4"/>
      <w:r w:rsidR="00776004" w:rsidRPr="00D7475E">
        <w:rPr>
          <w:rFonts w:ascii="Book Antiqua" w:hAnsi="Book Antiqua"/>
          <w:i/>
          <w:iCs/>
        </w:rPr>
        <w:t>p</w:t>
      </w:r>
      <w:r w:rsidRPr="00D7475E">
        <w:rPr>
          <w:rFonts w:ascii="Book Antiqua" w:hAnsi="Book Antiqua"/>
          <w:i/>
          <w:iCs/>
        </w:rPr>
        <w:t xml:space="preserve"> Rev IJCCR</w:t>
      </w:r>
      <w:r w:rsidRPr="00D7475E">
        <w:rPr>
          <w:rFonts w:ascii="Book Antiqua" w:hAnsi="Book Antiqua"/>
        </w:rPr>
        <w:t xml:space="preserve"> 2020</w:t>
      </w:r>
      <w:r w:rsidR="00C35AFA" w:rsidRPr="00D7475E">
        <w:rPr>
          <w:rFonts w:ascii="Book Antiqua" w:hAnsi="Book Antiqua"/>
        </w:rPr>
        <w:t>;</w:t>
      </w:r>
      <w:r w:rsidRPr="00D7475E">
        <w:rPr>
          <w:rFonts w:ascii="Book Antiqua" w:hAnsi="Book Antiqua"/>
        </w:rPr>
        <w:t xml:space="preserve"> </w:t>
      </w:r>
      <w:r w:rsidRPr="00D7475E">
        <w:rPr>
          <w:rFonts w:ascii="Book Antiqua" w:hAnsi="Book Antiqua"/>
          <w:b/>
          <w:bCs/>
        </w:rPr>
        <w:t>2</w:t>
      </w:r>
      <w:r w:rsidRPr="00D7475E">
        <w:rPr>
          <w:rFonts w:ascii="Book Antiqua" w:hAnsi="Book Antiqua"/>
        </w:rPr>
        <w:t xml:space="preserve"> </w:t>
      </w:r>
      <w:r w:rsidR="00C35AFA" w:rsidRPr="00D7475E">
        <w:rPr>
          <w:rFonts w:ascii="Book Antiqua" w:hAnsi="Book Antiqua"/>
        </w:rPr>
        <w:t>[</w:t>
      </w:r>
      <w:r w:rsidRPr="00D7475E">
        <w:rPr>
          <w:rFonts w:ascii="Book Antiqua" w:hAnsi="Book Antiqua"/>
        </w:rPr>
        <w:t>DOI:</w:t>
      </w:r>
      <w:r w:rsidR="00C0346F" w:rsidRPr="00D7475E">
        <w:rPr>
          <w:rFonts w:ascii="Book Antiqua" w:hAnsi="Book Antiqua"/>
        </w:rPr>
        <w:t xml:space="preserve"> </w:t>
      </w:r>
      <w:r w:rsidRPr="00D7475E">
        <w:rPr>
          <w:rFonts w:ascii="Book Antiqua" w:hAnsi="Book Antiqua"/>
        </w:rPr>
        <w:t>10.31579/2690-4861/024</w:t>
      </w:r>
      <w:r w:rsidR="00C35AFA" w:rsidRPr="00D7475E">
        <w:rPr>
          <w:rFonts w:ascii="Book Antiqua" w:hAnsi="Book Antiqua"/>
        </w:rPr>
        <w:t>]</w:t>
      </w:r>
    </w:p>
    <w:p w14:paraId="16F980B6" w14:textId="42327BCD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45 </w:t>
      </w:r>
      <w:r w:rsidRPr="00D7475E">
        <w:rPr>
          <w:rFonts w:ascii="Book Antiqua" w:hAnsi="Book Antiqua"/>
          <w:b/>
          <w:bCs/>
        </w:rPr>
        <w:t>Saeed A</w:t>
      </w:r>
      <w:r w:rsidRPr="00D7475E">
        <w:rPr>
          <w:rFonts w:ascii="Book Antiqua" w:hAnsi="Book Antiqua"/>
        </w:rPr>
        <w:t>, Dull</w:t>
      </w:r>
      <w:r w:rsidR="00C35AFA"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aart</w:t>
      </w:r>
      <w:proofErr w:type="spellEnd"/>
      <w:r w:rsidRPr="00D7475E">
        <w:rPr>
          <w:rFonts w:ascii="Book Antiqua" w:hAnsi="Book Antiqua"/>
        </w:rPr>
        <w:t xml:space="preserve"> RPF, </w:t>
      </w:r>
      <w:proofErr w:type="spellStart"/>
      <w:r w:rsidRPr="00D7475E">
        <w:rPr>
          <w:rFonts w:ascii="Book Antiqua" w:hAnsi="Book Antiqua"/>
        </w:rPr>
        <w:t>Schreuder</w:t>
      </w:r>
      <w:proofErr w:type="spellEnd"/>
      <w:r w:rsidRPr="00D7475E">
        <w:rPr>
          <w:rFonts w:ascii="Book Antiqua" w:hAnsi="Book Antiqua"/>
        </w:rPr>
        <w:t xml:space="preserve"> TCMA, </w:t>
      </w:r>
      <w:proofErr w:type="spellStart"/>
      <w:r w:rsidRPr="00D7475E">
        <w:rPr>
          <w:rFonts w:ascii="Book Antiqua" w:hAnsi="Book Antiqua"/>
        </w:rPr>
        <w:t>Blokzijl</w:t>
      </w:r>
      <w:proofErr w:type="spellEnd"/>
      <w:r w:rsidRPr="00D7475E">
        <w:rPr>
          <w:rFonts w:ascii="Book Antiqua" w:hAnsi="Book Antiqua"/>
        </w:rPr>
        <w:t xml:space="preserve"> H, Faber KN. Disturbed Vitamin A Metabolism in Non-Alcoholic Fatty Liver Disease (NAFLD).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10</w:t>
      </w:r>
      <w:r w:rsidRPr="00D7475E">
        <w:rPr>
          <w:rFonts w:ascii="Book Antiqua" w:hAnsi="Book Antiqua"/>
        </w:rPr>
        <w:t> [PMID: 29286303 DOI: 10.3390/nu10010029]</w:t>
      </w:r>
    </w:p>
    <w:p w14:paraId="7CCB83D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46 </w:t>
      </w:r>
      <w:proofErr w:type="spellStart"/>
      <w:r w:rsidRPr="00D7475E">
        <w:rPr>
          <w:rFonts w:ascii="Book Antiqua" w:hAnsi="Book Antiqua"/>
          <w:b/>
          <w:bCs/>
        </w:rPr>
        <w:t>Bitetto</w:t>
      </w:r>
      <w:proofErr w:type="spellEnd"/>
      <w:r w:rsidRPr="00D7475E">
        <w:rPr>
          <w:rFonts w:ascii="Book Antiqua" w:hAnsi="Book Antiqua"/>
          <w:b/>
          <w:bCs/>
        </w:rPr>
        <w:t xml:space="preserve"> D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Bortolotti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Falleti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Vescovo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Fabris</w:t>
      </w:r>
      <w:proofErr w:type="spellEnd"/>
      <w:r w:rsidRPr="00D7475E">
        <w:rPr>
          <w:rFonts w:ascii="Book Antiqua" w:hAnsi="Book Antiqua"/>
        </w:rPr>
        <w:t xml:space="preserve"> C, </w:t>
      </w:r>
      <w:proofErr w:type="spellStart"/>
      <w:r w:rsidRPr="00D7475E">
        <w:rPr>
          <w:rFonts w:ascii="Book Antiqua" w:hAnsi="Book Antiqua"/>
        </w:rPr>
        <w:t>Fattovich</w:t>
      </w:r>
      <w:proofErr w:type="spellEnd"/>
      <w:r w:rsidRPr="00D7475E">
        <w:rPr>
          <w:rFonts w:ascii="Book Antiqua" w:hAnsi="Book Antiqua"/>
        </w:rPr>
        <w:t xml:space="preserve"> G, </w:t>
      </w:r>
      <w:proofErr w:type="spellStart"/>
      <w:r w:rsidRPr="00D7475E">
        <w:rPr>
          <w:rFonts w:ascii="Book Antiqua" w:hAnsi="Book Antiqua"/>
        </w:rPr>
        <w:t>Cussigh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Cmet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Fornasiere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Ceriani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Pirisi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Toniutto</w:t>
      </w:r>
      <w:proofErr w:type="spellEnd"/>
      <w:r w:rsidRPr="00D7475E">
        <w:rPr>
          <w:rFonts w:ascii="Book Antiqua" w:hAnsi="Book Antiqua"/>
        </w:rPr>
        <w:t xml:space="preserve"> P. Vitamin A deficiency is associated with hepatitis C virus chronic infection and with unresponsiveness to interferon-based antiviral therapy. </w:t>
      </w:r>
      <w:r w:rsidRPr="00D7475E">
        <w:rPr>
          <w:rFonts w:ascii="Book Antiqua" w:hAnsi="Book Antiqua"/>
          <w:i/>
          <w:iCs/>
        </w:rPr>
        <w:t>Hepatology</w:t>
      </w:r>
      <w:r w:rsidRPr="00D7475E">
        <w:rPr>
          <w:rFonts w:ascii="Book Antiqua" w:hAnsi="Book Antiqua"/>
        </w:rPr>
        <w:t> 2013; </w:t>
      </w:r>
      <w:r w:rsidRPr="00D7475E">
        <w:rPr>
          <w:rFonts w:ascii="Book Antiqua" w:hAnsi="Book Antiqua"/>
          <w:b/>
          <w:bCs/>
        </w:rPr>
        <w:t>57</w:t>
      </w:r>
      <w:r w:rsidRPr="00D7475E">
        <w:rPr>
          <w:rFonts w:ascii="Book Antiqua" w:hAnsi="Book Antiqua"/>
        </w:rPr>
        <w:t>: 925-933 [PMID: 23213086 DOI: 10.1002/hep.26186]</w:t>
      </w:r>
    </w:p>
    <w:p w14:paraId="268E5C2D" w14:textId="0DF624A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47 </w:t>
      </w:r>
      <w:proofErr w:type="spellStart"/>
      <w:r w:rsidRPr="00D7475E">
        <w:rPr>
          <w:rFonts w:ascii="Book Antiqua" w:hAnsi="Book Antiqua"/>
          <w:b/>
          <w:bCs/>
        </w:rPr>
        <w:t>Mahamid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Nseir</w:t>
      </w:r>
      <w:proofErr w:type="spellEnd"/>
      <w:r w:rsidRPr="00D7475E">
        <w:rPr>
          <w:rFonts w:ascii="Book Antiqua" w:hAnsi="Book Antiqua"/>
        </w:rPr>
        <w:t xml:space="preserve"> W, </w:t>
      </w:r>
      <w:proofErr w:type="spellStart"/>
      <w:r w:rsidRPr="00D7475E">
        <w:rPr>
          <w:rFonts w:ascii="Book Antiqua" w:hAnsi="Book Antiqua"/>
        </w:rPr>
        <w:t>Khoury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Mahamid</w:t>
      </w:r>
      <w:proofErr w:type="spellEnd"/>
      <w:r w:rsidRPr="00D7475E">
        <w:rPr>
          <w:rFonts w:ascii="Book Antiqua" w:hAnsi="Book Antiqua"/>
        </w:rPr>
        <w:t xml:space="preserve"> B, </w:t>
      </w:r>
      <w:proofErr w:type="spellStart"/>
      <w:r w:rsidRPr="00D7475E">
        <w:rPr>
          <w:rFonts w:ascii="Book Antiqua" w:hAnsi="Book Antiqua"/>
        </w:rPr>
        <w:t>Nubania</w:t>
      </w:r>
      <w:proofErr w:type="spellEnd"/>
      <w:r w:rsidRPr="00D7475E">
        <w:rPr>
          <w:rFonts w:ascii="Book Antiqua" w:hAnsi="Book Antiqua"/>
        </w:rPr>
        <w:t xml:space="preserve"> A, Sub-Laban K, </w:t>
      </w:r>
      <w:proofErr w:type="spellStart"/>
      <w:r w:rsidRPr="00D7475E">
        <w:rPr>
          <w:rFonts w:ascii="Book Antiqua" w:hAnsi="Book Antiqua"/>
        </w:rPr>
        <w:t>Schifter</w:t>
      </w:r>
      <w:proofErr w:type="spellEnd"/>
      <w:r w:rsidRPr="00D7475E">
        <w:rPr>
          <w:rFonts w:ascii="Book Antiqua" w:hAnsi="Book Antiqua"/>
        </w:rPr>
        <w:t xml:space="preserve"> J, Mari A, </w:t>
      </w:r>
      <w:proofErr w:type="spellStart"/>
      <w:r w:rsidRPr="00D7475E">
        <w:rPr>
          <w:rFonts w:ascii="Book Antiqua" w:hAnsi="Book Antiqua"/>
        </w:rPr>
        <w:t>Sbeit</w:t>
      </w:r>
      <w:proofErr w:type="spellEnd"/>
      <w:r w:rsidRPr="00D7475E">
        <w:rPr>
          <w:rFonts w:ascii="Book Antiqua" w:hAnsi="Book Antiqua"/>
        </w:rPr>
        <w:t xml:space="preserve"> W, Goldin E. Nonalcoholic fatty liver disease is associated with COVID-19 severity independently of metabolic syndrome: a retrospective case-control study. </w:t>
      </w:r>
      <w:r w:rsidRPr="00D7475E">
        <w:rPr>
          <w:rFonts w:ascii="Book Antiqua" w:hAnsi="Book Antiqua"/>
          <w:i/>
          <w:iCs/>
        </w:rPr>
        <w:t xml:space="preserve">Eur J </w:t>
      </w:r>
      <w:proofErr w:type="spellStart"/>
      <w:r w:rsidRPr="00D7475E">
        <w:rPr>
          <w:rFonts w:ascii="Book Antiqua" w:hAnsi="Book Antiqua"/>
          <w:i/>
          <w:iCs/>
        </w:rPr>
        <w:t>Gastroenterol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Hepatol</w:t>
      </w:r>
      <w:proofErr w:type="spellEnd"/>
      <w:r w:rsidRPr="00D7475E">
        <w:rPr>
          <w:rFonts w:ascii="Book Antiqua" w:hAnsi="Book Antiqua"/>
        </w:rPr>
        <w:t> 2020</w:t>
      </w:r>
      <w:r w:rsidR="00776004" w:rsidRPr="00D7475E">
        <w:rPr>
          <w:rFonts w:ascii="Book Antiqua" w:hAnsi="Book Antiqua"/>
        </w:rPr>
        <w:t xml:space="preserve"> </w:t>
      </w:r>
      <w:proofErr w:type="spellStart"/>
      <w:r w:rsidR="00776004" w:rsidRPr="00D7475E">
        <w:rPr>
          <w:rFonts w:ascii="Book Antiqua" w:hAnsi="Book Antiqua"/>
        </w:rPr>
        <w:t>epub</w:t>
      </w:r>
      <w:proofErr w:type="spellEnd"/>
      <w:r w:rsidR="00776004" w:rsidRPr="00D7475E">
        <w:rPr>
          <w:rFonts w:ascii="Book Antiqua" w:hAnsi="Book Antiqua"/>
        </w:rPr>
        <w:t xml:space="preserve"> ahead of print</w:t>
      </w:r>
      <w:r w:rsidRPr="00D7475E">
        <w:rPr>
          <w:rFonts w:ascii="Book Antiqua" w:hAnsi="Book Antiqua"/>
        </w:rPr>
        <w:t xml:space="preserve"> [PMID: 32868652 DOI: 10.1097/MEG.0000000000001902]</w:t>
      </w:r>
    </w:p>
    <w:p w14:paraId="3E72E85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48 </w:t>
      </w:r>
      <w:proofErr w:type="spellStart"/>
      <w:r w:rsidRPr="00D7475E">
        <w:rPr>
          <w:rFonts w:ascii="Book Antiqua" w:hAnsi="Book Antiqua"/>
          <w:b/>
          <w:bCs/>
        </w:rPr>
        <w:t>Stephensen</w:t>
      </w:r>
      <w:proofErr w:type="spellEnd"/>
      <w:r w:rsidRPr="00D7475E">
        <w:rPr>
          <w:rFonts w:ascii="Book Antiqua" w:hAnsi="Book Antiqua"/>
          <w:b/>
          <w:bCs/>
        </w:rPr>
        <w:t xml:space="preserve"> CB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Lietz</w:t>
      </w:r>
      <w:proofErr w:type="spellEnd"/>
      <w:r w:rsidRPr="00D7475E">
        <w:rPr>
          <w:rFonts w:ascii="Book Antiqua" w:hAnsi="Book Antiqua"/>
        </w:rPr>
        <w:t xml:space="preserve"> G. Vitamin A in resistance to and recovery from infection: relevance to SARS-CoV2. </w:t>
      </w:r>
      <w:r w:rsidRPr="00D7475E">
        <w:rPr>
          <w:rFonts w:ascii="Book Antiqua" w:hAnsi="Book Antiqua"/>
          <w:i/>
          <w:iCs/>
        </w:rPr>
        <w:t xml:space="preserve">Br 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2021: 1-10 [PMID: 33468263 DOI: 10.1017/S0007114521000246]</w:t>
      </w:r>
    </w:p>
    <w:p w14:paraId="59472738" w14:textId="68E013A6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49 </w:t>
      </w:r>
      <w:proofErr w:type="spellStart"/>
      <w:r w:rsidRPr="00D7475E">
        <w:rPr>
          <w:rFonts w:ascii="Book Antiqua" w:hAnsi="Book Antiqua"/>
          <w:b/>
          <w:bCs/>
        </w:rPr>
        <w:t>Bitarafan</w:t>
      </w:r>
      <w:proofErr w:type="spellEnd"/>
      <w:r w:rsidRPr="00D7475E">
        <w:rPr>
          <w:rFonts w:ascii="Book Antiqua" w:hAnsi="Book Antiqua"/>
          <w:b/>
          <w:bCs/>
        </w:rPr>
        <w:t xml:space="preserve"> S. </w:t>
      </w:r>
      <w:r w:rsidRPr="00D7475E">
        <w:rPr>
          <w:rFonts w:ascii="Book Antiqua" w:hAnsi="Book Antiqua"/>
        </w:rPr>
        <w:t>Impact of vitamin B,</w:t>
      </w:r>
      <w:r w:rsidR="00776004" w:rsidRPr="00D7475E">
        <w:rPr>
          <w:rFonts w:ascii="Book Antiqua" w:hAnsi="Book Antiqua"/>
        </w:rPr>
        <w:t xml:space="preserve"> </w:t>
      </w:r>
      <w:r w:rsidRPr="00D7475E">
        <w:rPr>
          <w:rFonts w:ascii="Book Antiqua" w:hAnsi="Book Antiqua"/>
        </w:rPr>
        <w:t>A, D, E, C supplementation on improvement and mortality rate in patients with COVID-19 admitted in intensive care unit. [accessed 2020 Dec 15]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In: IRCT.ir/trial/ [Internet]. Teheran: Iranian Registry of Clinical Trails. Available from: https://www.irct.ir/trial/46838 IRCT registration number: IRCT20200319046819N1</w:t>
      </w:r>
    </w:p>
    <w:p w14:paraId="19B8673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50 </w:t>
      </w:r>
      <w:proofErr w:type="spellStart"/>
      <w:r w:rsidRPr="00D7475E">
        <w:rPr>
          <w:rFonts w:ascii="Book Antiqua" w:hAnsi="Book Antiqua"/>
          <w:b/>
          <w:bCs/>
        </w:rPr>
        <w:t>Kozeniecki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Ludke</w:t>
      </w:r>
      <w:proofErr w:type="spellEnd"/>
      <w:r w:rsidRPr="00D7475E">
        <w:rPr>
          <w:rFonts w:ascii="Book Antiqua" w:hAnsi="Book Antiqua"/>
        </w:rPr>
        <w:t xml:space="preserve"> R, Kerner J, Patterson B. Micronutrients in Liver Disease: Roles, Risk Factors for Deficiency, and Recommendations for Supplementation. 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Pract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35</w:t>
      </w:r>
      <w:r w:rsidRPr="00D7475E">
        <w:rPr>
          <w:rFonts w:ascii="Book Antiqua" w:hAnsi="Book Antiqua"/>
        </w:rPr>
        <w:t>: 50-62 [PMID: 31840874 DOI: 10.1002/ncp.10451]</w:t>
      </w:r>
    </w:p>
    <w:p w14:paraId="525D451C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51 </w:t>
      </w:r>
      <w:proofErr w:type="spellStart"/>
      <w:r w:rsidRPr="00D7475E">
        <w:rPr>
          <w:rFonts w:ascii="Book Antiqua" w:hAnsi="Book Antiqua"/>
          <w:b/>
          <w:bCs/>
        </w:rPr>
        <w:t>Elangovan</w:t>
      </w:r>
      <w:proofErr w:type="spellEnd"/>
      <w:r w:rsidRPr="00D7475E">
        <w:rPr>
          <w:rFonts w:ascii="Book Antiqua" w:hAnsi="Book Antiqua"/>
          <w:b/>
          <w:bCs/>
        </w:rPr>
        <w:t xml:space="preserve"> H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Chahal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Gunton</w:t>
      </w:r>
      <w:proofErr w:type="spellEnd"/>
      <w:r w:rsidRPr="00D7475E">
        <w:rPr>
          <w:rFonts w:ascii="Book Antiqua" w:hAnsi="Book Antiqua"/>
        </w:rPr>
        <w:t xml:space="preserve"> JE. Vitamin D in liver disease: Current evidence and potential directions. </w:t>
      </w:r>
      <w:proofErr w:type="spellStart"/>
      <w:r w:rsidRPr="00D7475E">
        <w:rPr>
          <w:rFonts w:ascii="Book Antiqua" w:hAnsi="Book Antiqua"/>
          <w:i/>
          <w:iCs/>
        </w:rPr>
        <w:t>Biochim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Biophys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Acta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Mol</w:t>
      </w:r>
      <w:proofErr w:type="spellEnd"/>
      <w:r w:rsidRPr="00D7475E">
        <w:rPr>
          <w:rFonts w:ascii="Book Antiqua" w:hAnsi="Book Antiqua"/>
          <w:i/>
          <w:iCs/>
        </w:rPr>
        <w:t xml:space="preserve"> Basis Dis</w:t>
      </w:r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1863</w:t>
      </w:r>
      <w:r w:rsidRPr="00D7475E">
        <w:rPr>
          <w:rFonts w:ascii="Book Antiqua" w:hAnsi="Book Antiqua"/>
        </w:rPr>
        <w:t>: 907-916 [PMID: 28064017 DOI: 10.1016/j.bbadis.2017.01.001]</w:t>
      </w:r>
    </w:p>
    <w:p w14:paraId="5F31149E" w14:textId="14D0FF61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52 </w:t>
      </w:r>
      <w:r w:rsidRPr="00D7475E">
        <w:rPr>
          <w:rFonts w:ascii="Book Antiqua" w:hAnsi="Book Antiqua"/>
          <w:b/>
          <w:bCs/>
        </w:rPr>
        <w:t>Alexander J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Tinkov</w:t>
      </w:r>
      <w:proofErr w:type="spellEnd"/>
      <w:r w:rsidRPr="00D7475E">
        <w:rPr>
          <w:rFonts w:ascii="Book Antiqua" w:hAnsi="Book Antiqua"/>
        </w:rPr>
        <w:t xml:space="preserve"> A, Strand TA, </w:t>
      </w:r>
      <w:proofErr w:type="spellStart"/>
      <w:r w:rsidRPr="00D7475E">
        <w:rPr>
          <w:rFonts w:ascii="Book Antiqua" w:hAnsi="Book Antiqua"/>
        </w:rPr>
        <w:t>Alehagen</w:t>
      </w:r>
      <w:proofErr w:type="spellEnd"/>
      <w:r w:rsidRPr="00D7475E">
        <w:rPr>
          <w:rFonts w:ascii="Book Antiqua" w:hAnsi="Book Antiqua"/>
        </w:rPr>
        <w:t xml:space="preserve"> U, </w:t>
      </w:r>
      <w:proofErr w:type="spellStart"/>
      <w:r w:rsidRPr="00D7475E">
        <w:rPr>
          <w:rFonts w:ascii="Book Antiqua" w:hAnsi="Book Antiqua"/>
        </w:rPr>
        <w:t>Skalny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Aaseth</w:t>
      </w:r>
      <w:proofErr w:type="spellEnd"/>
      <w:r w:rsidRPr="00D7475E">
        <w:rPr>
          <w:rFonts w:ascii="Book Antiqua" w:hAnsi="Book Antiqua"/>
        </w:rPr>
        <w:t xml:space="preserve"> J. Early Nutritional Interventions with Zinc, Selenium and Vitamin D for Raising Anti-Viral Resistance Against Progressive COVID-19.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776004" w:rsidRPr="00D7475E">
        <w:rPr>
          <w:rFonts w:ascii="Book Antiqua" w:hAnsi="Book Antiqua"/>
        </w:rPr>
        <w:t>: 2358</w:t>
      </w:r>
      <w:r w:rsidRPr="00D7475E">
        <w:rPr>
          <w:rFonts w:ascii="Book Antiqua" w:hAnsi="Book Antiqua"/>
        </w:rPr>
        <w:t> [PMID: 32784601 DOI: 10.3390/nu12082358]</w:t>
      </w:r>
    </w:p>
    <w:p w14:paraId="78F0DC3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53 </w:t>
      </w:r>
      <w:proofErr w:type="spellStart"/>
      <w:r w:rsidRPr="00D7475E">
        <w:rPr>
          <w:rFonts w:ascii="Book Antiqua" w:hAnsi="Book Antiqua"/>
          <w:b/>
          <w:bCs/>
        </w:rPr>
        <w:t>Zdrenghea</w:t>
      </w:r>
      <w:proofErr w:type="spellEnd"/>
      <w:r w:rsidRPr="00D7475E">
        <w:rPr>
          <w:rFonts w:ascii="Book Antiqua" w:hAnsi="Book Antiqua"/>
          <w:b/>
          <w:bCs/>
        </w:rPr>
        <w:t xml:space="preserve"> MT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Makrinioti</w:t>
      </w:r>
      <w:proofErr w:type="spellEnd"/>
      <w:r w:rsidRPr="00D7475E">
        <w:rPr>
          <w:rFonts w:ascii="Book Antiqua" w:hAnsi="Book Antiqua"/>
        </w:rPr>
        <w:t xml:space="preserve"> H, </w:t>
      </w:r>
      <w:proofErr w:type="spellStart"/>
      <w:r w:rsidRPr="00D7475E">
        <w:rPr>
          <w:rFonts w:ascii="Book Antiqua" w:hAnsi="Book Antiqua"/>
        </w:rPr>
        <w:t>Bagacean</w:t>
      </w:r>
      <w:proofErr w:type="spellEnd"/>
      <w:r w:rsidRPr="00D7475E">
        <w:rPr>
          <w:rFonts w:ascii="Book Antiqua" w:hAnsi="Book Antiqua"/>
        </w:rPr>
        <w:t xml:space="preserve"> C, Bush A, Johnston SL, </w:t>
      </w:r>
      <w:proofErr w:type="spellStart"/>
      <w:r w:rsidRPr="00D7475E">
        <w:rPr>
          <w:rFonts w:ascii="Book Antiqua" w:hAnsi="Book Antiqua"/>
        </w:rPr>
        <w:t>Stanciu</w:t>
      </w:r>
      <w:proofErr w:type="spellEnd"/>
      <w:r w:rsidRPr="00D7475E">
        <w:rPr>
          <w:rFonts w:ascii="Book Antiqua" w:hAnsi="Book Antiqua"/>
        </w:rPr>
        <w:t xml:space="preserve"> LA. Vitamin D modulation of innate immune responses to respiratory viral infections. </w:t>
      </w:r>
      <w:r w:rsidRPr="00D7475E">
        <w:rPr>
          <w:rFonts w:ascii="Book Antiqua" w:hAnsi="Book Antiqua"/>
          <w:i/>
          <w:iCs/>
        </w:rPr>
        <w:t xml:space="preserve">Rev Med </w:t>
      </w:r>
      <w:proofErr w:type="spellStart"/>
      <w:r w:rsidRPr="00D7475E">
        <w:rPr>
          <w:rFonts w:ascii="Book Antiqua" w:hAnsi="Book Antiqua"/>
          <w:i/>
          <w:iCs/>
        </w:rPr>
        <w:t>Virol</w:t>
      </w:r>
      <w:proofErr w:type="spellEnd"/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27</w:t>
      </w:r>
      <w:r w:rsidRPr="00D7475E">
        <w:rPr>
          <w:rFonts w:ascii="Book Antiqua" w:hAnsi="Book Antiqua"/>
        </w:rPr>
        <w:t> [PMID: 27714929 DOI: 10.1002/rmv.1909]</w:t>
      </w:r>
    </w:p>
    <w:p w14:paraId="4B3E377A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54 </w:t>
      </w:r>
      <w:r w:rsidRPr="00D7475E">
        <w:rPr>
          <w:rFonts w:ascii="Book Antiqua" w:hAnsi="Book Antiqua"/>
          <w:b/>
          <w:bCs/>
        </w:rPr>
        <w:t>Abu-</w:t>
      </w:r>
      <w:proofErr w:type="spellStart"/>
      <w:r w:rsidRPr="00D7475E">
        <w:rPr>
          <w:rFonts w:ascii="Book Antiqua" w:hAnsi="Book Antiqua"/>
          <w:b/>
          <w:bCs/>
        </w:rPr>
        <w:t>Mouch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 xml:space="preserve">, Fireman Z, </w:t>
      </w:r>
      <w:proofErr w:type="spellStart"/>
      <w:r w:rsidRPr="00D7475E">
        <w:rPr>
          <w:rFonts w:ascii="Book Antiqua" w:hAnsi="Book Antiqua"/>
        </w:rPr>
        <w:t>Jarchovsky</w:t>
      </w:r>
      <w:proofErr w:type="spellEnd"/>
      <w:r w:rsidRPr="00D7475E">
        <w:rPr>
          <w:rFonts w:ascii="Book Antiqua" w:hAnsi="Book Antiqua"/>
        </w:rPr>
        <w:t xml:space="preserve"> J, </w:t>
      </w:r>
      <w:proofErr w:type="spellStart"/>
      <w:r w:rsidRPr="00D7475E">
        <w:rPr>
          <w:rFonts w:ascii="Book Antiqua" w:hAnsi="Book Antiqua"/>
        </w:rPr>
        <w:t>Zeina</w:t>
      </w:r>
      <w:proofErr w:type="spellEnd"/>
      <w:r w:rsidRPr="00D7475E">
        <w:rPr>
          <w:rFonts w:ascii="Book Antiqua" w:hAnsi="Book Antiqua"/>
        </w:rPr>
        <w:t xml:space="preserve"> AR, Assy N. Vitamin D supplementation improves sustained virologic response in chronic hepatitis C (genotype 1)-naïve patients. </w:t>
      </w:r>
      <w:r w:rsidRPr="00D7475E">
        <w:rPr>
          <w:rFonts w:ascii="Book Antiqua" w:hAnsi="Book Antiqua"/>
          <w:i/>
          <w:iCs/>
        </w:rPr>
        <w:t>World J Gastroenterol</w:t>
      </w:r>
      <w:r w:rsidRPr="00D7475E">
        <w:rPr>
          <w:rFonts w:ascii="Book Antiqua" w:hAnsi="Book Antiqua"/>
        </w:rPr>
        <w:t> 2011; </w:t>
      </w:r>
      <w:r w:rsidRPr="00D7475E">
        <w:rPr>
          <w:rFonts w:ascii="Book Antiqua" w:hAnsi="Book Antiqua"/>
          <w:b/>
          <w:bCs/>
        </w:rPr>
        <w:t>17</w:t>
      </w:r>
      <w:r w:rsidRPr="00D7475E">
        <w:rPr>
          <w:rFonts w:ascii="Book Antiqua" w:hAnsi="Book Antiqua"/>
        </w:rPr>
        <w:t>: 5184-5190 [PMID: 22215943 DOI: 10.3748/wjg.v17.i47.5184]</w:t>
      </w:r>
    </w:p>
    <w:p w14:paraId="2CE30E06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55 </w:t>
      </w:r>
      <w:r w:rsidRPr="00D7475E">
        <w:rPr>
          <w:rFonts w:ascii="Book Antiqua" w:hAnsi="Book Antiqua"/>
          <w:b/>
          <w:bCs/>
        </w:rPr>
        <w:t>Rafiullah M</w:t>
      </w:r>
      <w:r w:rsidRPr="00D7475E">
        <w:rPr>
          <w:rFonts w:ascii="Book Antiqua" w:hAnsi="Book Antiqua"/>
        </w:rPr>
        <w:t>. Can a Combination of AT1R Antagonist and Vitamin D Treat the Lung Complication of COVID-19? </w:t>
      </w:r>
      <w:r w:rsidRPr="00D7475E">
        <w:rPr>
          <w:rFonts w:ascii="Book Antiqua" w:hAnsi="Book Antiqua"/>
          <w:i/>
          <w:iCs/>
        </w:rPr>
        <w:t>Am J Med Sci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360</w:t>
      </w:r>
      <w:r w:rsidRPr="00D7475E">
        <w:rPr>
          <w:rFonts w:ascii="Book Antiqua" w:hAnsi="Book Antiqua"/>
        </w:rPr>
        <w:t>: 338-341 [PMID: 32736832 DOI: 10.1016/j.amjms.2020.07.018]</w:t>
      </w:r>
    </w:p>
    <w:p w14:paraId="1D9DD9B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56 </w:t>
      </w:r>
      <w:r w:rsidRPr="00D7475E">
        <w:rPr>
          <w:rFonts w:ascii="Book Antiqua" w:hAnsi="Book Antiqua"/>
          <w:b/>
          <w:bCs/>
        </w:rPr>
        <w:t>Lanham-New SA</w:t>
      </w:r>
      <w:r w:rsidRPr="00D7475E">
        <w:rPr>
          <w:rFonts w:ascii="Book Antiqua" w:hAnsi="Book Antiqua"/>
        </w:rPr>
        <w:t xml:space="preserve">, Webb AR, Cashman KD, </w:t>
      </w:r>
      <w:proofErr w:type="spellStart"/>
      <w:r w:rsidRPr="00D7475E">
        <w:rPr>
          <w:rFonts w:ascii="Book Antiqua" w:hAnsi="Book Antiqua"/>
        </w:rPr>
        <w:t>Buttriss</w:t>
      </w:r>
      <w:proofErr w:type="spellEnd"/>
      <w:r w:rsidRPr="00D7475E">
        <w:rPr>
          <w:rFonts w:ascii="Book Antiqua" w:hAnsi="Book Antiqua"/>
        </w:rPr>
        <w:t xml:space="preserve"> JL, </w:t>
      </w:r>
      <w:proofErr w:type="spellStart"/>
      <w:r w:rsidRPr="00D7475E">
        <w:rPr>
          <w:rFonts w:ascii="Book Antiqua" w:hAnsi="Book Antiqua"/>
        </w:rPr>
        <w:t>Fallowfield</w:t>
      </w:r>
      <w:proofErr w:type="spellEnd"/>
      <w:r w:rsidRPr="00D7475E">
        <w:rPr>
          <w:rFonts w:ascii="Book Antiqua" w:hAnsi="Book Antiqua"/>
        </w:rPr>
        <w:t xml:space="preserve"> JL, </w:t>
      </w:r>
      <w:proofErr w:type="spellStart"/>
      <w:r w:rsidRPr="00D7475E">
        <w:rPr>
          <w:rFonts w:ascii="Book Antiqua" w:hAnsi="Book Antiqua"/>
        </w:rPr>
        <w:t>Masud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Hewison</w:t>
      </w:r>
      <w:proofErr w:type="spellEnd"/>
      <w:r w:rsidRPr="00D7475E">
        <w:rPr>
          <w:rFonts w:ascii="Book Antiqua" w:hAnsi="Book Antiqua"/>
        </w:rPr>
        <w:t xml:space="preserve"> M, Mathers JC, Kiely M, Welch AA, Ward KA, Magee P, Darling AL, Hill TR, Greig C, Smith CP, Murphy R, Leyland S, Bouillon R, Ray S, </w:t>
      </w:r>
      <w:proofErr w:type="spellStart"/>
      <w:r w:rsidRPr="00D7475E">
        <w:rPr>
          <w:rFonts w:ascii="Book Antiqua" w:hAnsi="Book Antiqua"/>
        </w:rPr>
        <w:t>Kohlmeier</w:t>
      </w:r>
      <w:proofErr w:type="spellEnd"/>
      <w:r w:rsidRPr="00D7475E">
        <w:rPr>
          <w:rFonts w:ascii="Book Antiqua" w:hAnsi="Book Antiqua"/>
        </w:rPr>
        <w:t xml:space="preserve"> M. Vitamin D and SARS-CoV-2 virus/COVID-19 disease. </w:t>
      </w:r>
      <w:r w:rsidRPr="00D7475E">
        <w:rPr>
          <w:rFonts w:ascii="Book Antiqua" w:hAnsi="Book Antiqua"/>
          <w:i/>
          <w:iCs/>
        </w:rPr>
        <w:t xml:space="preserve">BMJ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Prev</w:t>
      </w:r>
      <w:proofErr w:type="spellEnd"/>
      <w:r w:rsidRPr="00D7475E">
        <w:rPr>
          <w:rFonts w:ascii="Book Antiqua" w:hAnsi="Book Antiqua"/>
          <w:i/>
          <w:iCs/>
        </w:rPr>
        <w:t xml:space="preserve"> Health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</w:t>
      </w:r>
      <w:r w:rsidRPr="00D7475E">
        <w:rPr>
          <w:rFonts w:ascii="Book Antiqua" w:hAnsi="Book Antiqua"/>
        </w:rPr>
        <w:t>: 106-110 [PMID: 33230499 DOI: 10.1136/bmjnph-2020-000089]</w:t>
      </w:r>
    </w:p>
    <w:p w14:paraId="4BB52927" w14:textId="0A419E1F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57 </w:t>
      </w:r>
      <w:proofErr w:type="spellStart"/>
      <w:r w:rsidRPr="00D7475E">
        <w:rPr>
          <w:rFonts w:ascii="Book Antiqua" w:hAnsi="Book Antiqua"/>
          <w:b/>
          <w:bCs/>
        </w:rPr>
        <w:t>Ghasemian</w:t>
      </w:r>
      <w:proofErr w:type="spellEnd"/>
      <w:r w:rsidRPr="00D7475E">
        <w:rPr>
          <w:rFonts w:ascii="Book Antiqua" w:hAnsi="Book Antiqua"/>
          <w:b/>
          <w:bCs/>
        </w:rPr>
        <w:t xml:space="preserve"> R,</w:t>
      </w:r>
      <w:r w:rsidRPr="00D7475E">
        <w:rPr>
          <w:rFonts w:ascii="Book Antiqua" w:hAnsi="Book Antiqua"/>
        </w:rPr>
        <w:t> </w:t>
      </w:r>
      <w:proofErr w:type="spellStart"/>
      <w:r w:rsidRPr="00D7475E">
        <w:rPr>
          <w:rFonts w:ascii="Book Antiqua" w:hAnsi="Book Antiqua"/>
        </w:rPr>
        <w:t>Shamshiria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Heydari</w:t>
      </w:r>
      <w:proofErr w:type="spellEnd"/>
      <w:r w:rsidRPr="00D7475E">
        <w:rPr>
          <w:rFonts w:ascii="Book Antiqua" w:hAnsi="Book Antiqua"/>
        </w:rPr>
        <w:t xml:space="preserve">, K; </w:t>
      </w:r>
      <w:proofErr w:type="spellStart"/>
      <w:r w:rsidRPr="00D7475E">
        <w:rPr>
          <w:rFonts w:ascii="Book Antiqua" w:hAnsi="Book Antiqua"/>
        </w:rPr>
        <w:t>Malekan</w:t>
      </w:r>
      <w:proofErr w:type="spellEnd"/>
      <w:r w:rsidRPr="00D7475E">
        <w:rPr>
          <w:rFonts w:ascii="Book Antiqua" w:hAnsi="Book Antiqua"/>
        </w:rPr>
        <w:t xml:space="preserve"> M; </w:t>
      </w:r>
      <w:proofErr w:type="spellStart"/>
      <w:r w:rsidRPr="00D7475E">
        <w:rPr>
          <w:rFonts w:ascii="Book Antiqua" w:hAnsi="Book Antiqua"/>
        </w:rPr>
        <w:t>Alizadeh-Navaei</w:t>
      </w:r>
      <w:proofErr w:type="spellEnd"/>
      <w:r w:rsidRPr="00D7475E">
        <w:rPr>
          <w:rFonts w:ascii="Book Antiqua" w:hAnsi="Book Antiqua"/>
        </w:rPr>
        <w:t xml:space="preserve"> R; </w:t>
      </w:r>
      <w:proofErr w:type="spellStart"/>
      <w:r w:rsidRPr="00D7475E">
        <w:rPr>
          <w:rFonts w:ascii="Book Antiqua" w:hAnsi="Book Antiqua"/>
        </w:rPr>
        <w:t>Ebrahimzadeh</w:t>
      </w:r>
      <w:proofErr w:type="spellEnd"/>
      <w:r w:rsidRPr="00D7475E">
        <w:rPr>
          <w:rFonts w:ascii="Book Antiqua" w:hAnsi="Book Antiqua"/>
        </w:rPr>
        <w:t xml:space="preserve"> MA; </w:t>
      </w:r>
      <w:proofErr w:type="spellStart"/>
      <w:r w:rsidRPr="00D7475E">
        <w:rPr>
          <w:rFonts w:ascii="Book Antiqua" w:hAnsi="Book Antiqua"/>
        </w:rPr>
        <w:t>Jafarpour</w:t>
      </w:r>
      <w:proofErr w:type="spellEnd"/>
      <w:r w:rsidRPr="00D7475E">
        <w:rPr>
          <w:rFonts w:ascii="Book Antiqua" w:hAnsi="Book Antiqua"/>
        </w:rPr>
        <w:t xml:space="preserve"> H; </w:t>
      </w:r>
      <w:proofErr w:type="spellStart"/>
      <w:r w:rsidRPr="00D7475E">
        <w:rPr>
          <w:rFonts w:ascii="Book Antiqua" w:hAnsi="Book Antiqua"/>
        </w:rPr>
        <w:t>Shahmirzadi</w:t>
      </w:r>
      <w:proofErr w:type="spellEnd"/>
      <w:r w:rsidRPr="00D7475E">
        <w:rPr>
          <w:rFonts w:ascii="Book Antiqua" w:hAnsi="Book Antiqua"/>
        </w:rPr>
        <w:t xml:space="preserve"> AR; </w:t>
      </w:r>
      <w:proofErr w:type="spellStart"/>
      <w:r w:rsidRPr="00D7475E">
        <w:rPr>
          <w:rFonts w:ascii="Book Antiqua" w:hAnsi="Book Antiqua"/>
        </w:rPr>
        <w:t>Khodabandeh</w:t>
      </w:r>
      <w:proofErr w:type="spellEnd"/>
      <w:r w:rsidRPr="00D7475E">
        <w:rPr>
          <w:rFonts w:ascii="Book Antiqua" w:hAnsi="Book Antiqua"/>
        </w:rPr>
        <w:t xml:space="preserve"> M; </w:t>
      </w:r>
      <w:proofErr w:type="spellStart"/>
      <w:r w:rsidRPr="00D7475E">
        <w:rPr>
          <w:rFonts w:ascii="Book Antiqua" w:hAnsi="Book Antiqua"/>
        </w:rPr>
        <w:t>Seyfari</w:t>
      </w:r>
      <w:proofErr w:type="spellEnd"/>
      <w:r w:rsidRPr="00D7475E">
        <w:rPr>
          <w:rFonts w:ascii="Book Antiqua" w:hAnsi="Book Antiqua"/>
        </w:rPr>
        <w:t xml:space="preserve"> B; </w:t>
      </w:r>
      <w:proofErr w:type="spellStart"/>
      <w:r w:rsidRPr="00D7475E">
        <w:rPr>
          <w:rFonts w:ascii="Book Antiqua" w:hAnsi="Book Antiqua"/>
        </w:rPr>
        <w:t>Motamedzadeh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Dadgostar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Aalinezhad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Sedaghat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Behnamfar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Asadi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Zarandi</w:t>
      </w:r>
      <w:proofErr w:type="spellEnd"/>
      <w:r w:rsidRPr="00D7475E">
        <w:rPr>
          <w:rFonts w:ascii="Book Antiqua" w:hAnsi="Book Antiqua"/>
        </w:rPr>
        <w:t xml:space="preserve"> B, </w:t>
      </w:r>
      <w:proofErr w:type="spellStart"/>
      <w:r w:rsidRPr="00D7475E">
        <w:rPr>
          <w:rFonts w:ascii="Book Antiqua" w:hAnsi="Book Antiqua"/>
        </w:rPr>
        <w:t>Razzaghi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Vahid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Yaghoubi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Naei</w:t>
      </w:r>
      <w:proofErr w:type="spellEnd"/>
      <w:r w:rsidRPr="00D7475E">
        <w:rPr>
          <w:rFonts w:ascii="Book Antiqua" w:hAnsi="Book Antiqua"/>
        </w:rPr>
        <w:t xml:space="preserve"> V, </w:t>
      </w:r>
      <w:proofErr w:type="spellStart"/>
      <w:r w:rsidRPr="00D7475E">
        <w:rPr>
          <w:rFonts w:ascii="Book Antiqua" w:hAnsi="Book Antiqua"/>
        </w:rPr>
        <w:t>Hessami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Azizi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Mohseni</w:t>
      </w:r>
      <w:proofErr w:type="spellEnd"/>
      <w:r w:rsidRPr="00D7475E">
        <w:rPr>
          <w:rFonts w:ascii="Book Antiqua" w:hAnsi="Book Antiqua"/>
        </w:rPr>
        <w:t xml:space="preserve"> R, </w:t>
      </w:r>
      <w:proofErr w:type="spellStart"/>
      <w:r w:rsidRPr="00D7475E">
        <w:rPr>
          <w:rFonts w:ascii="Book Antiqua" w:hAnsi="Book Antiqua"/>
        </w:rPr>
        <w:t>Skamsirian</w:t>
      </w:r>
      <w:proofErr w:type="spellEnd"/>
      <w:r w:rsidRPr="00D7475E">
        <w:rPr>
          <w:rFonts w:ascii="Book Antiqua" w:hAnsi="Book Antiqua"/>
        </w:rPr>
        <w:t xml:space="preserve"> D.</w:t>
      </w:r>
      <w:r w:rsidR="00776004" w:rsidRPr="00D7475E">
        <w:rPr>
          <w:rFonts w:ascii="Book Antiqua" w:hAnsi="Book Antiqua"/>
        </w:rPr>
        <w:t xml:space="preserve"> </w:t>
      </w:r>
      <w:r w:rsidRPr="00D7475E">
        <w:rPr>
          <w:rFonts w:ascii="Book Antiqua" w:hAnsi="Book Antiqua"/>
        </w:rPr>
        <w:t xml:space="preserve">The Role of Vitamin D in The Age of COVID-19: A Systematic Review and Meta-Analysis Along with an Ecological Approach. 2020 Preprint. Available from: </w:t>
      </w:r>
      <w:proofErr w:type="spellStart"/>
      <w:r w:rsidRPr="00D7475E">
        <w:rPr>
          <w:rFonts w:ascii="Book Antiqua" w:hAnsi="Book Antiqua"/>
        </w:rPr>
        <w:t>medRxiv</w:t>
      </w:r>
      <w:proofErr w:type="spellEnd"/>
      <w:r w:rsidRPr="00D7475E">
        <w:rPr>
          <w:rFonts w:ascii="Book Antiqua" w:hAnsi="Book Antiqua"/>
        </w:rPr>
        <w:t>: 20123554 [DOI:</w:t>
      </w:r>
      <w:r w:rsidR="00C0346F" w:rsidRPr="00D7475E">
        <w:rPr>
          <w:rFonts w:ascii="Book Antiqua" w:hAnsi="Book Antiqua"/>
        </w:rPr>
        <w:t xml:space="preserve"> </w:t>
      </w:r>
      <w:r w:rsidRPr="00D7475E">
        <w:rPr>
          <w:rFonts w:ascii="Book Antiqua" w:hAnsi="Book Antiqua"/>
        </w:rPr>
        <w:t>10.1101/2020.06.05.20123554]</w:t>
      </w:r>
    </w:p>
    <w:p w14:paraId="7FF88C7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58 </w:t>
      </w:r>
      <w:r w:rsidRPr="00D7475E">
        <w:rPr>
          <w:rFonts w:ascii="Book Antiqua" w:hAnsi="Book Antiqua"/>
          <w:b/>
          <w:bCs/>
        </w:rPr>
        <w:t>Munshi R</w:t>
      </w:r>
      <w:r w:rsidRPr="00D7475E">
        <w:rPr>
          <w:rFonts w:ascii="Book Antiqua" w:hAnsi="Book Antiqua"/>
        </w:rPr>
        <w:t xml:space="preserve">, Hussein MH, </w:t>
      </w:r>
      <w:proofErr w:type="spellStart"/>
      <w:r w:rsidRPr="00D7475E">
        <w:rPr>
          <w:rFonts w:ascii="Book Antiqua" w:hAnsi="Book Antiqua"/>
        </w:rPr>
        <w:t>Toraih</w:t>
      </w:r>
      <w:proofErr w:type="spellEnd"/>
      <w:r w:rsidRPr="00D7475E">
        <w:rPr>
          <w:rFonts w:ascii="Book Antiqua" w:hAnsi="Book Antiqua"/>
        </w:rPr>
        <w:t xml:space="preserve"> EA, </w:t>
      </w:r>
      <w:proofErr w:type="spellStart"/>
      <w:r w:rsidRPr="00D7475E">
        <w:rPr>
          <w:rFonts w:ascii="Book Antiqua" w:hAnsi="Book Antiqua"/>
        </w:rPr>
        <w:t>Elshazli</w:t>
      </w:r>
      <w:proofErr w:type="spellEnd"/>
      <w:r w:rsidRPr="00D7475E">
        <w:rPr>
          <w:rFonts w:ascii="Book Antiqua" w:hAnsi="Book Antiqua"/>
        </w:rPr>
        <w:t xml:space="preserve"> RM, </w:t>
      </w:r>
      <w:proofErr w:type="spellStart"/>
      <w:r w:rsidRPr="00D7475E">
        <w:rPr>
          <w:rFonts w:ascii="Book Antiqua" w:hAnsi="Book Antiqua"/>
        </w:rPr>
        <w:t>Jardak</w:t>
      </w:r>
      <w:proofErr w:type="spellEnd"/>
      <w:r w:rsidRPr="00D7475E">
        <w:rPr>
          <w:rFonts w:ascii="Book Antiqua" w:hAnsi="Book Antiqua"/>
        </w:rPr>
        <w:t xml:space="preserve"> C, Sultana N, Youssef MR, Omar M, </w:t>
      </w:r>
      <w:proofErr w:type="spellStart"/>
      <w:r w:rsidRPr="00D7475E">
        <w:rPr>
          <w:rFonts w:ascii="Book Antiqua" w:hAnsi="Book Antiqua"/>
        </w:rPr>
        <w:t>Attia</w:t>
      </w:r>
      <w:proofErr w:type="spellEnd"/>
      <w:r w:rsidRPr="00D7475E">
        <w:rPr>
          <w:rFonts w:ascii="Book Antiqua" w:hAnsi="Book Antiqua"/>
        </w:rPr>
        <w:t xml:space="preserve"> AS, </w:t>
      </w:r>
      <w:proofErr w:type="spellStart"/>
      <w:r w:rsidRPr="00D7475E">
        <w:rPr>
          <w:rFonts w:ascii="Book Antiqua" w:hAnsi="Book Antiqua"/>
        </w:rPr>
        <w:t>Fawzy</w:t>
      </w:r>
      <w:proofErr w:type="spellEnd"/>
      <w:r w:rsidRPr="00D7475E">
        <w:rPr>
          <w:rFonts w:ascii="Book Antiqua" w:hAnsi="Book Antiqua"/>
        </w:rPr>
        <w:t xml:space="preserve"> MS, </w:t>
      </w:r>
      <w:proofErr w:type="spellStart"/>
      <w:r w:rsidRPr="00D7475E">
        <w:rPr>
          <w:rFonts w:ascii="Book Antiqua" w:hAnsi="Book Antiqua"/>
        </w:rPr>
        <w:t>Killackey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Kandil</w:t>
      </w:r>
      <w:proofErr w:type="spellEnd"/>
      <w:r w:rsidRPr="00D7475E">
        <w:rPr>
          <w:rFonts w:ascii="Book Antiqua" w:hAnsi="Book Antiqua"/>
        </w:rPr>
        <w:t xml:space="preserve"> E, Duchesne J. Vitamin D insufficiency as a potential culprit in critical COVID-19 patients. </w:t>
      </w:r>
      <w:r w:rsidRPr="00D7475E">
        <w:rPr>
          <w:rFonts w:ascii="Book Antiqua" w:hAnsi="Book Antiqua"/>
          <w:i/>
          <w:iCs/>
        </w:rPr>
        <w:t xml:space="preserve">J Med </w:t>
      </w:r>
      <w:proofErr w:type="spellStart"/>
      <w:r w:rsidRPr="00D7475E">
        <w:rPr>
          <w:rFonts w:ascii="Book Antiqua" w:hAnsi="Book Antiqua"/>
          <w:i/>
          <w:iCs/>
        </w:rPr>
        <w:t>Virol</w:t>
      </w:r>
      <w:proofErr w:type="spellEnd"/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93</w:t>
      </w:r>
      <w:r w:rsidRPr="00D7475E">
        <w:rPr>
          <w:rFonts w:ascii="Book Antiqua" w:hAnsi="Book Antiqua"/>
        </w:rPr>
        <w:t>: 733-740 [PMID: 32716073 DOI: 10.1002/jmv.26360]</w:t>
      </w:r>
    </w:p>
    <w:p w14:paraId="7D30ABA1" w14:textId="7CACC67B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59 </w:t>
      </w:r>
      <w:proofErr w:type="spellStart"/>
      <w:r w:rsidRPr="00D7475E">
        <w:rPr>
          <w:rFonts w:ascii="Book Antiqua" w:hAnsi="Book Antiqua"/>
          <w:b/>
          <w:bCs/>
        </w:rPr>
        <w:t>Daneshkhah</w:t>
      </w:r>
      <w:proofErr w:type="spellEnd"/>
      <w:r w:rsidRPr="00D7475E">
        <w:rPr>
          <w:rFonts w:ascii="Book Antiqua" w:hAnsi="Book Antiqua"/>
          <w:b/>
          <w:bCs/>
        </w:rPr>
        <w:t xml:space="preserve"> A,</w:t>
      </w:r>
      <w:r w:rsidRPr="00D7475E">
        <w:rPr>
          <w:rFonts w:ascii="Book Antiqua" w:hAnsi="Book Antiqua"/>
        </w:rPr>
        <w:t> </w:t>
      </w:r>
      <w:proofErr w:type="spellStart"/>
      <w:r w:rsidRPr="00D7475E">
        <w:rPr>
          <w:rFonts w:ascii="Book Antiqua" w:hAnsi="Book Antiqua"/>
        </w:rPr>
        <w:t>Eshein</w:t>
      </w:r>
      <w:proofErr w:type="spellEnd"/>
      <w:r w:rsidRPr="00D7475E">
        <w:rPr>
          <w:rFonts w:ascii="Book Antiqua" w:hAnsi="Book Antiqua"/>
        </w:rPr>
        <w:t xml:space="preserve"> A, Subramanian H, Roy HK, Backman V. The role of vitamin d in suppressing cytokine storm in COVID-19 patients and associated mortality. </w:t>
      </w:r>
      <w:r w:rsidR="00C0346F" w:rsidRPr="00D7475E">
        <w:rPr>
          <w:rFonts w:ascii="Book Antiqua" w:hAnsi="Book Antiqua"/>
        </w:rPr>
        <w:t xml:space="preserve">2020 Preprint. </w:t>
      </w:r>
      <w:r w:rsidRPr="00D7475E">
        <w:rPr>
          <w:rFonts w:ascii="Book Antiqua" w:hAnsi="Book Antiqua"/>
        </w:rPr>
        <w:t xml:space="preserve">Available from: </w:t>
      </w:r>
      <w:proofErr w:type="spellStart"/>
      <w:r w:rsidRPr="00D7475E">
        <w:rPr>
          <w:rFonts w:ascii="Book Antiqua" w:hAnsi="Book Antiqua"/>
        </w:rPr>
        <w:t>medRxiv</w:t>
      </w:r>
      <w:proofErr w:type="spellEnd"/>
      <w:r w:rsidR="00776004" w:rsidRPr="00D7475E">
        <w:rPr>
          <w:rFonts w:ascii="Book Antiqua" w:hAnsi="Book Antiqua"/>
        </w:rPr>
        <w:t>:</w:t>
      </w:r>
      <w:r w:rsidRPr="00D7475E">
        <w:rPr>
          <w:rFonts w:ascii="Book Antiqua" w:hAnsi="Book Antiqua"/>
        </w:rPr>
        <w:t xml:space="preserve"> 20058578 [DOI: 10.1101/2020.04.08.20058578]</w:t>
      </w:r>
    </w:p>
    <w:p w14:paraId="4F3544E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60 </w:t>
      </w:r>
      <w:r w:rsidRPr="00D7475E">
        <w:rPr>
          <w:rFonts w:ascii="Book Antiqua" w:hAnsi="Book Antiqua"/>
          <w:b/>
          <w:bCs/>
        </w:rPr>
        <w:t>McCartney DM</w:t>
      </w:r>
      <w:r w:rsidRPr="00D7475E">
        <w:rPr>
          <w:rFonts w:ascii="Book Antiqua" w:hAnsi="Book Antiqua"/>
        </w:rPr>
        <w:t xml:space="preserve">, Byrne DG. </w:t>
      </w:r>
      <w:proofErr w:type="spellStart"/>
      <w:r w:rsidRPr="00D7475E">
        <w:rPr>
          <w:rFonts w:ascii="Book Antiqua" w:hAnsi="Book Antiqua"/>
        </w:rPr>
        <w:t>Optimisation</w:t>
      </w:r>
      <w:proofErr w:type="spellEnd"/>
      <w:r w:rsidRPr="00D7475E">
        <w:rPr>
          <w:rFonts w:ascii="Book Antiqua" w:hAnsi="Book Antiqua"/>
        </w:rPr>
        <w:t xml:space="preserve"> of Vitamin D Status for Enhanced Immuno-protection Against Covid-19. </w:t>
      </w:r>
      <w:proofErr w:type="spellStart"/>
      <w:r w:rsidRPr="00D7475E">
        <w:rPr>
          <w:rFonts w:ascii="Book Antiqua" w:hAnsi="Book Antiqua"/>
          <w:i/>
          <w:iCs/>
        </w:rPr>
        <w:t>Ir</w:t>
      </w:r>
      <w:proofErr w:type="spellEnd"/>
      <w:r w:rsidRPr="00D7475E">
        <w:rPr>
          <w:rFonts w:ascii="Book Antiqua" w:hAnsi="Book Antiqua"/>
          <w:i/>
          <w:iCs/>
        </w:rPr>
        <w:t xml:space="preserve"> Med J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113</w:t>
      </w:r>
      <w:r w:rsidRPr="00D7475E">
        <w:rPr>
          <w:rFonts w:ascii="Book Antiqua" w:hAnsi="Book Antiqua"/>
        </w:rPr>
        <w:t>: 58 [PMID: 32268051]</w:t>
      </w:r>
    </w:p>
    <w:p w14:paraId="49A271FF" w14:textId="3C5EE393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61 </w:t>
      </w:r>
      <w:r w:rsidRPr="00D7475E">
        <w:rPr>
          <w:rFonts w:ascii="Book Antiqua" w:hAnsi="Book Antiqua"/>
          <w:b/>
          <w:bCs/>
        </w:rPr>
        <w:t>Garzón MC</w:t>
      </w:r>
      <w:r w:rsidRPr="00D7475E">
        <w:rPr>
          <w:rFonts w:ascii="Book Antiqua" w:hAnsi="Book Antiqua"/>
        </w:rPr>
        <w:t>. Vitamin D on Prevention and Treatment of COVID-19 (COVITD-19)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https://clinicaltrials.gov/ct2/show/NCT04334005 ClinicalTrials.gov Identifier: NCT04334005</w:t>
      </w:r>
    </w:p>
    <w:p w14:paraId="77FC100F" w14:textId="7CD295CE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62</w:t>
      </w:r>
      <w:r w:rsidRPr="00D7475E">
        <w:rPr>
          <w:rFonts w:ascii="Book Antiqua" w:hAnsi="Book Antiqua"/>
          <w:b/>
          <w:bCs/>
        </w:rPr>
        <w:t xml:space="preserve"> </w:t>
      </w:r>
      <w:proofErr w:type="spellStart"/>
      <w:r w:rsidRPr="00D7475E">
        <w:rPr>
          <w:rFonts w:ascii="Book Antiqua" w:hAnsi="Book Antiqua"/>
          <w:b/>
          <w:bCs/>
        </w:rPr>
        <w:t>Annweiler</w:t>
      </w:r>
      <w:proofErr w:type="spellEnd"/>
      <w:r w:rsidRPr="00D7475E">
        <w:rPr>
          <w:rFonts w:ascii="Book Antiqua" w:hAnsi="Book Antiqua"/>
          <w:b/>
          <w:bCs/>
        </w:rPr>
        <w:t xml:space="preserve"> C</w:t>
      </w:r>
      <w:r w:rsidRPr="00D7475E">
        <w:rPr>
          <w:rFonts w:ascii="Book Antiqua" w:hAnsi="Book Antiqua"/>
        </w:rPr>
        <w:t xml:space="preserve">. </w:t>
      </w:r>
      <w:r w:rsidR="00776004" w:rsidRPr="00D7475E">
        <w:rPr>
          <w:rFonts w:ascii="Book Antiqua" w:hAnsi="Book Antiqua"/>
        </w:rPr>
        <w:t>COVID</w:t>
      </w:r>
      <w:r w:rsidRPr="00D7475E">
        <w:rPr>
          <w:rFonts w:ascii="Book Antiqua" w:hAnsi="Book Antiqua"/>
        </w:rPr>
        <w:t>-19 and Vitamin D Supplementation: a Multicenter Randomized Controlled Trial of High Dose Versus Standard Dose Vitamin D3 in High-risk COVID-19 Patients (</w:t>
      </w:r>
      <w:proofErr w:type="spellStart"/>
      <w:r w:rsidRPr="00D7475E">
        <w:rPr>
          <w:rFonts w:ascii="Book Antiqua" w:hAnsi="Book Antiqua"/>
        </w:rPr>
        <w:t>CoVitTrial</w:t>
      </w:r>
      <w:proofErr w:type="spellEnd"/>
      <w:r w:rsidRPr="00D7475E">
        <w:rPr>
          <w:rFonts w:ascii="Book Antiqua" w:hAnsi="Book Antiqua"/>
        </w:rPr>
        <w:t>)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 </w:t>
      </w:r>
      <w:proofErr w:type="spellStart"/>
      <w:r w:rsidRPr="00D7475E">
        <w:rPr>
          <w:rFonts w:ascii="Book Antiqua" w:hAnsi="Book Antiqua"/>
        </w:rPr>
        <w:t>U.S.National</w:t>
      </w:r>
      <w:proofErr w:type="spellEnd"/>
      <w:r w:rsidRPr="00D7475E">
        <w:rPr>
          <w:rFonts w:ascii="Book Antiqua" w:hAnsi="Book Antiqua"/>
        </w:rPr>
        <w:t xml:space="preserve"> Library of Medicine. Available from: https://clinicaltrials.gov/ct2/show/NCT04344041 ClinicalTrials.gov Identifier: NCT04344041</w:t>
      </w:r>
    </w:p>
    <w:p w14:paraId="1C011A25" w14:textId="35C9F925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63 </w:t>
      </w:r>
      <w:r w:rsidRPr="00D7475E">
        <w:rPr>
          <w:rFonts w:ascii="Book Antiqua" w:hAnsi="Book Antiqua"/>
          <w:b/>
          <w:bCs/>
        </w:rPr>
        <w:t>Rousseau AF</w:t>
      </w:r>
      <w:r w:rsidRPr="00D7475E">
        <w:rPr>
          <w:rFonts w:ascii="Book Antiqua" w:hAnsi="Book Antiqua"/>
        </w:rPr>
        <w:t>. Effect of Vitamin D on Hospitalized Adults With COVID-19 Infection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https://clinicaltrials.gov/ct2/show/NCT04636086 ClinicalTrials.gov Identifier: NCT04636086</w:t>
      </w:r>
    </w:p>
    <w:p w14:paraId="7154B94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64 </w:t>
      </w:r>
      <w:r w:rsidRPr="00D7475E">
        <w:rPr>
          <w:rFonts w:ascii="Book Antiqua" w:hAnsi="Book Antiqua"/>
          <w:b/>
          <w:bCs/>
        </w:rPr>
        <w:t>Duran-</w:t>
      </w:r>
      <w:proofErr w:type="spellStart"/>
      <w:r w:rsidRPr="00D7475E">
        <w:rPr>
          <w:rFonts w:ascii="Book Antiqua" w:hAnsi="Book Antiqua"/>
          <w:b/>
          <w:bCs/>
        </w:rPr>
        <w:t>Cantolla</w:t>
      </w:r>
      <w:proofErr w:type="spellEnd"/>
      <w:r w:rsidRPr="00D7475E">
        <w:rPr>
          <w:rFonts w:ascii="Book Antiqua" w:hAnsi="Book Antiqua"/>
          <w:b/>
          <w:bCs/>
        </w:rPr>
        <w:t xml:space="preserve"> C</w:t>
      </w:r>
      <w:r w:rsidRPr="00D7475E">
        <w:rPr>
          <w:rFonts w:ascii="Book Antiqua" w:hAnsi="Book Antiqua"/>
        </w:rPr>
        <w:t>. Efficacy of Vitamin D Treatment in Mortality Reduction Due to COVID-19. [accessed 2020 Dec 15]. In: ClinicalTrials.gov [Internet]. Bethesda (MD): U.S. National Library of Medicine. Available from: https://clinicaltrials.gov/ct2/show/NCT04621058 ClinicalTrials.gov Identifier: NCT04621058</w:t>
      </w:r>
    </w:p>
    <w:p w14:paraId="5A55EA8F" w14:textId="2067DD48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 xml:space="preserve">65 </w:t>
      </w:r>
      <w:r w:rsidRPr="00D7475E">
        <w:rPr>
          <w:rFonts w:ascii="Book Antiqua" w:hAnsi="Book Antiqua"/>
          <w:b/>
          <w:bCs/>
        </w:rPr>
        <w:t>Ducharme FM</w:t>
      </w:r>
      <w:r w:rsidRPr="00D7475E">
        <w:rPr>
          <w:rFonts w:ascii="Book Antiqua" w:hAnsi="Book Antiqua"/>
        </w:rPr>
        <w:t xml:space="preserve">. </w:t>
      </w:r>
      <w:proofErr w:type="spellStart"/>
      <w:r w:rsidRPr="00D7475E">
        <w:rPr>
          <w:rFonts w:ascii="Book Antiqua" w:hAnsi="Book Antiqua"/>
        </w:rPr>
        <w:t>PRevention</w:t>
      </w:r>
      <w:proofErr w:type="spellEnd"/>
      <w:r w:rsidRPr="00D7475E">
        <w:rPr>
          <w:rFonts w:ascii="Book Antiqua" w:hAnsi="Book Antiqua"/>
        </w:rPr>
        <w:t xml:space="preserve"> of COVID-19 With Oral Vitamin D Supplemental Therapy in Essential health Care Teams (PROTECT)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https://clinicaltrials.gov/ct2/show/NCT04483635 ClinicalTrials.gov Identifier: NCT04483635</w:t>
      </w:r>
    </w:p>
    <w:p w14:paraId="2D14484B" w14:textId="4BA0C8A8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66 </w:t>
      </w:r>
      <w:proofErr w:type="spellStart"/>
      <w:r w:rsidRPr="00D7475E">
        <w:rPr>
          <w:rFonts w:ascii="Book Antiqua" w:hAnsi="Book Antiqua"/>
          <w:b/>
          <w:bCs/>
        </w:rPr>
        <w:t>Sahraian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>. Oral 25-hydroxyvitamin D3 and COVID-19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https://clinicaltrials.gov/ct2/show/NCT04386850 ClinicalTrials.gov Identifier: NCT04386850</w:t>
      </w:r>
    </w:p>
    <w:p w14:paraId="7E261EA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67 </w:t>
      </w:r>
      <w:r w:rsidRPr="00D7475E">
        <w:rPr>
          <w:rFonts w:ascii="Book Antiqua" w:hAnsi="Book Antiqua"/>
          <w:b/>
          <w:bCs/>
        </w:rPr>
        <w:t>Shakoor H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Feehan</w:t>
      </w:r>
      <w:proofErr w:type="spellEnd"/>
      <w:r w:rsidRPr="00D7475E">
        <w:rPr>
          <w:rFonts w:ascii="Book Antiqua" w:hAnsi="Book Antiqua"/>
        </w:rPr>
        <w:t xml:space="preserve"> J, Al </w:t>
      </w:r>
      <w:proofErr w:type="spellStart"/>
      <w:r w:rsidRPr="00D7475E">
        <w:rPr>
          <w:rFonts w:ascii="Book Antiqua" w:hAnsi="Book Antiqua"/>
        </w:rPr>
        <w:t>Dhaheri</w:t>
      </w:r>
      <w:proofErr w:type="spellEnd"/>
      <w:r w:rsidRPr="00D7475E">
        <w:rPr>
          <w:rFonts w:ascii="Book Antiqua" w:hAnsi="Book Antiqua"/>
        </w:rPr>
        <w:t xml:space="preserve"> AS, Ali HI, </w:t>
      </w:r>
      <w:proofErr w:type="spellStart"/>
      <w:r w:rsidRPr="00D7475E">
        <w:rPr>
          <w:rFonts w:ascii="Book Antiqua" w:hAnsi="Book Antiqua"/>
        </w:rPr>
        <w:t>Platat</w:t>
      </w:r>
      <w:proofErr w:type="spellEnd"/>
      <w:r w:rsidRPr="00D7475E">
        <w:rPr>
          <w:rFonts w:ascii="Book Antiqua" w:hAnsi="Book Antiqua"/>
        </w:rPr>
        <w:t xml:space="preserve"> C, Ismail LC, </w:t>
      </w:r>
      <w:proofErr w:type="spellStart"/>
      <w:r w:rsidRPr="00D7475E">
        <w:rPr>
          <w:rFonts w:ascii="Book Antiqua" w:hAnsi="Book Antiqua"/>
        </w:rPr>
        <w:t>Apostolopoulos</w:t>
      </w:r>
      <w:proofErr w:type="spellEnd"/>
      <w:r w:rsidRPr="00D7475E">
        <w:rPr>
          <w:rFonts w:ascii="Book Antiqua" w:hAnsi="Book Antiqua"/>
        </w:rPr>
        <w:t xml:space="preserve"> V, </w:t>
      </w:r>
      <w:proofErr w:type="spellStart"/>
      <w:r w:rsidRPr="00D7475E">
        <w:rPr>
          <w:rFonts w:ascii="Book Antiqua" w:hAnsi="Book Antiqua"/>
        </w:rPr>
        <w:t>Stojanovska</w:t>
      </w:r>
      <w:proofErr w:type="spellEnd"/>
      <w:r w:rsidRPr="00D7475E">
        <w:rPr>
          <w:rFonts w:ascii="Book Antiqua" w:hAnsi="Book Antiqua"/>
        </w:rPr>
        <w:t xml:space="preserve"> L. Immune-boosting role of vitamins D, C, E, zinc, selenium and omega-3 fatty acids: Could they help against COVID-19? </w:t>
      </w:r>
      <w:proofErr w:type="spellStart"/>
      <w:r w:rsidRPr="00D7475E">
        <w:rPr>
          <w:rFonts w:ascii="Book Antiqua" w:hAnsi="Book Antiqua"/>
          <w:i/>
          <w:iCs/>
        </w:rPr>
        <w:t>Maturitas</w:t>
      </w:r>
      <w:proofErr w:type="spellEnd"/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143</w:t>
      </w:r>
      <w:r w:rsidRPr="00D7475E">
        <w:rPr>
          <w:rFonts w:ascii="Book Antiqua" w:hAnsi="Book Antiqua"/>
        </w:rPr>
        <w:t>: 1-9 [PMID: 33308613 DOI: 10.1016/j.maturitas.2020.08.003]</w:t>
      </w:r>
    </w:p>
    <w:p w14:paraId="177258AA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68 </w:t>
      </w:r>
      <w:proofErr w:type="spellStart"/>
      <w:r w:rsidRPr="00D7475E">
        <w:rPr>
          <w:rFonts w:ascii="Book Antiqua" w:hAnsi="Book Antiqua"/>
          <w:b/>
          <w:bCs/>
        </w:rPr>
        <w:t>Carr</w:t>
      </w:r>
      <w:proofErr w:type="spellEnd"/>
      <w:r w:rsidRPr="00D7475E">
        <w:rPr>
          <w:rFonts w:ascii="Book Antiqua" w:hAnsi="Book Antiqua"/>
          <w:b/>
          <w:bCs/>
        </w:rPr>
        <w:t xml:space="preserve"> AC</w:t>
      </w:r>
      <w:r w:rsidRPr="00D7475E">
        <w:rPr>
          <w:rFonts w:ascii="Book Antiqua" w:hAnsi="Book Antiqua"/>
        </w:rPr>
        <w:t>. Vitamin C administration in the critically ill: a summary of recent meta-analyses. </w:t>
      </w:r>
      <w:r w:rsidRPr="00D7475E">
        <w:rPr>
          <w:rFonts w:ascii="Book Antiqua" w:hAnsi="Book Antiqua"/>
          <w:i/>
          <w:iCs/>
        </w:rPr>
        <w:t>Crit Care</w:t>
      </w:r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23</w:t>
      </w:r>
      <w:r w:rsidRPr="00D7475E">
        <w:rPr>
          <w:rFonts w:ascii="Book Antiqua" w:hAnsi="Book Antiqua"/>
        </w:rPr>
        <w:t>: 265 [PMID: 31362775 DOI: 10.1186/s13054-019-2538-y]</w:t>
      </w:r>
    </w:p>
    <w:p w14:paraId="18C0389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69 </w:t>
      </w:r>
      <w:proofErr w:type="spellStart"/>
      <w:r w:rsidRPr="00D7475E">
        <w:rPr>
          <w:rFonts w:ascii="Book Antiqua" w:hAnsi="Book Antiqua"/>
          <w:b/>
          <w:bCs/>
        </w:rPr>
        <w:t>Rezazadeh</w:t>
      </w:r>
      <w:proofErr w:type="spellEnd"/>
      <w:r w:rsidRPr="00D7475E">
        <w:rPr>
          <w:rFonts w:ascii="Book Antiqua" w:hAnsi="Book Antiqua"/>
          <w:b/>
          <w:bCs/>
        </w:rPr>
        <w:t xml:space="preserve"> A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Yazdanparast</w:t>
      </w:r>
      <w:proofErr w:type="spellEnd"/>
      <w:r w:rsidRPr="00D7475E">
        <w:rPr>
          <w:rFonts w:ascii="Book Antiqua" w:hAnsi="Book Antiqua"/>
        </w:rPr>
        <w:t xml:space="preserve"> R, </w:t>
      </w:r>
      <w:proofErr w:type="spellStart"/>
      <w:r w:rsidRPr="00D7475E">
        <w:rPr>
          <w:rFonts w:ascii="Book Antiqua" w:hAnsi="Book Antiqua"/>
        </w:rPr>
        <w:t>Molaei</w:t>
      </w:r>
      <w:proofErr w:type="spellEnd"/>
      <w:r w:rsidRPr="00D7475E">
        <w:rPr>
          <w:rFonts w:ascii="Book Antiqua" w:hAnsi="Book Antiqua"/>
        </w:rPr>
        <w:t xml:space="preserve"> M. Amelioration of diet-induced nonalcoholic steatohepatitis in rats by </w:t>
      </w:r>
      <w:proofErr w:type="spellStart"/>
      <w:r w:rsidRPr="00D7475E">
        <w:rPr>
          <w:rFonts w:ascii="Book Antiqua" w:hAnsi="Book Antiqua"/>
        </w:rPr>
        <w:t>Mn-salen</w:t>
      </w:r>
      <w:proofErr w:type="spellEnd"/>
      <w:r w:rsidRPr="00D7475E">
        <w:rPr>
          <w:rFonts w:ascii="Book Antiqua" w:hAnsi="Book Antiqua"/>
        </w:rPr>
        <w:t xml:space="preserve"> complexes via reduction of oxidative stress. </w:t>
      </w:r>
      <w:r w:rsidRPr="00D7475E">
        <w:rPr>
          <w:rFonts w:ascii="Book Antiqua" w:hAnsi="Book Antiqua"/>
          <w:i/>
          <w:iCs/>
        </w:rPr>
        <w:t>J Biomed Sci</w:t>
      </w:r>
      <w:r w:rsidRPr="00D7475E">
        <w:rPr>
          <w:rFonts w:ascii="Book Antiqua" w:hAnsi="Book Antiqua"/>
        </w:rPr>
        <w:t> 2012; </w:t>
      </w:r>
      <w:r w:rsidRPr="00D7475E">
        <w:rPr>
          <w:rFonts w:ascii="Book Antiqua" w:hAnsi="Book Antiqua"/>
          <w:b/>
          <w:bCs/>
        </w:rPr>
        <w:t>19</w:t>
      </w:r>
      <w:r w:rsidRPr="00D7475E">
        <w:rPr>
          <w:rFonts w:ascii="Book Antiqua" w:hAnsi="Book Antiqua"/>
        </w:rPr>
        <w:t>: 26 [PMID: 22375551 DOI: 10.1186/1423-0127-19-26]</w:t>
      </w:r>
    </w:p>
    <w:p w14:paraId="2146DF1B" w14:textId="01E5E763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D7475E">
        <w:rPr>
          <w:rFonts w:ascii="Book Antiqua" w:hAnsi="Book Antiqua"/>
        </w:rPr>
        <w:t xml:space="preserve">70 </w:t>
      </w:r>
      <w:r w:rsidRPr="00D7475E">
        <w:rPr>
          <w:rFonts w:ascii="Book Antiqua" w:hAnsi="Book Antiqua"/>
          <w:b/>
          <w:bCs/>
        </w:rPr>
        <w:t>Erol A</w:t>
      </w:r>
      <w:r w:rsidRPr="00D7475E">
        <w:rPr>
          <w:rFonts w:ascii="Book Antiqua" w:hAnsi="Book Antiqua"/>
        </w:rPr>
        <w:t xml:space="preserve">. High-dose intravenous vitamin C treatment for COVID-19. </w:t>
      </w:r>
      <w:r w:rsidRPr="00D7475E">
        <w:rPr>
          <w:rFonts w:ascii="Book Antiqua" w:hAnsi="Book Antiqua"/>
          <w:lang w:val="fr-FR"/>
        </w:rPr>
        <w:t xml:space="preserve">2020 Preprint. Available from: </w:t>
      </w:r>
      <w:r w:rsidR="0038528C" w:rsidRPr="00D7475E">
        <w:rPr>
          <w:rFonts w:ascii="Book Antiqua" w:hAnsi="Book Antiqua"/>
          <w:lang w:val="fr-FR"/>
        </w:rPr>
        <w:t>OSF Preprints</w:t>
      </w:r>
      <w:r w:rsidRPr="00D7475E">
        <w:rPr>
          <w:rFonts w:ascii="Book Antiqua" w:hAnsi="Book Antiqua"/>
          <w:lang w:val="fr-FR"/>
        </w:rPr>
        <w:t xml:space="preserve"> [DOI:</w:t>
      </w:r>
      <w:r w:rsidR="0038528C" w:rsidRPr="00D7475E">
        <w:rPr>
          <w:rFonts w:ascii="Book Antiqua" w:hAnsi="Book Antiqua"/>
          <w:lang w:val="fr-FR"/>
        </w:rPr>
        <w:t xml:space="preserve"> </w:t>
      </w:r>
      <w:r w:rsidRPr="00D7475E">
        <w:rPr>
          <w:rFonts w:ascii="Book Antiqua" w:hAnsi="Book Antiqua"/>
          <w:lang w:val="fr-FR"/>
        </w:rPr>
        <w:t>10.31219/osf.io/p7ex8]</w:t>
      </w:r>
    </w:p>
    <w:p w14:paraId="36E9CCC6" w14:textId="63DE9CEC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71 </w:t>
      </w:r>
      <w:proofErr w:type="spellStart"/>
      <w:r w:rsidRPr="00D7475E">
        <w:rPr>
          <w:rFonts w:ascii="Book Antiqua" w:hAnsi="Book Antiqua"/>
          <w:b/>
          <w:bCs/>
        </w:rPr>
        <w:t>Holford</w:t>
      </w:r>
      <w:proofErr w:type="spellEnd"/>
      <w:r w:rsidRPr="00D7475E">
        <w:rPr>
          <w:rFonts w:ascii="Book Antiqua" w:hAnsi="Book Antiqua"/>
          <w:b/>
          <w:bCs/>
        </w:rPr>
        <w:t xml:space="preserve"> P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Carr</w:t>
      </w:r>
      <w:proofErr w:type="spellEnd"/>
      <w:r w:rsidRPr="00D7475E">
        <w:rPr>
          <w:rFonts w:ascii="Book Antiqua" w:hAnsi="Book Antiqua"/>
        </w:rPr>
        <w:t xml:space="preserve"> AC, </w:t>
      </w:r>
      <w:proofErr w:type="spellStart"/>
      <w:r w:rsidRPr="00D7475E">
        <w:rPr>
          <w:rFonts w:ascii="Book Antiqua" w:hAnsi="Book Antiqua"/>
        </w:rPr>
        <w:t>Jovic</w:t>
      </w:r>
      <w:proofErr w:type="spellEnd"/>
      <w:r w:rsidRPr="00D7475E">
        <w:rPr>
          <w:rFonts w:ascii="Book Antiqua" w:hAnsi="Book Antiqua"/>
        </w:rPr>
        <w:t xml:space="preserve"> TH, Ali SR, Whitaker IS, </w:t>
      </w:r>
      <w:proofErr w:type="spellStart"/>
      <w:r w:rsidRPr="00D7475E">
        <w:rPr>
          <w:rFonts w:ascii="Book Antiqua" w:hAnsi="Book Antiqua"/>
        </w:rPr>
        <w:t>Marik</w:t>
      </w:r>
      <w:proofErr w:type="spellEnd"/>
      <w:r w:rsidRPr="00D7475E">
        <w:rPr>
          <w:rFonts w:ascii="Book Antiqua" w:hAnsi="Book Antiqua"/>
        </w:rPr>
        <w:t xml:space="preserve"> PE, Smith AD. Vitamin C-An Adjunctive Therapy for Respiratory Infection, Sepsis and COVID-19.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776004" w:rsidRPr="00D7475E">
        <w:rPr>
          <w:rFonts w:ascii="Book Antiqua" w:hAnsi="Book Antiqua"/>
        </w:rPr>
        <w:t>: 3760</w:t>
      </w:r>
      <w:r w:rsidRPr="00D7475E">
        <w:rPr>
          <w:rFonts w:ascii="Book Antiqua" w:hAnsi="Book Antiqua"/>
        </w:rPr>
        <w:t> [PMID: 33297491 DOI: 10.3390/nu12123760]</w:t>
      </w:r>
    </w:p>
    <w:p w14:paraId="4261AA16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72 </w:t>
      </w:r>
      <w:r w:rsidRPr="00D7475E">
        <w:rPr>
          <w:rFonts w:ascii="Book Antiqua" w:hAnsi="Book Antiqua"/>
          <w:b/>
          <w:bCs/>
        </w:rPr>
        <w:t>Liu F</w:t>
      </w:r>
      <w:r w:rsidRPr="00D7475E">
        <w:rPr>
          <w:rFonts w:ascii="Book Antiqua" w:hAnsi="Book Antiqua"/>
        </w:rPr>
        <w:t xml:space="preserve">, Zhu Y, Zhang J, Li Y, Peng Z. Intravenous high-dose vitamin C for the treatment of severe COVID-19: study protocol for a </w:t>
      </w:r>
      <w:proofErr w:type="spellStart"/>
      <w:r w:rsidRPr="00D7475E">
        <w:rPr>
          <w:rFonts w:ascii="Book Antiqua" w:hAnsi="Book Antiqua"/>
        </w:rPr>
        <w:t>multicentre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randomised</w:t>
      </w:r>
      <w:proofErr w:type="spellEnd"/>
      <w:r w:rsidRPr="00D7475E">
        <w:rPr>
          <w:rFonts w:ascii="Book Antiqua" w:hAnsi="Book Antiqua"/>
        </w:rPr>
        <w:t xml:space="preserve"> controlled trial. </w:t>
      </w:r>
      <w:r w:rsidRPr="00D7475E">
        <w:rPr>
          <w:rFonts w:ascii="Book Antiqua" w:hAnsi="Book Antiqua"/>
          <w:i/>
          <w:iCs/>
        </w:rPr>
        <w:t>BMJ Open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10</w:t>
      </w:r>
      <w:r w:rsidRPr="00D7475E">
        <w:rPr>
          <w:rFonts w:ascii="Book Antiqua" w:hAnsi="Book Antiqua"/>
        </w:rPr>
        <w:t>: e039519 [PMID: 32641343 DOI: 10.1136/bmjopen-2020-039519]</w:t>
      </w:r>
    </w:p>
    <w:p w14:paraId="37C6E5E2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73 </w:t>
      </w:r>
      <w:r w:rsidRPr="00D7475E">
        <w:rPr>
          <w:rFonts w:ascii="Book Antiqua" w:hAnsi="Book Antiqua"/>
          <w:b/>
          <w:bCs/>
        </w:rPr>
        <w:t>Waqas Khan HM</w:t>
      </w:r>
      <w:r w:rsidRPr="00D7475E">
        <w:rPr>
          <w:rFonts w:ascii="Book Antiqua" w:hAnsi="Book Antiqua"/>
        </w:rPr>
        <w:t xml:space="preserve">, Parikh N, </w:t>
      </w:r>
      <w:proofErr w:type="spellStart"/>
      <w:r w:rsidRPr="00D7475E">
        <w:rPr>
          <w:rFonts w:ascii="Book Antiqua" w:hAnsi="Book Antiqua"/>
        </w:rPr>
        <w:t>Megala</w:t>
      </w:r>
      <w:proofErr w:type="spellEnd"/>
      <w:r w:rsidRPr="00D7475E">
        <w:rPr>
          <w:rFonts w:ascii="Book Antiqua" w:hAnsi="Book Antiqua"/>
        </w:rPr>
        <w:t xml:space="preserve"> SM, </w:t>
      </w:r>
      <w:proofErr w:type="spellStart"/>
      <w:r w:rsidRPr="00D7475E">
        <w:rPr>
          <w:rFonts w:ascii="Book Antiqua" w:hAnsi="Book Antiqua"/>
        </w:rPr>
        <w:t>Predeteanu</w:t>
      </w:r>
      <w:proofErr w:type="spellEnd"/>
      <w:r w:rsidRPr="00D7475E">
        <w:rPr>
          <w:rFonts w:ascii="Book Antiqua" w:hAnsi="Book Antiqua"/>
        </w:rPr>
        <w:t xml:space="preserve"> GS. Unusual Early Recovery of a Critical COVID-19 Patient After Administration of Intravenous Vitamin C. </w:t>
      </w:r>
      <w:r w:rsidRPr="00D7475E">
        <w:rPr>
          <w:rFonts w:ascii="Book Antiqua" w:hAnsi="Book Antiqua"/>
          <w:i/>
          <w:iCs/>
        </w:rPr>
        <w:t>Am J Case Rep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21</w:t>
      </w:r>
      <w:r w:rsidRPr="00D7475E">
        <w:rPr>
          <w:rFonts w:ascii="Book Antiqua" w:hAnsi="Book Antiqua"/>
        </w:rPr>
        <w:t>: e925521 [PMID: 32709838 DOI: 10.12659/AJCR.925521]</w:t>
      </w:r>
    </w:p>
    <w:p w14:paraId="646DEB69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 xml:space="preserve">74 </w:t>
      </w:r>
      <w:r w:rsidRPr="00D7475E">
        <w:rPr>
          <w:rFonts w:ascii="Book Antiqua" w:hAnsi="Book Antiqua"/>
          <w:b/>
          <w:bCs/>
        </w:rPr>
        <w:t>Corrao S</w:t>
      </w:r>
      <w:r w:rsidRPr="00D7475E">
        <w:rPr>
          <w:rFonts w:ascii="Book Antiqua" w:hAnsi="Book Antiqua"/>
        </w:rPr>
        <w:t>. Use of Ascorbic Acid in Patients with COVID 19. [accessed 2020 Dec 15]. In: ClinicalTrials.gov [Internet]. Bethesda (MD): U.S. National Library of Medicine. Available from: https://clinicaltrials.gov/ct2/show/NCT04323514 ClinicalTrials.gov Identifier: NCT04323514</w:t>
      </w:r>
    </w:p>
    <w:p w14:paraId="67ED12F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75 </w:t>
      </w:r>
      <w:proofErr w:type="spellStart"/>
      <w:r w:rsidRPr="00D7475E">
        <w:rPr>
          <w:rFonts w:ascii="Book Antiqua" w:hAnsi="Book Antiqua"/>
          <w:b/>
          <w:bCs/>
        </w:rPr>
        <w:t>Fogleman</w:t>
      </w:r>
      <w:proofErr w:type="spellEnd"/>
      <w:r w:rsidRPr="00D7475E">
        <w:rPr>
          <w:rFonts w:ascii="Book Antiqua" w:hAnsi="Book Antiqua"/>
          <w:b/>
          <w:bCs/>
        </w:rPr>
        <w:t xml:space="preserve"> C.</w:t>
      </w:r>
      <w:r w:rsidRPr="00D7475E">
        <w:rPr>
          <w:rFonts w:ascii="Book Antiqua" w:hAnsi="Book Antiqua"/>
        </w:rPr>
        <w:t xml:space="preserve"> The Effect of Melatonin and Vitamin C on COVID-19. [accessed 2020 Dec 15]. In: ClinicalTrials.gov [Internet]. Bethesda (MD): U.S. National Library of Medicine. Available from: https://clinicaltrials.gov/ct2/show/NCT04530539 ClinicalTrials.gov Identifier: NCT04530539</w:t>
      </w:r>
    </w:p>
    <w:p w14:paraId="0CFD057E" w14:textId="6E36F27B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76 </w:t>
      </w:r>
      <w:r w:rsidRPr="00D7475E">
        <w:rPr>
          <w:rFonts w:ascii="Book Antiqua" w:hAnsi="Book Antiqua"/>
          <w:b/>
          <w:bCs/>
        </w:rPr>
        <w:t>Hafeez MM</w:t>
      </w:r>
      <w:r w:rsidRPr="00D7475E">
        <w:rPr>
          <w:rFonts w:ascii="Book Antiqua" w:hAnsi="Book Antiqua"/>
        </w:rPr>
        <w:t>. Role of Mega Dose of Vitamin C in Critical COVID-19 Patients</w:t>
      </w:r>
      <w:r w:rsidR="00776004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https://clinicaltrials.gov/ct2/show/NCT04682574 ClinicalTrials.gov Identifier: NCT04682574</w:t>
      </w:r>
    </w:p>
    <w:p w14:paraId="61C866FF" w14:textId="12B38DBA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77 </w:t>
      </w:r>
      <w:proofErr w:type="spellStart"/>
      <w:r w:rsidRPr="00D7475E">
        <w:rPr>
          <w:rFonts w:ascii="Book Antiqua" w:hAnsi="Book Antiqua"/>
          <w:b/>
          <w:bCs/>
        </w:rPr>
        <w:t>Hemilä</w:t>
      </w:r>
      <w:proofErr w:type="spellEnd"/>
      <w:r w:rsidRPr="00D7475E">
        <w:rPr>
          <w:rFonts w:ascii="Book Antiqua" w:hAnsi="Book Antiqua"/>
          <w:b/>
          <w:bCs/>
        </w:rPr>
        <w:t xml:space="preserve"> H</w:t>
      </w:r>
      <w:r w:rsidRPr="00D7475E">
        <w:rPr>
          <w:rFonts w:ascii="Book Antiqua" w:hAnsi="Book Antiqua"/>
        </w:rPr>
        <w:t>. Vitamin C and Infections.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9</w:t>
      </w:r>
      <w:r w:rsidR="00C064F9" w:rsidRPr="00D7475E">
        <w:rPr>
          <w:rFonts w:ascii="Book Antiqua" w:hAnsi="Book Antiqua"/>
        </w:rPr>
        <w:t>: 339</w:t>
      </w:r>
      <w:r w:rsidRPr="00D7475E">
        <w:rPr>
          <w:rFonts w:ascii="Book Antiqua" w:hAnsi="Book Antiqua"/>
        </w:rPr>
        <w:t> [PMID: 28353648 DOI: 10.3390/nu9040339]</w:t>
      </w:r>
    </w:p>
    <w:p w14:paraId="602435A0" w14:textId="33489D24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78 </w:t>
      </w:r>
      <w:proofErr w:type="spellStart"/>
      <w:r w:rsidRPr="00D7475E">
        <w:rPr>
          <w:rFonts w:ascii="Book Antiqua" w:hAnsi="Book Antiqua"/>
          <w:b/>
          <w:bCs/>
        </w:rPr>
        <w:t>Jovic</w:t>
      </w:r>
      <w:proofErr w:type="spellEnd"/>
      <w:r w:rsidRPr="00D7475E">
        <w:rPr>
          <w:rFonts w:ascii="Book Antiqua" w:hAnsi="Book Antiqua"/>
          <w:b/>
          <w:bCs/>
        </w:rPr>
        <w:t xml:space="preserve"> TH</w:t>
      </w:r>
      <w:r w:rsidRPr="00D7475E">
        <w:rPr>
          <w:rFonts w:ascii="Book Antiqua" w:hAnsi="Book Antiqua"/>
        </w:rPr>
        <w:t xml:space="preserve">, Ali SR, Ibrahim N, Jessop ZM, </w:t>
      </w:r>
      <w:proofErr w:type="spellStart"/>
      <w:r w:rsidRPr="00D7475E">
        <w:rPr>
          <w:rFonts w:ascii="Book Antiqua" w:hAnsi="Book Antiqua"/>
        </w:rPr>
        <w:t>Tarassoli</w:t>
      </w:r>
      <w:proofErr w:type="spellEnd"/>
      <w:r w:rsidRPr="00D7475E">
        <w:rPr>
          <w:rFonts w:ascii="Book Antiqua" w:hAnsi="Book Antiqua"/>
        </w:rPr>
        <w:t xml:space="preserve"> SP, Dobbs TD, Holford P, Thornton CA, Whitaker IS. Could Vitamins Help in the Fight Against COVID-19?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12</w:t>
      </w:r>
      <w:r w:rsidR="00C064F9" w:rsidRPr="00D7475E">
        <w:rPr>
          <w:rFonts w:ascii="Book Antiqua" w:hAnsi="Book Antiqua"/>
        </w:rPr>
        <w:t>: 2550</w:t>
      </w:r>
      <w:r w:rsidRPr="00D7475E">
        <w:rPr>
          <w:rFonts w:ascii="Book Antiqua" w:hAnsi="Book Antiqua"/>
        </w:rPr>
        <w:t> [PMID: 32842513 DOI: 10.3390/nu12092550]</w:t>
      </w:r>
    </w:p>
    <w:p w14:paraId="682A380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79 </w:t>
      </w:r>
      <w:r w:rsidRPr="00D7475E">
        <w:rPr>
          <w:rFonts w:ascii="Book Antiqua" w:hAnsi="Book Antiqua"/>
          <w:b/>
          <w:bCs/>
        </w:rPr>
        <w:t>Sato K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Gosho</w:t>
      </w:r>
      <w:proofErr w:type="spellEnd"/>
      <w:r w:rsidRPr="00D7475E">
        <w:rPr>
          <w:rFonts w:ascii="Book Antiqua" w:hAnsi="Book Antiqua"/>
        </w:rPr>
        <w:t xml:space="preserve"> M, Yamamoto T, Kobayashi Y, Ishii N, Ohashi T, Nakade Y, Ito K, </w:t>
      </w:r>
      <w:proofErr w:type="spellStart"/>
      <w:r w:rsidRPr="00D7475E">
        <w:rPr>
          <w:rFonts w:ascii="Book Antiqua" w:hAnsi="Book Antiqua"/>
        </w:rPr>
        <w:t>Fukuzawa</w:t>
      </w:r>
      <w:proofErr w:type="spellEnd"/>
      <w:r w:rsidRPr="00D7475E">
        <w:rPr>
          <w:rFonts w:ascii="Book Antiqua" w:hAnsi="Book Antiqua"/>
        </w:rPr>
        <w:t xml:space="preserve"> Y, </w:t>
      </w:r>
      <w:proofErr w:type="spellStart"/>
      <w:r w:rsidRPr="00D7475E">
        <w:rPr>
          <w:rFonts w:ascii="Book Antiqua" w:hAnsi="Book Antiqua"/>
        </w:rPr>
        <w:t>Yoneda</w:t>
      </w:r>
      <w:proofErr w:type="spellEnd"/>
      <w:r w:rsidRPr="00D7475E">
        <w:rPr>
          <w:rFonts w:ascii="Book Antiqua" w:hAnsi="Book Antiqua"/>
        </w:rPr>
        <w:t xml:space="preserve"> M. Vitamin E has a beneficial effect on nonalcoholic fatty liver disease: a meta-analysis of randomized controlled trials. </w:t>
      </w:r>
      <w:r w:rsidRPr="00D7475E">
        <w:rPr>
          <w:rFonts w:ascii="Book Antiqua" w:hAnsi="Book Antiqua"/>
          <w:i/>
          <w:iCs/>
        </w:rPr>
        <w:t>Nutrition</w:t>
      </w:r>
      <w:r w:rsidRPr="00D7475E">
        <w:rPr>
          <w:rFonts w:ascii="Book Antiqua" w:hAnsi="Book Antiqua"/>
        </w:rPr>
        <w:t> 2015; </w:t>
      </w:r>
      <w:r w:rsidRPr="00D7475E">
        <w:rPr>
          <w:rFonts w:ascii="Book Antiqua" w:hAnsi="Book Antiqua"/>
          <w:b/>
          <w:bCs/>
        </w:rPr>
        <w:t>31</w:t>
      </w:r>
      <w:r w:rsidRPr="00D7475E">
        <w:rPr>
          <w:rFonts w:ascii="Book Antiqua" w:hAnsi="Book Antiqua"/>
        </w:rPr>
        <w:t>: 923-930 [PMID: 26059365 DOI: 10.1016/j.nut.2014.11.018]</w:t>
      </w:r>
    </w:p>
    <w:p w14:paraId="36B45CE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80 </w:t>
      </w:r>
      <w:r w:rsidRPr="00D7475E">
        <w:rPr>
          <w:rFonts w:ascii="Book Antiqua" w:hAnsi="Book Antiqua"/>
          <w:b/>
          <w:bCs/>
        </w:rPr>
        <w:t>Ji HF</w:t>
      </w:r>
      <w:r w:rsidRPr="00D7475E">
        <w:rPr>
          <w:rFonts w:ascii="Book Antiqua" w:hAnsi="Book Antiqua"/>
        </w:rPr>
        <w:t>, Sun Y, Shen L. Effect of vitamin E supplementation on aminotransferase levels in patients with NAFLD, NASH, and CHC: results from a meta-analysis. </w:t>
      </w:r>
      <w:r w:rsidRPr="00D7475E">
        <w:rPr>
          <w:rFonts w:ascii="Book Antiqua" w:hAnsi="Book Antiqua"/>
          <w:i/>
          <w:iCs/>
        </w:rPr>
        <w:t>Nutrition</w:t>
      </w:r>
      <w:r w:rsidRPr="00D7475E">
        <w:rPr>
          <w:rFonts w:ascii="Book Antiqua" w:hAnsi="Book Antiqua"/>
        </w:rPr>
        <w:t> 2014; </w:t>
      </w:r>
      <w:r w:rsidRPr="00D7475E">
        <w:rPr>
          <w:rFonts w:ascii="Book Antiqua" w:hAnsi="Book Antiqua"/>
          <w:b/>
          <w:bCs/>
        </w:rPr>
        <w:t>30</w:t>
      </w:r>
      <w:r w:rsidRPr="00D7475E">
        <w:rPr>
          <w:rFonts w:ascii="Book Antiqua" w:hAnsi="Book Antiqua"/>
        </w:rPr>
        <w:t>: 986-991 [PMID: 24976430 DOI: 10.1016/j.nut.2014.01.016]</w:t>
      </w:r>
    </w:p>
    <w:p w14:paraId="405BF2A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81 </w:t>
      </w:r>
      <w:proofErr w:type="spellStart"/>
      <w:r w:rsidRPr="00D7475E">
        <w:rPr>
          <w:rFonts w:ascii="Book Antiqua" w:hAnsi="Book Antiqua"/>
          <w:b/>
          <w:bCs/>
        </w:rPr>
        <w:t>Kawanaka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Mahmood S, </w:t>
      </w:r>
      <w:proofErr w:type="spellStart"/>
      <w:r w:rsidRPr="00D7475E">
        <w:rPr>
          <w:rFonts w:ascii="Book Antiqua" w:hAnsi="Book Antiqua"/>
        </w:rPr>
        <w:t>Niiyama</w:t>
      </w:r>
      <w:proofErr w:type="spellEnd"/>
      <w:r w:rsidRPr="00D7475E">
        <w:rPr>
          <w:rFonts w:ascii="Book Antiqua" w:hAnsi="Book Antiqua"/>
        </w:rPr>
        <w:t xml:space="preserve"> G, Izumi A, Kamei A, Ikeda H, </w:t>
      </w:r>
      <w:proofErr w:type="spellStart"/>
      <w:r w:rsidRPr="00D7475E">
        <w:rPr>
          <w:rFonts w:ascii="Book Antiqua" w:hAnsi="Book Antiqua"/>
        </w:rPr>
        <w:t>Suehiro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Togawa</w:t>
      </w:r>
      <w:proofErr w:type="spellEnd"/>
      <w:r w:rsidRPr="00D7475E">
        <w:rPr>
          <w:rFonts w:ascii="Book Antiqua" w:hAnsi="Book Antiqua"/>
        </w:rPr>
        <w:t xml:space="preserve"> K, </w:t>
      </w:r>
      <w:proofErr w:type="spellStart"/>
      <w:r w:rsidRPr="00D7475E">
        <w:rPr>
          <w:rFonts w:ascii="Book Antiqua" w:hAnsi="Book Antiqua"/>
        </w:rPr>
        <w:t>Sasagawa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Okita</w:t>
      </w:r>
      <w:proofErr w:type="spellEnd"/>
      <w:r w:rsidRPr="00D7475E">
        <w:rPr>
          <w:rFonts w:ascii="Book Antiqua" w:hAnsi="Book Antiqua"/>
        </w:rPr>
        <w:t xml:space="preserve"> M, Nakamura H, </w:t>
      </w:r>
      <w:proofErr w:type="spellStart"/>
      <w:r w:rsidRPr="00D7475E">
        <w:rPr>
          <w:rFonts w:ascii="Book Antiqua" w:hAnsi="Book Antiqua"/>
        </w:rPr>
        <w:t>Yodoi</w:t>
      </w:r>
      <w:proofErr w:type="spellEnd"/>
      <w:r w:rsidRPr="00D7475E">
        <w:rPr>
          <w:rFonts w:ascii="Book Antiqua" w:hAnsi="Book Antiqua"/>
        </w:rPr>
        <w:t xml:space="preserve"> J, Yamada G. Control of oxidative stress and reduction in biochemical markers by Vitamin E treatment in patients with nonalcoholic steatohepatitis: a pilot study. </w:t>
      </w:r>
      <w:r w:rsidRPr="00D7475E">
        <w:rPr>
          <w:rFonts w:ascii="Book Antiqua" w:hAnsi="Book Antiqua"/>
          <w:i/>
          <w:iCs/>
        </w:rPr>
        <w:t>Hepatol Res</w:t>
      </w:r>
      <w:r w:rsidRPr="00D7475E">
        <w:rPr>
          <w:rFonts w:ascii="Book Antiqua" w:hAnsi="Book Antiqua"/>
        </w:rPr>
        <w:t> 2004; </w:t>
      </w:r>
      <w:r w:rsidRPr="00D7475E">
        <w:rPr>
          <w:rFonts w:ascii="Book Antiqua" w:hAnsi="Book Antiqua"/>
          <w:b/>
          <w:bCs/>
        </w:rPr>
        <w:t>29</w:t>
      </w:r>
      <w:r w:rsidRPr="00D7475E">
        <w:rPr>
          <w:rFonts w:ascii="Book Antiqua" w:hAnsi="Book Antiqua"/>
        </w:rPr>
        <w:t>: 39-41 [PMID: 15135345 DOI: 10.1016/j.hepres.2004.02.002]</w:t>
      </w:r>
    </w:p>
    <w:p w14:paraId="22783B52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82 </w:t>
      </w:r>
      <w:proofErr w:type="spellStart"/>
      <w:r w:rsidRPr="00D7475E">
        <w:rPr>
          <w:rFonts w:ascii="Book Antiqua" w:hAnsi="Book Antiqua"/>
          <w:b/>
          <w:bCs/>
        </w:rPr>
        <w:t>Hemilä</w:t>
      </w:r>
      <w:proofErr w:type="spellEnd"/>
      <w:r w:rsidRPr="00D7475E">
        <w:rPr>
          <w:rFonts w:ascii="Book Antiqua" w:hAnsi="Book Antiqua"/>
          <w:b/>
          <w:bCs/>
        </w:rPr>
        <w:t xml:space="preserve"> H</w:t>
      </w:r>
      <w:r w:rsidRPr="00D7475E">
        <w:rPr>
          <w:rFonts w:ascii="Book Antiqua" w:hAnsi="Book Antiqua"/>
        </w:rPr>
        <w:t>. Vitamin E administration may decrease the incidence of pneumonia in elderly males. 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Interv</w:t>
      </w:r>
      <w:proofErr w:type="spellEnd"/>
      <w:r w:rsidRPr="00D7475E">
        <w:rPr>
          <w:rFonts w:ascii="Book Antiqua" w:hAnsi="Book Antiqua"/>
          <w:i/>
          <w:iCs/>
        </w:rPr>
        <w:t xml:space="preserve"> Aging</w:t>
      </w:r>
      <w:r w:rsidRPr="00D7475E">
        <w:rPr>
          <w:rFonts w:ascii="Book Antiqua" w:hAnsi="Book Antiqua"/>
        </w:rPr>
        <w:t> 2016; </w:t>
      </w:r>
      <w:r w:rsidRPr="00D7475E">
        <w:rPr>
          <w:rFonts w:ascii="Book Antiqua" w:hAnsi="Book Antiqua"/>
          <w:b/>
          <w:bCs/>
        </w:rPr>
        <w:t>11</w:t>
      </w:r>
      <w:r w:rsidRPr="00D7475E">
        <w:rPr>
          <w:rFonts w:ascii="Book Antiqua" w:hAnsi="Book Antiqua"/>
        </w:rPr>
        <w:t>: 1379-1385 [PMID: 27757026 DOI: 10.2147/CIA.S114515]</w:t>
      </w:r>
    </w:p>
    <w:p w14:paraId="79888609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83 </w:t>
      </w:r>
      <w:r w:rsidRPr="00D7475E">
        <w:rPr>
          <w:rFonts w:ascii="Book Antiqua" w:hAnsi="Book Antiqua"/>
          <w:b/>
          <w:bCs/>
        </w:rPr>
        <w:t>Shakoor H</w:t>
      </w:r>
      <w:r w:rsidRPr="00D7475E">
        <w:rPr>
          <w:rFonts w:ascii="Book Antiqua" w:hAnsi="Book Antiqua"/>
        </w:rPr>
        <w:t xml:space="preserve">, Feehan J, </w:t>
      </w:r>
      <w:proofErr w:type="spellStart"/>
      <w:r w:rsidRPr="00D7475E">
        <w:rPr>
          <w:rFonts w:ascii="Book Antiqua" w:hAnsi="Book Antiqua"/>
        </w:rPr>
        <w:t>Mikkelsen</w:t>
      </w:r>
      <w:proofErr w:type="spellEnd"/>
      <w:r w:rsidRPr="00D7475E">
        <w:rPr>
          <w:rFonts w:ascii="Book Antiqua" w:hAnsi="Book Antiqua"/>
        </w:rPr>
        <w:t xml:space="preserve"> K, Al </w:t>
      </w:r>
      <w:proofErr w:type="spellStart"/>
      <w:r w:rsidRPr="00D7475E">
        <w:rPr>
          <w:rFonts w:ascii="Book Antiqua" w:hAnsi="Book Antiqua"/>
        </w:rPr>
        <w:t>Dhaheri</w:t>
      </w:r>
      <w:proofErr w:type="spellEnd"/>
      <w:r w:rsidRPr="00D7475E">
        <w:rPr>
          <w:rFonts w:ascii="Book Antiqua" w:hAnsi="Book Antiqua"/>
        </w:rPr>
        <w:t xml:space="preserve"> AS, Ali HI, </w:t>
      </w:r>
      <w:proofErr w:type="spellStart"/>
      <w:r w:rsidRPr="00D7475E">
        <w:rPr>
          <w:rFonts w:ascii="Book Antiqua" w:hAnsi="Book Antiqua"/>
        </w:rPr>
        <w:t>Platat</w:t>
      </w:r>
      <w:proofErr w:type="spellEnd"/>
      <w:r w:rsidRPr="00D7475E">
        <w:rPr>
          <w:rFonts w:ascii="Book Antiqua" w:hAnsi="Book Antiqua"/>
        </w:rPr>
        <w:t xml:space="preserve"> C, Ismail LC, </w:t>
      </w:r>
      <w:proofErr w:type="spellStart"/>
      <w:r w:rsidRPr="00D7475E">
        <w:rPr>
          <w:rFonts w:ascii="Book Antiqua" w:hAnsi="Book Antiqua"/>
        </w:rPr>
        <w:t>Stojanovska</w:t>
      </w:r>
      <w:proofErr w:type="spellEnd"/>
      <w:r w:rsidRPr="00D7475E">
        <w:rPr>
          <w:rFonts w:ascii="Book Antiqua" w:hAnsi="Book Antiqua"/>
        </w:rPr>
        <w:t xml:space="preserve"> L, </w:t>
      </w:r>
      <w:proofErr w:type="spellStart"/>
      <w:r w:rsidRPr="00D7475E">
        <w:rPr>
          <w:rFonts w:ascii="Book Antiqua" w:hAnsi="Book Antiqua"/>
        </w:rPr>
        <w:t>Apostolopoulos</w:t>
      </w:r>
      <w:proofErr w:type="spellEnd"/>
      <w:r w:rsidRPr="00D7475E">
        <w:rPr>
          <w:rFonts w:ascii="Book Antiqua" w:hAnsi="Book Antiqua"/>
        </w:rPr>
        <w:t xml:space="preserve"> V. Be well: A potential role for vitamin B in COVID-19. </w:t>
      </w:r>
      <w:proofErr w:type="spellStart"/>
      <w:r w:rsidRPr="00D7475E">
        <w:rPr>
          <w:rFonts w:ascii="Book Antiqua" w:hAnsi="Book Antiqua"/>
          <w:i/>
          <w:iCs/>
        </w:rPr>
        <w:t>Maturitas</w:t>
      </w:r>
      <w:proofErr w:type="spellEnd"/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144</w:t>
      </w:r>
      <w:r w:rsidRPr="00D7475E">
        <w:rPr>
          <w:rFonts w:ascii="Book Antiqua" w:hAnsi="Book Antiqua"/>
        </w:rPr>
        <w:t>: 108-111 [PMID: 32829981 DOI: 10.1016/j.maturitas.2020.08.007]</w:t>
      </w:r>
    </w:p>
    <w:p w14:paraId="058B11E4" w14:textId="25306071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D7475E">
        <w:rPr>
          <w:rFonts w:ascii="Book Antiqua" w:hAnsi="Book Antiqua"/>
        </w:rPr>
        <w:t xml:space="preserve">84 </w:t>
      </w:r>
      <w:proofErr w:type="spellStart"/>
      <w:r w:rsidRPr="00D7475E">
        <w:rPr>
          <w:rFonts w:ascii="Book Antiqua" w:hAnsi="Book Antiqua"/>
          <w:b/>
          <w:bCs/>
        </w:rPr>
        <w:t>Desbarats</w:t>
      </w:r>
      <w:proofErr w:type="spellEnd"/>
      <w:r w:rsidRPr="00D7475E">
        <w:rPr>
          <w:rFonts w:ascii="Book Antiqua" w:hAnsi="Book Antiqua"/>
          <w:b/>
          <w:bCs/>
        </w:rPr>
        <w:t xml:space="preserve"> J</w:t>
      </w:r>
      <w:r w:rsidRPr="00D7475E">
        <w:rPr>
          <w:rFonts w:ascii="Book Antiqua" w:hAnsi="Book Antiqua"/>
        </w:rPr>
        <w:t xml:space="preserve">. Pyridoxal 5'-phosphate to mitigate immune dysregulation and coagulopathy in COVID-19. </w:t>
      </w:r>
      <w:r w:rsidRPr="00D7475E">
        <w:rPr>
          <w:rFonts w:ascii="Book Antiqua" w:hAnsi="Book Antiqua"/>
          <w:lang w:val="fr-FR"/>
        </w:rPr>
        <w:t>2020 Preprint. Available from: Preprints</w:t>
      </w:r>
      <w:r w:rsidR="0038528C" w:rsidRPr="00D7475E">
        <w:rPr>
          <w:rFonts w:ascii="Book Antiqua" w:hAnsi="Book Antiqua"/>
          <w:lang w:val="fr-FR"/>
        </w:rPr>
        <w:t>:</w:t>
      </w:r>
      <w:r w:rsidRPr="00D7475E">
        <w:rPr>
          <w:rFonts w:ascii="Book Antiqua" w:hAnsi="Book Antiqua"/>
          <w:lang w:val="fr-FR"/>
        </w:rPr>
        <w:t xml:space="preserve"> 202005.0144 [DOI: 10.20944/preprints202005.0144.v1]</w:t>
      </w:r>
    </w:p>
    <w:p w14:paraId="433A0CC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  <w:lang w:val="fr-FR"/>
        </w:rPr>
        <w:t xml:space="preserve">85 </w:t>
      </w:r>
      <w:r w:rsidRPr="00D7475E">
        <w:rPr>
          <w:rFonts w:ascii="Book Antiqua" w:hAnsi="Book Antiqua"/>
          <w:b/>
          <w:bCs/>
          <w:lang w:val="fr-FR"/>
        </w:rPr>
        <w:t>dos Santos LMJ</w:t>
      </w:r>
      <w:r w:rsidRPr="00D7475E">
        <w:rPr>
          <w:rFonts w:ascii="Book Antiqua" w:hAnsi="Book Antiqua"/>
          <w:lang w:val="fr-FR"/>
        </w:rPr>
        <w:t xml:space="preserve">. </w:t>
      </w:r>
      <w:r w:rsidRPr="00D7475E">
        <w:rPr>
          <w:rFonts w:ascii="Book Antiqua" w:hAnsi="Book Antiqua"/>
        </w:rPr>
        <w:t xml:space="preserve">Can vitamin B12 be an adjuvant to COVID-19 treatment? </w:t>
      </w:r>
      <w:r w:rsidRPr="00D7475E">
        <w:rPr>
          <w:rFonts w:ascii="Book Antiqua" w:hAnsi="Book Antiqua"/>
          <w:i/>
          <w:iCs/>
        </w:rPr>
        <w:t>GSC Bio Pharm Sci</w:t>
      </w:r>
      <w:r w:rsidRPr="00D7475E">
        <w:rPr>
          <w:rFonts w:ascii="Book Antiqua" w:hAnsi="Book Antiqua"/>
        </w:rPr>
        <w:t xml:space="preserve"> 2020; </w:t>
      </w:r>
      <w:r w:rsidRPr="00D7475E">
        <w:rPr>
          <w:rFonts w:ascii="Book Antiqua" w:hAnsi="Book Antiqua"/>
          <w:b/>
          <w:bCs/>
        </w:rPr>
        <w:t>11</w:t>
      </w:r>
      <w:r w:rsidRPr="00D7475E">
        <w:rPr>
          <w:rFonts w:ascii="Book Antiqua" w:hAnsi="Book Antiqua"/>
        </w:rPr>
        <w:t>: 01-05 [DOI: 10.30574/gscbps.2020.11.3.0155]</w:t>
      </w:r>
    </w:p>
    <w:p w14:paraId="2509FE6C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86 </w:t>
      </w:r>
      <w:r w:rsidRPr="00D7475E">
        <w:rPr>
          <w:rFonts w:ascii="Book Antiqua" w:hAnsi="Book Antiqua"/>
          <w:b/>
          <w:bCs/>
        </w:rPr>
        <w:t>Tan CW</w:t>
      </w:r>
      <w:r w:rsidRPr="00D7475E">
        <w:rPr>
          <w:rFonts w:ascii="Book Antiqua" w:hAnsi="Book Antiqua"/>
        </w:rPr>
        <w:t xml:space="preserve">, Ho LP, </w:t>
      </w:r>
      <w:proofErr w:type="spellStart"/>
      <w:r w:rsidRPr="00D7475E">
        <w:rPr>
          <w:rFonts w:ascii="Book Antiqua" w:hAnsi="Book Antiqua"/>
        </w:rPr>
        <w:t>Kalimuddin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Cherng</w:t>
      </w:r>
      <w:proofErr w:type="spellEnd"/>
      <w:r w:rsidRPr="00D7475E">
        <w:rPr>
          <w:rFonts w:ascii="Book Antiqua" w:hAnsi="Book Antiqua"/>
        </w:rPr>
        <w:t xml:space="preserve"> BPZ, </w:t>
      </w:r>
      <w:proofErr w:type="spellStart"/>
      <w:r w:rsidRPr="00D7475E">
        <w:rPr>
          <w:rFonts w:ascii="Book Antiqua" w:hAnsi="Book Antiqua"/>
        </w:rPr>
        <w:t>Teh</w:t>
      </w:r>
      <w:proofErr w:type="spellEnd"/>
      <w:r w:rsidRPr="00D7475E">
        <w:rPr>
          <w:rFonts w:ascii="Book Antiqua" w:hAnsi="Book Antiqua"/>
        </w:rPr>
        <w:t xml:space="preserve"> YE, </w:t>
      </w:r>
      <w:proofErr w:type="spellStart"/>
      <w:r w:rsidRPr="00D7475E">
        <w:rPr>
          <w:rFonts w:ascii="Book Antiqua" w:hAnsi="Book Antiqua"/>
        </w:rPr>
        <w:t>Thien</w:t>
      </w:r>
      <w:proofErr w:type="spellEnd"/>
      <w:r w:rsidRPr="00D7475E">
        <w:rPr>
          <w:rFonts w:ascii="Book Antiqua" w:hAnsi="Book Antiqua"/>
        </w:rPr>
        <w:t xml:space="preserve"> SY, Wong HM, Tern PJW, </w:t>
      </w:r>
      <w:proofErr w:type="spellStart"/>
      <w:r w:rsidRPr="00D7475E">
        <w:rPr>
          <w:rFonts w:ascii="Book Antiqua" w:hAnsi="Book Antiqua"/>
        </w:rPr>
        <w:t>Chandran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Chay</w:t>
      </w:r>
      <w:proofErr w:type="spellEnd"/>
      <w:r w:rsidRPr="00D7475E">
        <w:rPr>
          <w:rFonts w:ascii="Book Antiqua" w:hAnsi="Book Antiqua"/>
        </w:rPr>
        <w:t xml:space="preserve"> JWM, </w:t>
      </w:r>
      <w:proofErr w:type="spellStart"/>
      <w:r w:rsidRPr="00D7475E">
        <w:rPr>
          <w:rFonts w:ascii="Book Antiqua" w:hAnsi="Book Antiqua"/>
        </w:rPr>
        <w:t>Nagarajan</w:t>
      </w:r>
      <w:proofErr w:type="spellEnd"/>
      <w:r w:rsidRPr="00D7475E">
        <w:rPr>
          <w:rFonts w:ascii="Book Antiqua" w:hAnsi="Book Antiqua"/>
        </w:rPr>
        <w:t xml:space="preserve"> C, Sultana R, Low JGH, Ng HJ. Cohort study to evaluate the effect of vitamin D, magnesium, and vitamin B</w:t>
      </w:r>
      <w:r w:rsidRPr="00D7475E">
        <w:rPr>
          <w:rFonts w:ascii="Book Antiqua" w:hAnsi="Book Antiqua"/>
          <w:vertAlign w:val="subscript"/>
        </w:rPr>
        <w:t>12</w:t>
      </w:r>
      <w:r w:rsidRPr="00D7475E">
        <w:rPr>
          <w:rFonts w:ascii="Book Antiqua" w:hAnsi="Book Antiqua"/>
        </w:rPr>
        <w:t> in combination on progression to severe outcomes in older patients with coronavirus (COVID-19). </w:t>
      </w:r>
      <w:r w:rsidRPr="00D7475E">
        <w:rPr>
          <w:rFonts w:ascii="Book Antiqua" w:hAnsi="Book Antiqua"/>
          <w:i/>
          <w:iCs/>
        </w:rPr>
        <w:t>Nutrition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79-80</w:t>
      </w:r>
      <w:r w:rsidRPr="00D7475E">
        <w:rPr>
          <w:rFonts w:ascii="Book Antiqua" w:hAnsi="Book Antiqua"/>
        </w:rPr>
        <w:t>: 111017 [PMID: 33039952 DOI: 10.1016/j.nut.2020.111017]</w:t>
      </w:r>
    </w:p>
    <w:p w14:paraId="0B7248E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87 </w:t>
      </w:r>
      <w:proofErr w:type="spellStart"/>
      <w:r w:rsidRPr="00D7475E">
        <w:rPr>
          <w:rFonts w:ascii="Book Antiqua" w:hAnsi="Book Antiqua"/>
          <w:b/>
          <w:bCs/>
        </w:rPr>
        <w:t>Faghfouri</w:t>
      </w:r>
      <w:proofErr w:type="spellEnd"/>
      <w:r w:rsidRPr="00D7475E">
        <w:rPr>
          <w:rFonts w:ascii="Book Antiqua" w:hAnsi="Book Antiqua"/>
          <w:b/>
          <w:bCs/>
        </w:rPr>
        <w:t xml:space="preserve"> AH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Baradaran</w:t>
      </w:r>
      <w:proofErr w:type="spellEnd"/>
      <w:r w:rsidRPr="00D7475E">
        <w:rPr>
          <w:rFonts w:ascii="Book Antiqua" w:hAnsi="Book Antiqua"/>
        </w:rPr>
        <w:t xml:space="preserve"> B, </w:t>
      </w:r>
      <w:proofErr w:type="spellStart"/>
      <w:r w:rsidRPr="00D7475E">
        <w:rPr>
          <w:rFonts w:ascii="Book Antiqua" w:hAnsi="Book Antiqua"/>
        </w:rPr>
        <w:t>Khabbazi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Khaje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Bishak</w:t>
      </w:r>
      <w:proofErr w:type="spellEnd"/>
      <w:r w:rsidRPr="00D7475E">
        <w:rPr>
          <w:rFonts w:ascii="Book Antiqua" w:hAnsi="Book Antiqua"/>
        </w:rPr>
        <w:t xml:space="preserve"> Y, </w:t>
      </w:r>
      <w:proofErr w:type="spellStart"/>
      <w:r w:rsidRPr="00D7475E">
        <w:rPr>
          <w:rFonts w:ascii="Book Antiqua" w:hAnsi="Book Antiqua"/>
        </w:rPr>
        <w:t>Zarezadeh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Tavakoli-Rouzbehani</w:t>
      </w:r>
      <w:proofErr w:type="spellEnd"/>
      <w:r w:rsidRPr="00D7475E">
        <w:rPr>
          <w:rFonts w:ascii="Book Antiqua" w:hAnsi="Book Antiqua"/>
        </w:rPr>
        <w:t xml:space="preserve"> OM, </w:t>
      </w:r>
      <w:proofErr w:type="spellStart"/>
      <w:r w:rsidRPr="00D7475E">
        <w:rPr>
          <w:rFonts w:ascii="Book Antiqua" w:hAnsi="Book Antiqua"/>
        </w:rPr>
        <w:t>Faghfuri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Payahoo</w:t>
      </w:r>
      <w:proofErr w:type="spellEnd"/>
      <w:r w:rsidRPr="00D7475E">
        <w:rPr>
          <w:rFonts w:ascii="Book Antiqua" w:hAnsi="Book Antiqua"/>
        </w:rPr>
        <w:t xml:space="preserve"> L, </w:t>
      </w:r>
      <w:proofErr w:type="spellStart"/>
      <w:r w:rsidRPr="00D7475E">
        <w:rPr>
          <w:rFonts w:ascii="Book Antiqua" w:hAnsi="Book Antiqua"/>
        </w:rPr>
        <w:t>Alipour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Alipour</w:t>
      </w:r>
      <w:proofErr w:type="spellEnd"/>
      <w:r w:rsidRPr="00D7475E">
        <w:rPr>
          <w:rFonts w:ascii="Book Antiqua" w:hAnsi="Book Antiqua"/>
        </w:rPr>
        <w:t xml:space="preserve"> B. Invited Letter to Editor in response to Profiling Inflammatory Cytokines Following Zinc Supplementation: A Systematic Review and Meta-analysis of Randomized Controlled Trials. </w:t>
      </w:r>
      <w:r w:rsidRPr="00D7475E">
        <w:rPr>
          <w:rFonts w:ascii="Book Antiqua" w:hAnsi="Book Antiqua"/>
          <w:i/>
          <w:iCs/>
        </w:rPr>
        <w:t xml:space="preserve">Br 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2021: 1-5 [PMID: 33762049 DOI: 10.1017/S0007114521001070]</w:t>
      </w:r>
    </w:p>
    <w:p w14:paraId="3A64A82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88 </w:t>
      </w:r>
      <w:proofErr w:type="spellStart"/>
      <w:r w:rsidRPr="00D7475E">
        <w:rPr>
          <w:rFonts w:ascii="Book Antiqua" w:hAnsi="Book Antiqua"/>
          <w:b/>
          <w:bCs/>
        </w:rPr>
        <w:t>Finzi</w:t>
      </w:r>
      <w:proofErr w:type="spellEnd"/>
      <w:r w:rsidRPr="00D7475E">
        <w:rPr>
          <w:rFonts w:ascii="Book Antiqua" w:hAnsi="Book Antiqua"/>
          <w:b/>
          <w:bCs/>
        </w:rPr>
        <w:t xml:space="preserve"> E</w:t>
      </w:r>
      <w:r w:rsidRPr="00D7475E">
        <w:rPr>
          <w:rFonts w:ascii="Book Antiqua" w:hAnsi="Book Antiqua"/>
        </w:rPr>
        <w:t>. Treatment of SARS-CoV-2 with high dose oral zinc salts: A report on four patients. </w:t>
      </w:r>
      <w:r w:rsidRPr="00D7475E">
        <w:rPr>
          <w:rFonts w:ascii="Book Antiqua" w:hAnsi="Book Antiqua"/>
          <w:i/>
          <w:iCs/>
        </w:rPr>
        <w:t>Int J Infect Dis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99</w:t>
      </w:r>
      <w:r w:rsidRPr="00D7475E">
        <w:rPr>
          <w:rFonts w:ascii="Book Antiqua" w:hAnsi="Book Antiqua"/>
        </w:rPr>
        <w:t>: 307-309 [PMID: 32522597 DOI: 10.1016/j.ijid.2020.06.006]</w:t>
      </w:r>
    </w:p>
    <w:p w14:paraId="4294BEC2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89 </w:t>
      </w:r>
      <w:r w:rsidRPr="00D7475E">
        <w:rPr>
          <w:rFonts w:ascii="Book Antiqua" w:hAnsi="Book Antiqua"/>
          <w:b/>
          <w:bCs/>
        </w:rPr>
        <w:t>Roy A</w:t>
      </w:r>
      <w:r w:rsidRPr="00D7475E">
        <w:rPr>
          <w:rFonts w:ascii="Book Antiqua" w:hAnsi="Book Antiqua"/>
        </w:rPr>
        <w:t xml:space="preserve">, Sarkar B, </w:t>
      </w:r>
      <w:proofErr w:type="spellStart"/>
      <w:r w:rsidRPr="00D7475E">
        <w:rPr>
          <w:rFonts w:ascii="Book Antiqua" w:hAnsi="Book Antiqua"/>
        </w:rPr>
        <w:t>Celik</w:t>
      </w:r>
      <w:proofErr w:type="spellEnd"/>
      <w:r w:rsidRPr="00D7475E">
        <w:rPr>
          <w:rFonts w:ascii="Book Antiqua" w:hAnsi="Book Antiqua"/>
        </w:rPr>
        <w:t xml:space="preserve"> C, Ghosh A, </w:t>
      </w:r>
      <w:proofErr w:type="spellStart"/>
      <w:r w:rsidRPr="00D7475E">
        <w:rPr>
          <w:rFonts w:ascii="Book Antiqua" w:hAnsi="Book Antiqua"/>
        </w:rPr>
        <w:t>Basu</w:t>
      </w:r>
      <w:proofErr w:type="spellEnd"/>
      <w:r w:rsidRPr="00D7475E">
        <w:rPr>
          <w:rFonts w:ascii="Book Antiqua" w:hAnsi="Book Antiqua"/>
        </w:rPr>
        <w:t xml:space="preserve"> U, Jana M, Jana A, </w:t>
      </w:r>
      <w:proofErr w:type="spellStart"/>
      <w:r w:rsidRPr="00D7475E">
        <w:rPr>
          <w:rFonts w:ascii="Book Antiqua" w:hAnsi="Book Antiqua"/>
        </w:rPr>
        <w:t>Gencay</w:t>
      </w:r>
      <w:proofErr w:type="spellEnd"/>
      <w:r w:rsidRPr="00D7475E">
        <w:rPr>
          <w:rFonts w:ascii="Book Antiqua" w:hAnsi="Book Antiqua"/>
        </w:rPr>
        <w:t xml:space="preserve"> A, Can </w:t>
      </w:r>
      <w:proofErr w:type="spellStart"/>
      <w:r w:rsidRPr="00D7475E">
        <w:rPr>
          <w:rFonts w:ascii="Book Antiqua" w:hAnsi="Book Antiqua"/>
        </w:rPr>
        <w:t>Sezgin</w:t>
      </w:r>
      <w:proofErr w:type="spellEnd"/>
      <w:r w:rsidRPr="00D7475E">
        <w:rPr>
          <w:rFonts w:ascii="Book Antiqua" w:hAnsi="Book Antiqua"/>
        </w:rPr>
        <w:t xml:space="preserve"> G, </w:t>
      </w:r>
      <w:proofErr w:type="spellStart"/>
      <w:r w:rsidRPr="00D7475E">
        <w:rPr>
          <w:rFonts w:ascii="Book Antiqua" w:hAnsi="Book Antiqua"/>
        </w:rPr>
        <w:t>Ildiz</w:t>
      </w:r>
      <w:proofErr w:type="spellEnd"/>
      <w:r w:rsidRPr="00D7475E">
        <w:rPr>
          <w:rFonts w:ascii="Book Antiqua" w:hAnsi="Book Antiqua"/>
        </w:rPr>
        <w:t xml:space="preserve"> N, Dam P, Mandal AK, </w:t>
      </w:r>
      <w:proofErr w:type="spellStart"/>
      <w:r w:rsidRPr="00D7475E">
        <w:rPr>
          <w:rFonts w:ascii="Book Antiqua" w:hAnsi="Book Antiqua"/>
        </w:rPr>
        <w:t>Ocsoy</w:t>
      </w:r>
      <w:proofErr w:type="spellEnd"/>
      <w:r w:rsidRPr="00D7475E">
        <w:rPr>
          <w:rFonts w:ascii="Book Antiqua" w:hAnsi="Book Antiqua"/>
        </w:rPr>
        <w:t xml:space="preserve"> I. Can concomitant use of zinc and curcumin with other immunity-boosting nutraceuticals be the arsenal against COVID-19? </w:t>
      </w:r>
      <w:proofErr w:type="spellStart"/>
      <w:r w:rsidRPr="00D7475E">
        <w:rPr>
          <w:rFonts w:ascii="Book Antiqua" w:hAnsi="Book Antiqua"/>
          <w:i/>
          <w:iCs/>
        </w:rPr>
        <w:t>Phytother</w:t>
      </w:r>
      <w:proofErr w:type="spellEnd"/>
      <w:r w:rsidRPr="00D7475E">
        <w:rPr>
          <w:rFonts w:ascii="Book Antiqua" w:hAnsi="Book Antiqua"/>
          <w:i/>
          <w:iCs/>
        </w:rPr>
        <w:t xml:space="preserve"> Res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34</w:t>
      </w:r>
      <w:r w:rsidRPr="00D7475E">
        <w:rPr>
          <w:rFonts w:ascii="Book Antiqua" w:hAnsi="Book Antiqua"/>
        </w:rPr>
        <w:t>: 2425-2428 [PMID: 32488956 DOI: 10.1002/ptr.6766]</w:t>
      </w:r>
    </w:p>
    <w:p w14:paraId="5F66EE58" w14:textId="5764AC1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90 </w:t>
      </w:r>
      <w:r w:rsidRPr="00D7475E">
        <w:rPr>
          <w:rFonts w:ascii="Book Antiqua" w:hAnsi="Book Antiqua"/>
          <w:b/>
          <w:bCs/>
        </w:rPr>
        <w:t>Hazan S</w:t>
      </w:r>
      <w:r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  <w:b/>
          <w:bCs/>
        </w:rPr>
        <w:t xml:space="preserve"> </w:t>
      </w:r>
      <w:r w:rsidRPr="00D7475E">
        <w:rPr>
          <w:rFonts w:ascii="Book Antiqua" w:hAnsi="Book Antiqua"/>
        </w:rPr>
        <w:t>A Study of Hydroxychloroquine, Vitamin C, Vitamin D, and Zinc for the Prevention of COVID-19 Infection (HELPCOVID-19)</w:t>
      </w:r>
      <w:r w:rsidR="00C064F9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</w:t>
      </w:r>
      <w:r w:rsidRPr="00D7475E">
        <w:rPr>
          <w:rFonts w:ascii="Book Antiqua" w:hAnsi="Book Antiqua"/>
        </w:rPr>
        <w:lastRenderedPageBreak/>
        <w:t>ClinicalTrials.gov [Internet]. Bethesda (MD): U.S. National Library of Medicine. Available from: https://clinicaltrials.gov/ct2/show/NCT04335084 ClinicalTrials.gov Identifier: NCT04335084</w:t>
      </w:r>
    </w:p>
    <w:p w14:paraId="0AD285F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91 </w:t>
      </w:r>
      <w:r w:rsidRPr="00D7475E">
        <w:rPr>
          <w:rFonts w:ascii="Book Antiqua" w:hAnsi="Book Antiqua"/>
          <w:b/>
          <w:bCs/>
        </w:rPr>
        <w:t>Ivory K</w:t>
      </w:r>
      <w:r w:rsidRPr="00D7475E">
        <w:rPr>
          <w:rFonts w:ascii="Book Antiqua" w:hAnsi="Book Antiqua"/>
        </w:rPr>
        <w:t>, Prieto E, Spinks C, Armah CN, Goldson AJ, Dainty JR, Nicoletti C. Selenium supplementation has beneficial and detrimental effects on immunity to influenza vaccine in older adults. 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36</w:t>
      </w:r>
      <w:r w:rsidRPr="00D7475E">
        <w:rPr>
          <w:rFonts w:ascii="Book Antiqua" w:hAnsi="Book Antiqua"/>
        </w:rPr>
        <w:t>: 407-415 [PMID: 26803169 DOI: 10.1016/j.clnu.2015.12.003]</w:t>
      </w:r>
    </w:p>
    <w:p w14:paraId="4969AF4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92 </w:t>
      </w:r>
      <w:r w:rsidRPr="00D7475E">
        <w:rPr>
          <w:rFonts w:ascii="Book Antiqua" w:hAnsi="Book Antiqua"/>
          <w:b/>
          <w:bCs/>
        </w:rPr>
        <w:t>Zhang J</w:t>
      </w:r>
      <w:r w:rsidRPr="00D7475E">
        <w:rPr>
          <w:rFonts w:ascii="Book Antiqua" w:hAnsi="Book Antiqua"/>
        </w:rPr>
        <w:t xml:space="preserve">, Taylor EW, Bennett K, </w:t>
      </w:r>
      <w:proofErr w:type="spellStart"/>
      <w:r w:rsidRPr="00D7475E">
        <w:rPr>
          <w:rFonts w:ascii="Book Antiqua" w:hAnsi="Book Antiqua"/>
        </w:rPr>
        <w:t>Saad</w:t>
      </w:r>
      <w:proofErr w:type="spellEnd"/>
      <w:r w:rsidRPr="00D7475E">
        <w:rPr>
          <w:rFonts w:ascii="Book Antiqua" w:hAnsi="Book Antiqua"/>
        </w:rPr>
        <w:t xml:space="preserve"> R, </w:t>
      </w:r>
      <w:proofErr w:type="spellStart"/>
      <w:r w:rsidRPr="00D7475E">
        <w:rPr>
          <w:rFonts w:ascii="Book Antiqua" w:hAnsi="Book Antiqua"/>
        </w:rPr>
        <w:t>Rayman</w:t>
      </w:r>
      <w:proofErr w:type="spellEnd"/>
      <w:r w:rsidRPr="00D7475E">
        <w:rPr>
          <w:rFonts w:ascii="Book Antiqua" w:hAnsi="Book Antiqua"/>
        </w:rPr>
        <w:t xml:space="preserve"> MP. Association between regional selenium status and reported outcome of COVID-19 cases in China. </w:t>
      </w:r>
      <w:r w:rsidRPr="00D7475E">
        <w:rPr>
          <w:rFonts w:ascii="Book Antiqua" w:hAnsi="Book Antiqua"/>
          <w:i/>
          <w:iCs/>
        </w:rPr>
        <w:t xml:space="preserve">Am J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111</w:t>
      </w:r>
      <w:r w:rsidRPr="00D7475E">
        <w:rPr>
          <w:rFonts w:ascii="Book Antiqua" w:hAnsi="Book Antiqua"/>
        </w:rPr>
        <w:t>: 1297-1299 [PMID: 32342979 DOI: 10.1093/</w:t>
      </w:r>
      <w:proofErr w:type="spellStart"/>
      <w:r w:rsidRPr="00D7475E">
        <w:rPr>
          <w:rFonts w:ascii="Book Antiqua" w:hAnsi="Book Antiqua"/>
        </w:rPr>
        <w:t>ajcn</w:t>
      </w:r>
      <w:proofErr w:type="spellEnd"/>
      <w:r w:rsidRPr="00D7475E">
        <w:rPr>
          <w:rFonts w:ascii="Book Antiqua" w:hAnsi="Book Antiqua"/>
        </w:rPr>
        <w:t>/nqaa095]</w:t>
      </w:r>
    </w:p>
    <w:p w14:paraId="7675A46F" w14:textId="12C268D3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93 </w:t>
      </w:r>
      <w:r w:rsidRPr="00D7475E">
        <w:rPr>
          <w:rFonts w:ascii="Book Antiqua" w:hAnsi="Book Antiqua"/>
          <w:b/>
          <w:bCs/>
        </w:rPr>
        <w:t>Bae M</w:t>
      </w:r>
      <w:r w:rsidRPr="00D7475E">
        <w:rPr>
          <w:rFonts w:ascii="Book Antiqua" w:hAnsi="Book Antiqua"/>
        </w:rPr>
        <w:t>, Kim H. Mini-Review on the Roles of Vitamin C, Vitamin D, and Selenium in the Immune System against COVID-19. </w:t>
      </w:r>
      <w:r w:rsidRPr="00D7475E">
        <w:rPr>
          <w:rFonts w:ascii="Book Antiqua" w:hAnsi="Book Antiqua"/>
          <w:i/>
          <w:iCs/>
        </w:rPr>
        <w:t>Molecules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25</w:t>
      </w:r>
      <w:r w:rsidR="00C064F9" w:rsidRPr="00D7475E">
        <w:rPr>
          <w:rFonts w:ascii="Book Antiqua" w:hAnsi="Book Antiqua"/>
        </w:rPr>
        <w:t>: 5346</w:t>
      </w:r>
      <w:r w:rsidRPr="00D7475E">
        <w:rPr>
          <w:rFonts w:ascii="Book Antiqua" w:hAnsi="Book Antiqua"/>
        </w:rPr>
        <w:t> [PMID: 33207753 DOI: 10.3390/molecules25225346]</w:t>
      </w:r>
    </w:p>
    <w:p w14:paraId="1A322346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94 </w:t>
      </w:r>
      <w:proofErr w:type="spellStart"/>
      <w:r w:rsidRPr="00D7475E">
        <w:rPr>
          <w:rFonts w:ascii="Book Antiqua" w:hAnsi="Book Antiqua"/>
          <w:b/>
          <w:bCs/>
        </w:rPr>
        <w:t>Kieliszek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>, Lipinski B. Selenium supplementation in the prevention of coronavirus infections (COVID-19). </w:t>
      </w:r>
      <w:r w:rsidRPr="00D7475E">
        <w:rPr>
          <w:rFonts w:ascii="Book Antiqua" w:hAnsi="Book Antiqua"/>
          <w:i/>
          <w:iCs/>
        </w:rPr>
        <w:t>Med Hypotheses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143</w:t>
      </w:r>
      <w:r w:rsidRPr="00D7475E">
        <w:rPr>
          <w:rFonts w:ascii="Book Antiqua" w:hAnsi="Book Antiqua"/>
        </w:rPr>
        <w:t>: 109878 [PMID: 32464491 DOI: 10.1016/j.mehy.2020.109878]</w:t>
      </w:r>
    </w:p>
    <w:p w14:paraId="107FEC1B" w14:textId="192A9C00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95 </w:t>
      </w:r>
      <w:r w:rsidRPr="00D7475E">
        <w:rPr>
          <w:rFonts w:ascii="Book Antiqua" w:hAnsi="Book Antiqua"/>
          <w:b/>
          <w:bCs/>
        </w:rPr>
        <w:t>Park SJ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Yim</w:t>
      </w:r>
      <w:proofErr w:type="spellEnd"/>
      <w:r w:rsidRPr="00D7475E">
        <w:rPr>
          <w:rFonts w:ascii="Book Antiqua" w:hAnsi="Book Antiqua"/>
        </w:rPr>
        <w:t xml:space="preserve"> GW, Paik H, Lee N, Lee S, Lee M, Kim HS. Efficacy and safety of intravenous administration of high-dose selenium for preventing chemotherapy-induced peripheral neuropathy in platinum-sensitive recurrent ovarian, fallopian or primary peritoneal cancer: study protocol for a phase III, double-blind, randomized study. </w:t>
      </w:r>
      <w:r w:rsidRPr="00D7475E">
        <w:rPr>
          <w:rFonts w:ascii="Book Antiqua" w:hAnsi="Book Antiqua"/>
          <w:i/>
          <w:iCs/>
        </w:rPr>
        <w:t xml:space="preserve">J </w:t>
      </w:r>
      <w:proofErr w:type="spellStart"/>
      <w:r w:rsidRPr="00D7475E">
        <w:rPr>
          <w:rFonts w:ascii="Book Antiqua" w:hAnsi="Book Antiqua"/>
          <w:i/>
          <w:iCs/>
        </w:rPr>
        <w:t>Gynecol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Oncol</w:t>
      </w:r>
      <w:proofErr w:type="spellEnd"/>
      <w:r w:rsidRPr="00D7475E">
        <w:rPr>
          <w:rFonts w:ascii="Book Antiqua" w:hAnsi="Book Antiqua"/>
        </w:rPr>
        <w:t> 2021</w:t>
      </w:r>
      <w:r w:rsidR="00C064F9" w:rsidRPr="00D7475E">
        <w:rPr>
          <w:rFonts w:ascii="Book Antiqua" w:hAnsi="Book Antiqua"/>
        </w:rPr>
        <w:t xml:space="preserve"> </w:t>
      </w:r>
      <w:proofErr w:type="spellStart"/>
      <w:r w:rsidR="00C064F9" w:rsidRPr="00D7475E">
        <w:rPr>
          <w:rFonts w:ascii="Book Antiqua" w:hAnsi="Book Antiqua"/>
        </w:rPr>
        <w:t>epub</w:t>
      </w:r>
      <w:proofErr w:type="spellEnd"/>
      <w:r w:rsidR="00C064F9" w:rsidRPr="00D7475E">
        <w:rPr>
          <w:rFonts w:ascii="Book Antiqua" w:hAnsi="Book Antiqua"/>
        </w:rPr>
        <w:t xml:space="preserve"> ahead of print</w:t>
      </w:r>
      <w:r w:rsidRPr="00D7475E">
        <w:rPr>
          <w:rFonts w:ascii="Book Antiqua" w:hAnsi="Book Antiqua"/>
        </w:rPr>
        <w:t xml:space="preserve"> [PMID: 34132071 DOI: 10.3802/jgo.2021.32.e73]</w:t>
      </w:r>
    </w:p>
    <w:p w14:paraId="169179B7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96 </w:t>
      </w:r>
      <w:r w:rsidRPr="00D7475E">
        <w:rPr>
          <w:rFonts w:ascii="Book Antiqua" w:hAnsi="Book Antiqua"/>
          <w:b/>
          <w:bCs/>
        </w:rPr>
        <w:t>Zhao Y</w:t>
      </w:r>
      <w:r w:rsidRPr="00D7475E">
        <w:rPr>
          <w:rFonts w:ascii="Book Antiqua" w:hAnsi="Book Antiqua"/>
        </w:rPr>
        <w:t>, Yang M, Mao Z, Yuan R, Wang L, Hu X, Zhou F, Kang H. The clinical outcomes of selenium supplementation on critically ill patients: A meta-analysis of randomized controlled trials. </w:t>
      </w:r>
      <w:r w:rsidRPr="00D7475E">
        <w:rPr>
          <w:rFonts w:ascii="Book Antiqua" w:hAnsi="Book Antiqua"/>
          <w:i/>
          <w:iCs/>
        </w:rPr>
        <w:t>Medicine (Baltimore)</w:t>
      </w:r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98</w:t>
      </w:r>
      <w:r w:rsidRPr="00D7475E">
        <w:rPr>
          <w:rFonts w:ascii="Book Antiqua" w:hAnsi="Book Antiqua"/>
        </w:rPr>
        <w:t>: e15473 [PMID: 31096444 DOI: 10.1097/MD.0000000000015473]</w:t>
      </w:r>
    </w:p>
    <w:p w14:paraId="65F713E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97 </w:t>
      </w:r>
      <w:proofErr w:type="spellStart"/>
      <w:r w:rsidRPr="00D7475E">
        <w:rPr>
          <w:rFonts w:ascii="Book Antiqua" w:hAnsi="Book Antiqua"/>
          <w:b/>
          <w:bCs/>
        </w:rPr>
        <w:t>Allingstrup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Afshari</w:t>
      </w:r>
      <w:proofErr w:type="spellEnd"/>
      <w:r w:rsidRPr="00D7475E">
        <w:rPr>
          <w:rFonts w:ascii="Book Antiqua" w:hAnsi="Book Antiqua"/>
        </w:rPr>
        <w:t xml:space="preserve"> A. Selenium supplementation for critically ill adults. </w:t>
      </w:r>
      <w:r w:rsidRPr="00D7475E">
        <w:rPr>
          <w:rFonts w:ascii="Book Antiqua" w:hAnsi="Book Antiqua"/>
          <w:i/>
          <w:iCs/>
        </w:rPr>
        <w:t>Cochrane Database Syst Rev</w:t>
      </w:r>
      <w:r w:rsidRPr="00D7475E">
        <w:rPr>
          <w:rFonts w:ascii="Book Antiqua" w:hAnsi="Book Antiqua"/>
        </w:rPr>
        <w:t> 2015: CD003703 [PMID: 26214143 DOI: 10.1002/14651858.CD003703.pub3]</w:t>
      </w:r>
    </w:p>
    <w:p w14:paraId="52C38E7C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98 </w:t>
      </w:r>
      <w:proofErr w:type="spellStart"/>
      <w:r w:rsidRPr="00D7475E">
        <w:rPr>
          <w:rFonts w:ascii="Book Antiqua" w:hAnsi="Book Antiqua"/>
          <w:b/>
          <w:bCs/>
        </w:rPr>
        <w:t>Camaschella</w:t>
      </w:r>
      <w:proofErr w:type="spellEnd"/>
      <w:r w:rsidRPr="00D7475E">
        <w:rPr>
          <w:rFonts w:ascii="Book Antiqua" w:hAnsi="Book Antiqua"/>
          <w:b/>
          <w:bCs/>
        </w:rPr>
        <w:t xml:space="preserve"> C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Nai</w:t>
      </w:r>
      <w:proofErr w:type="spellEnd"/>
      <w:r w:rsidRPr="00D7475E">
        <w:rPr>
          <w:rFonts w:ascii="Book Antiqua" w:hAnsi="Book Antiqua"/>
        </w:rPr>
        <w:t xml:space="preserve"> A, Silvestri L. Iron metabolism and iron disorders revisited in the hepcidin era. </w:t>
      </w:r>
      <w:proofErr w:type="spellStart"/>
      <w:r w:rsidRPr="00D7475E">
        <w:rPr>
          <w:rFonts w:ascii="Book Antiqua" w:hAnsi="Book Antiqua"/>
          <w:i/>
          <w:iCs/>
        </w:rPr>
        <w:t>Haematologica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105</w:t>
      </w:r>
      <w:r w:rsidRPr="00D7475E">
        <w:rPr>
          <w:rFonts w:ascii="Book Antiqua" w:hAnsi="Book Antiqua"/>
        </w:rPr>
        <w:t>: 260-272 [PMID: 31949017 DOI: 10.3324/haematol.2019.232124]</w:t>
      </w:r>
    </w:p>
    <w:p w14:paraId="333E17C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99 </w:t>
      </w:r>
      <w:r w:rsidRPr="00D7475E">
        <w:rPr>
          <w:rFonts w:ascii="Book Antiqua" w:hAnsi="Book Antiqua"/>
          <w:b/>
          <w:bCs/>
        </w:rPr>
        <w:t>Liu W</w:t>
      </w:r>
      <w:r w:rsidRPr="00D7475E">
        <w:rPr>
          <w:rFonts w:ascii="Book Antiqua" w:hAnsi="Book Antiqua"/>
        </w:rPr>
        <w:t xml:space="preserve">, Zhang S, </w:t>
      </w:r>
      <w:proofErr w:type="spellStart"/>
      <w:r w:rsidRPr="00D7475E">
        <w:rPr>
          <w:rFonts w:ascii="Book Antiqua" w:hAnsi="Book Antiqua"/>
        </w:rPr>
        <w:t>Nekhai</w:t>
      </w:r>
      <w:proofErr w:type="spellEnd"/>
      <w:r w:rsidRPr="00D7475E">
        <w:rPr>
          <w:rFonts w:ascii="Book Antiqua" w:hAnsi="Book Antiqua"/>
        </w:rPr>
        <w:t xml:space="preserve"> S, Liu S. Depriving Iron Supply to the Virus Represents a Promising Adjuvant Therapeutic Against Viral Survival. </w:t>
      </w:r>
      <w:proofErr w:type="spellStart"/>
      <w:r w:rsidRPr="00D7475E">
        <w:rPr>
          <w:rFonts w:ascii="Book Antiqua" w:hAnsi="Book Antiqua"/>
          <w:i/>
          <w:iCs/>
        </w:rPr>
        <w:t>Curr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Microbiol</w:t>
      </w:r>
      <w:proofErr w:type="spellEnd"/>
      <w:r w:rsidRPr="00D7475E">
        <w:rPr>
          <w:rFonts w:ascii="Book Antiqua" w:hAnsi="Book Antiqua"/>
          <w:i/>
          <w:iCs/>
        </w:rPr>
        <w:t xml:space="preserve"> Rep</w:t>
      </w:r>
      <w:r w:rsidRPr="00D7475E">
        <w:rPr>
          <w:rFonts w:ascii="Book Antiqua" w:hAnsi="Book Antiqua"/>
        </w:rPr>
        <w:t> 2020: 1-7 [PMID: 32318324 DOI: 10.1007/s40588-020-00140-w]</w:t>
      </w:r>
    </w:p>
    <w:p w14:paraId="7022A98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100 </w:t>
      </w:r>
      <w:r w:rsidRPr="00D7475E">
        <w:rPr>
          <w:rFonts w:ascii="Book Antiqua" w:hAnsi="Book Antiqua"/>
          <w:b/>
          <w:bCs/>
        </w:rPr>
        <w:t>Fedele D</w:t>
      </w:r>
      <w:r w:rsidRPr="00D7475E">
        <w:rPr>
          <w:rFonts w:ascii="Book Antiqua" w:hAnsi="Book Antiqua"/>
        </w:rPr>
        <w:t xml:space="preserve">, De Francesco A, </w:t>
      </w:r>
      <w:proofErr w:type="spellStart"/>
      <w:r w:rsidRPr="00D7475E">
        <w:rPr>
          <w:rFonts w:ascii="Book Antiqua" w:hAnsi="Book Antiqua"/>
        </w:rPr>
        <w:t>Riso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Collo</w:t>
      </w:r>
      <w:proofErr w:type="spellEnd"/>
      <w:r w:rsidRPr="00D7475E">
        <w:rPr>
          <w:rFonts w:ascii="Book Antiqua" w:hAnsi="Book Antiqua"/>
        </w:rPr>
        <w:t xml:space="preserve"> A. Obesity, malnutrition, and trace element deficiency in the coronavirus disease (COVID-19) pandemic: An overview. </w:t>
      </w:r>
      <w:r w:rsidRPr="00D7475E">
        <w:rPr>
          <w:rFonts w:ascii="Book Antiqua" w:hAnsi="Book Antiqua"/>
          <w:i/>
          <w:iCs/>
        </w:rPr>
        <w:t>Nutrition</w:t>
      </w:r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81</w:t>
      </w:r>
      <w:r w:rsidRPr="00D7475E">
        <w:rPr>
          <w:rFonts w:ascii="Book Antiqua" w:hAnsi="Book Antiqua"/>
        </w:rPr>
        <w:t>: 111016 [PMID: 33059127 DOI: 10.1016/j.nut.2020.111016]</w:t>
      </w:r>
    </w:p>
    <w:p w14:paraId="7CCF368C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101 </w:t>
      </w:r>
      <w:proofErr w:type="spellStart"/>
      <w:r w:rsidRPr="00D7475E">
        <w:rPr>
          <w:rFonts w:ascii="Book Antiqua" w:hAnsi="Book Antiqua"/>
          <w:b/>
          <w:bCs/>
        </w:rPr>
        <w:t>Hutasoit</w:t>
      </w:r>
      <w:proofErr w:type="spellEnd"/>
      <w:r w:rsidRPr="00D7475E">
        <w:rPr>
          <w:rFonts w:ascii="Book Antiqua" w:hAnsi="Book Antiqua"/>
          <w:b/>
          <w:bCs/>
        </w:rPr>
        <w:t xml:space="preserve"> N</w:t>
      </w:r>
      <w:r w:rsidRPr="00D7475E">
        <w:rPr>
          <w:rFonts w:ascii="Book Antiqua" w:hAnsi="Book Antiqua"/>
        </w:rPr>
        <w:t xml:space="preserve">, Kennedy B, Hamilton S, </w:t>
      </w:r>
      <w:proofErr w:type="spellStart"/>
      <w:r w:rsidRPr="00D7475E">
        <w:rPr>
          <w:rFonts w:ascii="Book Antiqua" w:hAnsi="Book Antiqua"/>
        </w:rPr>
        <w:t>Luttick</w:t>
      </w:r>
      <w:proofErr w:type="spellEnd"/>
      <w:r w:rsidRPr="00D7475E">
        <w:rPr>
          <w:rFonts w:ascii="Book Antiqua" w:hAnsi="Book Antiqua"/>
        </w:rPr>
        <w:t xml:space="preserve"> A, Rahman Rashid RA, </w:t>
      </w:r>
      <w:proofErr w:type="spellStart"/>
      <w:r w:rsidRPr="00D7475E">
        <w:rPr>
          <w:rFonts w:ascii="Book Antiqua" w:hAnsi="Book Antiqua"/>
        </w:rPr>
        <w:t>Palanisamy</w:t>
      </w:r>
      <w:proofErr w:type="spellEnd"/>
      <w:r w:rsidRPr="00D7475E">
        <w:rPr>
          <w:rFonts w:ascii="Book Antiqua" w:hAnsi="Book Antiqua"/>
        </w:rPr>
        <w:t xml:space="preserve"> S. Sars-CoV-2 (COVID-19) inactivation capability of copper-coated touch surface fabricated by cold-spray technology. </w:t>
      </w:r>
      <w:proofErr w:type="spellStart"/>
      <w:r w:rsidRPr="00D7475E">
        <w:rPr>
          <w:rFonts w:ascii="Book Antiqua" w:hAnsi="Book Antiqua"/>
          <w:i/>
          <w:iCs/>
        </w:rPr>
        <w:t>Manuf</w:t>
      </w:r>
      <w:proofErr w:type="spellEnd"/>
      <w:r w:rsidRPr="00D7475E">
        <w:rPr>
          <w:rFonts w:ascii="Book Antiqua" w:hAnsi="Book Antiqua"/>
          <w:i/>
          <w:iCs/>
        </w:rPr>
        <w:t xml:space="preserve"> Lett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25</w:t>
      </w:r>
      <w:r w:rsidRPr="00D7475E">
        <w:rPr>
          <w:rFonts w:ascii="Book Antiqua" w:hAnsi="Book Antiqua"/>
        </w:rPr>
        <w:t>: 93-97 [PMID: 32904558 DOI: 10.1016/j.mfglet.2020.08.007]</w:t>
      </w:r>
    </w:p>
    <w:p w14:paraId="346C9F3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102 </w:t>
      </w:r>
      <w:r w:rsidRPr="00D7475E">
        <w:rPr>
          <w:rFonts w:ascii="Book Antiqua" w:hAnsi="Book Antiqua"/>
          <w:b/>
          <w:bCs/>
        </w:rPr>
        <w:t>Chakravarthy MV</w:t>
      </w:r>
      <w:r w:rsidRPr="00D7475E">
        <w:rPr>
          <w:rFonts w:ascii="Book Antiqua" w:hAnsi="Book Antiqua"/>
        </w:rPr>
        <w:t>, Waddell T, Banerjee R, Guess N. Nutrition and Nonalcoholic Fatty Liver Disease: Current Perspectives. </w:t>
      </w:r>
      <w:r w:rsidRPr="00D7475E">
        <w:rPr>
          <w:rFonts w:ascii="Book Antiqua" w:hAnsi="Book Antiqua"/>
          <w:i/>
          <w:iCs/>
        </w:rPr>
        <w:t>Gastroenterol Clin North Am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49</w:t>
      </w:r>
      <w:r w:rsidRPr="00D7475E">
        <w:rPr>
          <w:rFonts w:ascii="Book Antiqua" w:hAnsi="Book Antiqua"/>
        </w:rPr>
        <w:t>: 63-94 [PMID: 32033765 DOI: 10.1016/j.gtc.2019.09.003]</w:t>
      </w:r>
    </w:p>
    <w:p w14:paraId="462481F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103 </w:t>
      </w:r>
      <w:r w:rsidRPr="00D7475E">
        <w:rPr>
          <w:rFonts w:ascii="Book Antiqua" w:hAnsi="Book Antiqua"/>
          <w:b/>
          <w:bCs/>
        </w:rPr>
        <w:t xml:space="preserve">van </w:t>
      </w:r>
      <w:proofErr w:type="spellStart"/>
      <w:r w:rsidRPr="00D7475E">
        <w:rPr>
          <w:rFonts w:ascii="Book Antiqua" w:hAnsi="Book Antiqua"/>
          <w:b/>
          <w:bCs/>
        </w:rPr>
        <w:t>Doremalen</w:t>
      </w:r>
      <w:proofErr w:type="spellEnd"/>
      <w:r w:rsidRPr="00D7475E">
        <w:rPr>
          <w:rFonts w:ascii="Book Antiqua" w:hAnsi="Book Antiqua"/>
          <w:b/>
          <w:bCs/>
        </w:rPr>
        <w:t xml:space="preserve"> N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Bushmaker</w:t>
      </w:r>
      <w:proofErr w:type="spellEnd"/>
      <w:r w:rsidRPr="00D7475E">
        <w:rPr>
          <w:rFonts w:ascii="Book Antiqua" w:hAnsi="Book Antiqua"/>
        </w:rPr>
        <w:t xml:space="preserve"> T, Morris DH, Holbrook MG, Gamble A, Williamson BN, </w:t>
      </w:r>
      <w:proofErr w:type="spellStart"/>
      <w:r w:rsidRPr="00D7475E">
        <w:rPr>
          <w:rFonts w:ascii="Book Antiqua" w:hAnsi="Book Antiqua"/>
        </w:rPr>
        <w:t>Tamin</w:t>
      </w:r>
      <w:proofErr w:type="spellEnd"/>
      <w:r w:rsidRPr="00D7475E">
        <w:rPr>
          <w:rFonts w:ascii="Book Antiqua" w:hAnsi="Book Antiqua"/>
        </w:rPr>
        <w:t xml:space="preserve"> A, Harcourt JL, Thornburg NJ, Gerber SI, Lloyd-Smith JO, de Wit E, Munster VJ. Aerosol and Surface Stability of SARS-CoV-2 as Compared with SARS-CoV-1. </w:t>
      </w:r>
      <w:r w:rsidRPr="00D7475E">
        <w:rPr>
          <w:rFonts w:ascii="Book Antiqua" w:hAnsi="Book Antiqua"/>
          <w:i/>
          <w:iCs/>
        </w:rPr>
        <w:t xml:space="preserve">N </w:t>
      </w:r>
      <w:proofErr w:type="spellStart"/>
      <w:r w:rsidRPr="00D7475E">
        <w:rPr>
          <w:rFonts w:ascii="Book Antiqua" w:hAnsi="Book Antiqua"/>
          <w:i/>
          <w:iCs/>
        </w:rPr>
        <w:t>Engl</w:t>
      </w:r>
      <w:proofErr w:type="spellEnd"/>
      <w:r w:rsidRPr="00D7475E">
        <w:rPr>
          <w:rFonts w:ascii="Book Antiqua" w:hAnsi="Book Antiqua"/>
          <w:i/>
          <w:iCs/>
        </w:rPr>
        <w:t xml:space="preserve"> J Med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382</w:t>
      </w:r>
      <w:r w:rsidRPr="00D7475E">
        <w:rPr>
          <w:rFonts w:ascii="Book Antiqua" w:hAnsi="Book Antiqua"/>
        </w:rPr>
        <w:t>: 1564-1567 [PMID: 32182409 DOI: 10.1056/NEJMc2004973]</w:t>
      </w:r>
    </w:p>
    <w:p w14:paraId="019A555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104 </w:t>
      </w:r>
      <w:r w:rsidRPr="00D7475E">
        <w:rPr>
          <w:rFonts w:ascii="Book Antiqua" w:hAnsi="Book Antiqua"/>
          <w:b/>
          <w:bCs/>
        </w:rPr>
        <w:t>Yu L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Liou</w:t>
      </w:r>
      <w:proofErr w:type="spellEnd"/>
      <w:r w:rsidRPr="00D7475E">
        <w:rPr>
          <w:rFonts w:ascii="Book Antiqua" w:hAnsi="Book Antiqua"/>
        </w:rPr>
        <w:t xml:space="preserve"> IW, Biggins SW, </w:t>
      </w:r>
      <w:proofErr w:type="spellStart"/>
      <w:r w:rsidRPr="00D7475E">
        <w:rPr>
          <w:rFonts w:ascii="Book Antiqua" w:hAnsi="Book Antiqua"/>
        </w:rPr>
        <w:t>Yeh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Jalikis</w:t>
      </w:r>
      <w:proofErr w:type="spellEnd"/>
      <w:r w:rsidRPr="00D7475E">
        <w:rPr>
          <w:rFonts w:ascii="Book Antiqua" w:hAnsi="Book Antiqua"/>
        </w:rPr>
        <w:t xml:space="preserve"> F, Chan LN, Burkhead J. Copper Deficiency in Liver Diseases: A Case Series and Pathophysiological Considerations. </w:t>
      </w:r>
      <w:proofErr w:type="spellStart"/>
      <w:r w:rsidRPr="00D7475E">
        <w:rPr>
          <w:rFonts w:ascii="Book Antiqua" w:hAnsi="Book Antiqua"/>
          <w:i/>
          <w:iCs/>
        </w:rPr>
        <w:t>Hepatol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Commun</w:t>
      </w:r>
      <w:proofErr w:type="spellEnd"/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3</w:t>
      </w:r>
      <w:r w:rsidRPr="00D7475E">
        <w:rPr>
          <w:rFonts w:ascii="Book Antiqua" w:hAnsi="Book Antiqua"/>
        </w:rPr>
        <w:t>: 1159-1165 [PMID: 31388635 DOI: 10.1002/hep4.1393]</w:t>
      </w:r>
    </w:p>
    <w:p w14:paraId="18C8D36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105 </w:t>
      </w:r>
      <w:proofErr w:type="spellStart"/>
      <w:r w:rsidRPr="00D7475E">
        <w:rPr>
          <w:rFonts w:ascii="Book Antiqua" w:hAnsi="Book Antiqua"/>
          <w:b/>
          <w:bCs/>
        </w:rPr>
        <w:t>Altarelli</w:t>
      </w:r>
      <w:proofErr w:type="spellEnd"/>
      <w:r w:rsidRPr="00D7475E">
        <w:rPr>
          <w:rFonts w:ascii="Book Antiqua" w:hAnsi="Book Antiqua"/>
          <w:b/>
          <w:bCs/>
        </w:rPr>
        <w:t xml:space="preserve"> M</w:t>
      </w:r>
      <w:r w:rsidRPr="00D7475E">
        <w:rPr>
          <w:rFonts w:ascii="Book Antiqua" w:hAnsi="Book Antiqua"/>
        </w:rPr>
        <w:t>, Ben-</w:t>
      </w:r>
      <w:proofErr w:type="spellStart"/>
      <w:r w:rsidRPr="00D7475E">
        <w:rPr>
          <w:rFonts w:ascii="Book Antiqua" w:hAnsi="Book Antiqua"/>
        </w:rPr>
        <w:t>Hamouda</w:t>
      </w:r>
      <w:proofErr w:type="spellEnd"/>
      <w:r w:rsidRPr="00D7475E">
        <w:rPr>
          <w:rFonts w:ascii="Book Antiqua" w:hAnsi="Book Antiqua"/>
        </w:rPr>
        <w:t xml:space="preserve"> N, Schneider A, Berger MM. Copper Deficiency: Causes, Manifestations, and Treatment. 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Pract</w:t>
      </w:r>
      <w:proofErr w:type="spellEnd"/>
      <w:r w:rsidRPr="00D7475E">
        <w:rPr>
          <w:rFonts w:ascii="Book Antiqua" w:hAnsi="Book Antiqua"/>
        </w:rPr>
        <w:t> 2019; </w:t>
      </w:r>
      <w:r w:rsidRPr="00D7475E">
        <w:rPr>
          <w:rFonts w:ascii="Book Antiqua" w:hAnsi="Book Antiqua"/>
          <w:b/>
          <w:bCs/>
        </w:rPr>
        <w:t>34</w:t>
      </w:r>
      <w:r w:rsidRPr="00D7475E">
        <w:rPr>
          <w:rFonts w:ascii="Book Antiqua" w:hAnsi="Book Antiqua"/>
        </w:rPr>
        <w:t>: 504-513 [PMID: 31209935 DOI: 10.1002/ncp.10328]</w:t>
      </w:r>
    </w:p>
    <w:p w14:paraId="6B64013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106 </w:t>
      </w:r>
      <w:r w:rsidRPr="00D7475E">
        <w:rPr>
          <w:rFonts w:ascii="Book Antiqua" w:hAnsi="Book Antiqua"/>
          <w:b/>
          <w:bCs/>
        </w:rPr>
        <w:t>Raha S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Mallick</w:t>
      </w:r>
      <w:proofErr w:type="spellEnd"/>
      <w:r w:rsidRPr="00D7475E">
        <w:rPr>
          <w:rFonts w:ascii="Book Antiqua" w:hAnsi="Book Antiqua"/>
        </w:rPr>
        <w:t xml:space="preserve"> R, </w:t>
      </w:r>
      <w:proofErr w:type="spellStart"/>
      <w:r w:rsidRPr="00D7475E">
        <w:rPr>
          <w:rFonts w:ascii="Book Antiqua" w:hAnsi="Book Antiqua"/>
        </w:rPr>
        <w:t>Basak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Duttaroy</w:t>
      </w:r>
      <w:proofErr w:type="spellEnd"/>
      <w:r w:rsidRPr="00D7475E">
        <w:rPr>
          <w:rFonts w:ascii="Book Antiqua" w:hAnsi="Book Antiqua"/>
        </w:rPr>
        <w:t xml:space="preserve"> AK. Is copper beneficial for COVID-19 patients? </w:t>
      </w:r>
      <w:r w:rsidRPr="00D7475E">
        <w:rPr>
          <w:rFonts w:ascii="Book Antiqua" w:hAnsi="Book Antiqua"/>
          <w:i/>
          <w:iCs/>
        </w:rPr>
        <w:t>Med Hypotheses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142</w:t>
      </w:r>
      <w:r w:rsidRPr="00D7475E">
        <w:rPr>
          <w:rFonts w:ascii="Book Antiqua" w:hAnsi="Book Antiqua"/>
        </w:rPr>
        <w:t>: 109814 [PMID: 32388476 DOI: 10.1016/j.mehy.2020.109814]</w:t>
      </w:r>
    </w:p>
    <w:p w14:paraId="768FBA0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107 </w:t>
      </w:r>
      <w:r w:rsidRPr="00D7475E">
        <w:rPr>
          <w:rFonts w:ascii="Book Antiqua" w:hAnsi="Book Antiqua"/>
          <w:b/>
          <w:bCs/>
        </w:rPr>
        <w:t>Wallace TC</w:t>
      </w:r>
      <w:r w:rsidRPr="00D7475E">
        <w:rPr>
          <w:rFonts w:ascii="Book Antiqua" w:hAnsi="Book Antiqua"/>
        </w:rPr>
        <w:t>. Combating COVID-19 and Building Immune Resilience: A Potential Role for Magnesium Nutrition? </w:t>
      </w:r>
      <w:r w:rsidRPr="00D7475E">
        <w:rPr>
          <w:rFonts w:ascii="Book Antiqua" w:hAnsi="Book Antiqua"/>
          <w:i/>
          <w:iCs/>
        </w:rPr>
        <w:t xml:space="preserve">J Am </w:t>
      </w:r>
      <w:proofErr w:type="spellStart"/>
      <w:r w:rsidRPr="00D7475E">
        <w:rPr>
          <w:rFonts w:ascii="Book Antiqua" w:hAnsi="Book Antiqua"/>
          <w:i/>
          <w:iCs/>
        </w:rPr>
        <w:t>Coll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39</w:t>
      </w:r>
      <w:r w:rsidRPr="00D7475E">
        <w:rPr>
          <w:rFonts w:ascii="Book Antiqua" w:hAnsi="Book Antiqua"/>
        </w:rPr>
        <w:t>: 685-693 [PMID: 32649272 DOI: 10.1080/07315724.2020.1785971]</w:t>
      </w:r>
    </w:p>
    <w:p w14:paraId="02E006A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108 </w:t>
      </w:r>
      <w:proofErr w:type="spellStart"/>
      <w:r w:rsidRPr="00D7475E">
        <w:rPr>
          <w:rFonts w:ascii="Book Antiqua" w:hAnsi="Book Antiqua"/>
          <w:b/>
          <w:bCs/>
        </w:rPr>
        <w:t>Iotti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>, Wolf F, Mazur A, Maier JA. The COVID-19 pandemic: is there a role for magnesium? Hypotheses and perspectives. </w:t>
      </w:r>
      <w:proofErr w:type="spellStart"/>
      <w:r w:rsidRPr="00D7475E">
        <w:rPr>
          <w:rFonts w:ascii="Book Antiqua" w:hAnsi="Book Antiqua"/>
          <w:i/>
          <w:iCs/>
        </w:rPr>
        <w:t>Magnes</w:t>
      </w:r>
      <w:proofErr w:type="spellEnd"/>
      <w:r w:rsidRPr="00D7475E">
        <w:rPr>
          <w:rFonts w:ascii="Book Antiqua" w:hAnsi="Book Antiqua"/>
          <w:i/>
          <w:iCs/>
        </w:rPr>
        <w:t xml:space="preserve"> Res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33</w:t>
      </w:r>
      <w:r w:rsidRPr="00D7475E">
        <w:rPr>
          <w:rFonts w:ascii="Book Antiqua" w:hAnsi="Book Antiqua"/>
        </w:rPr>
        <w:t>: 21-27 [PMID: 32554340 DOI: 10.1684/mrh.2020.0465]</w:t>
      </w:r>
    </w:p>
    <w:p w14:paraId="676B9DAA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109 </w:t>
      </w:r>
      <w:r w:rsidRPr="00D7475E">
        <w:rPr>
          <w:rFonts w:ascii="Book Antiqua" w:hAnsi="Book Antiqua"/>
          <w:b/>
          <w:bCs/>
        </w:rPr>
        <w:t>Annunziata G</w:t>
      </w:r>
      <w:r w:rsidRPr="00D7475E">
        <w:rPr>
          <w:rFonts w:ascii="Book Antiqua" w:hAnsi="Book Antiqua"/>
        </w:rPr>
        <w:t>, Jiménez-</w:t>
      </w:r>
      <w:proofErr w:type="spellStart"/>
      <w:r w:rsidRPr="00D7475E">
        <w:rPr>
          <w:rFonts w:ascii="Book Antiqua" w:hAnsi="Book Antiqua"/>
        </w:rPr>
        <w:t>García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Capó</w:t>
      </w:r>
      <w:proofErr w:type="spellEnd"/>
      <w:r w:rsidRPr="00D7475E">
        <w:rPr>
          <w:rFonts w:ascii="Book Antiqua" w:hAnsi="Book Antiqua"/>
        </w:rPr>
        <w:t xml:space="preserve"> X, </w:t>
      </w:r>
      <w:proofErr w:type="spellStart"/>
      <w:r w:rsidRPr="00D7475E">
        <w:rPr>
          <w:rFonts w:ascii="Book Antiqua" w:hAnsi="Book Antiqua"/>
        </w:rPr>
        <w:t>Moranta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Arnone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Tenore</w:t>
      </w:r>
      <w:proofErr w:type="spellEnd"/>
      <w:r w:rsidRPr="00D7475E">
        <w:rPr>
          <w:rFonts w:ascii="Book Antiqua" w:hAnsi="Book Antiqua"/>
        </w:rPr>
        <w:t xml:space="preserve"> GC, </w:t>
      </w:r>
      <w:proofErr w:type="spellStart"/>
      <w:r w:rsidRPr="00D7475E">
        <w:rPr>
          <w:rFonts w:ascii="Book Antiqua" w:hAnsi="Book Antiqua"/>
        </w:rPr>
        <w:t>Sureda</w:t>
      </w:r>
      <w:proofErr w:type="spellEnd"/>
      <w:r w:rsidRPr="00D7475E">
        <w:rPr>
          <w:rFonts w:ascii="Book Antiqua" w:hAnsi="Book Antiqua"/>
        </w:rPr>
        <w:t xml:space="preserve"> A, Tejada S. Microencapsulation as a tool to counteract the typical low bioavailability of polyphenols in the management of diabetes. </w:t>
      </w:r>
      <w:r w:rsidRPr="00D7475E">
        <w:rPr>
          <w:rFonts w:ascii="Book Antiqua" w:hAnsi="Book Antiqua"/>
          <w:i/>
          <w:iCs/>
        </w:rPr>
        <w:t xml:space="preserve">Food </w:t>
      </w:r>
      <w:proofErr w:type="spellStart"/>
      <w:r w:rsidRPr="00D7475E">
        <w:rPr>
          <w:rFonts w:ascii="Book Antiqua" w:hAnsi="Book Antiqua"/>
          <w:i/>
          <w:iCs/>
        </w:rPr>
        <w:t>Chem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Toxicol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139</w:t>
      </w:r>
      <w:r w:rsidRPr="00D7475E">
        <w:rPr>
          <w:rFonts w:ascii="Book Antiqua" w:hAnsi="Book Antiqua"/>
        </w:rPr>
        <w:t>: 111248 [PMID: 32156568 DOI: 10.1016/j.fct.2020.111248]</w:t>
      </w:r>
    </w:p>
    <w:p w14:paraId="268C65AB" w14:textId="1B9F4CE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110 </w:t>
      </w:r>
      <w:proofErr w:type="spellStart"/>
      <w:r w:rsidRPr="00D7475E">
        <w:rPr>
          <w:rFonts w:ascii="Book Antiqua" w:hAnsi="Book Antiqua"/>
          <w:b/>
          <w:bCs/>
        </w:rPr>
        <w:t>Utomo</w:t>
      </w:r>
      <w:proofErr w:type="spellEnd"/>
      <w:r w:rsidRPr="00D7475E">
        <w:rPr>
          <w:rFonts w:ascii="Book Antiqua" w:hAnsi="Book Antiqua"/>
          <w:b/>
          <w:bCs/>
        </w:rPr>
        <w:t xml:space="preserve"> RY,</w:t>
      </w:r>
      <w:r w:rsidRPr="00D7475E">
        <w:rPr>
          <w:rFonts w:ascii="Book Antiqua" w:hAnsi="Book Antiqua"/>
        </w:rPr>
        <w:t> </w:t>
      </w:r>
      <w:proofErr w:type="spellStart"/>
      <w:r w:rsidRPr="00D7475E">
        <w:rPr>
          <w:rFonts w:ascii="Book Antiqua" w:hAnsi="Book Antiqua"/>
        </w:rPr>
        <w:t>Ikawati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Meiyanto</w:t>
      </w:r>
      <w:proofErr w:type="spellEnd"/>
      <w:r w:rsidRPr="00D7475E">
        <w:rPr>
          <w:rFonts w:ascii="Book Antiqua" w:hAnsi="Book Antiqua"/>
        </w:rPr>
        <w:t xml:space="preserve"> E. Revealing the Potency of Citrus and Galangal Constituents to Halt SARS-CoV-2 Infection. 2020 Preprint. Available from: Preprints</w:t>
      </w:r>
      <w:r w:rsidR="0038528C" w:rsidRPr="00D7475E">
        <w:rPr>
          <w:rFonts w:ascii="Book Antiqua" w:hAnsi="Book Antiqua"/>
        </w:rPr>
        <w:t>:</w:t>
      </w:r>
      <w:r w:rsidRPr="00D7475E">
        <w:rPr>
          <w:rFonts w:ascii="Book Antiqua" w:hAnsi="Book Antiqua"/>
        </w:rPr>
        <w:t xml:space="preserve"> 2020030214 [DOI: 10.20944/preprints202003.0214.v1]</w:t>
      </w:r>
    </w:p>
    <w:p w14:paraId="7325129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111 </w:t>
      </w:r>
      <w:r w:rsidRPr="00D7475E">
        <w:rPr>
          <w:rFonts w:ascii="Book Antiqua" w:hAnsi="Book Antiqua"/>
          <w:b/>
          <w:bCs/>
        </w:rPr>
        <w:t>Yi L</w:t>
      </w:r>
      <w:r w:rsidRPr="00D7475E">
        <w:rPr>
          <w:rFonts w:ascii="Book Antiqua" w:hAnsi="Book Antiqua"/>
        </w:rPr>
        <w:t xml:space="preserve">, Li Z, Yuan K, Qu X, Chen J, Wang G, Zhang H, Luo H, Zhu L, Jiang P, Chen L, Shen Y, Luo M, </w:t>
      </w:r>
      <w:proofErr w:type="spellStart"/>
      <w:r w:rsidRPr="00D7475E">
        <w:rPr>
          <w:rFonts w:ascii="Book Antiqua" w:hAnsi="Book Antiqua"/>
        </w:rPr>
        <w:t>Zuo</w:t>
      </w:r>
      <w:proofErr w:type="spellEnd"/>
      <w:r w:rsidRPr="00D7475E">
        <w:rPr>
          <w:rFonts w:ascii="Book Antiqua" w:hAnsi="Book Antiqua"/>
        </w:rPr>
        <w:t xml:space="preserve"> G, Hu J, </w:t>
      </w:r>
      <w:proofErr w:type="spellStart"/>
      <w:r w:rsidRPr="00D7475E">
        <w:rPr>
          <w:rFonts w:ascii="Book Antiqua" w:hAnsi="Book Antiqua"/>
        </w:rPr>
        <w:t>Duan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Nie</w:t>
      </w:r>
      <w:proofErr w:type="spellEnd"/>
      <w:r w:rsidRPr="00D7475E">
        <w:rPr>
          <w:rFonts w:ascii="Book Antiqua" w:hAnsi="Book Antiqua"/>
        </w:rPr>
        <w:t xml:space="preserve"> Y, Shi X, Wang W, Han Y, Li T, Liu Y, Ding M, Deng H, Xu X. Small molecules blocking the entry of severe acute respiratory syndrome coronavirus into host cells. </w:t>
      </w:r>
      <w:r w:rsidRPr="00D7475E">
        <w:rPr>
          <w:rFonts w:ascii="Book Antiqua" w:hAnsi="Book Antiqua"/>
          <w:i/>
          <w:iCs/>
        </w:rPr>
        <w:t xml:space="preserve">J </w:t>
      </w:r>
      <w:proofErr w:type="spellStart"/>
      <w:r w:rsidRPr="00D7475E">
        <w:rPr>
          <w:rFonts w:ascii="Book Antiqua" w:hAnsi="Book Antiqua"/>
          <w:i/>
          <w:iCs/>
        </w:rPr>
        <w:t>Virol</w:t>
      </w:r>
      <w:proofErr w:type="spellEnd"/>
      <w:r w:rsidRPr="00D7475E">
        <w:rPr>
          <w:rFonts w:ascii="Book Antiqua" w:hAnsi="Book Antiqua"/>
        </w:rPr>
        <w:t> 2004; </w:t>
      </w:r>
      <w:r w:rsidRPr="00D7475E">
        <w:rPr>
          <w:rFonts w:ascii="Book Antiqua" w:hAnsi="Book Antiqua"/>
          <w:b/>
          <w:bCs/>
        </w:rPr>
        <w:t>78</w:t>
      </w:r>
      <w:r w:rsidRPr="00D7475E">
        <w:rPr>
          <w:rFonts w:ascii="Book Antiqua" w:hAnsi="Book Antiqua"/>
        </w:rPr>
        <w:t>: 11334-11339 [PMID: 15452254 DOI: 10.1128/JVI.78.20.11334-11339.2004]</w:t>
      </w:r>
    </w:p>
    <w:p w14:paraId="7047BB1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112 </w:t>
      </w:r>
      <w:r w:rsidRPr="00D7475E">
        <w:rPr>
          <w:rFonts w:ascii="Book Antiqua" w:hAnsi="Book Antiqua"/>
          <w:b/>
          <w:bCs/>
        </w:rPr>
        <w:t>Ho TY</w:t>
      </w:r>
      <w:r w:rsidRPr="00D7475E">
        <w:rPr>
          <w:rFonts w:ascii="Book Antiqua" w:hAnsi="Book Antiqua"/>
        </w:rPr>
        <w:t>, Wu SL, Chen JC, Li CC, Hsiang CY. Emodin blocks the SARS coronavirus spike protein and angiotensin-converting enzyme 2 interaction. </w:t>
      </w:r>
      <w:r w:rsidRPr="00D7475E">
        <w:rPr>
          <w:rFonts w:ascii="Book Antiqua" w:hAnsi="Book Antiqua"/>
          <w:i/>
          <w:iCs/>
        </w:rPr>
        <w:t>Antiviral Res</w:t>
      </w:r>
      <w:r w:rsidRPr="00D7475E">
        <w:rPr>
          <w:rFonts w:ascii="Book Antiqua" w:hAnsi="Book Antiqua"/>
        </w:rPr>
        <w:t> 2007; </w:t>
      </w:r>
      <w:r w:rsidRPr="00D7475E">
        <w:rPr>
          <w:rFonts w:ascii="Book Antiqua" w:hAnsi="Book Antiqua"/>
          <w:b/>
          <w:bCs/>
        </w:rPr>
        <w:t>74</w:t>
      </w:r>
      <w:r w:rsidRPr="00D7475E">
        <w:rPr>
          <w:rFonts w:ascii="Book Antiqua" w:hAnsi="Book Antiqua"/>
        </w:rPr>
        <w:t>: 92-101 [PMID: 16730806 DOI: 10.1016/j.antiviral.2006.04.014]</w:t>
      </w:r>
    </w:p>
    <w:p w14:paraId="0AE077A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113 </w:t>
      </w:r>
      <w:r w:rsidRPr="00D7475E">
        <w:rPr>
          <w:rFonts w:ascii="Book Antiqua" w:hAnsi="Book Antiqua"/>
          <w:b/>
          <w:bCs/>
        </w:rPr>
        <w:t>Jena AB</w:t>
      </w:r>
      <w:r w:rsidRPr="00D7475E">
        <w:rPr>
          <w:rFonts w:ascii="Book Antiqua" w:hAnsi="Book Antiqua"/>
        </w:rPr>
        <w:t xml:space="preserve">, Kanungo N, </w:t>
      </w:r>
      <w:proofErr w:type="spellStart"/>
      <w:r w:rsidRPr="00D7475E">
        <w:rPr>
          <w:rFonts w:ascii="Book Antiqua" w:hAnsi="Book Antiqua"/>
        </w:rPr>
        <w:t>Nayak</w:t>
      </w:r>
      <w:proofErr w:type="spellEnd"/>
      <w:r w:rsidRPr="00D7475E">
        <w:rPr>
          <w:rFonts w:ascii="Book Antiqua" w:hAnsi="Book Antiqua"/>
        </w:rPr>
        <w:t xml:space="preserve"> V, </w:t>
      </w:r>
      <w:proofErr w:type="spellStart"/>
      <w:r w:rsidRPr="00D7475E">
        <w:rPr>
          <w:rFonts w:ascii="Book Antiqua" w:hAnsi="Book Antiqua"/>
        </w:rPr>
        <w:t>Chainy</w:t>
      </w:r>
      <w:proofErr w:type="spellEnd"/>
      <w:r w:rsidRPr="00D7475E">
        <w:rPr>
          <w:rFonts w:ascii="Book Antiqua" w:hAnsi="Book Antiqua"/>
        </w:rPr>
        <w:t xml:space="preserve"> GBN, </w:t>
      </w:r>
      <w:proofErr w:type="spellStart"/>
      <w:r w:rsidRPr="00D7475E">
        <w:rPr>
          <w:rFonts w:ascii="Book Antiqua" w:hAnsi="Book Antiqua"/>
        </w:rPr>
        <w:t>Dandapat</w:t>
      </w:r>
      <w:proofErr w:type="spellEnd"/>
      <w:r w:rsidRPr="00D7475E">
        <w:rPr>
          <w:rFonts w:ascii="Book Antiqua" w:hAnsi="Book Antiqua"/>
        </w:rPr>
        <w:t xml:space="preserve"> J. Catechin and curcumin interact with S protein of SARS-CoV2 and ACE2 of human cell membrane: insights from computational studies. </w:t>
      </w:r>
      <w:r w:rsidRPr="00D7475E">
        <w:rPr>
          <w:rFonts w:ascii="Book Antiqua" w:hAnsi="Book Antiqua"/>
          <w:i/>
          <w:iCs/>
        </w:rPr>
        <w:t>Sci Rep</w:t>
      </w:r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11</w:t>
      </w:r>
      <w:r w:rsidRPr="00D7475E">
        <w:rPr>
          <w:rFonts w:ascii="Book Antiqua" w:hAnsi="Book Antiqua"/>
        </w:rPr>
        <w:t>: 2043 [PMID: 33479401 DOI: 10.1038/s41598-021-81462-7]</w:t>
      </w:r>
    </w:p>
    <w:p w14:paraId="605A507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114 </w:t>
      </w:r>
      <w:proofErr w:type="spellStart"/>
      <w:r w:rsidRPr="00D7475E">
        <w:rPr>
          <w:rFonts w:ascii="Book Antiqua" w:hAnsi="Book Antiqua"/>
          <w:b/>
          <w:bCs/>
        </w:rPr>
        <w:t>Nikpoor</w:t>
      </w:r>
      <w:proofErr w:type="spellEnd"/>
      <w:r w:rsidRPr="00D7475E">
        <w:rPr>
          <w:rFonts w:ascii="Book Antiqua" w:hAnsi="Book Antiqua"/>
          <w:b/>
          <w:bCs/>
        </w:rPr>
        <w:t xml:space="preserve"> AR</w:t>
      </w:r>
      <w:r w:rsidRPr="00D7475E">
        <w:rPr>
          <w:rFonts w:ascii="Book Antiqua" w:hAnsi="Book Antiqua"/>
        </w:rPr>
        <w:t>. Evaluation of the effect of nano micelles containing curcumin (</w:t>
      </w:r>
      <w:proofErr w:type="spellStart"/>
      <w:r w:rsidRPr="00D7475E">
        <w:rPr>
          <w:rFonts w:ascii="Book Antiqua" w:hAnsi="Book Antiqua"/>
        </w:rPr>
        <w:t>Sina</w:t>
      </w:r>
      <w:proofErr w:type="spellEnd"/>
      <w:r w:rsidRPr="00D7475E">
        <w:rPr>
          <w:rFonts w:ascii="Book Antiqua" w:hAnsi="Book Antiqua"/>
        </w:rPr>
        <w:t xml:space="preserve"> </w:t>
      </w:r>
      <w:proofErr w:type="spellStart"/>
      <w:r w:rsidRPr="00D7475E">
        <w:rPr>
          <w:rFonts w:ascii="Book Antiqua" w:hAnsi="Book Antiqua"/>
        </w:rPr>
        <w:t>Ccurcumin</w:t>
      </w:r>
      <w:proofErr w:type="spellEnd"/>
      <w:r w:rsidRPr="00D7475E">
        <w:rPr>
          <w:rFonts w:ascii="Book Antiqua" w:hAnsi="Book Antiqua"/>
        </w:rPr>
        <w:t xml:space="preserve">) as a therapeutic supplement in patients with COVID-19 and investigating of immune responses balance changes following treatment: A randomized double blind clinical trial. [accessed 2020 Dec 15] In: IRCT.ir/trial/ [Internet]. Teheran: Iranian </w:t>
      </w:r>
      <w:r w:rsidRPr="00D7475E">
        <w:rPr>
          <w:rFonts w:ascii="Book Antiqua" w:hAnsi="Book Antiqua"/>
        </w:rPr>
        <w:lastRenderedPageBreak/>
        <w:t>Registry of Clinical Trails. Available from: https://www.irct.ir/trial/48843 IRCT registration number: IRCT20200611047735N1</w:t>
      </w:r>
    </w:p>
    <w:p w14:paraId="03CD3A6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115 </w:t>
      </w:r>
      <w:r w:rsidRPr="00D7475E">
        <w:rPr>
          <w:rFonts w:ascii="Book Antiqua" w:hAnsi="Book Antiqua"/>
          <w:b/>
          <w:bCs/>
        </w:rPr>
        <w:t xml:space="preserve">Askari G. </w:t>
      </w:r>
      <w:r w:rsidRPr="00D7475E">
        <w:rPr>
          <w:rFonts w:ascii="Book Antiqua" w:hAnsi="Book Antiqua"/>
        </w:rPr>
        <w:t>Effect of curcumin-</w:t>
      </w:r>
      <w:proofErr w:type="spellStart"/>
      <w:r w:rsidRPr="00D7475E">
        <w:rPr>
          <w:rFonts w:ascii="Book Antiqua" w:hAnsi="Book Antiqua"/>
        </w:rPr>
        <w:t>piperine</w:t>
      </w:r>
      <w:proofErr w:type="spellEnd"/>
      <w:r w:rsidRPr="00D7475E">
        <w:rPr>
          <w:rFonts w:ascii="Book Antiqua" w:hAnsi="Book Antiqua"/>
        </w:rPr>
        <w:t xml:space="preserve"> supplementation on disease duration, severity and clinical signs, and inflammatory factors in patients with coronavirus (COVID-19): A randomized, double-blind, placebo-controlled clinical trial study. [accessed 2020 Dec 15] In: IRCT.ir/trial/ [Internet]. Teheran: Iranian Registry of Clinical Trails. Available from: https://www.irct.ir/trial/47529 IRCT registration number: IRCT20121216011763N46</w:t>
      </w:r>
    </w:p>
    <w:p w14:paraId="73452C3F" w14:textId="7D8F5104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 xml:space="preserve">116 </w:t>
      </w:r>
      <w:r w:rsidRPr="00D7475E">
        <w:rPr>
          <w:rFonts w:ascii="Book Antiqua" w:hAnsi="Book Antiqua"/>
          <w:b/>
          <w:bCs/>
        </w:rPr>
        <w:t>Salem K.</w:t>
      </w:r>
      <w:r w:rsidRPr="00D7475E">
        <w:rPr>
          <w:rFonts w:ascii="Book Antiqua" w:hAnsi="Book Antiqua"/>
        </w:rPr>
        <w:t xml:space="preserve"> Silymarin in COVID-19 Pneumonia (SCOPE)</w:t>
      </w:r>
      <w:r w:rsidR="00C064F9" w:rsidRPr="00D7475E">
        <w:rPr>
          <w:rFonts w:ascii="Book Antiqua" w:hAnsi="Book Antiqua"/>
        </w:rPr>
        <w:t>.</w:t>
      </w:r>
      <w:r w:rsidRPr="00D7475E">
        <w:rPr>
          <w:rFonts w:ascii="Book Antiqua" w:hAnsi="Book Antiqua"/>
        </w:rPr>
        <w:t xml:space="preserve"> [accessed 2020 Dec 15]. In: ClinicalTrials.gov [Internet]. Bethesda (MD): U.S. National Library of Medicine. Available from: https://clinicaltrials.gov/ct2/show/NCT04394208 ClinicalTrials.gov Identifier: NCT04394208</w:t>
      </w:r>
    </w:p>
    <w:p w14:paraId="3FBF4FA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117 </w:t>
      </w:r>
      <w:r w:rsidRPr="00D7475E">
        <w:rPr>
          <w:rFonts w:ascii="Book Antiqua" w:hAnsi="Book Antiqua"/>
          <w:b/>
          <w:bCs/>
        </w:rPr>
        <w:t>Sun J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Aghemo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Forner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Valenti</w:t>
      </w:r>
      <w:proofErr w:type="spellEnd"/>
      <w:r w:rsidRPr="00D7475E">
        <w:rPr>
          <w:rFonts w:ascii="Book Antiqua" w:hAnsi="Book Antiqua"/>
        </w:rPr>
        <w:t xml:space="preserve"> L. COVID-19 and liver disease. </w:t>
      </w:r>
      <w:r w:rsidRPr="00D7475E">
        <w:rPr>
          <w:rFonts w:ascii="Book Antiqua" w:hAnsi="Book Antiqua"/>
          <w:i/>
          <w:iCs/>
        </w:rPr>
        <w:t>Liver Int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40</w:t>
      </w:r>
      <w:r w:rsidRPr="00D7475E">
        <w:rPr>
          <w:rFonts w:ascii="Book Antiqua" w:hAnsi="Book Antiqua"/>
        </w:rPr>
        <w:t>: 1278-1281 [PMID: 32251539 DOI: 10.1111/liv.14470]</w:t>
      </w:r>
    </w:p>
    <w:p w14:paraId="295F3001" w14:textId="4CC63920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118 </w:t>
      </w:r>
      <w:proofErr w:type="spellStart"/>
      <w:r w:rsidRPr="00D7475E">
        <w:rPr>
          <w:rFonts w:ascii="Book Antiqua" w:hAnsi="Book Antiqua"/>
          <w:b/>
          <w:bCs/>
        </w:rPr>
        <w:t>Limanaqi</w:t>
      </w:r>
      <w:proofErr w:type="spellEnd"/>
      <w:r w:rsidRPr="00D7475E">
        <w:rPr>
          <w:rFonts w:ascii="Book Antiqua" w:hAnsi="Book Antiqua"/>
          <w:b/>
          <w:bCs/>
        </w:rPr>
        <w:t xml:space="preserve"> F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Busceti</w:t>
      </w:r>
      <w:proofErr w:type="spellEnd"/>
      <w:r w:rsidRPr="00D7475E">
        <w:rPr>
          <w:rFonts w:ascii="Book Antiqua" w:hAnsi="Book Antiqua"/>
        </w:rPr>
        <w:t xml:space="preserve"> CL, </w:t>
      </w:r>
      <w:proofErr w:type="spellStart"/>
      <w:r w:rsidRPr="00D7475E">
        <w:rPr>
          <w:rFonts w:ascii="Book Antiqua" w:hAnsi="Book Antiqua"/>
        </w:rPr>
        <w:t>Biagioni</w:t>
      </w:r>
      <w:proofErr w:type="spellEnd"/>
      <w:r w:rsidRPr="00D7475E">
        <w:rPr>
          <w:rFonts w:ascii="Book Antiqua" w:hAnsi="Book Antiqua"/>
        </w:rPr>
        <w:t xml:space="preserve"> F, </w:t>
      </w:r>
      <w:proofErr w:type="spellStart"/>
      <w:r w:rsidRPr="00D7475E">
        <w:rPr>
          <w:rFonts w:ascii="Book Antiqua" w:hAnsi="Book Antiqua"/>
        </w:rPr>
        <w:t>Lazzeri</w:t>
      </w:r>
      <w:proofErr w:type="spellEnd"/>
      <w:r w:rsidRPr="00D7475E">
        <w:rPr>
          <w:rFonts w:ascii="Book Antiqua" w:hAnsi="Book Antiqua"/>
        </w:rPr>
        <w:t xml:space="preserve"> G, Forte M, Schiavon S, </w:t>
      </w:r>
      <w:proofErr w:type="spellStart"/>
      <w:r w:rsidRPr="00D7475E">
        <w:rPr>
          <w:rFonts w:ascii="Book Antiqua" w:hAnsi="Book Antiqua"/>
        </w:rPr>
        <w:t>Sciarretta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Frati</w:t>
      </w:r>
      <w:proofErr w:type="spellEnd"/>
      <w:r w:rsidRPr="00D7475E">
        <w:rPr>
          <w:rFonts w:ascii="Book Antiqua" w:hAnsi="Book Antiqua"/>
        </w:rPr>
        <w:t xml:space="preserve"> G, </w:t>
      </w:r>
      <w:proofErr w:type="spellStart"/>
      <w:r w:rsidRPr="00D7475E">
        <w:rPr>
          <w:rFonts w:ascii="Book Antiqua" w:hAnsi="Book Antiqua"/>
        </w:rPr>
        <w:t>Fornai</w:t>
      </w:r>
      <w:proofErr w:type="spellEnd"/>
      <w:r w:rsidRPr="00D7475E">
        <w:rPr>
          <w:rFonts w:ascii="Book Antiqua" w:hAnsi="Book Antiqua"/>
        </w:rPr>
        <w:t xml:space="preserve"> F. Cell Clearing Systems as Targets of Polyphenols in Viral Infections: Potential Implications for COVID-19 Pathogenesis. </w:t>
      </w:r>
      <w:r w:rsidRPr="00D7475E">
        <w:rPr>
          <w:rFonts w:ascii="Book Antiqua" w:hAnsi="Book Antiqua"/>
          <w:i/>
          <w:iCs/>
        </w:rPr>
        <w:t>Antioxidants (Basel)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="00C064F9" w:rsidRPr="00D7475E">
        <w:rPr>
          <w:rFonts w:ascii="Book Antiqua" w:hAnsi="Book Antiqua"/>
        </w:rPr>
        <w:t>: 1105</w:t>
      </w:r>
      <w:r w:rsidRPr="00D7475E">
        <w:rPr>
          <w:rFonts w:ascii="Book Antiqua" w:hAnsi="Book Antiqua"/>
        </w:rPr>
        <w:t> [PMID: 33182802 DOI: 10.3390/antiox9111105]</w:t>
      </w:r>
    </w:p>
    <w:p w14:paraId="43C15FA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D7475E">
        <w:rPr>
          <w:rFonts w:ascii="Book Antiqua" w:hAnsi="Book Antiqua"/>
        </w:rPr>
        <w:t>119 </w:t>
      </w:r>
      <w:proofErr w:type="spellStart"/>
      <w:r w:rsidRPr="00D7475E">
        <w:rPr>
          <w:rFonts w:ascii="Book Antiqua" w:hAnsi="Book Antiqua"/>
          <w:b/>
          <w:bCs/>
        </w:rPr>
        <w:t>Semiz</w:t>
      </w:r>
      <w:proofErr w:type="spellEnd"/>
      <w:r w:rsidRPr="00D7475E">
        <w:rPr>
          <w:rFonts w:ascii="Book Antiqua" w:hAnsi="Book Antiqua"/>
          <w:b/>
          <w:bCs/>
        </w:rPr>
        <w:t xml:space="preserve"> S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Serdarevic</w:t>
      </w:r>
      <w:proofErr w:type="spellEnd"/>
      <w:r w:rsidRPr="00D7475E">
        <w:rPr>
          <w:rFonts w:ascii="Book Antiqua" w:hAnsi="Book Antiqua"/>
        </w:rPr>
        <w:t xml:space="preserve"> F. Prevention and Management of Type 2 Diabetes and Metabolic Syndrome in the Time of COVID-19: Should We Add a Cup of Coffee? </w:t>
      </w:r>
      <w:r w:rsidRPr="00D7475E">
        <w:rPr>
          <w:rFonts w:ascii="Book Antiqua" w:hAnsi="Book Antiqua"/>
          <w:i/>
          <w:iCs/>
          <w:lang w:val="fr-FR"/>
        </w:rPr>
        <w:t>Front Nutr</w:t>
      </w:r>
      <w:r w:rsidRPr="00D7475E">
        <w:rPr>
          <w:rFonts w:ascii="Book Antiqua" w:hAnsi="Book Antiqua"/>
          <w:lang w:val="fr-FR"/>
        </w:rPr>
        <w:t> 2020; </w:t>
      </w:r>
      <w:r w:rsidRPr="00D7475E">
        <w:rPr>
          <w:rFonts w:ascii="Book Antiqua" w:hAnsi="Book Antiqua"/>
          <w:b/>
          <w:bCs/>
          <w:lang w:val="fr-FR"/>
        </w:rPr>
        <w:t>7</w:t>
      </w:r>
      <w:r w:rsidRPr="00D7475E">
        <w:rPr>
          <w:rFonts w:ascii="Book Antiqua" w:hAnsi="Book Antiqua"/>
          <w:lang w:val="fr-FR"/>
        </w:rPr>
        <w:t>: 581680 [PMID: 33123550 DOI: 10.3389/fnut.2020.581680]</w:t>
      </w:r>
    </w:p>
    <w:p w14:paraId="6C7F092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  <w:lang w:val="fr-FR"/>
        </w:rPr>
        <w:t>120 </w:t>
      </w:r>
      <w:r w:rsidRPr="00D7475E">
        <w:rPr>
          <w:rFonts w:ascii="Book Antiqua" w:hAnsi="Book Antiqua"/>
          <w:b/>
          <w:bCs/>
          <w:lang w:val="fr-FR"/>
        </w:rPr>
        <w:t>Paraiso IL</w:t>
      </w:r>
      <w:r w:rsidRPr="00D7475E">
        <w:rPr>
          <w:rFonts w:ascii="Book Antiqua" w:hAnsi="Book Antiqua"/>
          <w:lang w:val="fr-FR"/>
        </w:rPr>
        <w:t xml:space="preserve">, Revel JS, Stevens JF. </w:t>
      </w:r>
      <w:r w:rsidRPr="00D7475E">
        <w:rPr>
          <w:rFonts w:ascii="Book Antiqua" w:hAnsi="Book Antiqua"/>
        </w:rPr>
        <w:t>Potential use of polyphenols in the battle against COVID-19. </w:t>
      </w:r>
      <w:proofErr w:type="spellStart"/>
      <w:r w:rsidRPr="00D7475E">
        <w:rPr>
          <w:rFonts w:ascii="Book Antiqua" w:hAnsi="Book Antiqua"/>
          <w:i/>
          <w:iCs/>
        </w:rPr>
        <w:t>Curr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Opin</w:t>
      </w:r>
      <w:proofErr w:type="spellEnd"/>
      <w:r w:rsidRPr="00D7475E">
        <w:rPr>
          <w:rFonts w:ascii="Book Antiqua" w:hAnsi="Book Antiqua"/>
          <w:i/>
          <w:iCs/>
        </w:rPr>
        <w:t xml:space="preserve"> Food </w:t>
      </w:r>
      <w:proofErr w:type="spellStart"/>
      <w:r w:rsidRPr="00D7475E">
        <w:rPr>
          <w:rFonts w:ascii="Book Antiqua" w:hAnsi="Book Antiqua"/>
          <w:i/>
          <w:iCs/>
        </w:rPr>
        <w:t>Sci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32</w:t>
      </w:r>
      <w:r w:rsidRPr="00D7475E">
        <w:rPr>
          <w:rFonts w:ascii="Book Antiqua" w:hAnsi="Book Antiqua"/>
        </w:rPr>
        <w:t>: 149-155 [PMID: 32923374 DOI: 10.1016/j.cofs.2020.08.004]</w:t>
      </w:r>
    </w:p>
    <w:p w14:paraId="608E9FDD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121 </w:t>
      </w:r>
      <w:proofErr w:type="spellStart"/>
      <w:r w:rsidRPr="00D7475E">
        <w:rPr>
          <w:rFonts w:ascii="Book Antiqua" w:hAnsi="Book Antiqua"/>
          <w:b/>
          <w:bCs/>
        </w:rPr>
        <w:t>Zahedipour</w:t>
      </w:r>
      <w:proofErr w:type="spellEnd"/>
      <w:r w:rsidRPr="00D7475E">
        <w:rPr>
          <w:rFonts w:ascii="Book Antiqua" w:hAnsi="Book Antiqua"/>
          <w:b/>
          <w:bCs/>
        </w:rPr>
        <w:t xml:space="preserve"> F</w:t>
      </w:r>
      <w:r w:rsidRPr="00D7475E">
        <w:rPr>
          <w:rFonts w:ascii="Book Antiqua" w:hAnsi="Book Antiqua"/>
        </w:rPr>
        <w:t xml:space="preserve">, Hosseini SA, </w:t>
      </w:r>
      <w:proofErr w:type="spellStart"/>
      <w:r w:rsidRPr="00D7475E">
        <w:rPr>
          <w:rFonts w:ascii="Book Antiqua" w:hAnsi="Book Antiqua"/>
        </w:rPr>
        <w:t>Sathyapalan</w:t>
      </w:r>
      <w:proofErr w:type="spellEnd"/>
      <w:r w:rsidRPr="00D7475E">
        <w:rPr>
          <w:rFonts w:ascii="Book Antiqua" w:hAnsi="Book Antiqua"/>
        </w:rPr>
        <w:t xml:space="preserve"> T, </w:t>
      </w:r>
      <w:proofErr w:type="spellStart"/>
      <w:r w:rsidRPr="00D7475E">
        <w:rPr>
          <w:rFonts w:ascii="Book Antiqua" w:hAnsi="Book Antiqua"/>
        </w:rPr>
        <w:t>Majeed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Jamialahmadi</w:t>
      </w:r>
      <w:proofErr w:type="spellEnd"/>
      <w:r w:rsidRPr="00D7475E">
        <w:rPr>
          <w:rFonts w:ascii="Book Antiqua" w:hAnsi="Book Antiqua"/>
        </w:rPr>
        <w:t xml:space="preserve"> T, Al-</w:t>
      </w:r>
      <w:proofErr w:type="spellStart"/>
      <w:r w:rsidRPr="00D7475E">
        <w:rPr>
          <w:rFonts w:ascii="Book Antiqua" w:hAnsi="Book Antiqua"/>
        </w:rPr>
        <w:t>Rasadi</w:t>
      </w:r>
      <w:proofErr w:type="spellEnd"/>
      <w:r w:rsidRPr="00D7475E">
        <w:rPr>
          <w:rFonts w:ascii="Book Antiqua" w:hAnsi="Book Antiqua"/>
        </w:rPr>
        <w:t xml:space="preserve"> K, </w:t>
      </w:r>
      <w:proofErr w:type="spellStart"/>
      <w:r w:rsidRPr="00D7475E">
        <w:rPr>
          <w:rFonts w:ascii="Book Antiqua" w:hAnsi="Book Antiqua"/>
        </w:rPr>
        <w:t>Banach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Sahebkar</w:t>
      </w:r>
      <w:proofErr w:type="spellEnd"/>
      <w:r w:rsidRPr="00D7475E">
        <w:rPr>
          <w:rFonts w:ascii="Book Antiqua" w:hAnsi="Book Antiqua"/>
        </w:rPr>
        <w:t xml:space="preserve"> A. Potential effects of curcumin in the treatment of COVID-19 infection. </w:t>
      </w:r>
      <w:proofErr w:type="spellStart"/>
      <w:r w:rsidRPr="00D7475E">
        <w:rPr>
          <w:rFonts w:ascii="Book Antiqua" w:hAnsi="Book Antiqua"/>
          <w:i/>
          <w:iCs/>
        </w:rPr>
        <w:t>Phytother</w:t>
      </w:r>
      <w:proofErr w:type="spellEnd"/>
      <w:r w:rsidRPr="00D7475E">
        <w:rPr>
          <w:rFonts w:ascii="Book Antiqua" w:hAnsi="Book Antiqua"/>
          <w:i/>
          <w:iCs/>
        </w:rPr>
        <w:t xml:space="preserve"> Res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34</w:t>
      </w:r>
      <w:r w:rsidRPr="00D7475E">
        <w:rPr>
          <w:rFonts w:ascii="Book Antiqua" w:hAnsi="Book Antiqua"/>
        </w:rPr>
        <w:t>: 2911-2920 [PMID: 32430996 DOI: 10.1002/ptr.6738]</w:t>
      </w:r>
    </w:p>
    <w:p w14:paraId="5A97CFCE" w14:textId="13AE1F92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122 </w:t>
      </w:r>
      <w:proofErr w:type="spellStart"/>
      <w:r w:rsidRPr="00D7475E">
        <w:rPr>
          <w:rFonts w:ascii="Book Antiqua" w:hAnsi="Book Antiqua"/>
          <w:b/>
          <w:bCs/>
        </w:rPr>
        <w:t>Abenavoli</w:t>
      </w:r>
      <w:proofErr w:type="spellEnd"/>
      <w:r w:rsidRPr="00D7475E">
        <w:rPr>
          <w:rFonts w:ascii="Book Antiqua" w:hAnsi="Book Antiqua"/>
          <w:b/>
          <w:bCs/>
        </w:rPr>
        <w:t xml:space="preserve"> L</w:t>
      </w:r>
      <w:r w:rsidRPr="00D7475E">
        <w:rPr>
          <w:rFonts w:ascii="Book Antiqua" w:hAnsi="Book Antiqua"/>
        </w:rPr>
        <w:t xml:space="preserve">, Greco M, </w:t>
      </w:r>
      <w:proofErr w:type="spellStart"/>
      <w:r w:rsidRPr="00D7475E">
        <w:rPr>
          <w:rFonts w:ascii="Book Antiqua" w:hAnsi="Book Antiqua"/>
        </w:rPr>
        <w:t>Milic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Accattato</w:t>
      </w:r>
      <w:proofErr w:type="spellEnd"/>
      <w:r w:rsidRPr="00D7475E">
        <w:rPr>
          <w:rFonts w:ascii="Book Antiqua" w:hAnsi="Book Antiqua"/>
        </w:rPr>
        <w:t xml:space="preserve"> F, </w:t>
      </w:r>
      <w:proofErr w:type="spellStart"/>
      <w:r w:rsidRPr="00D7475E">
        <w:rPr>
          <w:rFonts w:ascii="Book Antiqua" w:hAnsi="Book Antiqua"/>
        </w:rPr>
        <w:t>Foti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Gulletta</w:t>
      </w:r>
      <w:proofErr w:type="spellEnd"/>
      <w:r w:rsidRPr="00D7475E">
        <w:rPr>
          <w:rFonts w:ascii="Book Antiqua" w:hAnsi="Book Antiqua"/>
        </w:rPr>
        <w:t xml:space="preserve"> E, </w:t>
      </w:r>
      <w:proofErr w:type="spellStart"/>
      <w:r w:rsidRPr="00D7475E">
        <w:rPr>
          <w:rFonts w:ascii="Book Antiqua" w:hAnsi="Book Antiqua"/>
        </w:rPr>
        <w:t>Luzza</w:t>
      </w:r>
      <w:proofErr w:type="spellEnd"/>
      <w:r w:rsidRPr="00D7475E">
        <w:rPr>
          <w:rFonts w:ascii="Book Antiqua" w:hAnsi="Book Antiqua"/>
        </w:rPr>
        <w:t xml:space="preserve"> F. Effect of Mediterranean Diet and Antioxidant Formulation in Non-Alcoholic Fatty Liver Disease: A Randomized Study.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9</w:t>
      </w:r>
      <w:r w:rsidR="00C064F9" w:rsidRPr="00D7475E">
        <w:rPr>
          <w:rFonts w:ascii="Book Antiqua" w:hAnsi="Book Antiqua"/>
        </w:rPr>
        <w:t>: 870</w:t>
      </w:r>
      <w:r w:rsidRPr="00D7475E">
        <w:rPr>
          <w:rFonts w:ascii="Book Antiqua" w:hAnsi="Book Antiqua"/>
        </w:rPr>
        <w:t> [PMID: 28805669 DOI: 10.3390/nu9080870]</w:t>
      </w:r>
    </w:p>
    <w:p w14:paraId="0D0BE89B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lastRenderedPageBreak/>
        <w:t>123 </w:t>
      </w:r>
      <w:proofErr w:type="spellStart"/>
      <w:r w:rsidRPr="00D7475E">
        <w:rPr>
          <w:rFonts w:ascii="Book Antiqua" w:hAnsi="Book Antiqua"/>
          <w:b/>
          <w:bCs/>
        </w:rPr>
        <w:t>Ristić-Medić</w:t>
      </w:r>
      <w:proofErr w:type="spellEnd"/>
      <w:r w:rsidRPr="00D7475E">
        <w:rPr>
          <w:rFonts w:ascii="Book Antiqua" w:hAnsi="Book Antiqua"/>
          <w:b/>
          <w:bCs/>
        </w:rPr>
        <w:t xml:space="preserve"> D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Takić</w:t>
      </w:r>
      <w:proofErr w:type="spellEnd"/>
      <w:r w:rsidRPr="00D7475E">
        <w:rPr>
          <w:rFonts w:ascii="Book Antiqua" w:hAnsi="Book Antiqua"/>
        </w:rPr>
        <w:t xml:space="preserve"> M, </w:t>
      </w:r>
      <w:proofErr w:type="spellStart"/>
      <w:r w:rsidRPr="00D7475E">
        <w:rPr>
          <w:rFonts w:ascii="Book Antiqua" w:hAnsi="Book Antiqua"/>
        </w:rPr>
        <w:t>Vučić</w:t>
      </w:r>
      <w:proofErr w:type="spellEnd"/>
      <w:r w:rsidRPr="00D7475E">
        <w:rPr>
          <w:rFonts w:ascii="Book Antiqua" w:hAnsi="Book Antiqua"/>
        </w:rPr>
        <w:t xml:space="preserve"> V, </w:t>
      </w:r>
      <w:proofErr w:type="spellStart"/>
      <w:r w:rsidRPr="00D7475E">
        <w:rPr>
          <w:rFonts w:ascii="Book Antiqua" w:hAnsi="Book Antiqua"/>
        </w:rPr>
        <w:t>Kandić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Kostić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Glibetić</w:t>
      </w:r>
      <w:proofErr w:type="spellEnd"/>
      <w:r w:rsidRPr="00D7475E">
        <w:rPr>
          <w:rFonts w:ascii="Book Antiqua" w:hAnsi="Book Antiqua"/>
        </w:rPr>
        <w:t xml:space="preserve"> M. Abnormalities in the serum phospholipids fatty acid profile in patients with alcoholic liver cirrhosis - a pilot study. </w:t>
      </w:r>
      <w:r w:rsidRPr="00D7475E">
        <w:rPr>
          <w:rFonts w:ascii="Book Antiqua" w:hAnsi="Book Antiqua"/>
          <w:i/>
          <w:iCs/>
        </w:rPr>
        <w:t xml:space="preserve">J 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Biochem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2013; </w:t>
      </w:r>
      <w:r w:rsidRPr="00D7475E">
        <w:rPr>
          <w:rFonts w:ascii="Book Antiqua" w:hAnsi="Book Antiqua"/>
          <w:b/>
          <w:bCs/>
        </w:rPr>
        <w:t>53</w:t>
      </w:r>
      <w:r w:rsidRPr="00D7475E">
        <w:rPr>
          <w:rFonts w:ascii="Book Antiqua" w:hAnsi="Book Antiqua"/>
        </w:rPr>
        <w:t>: 49-54 [PMID: 23874070 DOI: 10.3164/jcbn.12-79]</w:t>
      </w:r>
    </w:p>
    <w:p w14:paraId="1CE742D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124 </w:t>
      </w:r>
      <w:r w:rsidRPr="00D7475E">
        <w:rPr>
          <w:rFonts w:ascii="Book Antiqua" w:hAnsi="Book Antiqua"/>
          <w:b/>
          <w:bCs/>
        </w:rPr>
        <w:t>Zheng KI</w:t>
      </w:r>
      <w:r w:rsidRPr="00D7475E">
        <w:rPr>
          <w:rFonts w:ascii="Book Antiqua" w:hAnsi="Book Antiqua"/>
        </w:rPr>
        <w:t>, Gao F, Wang XB, Sun QF, Pan KH, Wang TY, Ma HL, Chen YP, Liu WY, George J, Zheng MH. Letter to the Editor: Obesity as a risk factor for greater severity of COVID-19 in patients with metabolic associated fatty liver disease. </w:t>
      </w:r>
      <w:r w:rsidRPr="00D7475E">
        <w:rPr>
          <w:rFonts w:ascii="Book Antiqua" w:hAnsi="Book Antiqua"/>
          <w:i/>
          <w:iCs/>
        </w:rPr>
        <w:t>Metabolism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108</w:t>
      </w:r>
      <w:r w:rsidRPr="00D7475E">
        <w:rPr>
          <w:rFonts w:ascii="Book Antiqua" w:hAnsi="Book Antiqua"/>
        </w:rPr>
        <w:t>: 154244 [PMID: 32320741 DOI: 10.1016/j.metabol.2020.154244]</w:t>
      </w:r>
    </w:p>
    <w:p w14:paraId="6EFB5B30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125 </w:t>
      </w:r>
      <w:proofErr w:type="spellStart"/>
      <w:r w:rsidRPr="00D7475E">
        <w:rPr>
          <w:rFonts w:ascii="Book Antiqua" w:hAnsi="Book Antiqua"/>
          <w:b/>
          <w:bCs/>
        </w:rPr>
        <w:t>López</w:t>
      </w:r>
      <w:proofErr w:type="spellEnd"/>
      <w:r w:rsidRPr="00D7475E">
        <w:rPr>
          <w:rFonts w:ascii="Book Antiqua" w:hAnsi="Book Antiqua"/>
          <w:b/>
          <w:bCs/>
        </w:rPr>
        <w:t>-Bautista F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Barbero</w:t>
      </w:r>
      <w:proofErr w:type="spellEnd"/>
      <w:r w:rsidRPr="00D7475E">
        <w:rPr>
          <w:rFonts w:ascii="Book Antiqua" w:hAnsi="Book Antiqua"/>
        </w:rPr>
        <w:t>-Becerra VJ, Ríos MY, Ramírez-Cisneros MÁ, Sánchez-Pérez CA, Ramos-</w:t>
      </w:r>
      <w:proofErr w:type="spellStart"/>
      <w:r w:rsidRPr="00D7475E">
        <w:rPr>
          <w:rFonts w:ascii="Book Antiqua" w:hAnsi="Book Antiqua"/>
        </w:rPr>
        <w:t>Ostos</w:t>
      </w:r>
      <w:proofErr w:type="spellEnd"/>
      <w:r w:rsidRPr="00D7475E">
        <w:rPr>
          <w:rFonts w:ascii="Book Antiqua" w:hAnsi="Book Antiqua"/>
        </w:rPr>
        <w:t xml:space="preserve"> MH, Uribe M, Chávez-Tapia NC, Juárez-Hernández E. Dietary consumption and serum pattern of bioactive fatty acids in NAFLD patients. </w:t>
      </w:r>
      <w:r w:rsidRPr="00D7475E">
        <w:rPr>
          <w:rFonts w:ascii="Book Antiqua" w:hAnsi="Book Antiqua"/>
          <w:i/>
          <w:iCs/>
        </w:rPr>
        <w:t>Ann Hepatol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19</w:t>
      </w:r>
      <w:r w:rsidRPr="00D7475E">
        <w:rPr>
          <w:rFonts w:ascii="Book Antiqua" w:hAnsi="Book Antiqua"/>
        </w:rPr>
        <w:t>: 482-488 [PMID: 32717363 DOI: 10.1016/j.aohep.2020.06.008]</w:t>
      </w:r>
    </w:p>
    <w:p w14:paraId="3BE625AB" w14:textId="5EED9BB5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126 </w:t>
      </w:r>
      <w:r w:rsidRPr="00D7475E">
        <w:rPr>
          <w:rFonts w:ascii="Book Antiqua" w:hAnsi="Book Antiqua"/>
          <w:b/>
          <w:bCs/>
        </w:rPr>
        <w:t>Ristic-Medic D</w:t>
      </w:r>
      <w:r w:rsidRPr="00D7475E">
        <w:rPr>
          <w:rFonts w:ascii="Book Antiqua" w:hAnsi="Book Antiqua"/>
        </w:rPr>
        <w:t xml:space="preserve">, Kovacic M, Takic M, </w:t>
      </w:r>
      <w:proofErr w:type="spellStart"/>
      <w:r w:rsidRPr="00D7475E">
        <w:rPr>
          <w:rFonts w:ascii="Book Antiqua" w:hAnsi="Book Antiqua"/>
        </w:rPr>
        <w:t>Arsic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Petrovic</w:t>
      </w:r>
      <w:proofErr w:type="spellEnd"/>
      <w:r w:rsidRPr="00D7475E">
        <w:rPr>
          <w:rFonts w:ascii="Book Antiqua" w:hAnsi="Book Antiqua"/>
        </w:rPr>
        <w:t xml:space="preserve"> S, Paunovic M, Jovicic M, Vucic V. Calorie-Restricted Mediterranean and Low-Fat Diets Affect Fatty Acid Status in Individuals with Nonalcoholic Fatty Liver Disease. </w:t>
      </w:r>
      <w:r w:rsidRPr="00D7475E">
        <w:rPr>
          <w:rFonts w:ascii="Book Antiqua" w:hAnsi="Book Antiqua"/>
          <w:i/>
          <w:iCs/>
        </w:rPr>
        <w:t>Nutrients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13</w:t>
      </w:r>
      <w:r w:rsidR="00C064F9" w:rsidRPr="00D7475E">
        <w:rPr>
          <w:rFonts w:ascii="Book Antiqua" w:hAnsi="Book Antiqua"/>
        </w:rPr>
        <w:t>: 15</w:t>
      </w:r>
      <w:r w:rsidRPr="00D7475E">
        <w:rPr>
          <w:rFonts w:ascii="Book Antiqua" w:hAnsi="Book Antiqua"/>
        </w:rPr>
        <w:t> [PMID: 33374554 DOI: 10.3390/nu13010015]</w:t>
      </w:r>
    </w:p>
    <w:p w14:paraId="073FD3E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127 </w:t>
      </w:r>
      <w:proofErr w:type="spellStart"/>
      <w:r w:rsidRPr="00D7475E">
        <w:rPr>
          <w:rFonts w:ascii="Book Antiqua" w:hAnsi="Book Antiqua"/>
          <w:b/>
          <w:bCs/>
        </w:rPr>
        <w:t>Darwesh</w:t>
      </w:r>
      <w:proofErr w:type="spellEnd"/>
      <w:r w:rsidRPr="00D7475E">
        <w:rPr>
          <w:rFonts w:ascii="Book Antiqua" w:hAnsi="Book Antiqua"/>
          <w:b/>
          <w:bCs/>
        </w:rPr>
        <w:t xml:space="preserve"> AM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Bassiouni</w:t>
      </w:r>
      <w:proofErr w:type="spellEnd"/>
      <w:r w:rsidRPr="00D7475E">
        <w:rPr>
          <w:rFonts w:ascii="Book Antiqua" w:hAnsi="Book Antiqua"/>
        </w:rPr>
        <w:t xml:space="preserve"> W, </w:t>
      </w:r>
      <w:proofErr w:type="spellStart"/>
      <w:r w:rsidRPr="00D7475E">
        <w:rPr>
          <w:rFonts w:ascii="Book Antiqua" w:hAnsi="Book Antiqua"/>
        </w:rPr>
        <w:t>Sosnowski</w:t>
      </w:r>
      <w:proofErr w:type="spellEnd"/>
      <w:r w:rsidRPr="00D7475E">
        <w:rPr>
          <w:rFonts w:ascii="Book Antiqua" w:hAnsi="Book Antiqua"/>
        </w:rPr>
        <w:t xml:space="preserve"> DK, </w:t>
      </w:r>
      <w:proofErr w:type="spellStart"/>
      <w:r w:rsidRPr="00D7475E">
        <w:rPr>
          <w:rFonts w:ascii="Book Antiqua" w:hAnsi="Book Antiqua"/>
        </w:rPr>
        <w:t>Seubert</w:t>
      </w:r>
      <w:proofErr w:type="spellEnd"/>
      <w:r w:rsidRPr="00D7475E">
        <w:rPr>
          <w:rFonts w:ascii="Book Antiqua" w:hAnsi="Book Antiqua"/>
        </w:rPr>
        <w:t xml:space="preserve"> JM. Can N-3 polyunsaturated fatty acids be considered a potential adjuvant therapy for COVID-19-associated cardiovascular complications? </w:t>
      </w:r>
      <w:proofErr w:type="spellStart"/>
      <w:r w:rsidRPr="00D7475E">
        <w:rPr>
          <w:rFonts w:ascii="Book Antiqua" w:hAnsi="Book Antiqua"/>
          <w:i/>
          <w:iCs/>
        </w:rPr>
        <w:t>Pharmacol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Ther</w:t>
      </w:r>
      <w:proofErr w:type="spellEnd"/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219</w:t>
      </w:r>
      <w:r w:rsidRPr="00D7475E">
        <w:rPr>
          <w:rFonts w:ascii="Book Antiqua" w:hAnsi="Book Antiqua"/>
        </w:rPr>
        <w:t>: 107703 [PMID: 33031856 DOI: 10.1016/j.pharmthera.2020.107703]</w:t>
      </w:r>
    </w:p>
    <w:p w14:paraId="36B058DF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128 </w:t>
      </w:r>
      <w:proofErr w:type="spellStart"/>
      <w:r w:rsidRPr="00D7475E">
        <w:rPr>
          <w:rFonts w:ascii="Book Antiqua" w:hAnsi="Book Antiqua"/>
          <w:b/>
          <w:bCs/>
        </w:rPr>
        <w:t>Barazzoni</w:t>
      </w:r>
      <w:proofErr w:type="spellEnd"/>
      <w:r w:rsidRPr="00D7475E">
        <w:rPr>
          <w:rFonts w:ascii="Book Antiqua" w:hAnsi="Book Antiqua"/>
          <w:b/>
          <w:bCs/>
        </w:rPr>
        <w:t xml:space="preserve"> R</w:t>
      </w:r>
      <w:r w:rsidRPr="00D7475E">
        <w:rPr>
          <w:rFonts w:ascii="Book Antiqua" w:hAnsi="Book Antiqua"/>
        </w:rPr>
        <w:t xml:space="preserve">, Bischoff SC, Breda J, </w:t>
      </w:r>
      <w:proofErr w:type="spellStart"/>
      <w:r w:rsidRPr="00D7475E">
        <w:rPr>
          <w:rFonts w:ascii="Book Antiqua" w:hAnsi="Book Antiqua"/>
        </w:rPr>
        <w:t>Wickramasinghe</w:t>
      </w:r>
      <w:proofErr w:type="spellEnd"/>
      <w:r w:rsidRPr="00D7475E">
        <w:rPr>
          <w:rFonts w:ascii="Book Antiqua" w:hAnsi="Book Antiqua"/>
        </w:rPr>
        <w:t xml:space="preserve"> K, </w:t>
      </w:r>
      <w:proofErr w:type="spellStart"/>
      <w:r w:rsidRPr="00D7475E">
        <w:rPr>
          <w:rFonts w:ascii="Book Antiqua" w:hAnsi="Book Antiqua"/>
        </w:rPr>
        <w:t>Krznaric</w:t>
      </w:r>
      <w:proofErr w:type="spellEnd"/>
      <w:r w:rsidRPr="00D7475E">
        <w:rPr>
          <w:rFonts w:ascii="Book Antiqua" w:hAnsi="Book Antiqua"/>
        </w:rPr>
        <w:t xml:space="preserve"> Z, </w:t>
      </w:r>
      <w:proofErr w:type="spellStart"/>
      <w:r w:rsidRPr="00D7475E">
        <w:rPr>
          <w:rFonts w:ascii="Book Antiqua" w:hAnsi="Book Antiqua"/>
        </w:rPr>
        <w:t>Nitzan</w:t>
      </w:r>
      <w:proofErr w:type="spellEnd"/>
      <w:r w:rsidRPr="00D7475E">
        <w:rPr>
          <w:rFonts w:ascii="Book Antiqua" w:hAnsi="Book Antiqua"/>
        </w:rPr>
        <w:t xml:space="preserve"> D, </w:t>
      </w:r>
      <w:proofErr w:type="spellStart"/>
      <w:r w:rsidRPr="00D7475E">
        <w:rPr>
          <w:rFonts w:ascii="Book Antiqua" w:hAnsi="Book Antiqua"/>
        </w:rPr>
        <w:t>Pirlich</w:t>
      </w:r>
      <w:proofErr w:type="spellEnd"/>
      <w:r w:rsidRPr="00D7475E">
        <w:rPr>
          <w:rFonts w:ascii="Book Antiqua" w:hAnsi="Book Antiqua"/>
        </w:rPr>
        <w:t xml:space="preserve"> M, Singer P; endorsed by the ESPEN Council. ESPEN expert statements and practical guidance for nutritional management of individuals with SARS-CoV-2 infection. </w:t>
      </w:r>
      <w:proofErr w:type="spellStart"/>
      <w:r w:rsidRPr="00D7475E">
        <w:rPr>
          <w:rFonts w:ascii="Book Antiqua" w:hAnsi="Book Antiqua"/>
          <w:i/>
          <w:iCs/>
        </w:rPr>
        <w:t>Clin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39</w:t>
      </w:r>
      <w:r w:rsidRPr="00D7475E">
        <w:rPr>
          <w:rFonts w:ascii="Book Antiqua" w:hAnsi="Book Antiqua"/>
        </w:rPr>
        <w:t>: 1631-1638 [PMID: 32305181 DOI: 10.1016/j.clnu.2020.03.022]</w:t>
      </w:r>
    </w:p>
    <w:p w14:paraId="264E3FB3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129 </w:t>
      </w:r>
      <w:proofErr w:type="spellStart"/>
      <w:r w:rsidRPr="00D7475E">
        <w:rPr>
          <w:rFonts w:ascii="Book Antiqua" w:hAnsi="Book Antiqua"/>
          <w:b/>
          <w:bCs/>
        </w:rPr>
        <w:t>Bistrian</w:t>
      </w:r>
      <w:proofErr w:type="spellEnd"/>
      <w:r w:rsidRPr="00D7475E">
        <w:rPr>
          <w:rFonts w:ascii="Book Antiqua" w:hAnsi="Book Antiqua"/>
          <w:b/>
          <w:bCs/>
        </w:rPr>
        <w:t xml:space="preserve"> BR</w:t>
      </w:r>
      <w:r w:rsidRPr="00D7475E">
        <w:rPr>
          <w:rFonts w:ascii="Book Antiqua" w:hAnsi="Book Antiqua"/>
        </w:rPr>
        <w:t>. Parenteral Fish-Oil Emulsions in Critically Ill COVID-19 Emulsions. </w:t>
      </w:r>
      <w:r w:rsidRPr="00D7475E">
        <w:rPr>
          <w:rFonts w:ascii="Book Antiqua" w:hAnsi="Book Antiqua"/>
          <w:i/>
          <w:iCs/>
        </w:rPr>
        <w:t xml:space="preserve">JPEN J </w:t>
      </w:r>
      <w:proofErr w:type="spellStart"/>
      <w:r w:rsidRPr="00D7475E">
        <w:rPr>
          <w:rFonts w:ascii="Book Antiqua" w:hAnsi="Book Antiqua"/>
          <w:i/>
          <w:iCs/>
        </w:rPr>
        <w:t>Parenter</w:t>
      </w:r>
      <w:proofErr w:type="spellEnd"/>
      <w:r w:rsidRPr="00D7475E">
        <w:rPr>
          <w:rFonts w:ascii="Book Antiqua" w:hAnsi="Book Antiqua"/>
          <w:i/>
          <w:iCs/>
        </w:rPr>
        <w:t xml:space="preserve"> Enteral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44</w:t>
      </w:r>
      <w:r w:rsidRPr="00D7475E">
        <w:rPr>
          <w:rFonts w:ascii="Book Antiqua" w:hAnsi="Book Antiqua"/>
        </w:rPr>
        <w:t>: 1168 [PMID: 32384188 DOI: 10.1002/jpen.1871]</w:t>
      </w:r>
    </w:p>
    <w:p w14:paraId="22EE83F4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130 </w:t>
      </w:r>
      <w:proofErr w:type="spellStart"/>
      <w:r w:rsidRPr="00D7475E">
        <w:rPr>
          <w:rFonts w:ascii="Book Antiqua" w:hAnsi="Book Antiqua"/>
          <w:b/>
          <w:bCs/>
        </w:rPr>
        <w:t>Rogero</w:t>
      </w:r>
      <w:proofErr w:type="spellEnd"/>
      <w:r w:rsidRPr="00D7475E">
        <w:rPr>
          <w:rFonts w:ascii="Book Antiqua" w:hAnsi="Book Antiqua"/>
          <w:b/>
          <w:bCs/>
        </w:rPr>
        <w:t xml:space="preserve"> MM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Leão</w:t>
      </w:r>
      <w:proofErr w:type="spellEnd"/>
      <w:r w:rsidRPr="00D7475E">
        <w:rPr>
          <w:rFonts w:ascii="Book Antiqua" w:hAnsi="Book Antiqua"/>
        </w:rPr>
        <w:t xml:space="preserve"> MC, Santana TM, Pimentel MVMB, </w:t>
      </w:r>
      <w:proofErr w:type="spellStart"/>
      <w:r w:rsidRPr="00D7475E">
        <w:rPr>
          <w:rFonts w:ascii="Book Antiqua" w:hAnsi="Book Antiqua"/>
        </w:rPr>
        <w:t>Carlini</w:t>
      </w:r>
      <w:proofErr w:type="spellEnd"/>
      <w:r w:rsidRPr="00D7475E">
        <w:rPr>
          <w:rFonts w:ascii="Book Antiqua" w:hAnsi="Book Antiqua"/>
        </w:rPr>
        <w:t xml:space="preserve"> GCG, da </w:t>
      </w:r>
      <w:proofErr w:type="spellStart"/>
      <w:r w:rsidRPr="00D7475E">
        <w:rPr>
          <w:rFonts w:ascii="Book Antiqua" w:hAnsi="Book Antiqua"/>
        </w:rPr>
        <w:t>Silveira</w:t>
      </w:r>
      <w:proofErr w:type="spellEnd"/>
      <w:r w:rsidRPr="00D7475E">
        <w:rPr>
          <w:rFonts w:ascii="Book Antiqua" w:hAnsi="Book Antiqua"/>
        </w:rPr>
        <w:t xml:space="preserve"> TFF, Gonçalves RC, Castro IA. Potential benefits and risks of omega-3 fatty acids </w:t>
      </w:r>
      <w:r w:rsidRPr="00D7475E">
        <w:rPr>
          <w:rFonts w:ascii="Book Antiqua" w:hAnsi="Book Antiqua"/>
        </w:rPr>
        <w:lastRenderedPageBreak/>
        <w:t>supplementation to patients with COVID-19. </w:t>
      </w:r>
      <w:r w:rsidRPr="00D7475E">
        <w:rPr>
          <w:rFonts w:ascii="Book Antiqua" w:hAnsi="Book Antiqua"/>
          <w:i/>
          <w:iCs/>
        </w:rPr>
        <w:t xml:space="preserve">Free </w:t>
      </w:r>
      <w:proofErr w:type="spellStart"/>
      <w:r w:rsidRPr="00D7475E">
        <w:rPr>
          <w:rFonts w:ascii="Book Antiqua" w:hAnsi="Book Antiqua"/>
          <w:i/>
          <w:iCs/>
        </w:rPr>
        <w:t>Radic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Biol</w:t>
      </w:r>
      <w:proofErr w:type="spellEnd"/>
      <w:r w:rsidRPr="00D7475E">
        <w:rPr>
          <w:rFonts w:ascii="Book Antiqua" w:hAnsi="Book Antiqua"/>
          <w:i/>
          <w:iCs/>
        </w:rPr>
        <w:t xml:space="preserve"> Med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156</w:t>
      </w:r>
      <w:r w:rsidRPr="00D7475E">
        <w:rPr>
          <w:rFonts w:ascii="Book Antiqua" w:hAnsi="Book Antiqua"/>
        </w:rPr>
        <w:t>: 190-199 [PMID: 32653511 DOI: 10.1016/j.freeradbiomed.2020.07.005]</w:t>
      </w:r>
    </w:p>
    <w:p w14:paraId="3348FDE2" w14:textId="4F1D415C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131 </w:t>
      </w:r>
      <w:proofErr w:type="spellStart"/>
      <w:r w:rsidRPr="00D7475E">
        <w:rPr>
          <w:rFonts w:ascii="Book Antiqua" w:hAnsi="Book Antiqua"/>
          <w:b/>
          <w:bCs/>
        </w:rPr>
        <w:t>Fernández-Quintela</w:t>
      </w:r>
      <w:proofErr w:type="spellEnd"/>
      <w:r w:rsidRPr="00D7475E">
        <w:rPr>
          <w:rFonts w:ascii="Book Antiqua" w:hAnsi="Book Antiqua"/>
          <w:b/>
          <w:bCs/>
        </w:rPr>
        <w:t xml:space="preserve"> A</w:t>
      </w:r>
      <w:r w:rsidRPr="00D7475E">
        <w:rPr>
          <w:rFonts w:ascii="Book Antiqua" w:hAnsi="Book Antiqua"/>
        </w:rPr>
        <w:t>, Milton-</w:t>
      </w:r>
      <w:proofErr w:type="spellStart"/>
      <w:r w:rsidRPr="00D7475E">
        <w:rPr>
          <w:rFonts w:ascii="Book Antiqua" w:hAnsi="Book Antiqua"/>
        </w:rPr>
        <w:t>Laskibar</w:t>
      </w:r>
      <w:proofErr w:type="spellEnd"/>
      <w:r w:rsidRPr="00D7475E">
        <w:rPr>
          <w:rFonts w:ascii="Book Antiqua" w:hAnsi="Book Antiqua"/>
        </w:rPr>
        <w:t xml:space="preserve"> I, </w:t>
      </w:r>
      <w:proofErr w:type="spellStart"/>
      <w:r w:rsidRPr="00D7475E">
        <w:rPr>
          <w:rFonts w:ascii="Book Antiqua" w:hAnsi="Book Antiqua"/>
        </w:rPr>
        <w:t>Trepiana</w:t>
      </w:r>
      <w:proofErr w:type="spellEnd"/>
      <w:r w:rsidRPr="00D7475E">
        <w:rPr>
          <w:rFonts w:ascii="Book Antiqua" w:hAnsi="Book Antiqua"/>
        </w:rPr>
        <w:t xml:space="preserve"> J, Gómez-</w:t>
      </w:r>
      <w:proofErr w:type="spellStart"/>
      <w:r w:rsidRPr="00D7475E">
        <w:rPr>
          <w:rFonts w:ascii="Book Antiqua" w:hAnsi="Book Antiqua"/>
        </w:rPr>
        <w:t>Zorita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Kajarabille</w:t>
      </w:r>
      <w:proofErr w:type="spellEnd"/>
      <w:r w:rsidRPr="00D7475E">
        <w:rPr>
          <w:rFonts w:ascii="Book Antiqua" w:hAnsi="Book Antiqua"/>
        </w:rPr>
        <w:t xml:space="preserve"> N, </w:t>
      </w:r>
      <w:proofErr w:type="spellStart"/>
      <w:r w:rsidRPr="00D7475E">
        <w:rPr>
          <w:rFonts w:ascii="Book Antiqua" w:hAnsi="Book Antiqua"/>
        </w:rPr>
        <w:t>Léniz</w:t>
      </w:r>
      <w:proofErr w:type="spellEnd"/>
      <w:r w:rsidRPr="00D7475E">
        <w:rPr>
          <w:rFonts w:ascii="Book Antiqua" w:hAnsi="Book Antiqua"/>
        </w:rPr>
        <w:t xml:space="preserve"> A, González M, Portillo MP. Key Aspects in Nutritional Management of COVID-19 Patients. </w:t>
      </w:r>
      <w:r w:rsidRPr="00D7475E">
        <w:rPr>
          <w:rFonts w:ascii="Book Antiqua" w:hAnsi="Book Antiqua"/>
          <w:i/>
          <w:iCs/>
        </w:rPr>
        <w:t>J Clin Med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9</w:t>
      </w:r>
      <w:r w:rsidR="00C064F9" w:rsidRPr="00D7475E">
        <w:rPr>
          <w:rFonts w:ascii="Book Antiqua" w:hAnsi="Book Antiqua"/>
        </w:rPr>
        <w:t>: 2589</w:t>
      </w:r>
      <w:r w:rsidRPr="00D7475E">
        <w:rPr>
          <w:rFonts w:ascii="Book Antiqua" w:hAnsi="Book Antiqua"/>
        </w:rPr>
        <w:t> [PMID: 32785121 DOI: 10.3390/jcm9082589]</w:t>
      </w:r>
    </w:p>
    <w:p w14:paraId="1240A391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132 </w:t>
      </w:r>
      <w:r w:rsidRPr="00D7475E">
        <w:rPr>
          <w:rFonts w:ascii="Book Antiqua" w:hAnsi="Book Antiqua"/>
          <w:b/>
          <w:bCs/>
        </w:rPr>
        <w:t>Jaggers GK</w:t>
      </w:r>
      <w:r w:rsidRPr="00D7475E">
        <w:rPr>
          <w:rFonts w:ascii="Book Antiqua" w:hAnsi="Book Antiqua"/>
        </w:rPr>
        <w:t>, Watkins BA, Rodriguez RL. COVID-19: repositioning nutrition research for the next pandemic. 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Res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81</w:t>
      </w:r>
      <w:r w:rsidRPr="00D7475E">
        <w:rPr>
          <w:rFonts w:ascii="Book Antiqua" w:hAnsi="Book Antiqua"/>
        </w:rPr>
        <w:t>: 1-6 [PMID: 32795724 DOI: 10.1016/j.nutres.2020.07.005]</w:t>
      </w:r>
    </w:p>
    <w:p w14:paraId="54CFAAB2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133 </w:t>
      </w:r>
      <w:r w:rsidRPr="00D7475E">
        <w:rPr>
          <w:rFonts w:ascii="Book Antiqua" w:hAnsi="Book Antiqua"/>
          <w:b/>
          <w:bCs/>
        </w:rPr>
        <w:t>Billingsley HE</w:t>
      </w:r>
      <w:r w:rsidRPr="00D7475E">
        <w:rPr>
          <w:rFonts w:ascii="Book Antiqua" w:hAnsi="Book Antiqua"/>
        </w:rPr>
        <w:t>, Carbone S. The antioxidant potential of the Mediterranean diet in patients at high cardiovascular risk: an in-depth review of the PREDIMED. 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  <w:i/>
          <w:iCs/>
        </w:rPr>
        <w:t xml:space="preserve"> Diabetes</w:t>
      </w:r>
      <w:r w:rsidRPr="00D7475E">
        <w:rPr>
          <w:rFonts w:ascii="Book Antiqua" w:hAnsi="Book Antiqua"/>
        </w:rPr>
        <w:t> 2018; </w:t>
      </w:r>
      <w:r w:rsidRPr="00D7475E">
        <w:rPr>
          <w:rFonts w:ascii="Book Antiqua" w:hAnsi="Book Antiqua"/>
          <w:b/>
          <w:bCs/>
        </w:rPr>
        <w:t>8</w:t>
      </w:r>
      <w:r w:rsidRPr="00D7475E">
        <w:rPr>
          <w:rFonts w:ascii="Book Antiqua" w:hAnsi="Book Antiqua"/>
        </w:rPr>
        <w:t>: 13 [PMID: 29549354 DOI: 10.1038/s41387-018-0025-1]</w:t>
      </w:r>
    </w:p>
    <w:p w14:paraId="3DD45145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134 </w:t>
      </w:r>
      <w:r w:rsidRPr="00D7475E">
        <w:rPr>
          <w:rFonts w:ascii="Book Antiqua" w:hAnsi="Book Antiqua"/>
          <w:b/>
          <w:bCs/>
        </w:rPr>
        <w:t>Bhattacharjee B</w:t>
      </w:r>
      <w:r w:rsidRPr="00D7475E">
        <w:rPr>
          <w:rFonts w:ascii="Book Antiqua" w:hAnsi="Book Antiqua"/>
        </w:rPr>
        <w:t>, Pal PK, Chattopadhyay A, Bandyopadhyay D. Oleic acid protects against cadmium induced cardiac and hepatic tissue injury in male Wistar rats: A mechanistic study. </w:t>
      </w:r>
      <w:r w:rsidRPr="00D7475E">
        <w:rPr>
          <w:rFonts w:ascii="Book Antiqua" w:hAnsi="Book Antiqua"/>
          <w:i/>
          <w:iCs/>
        </w:rPr>
        <w:t>Life Sci</w:t>
      </w:r>
      <w:r w:rsidRPr="00D7475E">
        <w:rPr>
          <w:rFonts w:ascii="Book Antiqua" w:hAnsi="Book Antiqua"/>
        </w:rPr>
        <w:t> 2020; </w:t>
      </w:r>
      <w:r w:rsidRPr="00D7475E">
        <w:rPr>
          <w:rFonts w:ascii="Book Antiqua" w:hAnsi="Book Antiqua"/>
          <w:b/>
          <w:bCs/>
        </w:rPr>
        <w:t>244</w:t>
      </w:r>
      <w:r w:rsidRPr="00D7475E">
        <w:rPr>
          <w:rFonts w:ascii="Book Antiqua" w:hAnsi="Book Antiqua"/>
        </w:rPr>
        <w:t>: 117324 [PMID: 31958420 DOI: 10.1016/j.lfs.2020.117324]</w:t>
      </w:r>
    </w:p>
    <w:p w14:paraId="153E9F68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135 </w:t>
      </w:r>
      <w:proofErr w:type="spellStart"/>
      <w:r w:rsidRPr="00D7475E">
        <w:rPr>
          <w:rFonts w:ascii="Book Antiqua" w:hAnsi="Book Antiqua"/>
          <w:b/>
          <w:bCs/>
        </w:rPr>
        <w:t>Ardestani</w:t>
      </w:r>
      <w:proofErr w:type="spellEnd"/>
      <w:r w:rsidRPr="00D7475E">
        <w:rPr>
          <w:rFonts w:ascii="Book Antiqua" w:hAnsi="Book Antiqua"/>
          <w:b/>
          <w:bCs/>
        </w:rPr>
        <w:t xml:space="preserve"> ME</w:t>
      </w:r>
      <w:r w:rsidRPr="00D7475E">
        <w:rPr>
          <w:rFonts w:ascii="Book Antiqua" w:hAnsi="Book Antiqua"/>
        </w:rPr>
        <w:t xml:space="preserve">, </w:t>
      </w:r>
      <w:proofErr w:type="spellStart"/>
      <w:r w:rsidRPr="00D7475E">
        <w:rPr>
          <w:rFonts w:ascii="Book Antiqua" w:hAnsi="Book Antiqua"/>
        </w:rPr>
        <w:t>Onvani</w:t>
      </w:r>
      <w:proofErr w:type="spellEnd"/>
      <w:r w:rsidRPr="00D7475E">
        <w:rPr>
          <w:rFonts w:ascii="Book Antiqua" w:hAnsi="Book Antiqua"/>
        </w:rPr>
        <w:t xml:space="preserve"> S, </w:t>
      </w:r>
      <w:proofErr w:type="spellStart"/>
      <w:r w:rsidRPr="00D7475E">
        <w:rPr>
          <w:rFonts w:ascii="Book Antiqua" w:hAnsi="Book Antiqua"/>
        </w:rPr>
        <w:t>Esmailzadeh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Feizi</w:t>
      </w:r>
      <w:proofErr w:type="spellEnd"/>
      <w:r w:rsidRPr="00D7475E">
        <w:rPr>
          <w:rFonts w:ascii="Book Antiqua" w:hAnsi="Book Antiqua"/>
        </w:rPr>
        <w:t xml:space="preserve"> A, </w:t>
      </w:r>
      <w:proofErr w:type="spellStart"/>
      <w:r w:rsidRPr="00D7475E">
        <w:rPr>
          <w:rFonts w:ascii="Book Antiqua" w:hAnsi="Book Antiqua"/>
        </w:rPr>
        <w:t>Azadbakht</w:t>
      </w:r>
      <w:proofErr w:type="spellEnd"/>
      <w:r w:rsidRPr="00D7475E">
        <w:rPr>
          <w:rFonts w:ascii="Book Antiqua" w:hAnsi="Book Antiqua"/>
        </w:rPr>
        <w:t xml:space="preserve"> L. Adherence to Dietary Approaches to Stop Hypertension (DASH) Dietary Pattern in Relation to Chronic Obstructive Pulmonary Disease (COPD): A Case-Control Study. </w:t>
      </w:r>
      <w:r w:rsidRPr="00D7475E">
        <w:rPr>
          <w:rFonts w:ascii="Book Antiqua" w:hAnsi="Book Antiqua"/>
          <w:i/>
          <w:iCs/>
        </w:rPr>
        <w:t xml:space="preserve">J Am </w:t>
      </w:r>
      <w:proofErr w:type="spellStart"/>
      <w:r w:rsidRPr="00D7475E">
        <w:rPr>
          <w:rFonts w:ascii="Book Antiqua" w:hAnsi="Book Antiqua"/>
          <w:i/>
          <w:iCs/>
        </w:rPr>
        <w:t>Coll</w:t>
      </w:r>
      <w:proofErr w:type="spellEnd"/>
      <w:r w:rsidRPr="00D7475E">
        <w:rPr>
          <w:rFonts w:ascii="Book Antiqua" w:hAnsi="Book Antiqua"/>
          <w:i/>
          <w:iCs/>
        </w:rPr>
        <w:t xml:space="preserve">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2017; </w:t>
      </w:r>
      <w:r w:rsidRPr="00D7475E">
        <w:rPr>
          <w:rFonts w:ascii="Book Antiqua" w:hAnsi="Book Antiqua"/>
          <w:b/>
          <w:bCs/>
        </w:rPr>
        <w:t>36</w:t>
      </w:r>
      <w:r w:rsidRPr="00D7475E">
        <w:rPr>
          <w:rFonts w:ascii="Book Antiqua" w:hAnsi="Book Antiqua"/>
        </w:rPr>
        <w:t>: 549-555 [PMID: 28862922 DOI: 10.1080/07315724.2017.1326858]</w:t>
      </w:r>
    </w:p>
    <w:p w14:paraId="1E761C5E" w14:textId="77777777" w:rsidR="00DE08AD" w:rsidRPr="00D7475E" w:rsidRDefault="00DE08AD" w:rsidP="00895F32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7475E">
        <w:rPr>
          <w:rFonts w:ascii="Book Antiqua" w:hAnsi="Book Antiqua"/>
        </w:rPr>
        <w:t>136 </w:t>
      </w:r>
      <w:proofErr w:type="spellStart"/>
      <w:r w:rsidRPr="00D7475E">
        <w:rPr>
          <w:rFonts w:ascii="Book Antiqua" w:hAnsi="Book Antiqua"/>
          <w:b/>
          <w:bCs/>
        </w:rPr>
        <w:t>Morais</w:t>
      </w:r>
      <w:proofErr w:type="spellEnd"/>
      <w:r w:rsidRPr="00D7475E">
        <w:rPr>
          <w:rFonts w:ascii="Book Antiqua" w:hAnsi="Book Antiqua"/>
          <w:b/>
          <w:bCs/>
        </w:rPr>
        <w:t xml:space="preserve"> AHA</w:t>
      </w:r>
      <w:r w:rsidRPr="00D7475E">
        <w:rPr>
          <w:rFonts w:ascii="Book Antiqua" w:hAnsi="Book Antiqua"/>
        </w:rPr>
        <w:t xml:space="preserve">, Aquino JS, da Silva-Maia JK, Vale SHL, </w:t>
      </w:r>
      <w:proofErr w:type="spellStart"/>
      <w:r w:rsidRPr="00D7475E">
        <w:rPr>
          <w:rFonts w:ascii="Book Antiqua" w:hAnsi="Book Antiqua"/>
        </w:rPr>
        <w:t>Maciel</w:t>
      </w:r>
      <w:proofErr w:type="spellEnd"/>
      <w:r w:rsidRPr="00D7475E">
        <w:rPr>
          <w:rFonts w:ascii="Book Antiqua" w:hAnsi="Book Antiqua"/>
        </w:rPr>
        <w:t xml:space="preserve"> BLL, </w:t>
      </w:r>
      <w:proofErr w:type="spellStart"/>
      <w:r w:rsidRPr="00D7475E">
        <w:rPr>
          <w:rFonts w:ascii="Book Antiqua" w:hAnsi="Book Antiqua"/>
        </w:rPr>
        <w:t>Passos</w:t>
      </w:r>
      <w:proofErr w:type="spellEnd"/>
      <w:r w:rsidRPr="00D7475E">
        <w:rPr>
          <w:rFonts w:ascii="Book Antiqua" w:hAnsi="Book Antiqua"/>
        </w:rPr>
        <w:t xml:space="preserve"> TS. Nutritional status, diet and viral respiratory infections: perspectives for severe acute respiratory syndrome coronavirus 2. </w:t>
      </w:r>
      <w:r w:rsidRPr="00D7475E">
        <w:rPr>
          <w:rFonts w:ascii="Book Antiqua" w:hAnsi="Book Antiqua"/>
          <w:i/>
          <w:iCs/>
        </w:rPr>
        <w:t xml:space="preserve">Br J </w:t>
      </w:r>
      <w:proofErr w:type="spellStart"/>
      <w:r w:rsidRPr="00D7475E">
        <w:rPr>
          <w:rFonts w:ascii="Book Antiqua" w:hAnsi="Book Antiqua"/>
          <w:i/>
          <w:iCs/>
        </w:rPr>
        <w:t>Nutr</w:t>
      </w:r>
      <w:proofErr w:type="spellEnd"/>
      <w:r w:rsidRPr="00D7475E">
        <w:rPr>
          <w:rFonts w:ascii="Book Antiqua" w:hAnsi="Book Antiqua"/>
        </w:rPr>
        <w:t> 2021; </w:t>
      </w:r>
      <w:r w:rsidRPr="00D7475E">
        <w:rPr>
          <w:rFonts w:ascii="Book Antiqua" w:hAnsi="Book Antiqua"/>
          <w:b/>
          <w:bCs/>
        </w:rPr>
        <w:t>125</w:t>
      </w:r>
      <w:r w:rsidRPr="00D7475E">
        <w:rPr>
          <w:rFonts w:ascii="Book Antiqua" w:hAnsi="Book Antiqua"/>
        </w:rPr>
        <w:t>: 851-862 [PMID: 32843118 DOI: 10.1017/S0007114520003311]</w:t>
      </w:r>
    </w:p>
    <w:p w14:paraId="73587F89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95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19180" w14:textId="77777777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D7902D" w14:textId="1B0B69F2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authors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declare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have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competing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interests.</w:t>
      </w:r>
    </w:p>
    <w:p w14:paraId="4FC2DC6C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8EFF6B" w14:textId="6B95E81F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44A6" w:rsidRPr="00895F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article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open-access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article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that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was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selected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in-house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editor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fully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peer-reviewed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external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reviewers.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distributed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accordance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with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Creative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Commons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Attribution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95F3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(CC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BY-NC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4.0)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license,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which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permits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others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to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distribute,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remix,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adapt,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build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upon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non-commercially,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license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their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derivative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works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on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different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terms,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provided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original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work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properly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cited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and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the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use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is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non-commercial.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See: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5E959BA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2414B4" w14:textId="26E83E48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Manuscript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source: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Invited manuscript</w:t>
      </w:r>
    </w:p>
    <w:p w14:paraId="373B246B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F0ED57" w14:textId="4929C501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Peer-review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started: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January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2021</w:t>
      </w:r>
    </w:p>
    <w:p w14:paraId="1FCE25F5" w14:textId="780BA349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First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decision: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March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29,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2021</w:t>
      </w:r>
    </w:p>
    <w:p w14:paraId="4292EB84" w14:textId="0E3E7D69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Article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in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press: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61F3AF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CE340C" w14:textId="60800552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Specialty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type: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Nutrition and dietetics</w:t>
      </w:r>
    </w:p>
    <w:p w14:paraId="4AAFA865" w14:textId="026FEAD5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Country/Territory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of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origin: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Serbia</w:t>
      </w:r>
    </w:p>
    <w:p w14:paraId="4FDC0415" w14:textId="7FF4134E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t>Peer-review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report’s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scientific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quality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69567DB" w14:textId="4169EC4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(Excellent):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0</w:t>
      </w:r>
    </w:p>
    <w:p w14:paraId="6CBE084F" w14:textId="6A07C214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B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(Very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good):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0</w:t>
      </w:r>
    </w:p>
    <w:p w14:paraId="5151B10A" w14:textId="5276A10C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(Good):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C</w:t>
      </w:r>
    </w:p>
    <w:p w14:paraId="4601ADAA" w14:textId="26D8787A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D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(Fair):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0</w:t>
      </w:r>
    </w:p>
    <w:p w14:paraId="49703537" w14:textId="472D2FC4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color w:val="000000"/>
        </w:rPr>
        <w:t>Grade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E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(Poor):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0</w:t>
      </w:r>
    </w:p>
    <w:p w14:paraId="70B64C61" w14:textId="77777777" w:rsidR="00A77B3E" w:rsidRPr="00895F32" w:rsidRDefault="00A77B3E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9D176E" w14:textId="4BE7288D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95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F32">
        <w:rPr>
          <w:rFonts w:ascii="Book Antiqua" w:eastAsia="Book Antiqua" w:hAnsi="Book Antiqua" w:cs="Book Antiqua"/>
          <w:b/>
          <w:color w:val="000000"/>
        </w:rPr>
        <w:t>P-Reviewer: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Sakina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NL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S-Editor: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Liu</w:t>
      </w:r>
      <w:r w:rsidR="005C44A6" w:rsidRPr="00895F32">
        <w:rPr>
          <w:rFonts w:ascii="Book Antiqua" w:eastAsia="Book Antiqua" w:hAnsi="Book Antiqua" w:cs="Book Antiqua"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color w:val="000000"/>
        </w:rPr>
        <w:t>M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L-Editor: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P-Editor: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98A9E8" w14:textId="42CDD9B9" w:rsidR="00A77B3E" w:rsidRPr="00895F32" w:rsidRDefault="007E0689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C44A6" w:rsidRPr="00895F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F32">
        <w:rPr>
          <w:rFonts w:ascii="Book Antiqua" w:eastAsia="Book Antiqua" w:hAnsi="Book Antiqua" w:cs="Book Antiqua"/>
          <w:b/>
          <w:color w:val="000000"/>
        </w:rPr>
        <w:t>Legends</w:t>
      </w:r>
    </w:p>
    <w:p w14:paraId="68BB060A" w14:textId="2FE192BD" w:rsidR="00A77B3E" w:rsidRPr="00895F32" w:rsidRDefault="00E01CA2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95F32">
        <w:rPr>
          <w:rFonts w:ascii="Book Antiqua" w:hAnsi="Book Antiqua"/>
          <w:noProof/>
          <w:lang w:eastAsia="zh-CN"/>
        </w:rPr>
        <w:drawing>
          <wp:inline distT="0" distB="0" distL="0" distR="0" wp14:anchorId="73636CB8" wp14:editId="1CB27010">
            <wp:extent cx="5970400" cy="357808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66" cy="358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5D434" w14:textId="72E8CAD7" w:rsidR="00B17ACB" w:rsidRPr="00895F32" w:rsidRDefault="00E01CA2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B17ACB" w:rsidRPr="00895F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F32">
        <w:rPr>
          <w:rFonts w:ascii="Book Antiqua" w:hAnsi="Book Antiqua"/>
          <w:b/>
          <w:bCs/>
          <w:color w:val="000000" w:themeColor="text1"/>
          <w:lang w:eastAsia="zh-CN"/>
        </w:rPr>
        <w:t xml:space="preserve">Figure 1 </w:t>
      </w:r>
      <w:r w:rsidRPr="00895F32">
        <w:rPr>
          <w:rFonts w:ascii="Book Antiqua" w:hAnsi="Book Antiqua"/>
          <w:b/>
          <w:bCs/>
          <w:color w:val="000000" w:themeColor="text1"/>
          <w:shd w:val="clear" w:color="auto" w:fill="FFFFFF"/>
        </w:rPr>
        <w:t>Pathophysiological mechanisms of coronavirus disease 2019-associated liver injuries.</w:t>
      </w:r>
      <w:r w:rsidRPr="00895F32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="004F34D0" w:rsidRPr="00895F32">
        <w:rPr>
          <w:rFonts w:ascii="Book Antiqua" w:hAnsi="Book Antiqua"/>
          <w:color w:val="000000" w:themeColor="text1"/>
        </w:rPr>
        <w:t>Created with BioRender.com.</w:t>
      </w:r>
      <w:r w:rsidR="004F34D0">
        <w:rPr>
          <w:rFonts w:ascii="Book Antiqua" w:hAnsi="Book Antiqua"/>
          <w:color w:val="000000" w:themeColor="text1"/>
        </w:rPr>
        <w:t xml:space="preserve"> </w:t>
      </w:r>
      <w:bookmarkStart w:id="5" w:name="_GoBack"/>
      <w:bookmarkEnd w:id="5"/>
      <w:r w:rsidRPr="00895F32">
        <w:rPr>
          <w:rFonts w:ascii="Book Antiqua" w:hAnsi="Book Antiqua"/>
          <w:color w:val="000000" w:themeColor="text1"/>
        </w:rPr>
        <w:t xml:space="preserve">ACE2: Angiotensin converting enzyme 2; ALP: Alkaline phosphatase; ALT: Alanine transaminase; AST: Aspartate aminotransferase; CSS: Cytokine storm syndrome; DILI: Drug-induced liver injury; GGT: Gamma-glutamyl transferase; ROS: Reactive oxygen species. </w:t>
      </w:r>
    </w:p>
    <w:p w14:paraId="6773C11F" w14:textId="2D94D2B1" w:rsidR="00B17ACB" w:rsidRPr="00895F32" w:rsidRDefault="00B17ACB" w:rsidP="00895F3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  <w:color w:val="000000" w:themeColor="text1"/>
          <w:shd w:val="clear" w:color="auto" w:fill="FFFFFF"/>
        </w:rPr>
      </w:pPr>
      <w:r w:rsidRPr="00895F32">
        <w:rPr>
          <w:rFonts w:ascii="Book Antiqua" w:hAnsi="Book Antiqua"/>
          <w:b/>
          <w:bCs/>
          <w:color w:val="000000" w:themeColor="text1"/>
          <w:shd w:val="clear" w:color="auto" w:fill="FFFFFF"/>
        </w:rPr>
        <w:lastRenderedPageBreak/>
        <w:t xml:space="preserve">Table 1 </w:t>
      </w:r>
      <w:bookmarkStart w:id="6" w:name="_Hlk68372325"/>
      <w:r w:rsidRPr="00895F32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Ongoing clinical trials of antioxidant supplementation in coronavirus disease </w:t>
      </w:r>
      <w:r w:rsidR="008B7592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2019 </w:t>
      </w:r>
      <w:r w:rsidRPr="00895F32">
        <w:rPr>
          <w:rFonts w:ascii="Book Antiqua" w:hAnsi="Book Antiqua"/>
          <w:b/>
          <w:bCs/>
          <w:color w:val="000000" w:themeColor="text1"/>
          <w:shd w:val="clear" w:color="auto" w:fill="FFFFFF"/>
        </w:rPr>
        <w:t>patients</w:t>
      </w:r>
    </w:p>
    <w:tbl>
      <w:tblPr>
        <w:tblStyle w:val="a9"/>
        <w:tblW w:w="1554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520"/>
        <w:gridCol w:w="2398"/>
        <w:gridCol w:w="1856"/>
        <w:gridCol w:w="2206"/>
        <w:gridCol w:w="2977"/>
        <w:gridCol w:w="2938"/>
      </w:tblGrid>
      <w:tr w:rsidR="009C50B0" w:rsidRPr="00895F32" w14:paraId="5CF67AA2" w14:textId="77777777" w:rsidTr="00895F32">
        <w:trPr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bookmarkEnd w:id="6"/>
          <w:p w14:paraId="5EC4BFB1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Antioxidants and nutrients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3CFAC5B0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Plant and/or animal sources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14:paraId="7B7EC959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Potential target pathways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49FF686C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Recommended dietary intake</w:t>
            </w:r>
          </w:p>
          <w:p w14:paraId="6655D245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14:paraId="05709582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Effective dose for respiratory infection)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14:paraId="4B245A0B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Registered</w:t>
            </w:r>
          </w:p>
          <w:p w14:paraId="4C9F2C3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clinical trials</w:t>
            </w:r>
          </w:p>
          <w:p w14:paraId="11701A1E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 xml:space="preserve">of COVID-19, </w:t>
            </w:r>
          </w:p>
          <w:p w14:paraId="14A6A61A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 xml:space="preserve">trial number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3EE592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 xml:space="preserve">Intervention </w:t>
            </w:r>
          </w:p>
          <w:p w14:paraId="7FF9FFBB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>dose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14:paraId="34D4A624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895F32">
              <w:rPr>
                <w:rFonts w:ascii="Book Antiqua" w:hAnsi="Book Antiqua"/>
                <w:b/>
                <w:bCs/>
                <w:color w:val="000000" w:themeColor="text1"/>
              </w:rPr>
              <w:t xml:space="preserve">Primary outcome </w:t>
            </w:r>
          </w:p>
        </w:tc>
      </w:tr>
      <w:tr w:rsidR="00895F32" w:rsidRPr="00895F32" w14:paraId="31F7F96D" w14:textId="77777777" w:rsidTr="00895F32">
        <w:trPr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</w:tcBorders>
          </w:tcPr>
          <w:p w14:paraId="76CB849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Vitamin A </w:t>
            </w:r>
          </w:p>
          <w:p w14:paraId="78AAC31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5CA48327" w14:textId="3E0690C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 xml:space="preserve">Carrots (raw) Cantaloupe 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</w:tcPr>
          <w:p w14:paraId="2722AF06" w14:textId="75CAE249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Role in immune competence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78A1381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900/700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M/F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</w:tcBorders>
          </w:tcPr>
          <w:p w14:paraId="5BF2C6E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IRCT20200319046819N1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[49]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434D29C7" w14:textId="7D50B0D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25000 IU vitamin A and 600000 IU vitamin D per day, 300 IU vitamin E twice a week, 2000 mg vitamin C 4 times in a day, amp vitamin B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14:paraId="02487D3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Weight, height, BMI; Severity of pulmonary involvement (CT scan); Respiratory support (invasive or non-invasive); WBC, CRP, IL6, TNF-α, IFN-g, ESR; Body temperature; Organ involvement; Hospital duration; Mortality</w:t>
            </w:r>
          </w:p>
        </w:tc>
      </w:tr>
      <w:tr w:rsidR="00895F32" w:rsidRPr="00895F32" w14:paraId="0BCE555D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15C7D31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2DFAE297" w14:textId="1E0D93D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 xml:space="preserve">Mango </w:t>
            </w:r>
          </w:p>
        </w:tc>
        <w:tc>
          <w:tcPr>
            <w:tcW w:w="2398" w:type="dxa"/>
            <w:vMerge/>
          </w:tcPr>
          <w:p w14:paraId="0CD399A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2CB9F9C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5B1036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22DCE07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E9BD88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E1F5EB4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02FB29F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788623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  <w:vMerge w:val="restart"/>
          </w:tcPr>
          <w:p w14:paraId="4D1B9AB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Immunomodulatory action</w:t>
            </w:r>
          </w:p>
        </w:tc>
        <w:tc>
          <w:tcPr>
            <w:tcW w:w="1856" w:type="dxa"/>
            <w:vMerge/>
          </w:tcPr>
          <w:p w14:paraId="370C4EC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E3612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2B7F60F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0B796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2C9A609" w14:textId="77777777" w:rsidTr="00895F32">
        <w:trPr>
          <w:jc w:val="center"/>
        </w:trPr>
        <w:tc>
          <w:tcPr>
            <w:tcW w:w="1654" w:type="dxa"/>
            <w:vMerge/>
          </w:tcPr>
          <w:p w14:paraId="350EC62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12D4686A" w14:textId="6CE2411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Salmon</w:t>
            </w:r>
          </w:p>
        </w:tc>
        <w:tc>
          <w:tcPr>
            <w:tcW w:w="2398" w:type="dxa"/>
            <w:vMerge/>
          </w:tcPr>
          <w:p w14:paraId="79B65E5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44EBD9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3BCB754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75E626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4AF20C2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3D867F2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84368A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2D11F74E" w14:textId="41514C4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 xml:space="preserve">Eggs </w:t>
            </w:r>
          </w:p>
        </w:tc>
        <w:tc>
          <w:tcPr>
            <w:tcW w:w="2398" w:type="dxa"/>
            <w:vMerge/>
          </w:tcPr>
          <w:p w14:paraId="254926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0260958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E55269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3B68B2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D056AA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A6DF184" w14:textId="77777777" w:rsidTr="00895F32">
        <w:trPr>
          <w:jc w:val="center"/>
        </w:trPr>
        <w:tc>
          <w:tcPr>
            <w:tcW w:w="1654" w:type="dxa"/>
            <w:vMerge/>
          </w:tcPr>
          <w:p w14:paraId="5A7E1D3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33347C5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  <w:vMerge/>
          </w:tcPr>
          <w:p w14:paraId="7F93AF0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FAECF6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05761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</w:tcPr>
          <w:p w14:paraId="4352EF2C" w14:textId="1B9DD0F9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Soluvit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in a day, for 1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2938" w:type="dxa"/>
            <w:vMerge/>
          </w:tcPr>
          <w:p w14:paraId="5FAE3D2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607B3FD4" w14:textId="77777777" w:rsidTr="00895F32">
        <w:trPr>
          <w:jc w:val="center"/>
        </w:trPr>
        <w:tc>
          <w:tcPr>
            <w:tcW w:w="1654" w:type="dxa"/>
            <w:vMerge w:val="restart"/>
          </w:tcPr>
          <w:p w14:paraId="112893A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Vitamin D</w:t>
            </w:r>
          </w:p>
        </w:tc>
        <w:tc>
          <w:tcPr>
            <w:tcW w:w="1520" w:type="dxa"/>
            <w:vMerge w:val="restart"/>
          </w:tcPr>
          <w:p w14:paraId="5CB5625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Portabella mushrooms</w:t>
            </w:r>
          </w:p>
          <w:p w14:paraId="66462BEE" w14:textId="255D733B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5C7DC8CE" w14:textId="2914CBB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Maintenance of cell physical barrier integrity </w:t>
            </w:r>
          </w:p>
        </w:tc>
        <w:tc>
          <w:tcPr>
            <w:tcW w:w="1856" w:type="dxa"/>
          </w:tcPr>
          <w:p w14:paraId="5608509D" w14:textId="35B2064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5- 15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</w:p>
        </w:tc>
        <w:tc>
          <w:tcPr>
            <w:tcW w:w="2206" w:type="dxa"/>
            <w:vMerge w:val="restart"/>
          </w:tcPr>
          <w:p w14:paraId="1809690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NCT04334005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[61]</w:t>
            </w:r>
          </w:p>
        </w:tc>
        <w:tc>
          <w:tcPr>
            <w:tcW w:w="2977" w:type="dxa"/>
            <w:vMerge w:val="restart"/>
          </w:tcPr>
          <w:p w14:paraId="3C0E40A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25000 IU vitamin D</w:t>
            </w:r>
          </w:p>
        </w:tc>
        <w:tc>
          <w:tcPr>
            <w:tcW w:w="2938" w:type="dxa"/>
            <w:vMerge w:val="restart"/>
          </w:tcPr>
          <w:p w14:paraId="09D21E3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Mortality</w:t>
            </w:r>
          </w:p>
          <w:p w14:paraId="5CDE8AA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all-cause mortality within 14 d</w:t>
            </w:r>
          </w:p>
        </w:tc>
      </w:tr>
      <w:tr w:rsidR="00895F32" w:rsidRPr="00895F32" w14:paraId="74F67765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D988FE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40D4A1F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3855C0B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 w:val="restart"/>
          </w:tcPr>
          <w:p w14:paraId="4CD00E3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20- 50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[60]</w:t>
            </w:r>
          </w:p>
        </w:tc>
        <w:tc>
          <w:tcPr>
            <w:tcW w:w="2206" w:type="dxa"/>
            <w:vMerge/>
          </w:tcPr>
          <w:p w14:paraId="64BE41F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1F5E02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0A5D55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66D8909A" w14:textId="77777777" w:rsidTr="00895F32">
        <w:trPr>
          <w:jc w:val="center"/>
        </w:trPr>
        <w:tc>
          <w:tcPr>
            <w:tcW w:w="1654" w:type="dxa"/>
            <w:vMerge/>
          </w:tcPr>
          <w:p w14:paraId="49587A9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62647CC6" w14:textId="34E080F6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Dairy products</w:t>
            </w:r>
          </w:p>
        </w:tc>
        <w:tc>
          <w:tcPr>
            <w:tcW w:w="2398" w:type="dxa"/>
            <w:vMerge/>
          </w:tcPr>
          <w:p w14:paraId="4413AA6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417DB9B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F49879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2E30F2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BC95BE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1C1C01F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36234B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03262231" w14:textId="61D28DCF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Eggs</w:t>
            </w:r>
          </w:p>
        </w:tc>
        <w:tc>
          <w:tcPr>
            <w:tcW w:w="2398" w:type="dxa"/>
            <w:vMerge/>
          </w:tcPr>
          <w:p w14:paraId="68FA750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B67CB4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7EF70A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7C1F10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647F65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33744B3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6389C71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37A79D3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3446207E" w14:textId="10E4F0C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Increased antimicrobial protein production</w:t>
            </w:r>
          </w:p>
        </w:tc>
        <w:tc>
          <w:tcPr>
            <w:tcW w:w="1856" w:type="dxa"/>
            <w:vMerge/>
          </w:tcPr>
          <w:p w14:paraId="0159446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8A14FC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F7F2A0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C7C9A4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F645F84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734C833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59523DE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431DA2D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2FD808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3238942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NCT04344041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[62]</w:t>
            </w:r>
          </w:p>
        </w:tc>
        <w:tc>
          <w:tcPr>
            <w:tcW w:w="2977" w:type="dxa"/>
            <w:vMerge w:val="restart"/>
          </w:tcPr>
          <w:p w14:paraId="3F97B511" w14:textId="3C5B328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400000 IU/or 50000 IU</w:t>
            </w:r>
          </w:p>
        </w:tc>
        <w:tc>
          <w:tcPr>
            <w:tcW w:w="2938" w:type="dxa"/>
            <w:vMerge w:val="restart"/>
          </w:tcPr>
          <w:p w14:paraId="32E391FD" w14:textId="12ACB0C8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Serum 25(OH)D3 changes during treatment</w:t>
            </w:r>
          </w:p>
        </w:tc>
      </w:tr>
      <w:tr w:rsidR="00895F32" w:rsidRPr="00895F32" w14:paraId="4A6ADF66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6E5F5D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4F1579A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Fish</w:t>
            </w:r>
          </w:p>
        </w:tc>
        <w:tc>
          <w:tcPr>
            <w:tcW w:w="2398" w:type="dxa"/>
            <w:vMerge/>
          </w:tcPr>
          <w:p w14:paraId="05E98E4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C042EF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78B305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1C98B3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BEF67B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89E0B20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FA62A0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04A677E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474DDB5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Anti-inflammatory state</w:t>
            </w:r>
          </w:p>
          <w:p w14:paraId="015399D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ACE2 and other members of the RAS expression</w:t>
            </w:r>
          </w:p>
        </w:tc>
        <w:tc>
          <w:tcPr>
            <w:tcW w:w="1856" w:type="dxa"/>
            <w:vMerge/>
          </w:tcPr>
          <w:p w14:paraId="7F417F4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EBDC80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21AE865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F645F0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9C50B0" w:rsidRPr="00895F32" w14:paraId="4DB9D22C" w14:textId="77777777" w:rsidTr="00895F32">
        <w:trPr>
          <w:jc w:val="center"/>
        </w:trPr>
        <w:tc>
          <w:tcPr>
            <w:tcW w:w="1654" w:type="dxa"/>
            <w:vMerge/>
          </w:tcPr>
          <w:p w14:paraId="28B1252B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2EEBB0C6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22E960B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E301C94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</w:tcPr>
          <w:p w14:paraId="46C53A46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NCT04636086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[63]</w:t>
            </w:r>
          </w:p>
        </w:tc>
        <w:tc>
          <w:tcPr>
            <w:tcW w:w="2977" w:type="dxa"/>
          </w:tcPr>
          <w:p w14:paraId="17596779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50000 IU vitamin D</w:t>
            </w:r>
          </w:p>
          <w:p w14:paraId="5BE350D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25000 IU vitamin D</w:t>
            </w:r>
          </w:p>
          <w:p w14:paraId="3AA137AD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days 1-4, 8,15, 22, 29 and 36</w:t>
            </w:r>
          </w:p>
        </w:tc>
        <w:tc>
          <w:tcPr>
            <w:tcW w:w="2938" w:type="dxa"/>
          </w:tcPr>
          <w:p w14:paraId="55E1AD15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Vitamin D serum concentration,</w:t>
            </w: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895F32">
              <w:rPr>
                <w:rFonts w:ascii="Book Antiqua" w:hAnsi="Book Antiqua"/>
                <w:color w:val="000000" w:themeColor="text1"/>
              </w:rPr>
              <w:t>clinical improvement,</w:t>
            </w: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895F32">
              <w:rPr>
                <w:rFonts w:ascii="Book Antiqua" w:hAnsi="Book Antiqua"/>
                <w:color w:val="000000" w:themeColor="text1"/>
              </w:rPr>
              <w:t>biological markers</w:t>
            </w:r>
          </w:p>
        </w:tc>
      </w:tr>
      <w:tr w:rsidR="009C50B0" w:rsidRPr="00895F32" w14:paraId="05061DD1" w14:textId="77777777" w:rsidTr="00895F32">
        <w:trPr>
          <w:jc w:val="center"/>
        </w:trPr>
        <w:tc>
          <w:tcPr>
            <w:tcW w:w="1654" w:type="dxa"/>
            <w:vMerge/>
          </w:tcPr>
          <w:p w14:paraId="6CC0D020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3BFD5C4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01C9E4FE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3962858B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</w:tcPr>
          <w:p w14:paraId="13A9F1DA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NCT04621058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[64]</w:t>
            </w:r>
          </w:p>
        </w:tc>
        <w:tc>
          <w:tcPr>
            <w:tcW w:w="2977" w:type="dxa"/>
          </w:tcPr>
          <w:p w14:paraId="79B00631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D deficiency </w:t>
            </w:r>
          </w:p>
          <w:p w14:paraId="70EA895F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(&lt; 30 ng/mL) 0.532 mg vitamin D (&lt; 40 ng/mL): 0.266 mg vitamin D</w:t>
            </w:r>
          </w:p>
        </w:tc>
        <w:tc>
          <w:tcPr>
            <w:tcW w:w="2938" w:type="dxa"/>
          </w:tcPr>
          <w:p w14:paraId="70A50036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Mortality reduction, lent of hospital reduction</w:t>
            </w:r>
          </w:p>
        </w:tc>
      </w:tr>
      <w:tr w:rsidR="009C50B0" w:rsidRPr="00895F32" w14:paraId="5B5702EF" w14:textId="77777777" w:rsidTr="00895F32">
        <w:trPr>
          <w:jc w:val="center"/>
        </w:trPr>
        <w:tc>
          <w:tcPr>
            <w:tcW w:w="1654" w:type="dxa"/>
            <w:vMerge/>
          </w:tcPr>
          <w:p w14:paraId="56B29AB0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1CE541E2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221D3CD1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6B2DCDD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</w:tcPr>
          <w:p w14:paraId="26CFFA4E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NCT04483635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[65]</w:t>
            </w:r>
          </w:p>
        </w:tc>
        <w:tc>
          <w:tcPr>
            <w:tcW w:w="2977" w:type="dxa"/>
          </w:tcPr>
          <w:p w14:paraId="13C24B05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100000 IU vitamin D tab. baseline + 10000 IU/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14:paraId="1FC4B9A3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16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2938" w:type="dxa"/>
          </w:tcPr>
          <w:p w14:paraId="59126C3E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Change in incidence laboratory-confirmed</w:t>
            </w:r>
          </w:p>
          <w:p w14:paraId="32CF720C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COVID-19 infection</w:t>
            </w:r>
          </w:p>
        </w:tc>
      </w:tr>
      <w:tr w:rsidR="009C50B0" w:rsidRPr="00895F32" w14:paraId="7080CEAA" w14:textId="77777777" w:rsidTr="00895F32">
        <w:trPr>
          <w:jc w:val="center"/>
        </w:trPr>
        <w:tc>
          <w:tcPr>
            <w:tcW w:w="1654" w:type="dxa"/>
            <w:vMerge/>
          </w:tcPr>
          <w:p w14:paraId="34187D1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2A83B545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19CDF0B6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0C982507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</w:tcPr>
          <w:p w14:paraId="43D125C8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NCT04386850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[66]</w:t>
            </w:r>
          </w:p>
        </w:tc>
        <w:tc>
          <w:tcPr>
            <w:tcW w:w="2977" w:type="dxa"/>
          </w:tcPr>
          <w:p w14:paraId="49A331E3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25 µg 25(OH)D3</w:t>
            </w:r>
          </w:p>
          <w:p w14:paraId="14BDAF34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2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mo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2938" w:type="dxa"/>
          </w:tcPr>
          <w:p w14:paraId="4BF71A48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Hospitalization, disease duration,</w:t>
            </w:r>
          </w:p>
          <w:p w14:paraId="61B8256E" w14:textId="77777777" w:rsidR="00B17ACB" w:rsidRPr="00895F32" w:rsidRDefault="00B17ACB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lastRenderedPageBreak/>
              <w:t>death, mortality, ventilation</w:t>
            </w:r>
          </w:p>
        </w:tc>
      </w:tr>
      <w:tr w:rsidR="00895F32" w:rsidRPr="00895F32" w14:paraId="636C0580" w14:textId="77777777" w:rsidTr="00895F32">
        <w:trPr>
          <w:jc w:val="center"/>
        </w:trPr>
        <w:tc>
          <w:tcPr>
            <w:tcW w:w="1654" w:type="dxa"/>
            <w:vMerge w:val="restart"/>
          </w:tcPr>
          <w:p w14:paraId="18854A9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lastRenderedPageBreak/>
              <w:t>Vitamin C</w:t>
            </w:r>
          </w:p>
        </w:tc>
        <w:tc>
          <w:tcPr>
            <w:tcW w:w="1520" w:type="dxa"/>
            <w:vAlign w:val="center"/>
          </w:tcPr>
          <w:p w14:paraId="637260DA" w14:textId="30B5953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Oranges</w:t>
            </w:r>
          </w:p>
        </w:tc>
        <w:tc>
          <w:tcPr>
            <w:tcW w:w="2398" w:type="dxa"/>
            <w:vMerge w:val="restart"/>
          </w:tcPr>
          <w:p w14:paraId="35FA802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Antioxidant capacity</w:t>
            </w:r>
          </w:p>
          <w:p w14:paraId="124E425D" w14:textId="6D2368FF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Immunomodulatory effects on interferon production</w:t>
            </w:r>
          </w:p>
        </w:tc>
        <w:tc>
          <w:tcPr>
            <w:tcW w:w="1856" w:type="dxa"/>
            <w:vMerge w:val="restart"/>
          </w:tcPr>
          <w:p w14:paraId="5F54A62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40-80 mg </w:t>
            </w:r>
          </w:p>
          <w:p w14:paraId="4D77F59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  <w:p w14:paraId="2652C44F" w14:textId="6A3A84C8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6–8 g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[77]</w:t>
            </w:r>
          </w:p>
        </w:tc>
        <w:tc>
          <w:tcPr>
            <w:tcW w:w="2206" w:type="dxa"/>
            <w:vMerge w:val="restart"/>
          </w:tcPr>
          <w:p w14:paraId="5041D9E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NCT04323514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[74]</w:t>
            </w:r>
          </w:p>
        </w:tc>
        <w:tc>
          <w:tcPr>
            <w:tcW w:w="2977" w:type="dxa"/>
            <w:vMerge w:val="restart"/>
          </w:tcPr>
          <w:p w14:paraId="0951262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10 g vitamin C infusion</w:t>
            </w:r>
          </w:p>
        </w:tc>
        <w:tc>
          <w:tcPr>
            <w:tcW w:w="2938" w:type="dxa"/>
            <w:vMerge w:val="restart"/>
          </w:tcPr>
          <w:p w14:paraId="093222C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Hospital mortality</w:t>
            </w:r>
          </w:p>
        </w:tc>
      </w:tr>
      <w:tr w:rsidR="00895F32" w:rsidRPr="00895F32" w14:paraId="78C823B7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11F5686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0EB8E6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Lemon </w:t>
            </w:r>
          </w:p>
          <w:p w14:paraId="0EB1FAE7" w14:textId="63442A68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Green and red peppers</w:t>
            </w:r>
          </w:p>
        </w:tc>
        <w:tc>
          <w:tcPr>
            <w:tcW w:w="2398" w:type="dxa"/>
            <w:vMerge/>
          </w:tcPr>
          <w:p w14:paraId="5CF3231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76962BE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A1E409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5A193D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2B159A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80DBACC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421BF2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  <w:vAlign w:val="center"/>
          </w:tcPr>
          <w:p w14:paraId="4544C40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7A21E3C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012C97A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26C2781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NCT04530539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[75]</w:t>
            </w:r>
          </w:p>
        </w:tc>
        <w:tc>
          <w:tcPr>
            <w:tcW w:w="2977" w:type="dxa"/>
            <w:vMerge w:val="restart"/>
          </w:tcPr>
          <w:p w14:paraId="0D85304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1000 mg vitamin C</w:t>
            </w:r>
          </w:p>
        </w:tc>
        <w:tc>
          <w:tcPr>
            <w:tcW w:w="2938" w:type="dxa"/>
            <w:vMerge w:val="restart"/>
          </w:tcPr>
          <w:p w14:paraId="499A85D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Severity of symptoms </w:t>
            </w:r>
          </w:p>
        </w:tc>
      </w:tr>
      <w:tr w:rsidR="00895F32" w:rsidRPr="00895F32" w14:paraId="2F91584E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43C5896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0C340C0F" w14:textId="0201C43A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Tomato</w:t>
            </w:r>
          </w:p>
        </w:tc>
        <w:tc>
          <w:tcPr>
            <w:tcW w:w="2398" w:type="dxa"/>
            <w:vMerge/>
          </w:tcPr>
          <w:p w14:paraId="43BF494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1C6C157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980782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08E6F0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346009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02E7E54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05E4E40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  <w:vAlign w:val="center"/>
          </w:tcPr>
          <w:p w14:paraId="390C4EF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283D0CBA" w14:textId="5E5B3C4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Cytokine production down-regulation</w:t>
            </w:r>
          </w:p>
        </w:tc>
        <w:tc>
          <w:tcPr>
            <w:tcW w:w="1856" w:type="dxa"/>
            <w:vMerge/>
          </w:tcPr>
          <w:p w14:paraId="491E169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2562CC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EFF7F9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ACDB1E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5B11B8C" w14:textId="77777777" w:rsidTr="00895F32">
        <w:trPr>
          <w:jc w:val="center"/>
        </w:trPr>
        <w:tc>
          <w:tcPr>
            <w:tcW w:w="1654" w:type="dxa"/>
            <w:vMerge/>
          </w:tcPr>
          <w:p w14:paraId="4ECFD24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15C25572" w14:textId="2DF64EB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Broccoli</w:t>
            </w:r>
          </w:p>
        </w:tc>
        <w:tc>
          <w:tcPr>
            <w:tcW w:w="2398" w:type="dxa"/>
            <w:vMerge/>
          </w:tcPr>
          <w:p w14:paraId="5B54A89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9D583B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F2A3CB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269599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E9F70A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2A561E0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21F8007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  <w:vAlign w:val="center"/>
          </w:tcPr>
          <w:p w14:paraId="423726E1" w14:textId="0CA33FC8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Brussel sprouts </w:t>
            </w:r>
          </w:p>
        </w:tc>
        <w:tc>
          <w:tcPr>
            <w:tcW w:w="2398" w:type="dxa"/>
            <w:vMerge/>
          </w:tcPr>
          <w:p w14:paraId="58DB686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7441B32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1783AB2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14AB17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98807F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6E06D61C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1C407E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  <w:vAlign w:val="center"/>
          </w:tcPr>
          <w:p w14:paraId="687073B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3D155B2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7755B45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2DF34B2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NCT04682574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[76]</w:t>
            </w:r>
          </w:p>
        </w:tc>
        <w:tc>
          <w:tcPr>
            <w:tcW w:w="2977" w:type="dxa"/>
            <w:vMerge w:val="restart"/>
          </w:tcPr>
          <w:p w14:paraId="6997458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30 g/d 2 d with standard treatment</w:t>
            </w:r>
          </w:p>
        </w:tc>
        <w:tc>
          <w:tcPr>
            <w:tcW w:w="2938" w:type="dxa"/>
            <w:vMerge w:val="restart"/>
          </w:tcPr>
          <w:p w14:paraId="6B53198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Partial pressure of oxygen in arterial blood to fraction of inspired oxygen </w:t>
            </w:r>
          </w:p>
        </w:tc>
      </w:tr>
      <w:tr w:rsidR="00895F32" w:rsidRPr="00895F32" w14:paraId="2A7D7A3D" w14:textId="77777777" w:rsidTr="00895F32">
        <w:trPr>
          <w:jc w:val="center"/>
        </w:trPr>
        <w:tc>
          <w:tcPr>
            <w:tcW w:w="1654" w:type="dxa"/>
            <w:vMerge/>
          </w:tcPr>
          <w:p w14:paraId="377E0B9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798F9929" w14:textId="09B76698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Cabbage </w:t>
            </w:r>
          </w:p>
        </w:tc>
        <w:tc>
          <w:tcPr>
            <w:tcW w:w="2398" w:type="dxa"/>
            <w:vMerge/>
          </w:tcPr>
          <w:p w14:paraId="14F3BD0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5A73DD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BFD00F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41B71C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BE8BBE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5EB5C6C" w14:textId="77777777" w:rsidTr="00895F32">
        <w:trPr>
          <w:jc w:val="center"/>
        </w:trPr>
        <w:tc>
          <w:tcPr>
            <w:tcW w:w="1654" w:type="dxa"/>
            <w:vMerge/>
          </w:tcPr>
          <w:p w14:paraId="1A38394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79FA8593" w14:textId="12BA648E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Cauliflower </w:t>
            </w:r>
          </w:p>
        </w:tc>
        <w:tc>
          <w:tcPr>
            <w:tcW w:w="2398" w:type="dxa"/>
            <w:vMerge/>
          </w:tcPr>
          <w:p w14:paraId="1AE3535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1E01CD1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626791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D008A5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8C76E9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2DEC923" w14:textId="77777777" w:rsidTr="00895F32">
        <w:trPr>
          <w:jc w:val="center"/>
        </w:trPr>
        <w:tc>
          <w:tcPr>
            <w:tcW w:w="1654" w:type="dxa"/>
            <w:vMerge/>
          </w:tcPr>
          <w:p w14:paraId="235222F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2114F1D8" w14:textId="0CCA6169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Spinach </w:t>
            </w:r>
          </w:p>
        </w:tc>
        <w:tc>
          <w:tcPr>
            <w:tcW w:w="2398" w:type="dxa"/>
            <w:vMerge/>
          </w:tcPr>
          <w:p w14:paraId="3B8EAC3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B7144B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365398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D5CDA5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E32186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91CAC5C" w14:textId="77777777" w:rsidTr="00895F32">
        <w:trPr>
          <w:jc w:val="center"/>
        </w:trPr>
        <w:tc>
          <w:tcPr>
            <w:tcW w:w="1654" w:type="dxa"/>
            <w:vMerge/>
          </w:tcPr>
          <w:p w14:paraId="7E2068C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3C5F9033" w14:textId="0D1B80E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Sweet potato</w:t>
            </w:r>
          </w:p>
        </w:tc>
        <w:tc>
          <w:tcPr>
            <w:tcW w:w="2398" w:type="dxa"/>
            <w:vMerge/>
          </w:tcPr>
          <w:p w14:paraId="392BD78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1F76E0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C45715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F19EC2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0863E9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23CBDB6" w14:textId="77777777" w:rsidTr="00895F32">
        <w:trPr>
          <w:jc w:val="center"/>
        </w:trPr>
        <w:tc>
          <w:tcPr>
            <w:tcW w:w="1654" w:type="dxa"/>
            <w:vMerge/>
          </w:tcPr>
          <w:p w14:paraId="7ED9F9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Align w:val="center"/>
          </w:tcPr>
          <w:p w14:paraId="0B544B8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Winter squash</w:t>
            </w:r>
          </w:p>
        </w:tc>
        <w:tc>
          <w:tcPr>
            <w:tcW w:w="2398" w:type="dxa"/>
            <w:vMerge/>
          </w:tcPr>
          <w:p w14:paraId="3BE1B68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D24665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877A0E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065853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1B4055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0DDAB55" w14:textId="77777777" w:rsidTr="00895F32">
        <w:trPr>
          <w:jc w:val="center"/>
        </w:trPr>
        <w:tc>
          <w:tcPr>
            <w:tcW w:w="1654" w:type="dxa"/>
            <w:vMerge w:val="restart"/>
          </w:tcPr>
          <w:p w14:paraId="1750E57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Vitamin E</w:t>
            </w:r>
          </w:p>
        </w:tc>
        <w:tc>
          <w:tcPr>
            <w:tcW w:w="1520" w:type="dxa"/>
            <w:vMerge w:val="restart"/>
          </w:tcPr>
          <w:p w14:paraId="2E792DFA" w14:textId="48B86FF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Sunflower seeds</w:t>
            </w:r>
          </w:p>
        </w:tc>
        <w:tc>
          <w:tcPr>
            <w:tcW w:w="2398" w:type="dxa"/>
          </w:tcPr>
          <w:p w14:paraId="407EFC17" w14:textId="641FE1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Antioxidant action</w:t>
            </w:r>
          </w:p>
        </w:tc>
        <w:tc>
          <w:tcPr>
            <w:tcW w:w="1856" w:type="dxa"/>
          </w:tcPr>
          <w:p w14:paraId="3E54B880" w14:textId="6EF62FF0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7–10 mg</w:t>
            </w:r>
          </w:p>
        </w:tc>
        <w:tc>
          <w:tcPr>
            <w:tcW w:w="2206" w:type="dxa"/>
            <w:vMerge w:val="restart"/>
          </w:tcPr>
          <w:p w14:paraId="5336E28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7B9C978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 w:val="restart"/>
          </w:tcPr>
          <w:p w14:paraId="416DEB0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700B112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109C7BE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5E490F4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6AA2017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Immunomodulatory effects</w:t>
            </w:r>
          </w:p>
          <w:p w14:paraId="33DBD48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 w:val="restart"/>
          </w:tcPr>
          <w:p w14:paraId="1375590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30–200 mg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 xml:space="preserve">[82] </w:t>
            </w:r>
            <w:r w:rsidRPr="00895F32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2206" w:type="dxa"/>
            <w:vMerge/>
          </w:tcPr>
          <w:p w14:paraId="17E4F91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63402B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459759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74EFC8D" w14:textId="77777777" w:rsidTr="00895F32">
        <w:trPr>
          <w:jc w:val="center"/>
        </w:trPr>
        <w:tc>
          <w:tcPr>
            <w:tcW w:w="1654" w:type="dxa"/>
            <w:vMerge/>
          </w:tcPr>
          <w:p w14:paraId="0F0AF32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321E0245" w14:textId="3A2BB5F3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Nuts</w:t>
            </w:r>
          </w:p>
        </w:tc>
        <w:tc>
          <w:tcPr>
            <w:tcW w:w="2398" w:type="dxa"/>
            <w:vMerge/>
          </w:tcPr>
          <w:p w14:paraId="4449DD4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0BA6F7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B53FCE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01B0D3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8D7511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D96C33C" w14:textId="77777777" w:rsidTr="00895F32">
        <w:trPr>
          <w:jc w:val="center"/>
        </w:trPr>
        <w:tc>
          <w:tcPr>
            <w:tcW w:w="1654" w:type="dxa"/>
            <w:vMerge/>
          </w:tcPr>
          <w:p w14:paraId="4B80172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0C047C79" w14:textId="3EDE0F5D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Almonds</w:t>
            </w:r>
          </w:p>
        </w:tc>
        <w:tc>
          <w:tcPr>
            <w:tcW w:w="2398" w:type="dxa"/>
            <w:vMerge/>
          </w:tcPr>
          <w:p w14:paraId="2327F0D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4E50565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B0DB58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7F8E48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264517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EABFE74" w14:textId="77777777" w:rsidTr="00895F32">
        <w:trPr>
          <w:jc w:val="center"/>
        </w:trPr>
        <w:tc>
          <w:tcPr>
            <w:tcW w:w="1654" w:type="dxa"/>
            <w:vMerge/>
          </w:tcPr>
          <w:p w14:paraId="1F0E112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9B54BCD" w14:textId="3C8EE550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Blueberries</w:t>
            </w:r>
          </w:p>
        </w:tc>
        <w:tc>
          <w:tcPr>
            <w:tcW w:w="2398" w:type="dxa"/>
            <w:vMerge/>
          </w:tcPr>
          <w:p w14:paraId="3B29E59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15AB8D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071CCC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8CA8CE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D8BFE6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5DB56AD" w14:textId="77777777" w:rsidTr="00895F32">
        <w:trPr>
          <w:jc w:val="center"/>
        </w:trPr>
        <w:tc>
          <w:tcPr>
            <w:tcW w:w="1654" w:type="dxa"/>
            <w:vMerge/>
          </w:tcPr>
          <w:p w14:paraId="2FA5A0F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001E3619" w14:textId="10A555AE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Kivi</w:t>
            </w:r>
            <w:proofErr w:type="spellEnd"/>
          </w:p>
        </w:tc>
        <w:tc>
          <w:tcPr>
            <w:tcW w:w="2398" w:type="dxa"/>
            <w:vMerge/>
          </w:tcPr>
          <w:p w14:paraId="220E204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12F9B47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108D0B9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E01F82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C9972F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791DF36" w14:textId="77777777" w:rsidTr="00895F32">
        <w:trPr>
          <w:jc w:val="center"/>
        </w:trPr>
        <w:tc>
          <w:tcPr>
            <w:tcW w:w="1654" w:type="dxa"/>
            <w:vMerge/>
          </w:tcPr>
          <w:p w14:paraId="23EAA7E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C38011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Broccoli</w:t>
            </w:r>
          </w:p>
        </w:tc>
        <w:tc>
          <w:tcPr>
            <w:tcW w:w="2398" w:type="dxa"/>
            <w:vMerge/>
          </w:tcPr>
          <w:p w14:paraId="0B8F983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1ECF585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137DAE3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7916A4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0A791D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AFD8E1D" w14:textId="77777777" w:rsidTr="00895F32">
        <w:trPr>
          <w:jc w:val="center"/>
        </w:trPr>
        <w:tc>
          <w:tcPr>
            <w:tcW w:w="1654" w:type="dxa"/>
            <w:vMerge w:val="restart"/>
          </w:tcPr>
          <w:p w14:paraId="43029C2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Zinc</w:t>
            </w:r>
          </w:p>
        </w:tc>
        <w:tc>
          <w:tcPr>
            <w:tcW w:w="1520" w:type="dxa"/>
            <w:vMerge w:val="restart"/>
          </w:tcPr>
          <w:p w14:paraId="2F2A3141" w14:textId="3EC6740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Pumpkin and squash seeds Nuts</w:t>
            </w:r>
          </w:p>
        </w:tc>
        <w:tc>
          <w:tcPr>
            <w:tcW w:w="2398" w:type="dxa"/>
            <w:vMerge w:val="restart"/>
          </w:tcPr>
          <w:p w14:paraId="52C34D1C" w14:textId="503CC7B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Reduces ROS in viral infections</w:t>
            </w:r>
          </w:p>
        </w:tc>
        <w:tc>
          <w:tcPr>
            <w:tcW w:w="1856" w:type="dxa"/>
          </w:tcPr>
          <w:p w14:paraId="2971FFB1" w14:textId="6A048B0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8–14 mg</w:t>
            </w:r>
          </w:p>
          <w:p w14:paraId="44C354FE" w14:textId="419D2783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14A06E4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NCT04335084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[90]</w:t>
            </w:r>
          </w:p>
        </w:tc>
        <w:tc>
          <w:tcPr>
            <w:tcW w:w="2977" w:type="dxa"/>
            <w:vMerge w:val="restart"/>
          </w:tcPr>
          <w:p w14:paraId="69B2DFF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Zinc, vitamin D, vitamin C 12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and </w:t>
            </w:r>
          </w:p>
          <w:p w14:paraId="0E463E6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hydroxychloroquine for 1 d</w:t>
            </w:r>
          </w:p>
        </w:tc>
        <w:tc>
          <w:tcPr>
            <w:tcW w:w="2938" w:type="dxa"/>
            <w:vMerge w:val="restart"/>
          </w:tcPr>
          <w:p w14:paraId="37D5AA9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Prevention of COVID-19 symptoms recorded in a daily diary</w:t>
            </w:r>
          </w:p>
        </w:tc>
      </w:tr>
      <w:tr w:rsidR="00895F32" w:rsidRPr="00895F32" w14:paraId="023AB094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017F0B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01FAB37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09C285B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 w:val="restart"/>
          </w:tcPr>
          <w:p w14:paraId="06907B0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30–50 mg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[43]</w:t>
            </w:r>
          </w:p>
        </w:tc>
        <w:tc>
          <w:tcPr>
            <w:tcW w:w="2206" w:type="dxa"/>
            <w:vMerge/>
          </w:tcPr>
          <w:p w14:paraId="6FCCC04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CF9A43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01DCC7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AC45237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3F2785E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6A491DB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1206397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Replication inhibition</w:t>
            </w:r>
          </w:p>
        </w:tc>
        <w:tc>
          <w:tcPr>
            <w:tcW w:w="1856" w:type="dxa"/>
            <w:vMerge/>
          </w:tcPr>
          <w:p w14:paraId="13D8773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7261FD5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440478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104A89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D17558E" w14:textId="77777777" w:rsidTr="00895F32">
        <w:trPr>
          <w:jc w:val="center"/>
        </w:trPr>
        <w:tc>
          <w:tcPr>
            <w:tcW w:w="1654" w:type="dxa"/>
            <w:vMerge/>
          </w:tcPr>
          <w:p w14:paraId="26CBDBD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5BC9838" w14:textId="5DF6986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Soybean </w:t>
            </w:r>
          </w:p>
        </w:tc>
        <w:tc>
          <w:tcPr>
            <w:tcW w:w="2398" w:type="dxa"/>
            <w:vMerge/>
          </w:tcPr>
          <w:p w14:paraId="5F289E7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3455353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3E873D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7B0397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4E9AA0C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CB9F527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5B66CD6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11E1F2DC" w14:textId="10F4945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Beef </w:t>
            </w:r>
          </w:p>
        </w:tc>
        <w:tc>
          <w:tcPr>
            <w:tcW w:w="2398" w:type="dxa"/>
            <w:vMerge/>
          </w:tcPr>
          <w:p w14:paraId="242E95A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2A2EDB5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2A165A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64C4C73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C1AD71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B57993E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05CE492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55D875C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6C2AC6ED" w14:textId="138F043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Immunomodulatory effects</w:t>
            </w:r>
          </w:p>
        </w:tc>
        <w:tc>
          <w:tcPr>
            <w:tcW w:w="1856" w:type="dxa"/>
            <w:vMerge/>
          </w:tcPr>
          <w:p w14:paraId="401E736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B3EE3D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66B8186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F8E261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061C7E6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688F90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66B14202" w14:textId="1B77243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Mollusks </w:t>
            </w:r>
          </w:p>
        </w:tc>
        <w:tc>
          <w:tcPr>
            <w:tcW w:w="2398" w:type="dxa"/>
            <w:vMerge/>
          </w:tcPr>
          <w:p w14:paraId="393E374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22DB252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C2D809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8AB13E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62624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68EFB453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2951CA0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41BF2DD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5E4DF0F6" w14:textId="5A09008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Antibody production</w:t>
            </w:r>
          </w:p>
        </w:tc>
        <w:tc>
          <w:tcPr>
            <w:tcW w:w="1856" w:type="dxa"/>
            <w:vMerge/>
          </w:tcPr>
          <w:p w14:paraId="6F21EA2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31FC8E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56A584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BCA3F6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6662AB6D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353B0C3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3550A41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Lamb</w:t>
            </w:r>
          </w:p>
        </w:tc>
        <w:tc>
          <w:tcPr>
            <w:tcW w:w="2398" w:type="dxa"/>
            <w:vMerge/>
          </w:tcPr>
          <w:p w14:paraId="71B33DA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0451E85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54B515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57D04A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828200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7822949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21BD061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6BA057D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0156634B" w14:textId="43CFE213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NK cell activity</w:t>
            </w:r>
          </w:p>
        </w:tc>
        <w:tc>
          <w:tcPr>
            <w:tcW w:w="1856" w:type="dxa"/>
            <w:vMerge/>
          </w:tcPr>
          <w:p w14:paraId="6A2BF0B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32BE665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D69C07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D09AE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EA851DE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0C39816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 w:val="restart"/>
          </w:tcPr>
          <w:p w14:paraId="1527156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176DE6D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E3DA3B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DBD921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C9B7A6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3B4157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1848097" w14:textId="77777777" w:rsidTr="00895F32">
        <w:trPr>
          <w:jc w:val="center"/>
        </w:trPr>
        <w:tc>
          <w:tcPr>
            <w:tcW w:w="1654" w:type="dxa"/>
            <w:vMerge/>
          </w:tcPr>
          <w:p w14:paraId="6E25403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261D58B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</w:tcPr>
          <w:p w14:paraId="4EE1637C" w14:textId="75E1BABB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Cytokine production by mononuclear cells</w:t>
            </w:r>
          </w:p>
        </w:tc>
        <w:tc>
          <w:tcPr>
            <w:tcW w:w="1856" w:type="dxa"/>
            <w:vMerge/>
          </w:tcPr>
          <w:p w14:paraId="37B2615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14C2F0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2B4E7C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12C74A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9067254" w14:textId="77777777" w:rsidTr="00895F32">
        <w:trPr>
          <w:jc w:val="center"/>
        </w:trPr>
        <w:tc>
          <w:tcPr>
            <w:tcW w:w="1654" w:type="dxa"/>
            <w:vMerge/>
          </w:tcPr>
          <w:p w14:paraId="4CE7178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587D859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</w:tcPr>
          <w:p w14:paraId="627A772C" w14:textId="45AE9F0F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Chemotaxis response reduction</w:t>
            </w:r>
          </w:p>
        </w:tc>
        <w:tc>
          <w:tcPr>
            <w:tcW w:w="1856" w:type="dxa"/>
            <w:vMerge/>
          </w:tcPr>
          <w:p w14:paraId="0F3ACF3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E2C50F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652AE15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91440C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C2F302C" w14:textId="77777777" w:rsidTr="00895F32">
        <w:trPr>
          <w:jc w:val="center"/>
        </w:trPr>
        <w:tc>
          <w:tcPr>
            <w:tcW w:w="1654" w:type="dxa"/>
            <w:vMerge/>
          </w:tcPr>
          <w:p w14:paraId="2DB4536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79EF42B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</w:tcPr>
          <w:p w14:paraId="6AE06E0E" w14:textId="6EC80010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Neutrophil respiratory burst reduction</w:t>
            </w:r>
          </w:p>
        </w:tc>
        <w:tc>
          <w:tcPr>
            <w:tcW w:w="1856" w:type="dxa"/>
            <w:vMerge/>
          </w:tcPr>
          <w:p w14:paraId="3EEAF2D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56720CC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060E16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4FB3B4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814537A" w14:textId="77777777" w:rsidTr="00895F32">
        <w:trPr>
          <w:jc w:val="center"/>
        </w:trPr>
        <w:tc>
          <w:tcPr>
            <w:tcW w:w="1654" w:type="dxa"/>
            <w:vMerge w:val="restart"/>
          </w:tcPr>
          <w:p w14:paraId="0C41B7A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Selenium </w:t>
            </w:r>
          </w:p>
        </w:tc>
        <w:tc>
          <w:tcPr>
            <w:tcW w:w="1520" w:type="dxa"/>
          </w:tcPr>
          <w:p w14:paraId="18503E3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 xml:space="preserve">Sunflower seeds </w:t>
            </w:r>
          </w:p>
          <w:p w14:paraId="56B382A1" w14:textId="1738DD0D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>Coconut meat</w:t>
            </w:r>
          </w:p>
        </w:tc>
        <w:tc>
          <w:tcPr>
            <w:tcW w:w="2398" w:type="dxa"/>
            <w:vMerge w:val="restart"/>
          </w:tcPr>
          <w:p w14:paraId="3FA7484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Antioxidant balance</w:t>
            </w:r>
          </w:p>
          <w:p w14:paraId="0F8BE9C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ROS balance in inflammatory processes </w:t>
            </w:r>
          </w:p>
          <w:p w14:paraId="0594ADB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 w:val="restart"/>
          </w:tcPr>
          <w:p w14:paraId="33DA372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60–70 mg</w:t>
            </w:r>
          </w:p>
          <w:p w14:paraId="55839B6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34EE9BE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40DF0D8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 w:val="restart"/>
          </w:tcPr>
          <w:p w14:paraId="481711D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CAAFEC1" w14:textId="77777777" w:rsidTr="00895F32">
        <w:trPr>
          <w:jc w:val="center"/>
        </w:trPr>
        <w:tc>
          <w:tcPr>
            <w:tcW w:w="1654" w:type="dxa"/>
            <w:vMerge/>
          </w:tcPr>
          <w:p w14:paraId="1719BF0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51C13785" w14:textId="09847E9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895F32">
              <w:rPr>
                <w:rFonts w:ascii="Book Antiqua" w:hAnsi="Book Antiqua" w:cs="Times New Roman"/>
                <w:color w:val="000000" w:themeColor="text1"/>
              </w:rPr>
              <w:br/>
              <w:t xml:space="preserve">Mollusks </w:t>
            </w:r>
          </w:p>
        </w:tc>
        <w:tc>
          <w:tcPr>
            <w:tcW w:w="2398" w:type="dxa"/>
            <w:vMerge/>
          </w:tcPr>
          <w:p w14:paraId="7C7BBEF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3259AE7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3586258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65B7FC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2F41717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7D1C2BD" w14:textId="77777777" w:rsidTr="00895F32">
        <w:trPr>
          <w:jc w:val="center"/>
        </w:trPr>
        <w:tc>
          <w:tcPr>
            <w:tcW w:w="1654" w:type="dxa"/>
            <w:vMerge/>
          </w:tcPr>
          <w:p w14:paraId="39FD57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47248263" w14:textId="58E2B5D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 xml:space="preserve">Salmon </w:t>
            </w:r>
          </w:p>
        </w:tc>
        <w:tc>
          <w:tcPr>
            <w:tcW w:w="2398" w:type="dxa"/>
            <w:vMerge/>
          </w:tcPr>
          <w:p w14:paraId="5EAAD9C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B71312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078B10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12BB13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43B08E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3F0737B" w14:textId="77777777" w:rsidTr="00895F32">
        <w:trPr>
          <w:jc w:val="center"/>
        </w:trPr>
        <w:tc>
          <w:tcPr>
            <w:tcW w:w="1654" w:type="dxa"/>
            <w:vMerge/>
          </w:tcPr>
          <w:p w14:paraId="0C1F5F8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2A9FC483" w14:textId="7AA9F283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>Turkey</w:t>
            </w:r>
          </w:p>
        </w:tc>
        <w:tc>
          <w:tcPr>
            <w:tcW w:w="2398" w:type="dxa"/>
            <w:vMerge/>
          </w:tcPr>
          <w:p w14:paraId="4E42979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6BBEC9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114EF70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D66F85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252220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1BA8A04" w14:textId="77777777" w:rsidTr="00895F32">
        <w:trPr>
          <w:jc w:val="center"/>
        </w:trPr>
        <w:tc>
          <w:tcPr>
            <w:tcW w:w="1654" w:type="dxa"/>
            <w:vMerge/>
          </w:tcPr>
          <w:p w14:paraId="324E34B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D4850E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 w:cs="Times New Roman"/>
                <w:color w:val="000000" w:themeColor="text1"/>
              </w:rPr>
              <w:t>Ham</w:t>
            </w:r>
          </w:p>
        </w:tc>
        <w:tc>
          <w:tcPr>
            <w:tcW w:w="2398" w:type="dxa"/>
            <w:vMerge/>
          </w:tcPr>
          <w:p w14:paraId="5A5394C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37EF28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82BF2C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90D70D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3ADE86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D8E0801" w14:textId="77777777" w:rsidTr="00895F32">
        <w:trPr>
          <w:jc w:val="center"/>
        </w:trPr>
        <w:tc>
          <w:tcPr>
            <w:tcW w:w="1654" w:type="dxa"/>
            <w:vMerge w:val="restart"/>
          </w:tcPr>
          <w:p w14:paraId="7ED3382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Copper</w:t>
            </w:r>
          </w:p>
        </w:tc>
        <w:tc>
          <w:tcPr>
            <w:tcW w:w="1520" w:type="dxa"/>
          </w:tcPr>
          <w:p w14:paraId="642DD3E7" w14:textId="400B0B7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Cashew nuts</w:t>
            </w:r>
          </w:p>
        </w:tc>
        <w:tc>
          <w:tcPr>
            <w:tcW w:w="2398" w:type="dxa"/>
            <w:vMerge w:val="restart"/>
          </w:tcPr>
          <w:p w14:paraId="4D272DAB" w14:textId="11AD673E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Role in immunity </w:t>
            </w:r>
            <w:r w:rsidR="00442EE2">
              <w:rPr>
                <w:rFonts w:ascii="Book Antiqua" w:hAnsi="Book Antiqua"/>
                <w:color w:val="000000" w:themeColor="text1"/>
              </w:rPr>
              <w:t>a</w:t>
            </w:r>
            <w:r w:rsidRPr="00895F32">
              <w:rPr>
                <w:rFonts w:ascii="Book Antiqua" w:hAnsi="Book Antiqua"/>
                <w:color w:val="000000" w:themeColor="text1"/>
              </w:rPr>
              <w:t>ntimicrobial action due to copper toxicity</w:t>
            </w:r>
          </w:p>
          <w:p w14:paraId="730FD06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lastRenderedPageBreak/>
              <w:t>Enhance macrophage activity in lung infection</w:t>
            </w:r>
          </w:p>
        </w:tc>
        <w:tc>
          <w:tcPr>
            <w:tcW w:w="1856" w:type="dxa"/>
            <w:vMerge w:val="restart"/>
          </w:tcPr>
          <w:p w14:paraId="40BB3D7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lastRenderedPageBreak/>
              <w:t xml:space="preserve">900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μg</w:t>
            </w:r>
            <w:proofErr w:type="spellEnd"/>
          </w:p>
        </w:tc>
        <w:tc>
          <w:tcPr>
            <w:tcW w:w="2206" w:type="dxa"/>
            <w:vMerge w:val="restart"/>
          </w:tcPr>
          <w:p w14:paraId="6A30BDB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6AEBE38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 w:val="restart"/>
          </w:tcPr>
          <w:p w14:paraId="7683E8F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436F4550" w14:textId="77777777" w:rsidTr="00895F32">
        <w:trPr>
          <w:jc w:val="center"/>
        </w:trPr>
        <w:tc>
          <w:tcPr>
            <w:tcW w:w="1654" w:type="dxa"/>
            <w:vMerge/>
          </w:tcPr>
          <w:p w14:paraId="242A43E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047C0336" w14:textId="709A6FBC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br/>
              <w:t>Tofu</w:t>
            </w:r>
          </w:p>
        </w:tc>
        <w:tc>
          <w:tcPr>
            <w:tcW w:w="2398" w:type="dxa"/>
            <w:vMerge/>
          </w:tcPr>
          <w:p w14:paraId="2493DF9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7F6A8A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CB1235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22A50F6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14BC91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E657807" w14:textId="77777777" w:rsidTr="00895F32">
        <w:trPr>
          <w:jc w:val="center"/>
        </w:trPr>
        <w:tc>
          <w:tcPr>
            <w:tcW w:w="1654" w:type="dxa"/>
            <w:vMerge/>
          </w:tcPr>
          <w:p w14:paraId="75892D3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2A98764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Mushrooms </w:t>
            </w:r>
          </w:p>
        </w:tc>
        <w:tc>
          <w:tcPr>
            <w:tcW w:w="2398" w:type="dxa"/>
            <w:vMerge/>
          </w:tcPr>
          <w:p w14:paraId="35FED08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0B925DC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9245E8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34A521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53BB39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648B738" w14:textId="77777777" w:rsidTr="00895F32">
        <w:trPr>
          <w:jc w:val="center"/>
        </w:trPr>
        <w:tc>
          <w:tcPr>
            <w:tcW w:w="1654" w:type="dxa"/>
            <w:vMerge/>
          </w:tcPr>
          <w:p w14:paraId="05218DE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34CFF2D" w14:textId="2DB7819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Beef </w:t>
            </w:r>
          </w:p>
        </w:tc>
        <w:tc>
          <w:tcPr>
            <w:tcW w:w="2398" w:type="dxa"/>
            <w:vMerge/>
          </w:tcPr>
          <w:p w14:paraId="6BE646A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7C313E5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0830BEE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118B28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B84F21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7C80AC82" w14:textId="77777777" w:rsidTr="00895F32">
        <w:trPr>
          <w:jc w:val="center"/>
        </w:trPr>
        <w:tc>
          <w:tcPr>
            <w:tcW w:w="1654" w:type="dxa"/>
            <w:vMerge/>
          </w:tcPr>
          <w:p w14:paraId="48EDDB3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68001FFA" w14:textId="18A8D55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Oyster </w:t>
            </w:r>
          </w:p>
        </w:tc>
        <w:tc>
          <w:tcPr>
            <w:tcW w:w="2398" w:type="dxa"/>
            <w:vMerge/>
          </w:tcPr>
          <w:p w14:paraId="67D7A6D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57286AF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49C259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55A59C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634392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CB442A2" w14:textId="77777777" w:rsidTr="00895F32">
        <w:trPr>
          <w:jc w:val="center"/>
        </w:trPr>
        <w:tc>
          <w:tcPr>
            <w:tcW w:w="1654" w:type="dxa"/>
            <w:vMerge/>
          </w:tcPr>
          <w:p w14:paraId="3AFF793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75DA5FD6" w14:textId="3B6A49C2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Cereals</w:t>
            </w:r>
          </w:p>
        </w:tc>
        <w:tc>
          <w:tcPr>
            <w:tcW w:w="2398" w:type="dxa"/>
            <w:vMerge/>
          </w:tcPr>
          <w:p w14:paraId="559B96A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4CEFF6C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CDA6C1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2723CC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0392402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12A8B783" w14:textId="77777777" w:rsidTr="00895F32">
        <w:trPr>
          <w:jc w:val="center"/>
        </w:trPr>
        <w:tc>
          <w:tcPr>
            <w:tcW w:w="1654" w:type="dxa"/>
            <w:vMerge/>
          </w:tcPr>
          <w:p w14:paraId="7E8195D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4C5E27B4" w14:textId="63E59A0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Roots, tubers: Sweet potato</w:t>
            </w:r>
          </w:p>
        </w:tc>
        <w:tc>
          <w:tcPr>
            <w:tcW w:w="2398" w:type="dxa"/>
            <w:vMerge/>
          </w:tcPr>
          <w:p w14:paraId="5326130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76B60B2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40D6B5C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809633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6B2F5A5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5675FD5" w14:textId="77777777" w:rsidTr="00895F32">
        <w:trPr>
          <w:jc w:val="center"/>
        </w:trPr>
        <w:tc>
          <w:tcPr>
            <w:tcW w:w="1654" w:type="dxa"/>
            <w:vMerge/>
          </w:tcPr>
          <w:p w14:paraId="3B260FE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</w:tcPr>
          <w:p w14:paraId="3E3DAA3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 Quinoa</w:t>
            </w:r>
          </w:p>
        </w:tc>
        <w:tc>
          <w:tcPr>
            <w:tcW w:w="2398" w:type="dxa"/>
            <w:vMerge/>
          </w:tcPr>
          <w:p w14:paraId="5EB73BB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856" w:type="dxa"/>
            <w:vMerge/>
          </w:tcPr>
          <w:p w14:paraId="367AEFD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254FD77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030980D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EA1849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2ECC2EBA" w14:textId="77777777" w:rsidTr="00895F32">
        <w:trPr>
          <w:jc w:val="center"/>
        </w:trPr>
        <w:tc>
          <w:tcPr>
            <w:tcW w:w="1654" w:type="dxa"/>
            <w:vMerge w:val="restart"/>
          </w:tcPr>
          <w:p w14:paraId="0CD5DC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Curcumin</w:t>
            </w:r>
          </w:p>
        </w:tc>
        <w:tc>
          <w:tcPr>
            <w:tcW w:w="1520" w:type="dxa"/>
            <w:vMerge w:val="restart"/>
          </w:tcPr>
          <w:p w14:paraId="038AB7F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Rhizome of turmeric (</w:t>
            </w:r>
            <w:r w:rsidRPr="00895F32">
              <w:rPr>
                <w:rFonts w:ascii="Book Antiqua" w:hAnsi="Book Antiqua"/>
                <w:i/>
                <w:iCs/>
                <w:color w:val="000000" w:themeColor="text1"/>
              </w:rPr>
              <w:t>Curcuma longa</w:t>
            </w:r>
            <w:r w:rsidRPr="00895F32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398" w:type="dxa"/>
          </w:tcPr>
          <w:p w14:paraId="638D93AF" w14:textId="392BC75D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Antioxidant capacity</w:t>
            </w:r>
          </w:p>
        </w:tc>
        <w:tc>
          <w:tcPr>
            <w:tcW w:w="1856" w:type="dxa"/>
            <w:vMerge w:val="restart"/>
          </w:tcPr>
          <w:p w14:paraId="4967961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25F4B67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IRCT20200611047735N1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[114]</w:t>
            </w:r>
          </w:p>
          <w:p w14:paraId="38088DC2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3B330A7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160 mg curcumin </w:t>
            </w:r>
          </w:p>
          <w:p w14:paraId="3026546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2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2938" w:type="dxa"/>
            <w:vMerge w:val="restart"/>
          </w:tcPr>
          <w:p w14:paraId="4980919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 xml:space="preserve">Immune responses </w:t>
            </w:r>
          </w:p>
          <w:p w14:paraId="645F159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(IFN-</w:t>
            </w:r>
            <w:r w:rsidRPr="00895F32">
              <w:rPr>
                <w:rFonts w:ascii="Book Antiqua" w:hAnsi="Book Antiqua"/>
                <w:color w:val="000000" w:themeColor="text1"/>
              </w:rPr>
              <w:t>γ</w:t>
            </w: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, IL-17, IL-4 and TGF-</w:t>
            </w:r>
            <w:r w:rsidRPr="00895F32">
              <w:rPr>
                <w:rFonts w:ascii="Book Antiqua" w:hAnsi="Book Antiqua"/>
                <w:color w:val="000000" w:themeColor="text1"/>
              </w:rPr>
              <w:t>β</w:t>
            </w:r>
            <w:r w:rsidRPr="00895F32">
              <w:rPr>
                <w:rFonts w:ascii="Book Antiqua" w:hAnsi="Book Antiqua"/>
                <w:color w:val="000000" w:themeColor="text1"/>
                <w:lang w:val="fr-FR"/>
              </w:rPr>
              <w:t>)</w:t>
            </w:r>
          </w:p>
        </w:tc>
      </w:tr>
      <w:tr w:rsidR="00895F32" w:rsidRPr="00895F32" w14:paraId="02F4F93E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3DFF717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0BB096D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8" w:type="dxa"/>
            <w:vMerge w:val="restart"/>
          </w:tcPr>
          <w:p w14:paraId="1097307D" w14:textId="426D8FF1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Anti-inflammatory</w:t>
            </w:r>
          </w:p>
        </w:tc>
        <w:tc>
          <w:tcPr>
            <w:tcW w:w="1856" w:type="dxa"/>
            <w:vMerge/>
          </w:tcPr>
          <w:p w14:paraId="132BED5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173D432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2446F90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51CB652B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</w:tr>
      <w:tr w:rsidR="00895F32" w:rsidRPr="00895F32" w14:paraId="52BDB51B" w14:textId="77777777" w:rsidTr="00895F32">
        <w:trPr>
          <w:trHeight w:val="447"/>
          <w:jc w:val="center"/>
        </w:trPr>
        <w:tc>
          <w:tcPr>
            <w:tcW w:w="1654" w:type="dxa"/>
            <w:vMerge/>
          </w:tcPr>
          <w:p w14:paraId="6A296C7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1520" w:type="dxa"/>
            <w:vMerge/>
          </w:tcPr>
          <w:p w14:paraId="5233C5D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  <w:vMerge/>
          </w:tcPr>
          <w:p w14:paraId="273A699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1856" w:type="dxa"/>
            <w:vMerge/>
          </w:tcPr>
          <w:p w14:paraId="06F138B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206" w:type="dxa"/>
            <w:vMerge w:val="restart"/>
          </w:tcPr>
          <w:p w14:paraId="6F1AB30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IRCT20121216011763N46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[115]</w:t>
            </w:r>
          </w:p>
        </w:tc>
        <w:tc>
          <w:tcPr>
            <w:tcW w:w="2977" w:type="dxa"/>
            <w:vMerge w:val="restart"/>
          </w:tcPr>
          <w:p w14:paraId="6E5303D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1000 mg curcumin + 10 mg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piperine</w:t>
            </w:r>
            <w:proofErr w:type="spellEnd"/>
            <w:r w:rsidRPr="00895F32">
              <w:rPr>
                <w:rFonts w:ascii="Book Antiqua" w:hAnsi="Book Antiqua"/>
                <w:color w:val="000000" w:themeColor="text1"/>
              </w:rPr>
              <w:t xml:space="preserve"> twice/day </w:t>
            </w:r>
          </w:p>
          <w:p w14:paraId="01C7F38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2 </w:t>
            </w:r>
            <w:proofErr w:type="spellStart"/>
            <w:r w:rsidRPr="00895F32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</w:p>
        </w:tc>
        <w:tc>
          <w:tcPr>
            <w:tcW w:w="2938" w:type="dxa"/>
            <w:vMerge w:val="restart"/>
          </w:tcPr>
          <w:p w14:paraId="6ED73FF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Clinical symptoms, duration, severity, inflammatory mediators</w:t>
            </w:r>
          </w:p>
        </w:tc>
      </w:tr>
      <w:tr w:rsidR="00895F32" w:rsidRPr="00895F32" w14:paraId="6870DB56" w14:textId="77777777" w:rsidTr="00895F32">
        <w:trPr>
          <w:jc w:val="center"/>
        </w:trPr>
        <w:tc>
          <w:tcPr>
            <w:tcW w:w="1654" w:type="dxa"/>
            <w:vMerge/>
          </w:tcPr>
          <w:p w14:paraId="5E634F9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1520" w:type="dxa"/>
            <w:vMerge/>
          </w:tcPr>
          <w:p w14:paraId="22F03E7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</w:tcPr>
          <w:p w14:paraId="75989445" w14:textId="570A6D6E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Virus-ACE2 interaction reduction</w:t>
            </w:r>
          </w:p>
        </w:tc>
        <w:tc>
          <w:tcPr>
            <w:tcW w:w="1856" w:type="dxa"/>
            <w:vMerge/>
          </w:tcPr>
          <w:p w14:paraId="797D1ABE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206" w:type="dxa"/>
            <w:vMerge/>
          </w:tcPr>
          <w:p w14:paraId="4F77D8A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43BF01E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1B85A6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0F1AD6DD" w14:textId="77777777" w:rsidTr="00895F32">
        <w:trPr>
          <w:jc w:val="center"/>
        </w:trPr>
        <w:tc>
          <w:tcPr>
            <w:tcW w:w="1654" w:type="dxa"/>
            <w:vMerge/>
          </w:tcPr>
          <w:p w14:paraId="435D4A6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1520" w:type="dxa"/>
            <w:vMerge/>
          </w:tcPr>
          <w:p w14:paraId="6CFC4D6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</w:tcPr>
          <w:p w14:paraId="0DD7459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ACE2 level increase</w:t>
            </w:r>
          </w:p>
          <w:p w14:paraId="263319AD" w14:textId="5EDEF95A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Antiviral activities SARS-CoV-2 protease, </w:t>
            </w:r>
          </w:p>
        </w:tc>
        <w:tc>
          <w:tcPr>
            <w:tcW w:w="1856" w:type="dxa"/>
            <w:vMerge/>
          </w:tcPr>
          <w:p w14:paraId="116CDBF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206" w:type="dxa"/>
            <w:vMerge/>
          </w:tcPr>
          <w:p w14:paraId="1840401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73E7A19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183046D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5416A760" w14:textId="77777777" w:rsidTr="00895F32">
        <w:trPr>
          <w:jc w:val="center"/>
        </w:trPr>
        <w:tc>
          <w:tcPr>
            <w:tcW w:w="1654" w:type="dxa"/>
            <w:vMerge/>
          </w:tcPr>
          <w:p w14:paraId="614C5195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1520" w:type="dxa"/>
            <w:vMerge/>
          </w:tcPr>
          <w:p w14:paraId="47E2997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398" w:type="dxa"/>
          </w:tcPr>
          <w:p w14:paraId="5B26705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spike glycoprotein-RBD and PD-ACE2 binding</w:t>
            </w:r>
          </w:p>
        </w:tc>
        <w:tc>
          <w:tcPr>
            <w:tcW w:w="1856" w:type="dxa"/>
            <w:vMerge/>
          </w:tcPr>
          <w:p w14:paraId="6CB10BC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fr-FR"/>
              </w:rPr>
            </w:pPr>
          </w:p>
        </w:tc>
        <w:tc>
          <w:tcPr>
            <w:tcW w:w="2206" w:type="dxa"/>
            <w:vMerge/>
          </w:tcPr>
          <w:p w14:paraId="5F1DBE6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131DC7CA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78865277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895F32" w:rsidRPr="00895F32" w14:paraId="3C2D7AB0" w14:textId="77777777" w:rsidTr="00895F32">
        <w:trPr>
          <w:jc w:val="center"/>
        </w:trPr>
        <w:tc>
          <w:tcPr>
            <w:tcW w:w="1654" w:type="dxa"/>
            <w:vMerge w:val="restart"/>
          </w:tcPr>
          <w:p w14:paraId="52D9BD9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Silymarin</w:t>
            </w:r>
          </w:p>
        </w:tc>
        <w:tc>
          <w:tcPr>
            <w:tcW w:w="1520" w:type="dxa"/>
            <w:vMerge w:val="restart"/>
          </w:tcPr>
          <w:p w14:paraId="064A9868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 w:cs="Arial"/>
                <w:color w:val="000000" w:themeColor="text1"/>
                <w:shd w:val="clear" w:color="auto" w:fill="FFFFFF"/>
              </w:rPr>
              <w:t xml:space="preserve">Milk thistle </w:t>
            </w:r>
            <w:r w:rsidRPr="00895F32">
              <w:rPr>
                <w:rFonts w:ascii="Book Antiqua" w:hAnsi="Book Antiqua" w:cs="Arial"/>
                <w:i/>
                <w:iCs/>
                <w:color w:val="000000" w:themeColor="text1"/>
                <w:shd w:val="clear" w:color="auto" w:fill="FFFFFF"/>
              </w:rPr>
              <w:t>(Silybum marianum)</w:t>
            </w:r>
          </w:p>
        </w:tc>
        <w:tc>
          <w:tcPr>
            <w:tcW w:w="2398" w:type="dxa"/>
          </w:tcPr>
          <w:p w14:paraId="76C585C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Antioxidant capacity</w:t>
            </w:r>
          </w:p>
          <w:p w14:paraId="5C52DDCC" w14:textId="4E575CCD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Anti-inflammatory</w:t>
            </w:r>
          </w:p>
        </w:tc>
        <w:tc>
          <w:tcPr>
            <w:tcW w:w="1856" w:type="dxa"/>
            <w:vMerge w:val="restart"/>
          </w:tcPr>
          <w:p w14:paraId="7213B1A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 w:val="restart"/>
          </w:tcPr>
          <w:p w14:paraId="789325A3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>NCT04394208</w:t>
            </w:r>
            <w:r w:rsidRPr="00895F32">
              <w:rPr>
                <w:rFonts w:ascii="Book Antiqua" w:hAnsi="Book Antiqua"/>
                <w:color w:val="000000" w:themeColor="text1"/>
                <w:vertAlign w:val="superscript"/>
              </w:rPr>
              <w:t>[116]</w:t>
            </w:r>
          </w:p>
        </w:tc>
        <w:tc>
          <w:tcPr>
            <w:tcW w:w="2977" w:type="dxa"/>
            <w:vMerge w:val="restart"/>
          </w:tcPr>
          <w:p w14:paraId="4017D3A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420 mg/d </w:t>
            </w:r>
          </w:p>
          <w:p w14:paraId="6D1E933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>3 divided doses</w:t>
            </w:r>
          </w:p>
        </w:tc>
        <w:tc>
          <w:tcPr>
            <w:tcW w:w="2938" w:type="dxa"/>
            <w:vMerge w:val="restart"/>
          </w:tcPr>
          <w:p w14:paraId="49037D80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>Clinical outcome</w:t>
            </w:r>
          </w:p>
          <w:p w14:paraId="25F27889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duration of mechanical ventilation   </w:t>
            </w:r>
          </w:p>
          <w:p w14:paraId="6206DBDC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hospitalization </w:t>
            </w:r>
          </w:p>
        </w:tc>
      </w:tr>
      <w:tr w:rsidR="00895F32" w:rsidRPr="00895F32" w14:paraId="3FB95B70" w14:textId="77777777" w:rsidTr="00895F32">
        <w:trPr>
          <w:jc w:val="center"/>
        </w:trPr>
        <w:tc>
          <w:tcPr>
            <w:tcW w:w="1654" w:type="dxa"/>
            <w:vMerge/>
          </w:tcPr>
          <w:p w14:paraId="6A6AF4C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520" w:type="dxa"/>
            <w:vMerge/>
          </w:tcPr>
          <w:p w14:paraId="243D408D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398" w:type="dxa"/>
          </w:tcPr>
          <w:p w14:paraId="5CE214EC" w14:textId="08901265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95F32">
              <w:rPr>
                <w:rFonts w:ascii="Book Antiqua" w:hAnsi="Book Antiqua"/>
                <w:color w:val="000000" w:themeColor="text1"/>
              </w:rPr>
              <w:t xml:space="preserve">p38 MAPK pathway antiviral </w:t>
            </w:r>
          </w:p>
        </w:tc>
        <w:tc>
          <w:tcPr>
            <w:tcW w:w="1856" w:type="dxa"/>
            <w:vMerge/>
          </w:tcPr>
          <w:p w14:paraId="6849884F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06" w:type="dxa"/>
            <w:vMerge/>
          </w:tcPr>
          <w:p w14:paraId="67FF3216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14:paraId="44316BB4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938" w:type="dxa"/>
            <w:vMerge/>
          </w:tcPr>
          <w:p w14:paraId="36FDBFF1" w14:textId="77777777" w:rsidR="009C50B0" w:rsidRPr="00895F32" w:rsidRDefault="009C50B0" w:rsidP="00895F3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</w:p>
        </w:tc>
      </w:tr>
    </w:tbl>
    <w:p w14:paraId="4664311C" w14:textId="6CF45818" w:rsidR="00E01CA2" w:rsidRPr="00895F32" w:rsidRDefault="00B17ACB" w:rsidP="00895F3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95F32">
        <w:rPr>
          <w:rFonts w:ascii="Book Antiqua" w:hAnsi="Book Antiqua"/>
          <w:color w:val="000000" w:themeColor="text1"/>
        </w:rPr>
        <w:t>ACE2: Angiotensin converting enzyme 2; COVID-19: Coronavirus disease 2019; CRP: C-reactive protein; CT: Computed tomography; ESR: Erythrocyte sedimentation rate; IFN-g: Interferon-gamma; IL: Interleukin; NK: Natural killer; PD: Protease domain; RAS:</w:t>
      </w:r>
      <w:r w:rsidRPr="00895F32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Pr="00895F32">
        <w:rPr>
          <w:rFonts w:ascii="Book Antiqua" w:hAnsi="Book Antiqua"/>
          <w:color w:val="000000" w:themeColor="text1"/>
        </w:rPr>
        <w:t>Renin-angiotensin system; RBD: Receptor binding domain; ROS: Reactive oxygen species; SARS-CoV-2: Severe acute respiratory syndrome-coronavirus-2; tab.: Tablet; TGF-b: Transforming growth factor-beta; TNF-a: Tumor necrosis factor-alpha; WBC: White blood cell.</w:t>
      </w:r>
    </w:p>
    <w:sectPr w:rsidR="00E01CA2" w:rsidRPr="00895F32" w:rsidSect="00B17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403D" w14:textId="77777777" w:rsidR="00CE574A" w:rsidRDefault="00CE574A" w:rsidP="005C44A6">
      <w:r>
        <w:separator/>
      </w:r>
    </w:p>
  </w:endnote>
  <w:endnote w:type="continuationSeparator" w:id="0">
    <w:p w14:paraId="5DBC7CEB" w14:textId="77777777" w:rsidR="00CE574A" w:rsidRDefault="00CE574A" w:rsidP="005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9110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1F1F82" w14:textId="368BB1BA" w:rsidR="00895F32" w:rsidRDefault="00895F32" w:rsidP="00895F32">
            <w:pPr>
              <w:pStyle w:val="a4"/>
              <w:jc w:val="right"/>
            </w:pPr>
            <w:r w:rsidRPr="00895F3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4D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95F3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4D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46</w:t>
            </w:r>
            <w:r w:rsidRPr="00895F3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137EC" w14:textId="77777777" w:rsidR="00895F32" w:rsidRDefault="00895F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B744" w14:textId="77777777" w:rsidR="00CE574A" w:rsidRDefault="00CE574A" w:rsidP="005C44A6">
      <w:r>
        <w:separator/>
      </w:r>
    </w:p>
  </w:footnote>
  <w:footnote w:type="continuationSeparator" w:id="0">
    <w:p w14:paraId="173BE99C" w14:textId="77777777" w:rsidR="00CE574A" w:rsidRDefault="00CE574A" w:rsidP="005C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396"/>
    <w:multiLevelType w:val="multilevel"/>
    <w:tmpl w:val="DB2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566"/>
    <w:rsid w:val="00024A5F"/>
    <w:rsid w:val="00046010"/>
    <w:rsid w:val="00064FCA"/>
    <w:rsid w:val="00074BD8"/>
    <w:rsid w:val="0008058D"/>
    <w:rsid w:val="000A578B"/>
    <w:rsid w:val="000B496B"/>
    <w:rsid w:val="000E1018"/>
    <w:rsid w:val="000E79AA"/>
    <w:rsid w:val="000F3F1A"/>
    <w:rsid w:val="001012BD"/>
    <w:rsid w:val="00102F0B"/>
    <w:rsid w:val="0010304E"/>
    <w:rsid w:val="00121DD7"/>
    <w:rsid w:val="00135694"/>
    <w:rsid w:val="00136433"/>
    <w:rsid w:val="00151402"/>
    <w:rsid w:val="001600F1"/>
    <w:rsid w:val="0016340B"/>
    <w:rsid w:val="0016549E"/>
    <w:rsid w:val="0018302A"/>
    <w:rsid w:val="00186F0C"/>
    <w:rsid w:val="00195915"/>
    <w:rsid w:val="00197512"/>
    <w:rsid w:val="001A2E5E"/>
    <w:rsid w:val="001A6038"/>
    <w:rsid w:val="001A6A45"/>
    <w:rsid w:val="001B0689"/>
    <w:rsid w:val="001B1DB1"/>
    <w:rsid w:val="001B2365"/>
    <w:rsid w:val="001B729B"/>
    <w:rsid w:val="001E6BE0"/>
    <w:rsid w:val="001F7656"/>
    <w:rsid w:val="001F7D33"/>
    <w:rsid w:val="0021416D"/>
    <w:rsid w:val="0023519E"/>
    <w:rsid w:val="00266C61"/>
    <w:rsid w:val="002849E1"/>
    <w:rsid w:val="002B3E9C"/>
    <w:rsid w:val="002D6055"/>
    <w:rsid w:val="002E6CA0"/>
    <w:rsid w:val="0031548E"/>
    <w:rsid w:val="00323D33"/>
    <w:rsid w:val="0033111B"/>
    <w:rsid w:val="003360CA"/>
    <w:rsid w:val="003817E5"/>
    <w:rsid w:val="0038528C"/>
    <w:rsid w:val="00395174"/>
    <w:rsid w:val="003A3E42"/>
    <w:rsid w:val="003C1CEB"/>
    <w:rsid w:val="003C7F72"/>
    <w:rsid w:val="003D071C"/>
    <w:rsid w:val="0041094C"/>
    <w:rsid w:val="00410C42"/>
    <w:rsid w:val="00421520"/>
    <w:rsid w:val="004219DC"/>
    <w:rsid w:val="00433456"/>
    <w:rsid w:val="00442EE2"/>
    <w:rsid w:val="00444FE8"/>
    <w:rsid w:val="004478E7"/>
    <w:rsid w:val="00455944"/>
    <w:rsid w:val="004560E9"/>
    <w:rsid w:val="00481194"/>
    <w:rsid w:val="004950FE"/>
    <w:rsid w:val="004B3F3C"/>
    <w:rsid w:val="004D0342"/>
    <w:rsid w:val="004E63CF"/>
    <w:rsid w:val="004F2CC5"/>
    <w:rsid w:val="004F34D0"/>
    <w:rsid w:val="004F5701"/>
    <w:rsid w:val="005300DF"/>
    <w:rsid w:val="0055566D"/>
    <w:rsid w:val="005601CE"/>
    <w:rsid w:val="00564367"/>
    <w:rsid w:val="00570351"/>
    <w:rsid w:val="0059705B"/>
    <w:rsid w:val="005A3DA6"/>
    <w:rsid w:val="005A5B26"/>
    <w:rsid w:val="005A66DF"/>
    <w:rsid w:val="005B1516"/>
    <w:rsid w:val="005B46F3"/>
    <w:rsid w:val="005B59B5"/>
    <w:rsid w:val="005C13C1"/>
    <w:rsid w:val="005C44A6"/>
    <w:rsid w:val="005C66FC"/>
    <w:rsid w:val="005D2551"/>
    <w:rsid w:val="005E457C"/>
    <w:rsid w:val="005F73AA"/>
    <w:rsid w:val="005F7F63"/>
    <w:rsid w:val="00601B2B"/>
    <w:rsid w:val="006064D8"/>
    <w:rsid w:val="00624998"/>
    <w:rsid w:val="006371F7"/>
    <w:rsid w:val="0065445F"/>
    <w:rsid w:val="00654612"/>
    <w:rsid w:val="006A0198"/>
    <w:rsid w:val="006A37B5"/>
    <w:rsid w:val="006A4449"/>
    <w:rsid w:val="006B1A61"/>
    <w:rsid w:val="006B56CE"/>
    <w:rsid w:val="006E240D"/>
    <w:rsid w:val="006E33E6"/>
    <w:rsid w:val="006F64BF"/>
    <w:rsid w:val="00731CE4"/>
    <w:rsid w:val="0076509C"/>
    <w:rsid w:val="007659A5"/>
    <w:rsid w:val="00775A44"/>
    <w:rsid w:val="00776004"/>
    <w:rsid w:val="007774E4"/>
    <w:rsid w:val="0078587D"/>
    <w:rsid w:val="007A5E47"/>
    <w:rsid w:val="007C4F25"/>
    <w:rsid w:val="007C7026"/>
    <w:rsid w:val="007D5A41"/>
    <w:rsid w:val="007E0689"/>
    <w:rsid w:val="007E2BDA"/>
    <w:rsid w:val="007E792F"/>
    <w:rsid w:val="007F211C"/>
    <w:rsid w:val="00832D11"/>
    <w:rsid w:val="008450CC"/>
    <w:rsid w:val="00846614"/>
    <w:rsid w:val="00850A93"/>
    <w:rsid w:val="00853796"/>
    <w:rsid w:val="00877B48"/>
    <w:rsid w:val="00883988"/>
    <w:rsid w:val="008854C9"/>
    <w:rsid w:val="00885D64"/>
    <w:rsid w:val="00895E8C"/>
    <w:rsid w:val="00895F32"/>
    <w:rsid w:val="00897C5A"/>
    <w:rsid w:val="008A1BDB"/>
    <w:rsid w:val="008A68A9"/>
    <w:rsid w:val="008B7592"/>
    <w:rsid w:val="00901721"/>
    <w:rsid w:val="009077F1"/>
    <w:rsid w:val="00931BAE"/>
    <w:rsid w:val="009320D8"/>
    <w:rsid w:val="009370BA"/>
    <w:rsid w:val="00945A3B"/>
    <w:rsid w:val="0096281A"/>
    <w:rsid w:val="009638F0"/>
    <w:rsid w:val="0097358C"/>
    <w:rsid w:val="00991884"/>
    <w:rsid w:val="0099257D"/>
    <w:rsid w:val="009A57E1"/>
    <w:rsid w:val="009A7DCA"/>
    <w:rsid w:val="009C2DD7"/>
    <w:rsid w:val="009C3711"/>
    <w:rsid w:val="009C50B0"/>
    <w:rsid w:val="009E44DF"/>
    <w:rsid w:val="009F53A4"/>
    <w:rsid w:val="00A03EA8"/>
    <w:rsid w:val="00A07D9A"/>
    <w:rsid w:val="00A11E17"/>
    <w:rsid w:val="00A1226A"/>
    <w:rsid w:val="00A16CCF"/>
    <w:rsid w:val="00A31DDB"/>
    <w:rsid w:val="00A34246"/>
    <w:rsid w:val="00A44C54"/>
    <w:rsid w:val="00A46CAF"/>
    <w:rsid w:val="00A50FA1"/>
    <w:rsid w:val="00A55741"/>
    <w:rsid w:val="00A67F7E"/>
    <w:rsid w:val="00A7069B"/>
    <w:rsid w:val="00A7303F"/>
    <w:rsid w:val="00A77B3E"/>
    <w:rsid w:val="00AB0BD5"/>
    <w:rsid w:val="00AD58AE"/>
    <w:rsid w:val="00AD5D89"/>
    <w:rsid w:val="00AE431F"/>
    <w:rsid w:val="00AE4A88"/>
    <w:rsid w:val="00AE4F9C"/>
    <w:rsid w:val="00AF3E5A"/>
    <w:rsid w:val="00B03399"/>
    <w:rsid w:val="00B11864"/>
    <w:rsid w:val="00B17ACB"/>
    <w:rsid w:val="00B230C9"/>
    <w:rsid w:val="00B24E2D"/>
    <w:rsid w:val="00B25CFA"/>
    <w:rsid w:val="00B321CE"/>
    <w:rsid w:val="00B35C8D"/>
    <w:rsid w:val="00B5329D"/>
    <w:rsid w:val="00B60D08"/>
    <w:rsid w:val="00B72E5E"/>
    <w:rsid w:val="00B751A0"/>
    <w:rsid w:val="00B868FE"/>
    <w:rsid w:val="00B923C4"/>
    <w:rsid w:val="00BA0F8A"/>
    <w:rsid w:val="00BA22D1"/>
    <w:rsid w:val="00BB2EC6"/>
    <w:rsid w:val="00BB7C63"/>
    <w:rsid w:val="00C0265C"/>
    <w:rsid w:val="00C0346F"/>
    <w:rsid w:val="00C03DE1"/>
    <w:rsid w:val="00C064F9"/>
    <w:rsid w:val="00C14B33"/>
    <w:rsid w:val="00C1517B"/>
    <w:rsid w:val="00C16494"/>
    <w:rsid w:val="00C35AFA"/>
    <w:rsid w:val="00C45490"/>
    <w:rsid w:val="00C54BB9"/>
    <w:rsid w:val="00C60E1E"/>
    <w:rsid w:val="00C62770"/>
    <w:rsid w:val="00C63060"/>
    <w:rsid w:val="00C65D27"/>
    <w:rsid w:val="00C70BE3"/>
    <w:rsid w:val="00C929DC"/>
    <w:rsid w:val="00C93AB4"/>
    <w:rsid w:val="00CA2A55"/>
    <w:rsid w:val="00CB3D7F"/>
    <w:rsid w:val="00CC2A54"/>
    <w:rsid w:val="00CC6573"/>
    <w:rsid w:val="00CC67A5"/>
    <w:rsid w:val="00CD4CF0"/>
    <w:rsid w:val="00CE21E4"/>
    <w:rsid w:val="00CE2EAF"/>
    <w:rsid w:val="00CE365F"/>
    <w:rsid w:val="00CE574A"/>
    <w:rsid w:val="00CF57F2"/>
    <w:rsid w:val="00CF7E81"/>
    <w:rsid w:val="00D00DAA"/>
    <w:rsid w:val="00D01C04"/>
    <w:rsid w:val="00D039F3"/>
    <w:rsid w:val="00D07200"/>
    <w:rsid w:val="00D257F2"/>
    <w:rsid w:val="00D328BA"/>
    <w:rsid w:val="00D32B12"/>
    <w:rsid w:val="00D5539E"/>
    <w:rsid w:val="00D67FE2"/>
    <w:rsid w:val="00D7475E"/>
    <w:rsid w:val="00D80CAA"/>
    <w:rsid w:val="00D826D3"/>
    <w:rsid w:val="00DD1216"/>
    <w:rsid w:val="00DD4678"/>
    <w:rsid w:val="00DE08AD"/>
    <w:rsid w:val="00DE33EC"/>
    <w:rsid w:val="00DE4C5C"/>
    <w:rsid w:val="00DF7BA7"/>
    <w:rsid w:val="00E01CA2"/>
    <w:rsid w:val="00E0255B"/>
    <w:rsid w:val="00E35156"/>
    <w:rsid w:val="00E36250"/>
    <w:rsid w:val="00E407A7"/>
    <w:rsid w:val="00E46096"/>
    <w:rsid w:val="00E5531D"/>
    <w:rsid w:val="00E61676"/>
    <w:rsid w:val="00E6717B"/>
    <w:rsid w:val="00E70A8C"/>
    <w:rsid w:val="00E83572"/>
    <w:rsid w:val="00E94859"/>
    <w:rsid w:val="00E97DD4"/>
    <w:rsid w:val="00EA2294"/>
    <w:rsid w:val="00EA4754"/>
    <w:rsid w:val="00EA4BFD"/>
    <w:rsid w:val="00EB02DA"/>
    <w:rsid w:val="00EB688E"/>
    <w:rsid w:val="00EC0671"/>
    <w:rsid w:val="00ED025C"/>
    <w:rsid w:val="00ED7F61"/>
    <w:rsid w:val="00EF3EF2"/>
    <w:rsid w:val="00F02030"/>
    <w:rsid w:val="00F021AA"/>
    <w:rsid w:val="00F115F3"/>
    <w:rsid w:val="00F1586A"/>
    <w:rsid w:val="00F253EE"/>
    <w:rsid w:val="00F25EDF"/>
    <w:rsid w:val="00F43259"/>
    <w:rsid w:val="00F45DBE"/>
    <w:rsid w:val="00F4751F"/>
    <w:rsid w:val="00F54B0B"/>
    <w:rsid w:val="00F61772"/>
    <w:rsid w:val="00F63287"/>
    <w:rsid w:val="00F659F2"/>
    <w:rsid w:val="00F76BBB"/>
    <w:rsid w:val="00FA7A7E"/>
    <w:rsid w:val="00FB1661"/>
    <w:rsid w:val="00FB5269"/>
    <w:rsid w:val="00FB6085"/>
    <w:rsid w:val="00FB7C4C"/>
    <w:rsid w:val="00FC0982"/>
    <w:rsid w:val="00FD07DE"/>
    <w:rsid w:val="00FD5A89"/>
    <w:rsid w:val="00FE1AA9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71769"/>
  <w15:docId w15:val="{55A21836-CE08-4249-9EB4-151C5731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4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4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A6"/>
    <w:rPr>
      <w:sz w:val="18"/>
      <w:szCs w:val="18"/>
    </w:rPr>
  </w:style>
  <w:style w:type="character" w:styleId="a5">
    <w:name w:val="annotation reference"/>
    <w:basedOn w:val="a0"/>
    <w:semiHidden/>
    <w:unhideWhenUsed/>
    <w:rsid w:val="0065445F"/>
    <w:rPr>
      <w:sz w:val="21"/>
      <w:szCs w:val="21"/>
    </w:rPr>
  </w:style>
  <w:style w:type="paragraph" w:styleId="a6">
    <w:name w:val="annotation text"/>
    <w:basedOn w:val="a"/>
    <w:link w:val="Char1"/>
    <w:unhideWhenUsed/>
    <w:rsid w:val="0065445F"/>
  </w:style>
  <w:style w:type="character" w:customStyle="1" w:styleId="Char1">
    <w:name w:val="批注文字 Char"/>
    <w:basedOn w:val="a0"/>
    <w:link w:val="a6"/>
    <w:rsid w:val="0065445F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65445F"/>
    <w:rPr>
      <w:b/>
      <w:bCs/>
    </w:rPr>
  </w:style>
  <w:style w:type="character" w:customStyle="1" w:styleId="Char2">
    <w:name w:val="批注主题 Char"/>
    <w:basedOn w:val="Char1"/>
    <w:link w:val="a7"/>
    <w:semiHidden/>
    <w:rsid w:val="0065445F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E08A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9">
    <w:name w:val="Table Grid"/>
    <w:basedOn w:val="a1"/>
    <w:uiPriority w:val="39"/>
    <w:rsid w:val="00B17AC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5F7F63"/>
    <w:rPr>
      <w:sz w:val="24"/>
      <w:szCs w:val="24"/>
    </w:rPr>
  </w:style>
  <w:style w:type="paragraph" w:styleId="ab">
    <w:name w:val="Balloon Text"/>
    <w:basedOn w:val="a"/>
    <w:link w:val="Char3"/>
    <w:rsid w:val="00C03DE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C03DE1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CB3D7F"/>
    <w:rPr>
      <w:i/>
      <w:iCs/>
    </w:rPr>
  </w:style>
  <w:style w:type="character" w:styleId="ad">
    <w:name w:val="Hyperlink"/>
    <w:basedOn w:val="a0"/>
    <w:unhideWhenUsed/>
    <w:rsid w:val="000F3F1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F3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46</Pages>
  <Words>12218</Words>
  <Characters>69646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RisticMedic</dc:creator>
  <cp:lastModifiedBy>Admin</cp:lastModifiedBy>
  <cp:revision>10</cp:revision>
  <dcterms:created xsi:type="dcterms:W3CDTF">2021-08-16T15:40:00Z</dcterms:created>
  <dcterms:modified xsi:type="dcterms:W3CDTF">2021-08-17T09:33:00Z</dcterms:modified>
</cp:coreProperties>
</file>