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51" w14:textId="77777777" w:rsidR="00A77B3E" w:rsidRDefault="002C2D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80436E2" w14:textId="77777777" w:rsidR="00A77B3E" w:rsidRDefault="002C2D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63508</w:t>
      </w:r>
    </w:p>
    <w:p w14:paraId="24BA2C35" w14:textId="77777777" w:rsidR="00A77B3E" w:rsidRDefault="002C2D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53EB843" w14:textId="77777777" w:rsidR="00A77B3E" w:rsidRDefault="00A77B3E">
      <w:pPr>
        <w:spacing w:line="360" w:lineRule="auto"/>
        <w:jc w:val="both"/>
      </w:pPr>
    </w:p>
    <w:p w14:paraId="222F8F00" w14:textId="77777777" w:rsidR="00A77B3E" w:rsidRDefault="002C2D2E">
      <w:pPr>
        <w:spacing w:line="360" w:lineRule="auto"/>
        <w:jc w:val="both"/>
      </w:pPr>
      <w:r>
        <w:rPr>
          <w:rFonts w:ascii="Book Antiqua" w:eastAsia="Book Antiqua" w:hAnsi="Book Antiqua" w:cs="Book Antiqua"/>
          <w:b/>
          <w:color w:val="000000"/>
        </w:rPr>
        <w:t>Neoadjuvant therapy for pancreatic ductal adenocarcinoma: Opportunities for personalized cancer care</w:t>
      </w:r>
    </w:p>
    <w:p w14:paraId="158DB05F" w14:textId="77777777" w:rsidR="00A77B3E" w:rsidRDefault="00A77B3E">
      <w:pPr>
        <w:spacing w:line="360" w:lineRule="auto"/>
        <w:jc w:val="both"/>
      </w:pPr>
    </w:p>
    <w:p w14:paraId="77B3D6EB" w14:textId="77777777" w:rsidR="00A77B3E" w:rsidRDefault="005F15E4">
      <w:pPr>
        <w:spacing w:line="360" w:lineRule="auto"/>
        <w:jc w:val="both"/>
      </w:pPr>
      <w:r>
        <w:rPr>
          <w:rFonts w:ascii="Book Antiqua" w:eastAsia="Book Antiqua" w:hAnsi="Book Antiqua" w:cs="Book Antiqua"/>
          <w:color w:val="000000"/>
        </w:rPr>
        <w:t xml:space="preserve">Hamad </w:t>
      </w:r>
      <w:r>
        <w:rPr>
          <w:rFonts w:ascii="Book Antiqua" w:hAnsi="Book Antiqua" w:cs="Book Antiqua" w:hint="eastAsia"/>
          <w:color w:val="000000"/>
          <w:lang w:eastAsia="zh-CN"/>
        </w:rPr>
        <w:t xml:space="preserve">A </w:t>
      </w:r>
      <w:r w:rsidRPr="005F15E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2D2E">
        <w:rPr>
          <w:rFonts w:ascii="Book Antiqua" w:eastAsia="Book Antiqua" w:hAnsi="Book Antiqua" w:cs="Book Antiqua"/>
          <w:color w:val="000000"/>
        </w:rPr>
        <w:t xml:space="preserve">Neoadjuvant </w:t>
      </w:r>
      <w:r>
        <w:rPr>
          <w:rFonts w:ascii="Book Antiqua" w:eastAsia="Book Antiqua" w:hAnsi="Book Antiqua" w:cs="Book Antiqua"/>
          <w:color w:val="000000"/>
        </w:rPr>
        <w:t>therapy for pancreatic ductal adenoca</w:t>
      </w:r>
      <w:r w:rsidR="002C2D2E">
        <w:rPr>
          <w:rFonts w:ascii="Book Antiqua" w:eastAsia="Book Antiqua" w:hAnsi="Book Antiqua" w:cs="Book Antiqua"/>
          <w:color w:val="000000"/>
        </w:rPr>
        <w:t>rcinoma</w:t>
      </w:r>
    </w:p>
    <w:p w14:paraId="4948EE3B" w14:textId="77777777" w:rsidR="00A77B3E" w:rsidRDefault="00A77B3E">
      <w:pPr>
        <w:spacing w:line="360" w:lineRule="auto"/>
        <w:jc w:val="both"/>
      </w:pPr>
    </w:p>
    <w:p w14:paraId="0DE826D4" w14:textId="77777777" w:rsidR="00A77B3E" w:rsidRDefault="002C2D2E">
      <w:pPr>
        <w:spacing w:line="360" w:lineRule="auto"/>
        <w:jc w:val="both"/>
      </w:pPr>
      <w:r>
        <w:rPr>
          <w:rFonts w:ascii="Book Antiqua" w:eastAsia="Book Antiqua" w:hAnsi="Book Antiqua" w:cs="Book Antiqua"/>
          <w:color w:val="000000"/>
        </w:rPr>
        <w:t xml:space="preserve">Ahmad Hamad, Zachary J Brown, Aslam M Ejaz, Mary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Jordan M Cloyd</w:t>
      </w:r>
    </w:p>
    <w:p w14:paraId="1E263AE1" w14:textId="77777777" w:rsidR="00A77B3E" w:rsidRDefault="00A77B3E">
      <w:pPr>
        <w:spacing w:line="360" w:lineRule="auto"/>
        <w:jc w:val="both"/>
      </w:pPr>
    </w:p>
    <w:p w14:paraId="3BAD957E" w14:textId="77777777" w:rsidR="00A77B3E" w:rsidRDefault="002C2D2E">
      <w:pPr>
        <w:spacing w:line="360" w:lineRule="auto"/>
        <w:jc w:val="both"/>
      </w:pPr>
      <w:r>
        <w:rPr>
          <w:rFonts w:ascii="Book Antiqua" w:eastAsia="Book Antiqua" w:hAnsi="Book Antiqua" w:cs="Book Antiqua"/>
          <w:b/>
          <w:bCs/>
          <w:color w:val="000000"/>
        </w:rPr>
        <w:t xml:space="preserve">Ahmad Hamad, Zachary J Brown, Aslam M Ejaz, Mary </w:t>
      </w:r>
      <w:proofErr w:type="spellStart"/>
      <w:r>
        <w:rPr>
          <w:rFonts w:ascii="Book Antiqua" w:eastAsia="Book Antiqua" w:hAnsi="Book Antiqua" w:cs="Book Antiqua"/>
          <w:b/>
          <w:bCs/>
          <w:color w:val="000000"/>
        </w:rPr>
        <w:t>Dillhoff</w:t>
      </w:r>
      <w:proofErr w:type="spellEnd"/>
      <w:r>
        <w:rPr>
          <w:rFonts w:ascii="Book Antiqua" w:eastAsia="Book Antiqua" w:hAnsi="Book Antiqua" w:cs="Book Antiqua"/>
          <w:b/>
          <w:bCs/>
          <w:color w:val="000000"/>
        </w:rPr>
        <w:t xml:space="preserve">, Jordan M Cloyd, </w:t>
      </w:r>
      <w:r>
        <w:rPr>
          <w:rFonts w:ascii="Book Antiqua" w:eastAsia="Book Antiqua" w:hAnsi="Book Antiqua" w:cs="Book Antiqua"/>
          <w:color w:val="000000"/>
        </w:rPr>
        <w:t>Department of Surgery, The Ohio State University Wexner Medical Center, Columbus, OH 43215, United States</w:t>
      </w:r>
    </w:p>
    <w:p w14:paraId="0D4CCEC1" w14:textId="77777777" w:rsidR="00A77B3E" w:rsidRDefault="00A77B3E">
      <w:pPr>
        <w:spacing w:line="360" w:lineRule="auto"/>
        <w:jc w:val="both"/>
      </w:pPr>
    </w:p>
    <w:p w14:paraId="56A47CA2" w14:textId="00A0C90F" w:rsidR="00A77B3E" w:rsidRDefault="002C2D2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Hamad A, Brown ZJ</w:t>
      </w:r>
      <w:r w:rsidR="00251E15">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Cloyd JM drafted the manuscript; </w:t>
      </w:r>
      <w:r w:rsidR="005F15E4">
        <w:rPr>
          <w:rFonts w:ascii="Book Antiqua" w:hAnsi="Book Antiqua" w:cs="Book Antiqua" w:hint="eastAsia"/>
          <w:color w:val="000000"/>
          <w:lang w:eastAsia="zh-CN"/>
        </w:rPr>
        <w:t>a</w:t>
      </w:r>
      <w:r>
        <w:rPr>
          <w:rFonts w:ascii="Book Antiqua" w:eastAsia="Book Antiqua" w:hAnsi="Book Antiqua" w:cs="Book Antiqua"/>
          <w:color w:val="000000"/>
        </w:rPr>
        <w:t>ll authors critically revised the manuscript.</w:t>
      </w:r>
    </w:p>
    <w:p w14:paraId="7F4E275E" w14:textId="77777777" w:rsidR="00A77B3E" w:rsidRDefault="00A77B3E">
      <w:pPr>
        <w:spacing w:line="360" w:lineRule="auto"/>
        <w:jc w:val="both"/>
      </w:pPr>
    </w:p>
    <w:p w14:paraId="74493D27" w14:textId="77777777" w:rsidR="00A77B3E" w:rsidRDefault="002C2D2E">
      <w:pPr>
        <w:spacing w:line="360" w:lineRule="auto"/>
        <w:jc w:val="both"/>
      </w:pPr>
      <w:r>
        <w:rPr>
          <w:rFonts w:ascii="Book Antiqua" w:eastAsia="Book Antiqua" w:hAnsi="Book Antiqua" w:cs="Book Antiqua"/>
          <w:b/>
          <w:bCs/>
          <w:color w:val="000000"/>
        </w:rPr>
        <w:t xml:space="preserve">Corresponding author: Jordan M Cloyd, MD, Assistant Professor, </w:t>
      </w:r>
      <w:r>
        <w:rPr>
          <w:rFonts w:ascii="Book Antiqua" w:eastAsia="Book Antiqua" w:hAnsi="Book Antiqua" w:cs="Book Antiqua"/>
          <w:color w:val="000000"/>
        </w:rPr>
        <w:t>Department of Surgery, The Ohio State University Wexner Medical Center, 410 W 10th Ave, N907 Doan Hall, Columbus, OH 43215, United States. jordan.cloyd@osumc.edu</w:t>
      </w:r>
    </w:p>
    <w:p w14:paraId="38BBF2AF" w14:textId="77777777" w:rsidR="00A77B3E" w:rsidRDefault="00A77B3E">
      <w:pPr>
        <w:spacing w:line="360" w:lineRule="auto"/>
        <w:jc w:val="both"/>
      </w:pPr>
    </w:p>
    <w:p w14:paraId="1D5A049C" w14:textId="77777777" w:rsidR="00A77B3E" w:rsidRDefault="002C2D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216F90C4" w14:textId="77777777" w:rsidR="00A77B3E" w:rsidRDefault="002C2D2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12, 2021</w:t>
      </w:r>
    </w:p>
    <w:p w14:paraId="50117C9A" w14:textId="3DBBE35E" w:rsidR="00A77B3E" w:rsidRDefault="002C2D2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D7BFD">
        <w:rPr>
          <w:rFonts w:ascii="Book Antiqua" w:eastAsia="宋体" w:hAnsi="Book Antiqua"/>
          <w:color w:val="000000" w:themeColor="text1"/>
        </w:rPr>
        <w:t>J</w:t>
      </w:r>
      <w:r w:rsidR="00BD7BFD">
        <w:rPr>
          <w:rFonts w:ascii="Book Antiqua" w:eastAsia="宋体" w:hAnsi="Book Antiqua" w:hint="eastAsia"/>
          <w:color w:val="000000" w:themeColor="text1"/>
        </w:rPr>
        <w:t>u</w:t>
      </w:r>
      <w:r w:rsidR="00BD7BFD">
        <w:rPr>
          <w:rFonts w:ascii="Book Antiqua" w:eastAsia="宋体" w:hAnsi="Book Antiqua"/>
          <w:color w:val="000000" w:themeColor="text1"/>
        </w:rPr>
        <w:t>ly</w:t>
      </w:r>
      <w:r w:rsidR="00BD7BFD" w:rsidRPr="00F06907">
        <w:rPr>
          <w:rFonts w:ascii="Book Antiqua" w:eastAsia="宋体" w:hAnsi="Book Antiqua"/>
          <w:color w:val="000000" w:themeColor="text1"/>
        </w:rPr>
        <w:t xml:space="preserve"> </w:t>
      </w:r>
      <w:r w:rsidR="00BD7BFD">
        <w:rPr>
          <w:rFonts w:ascii="Book Antiqua" w:eastAsia="宋体" w:hAnsi="Book Antiqua"/>
          <w:color w:val="000000" w:themeColor="text1"/>
        </w:rPr>
        <w:t>5</w:t>
      </w:r>
      <w:r w:rsidR="00BD7BFD" w:rsidRPr="00F06907">
        <w:rPr>
          <w:rFonts w:ascii="Book Antiqua" w:eastAsia="宋体" w:hAnsi="Book Antiqua"/>
          <w:color w:val="000000" w:themeColor="text1"/>
        </w:rPr>
        <w:t>, 2021</w:t>
      </w:r>
      <w:bookmarkEnd w:id="0"/>
      <w:bookmarkEnd w:id="1"/>
      <w:bookmarkEnd w:id="2"/>
    </w:p>
    <w:p w14:paraId="49E61223" w14:textId="77777777" w:rsidR="00A77B3E" w:rsidRDefault="002C2D2E">
      <w:pPr>
        <w:spacing w:line="360" w:lineRule="auto"/>
        <w:jc w:val="both"/>
      </w:pPr>
      <w:r>
        <w:rPr>
          <w:rFonts w:ascii="Book Antiqua" w:eastAsia="Book Antiqua" w:hAnsi="Book Antiqua" w:cs="Book Antiqua"/>
          <w:b/>
          <w:bCs/>
          <w:color w:val="000000"/>
        </w:rPr>
        <w:t xml:space="preserve">Published online: </w:t>
      </w:r>
    </w:p>
    <w:p w14:paraId="1A529B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2A7F27" w14:textId="77777777" w:rsidR="00A77B3E" w:rsidRDefault="002C2D2E">
      <w:pPr>
        <w:spacing w:line="360" w:lineRule="auto"/>
        <w:jc w:val="both"/>
      </w:pPr>
      <w:r>
        <w:rPr>
          <w:rFonts w:ascii="Book Antiqua" w:eastAsia="Book Antiqua" w:hAnsi="Book Antiqua" w:cs="Book Antiqua"/>
          <w:b/>
          <w:color w:val="000000"/>
        </w:rPr>
        <w:lastRenderedPageBreak/>
        <w:t>Abstract</w:t>
      </w:r>
    </w:p>
    <w:p w14:paraId="6F5CF66C" w14:textId="77777777" w:rsidR="00A77B3E" w:rsidRDefault="005F15E4">
      <w:pPr>
        <w:spacing w:line="360" w:lineRule="auto"/>
        <w:jc w:val="both"/>
      </w:pPr>
      <w:r>
        <w:rPr>
          <w:rFonts w:ascii="Book Antiqua" w:eastAsia="Book Antiqua" w:hAnsi="Book Antiqua" w:cs="Book Antiqua"/>
          <w:color w:val="000000"/>
        </w:rPr>
        <w:t>Pancreatic ductal adenocarcinoma (PDAC)</w:t>
      </w:r>
      <w:r w:rsidR="002C2D2E">
        <w:rPr>
          <w:rFonts w:ascii="Book Antiqua" w:eastAsia="Book Antiqua" w:hAnsi="Book Antiqua" w:cs="Book Antiqua"/>
          <w:color w:val="000000"/>
          <w:szCs w:val="17"/>
          <w:shd w:val="clear" w:color="auto" w:fill="FFFFFF"/>
        </w:rPr>
        <w:t xml:space="preserve"> is an aggressive malignancy that is best treated in a multidisciplinary fashion using surgery, chemotherapy, and radiation. Adjuvant chemotherapy has shown to have a significant survival benefit in patients with resected PDAC. However, up to 50% of patients fail to receive adjuvant chemotherapy due to postoperative complications, poor patient performance status or early disease progression. In order to ensure the delivery of chemotherapy, an alternative strategy is to administer systemic treatment prior to surgery. Precision oncology refers to the application of diverse strategies to target therapies specific to characteristics of a patient’s cancer. While traditionally emphasized in selecting targeted therapies based on molecular, genetic, and radiographic biomarkers for patients with metastatic disease, the neoadjuvant setting is a prime opportunity to utilize personalized approaches. In this article, we describe the current evidence for the use of neoadjuvant therapy (NT) and highlight unique opportunities for personalized care in patients with PDAC undergoing NT.</w:t>
      </w:r>
    </w:p>
    <w:p w14:paraId="5C6685CB" w14:textId="77777777" w:rsidR="00A77B3E" w:rsidRDefault="00A77B3E">
      <w:pPr>
        <w:spacing w:line="360" w:lineRule="auto"/>
        <w:jc w:val="both"/>
      </w:pPr>
    </w:p>
    <w:p w14:paraId="6427A0A0" w14:textId="346F33C2" w:rsidR="00A77B3E" w:rsidRDefault="002C2D2E">
      <w:pPr>
        <w:spacing w:line="360" w:lineRule="auto"/>
        <w:jc w:val="both"/>
      </w:pPr>
      <w:r>
        <w:rPr>
          <w:rFonts w:ascii="Book Antiqua" w:eastAsia="Book Antiqua" w:hAnsi="Book Antiqua" w:cs="Book Antiqua"/>
          <w:b/>
          <w:bCs/>
          <w:color w:val="000000"/>
        </w:rPr>
        <w:t xml:space="preserve">Key Words: </w:t>
      </w:r>
      <w:bookmarkStart w:id="3" w:name="OLE_LINK84"/>
      <w:r>
        <w:rPr>
          <w:rFonts w:ascii="Book Antiqua" w:eastAsia="Book Antiqua" w:hAnsi="Book Antiqua" w:cs="Book Antiqua"/>
          <w:color w:val="000000"/>
        </w:rPr>
        <w:t xml:space="preserve">Pancreatic cancer; Preoperative therapy; </w:t>
      </w:r>
      <w:r w:rsidR="008631D3">
        <w:rPr>
          <w:rFonts w:ascii="Book Antiqua" w:eastAsia="Book Antiqua" w:hAnsi="Book Antiqua" w:cs="Book Antiqua"/>
          <w:color w:val="000000"/>
        </w:rPr>
        <w:t>FOLFIRINOX</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Precision oncology</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Patient-reported outcomes</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Personalized medicine</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Targeted therapy</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Whipple</w:t>
      </w:r>
      <w:r w:rsidR="005F15E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F15E4">
        <w:rPr>
          <w:rFonts w:ascii="Book Antiqua" w:hAnsi="Book Antiqua" w:cs="Book Antiqua" w:hint="eastAsia"/>
          <w:color w:val="000000"/>
          <w:lang w:eastAsia="zh-CN"/>
        </w:rPr>
        <w:t>P</w:t>
      </w:r>
      <w:r>
        <w:rPr>
          <w:rFonts w:ascii="Book Antiqua" w:eastAsia="Book Antiqua" w:hAnsi="Book Antiqua" w:cs="Book Antiqua"/>
          <w:color w:val="000000"/>
        </w:rPr>
        <w:t>ancreatectomy</w:t>
      </w:r>
    </w:p>
    <w:bookmarkEnd w:id="3"/>
    <w:p w14:paraId="5F49F8D5" w14:textId="77777777" w:rsidR="00A77B3E" w:rsidRDefault="00A77B3E">
      <w:pPr>
        <w:spacing w:line="360" w:lineRule="auto"/>
        <w:jc w:val="both"/>
      </w:pPr>
    </w:p>
    <w:p w14:paraId="33DBF3FF" w14:textId="77777777" w:rsidR="00A77B3E" w:rsidRDefault="002C2D2E">
      <w:pPr>
        <w:spacing w:line="360" w:lineRule="auto"/>
        <w:jc w:val="both"/>
      </w:pPr>
      <w:r>
        <w:rPr>
          <w:rFonts w:ascii="Book Antiqua" w:eastAsia="Book Antiqua" w:hAnsi="Book Antiqua" w:cs="Book Antiqua"/>
          <w:color w:val="000000"/>
        </w:rPr>
        <w:t xml:space="preserve">Hamad A, Brown ZJ, Ejaz AM,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Cloyd JM. Neoadjuvant therapy for pancreatic ductal adenocarcinoma: Opportunities for personalized cancer care.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82C57B4" w14:textId="77777777" w:rsidR="00A77B3E" w:rsidRDefault="00A77B3E">
      <w:pPr>
        <w:spacing w:line="360" w:lineRule="auto"/>
        <w:jc w:val="both"/>
      </w:pPr>
    </w:p>
    <w:p w14:paraId="782D549A" w14:textId="59CBC4D9" w:rsidR="00A77B3E" w:rsidRPr="00251E15" w:rsidRDefault="002C2D2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Neoadjuvant therapy (NT) is an increasingly utilized approach that maximizes the receipt of multimodality therapy, improves margin-negative resection rates, and potentially increases survival durations. In the era of personalized medicine, the neoadjuvant period can also be used to emphasize precision oncology. Already, current methods of anatomically staging, molecularly profiling, and monitoring </w:t>
      </w:r>
      <w:r>
        <w:rPr>
          <w:rFonts w:ascii="Book Antiqua" w:eastAsia="Book Antiqua" w:hAnsi="Book Antiqua" w:cs="Book Antiqua"/>
          <w:color w:val="000000"/>
        </w:rPr>
        <w:lastRenderedPageBreak/>
        <w:t xml:space="preserve">response to therapy can be used to personalize neoadjuvant treatment for localized </w:t>
      </w:r>
      <w:r w:rsidR="005F15E4">
        <w:rPr>
          <w:rFonts w:ascii="Book Antiqua" w:hAnsi="Book Antiqua" w:cs="Book Antiqua" w:hint="eastAsia"/>
          <w:color w:val="000000"/>
          <w:lang w:eastAsia="zh-CN"/>
        </w:rPr>
        <w:t>p</w:t>
      </w:r>
      <w:r w:rsidR="005F15E4">
        <w:rPr>
          <w:rFonts w:ascii="Book Antiqua" w:eastAsia="Book Antiqua" w:hAnsi="Book Antiqua" w:cs="Book Antiqua"/>
          <w:color w:val="000000"/>
        </w:rPr>
        <w:t>ancreatic ductal adenocarcinoma (PDAC)</w:t>
      </w:r>
      <w:r>
        <w:rPr>
          <w:rFonts w:ascii="Book Antiqua" w:eastAsia="Book Antiqua" w:hAnsi="Book Antiqua" w:cs="Book Antiqua"/>
          <w:color w:val="000000"/>
        </w:rPr>
        <w:t>. In this article, we describe the current evidence for the use of NT and highlight unique opportunities for personalized care in patients with PDAC undergoing NT</w:t>
      </w:r>
      <w:r w:rsidR="00942F20">
        <w:rPr>
          <w:rFonts w:ascii="Book Antiqua" w:eastAsia="Book Antiqua" w:hAnsi="Book Antiqua" w:cs="Book Antiqua"/>
          <w:color w:val="000000"/>
        </w:rPr>
        <w:t>.</w:t>
      </w:r>
    </w:p>
    <w:p w14:paraId="7E138B55" w14:textId="77777777" w:rsidR="00A77B3E" w:rsidRDefault="005F15E4">
      <w:pPr>
        <w:spacing w:line="360" w:lineRule="auto"/>
        <w:jc w:val="both"/>
      </w:pPr>
      <w:r>
        <w:br w:type="page"/>
      </w:r>
      <w:r w:rsidR="002C2D2E">
        <w:rPr>
          <w:rFonts w:ascii="Book Antiqua" w:eastAsia="Book Antiqua" w:hAnsi="Book Antiqua" w:cs="Book Antiqua"/>
          <w:b/>
          <w:caps/>
          <w:color w:val="000000"/>
          <w:u w:val="single"/>
        </w:rPr>
        <w:lastRenderedPageBreak/>
        <w:t>INTRODUCTION</w:t>
      </w:r>
    </w:p>
    <w:p w14:paraId="4ED53197" w14:textId="77777777" w:rsidR="00A77B3E" w:rsidRDefault="002C2D2E">
      <w:pPr>
        <w:spacing w:line="360" w:lineRule="auto"/>
        <w:jc w:val="both"/>
      </w:pPr>
      <w:r>
        <w:rPr>
          <w:rFonts w:ascii="Book Antiqua" w:eastAsia="Book Antiqua" w:hAnsi="Book Antiqua" w:cs="Book Antiqua"/>
          <w:color w:val="000000"/>
        </w:rPr>
        <w:t>Pancreatic ductal adenocarcinoma (PDAC) is one of the leading causes of cancer-related deaths worldwide with a 5-year overall survival (OS) rate of only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Despite surgical resection being the only hope for cure, only a small proportion of patients present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and the majority of patients will develop locoregional or metastatic recurrence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Adjuvant chemotherapy has shown to have a significant survival benefit in patients with resected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up to 50% of patients fail to receive adjuvant chemotherapy due to postoperative complications, poor patient performance status or early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5F15E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3DC557B" w14:textId="77777777" w:rsidR="00A77B3E" w:rsidRDefault="002C2D2E" w:rsidP="005F15E4">
      <w:pPr>
        <w:spacing w:line="360" w:lineRule="auto"/>
        <w:ind w:firstLineChars="100" w:firstLine="240"/>
        <w:jc w:val="both"/>
      </w:pPr>
      <w:r>
        <w:rPr>
          <w:rFonts w:ascii="Book Antiqua" w:eastAsia="Book Antiqua" w:hAnsi="Book Antiqua" w:cs="Book Antiqua"/>
          <w:color w:val="000000"/>
        </w:rPr>
        <w:t xml:space="preserve">In order to ensure the delivery of chemotherapy, an alternative strategy is to administer systemic treatment prior to surgery. Neoadjuvant therapy (NT) has been shown to confer several clinical benefits such as improved margin-negative resection rates, decreased lymph node positivity, early treatment of presumed micro-metastatic disease, an optimal window of time to provide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before surgery, and the ability to measure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response to therapy histologically after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5F15E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Moreover, increasing evidence from randomized controlled trials</w:t>
      </w:r>
      <w:r w:rsidR="005F15E4">
        <w:rPr>
          <w:rFonts w:ascii="Book Antiqua" w:hAnsi="Book Antiqua" w:cs="Book Antiqua" w:hint="eastAsia"/>
          <w:color w:val="000000"/>
          <w:lang w:eastAsia="zh-CN"/>
        </w:rPr>
        <w:t xml:space="preserve"> </w:t>
      </w:r>
      <w:r w:rsidR="005F15E4">
        <w:rPr>
          <w:rFonts w:ascii="Book Antiqua" w:eastAsia="Book Antiqua" w:hAnsi="Book Antiqua" w:cs="Book Antiqua"/>
          <w:color w:val="000000"/>
        </w:rPr>
        <w:t>(RCT)</w:t>
      </w:r>
      <w:r>
        <w:rPr>
          <w:rFonts w:ascii="Book Antiqua" w:eastAsia="Book Antiqua" w:hAnsi="Book Antiqua" w:cs="Book Antiqua"/>
          <w:color w:val="000000"/>
        </w:rPr>
        <w:t xml:space="preserve"> suggests NT may improve OS in patients with non-metastatic PDAC compared with upfront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sidR="005F15E4">
        <w:rPr>
          <w:rFonts w:ascii="Book Antiqua" w:eastAsia="Book Antiqua" w:hAnsi="Book Antiqua" w:cs="Book Antiqua"/>
          <w:color w:val="000000"/>
        </w:rPr>
        <w:t>.</w:t>
      </w:r>
      <w:r w:rsidR="005F15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Despite the advantages of NT, its use in the United States has remained relatively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While NT is now the recommended treatment strategy for borderline </w:t>
      </w:r>
      <w:proofErr w:type="spellStart"/>
      <w:r>
        <w:rPr>
          <w:rFonts w:ascii="Book Antiqua" w:eastAsia="Book Antiqua" w:hAnsi="Book Antiqua" w:cs="Book Antiqua"/>
          <w:color w:val="000000"/>
        </w:rPr>
        <w:t>resectab</w:t>
      </w:r>
      <w:r w:rsidR="005F15E4">
        <w:rPr>
          <w:rFonts w:ascii="Book Antiqua" w:eastAsia="Book Antiqua" w:hAnsi="Book Antiqua" w:cs="Book Antiqua"/>
          <w:color w:val="000000"/>
        </w:rPr>
        <w:t>le</w:t>
      </w:r>
      <w:proofErr w:type="spellEnd"/>
      <w:r w:rsidR="005F15E4">
        <w:rPr>
          <w:rFonts w:ascii="Book Antiqua" w:eastAsia="Book Antiqua" w:hAnsi="Book Antiqua" w:cs="Book Antiqua"/>
          <w:color w:val="000000"/>
        </w:rPr>
        <w:t xml:space="preserve"> (BR)</w:t>
      </w:r>
      <w:r w:rsidR="005F15E4">
        <w:rPr>
          <w:rFonts w:ascii="Book Antiqua" w:hAnsi="Book Antiqua" w:cs="Book Antiqua" w:hint="eastAsia"/>
          <w:color w:val="000000"/>
          <w:lang w:eastAsia="zh-CN"/>
        </w:rPr>
        <w:t xml:space="preserve"> </w:t>
      </w:r>
      <w:r w:rsidR="005F15E4">
        <w:rPr>
          <w:rFonts w:ascii="Book Antiqua" w:eastAsia="Book Antiqua" w:hAnsi="Book Antiqua" w:cs="Book Antiqua"/>
          <w:color w:val="000000"/>
        </w:rPr>
        <w:t xml:space="preserve">or locally advanced cancer, </w:t>
      </w:r>
      <w:r>
        <w:rPr>
          <w:rFonts w:ascii="Book Antiqua" w:eastAsia="Book Antiqua" w:hAnsi="Book Antiqua" w:cs="Book Antiqua"/>
          <w:color w:val="000000"/>
        </w:rPr>
        <w:t xml:space="preserve">current NCCN guidelines support either upfront surgical resection or NT for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6C8318B" w14:textId="77777777" w:rsidR="00A77B3E" w:rsidRDefault="002C2D2E" w:rsidP="005F15E4">
      <w:pPr>
        <w:spacing w:line="360" w:lineRule="auto"/>
        <w:ind w:firstLineChars="100" w:firstLine="240"/>
        <w:jc w:val="both"/>
      </w:pPr>
      <w:r>
        <w:rPr>
          <w:rFonts w:ascii="Book Antiqua" w:eastAsia="Book Antiqua" w:hAnsi="Book Antiqua" w:cs="Book Antiqua"/>
          <w:color w:val="000000"/>
        </w:rPr>
        <w:t xml:space="preserve">There is growing interest in emphasizing personalized approaches to multidisciplinary cancer care that reflects not only unique differences in cancer biology but also individual circumstances and treatment goals. Precision oncology refers to the application of diverse strategies to target therapies specific to characteristics of a patient’s cancer. While traditionally emphasized in selecting targeted therapies based on molecular, genetic, and radiographic biomarkers for patients with metastatic disease, the neoadjuvant setting is a prime opportunity to utilize personalized approaches. In </w:t>
      </w:r>
      <w:r>
        <w:rPr>
          <w:rFonts w:ascii="Book Antiqua" w:eastAsia="Book Antiqua" w:hAnsi="Book Antiqua" w:cs="Book Antiqua"/>
          <w:color w:val="000000"/>
        </w:rPr>
        <w:lastRenderedPageBreak/>
        <w:t>this article, we describe the current evidence for the use of NT and highlight unique opportunities for personalized care in patients with PDAC undergoing NT.</w:t>
      </w:r>
    </w:p>
    <w:p w14:paraId="19215D84" w14:textId="77777777" w:rsidR="00A77B3E" w:rsidRDefault="00A77B3E">
      <w:pPr>
        <w:spacing w:line="360" w:lineRule="auto"/>
        <w:jc w:val="both"/>
      </w:pPr>
    </w:p>
    <w:p w14:paraId="300D5763" w14:textId="77777777" w:rsidR="00A77B3E" w:rsidRDefault="002C2D2E">
      <w:pPr>
        <w:spacing w:line="360" w:lineRule="auto"/>
        <w:jc w:val="both"/>
      </w:pPr>
      <w:r>
        <w:rPr>
          <w:rFonts w:ascii="Book Antiqua" w:eastAsia="Book Antiqua" w:hAnsi="Book Antiqua" w:cs="Book Antiqua"/>
          <w:b/>
          <w:bCs/>
          <w:caps/>
          <w:color w:val="000000"/>
          <w:u w:val="single"/>
        </w:rPr>
        <w:t xml:space="preserve">Rationale for </w:t>
      </w:r>
      <w:r w:rsidR="005F15E4" w:rsidRPr="005F15E4">
        <w:rPr>
          <w:rFonts w:ascii="Book Antiqua" w:eastAsia="Book Antiqua" w:hAnsi="Book Antiqua" w:cs="Book Antiqua"/>
          <w:b/>
          <w:bCs/>
          <w:caps/>
          <w:color w:val="000000"/>
          <w:u w:val="single"/>
        </w:rPr>
        <w:t>NT</w:t>
      </w:r>
    </w:p>
    <w:p w14:paraId="0ADE40EB" w14:textId="45A1A716" w:rsidR="00A77B3E" w:rsidRDefault="002C2D2E">
      <w:pPr>
        <w:spacing w:line="360" w:lineRule="auto"/>
        <w:jc w:val="both"/>
      </w:pPr>
      <w:r>
        <w:rPr>
          <w:rFonts w:ascii="Book Antiqua" w:eastAsia="Book Antiqua" w:hAnsi="Book Antiqua" w:cs="Book Antiqua"/>
          <w:color w:val="000000"/>
        </w:rPr>
        <w:t>Large cohort and population-based studies have shown that as many as 50% of patients who undergo surgical resection for PDAC are unable to receive adjuvant therapy due to postoperative complications, poor performance status, or early disease progression</w:t>
      </w:r>
      <w:r>
        <w:rPr>
          <w:rFonts w:ascii="Book Antiqua" w:eastAsia="Book Antiqua" w:hAnsi="Book Antiqua" w:cs="Book Antiqua"/>
          <w:color w:val="000000"/>
          <w:szCs w:val="30"/>
          <w:vertAlign w:val="superscript"/>
        </w:rPr>
        <w:t>[4</w:t>
      </w:r>
      <w:r w:rsidR="005F15E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6,15,16]</w:t>
      </w:r>
      <w:r>
        <w:rPr>
          <w:rFonts w:ascii="Book Antiqua" w:eastAsia="Book Antiqua" w:hAnsi="Book Antiqua" w:cs="Book Antiqua"/>
          <w:color w:val="000000"/>
        </w:rPr>
        <w:t xml:space="preserve">. Even among healthy patients enrolled in clinical trials, a substantial proportion of patients are unable to initiate adjuvant therapy due to the morbidity of pancreatic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 even greater proportion of patients fail to complete all intended cycles of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Thus, the ability to ensure receipt of systemic therapy and facilitate multimodality therapy is one of the strongest reasons to recommend NT. Other advantages that support the use of NT include the early treatment of presumed </w:t>
      </w:r>
      <w:proofErr w:type="spellStart"/>
      <w:r>
        <w:rPr>
          <w:rFonts w:ascii="Book Antiqua" w:eastAsia="Book Antiqua" w:hAnsi="Book Antiqua" w:cs="Book Antiqua"/>
          <w:color w:val="000000"/>
        </w:rPr>
        <w:t>micrometastatic</w:t>
      </w:r>
      <w:proofErr w:type="spellEnd"/>
      <w:r>
        <w:rPr>
          <w:rFonts w:ascii="Book Antiqua" w:eastAsia="Book Antiqua" w:hAnsi="Book Antiqua" w:cs="Book Antiqua"/>
          <w:color w:val="000000"/>
        </w:rPr>
        <w:t xml:space="preserve"> disease, the ability to potentially downstage BR disease improving the chances of R0 resection, and improved patient selection by avoiding surgery in those patients with rapid disease progression during preope</w:t>
      </w:r>
      <w:r w:rsidR="005F15E4">
        <w:rPr>
          <w:rFonts w:ascii="Book Antiqua" w:eastAsia="Book Antiqua" w:hAnsi="Book Antiqua" w:cs="Book Antiqua"/>
          <w:color w:val="000000"/>
        </w:rPr>
        <w:t>rative treatment. Additionally,</w:t>
      </w:r>
      <w:r>
        <w:rPr>
          <w:rFonts w:ascii="Book Antiqua" w:eastAsia="Book Antiqua" w:hAnsi="Book Antiqua" w:cs="Book Antiqua"/>
          <w:color w:val="000000"/>
        </w:rPr>
        <w:t xml:space="preserve"> well-oxygenated</w:t>
      </w:r>
      <w:r w:rsidR="00942F20">
        <w:rPr>
          <w:rFonts w:ascii="Book Antiqua" w:eastAsia="Book Antiqua" w:hAnsi="Book Antiqua" w:cs="Book Antiqua"/>
          <w:color w:val="000000"/>
        </w:rPr>
        <w:t>,</w:t>
      </w:r>
      <w:r>
        <w:rPr>
          <w:rFonts w:ascii="Book Antiqua" w:eastAsia="Book Antiqua" w:hAnsi="Book Antiqua" w:cs="Book Antiqua"/>
          <w:color w:val="000000"/>
        </w:rPr>
        <w:t xml:space="preserve"> non-</w:t>
      </w:r>
      <w:proofErr w:type="spellStart"/>
      <w:r>
        <w:rPr>
          <w:rFonts w:ascii="Book Antiqua" w:eastAsia="Book Antiqua" w:hAnsi="Book Antiqua" w:cs="Book Antiqua"/>
          <w:color w:val="000000"/>
        </w:rPr>
        <w:t>devascularized</w:t>
      </w:r>
      <w:proofErr w:type="spellEnd"/>
      <w:r>
        <w:rPr>
          <w:rFonts w:ascii="Book Antiqua" w:eastAsia="Book Antiqua" w:hAnsi="Book Antiqua" w:cs="Book Antiqua"/>
          <w:color w:val="000000"/>
        </w:rPr>
        <w:t xml:space="preserve"> tissue is more susceptible to the effects of chemoradiation, which theoretically increases the efficacy of chemoradiation if given prior to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0B6D2395" w14:textId="77777777" w:rsidR="00A77B3E" w:rsidRDefault="002C2D2E" w:rsidP="005F15E4">
      <w:pPr>
        <w:spacing w:line="360" w:lineRule="auto"/>
        <w:ind w:firstLineChars="100" w:firstLine="240"/>
        <w:jc w:val="both"/>
      </w:pPr>
      <w:r>
        <w:rPr>
          <w:rFonts w:ascii="Book Antiqua" w:eastAsia="Book Antiqua" w:hAnsi="Book Antiqua" w:cs="Book Antiqua"/>
          <w:color w:val="000000"/>
        </w:rPr>
        <w:t>These advantages must be carefully weighed against the potential disadvantages of pursuing NT. First, unlike in a surgery-first approach, tissue diagnosis and biliary decompression are uniformly required. These procedures may delay the initiation of treatment and are associated with small, but non-zero, risks. Second, NT is inherently multi-disciplinary and require careful coordination among providers. Third, and most importantly, delivering aggressive chemotherapy and/or radiation prior to surgery can lead to severe toxicity that, in extreme cases, can preclude subsequent surgical resection.</w:t>
      </w:r>
      <w:r>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rPr>
        <w:t xml:space="preserve">Indeed, a systematic review by the Dutch Pancreatic Cancer Group calculated a Grade III or higher toxicity rate of 64% among patients undergoing </w:t>
      </w:r>
      <w:proofErr w:type="gramStart"/>
      <w:r>
        <w:rPr>
          <w:rFonts w:ascii="Book Antiqua" w:eastAsia="Book Antiqua" w:hAnsi="Book Antiqua" w:cs="Book Antiqua"/>
          <w:color w:val="000000"/>
        </w:rPr>
        <w:t>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recent SWOG S1505 trial of NT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found that nearly 13% that started NT were </w:t>
      </w:r>
      <w:r>
        <w:rPr>
          <w:rFonts w:ascii="Book Antiqua" w:eastAsia="Book Antiqua" w:hAnsi="Book Antiqua" w:cs="Book Antiqua"/>
          <w:color w:val="000000"/>
        </w:rPr>
        <w:lastRenderedPageBreak/>
        <w:t xml:space="preserve">unable to undergo surgery because of performance status </w:t>
      </w:r>
      <w:proofErr w:type="gramStart"/>
      <w:r>
        <w:rPr>
          <w:rFonts w:ascii="Book Antiqua" w:eastAsia="Book Antiqua" w:hAnsi="Book Antiqua" w:cs="Book Antiqua"/>
          <w:color w:val="000000"/>
        </w:rPr>
        <w:t>decline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Finally, while distant progression while on NT is far more common, a small risk of local progression that leads to </w:t>
      </w:r>
      <w:proofErr w:type="spellStart"/>
      <w:r>
        <w:rPr>
          <w:rFonts w:ascii="Book Antiqua" w:eastAsia="Book Antiqua" w:hAnsi="Book Antiqua" w:cs="Book Antiqua"/>
          <w:color w:val="000000"/>
        </w:rPr>
        <w:t>unresectability</w:t>
      </w:r>
      <w:proofErr w:type="spellEnd"/>
      <w:r>
        <w:rPr>
          <w:rFonts w:ascii="Book Antiqua" w:eastAsia="Book Antiqua" w:hAnsi="Book Antiqua" w:cs="Book Antiqua"/>
          <w:color w:val="000000"/>
        </w:rPr>
        <w:t xml:space="preserve"> exists. These challenges highlight the importance not only of personalizing treatment decisions regarding NT, but also of emphasizing research that improves the delivery of NT for patients with localized PDAC.</w:t>
      </w:r>
    </w:p>
    <w:p w14:paraId="74FAC50C" w14:textId="77777777" w:rsidR="00A77B3E" w:rsidRDefault="00A77B3E">
      <w:pPr>
        <w:spacing w:line="360" w:lineRule="auto"/>
        <w:jc w:val="both"/>
      </w:pPr>
    </w:p>
    <w:p w14:paraId="536646DC" w14:textId="77777777" w:rsidR="00A77B3E" w:rsidRDefault="002C2D2E">
      <w:pPr>
        <w:spacing w:line="360" w:lineRule="auto"/>
        <w:jc w:val="both"/>
      </w:pPr>
      <w:r>
        <w:rPr>
          <w:rFonts w:ascii="Book Antiqua" w:eastAsia="Book Antiqua" w:hAnsi="Book Antiqua" w:cs="Book Antiqua"/>
          <w:b/>
          <w:bCs/>
          <w:caps/>
          <w:color w:val="000000"/>
          <w:u w:val="single"/>
        </w:rPr>
        <w:t xml:space="preserve">Current Evidence for </w:t>
      </w:r>
      <w:r w:rsidR="005F15E4" w:rsidRPr="005F15E4">
        <w:rPr>
          <w:rFonts w:ascii="Book Antiqua" w:eastAsia="Book Antiqua" w:hAnsi="Book Antiqua" w:cs="Book Antiqua"/>
          <w:b/>
          <w:bCs/>
          <w:caps/>
          <w:color w:val="000000"/>
          <w:u w:val="single"/>
        </w:rPr>
        <w:t>NT</w:t>
      </w:r>
    </w:p>
    <w:p w14:paraId="15B9362C" w14:textId="77777777" w:rsidR="00A77B3E" w:rsidRDefault="002C2D2E">
      <w:pPr>
        <w:spacing w:line="360" w:lineRule="auto"/>
        <w:jc w:val="both"/>
      </w:pPr>
      <w:r>
        <w:rPr>
          <w:rFonts w:ascii="Book Antiqua" w:eastAsia="Book Antiqua" w:hAnsi="Book Antiqua" w:cs="Book Antiqua"/>
          <w:color w:val="000000"/>
        </w:rPr>
        <w:t xml:space="preserve">Support for the use of NT for localized PDAC has largely come from small prospective trials, single-institutional series, and cancer </w:t>
      </w:r>
      <w:proofErr w:type="gramStart"/>
      <w:r>
        <w:rPr>
          <w:rFonts w:ascii="Book Antiqua" w:eastAsia="Book Antiqua" w:hAnsi="Book Antiqua" w:cs="Book Antiqua"/>
          <w:color w:val="000000"/>
        </w:rPr>
        <w:t>registries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These studies largely demonstrated its feasibility and proposed NT as an acceptable approach for PDAC. Suggestions of improved outcomes compared to upfront surgery have been limited by study design. However, the completion of several </w:t>
      </w:r>
      <w:r w:rsidR="005F15E4">
        <w:rPr>
          <w:rFonts w:ascii="Book Antiqua" w:eastAsia="Book Antiqua" w:hAnsi="Book Antiqua" w:cs="Book Antiqua"/>
          <w:color w:val="000000"/>
        </w:rPr>
        <w:t>RCT</w:t>
      </w:r>
      <w:r>
        <w:rPr>
          <w:rFonts w:ascii="Book Antiqua" w:eastAsia="Book Antiqua" w:hAnsi="Book Antiqua" w:cs="Book Antiqua"/>
          <w:color w:val="000000"/>
        </w:rPr>
        <w:t xml:space="preserve"> in recent years comparing NT to upfront surgery have generated increased support for NT. For example, two RCTs found improved margin-negative resection rates and OS among patients with BR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who received neoadjuvant CRT compared to immediate surgery. Furthermore, the PACT-15 and Prep-02/JSAP-05 RCTs found improved OS among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treated with neoadjuvant chemotherapy compared to those who underwent immediate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16,23]</w:t>
      </w:r>
      <w:r>
        <w:rPr>
          <w:rFonts w:ascii="Book Antiqua" w:eastAsia="Book Antiqua" w:hAnsi="Book Antiqua" w:cs="Book Antiqua"/>
          <w:color w:val="000000"/>
        </w:rPr>
        <w:t>.</w:t>
      </w:r>
    </w:p>
    <w:p w14:paraId="7D5FFE10" w14:textId="77777777" w:rsidR="00A77B3E" w:rsidRDefault="002C2D2E" w:rsidP="00886748">
      <w:pPr>
        <w:spacing w:line="360" w:lineRule="auto"/>
        <w:ind w:firstLineChars="100" w:firstLine="240"/>
        <w:jc w:val="both"/>
      </w:pPr>
      <w:r>
        <w:rPr>
          <w:rFonts w:ascii="Book Antiqua" w:eastAsia="Book Antiqua" w:hAnsi="Book Antiqua" w:cs="Book Antiqua"/>
          <w:color w:val="000000"/>
        </w:rPr>
        <w:t xml:space="preserve">In a recent meta-analysis of only prospective RCTs, Cloyd </w:t>
      </w:r>
      <w:r>
        <w:rPr>
          <w:rFonts w:ascii="Book Antiqua" w:eastAsia="Book Antiqua" w:hAnsi="Book Antiqua" w:cs="Book Antiqua"/>
          <w:i/>
          <w:iCs/>
          <w:color w:val="000000"/>
        </w:rPr>
        <w:t>et al</w:t>
      </w:r>
      <w:r w:rsidR="0088674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the OS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BR PDAC who received NT was nearly 30% better than that of patients who underwent surgery upfront using an intention-to-treat design. Furthermore, the meta-analysis found that NT improved R0 resection rate and decreased lymph node positivity rate. Since then, preliminary results from the ESPAC-5 trial, a four-arm RCT comparing patients undergoing surgery upfront, neoadjuvant gemcitabine/capecitabine (GEMCAP), neoadjuvant FOLFIRINOX, and neoadjuvant capecitabine-based radiation, showed improved one-year OS among patients receiving NT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As a limitation of previous RCTs is the use of non-traditional neoadjuvant regimens (</w:t>
      </w:r>
      <w:r w:rsidRPr="00886748">
        <w:rPr>
          <w:rFonts w:ascii="Book Antiqua" w:eastAsia="Book Antiqua" w:hAnsi="Book Antiqua" w:cs="Book Antiqua"/>
          <w:i/>
          <w:color w:val="000000"/>
        </w:rPr>
        <w:t>e.g.</w:t>
      </w:r>
      <w:r w:rsidR="0088674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or gemcitabine-</w:t>
      </w:r>
      <w:proofErr w:type="spellStart"/>
      <w:r>
        <w:rPr>
          <w:rFonts w:ascii="Book Antiqua" w:eastAsia="Book Antiqua" w:hAnsi="Book Antiqua" w:cs="Book Antiqua"/>
          <w:color w:val="000000"/>
        </w:rPr>
        <w:t>abraxane</w:t>
      </w:r>
      <w:proofErr w:type="spellEnd"/>
      <w:r>
        <w:rPr>
          <w:rFonts w:ascii="Book Antiqua" w:eastAsia="Book Antiqua" w:hAnsi="Book Antiqua" w:cs="Book Antiqua"/>
          <w:color w:val="000000"/>
        </w:rPr>
        <w:t>), the long-term results of this trial and other contemporary studies comparing NT to immediate surgery are anxiously awaited.</w:t>
      </w:r>
    </w:p>
    <w:p w14:paraId="66A2A1F9" w14:textId="77777777" w:rsidR="00A77B3E" w:rsidRDefault="00A77B3E">
      <w:pPr>
        <w:spacing w:line="360" w:lineRule="auto"/>
        <w:jc w:val="both"/>
      </w:pPr>
    </w:p>
    <w:p w14:paraId="082CB889" w14:textId="77777777" w:rsidR="00A77B3E" w:rsidRDefault="002C2D2E">
      <w:pPr>
        <w:spacing w:line="360" w:lineRule="auto"/>
        <w:jc w:val="both"/>
      </w:pPr>
      <w:r>
        <w:rPr>
          <w:rFonts w:ascii="Book Antiqua" w:eastAsia="Book Antiqua" w:hAnsi="Book Antiqua" w:cs="Book Antiqua"/>
          <w:b/>
          <w:bCs/>
          <w:caps/>
          <w:color w:val="000000"/>
          <w:u w:val="single"/>
        </w:rPr>
        <w:t>Opportunities for Personalized Cancer Care</w:t>
      </w:r>
    </w:p>
    <w:p w14:paraId="36B0028A" w14:textId="77777777" w:rsidR="00A77B3E" w:rsidRDefault="002C2D2E">
      <w:pPr>
        <w:spacing w:line="360" w:lineRule="auto"/>
        <w:jc w:val="both"/>
      </w:pPr>
      <w:r>
        <w:rPr>
          <w:rFonts w:ascii="Book Antiqua" w:eastAsia="Book Antiqua" w:hAnsi="Book Antiqua" w:cs="Book Antiqua"/>
          <w:color w:val="000000"/>
        </w:rPr>
        <w:t>Several factors make the neoadjuvant period an optimal scenario to emphasize precision oncology (Table 1). First, PDAC is anatomically and genetically heterogeneous as is the clinical presentation of patients with localized disease. Second, patient and tumor response to NT differs significantly. Evaluating and responding to this dynamic staging offers an opportunity to personalize subsequent treatment.</w:t>
      </w:r>
    </w:p>
    <w:p w14:paraId="195E2667" w14:textId="77777777" w:rsidR="00A77B3E" w:rsidRDefault="00A77B3E">
      <w:pPr>
        <w:spacing w:line="360" w:lineRule="auto"/>
        <w:jc w:val="both"/>
      </w:pPr>
    </w:p>
    <w:p w14:paraId="4BF3EEB8"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t xml:space="preserve">Anatomic </w:t>
      </w:r>
      <w:r w:rsidR="00886748" w:rsidRPr="00886748">
        <w:rPr>
          <w:rFonts w:ascii="Book Antiqua" w:hAnsi="Book Antiqua" w:cs="Book Antiqua" w:hint="eastAsia"/>
          <w:b/>
          <w:i/>
          <w:iCs/>
          <w:color w:val="000000"/>
          <w:lang w:eastAsia="zh-CN"/>
        </w:rPr>
        <w:t>s</w:t>
      </w:r>
      <w:r w:rsidRPr="00886748">
        <w:rPr>
          <w:rFonts w:ascii="Book Antiqua" w:eastAsia="Book Antiqua" w:hAnsi="Book Antiqua" w:cs="Book Antiqua"/>
          <w:b/>
          <w:i/>
          <w:iCs/>
          <w:color w:val="000000"/>
        </w:rPr>
        <w:t>taging</w:t>
      </w:r>
    </w:p>
    <w:p w14:paraId="6819F69D" w14:textId="77777777" w:rsidR="00A77B3E" w:rsidRDefault="002C2D2E">
      <w:pPr>
        <w:spacing w:line="360" w:lineRule="auto"/>
        <w:jc w:val="both"/>
      </w:pPr>
      <w:r>
        <w:rPr>
          <w:rFonts w:ascii="Book Antiqua" w:eastAsia="Book Antiqua" w:hAnsi="Book Antiqua" w:cs="Book Antiqua"/>
          <w:color w:val="000000"/>
        </w:rPr>
        <w:t xml:space="preserve">Using high-quality cross-sectional imaging, localized PDAC is classified 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BR or locally advanced (LA; also termed unresectable) according to its relationship with major vascular structures. While several organizations have published staging criteria with only sl</w:t>
      </w:r>
      <w:r w:rsidR="00242E41">
        <w:rPr>
          <w:rFonts w:ascii="Book Antiqua" w:eastAsia="Book Antiqua" w:hAnsi="Book Antiqua" w:cs="Book Antiqua"/>
          <w:color w:val="000000"/>
        </w:rPr>
        <w:t>ight differences, the SSO/SSAT/</w:t>
      </w:r>
      <w:r>
        <w:rPr>
          <w:rFonts w:ascii="Book Antiqua" w:eastAsia="Book Antiqua" w:hAnsi="Book Antiqua" w:cs="Book Antiqua"/>
          <w:color w:val="000000"/>
        </w:rPr>
        <w:t>AHPBA consensus definitions are commonly employed. As these criteria reflect the likelihood of achieving a margin-negative resection with upfront surgery, the development of a uniform anatomic staging system has been pivotal for improved clinical protocol standardization specifically concerning the use of 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(Table 2).</w:t>
      </w:r>
    </w:p>
    <w:p w14:paraId="4716C2D8" w14:textId="4A9F4CAE" w:rsidR="00A77B3E" w:rsidRDefault="002C2D2E" w:rsidP="00886748">
      <w:pPr>
        <w:spacing w:line="360" w:lineRule="auto"/>
        <w:ind w:firstLineChars="100" w:firstLine="240"/>
        <w:jc w:val="both"/>
      </w:pPr>
      <w:r>
        <w:rPr>
          <w:rFonts w:ascii="Book Antiqua" w:eastAsia="Book Antiqua" w:hAnsi="Book Antiqua" w:cs="Book Antiqua"/>
          <w:color w:val="000000"/>
        </w:rPr>
        <w:t>LA PDAC truly represents unresectable disease, typically because of arterial encasement or non-</w:t>
      </w:r>
      <w:proofErr w:type="spellStart"/>
      <w:r>
        <w:rPr>
          <w:rFonts w:ascii="Book Antiqua" w:eastAsia="Book Antiqua" w:hAnsi="Book Antiqua" w:cs="Book Antiqua"/>
          <w:color w:val="000000"/>
        </w:rPr>
        <w:t>reconstructable</w:t>
      </w:r>
      <w:proofErr w:type="spellEnd"/>
      <w:r>
        <w:rPr>
          <w:rFonts w:ascii="Book Antiqua" w:eastAsia="Book Antiqua" w:hAnsi="Book Antiqua" w:cs="Book Antiqua"/>
          <w:color w:val="000000"/>
        </w:rPr>
        <w:t xml:space="preserve"> venous involvement. Still, recent studies have found that a small but significant proportion of patients can be converted to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after aggressive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For example, a large retrospective study by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8674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showed that 61% of patients with LA PADC receiving FOLFIRINOX as NT underwent successful surgical resection with a 40.8% R0 resection rate. Another study by </w:t>
      </w:r>
      <w:proofErr w:type="spellStart"/>
      <w:r>
        <w:rPr>
          <w:rFonts w:ascii="Book Antiqua" w:eastAsia="Book Antiqua" w:hAnsi="Book Antiqua" w:cs="Book Antiqua"/>
          <w:color w:val="000000"/>
        </w:rPr>
        <w:t>Gemenetzis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86748">
        <w:rPr>
          <w:rFonts w:ascii="Book Antiqua" w:eastAsia="Book Antiqua" w:hAnsi="Book Antiqua" w:cs="Book Antiqua"/>
          <w:color w:val="000000"/>
          <w:szCs w:val="30"/>
          <w:vertAlign w:val="superscript"/>
        </w:rPr>
        <w:t>[</w:t>
      </w:r>
      <w:proofErr w:type="gramEnd"/>
      <w:r w:rsidR="0088674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showed that FOLFIRINOX-based therapy and stereotactic body radiation therapy correlated with increased probability of resection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patients who eventually underwent surgical resection had higher median OS compared with those who did not (35.3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886748">
        <w:rPr>
          <w:rFonts w:ascii="Book Antiqua" w:eastAsia="Book Antiqua" w:hAnsi="Book Antiqua" w:cs="Book Antiqua"/>
          <w:i/>
          <w:color w:val="000000"/>
        </w:rPr>
        <w:t>vs</w:t>
      </w:r>
      <w:r>
        <w:rPr>
          <w:rFonts w:ascii="Book Antiqua" w:eastAsia="Book Antiqua" w:hAnsi="Book Antiqua" w:cs="Book Antiqua"/>
          <w:color w:val="000000"/>
        </w:rPr>
        <w:t xml:space="preserve"> 16.3 </w:t>
      </w:r>
      <w:proofErr w:type="spellStart"/>
      <w:r>
        <w:rPr>
          <w:rFonts w:ascii="Book Antiqua" w:eastAsia="Book Antiqua" w:hAnsi="Book Antiqua" w:cs="Book Antiqua"/>
          <w:color w:val="000000"/>
        </w:rPr>
        <w:t>mo</w:t>
      </w:r>
      <w:proofErr w:type="spellEnd"/>
      <w:r w:rsidR="009B116B">
        <w:rPr>
          <w:rFonts w:ascii="Book Antiqua" w:eastAsia="Book Antiqua" w:hAnsi="Book Antiqua" w:cs="Book Antiqua"/>
          <w:color w:val="000000"/>
        </w:rPr>
        <w:t>;</w:t>
      </w:r>
      <w:r>
        <w:rPr>
          <w:rFonts w:ascii="Book Antiqua" w:eastAsia="Book Antiqua" w:hAnsi="Book Antiqua" w:cs="Book Antiqua"/>
          <w:color w:val="000000"/>
        </w:rPr>
        <w:t xml:space="preserve"> </w:t>
      </w:r>
      <w:r w:rsidR="00886748">
        <w:rPr>
          <w:rFonts w:ascii="Book Antiqua" w:hAnsi="Book Antiqua" w:cs="Book Antiqua" w:hint="eastAsia"/>
          <w:i/>
          <w:color w:val="000000"/>
          <w:lang w:eastAsia="zh-CN"/>
        </w:rPr>
        <w:t>P</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Given the vascular involvement and low likelihood of achieving negative microscopic margins, preoperative radiation therapy is commonly employed after induction systemic chemotherapy prior to </w:t>
      </w:r>
      <w:r>
        <w:rPr>
          <w:rFonts w:ascii="Book Antiqua" w:eastAsia="Book Antiqua" w:hAnsi="Book Antiqua" w:cs="Book Antiqua"/>
          <w:color w:val="000000"/>
        </w:rPr>
        <w:lastRenderedPageBreak/>
        <w:t xml:space="preserve">attempts at surgical resection. This approach is logical since consolidative radiation is frequently administered for patients with LA disease who are not surgical candidates to enhance locoregional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F3DC231" w14:textId="77777777" w:rsidR="00A77B3E" w:rsidRDefault="002C2D2E" w:rsidP="00886748">
      <w:pPr>
        <w:spacing w:line="360" w:lineRule="auto"/>
        <w:ind w:firstLineChars="100" w:firstLine="240"/>
        <w:jc w:val="both"/>
      </w:pPr>
      <w:r>
        <w:rPr>
          <w:rFonts w:ascii="Book Antiqua" w:eastAsia="Book Antiqua" w:hAnsi="Book Antiqua" w:cs="Book Antiqua"/>
          <w:color w:val="000000"/>
        </w:rPr>
        <w:t>A similar approach should be considered for patients with BR PDAC yet with higher likelihood of undergoing surgical resection.</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 practice is to typically begin with induction systemic chemotherapy. For example, the Alliance for Clinical Trials in Oncology group A021101, demonstrated a 93% R0 resection rate for patients with BR PDAC after receiving FOLFIRINOX followed by capecitabine-based chemoradiation as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Similarly, a single-arm prospective trial of neoadjuvant FOLFIRINOX followed by radiation resulted in a high degree of R0 resection in those who underwent surgery with impressive progression-free survival (PFS) and OS </w:t>
      </w:r>
      <w:proofErr w:type="gramStart"/>
      <w:r>
        <w:rPr>
          <w:rFonts w:ascii="Book Antiqua" w:eastAsia="Book Antiqua" w:hAnsi="Book Antiqua" w:cs="Book Antiqua"/>
          <w:color w:val="000000"/>
        </w:rPr>
        <w:t>durations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Despite these results, the role of radiation following induction chemotherapy remains controversial for BR PDAC. The Alliance A021501 trial, randomized patients with BR PDAC to either 8 cycles of FOLFIRINOX or 7 cycles of FOLFIRINOX followed by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radiation before surgery. Patients who received radiation therapy were less likely to undergo surgical resection and experienced shorter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summary, NT with systemic chemotherapy with selective use of preoperative radiation is currently the preferred approach for BR PDAC.</w:t>
      </w:r>
    </w:p>
    <w:p w14:paraId="0F4FB6F5" w14:textId="77777777" w:rsidR="00A77B3E" w:rsidRPr="00886748" w:rsidRDefault="002C2D2E" w:rsidP="00886748">
      <w:pPr>
        <w:spacing w:line="360" w:lineRule="auto"/>
        <w:ind w:firstLineChars="100" w:firstLine="240"/>
        <w:jc w:val="both"/>
        <w:rPr>
          <w:lang w:eastAsia="zh-CN"/>
        </w:rPr>
      </w:pPr>
      <w:r>
        <w:rPr>
          <w:rFonts w:ascii="Book Antiqua" w:eastAsia="Book Antiqua" w:hAnsi="Book Antiqua" w:cs="Book Antiqua"/>
          <w:color w:val="000000"/>
        </w:rPr>
        <w:t xml:space="preserve">The use of NT remains the most controversial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and wide variation in practices </w:t>
      </w:r>
      <w:proofErr w:type="gramStart"/>
      <w:r>
        <w:rPr>
          <w:rFonts w:ascii="Book Antiqua" w:eastAsia="Book Antiqua" w:hAnsi="Book Antiqua" w:cs="Book Antiqua"/>
          <w:color w:val="000000"/>
        </w:rPr>
        <w:t>exist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Nevertheless, the use of NT continues to increase given the previously described rationale and increasing evidence that highlights improved outcomes. However, given the lesser need for downstaging and higher likelihood of achieving an R0 resection, current neoadjuvant approaches tend to utilize systemic chemotherapy alone. For example, the SWOG S1505 trial was a recent RCT of either neoadjuvant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or gemcitabine/nab-paclitaxel prior to surgical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as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addition, the recently opened Alliance A021806 will randomize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to either perioperative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or surgery upfront followed by adjuvant </w:t>
      </w:r>
      <w:proofErr w:type="spellStart"/>
      <w:proofErr w:type="gramStart"/>
      <w:r>
        <w:rPr>
          <w:rFonts w:ascii="Book Antiqua" w:eastAsia="Book Antiqua" w:hAnsi="Book Antiqua" w:cs="Book Antiqua"/>
          <w:color w:val="000000"/>
        </w:rPr>
        <w:t>mFOLFIRINOX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02A90BA" w14:textId="77777777" w:rsidR="00A77B3E" w:rsidRDefault="00A77B3E">
      <w:pPr>
        <w:spacing w:line="360" w:lineRule="auto"/>
        <w:jc w:val="both"/>
      </w:pPr>
    </w:p>
    <w:p w14:paraId="7BFEDA20"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lastRenderedPageBreak/>
        <w:t xml:space="preserve">Molecular </w:t>
      </w:r>
      <w:r w:rsidR="00886748" w:rsidRPr="00886748">
        <w:rPr>
          <w:rFonts w:ascii="Book Antiqua" w:hAnsi="Book Antiqua" w:cs="Book Antiqua" w:hint="eastAsia"/>
          <w:b/>
          <w:i/>
          <w:iCs/>
          <w:color w:val="000000"/>
          <w:lang w:eastAsia="zh-CN"/>
        </w:rPr>
        <w:t>s</w:t>
      </w:r>
      <w:r w:rsidRPr="00886748">
        <w:rPr>
          <w:rFonts w:ascii="Book Antiqua" w:eastAsia="Book Antiqua" w:hAnsi="Book Antiqua" w:cs="Book Antiqua"/>
          <w:b/>
          <w:i/>
          <w:iCs/>
          <w:color w:val="000000"/>
        </w:rPr>
        <w:t>taging</w:t>
      </w:r>
    </w:p>
    <w:p w14:paraId="7B03046B" w14:textId="77777777" w:rsidR="00A77B3E" w:rsidRPr="00886748" w:rsidRDefault="002C2D2E">
      <w:pPr>
        <w:spacing w:line="360" w:lineRule="auto"/>
        <w:jc w:val="both"/>
        <w:rPr>
          <w:lang w:eastAsia="zh-CN"/>
        </w:rPr>
      </w:pPr>
      <w:r>
        <w:rPr>
          <w:rFonts w:ascii="Book Antiqua" w:eastAsia="Book Antiqua" w:hAnsi="Book Antiqua" w:cs="Book Antiqua"/>
          <w:color w:val="000000"/>
        </w:rPr>
        <w:t xml:space="preserve">The last decade has seen dramatic advances in our understanding of the genetic underpinnings of PDAC pathogenesis. With advanced tumor profiling and next-generation sequencing, recent studies have characterized the frequency of genetic and molecular alterations in PDAC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This information, if obtained routinely </w:t>
      </w:r>
      <w:r>
        <w:rPr>
          <w:rFonts w:ascii="Book Antiqua" w:eastAsia="Book Antiqua" w:hAnsi="Book Antiqua" w:cs="Book Antiqua"/>
          <w:i/>
          <w:iCs/>
          <w:color w:val="000000"/>
        </w:rPr>
        <w:t>via</w:t>
      </w:r>
      <w:r>
        <w:rPr>
          <w:rFonts w:ascii="Book Antiqua" w:eastAsia="Book Antiqua" w:hAnsi="Book Antiqua" w:cs="Book Antiqua"/>
          <w:color w:val="000000"/>
        </w:rPr>
        <w:t xml:space="preserve"> tissue biopsy or surgical specimen, can contribute to a more personalized approach to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molecular </w:t>
      </w:r>
      <w:proofErr w:type="gramStart"/>
      <w:r>
        <w:rPr>
          <w:rFonts w:ascii="Book Antiqua" w:eastAsia="Book Antiqua" w:hAnsi="Book Antiqua" w:cs="Book Antiqua"/>
          <w:color w:val="000000"/>
        </w:rPr>
        <w:t>profiling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Krepline</w:t>
      </w:r>
      <w:proofErr w:type="spellEnd"/>
      <w:r>
        <w:rPr>
          <w:rFonts w:ascii="Book Antiqua" w:eastAsia="Book Antiqua" w:hAnsi="Book Antiqua" w:cs="Book Antiqua"/>
          <w:color w:val="000000"/>
        </w:rPr>
        <w:t xml:space="preserve"> </w:t>
      </w:r>
      <w:r w:rsidRPr="00886748">
        <w:rPr>
          <w:rFonts w:ascii="Book Antiqua" w:eastAsia="Book Antiqua" w:hAnsi="Book Antiqua" w:cs="Book Antiqua"/>
          <w:i/>
          <w:color w:val="000000"/>
        </w:rPr>
        <w:t xml:space="preserve">et </w:t>
      </w:r>
      <w:proofErr w:type="gramStart"/>
      <w:r w:rsidRPr="00886748">
        <w:rPr>
          <w:rFonts w:ascii="Book Antiqua" w:eastAsia="Book Antiqua" w:hAnsi="Book Antiqua" w:cs="Book Antiqua"/>
          <w:i/>
          <w:color w:val="000000"/>
        </w:rPr>
        <w:t>al</w:t>
      </w:r>
      <w:r w:rsidR="00886748">
        <w:rPr>
          <w:rFonts w:ascii="Book Antiqua" w:eastAsia="Book Antiqua" w:hAnsi="Book Antiqua" w:cs="Book Antiqua"/>
          <w:color w:val="000000"/>
          <w:szCs w:val="30"/>
          <w:vertAlign w:val="superscript"/>
        </w:rPr>
        <w:t>[</w:t>
      </w:r>
      <w:proofErr w:type="gramEnd"/>
      <w:r w:rsidR="00886748">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73 out of 78 resected PDAC specimens were found to have a pathogenic variant on NGS of which 18% were potentially actionable. For example, patients with BRCA1/BRCA2 mutations are known to benefit from platinum-based chemotherapy and PARP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Pancreatic cancer that is mismatch repair-deficient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a small but clinically relevant proportion, are known to respond to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Finally, the efficacy of standard chemotherapy regimens can be modified depending on thymidylate synthase (TYMS), excision repair cross-complementing (ERCC1) protein, ribonucleotide reductase M1 (RMM1), secreted protein acid and rich in cysteine (SPARC), topoisomerase I (TOP1), and human </w:t>
      </w:r>
      <w:proofErr w:type="spellStart"/>
      <w:r>
        <w:rPr>
          <w:rFonts w:ascii="Book Antiqua" w:eastAsia="Book Antiqua" w:hAnsi="Book Antiqua" w:cs="Book Antiqua"/>
          <w:color w:val="000000"/>
        </w:rPr>
        <w:t>equilibrative</w:t>
      </w:r>
      <w:proofErr w:type="spellEnd"/>
      <w:r>
        <w:rPr>
          <w:rFonts w:ascii="Book Antiqua" w:eastAsia="Book Antiqua" w:hAnsi="Book Antiqua" w:cs="Book Antiqua"/>
          <w:color w:val="000000"/>
        </w:rPr>
        <w:t xml:space="preserve"> nucleoside transported 1 (hENT1) levels. Low TYMS, ERCC1 protein, and RRM1 Levels predict efficacy of 5-FU based therapies and capecitabine, cisplatin, and gemcitabine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sidR="0088674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Elevated SPARC level predicted sensitivity to nab-paclitaxel while low levels of hENT1 have been associated with gemcitabine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w:t>
      </w:r>
    </w:p>
    <w:p w14:paraId="3DCD82C5" w14:textId="63C8C53E" w:rsidR="00A77B3E" w:rsidRDefault="002C2D2E" w:rsidP="00886748">
      <w:pPr>
        <w:spacing w:line="360" w:lineRule="auto"/>
        <w:ind w:firstLineChars="100" w:firstLine="240"/>
        <w:jc w:val="both"/>
      </w:pPr>
      <w:r>
        <w:rPr>
          <w:rFonts w:ascii="Book Antiqua" w:eastAsia="Book Antiqua" w:hAnsi="Book Antiqua" w:cs="Book Antiqua"/>
          <w:color w:val="000000"/>
        </w:rPr>
        <w:t xml:space="preserve">These molecular biomarkers, if obtained from preoperative endoscopic ultrasound biopsies, can thus be used to tailor NT. In a recent prospective trial, Tsai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86748">
        <w:rPr>
          <w:rFonts w:ascii="Book Antiqua" w:eastAsia="Book Antiqua" w:hAnsi="Book Antiqua" w:cs="Book Antiqua"/>
          <w:color w:val="000000"/>
          <w:szCs w:val="30"/>
          <w:vertAlign w:val="superscript"/>
        </w:rPr>
        <w:t>[</w:t>
      </w:r>
      <w:proofErr w:type="gramEnd"/>
      <w:r w:rsidR="00886748">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delivered neoadjuvant systemic therapy to 130 patients based on the molecular profile results. In this trial, 6 molecular targets were utilized to predict chemosensitivity: TYMS, ERCC1, RMM1, SPARC, TOP1, and hENT1. Of the 92 patients with predictive molecular profiling, 74 (80%) received fluoropyrimidine-based systemic therapy and 18 (20%) received gemcitabine-based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Of the 130 overall patients enrolled, 107 (82%) completed all intended NT followed by surgical resection including 56 (92%)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and 51 (74%) with BR PDAC. The importance of this </w:t>
      </w:r>
      <w:r>
        <w:rPr>
          <w:rFonts w:ascii="Book Antiqua" w:eastAsia="Book Antiqua" w:hAnsi="Book Antiqua" w:cs="Book Antiqua"/>
          <w:color w:val="000000"/>
        </w:rPr>
        <w:lastRenderedPageBreak/>
        <w:t xml:space="preserve">trial was to demonstrate the increased rate of </w:t>
      </w:r>
      <w:proofErr w:type="spellStart"/>
      <w:r>
        <w:rPr>
          <w:rFonts w:ascii="Book Antiqua" w:eastAsia="Book Antiqua" w:hAnsi="Book Antiqua" w:cs="Book Antiqua"/>
          <w:color w:val="000000"/>
        </w:rPr>
        <w:t>resectability</w:t>
      </w:r>
      <w:proofErr w:type="spellEnd"/>
      <w:r w:rsidR="009B116B">
        <w:rPr>
          <w:rFonts w:ascii="Book Antiqua" w:eastAsia="Book Antiqua" w:hAnsi="Book Antiqua" w:cs="Book Antiqua"/>
          <w:color w:val="000000"/>
        </w:rPr>
        <w:t>,</w:t>
      </w:r>
      <w:r>
        <w:rPr>
          <w:rFonts w:ascii="Book Antiqua" w:eastAsia="Book Antiqua" w:hAnsi="Book Antiqua" w:cs="Book Antiqua"/>
          <w:color w:val="000000"/>
        </w:rPr>
        <w:t xml:space="preserve"> which suggests that molecular profiling potentially improved the efficacy of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Furthermore, the Individualized Molecular Pancreatic Cancer Therapy (</w:t>
      </w:r>
      <w:proofErr w:type="spellStart"/>
      <w:r>
        <w:rPr>
          <w:rFonts w:ascii="Book Antiqua" w:eastAsia="Book Antiqua" w:hAnsi="Book Antiqua" w:cs="Book Antiqua"/>
          <w:color w:val="000000"/>
        </w:rPr>
        <w:t>IMPaCT</w:t>
      </w:r>
      <w:proofErr w:type="spellEnd"/>
      <w:r>
        <w:rPr>
          <w:rFonts w:ascii="Book Antiqua" w:eastAsia="Book Antiqua" w:hAnsi="Book Antiqua" w:cs="Book Antiqua"/>
          <w:color w:val="000000"/>
        </w:rPr>
        <w:t xml:space="preserve">) trial documented the feasibility of acquiring and screening pancreatic tumor tissue for HER2 amplification, KRAS mutation, and mutations in BRCA1, BRCA2, PALB2, and </w:t>
      </w:r>
      <w:proofErr w:type="gramStart"/>
      <w:r>
        <w:rPr>
          <w:rFonts w:ascii="Book Antiqua" w:eastAsia="Book Antiqua" w:hAnsi="Book Antiqua" w:cs="Book Antiqua"/>
          <w:color w:val="000000"/>
        </w:rPr>
        <w:t>ATM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 pilot study using molecular profiling in a wide variety of metastatic cancers demonstrated a longer PFS in 27% of patients receiving molecular profiling-based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scarcity of studies in this field suggest that this method of personalized care is under-utilized and warrants further investigation.</w:t>
      </w:r>
    </w:p>
    <w:p w14:paraId="101E89D3" w14:textId="77777777" w:rsidR="00A77B3E" w:rsidRDefault="00A77B3E">
      <w:pPr>
        <w:spacing w:line="360" w:lineRule="auto"/>
        <w:jc w:val="both"/>
      </w:pPr>
    </w:p>
    <w:p w14:paraId="7E9A1759"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t xml:space="preserve">Dynamic </w:t>
      </w:r>
      <w:r w:rsidR="00886748" w:rsidRPr="00886748">
        <w:rPr>
          <w:rFonts w:ascii="Book Antiqua" w:hAnsi="Book Antiqua" w:cs="Book Antiqua" w:hint="eastAsia"/>
          <w:b/>
          <w:i/>
          <w:iCs/>
          <w:color w:val="000000"/>
          <w:lang w:eastAsia="zh-CN"/>
        </w:rPr>
        <w:t>s</w:t>
      </w:r>
      <w:r w:rsidRPr="00886748">
        <w:rPr>
          <w:rFonts w:ascii="Book Antiqua" w:eastAsia="Book Antiqua" w:hAnsi="Book Antiqua" w:cs="Book Antiqua"/>
          <w:b/>
          <w:i/>
          <w:iCs/>
          <w:color w:val="000000"/>
        </w:rPr>
        <w:t>taging</w:t>
      </w:r>
    </w:p>
    <w:p w14:paraId="787EBE45" w14:textId="77777777" w:rsidR="00A77B3E" w:rsidRPr="00886748" w:rsidRDefault="002C2D2E">
      <w:pPr>
        <w:spacing w:line="360" w:lineRule="auto"/>
        <w:jc w:val="both"/>
        <w:rPr>
          <w:lang w:eastAsia="zh-CN"/>
        </w:rPr>
      </w:pPr>
      <w:r>
        <w:rPr>
          <w:rFonts w:ascii="Book Antiqua" w:eastAsia="Book Antiqua" w:hAnsi="Book Antiqua" w:cs="Book Antiqua"/>
          <w:color w:val="000000"/>
        </w:rPr>
        <w:t xml:space="preserve">In contrast to standard adjuvant therapy, administering nonoperative therapies prior to surgery provides a unique opportunity to measure the tumor response to treatment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Traditional measures of tumor response to NT include biochemical, radiographic, and histologic. There is abundant data supporting the use of carbohydrate antigen 19-9 (CA 19-9) in the clinical management of patients with PDAC. While baseline CA 19-9 is an important measure of disease burden, numerous studies have highlighted the prognostic significance of CA 19-9 response to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sidR="0088674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For example, Boone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86748">
        <w:rPr>
          <w:rFonts w:ascii="Book Antiqua" w:eastAsia="Book Antiqua" w:hAnsi="Book Antiqua" w:cs="Book Antiqua"/>
          <w:color w:val="000000"/>
          <w:szCs w:val="30"/>
          <w:vertAlign w:val="superscript"/>
        </w:rPr>
        <w:t>[</w:t>
      </w:r>
      <w:proofErr w:type="gramEnd"/>
      <w:r w:rsidR="00886748">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found that CA 19-9 response to NT was associated with R0 resection rate, histopathological response, and OS.</w:t>
      </w:r>
    </w:p>
    <w:p w14:paraId="31565088" w14:textId="77777777" w:rsidR="00A77B3E" w:rsidRDefault="002C2D2E" w:rsidP="00886748">
      <w:pPr>
        <w:spacing w:line="360" w:lineRule="auto"/>
        <w:ind w:firstLineChars="100" w:firstLine="240"/>
        <w:jc w:val="both"/>
      </w:pPr>
      <w:r>
        <w:rPr>
          <w:rFonts w:ascii="Book Antiqua" w:eastAsia="Book Antiqua" w:hAnsi="Book Antiqua" w:cs="Book Antiqua"/>
          <w:color w:val="000000"/>
        </w:rPr>
        <w:t xml:space="preserve">Restaging with cross-sectional imaging is routinely performed during and following NT, mostly to rule out disease progression but also to assess the response of the primary tumor to treatment. While the Response Evaluation Criteria in Solid Tumors (RECIST) grading system has historically felt to under-represent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Perri </w:t>
      </w:r>
      <w:r>
        <w:rPr>
          <w:rFonts w:ascii="Book Antiqua" w:eastAsia="Book Antiqua" w:hAnsi="Book Antiqua" w:cs="Book Antiqua"/>
          <w:i/>
          <w:iCs/>
          <w:color w:val="000000"/>
        </w:rPr>
        <w:t>et al</w:t>
      </w:r>
      <w:r w:rsidR="00886748">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recently found in a large retrospective study that RECIST partial response and a reduction in tumor volume after NT were independently associated with pathologic response in patients with localized PDAC. In addition to serologic and radiographic measures, the response to NT can be measured histologically in surgical specimens as the proportion of active cancer cells. Unfortunately, previous studies have </w:t>
      </w:r>
      <w:r>
        <w:rPr>
          <w:rFonts w:ascii="Book Antiqua" w:eastAsia="Book Antiqua" w:hAnsi="Book Antiqua" w:cs="Book Antiqua"/>
          <w:color w:val="000000"/>
        </w:rPr>
        <w:lastRenderedPageBreak/>
        <w:t>found that only a major pathologic response (defined as &lt;</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active cancer cells) is associated with improved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that pathologic complete responses are rare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575C47CC" w14:textId="77777777" w:rsidR="00A77B3E" w:rsidRDefault="002C2D2E" w:rsidP="00886748">
      <w:pPr>
        <w:spacing w:line="360" w:lineRule="auto"/>
        <w:ind w:firstLineChars="100" w:firstLine="240"/>
        <w:jc w:val="both"/>
      </w:pPr>
      <w:r>
        <w:rPr>
          <w:rFonts w:ascii="Book Antiqua" w:eastAsia="Book Antiqua" w:hAnsi="Book Antiqua" w:cs="Book Antiqua"/>
          <w:color w:val="000000"/>
        </w:rPr>
        <w:t xml:space="preserve">A dynamic assessment of tumor response to treatment may help personalize treatment in several ways. First, non-responders to induction systemic chemotherapy can be switched to alternative regimens. In a study by Vreeland </w:t>
      </w:r>
      <w:r>
        <w:rPr>
          <w:rFonts w:ascii="Book Antiqua" w:eastAsia="Book Antiqua" w:hAnsi="Book Antiqua" w:cs="Book Antiqua"/>
          <w:i/>
          <w:iCs/>
          <w:color w:val="000000"/>
        </w:rPr>
        <w:t>et al</w:t>
      </w:r>
      <w:r w:rsidR="00886748">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of 25 BR or LA PDAC patients who did not respond to FOLFIRINOX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as NT, 21 (84%) showed a serologic or radiographic response after switching to gemcitabine/nab-paclitaxel and 11 of them underwent surgical resection (Figure 1). In contrast, responders who are tolerating therapy may be selected to continue this regimen particularly if CA 19-9 has not normalized yet or additional downstaging is required. Second, reassessment of anatomic location may assist decision making regarding the role of preoperative radiation. Third, information on response to NT may guide the use of adjuvant therapy. For example, Liu </w:t>
      </w:r>
      <w:r>
        <w:rPr>
          <w:rFonts w:ascii="Book Antiqua" w:eastAsia="Book Antiqua" w:hAnsi="Book Antiqua" w:cs="Book Antiqua"/>
          <w:i/>
          <w:iCs/>
          <w:color w:val="000000"/>
        </w:rPr>
        <w:t>et al</w:t>
      </w:r>
      <w:r w:rsidR="00886748">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showed that in a cohort of patients in whom CA 19-9 normalized with a decrease &gt;</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50% after NT, adjuvant therapy was not associated with additional survival benefit whereas in patients with no normalization of CA 19-9 or decrease of &gt;</w:t>
      </w:r>
      <w:r w:rsidR="00886748">
        <w:rPr>
          <w:rFonts w:ascii="Book Antiqua" w:hAnsi="Book Antiqua" w:cs="Book Antiqua" w:hint="eastAsia"/>
          <w:color w:val="000000"/>
          <w:lang w:eastAsia="zh-CN"/>
        </w:rPr>
        <w:t xml:space="preserve"> </w:t>
      </w:r>
      <w:r>
        <w:rPr>
          <w:rFonts w:ascii="Book Antiqua" w:eastAsia="Book Antiqua" w:hAnsi="Book Antiqua" w:cs="Book Antiqua"/>
          <w:color w:val="000000"/>
        </w:rPr>
        <w:t>50%, receipt of adjuvant therapy was in fact associated with a survival benefit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Additional research is needed to determine whether alternative adjuvant regimens (</w:t>
      </w:r>
      <w:r w:rsidR="00886748" w:rsidRPr="00886748">
        <w:rPr>
          <w:rFonts w:ascii="Book Antiqua" w:eastAsia="Book Antiqua" w:hAnsi="Book Antiqua" w:cs="Book Antiqua"/>
          <w:i/>
          <w:color w:val="000000"/>
        </w:rPr>
        <w:t>e.g.</w:t>
      </w:r>
      <w:r w:rsidR="00886748">
        <w:rPr>
          <w:rFonts w:ascii="Book Antiqua" w:hAnsi="Book Antiqua" w:cs="Book Antiqua" w:hint="eastAsia"/>
          <w:color w:val="000000"/>
          <w:lang w:eastAsia="zh-CN"/>
        </w:rPr>
        <w:t>,</w:t>
      </w:r>
      <w:r>
        <w:rPr>
          <w:rFonts w:ascii="Book Antiqua" w:eastAsia="Book Antiqua" w:hAnsi="Book Antiqua" w:cs="Book Antiqua"/>
          <w:color w:val="000000"/>
        </w:rPr>
        <w:t xml:space="preserve"> gemcitabine-based chemotherapy) should be utilized in patients who do not respond to first-line neoadjuvant chemotherapy (</w:t>
      </w:r>
      <w:r w:rsidR="00886748" w:rsidRPr="00886748">
        <w:rPr>
          <w:rFonts w:ascii="Book Antiqua" w:eastAsia="Book Antiqua" w:hAnsi="Book Antiqua" w:cs="Book Antiqua"/>
          <w:i/>
          <w:color w:val="000000"/>
        </w:rPr>
        <w:t>e.g.</w:t>
      </w:r>
      <w:r w:rsidR="00886748">
        <w:rPr>
          <w:rFonts w:ascii="Book Antiqua" w:hAnsi="Book Antiqua" w:cs="Book Antiqua" w:hint="eastAsia"/>
          <w:color w:val="000000"/>
          <w:lang w:eastAsia="zh-CN"/>
        </w:rPr>
        <w:t>,</w:t>
      </w:r>
      <w:r>
        <w:rPr>
          <w:rFonts w:ascii="Book Antiqua" w:eastAsia="Book Antiqua" w:hAnsi="Book Antiqua" w:cs="Book Antiqua"/>
          <w:color w:val="000000"/>
        </w:rPr>
        <w:t xml:space="preserve"> FOLFIRINOX).</w:t>
      </w:r>
    </w:p>
    <w:p w14:paraId="0A3B4783" w14:textId="77777777" w:rsidR="00A77B3E" w:rsidRDefault="00A77B3E">
      <w:pPr>
        <w:spacing w:line="360" w:lineRule="auto"/>
        <w:jc w:val="both"/>
      </w:pPr>
    </w:p>
    <w:p w14:paraId="1F331D5F" w14:textId="77777777" w:rsidR="00A77B3E" w:rsidRDefault="002C2D2E">
      <w:pPr>
        <w:spacing w:line="360" w:lineRule="auto"/>
        <w:jc w:val="both"/>
      </w:pPr>
      <w:r>
        <w:rPr>
          <w:rFonts w:ascii="Book Antiqua" w:eastAsia="Book Antiqua" w:hAnsi="Book Antiqua" w:cs="Book Antiqua"/>
          <w:b/>
          <w:bCs/>
          <w:caps/>
          <w:color w:val="000000"/>
          <w:u w:val="single"/>
        </w:rPr>
        <w:t>Future Directions</w:t>
      </w:r>
    </w:p>
    <w:p w14:paraId="06FA8282"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t xml:space="preserve">Novel </w:t>
      </w:r>
      <w:r w:rsidR="00886748" w:rsidRPr="00886748">
        <w:rPr>
          <w:rFonts w:ascii="Book Antiqua" w:hAnsi="Book Antiqua" w:cs="Book Antiqua" w:hint="eastAsia"/>
          <w:b/>
          <w:i/>
          <w:iCs/>
          <w:color w:val="000000"/>
          <w:lang w:eastAsia="zh-CN"/>
        </w:rPr>
        <w:t>b</w:t>
      </w:r>
      <w:r w:rsidRPr="00886748">
        <w:rPr>
          <w:rFonts w:ascii="Book Antiqua" w:eastAsia="Book Antiqua" w:hAnsi="Book Antiqua" w:cs="Book Antiqua"/>
          <w:b/>
          <w:i/>
          <w:iCs/>
          <w:color w:val="000000"/>
        </w:rPr>
        <w:t>iomarkers</w:t>
      </w:r>
    </w:p>
    <w:p w14:paraId="536D6328" w14:textId="77777777" w:rsidR="00A77B3E" w:rsidRPr="00886748" w:rsidRDefault="002C2D2E">
      <w:pPr>
        <w:spacing w:line="360" w:lineRule="auto"/>
        <w:jc w:val="both"/>
        <w:rPr>
          <w:lang w:eastAsia="zh-CN"/>
        </w:rPr>
      </w:pPr>
      <w:r>
        <w:rPr>
          <w:rFonts w:ascii="Book Antiqua" w:eastAsia="Book Antiqua" w:hAnsi="Book Antiqua" w:cs="Book Antiqua"/>
          <w:color w:val="000000"/>
        </w:rPr>
        <w:t xml:space="preserve">With an improved understanding of tumor biology, cancer care is becoming increasingly personalized. Integrated genomic analysis has revealed several molecular tumor subtypes of PDAC as well as subsets of the tumor </w:t>
      </w:r>
      <w:proofErr w:type="spellStart"/>
      <w:r>
        <w:rPr>
          <w:rFonts w:ascii="Book Antiqua" w:eastAsia="Book Antiqua" w:hAnsi="Book Antiqua" w:cs="Book Antiqua"/>
          <w:color w:val="000000"/>
        </w:rPr>
        <w:t>microenviroment</w:t>
      </w:r>
      <w:proofErr w:type="spellEnd"/>
      <w:r>
        <w:rPr>
          <w:rFonts w:ascii="Book Antiqua" w:eastAsia="Book Antiqua" w:hAnsi="Book Antiqua" w:cs="Book Antiqua"/>
          <w:color w:val="000000"/>
        </w:rPr>
        <w:t xml:space="preserve"> (TME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clinical applications of such classification systems are still in development but perhaps this data can be used to inform about prognosis or aid in treatment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 shift toward personalized NT will depend greatly on the development and validation of novel biomarkers. As an example, SPARC is a protein that is overly expressed in the TME of PDAC tumors. SPARC expression was associated with an inferior survival in patients receiving gemcitabine-based chemotherapy while no association was detected for patients receiving fluoropyrimidine-based chemotherapy suggesting SPARC expression might act as a negative predictive biomarker in patients treated with gemcitabine-based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However, SPARC expression was not associated with survival or response to gemcitabine-based chemotherapy in patients with metastatic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Similarly, hENT1 is a receptor that is upregulated on the surface of PDAC cells. Gemcitabine exerts its cytotoxic effects after its cellular uptake by hENT1. Therefore, hENT1 expression could potentially predict therapeutic activity of gemcitabine while its under-expression would be a mechanism for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hENT1 was studied as a predictor of response to gemcitabine in the adjuvant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but again could not be validated in the metastatic setting</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Additionally, microRNA, serum metabolism profiling, or methylation patterns may prove to be useful biomarkers for diagnosis and potential response to therapy in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sidR="0088674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2681DCA2" w14:textId="77777777" w:rsidR="00A77B3E" w:rsidRDefault="00A77B3E">
      <w:pPr>
        <w:spacing w:line="360" w:lineRule="auto"/>
        <w:jc w:val="both"/>
      </w:pPr>
    </w:p>
    <w:p w14:paraId="5EFA0A4B"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t>Improv</w:t>
      </w:r>
      <w:r w:rsidR="00886748" w:rsidRPr="00886748">
        <w:rPr>
          <w:rFonts w:ascii="Book Antiqua" w:eastAsia="Book Antiqua" w:hAnsi="Book Antiqua" w:cs="Book Antiqua"/>
          <w:b/>
          <w:i/>
          <w:iCs/>
          <w:color w:val="000000"/>
        </w:rPr>
        <w:t>ed methods of measuring resp</w:t>
      </w:r>
      <w:r w:rsidRPr="00886748">
        <w:rPr>
          <w:rFonts w:ascii="Book Antiqua" w:eastAsia="Book Antiqua" w:hAnsi="Book Antiqua" w:cs="Book Antiqua"/>
          <w:b/>
          <w:i/>
          <w:iCs/>
          <w:color w:val="000000"/>
        </w:rPr>
        <w:t>onse</w:t>
      </w:r>
    </w:p>
    <w:p w14:paraId="3969B81D" w14:textId="77777777" w:rsidR="00A77B3E" w:rsidRPr="00886748" w:rsidRDefault="002C2D2E">
      <w:pPr>
        <w:spacing w:line="360" w:lineRule="auto"/>
        <w:jc w:val="both"/>
        <w:rPr>
          <w:lang w:eastAsia="zh-CN"/>
        </w:rPr>
      </w:pPr>
      <w:r>
        <w:rPr>
          <w:rFonts w:ascii="Book Antiqua" w:eastAsia="Book Antiqua" w:hAnsi="Book Antiqua" w:cs="Book Antiqua"/>
          <w:color w:val="000000"/>
        </w:rPr>
        <w:t xml:space="preserve">As systemic therapies for PDAC improves, more novel and sophisticated methods of monitoring tumor response are needed. Response to therapy is routinely based on imaging obtained during the course of treatment. Changes in the tumor-parenchyma interface may serve as an early predictor of response to therapy based on </w:t>
      </w:r>
      <w:bookmarkStart w:id="4" w:name="_Hlk54004097"/>
      <w:r w:rsidR="00886748" w:rsidRPr="00313B45">
        <w:rPr>
          <w:rFonts w:ascii="Book Antiqua" w:eastAsia="Book Antiqua" w:hAnsi="Book Antiqua" w:cs="Book Antiqua"/>
          <w:color w:val="000000"/>
        </w:rPr>
        <w:t>computed tomography</w:t>
      </w:r>
      <w:bookmarkEnd w:id="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Other novel methods such as detection of circulating tumor cells and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are on the horizon for both diagnosis and markers of response to therapy</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xml:space="preserve">. In patients with PDAC,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levels have been found to correlate with tumor burden and serial monitoring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may provide a method to monitor early response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Patients who received NT had significantly lower circulating tumor cells compared to patients who were eligible for upfront resection who did not receive NT. Interestingly, alterations in circulating tumor </w:t>
      </w:r>
      <w:r>
        <w:rPr>
          <w:rFonts w:ascii="Book Antiqua" w:eastAsia="Book Antiqua" w:hAnsi="Book Antiqua" w:cs="Book Antiqua"/>
          <w:color w:val="000000"/>
        </w:rPr>
        <w:lastRenderedPageBreak/>
        <w:t xml:space="preserve">cells were not only observed in response to treatment but also seen before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Future studies will be needed to apply and validate them in the neoadjuvant setting.</w:t>
      </w:r>
    </w:p>
    <w:p w14:paraId="27C8F459" w14:textId="77777777" w:rsidR="00A77B3E" w:rsidRDefault="00A77B3E">
      <w:pPr>
        <w:spacing w:line="360" w:lineRule="auto"/>
        <w:jc w:val="both"/>
      </w:pPr>
    </w:p>
    <w:p w14:paraId="6352BC91" w14:textId="77777777" w:rsidR="00A77B3E" w:rsidRPr="00886748" w:rsidRDefault="002C2D2E">
      <w:pPr>
        <w:spacing w:line="360" w:lineRule="auto"/>
        <w:jc w:val="both"/>
        <w:rPr>
          <w:b/>
        </w:rPr>
      </w:pPr>
      <w:r w:rsidRPr="00886748">
        <w:rPr>
          <w:rFonts w:ascii="Book Antiqua" w:eastAsia="Book Antiqua" w:hAnsi="Book Antiqua" w:cs="Book Antiqua"/>
          <w:b/>
          <w:i/>
          <w:iCs/>
          <w:color w:val="000000"/>
        </w:rPr>
        <w:t>Patient-</w:t>
      </w:r>
      <w:r w:rsidR="00886748" w:rsidRPr="00886748">
        <w:rPr>
          <w:rFonts w:ascii="Book Antiqua" w:eastAsia="Book Antiqua" w:hAnsi="Book Antiqua" w:cs="Book Antiqua"/>
          <w:b/>
          <w:i/>
          <w:iCs/>
          <w:color w:val="000000"/>
        </w:rPr>
        <w:t>centered outc</w:t>
      </w:r>
      <w:r w:rsidRPr="00886748">
        <w:rPr>
          <w:rFonts w:ascii="Book Antiqua" w:eastAsia="Book Antiqua" w:hAnsi="Book Antiqua" w:cs="Book Antiqua"/>
          <w:b/>
          <w:i/>
          <w:iCs/>
          <w:color w:val="000000"/>
        </w:rPr>
        <w:t>omes</w:t>
      </w:r>
    </w:p>
    <w:p w14:paraId="7818F664" w14:textId="77777777" w:rsidR="00A77B3E" w:rsidRDefault="002C2D2E">
      <w:pPr>
        <w:spacing w:line="360" w:lineRule="auto"/>
        <w:jc w:val="both"/>
      </w:pPr>
      <w:r>
        <w:rPr>
          <w:rFonts w:ascii="Book Antiqua" w:eastAsia="Book Antiqua" w:hAnsi="Book Antiqua" w:cs="Book Antiqua"/>
          <w:color w:val="000000"/>
        </w:rPr>
        <w:t xml:space="preserve">As the use of NT increases for all stages of PDAC, a greater emphasis on optimizing patient-centered outcomes is necessary and likely to be best achieved through a personalized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Despite the advantages of NT, recent evidence has highlighted that some patients will be unable to complete NT and undergo surgery, most commonly because of disease progression or a decrease in their performance status. Recent interest in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and advanced nutritional strategies prior to pancreatectomy could be applied to this patient population to improve readiness for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xml:space="preserve">. Furthermore, although health-related quality of life appears to be preserved during NT, patient symptoms are common during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Prior literature has highlighted the value of monitoring and responding to changes in patient-reported outcomes which could be used to improve and personalize </w:t>
      </w:r>
      <w:proofErr w:type="gramStart"/>
      <w:r>
        <w:rPr>
          <w:rFonts w:ascii="Book Antiqua" w:eastAsia="Book Antiqua" w:hAnsi="Book Antiqua" w:cs="Book Antiqua"/>
          <w:color w:val="000000"/>
        </w:rPr>
        <w:t>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0B153DC" w14:textId="77777777" w:rsidR="00A77B3E" w:rsidRDefault="00A77B3E">
      <w:pPr>
        <w:spacing w:line="360" w:lineRule="auto"/>
        <w:jc w:val="both"/>
      </w:pPr>
    </w:p>
    <w:p w14:paraId="5DEB10BD" w14:textId="77777777" w:rsidR="00A77B3E" w:rsidRDefault="002C2D2E">
      <w:pPr>
        <w:spacing w:line="360" w:lineRule="auto"/>
        <w:jc w:val="both"/>
      </w:pPr>
      <w:r>
        <w:rPr>
          <w:rFonts w:ascii="Book Antiqua" w:eastAsia="Book Antiqua" w:hAnsi="Book Antiqua" w:cs="Book Antiqua"/>
          <w:b/>
          <w:caps/>
          <w:color w:val="000000"/>
          <w:u w:val="single"/>
        </w:rPr>
        <w:t>CONCLUSION</w:t>
      </w:r>
    </w:p>
    <w:p w14:paraId="1DEDF934" w14:textId="77777777" w:rsidR="00A77B3E" w:rsidRDefault="002C2D2E">
      <w:pPr>
        <w:spacing w:line="360" w:lineRule="auto"/>
        <w:jc w:val="both"/>
      </w:pPr>
      <w:r>
        <w:rPr>
          <w:rFonts w:ascii="Book Antiqua" w:eastAsia="Book Antiqua" w:hAnsi="Book Antiqua" w:cs="Book Antiqua"/>
          <w:color w:val="000000"/>
        </w:rPr>
        <w:t xml:space="preserve">PDAC is an aggressive malignancy that is best treated in a multidisciplinary fashion using surgery, chemotherapy, and radiation. NT is an increasingly utilized approach that maximizes the receipt of multimodality therapy, improves margin-negative resection rates, and potentially increases survival durations. In the era of personalized medicine, the neoadjuvant period can also be used to emphasize precision oncology. Already, current methods of anatomically staging, molecularly profiling, and monitoring response to therapy can be used to personalize neoadjuvant treatment for localized PDAC. Ongoing efforts in developing novel biomarkers, innovative methods of measuring response, and patient-reported outcome measurements will expand opportunities for precision oncology during NT. These efforts, along with the </w:t>
      </w:r>
      <w:r>
        <w:rPr>
          <w:rFonts w:ascii="Book Antiqua" w:eastAsia="Book Antiqua" w:hAnsi="Book Antiqua" w:cs="Book Antiqua"/>
          <w:color w:val="000000"/>
        </w:rPr>
        <w:lastRenderedPageBreak/>
        <w:t>development of novel treatment options for this aggressive disease, offer hope for improved multidisciplinary, patient-centered, cancer care.</w:t>
      </w:r>
    </w:p>
    <w:p w14:paraId="4D7E11DD" w14:textId="77777777" w:rsidR="00A77B3E" w:rsidRDefault="00A77B3E">
      <w:pPr>
        <w:spacing w:line="360" w:lineRule="auto"/>
        <w:jc w:val="both"/>
      </w:pPr>
    </w:p>
    <w:p w14:paraId="78801A2E" w14:textId="77777777" w:rsidR="00A77B3E" w:rsidRDefault="002C2D2E">
      <w:pPr>
        <w:spacing w:line="360" w:lineRule="auto"/>
        <w:jc w:val="both"/>
      </w:pPr>
      <w:r>
        <w:rPr>
          <w:rFonts w:ascii="Book Antiqua" w:eastAsia="Book Antiqua" w:hAnsi="Book Antiqua" w:cs="Book Antiqua"/>
          <w:b/>
          <w:color w:val="000000"/>
        </w:rPr>
        <w:t>REFERENCES</w:t>
      </w:r>
    </w:p>
    <w:p w14:paraId="6579612D" w14:textId="77777777" w:rsidR="00A77B3E" w:rsidRDefault="002C2D2E">
      <w:pPr>
        <w:spacing w:line="360" w:lineRule="auto"/>
        <w:jc w:val="both"/>
      </w:pPr>
      <w:bookmarkStart w:id="5" w:name="OLE_LINK83"/>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7C91EEF5" w14:textId="77777777" w:rsidR="00A77B3E" w:rsidRDefault="002C2D2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Groot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N, Wu W, Cameron JL,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Weiss MJ, Zheng L, Wolfgang CL, He J. Patterns, Timing, and Predictors of Recurrence Following Pancreatectomy for Pancreatic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936-945 [PMID: 28338509 DOI: 10.1097/SLA.0000000000002234]</w:t>
      </w:r>
    </w:p>
    <w:p w14:paraId="058937A0" w14:textId="77777777" w:rsidR="00A77B3E" w:rsidRDefault="002C2D2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Neoptolemos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Dunn JA, Hickey H,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H, Fernandez-Cruz 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Lacaine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Pap A, Spooner D, Kerr DJ,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European Study Group for Pancreatic Cancer. A randomized trial of chemoradiotherapy and chemotherapy after resection of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1200-1210 [PMID: 15028824 DOI: 10.1056/nejmoa032295]</w:t>
      </w:r>
    </w:p>
    <w:p w14:paraId="7C27AA19" w14:textId="77777777" w:rsidR="00A77B3E" w:rsidRDefault="002C2D2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Bilimoria KY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Ko CY, Tomlinson JS, Stewart AK, Winchester DP,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Multimodality therapy for pancreatic cancer in the U.S. : utilization, outcomes, and the effect of hospital volume.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1227-1234 [PMID: 17654662 DOI: 10.1002/cncr.22916]</w:t>
      </w:r>
    </w:p>
    <w:p w14:paraId="18B56B09" w14:textId="77777777" w:rsidR="00A77B3E" w:rsidRDefault="002C2D2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Altman AM</w:t>
      </w:r>
      <w:r>
        <w:rPr>
          <w:rFonts w:ascii="Book Antiqua" w:eastAsia="Book Antiqua" w:hAnsi="Book Antiqua" w:cs="Book Antiqua"/>
          <w:color w:val="000000"/>
        </w:rPr>
        <w:t xml:space="preserve">, Wirth K, </w:t>
      </w:r>
      <w:proofErr w:type="spellStart"/>
      <w:r>
        <w:rPr>
          <w:rFonts w:ascii="Book Antiqua" w:eastAsia="Book Antiqua" w:hAnsi="Book Antiqua" w:cs="Book Antiqua"/>
          <w:color w:val="000000"/>
        </w:rPr>
        <w:t>Marmor</w:t>
      </w:r>
      <w:proofErr w:type="spellEnd"/>
      <w:r>
        <w:rPr>
          <w:rFonts w:ascii="Book Antiqua" w:eastAsia="Book Antiqua" w:hAnsi="Book Antiqua" w:cs="Book Antiqua"/>
          <w:color w:val="000000"/>
        </w:rPr>
        <w:t xml:space="preserve"> S, Lou E, Chang K, Hui JYC, Tuttle TM, Jensen EH, </w:t>
      </w:r>
      <w:proofErr w:type="spellStart"/>
      <w:r>
        <w:rPr>
          <w:rFonts w:ascii="Book Antiqua" w:eastAsia="Book Antiqua" w:hAnsi="Book Antiqua" w:cs="Book Antiqua"/>
          <w:color w:val="000000"/>
        </w:rPr>
        <w:t>Denbo</w:t>
      </w:r>
      <w:proofErr w:type="spellEnd"/>
      <w:r>
        <w:rPr>
          <w:rFonts w:ascii="Book Antiqua" w:eastAsia="Book Antiqua" w:hAnsi="Book Antiqua" w:cs="Book Antiqua"/>
          <w:color w:val="000000"/>
        </w:rPr>
        <w:t xml:space="preserve"> JW. Completion of Adjuvant Chemotherapy After Upfront Surgical Resection for Pancreatic Cancer Is Uncommon Yet Associated With Improved Survival.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4108-4116 [PMID: 31313044 DOI: 10.1245/s10434-019-07602-6]</w:t>
      </w:r>
    </w:p>
    <w:p w14:paraId="02D7E5C1" w14:textId="77777777" w:rsidR="00A77B3E" w:rsidRDefault="002C2D2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Aloia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Lee JE,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Abdalla EK, Wolff RA,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Crane CH, Evans DB, Pisters PW. Delayed recovery after pancreaticoduodenectomy: a major factor impairing the delivery of adjuvant therapy?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204</w:t>
      </w:r>
      <w:r>
        <w:rPr>
          <w:rFonts w:ascii="Book Antiqua" w:eastAsia="Book Antiqua" w:hAnsi="Book Antiqua" w:cs="Book Antiqua"/>
          <w:color w:val="000000"/>
        </w:rPr>
        <w:t>: 347-355 [PMID: 17324767 DOI: 10.1016/j.jamcollsurg.2006.12.011]</w:t>
      </w:r>
    </w:p>
    <w:p w14:paraId="2F95DA68" w14:textId="77777777" w:rsidR="00A77B3E" w:rsidRDefault="002C2D2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Katz MH, Prakash L,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Wolff RA, Shroff RT,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Fogelman D, Overman M, Crane CH,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Das P, Krishnan S, Minsky BD, Lee JH, </w:t>
      </w:r>
      <w:proofErr w:type="spellStart"/>
      <w:r>
        <w:rPr>
          <w:rFonts w:ascii="Book Antiqua" w:eastAsia="Book Antiqua" w:hAnsi="Book Antiqua" w:cs="Book Antiqua"/>
          <w:color w:val="000000"/>
        </w:rPr>
        <w:lastRenderedPageBreak/>
        <w:t>Bhutani</w:t>
      </w:r>
      <w:proofErr w:type="spellEnd"/>
      <w:r>
        <w:rPr>
          <w:rFonts w:ascii="Book Antiqua" w:eastAsia="Book Antiqua" w:hAnsi="Book Antiqua" w:cs="Book Antiqua"/>
          <w:color w:val="000000"/>
        </w:rPr>
        <w:t xml:space="preserve"> MS, Weston B, Ross W, Bhosale P, Tamm EP, Wang H, Maitra A, Kim MP,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Fleming JB,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Pisters PW, Evans DB, Lee JE. Preoperative Therapy and Pancreatoduodenectomy for Pancreatic Ductal Adenocarcinoma: a 25-Year Single-Institution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164-174 [PMID: 27778257 DOI: 10.1007/s11605-016-3265-1]</w:t>
      </w:r>
    </w:p>
    <w:p w14:paraId="22E89197" w14:textId="77777777" w:rsidR="00A77B3E" w:rsidRDefault="002C2D2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Wang H, Egger ME, Tzeng CD, Prakash LR, Maitra A,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Shroff R,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Fogelman D, Wolff RA, Overman MJ,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Das P, Herman JM, Kim MP,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Fleming JB, Lee JE, Katz MHG. Association of Clinical Factors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Major Pathologic Response Following Preoperative Therapy for Pancreatic Ductal Adenocarcinoma.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1048-1056 [PMID: 28700784 DOI: 10.1001/jamasurg.2017.2227]</w:t>
      </w:r>
    </w:p>
    <w:p w14:paraId="4F26151D" w14:textId="77777777" w:rsidR="00A77B3E" w:rsidRDefault="002C2D2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-González GM, Prakash LR, </w:t>
      </w:r>
      <w:proofErr w:type="spellStart"/>
      <w:r>
        <w:rPr>
          <w:rFonts w:ascii="Book Antiqua" w:eastAsia="Book Antiqua" w:hAnsi="Book Antiqua" w:cs="Book Antiqua"/>
          <w:color w:val="000000"/>
        </w:rPr>
        <w:t>Petzel</w:t>
      </w:r>
      <w:proofErr w:type="spellEnd"/>
      <w:r>
        <w:rPr>
          <w:rFonts w:ascii="Book Antiqua" w:eastAsia="Book Antiqua" w:hAnsi="Book Antiqua" w:cs="Book Antiqua"/>
          <w:color w:val="000000"/>
        </w:rPr>
        <w:t xml:space="preserve"> MQB, Parker NH, Ngo-Huang AT, Fogelman D, </w:t>
      </w:r>
      <w:proofErr w:type="spellStart"/>
      <w:r>
        <w:rPr>
          <w:rFonts w:ascii="Book Antiqua" w:eastAsia="Book Antiqua" w:hAnsi="Book Antiqua" w:cs="Book Antiqua"/>
          <w:color w:val="000000"/>
        </w:rPr>
        <w:t>Denbo</w:t>
      </w:r>
      <w:proofErr w:type="spellEnd"/>
      <w:r>
        <w:rPr>
          <w:rFonts w:ascii="Book Antiqua" w:eastAsia="Book Antiqua" w:hAnsi="Book Antiqua" w:cs="Book Antiqua"/>
          <w:color w:val="000000"/>
        </w:rPr>
        <w:t xml:space="preserve"> JW, Garg N, Kim MP, Lee JE, Tzeng CD, Fleming JB, Katz MHG. Anthropometric Changes in Patients with Pancreatic Cancer Undergoing Preoperative Therapy and Pancreatoduodenectomy.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703-712 [PMID: 29230694 DOI: 10.1007/s11605-017-3618-4]</w:t>
      </w:r>
    </w:p>
    <w:p w14:paraId="0304C96A" w14:textId="77777777" w:rsidR="00A77B3E" w:rsidRDefault="002C2D2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Mokdad</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Minter RM, Zhu H, Augustine MM, </w:t>
      </w:r>
      <w:proofErr w:type="spellStart"/>
      <w:r>
        <w:rPr>
          <w:rFonts w:ascii="Book Antiqua" w:eastAsia="Book Antiqua" w:hAnsi="Book Antiqua" w:cs="Book Antiqua"/>
          <w:color w:val="000000"/>
        </w:rPr>
        <w:t>Porembka</w:t>
      </w:r>
      <w:proofErr w:type="spellEnd"/>
      <w:r>
        <w:rPr>
          <w:rFonts w:ascii="Book Antiqua" w:eastAsia="Book Antiqua" w:hAnsi="Book Antiqua" w:cs="Book Antiqua"/>
          <w:color w:val="000000"/>
        </w:rPr>
        <w:t xml:space="preserve"> MR, Wang SC,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Mansour JC, </w:t>
      </w:r>
      <w:proofErr w:type="spellStart"/>
      <w:r>
        <w:rPr>
          <w:rFonts w:ascii="Book Antiqua" w:eastAsia="Book Antiqua" w:hAnsi="Book Antiqua" w:cs="Book Antiqua"/>
          <w:color w:val="000000"/>
        </w:rPr>
        <w:t>Choti</w:t>
      </w:r>
      <w:proofErr w:type="spellEnd"/>
      <w:r>
        <w:rPr>
          <w:rFonts w:ascii="Book Antiqua" w:eastAsia="Book Antiqua" w:hAnsi="Book Antiqua" w:cs="Book Antiqua"/>
          <w:color w:val="000000"/>
        </w:rPr>
        <w:t xml:space="preserve"> MA, Polanco PM. Neoadjuvant Therapy Followed by Resection Versus Upfront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Propensity Score Matched 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515-522 [PMID: 27621388 DOI: 10.1200/JCO.2016.68.5081]</w:t>
      </w:r>
    </w:p>
    <w:p w14:paraId="69AF8CBF" w14:textId="77777777" w:rsidR="00A77B3E" w:rsidRDefault="002C2D2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Sugimoto M</w:t>
      </w:r>
      <w:r>
        <w:rPr>
          <w:rFonts w:ascii="Book Antiqua" w:eastAsia="Book Antiqua" w:hAnsi="Book Antiqua" w:cs="Book Antiqua"/>
          <w:color w:val="000000"/>
        </w:rPr>
        <w:t xml:space="preserve">, Takahashi N, Farnell MB,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Smoot RL, Chari ST, Carter RE, Kendrick ML. Survival benefit of neoadjuvant therapy in patients with non-metastatic pancreatic ductal adenocarcinoma: A propensity matching and intention-to-treat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976-984 [PMID: 31452208 DOI: 10.1002/jso.25681]</w:t>
      </w:r>
    </w:p>
    <w:p w14:paraId="0EB75FCC" w14:textId="77777777" w:rsidR="00A77B3E" w:rsidRDefault="002C2D2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Youngwirth</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Nussbaum DP, Thomas S, Adam MA, Blazer DG 3rd, Roman SA, Sosa JA. Nationwide trends and outcomes associated with neoadjuvant therapy in </w:t>
      </w:r>
      <w:r>
        <w:rPr>
          <w:rFonts w:ascii="Book Antiqua" w:eastAsia="Book Antiqua" w:hAnsi="Book Antiqua" w:cs="Book Antiqua"/>
          <w:color w:val="000000"/>
        </w:rPr>
        <w:lastRenderedPageBreak/>
        <w:t xml:space="preserve">pancreatic cancer: An analysis of 18 243 patients.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127-132 [PMID: 28407261 DOI: 10.1002/jso.24630]</w:t>
      </w:r>
    </w:p>
    <w:p w14:paraId="2BE2C883" w14:textId="77777777" w:rsidR="00A77B3E" w:rsidRDefault="002C2D2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Heh V,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Ejaz A,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Tsung A, Williams T, </w:t>
      </w:r>
      <w:proofErr w:type="spellStart"/>
      <w:r>
        <w:rPr>
          <w:rFonts w:ascii="Book Antiqua" w:eastAsia="Book Antiqua" w:hAnsi="Book Antiqua" w:cs="Book Antiqua"/>
          <w:color w:val="000000"/>
        </w:rPr>
        <w:t>Abushahin</w:t>
      </w:r>
      <w:proofErr w:type="spellEnd"/>
      <w:r>
        <w:rPr>
          <w:rFonts w:ascii="Book Antiqua" w:eastAsia="Book Antiqua" w:hAnsi="Book Antiqua" w:cs="Book Antiqua"/>
          <w:color w:val="000000"/>
        </w:rPr>
        <w:t xml:space="preserve"> L, Bridges JFP, </w:t>
      </w:r>
      <w:proofErr w:type="spellStart"/>
      <w:r>
        <w:rPr>
          <w:rFonts w:ascii="Book Antiqua" w:eastAsia="Book Antiqua" w:hAnsi="Book Antiqua" w:cs="Book Antiqua"/>
          <w:color w:val="000000"/>
        </w:rPr>
        <w:t>Santry</w:t>
      </w:r>
      <w:proofErr w:type="spellEnd"/>
      <w:r>
        <w:rPr>
          <w:rFonts w:ascii="Book Antiqua" w:eastAsia="Book Antiqua" w:hAnsi="Book Antiqua" w:cs="Book Antiqua"/>
          <w:color w:val="000000"/>
        </w:rPr>
        <w:t xml:space="preserve"> H. Neoadjuvant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Meta-Analysis of Randomized Controlled Trials.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32326559 DOI: 10.3390/jcm9041129]</w:t>
      </w:r>
    </w:p>
    <w:p w14:paraId="3633144B" w14:textId="77777777" w:rsidR="00A77B3E" w:rsidRDefault="002C2D2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3rd,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Ko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Darlow S. Pancreatic Adenocarcinoma, 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609E5EC1" w14:textId="77777777" w:rsidR="00A77B3E" w:rsidRDefault="002C2D2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Yeo CJ</w:t>
      </w:r>
      <w:r>
        <w:rPr>
          <w:rFonts w:ascii="Book Antiqua" w:eastAsia="Book Antiqua" w:hAnsi="Book Antiqua" w:cs="Book Antiqua"/>
          <w:color w:val="000000"/>
        </w:rPr>
        <w:t xml:space="preserve">, Abrams RA, </w:t>
      </w:r>
      <w:proofErr w:type="spellStart"/>
      <w:r>
        <w:rPr>
          <w:rFonts w:ascii="Book Antiqua" w:eastAsia="Book Antiqua" w:hAnsi="Book Antiqua" w:cs="Book Antiqua"/>
          <w:color w:val="000000"/>
        </w:rPr>
        <w:t>Grochow</w:t>
      </w:r>
      <w:proofErr w:type="spellEnd"/>
      <w:r>
        <w:rPr>
          <w:rFonts w:ascii="Book Antiqua" w:eastAsia="Book Antiqua" w:hAnsi="Book Antiqua" w:cs="Book Antiqua"/>
          <w:color w:val="000000"/>
        </w:rPr>
        <w:t xml:space="preserve"> LB, Sohn TA, Ord SE,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Zahurak</w:t>
      </w:r>
      <w:proofErr w:type="spellEnd"/>
      <w:r>
        <w:rPr>
          <w:rFonts w:ascii="Book Antiqua" w:eastAsia="Book Antiqua" w:hAnsi="Book Antiqua" w:cs="Book Antiqua"/>
          <w:color w:val="000000"/>
        </w:rPr>
        <w:t xml:space="preserve"> ML, Dooley WC, Coleman J, Sauter PK, Pitt HA,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Cameron JL. Pancreaticoduodenectomy for pancreatic adenocarcinoma: postoperative adjuvant chemoradiation improves survival. A prospective, single-institution experience.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225</w:t>
      </w:r>
      <w:r>
        <w:rPr>
          <w:rFonts w:ascii="Book Antiqua" w:eastAsia="Book Antiqua" w:hAnsi="Book Antiqua" w:cs="Book Antiqua"/>
          <w:color w:val="000000"/>
        </w:rPr>
        <w:t>: 621-33; discussion 633-6 [PMID: 9193189 DOI: 10.1097/00000658-199705000-00018]</w:t>
      </w:r>
    </w:p>
    <w:p w14:paraId="36A60654" w14:textId="77777777" w:rsidR="00A77B3E" w:rsidRDefault="002C2D2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Motoi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Ueno H,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Honda G, Matsumoto I, Wada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Matsuyama Y,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Study Group of Preoperative Therapy for Pancreatic Cancer (Prep) and Japanese Study Group of Adjuvant Therapy for Pancreatic cancer (JSAP). Randomized phase II/III trial of neoadjuvant chemotherapy with gemcitabine and S-1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(Prep-02/JSAP05).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190-194 [PMID: 30608598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/hyy190]</w:t>
      </w:r>
    </w:p>
    <w:p w14:paraId="1A4D93CB" w14:textId="77777777" w:rsidR="00A77B3E" w:rsidRDefault="002C2D2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Quiros</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Brown KM, Hoffman JP. Neoadjuvant therapy in pancreatic cancer.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267-273 [PMID: 17612937 DOI: 10.1080/07357900701206356]</w:t>
      </w:r>
    </w:p>
    <w:p w14:paraId="2D2B8CF8" w14:textId="77777777" w:rsidR="00A77B3E" w:rsidRDefault="002C2D2E">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Lim KH</w:t>
      </w:r>
      <w:r>
        <w:rPr>
          <w:rFonts w:ascii="Book Antiqua" w:eastAsia="Book Antiqua" w:hAnsi="Book Antiqua" w:cs="Book Antiqua"/>
          <w:color w:val="000000"/>
        </w:rPr>
        <w:t xml:space="preserve">, Chung E, Khan A, Cao D, Linehan D, Ben-Josef E, Wang-Gillam A. Neoadjuvant therapy of pancreatic cancer: the emerging paradigm?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192-200 [PMID: 22250057 DOI: 10.1634/theoncologist.2011-0268]</w:t>
      </w:r>
    </w:p>
    <w:p w14:paraId="7ACBBEBC" w14:textId="77777777" w:rsidR="00A77B3E" w:rsidRDefault="002C2D2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Versteijne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Vogel JA,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ORC,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JG,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Rasch CRN,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Dutch Pancreatic Cancer Group. Meta-analysis comparing upfront surgery with neoadjuvant treatment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946-958 [PMID: 29708592 DOI: 10.1002/bjs.10870]</w:t>
      </w:r>
    </w:p>
    <w:p w14:paraId="75613EC9" w14:textId="77777777" w:rsidR="00A77B3E" w:rsidRDefault="002C2D2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Sohal</w:t>
      </w:r>
      <w:proofErr w:type="spellEnd"/>
      <w:r>
        <w:rPr>
          <w:rFonts w:ascii="Book Antiqua" w:eastAsia="Book Antiqua" w:hAnsi="Book Antiqua" w:cs="Book Antiqua"/>
          <w:b/>
          <w:bCs/>
          <w:color w:val="000000"/>
        </w:rPr>
        <w:t xml:space="preserve"> DPS</w:t>
      </w:r>
      <w:r>
        <w:rPr>
          <w:rFonts w:ascii="Book Antiqua" w:eastAsia="Book Antiqua" w:hAnsi="Book Antiqua" w:cs="Book Antiqua"/>
          <w:color w:val="000000"/>
        </w:rPr>
        <w:t xml:space="preserve">, Duong M, Ahmad SA, Gandhi NS, Beg MS, Wang-Gillam A, Wade JL 3rd,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Guthrie KA, Lowy AM, Philip PA, Hochster HS. Efficacy of Perioperative Chemotherapy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421-427 [PMID: 33475684 DOI: 10.1001/jamaoncol.2020.7328]</w:t>
      </w:r>
    </w:p>
    <w:p w14:paraId="2EB2950A" w14:textId="77777777" w:rsidR="00A77B3E" w:rsidRDefault="002C2D2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Brown ZJ</w:t>
      </w:r>
      <w:r>
        <w:rPr>
          <w:rFonts w:ascii="Book Antiqua" w:eastAsia="Book Antiqua" w:hAnsi="Book Antiqua" w:cs="Book Antiqua"/>
          <w:color w:val="000000"/>
        </w:rPr>
        <w:t xml:space="preserve">, Cloyd JM. Trends in the utilization of neoadjuvant therapy for pancreatic ductal adenocarcinoma.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123</w:t>
      </w:r>
      <w:r>
        <w:rPr>
          <w:rFonts w:ascii="Book Antiqua" w:eastAsia="Book Antiqua" w:hAnsi="Book Antiqua" w:cs="Book Antiqua"/>
          <w:color w:val="000000"/>
        </w:rPr>
        <w:t>: 1432-1440 [PMID: 33831253 DOI: 10.1002/jso.26384]</w:t>
      </w:r>
    </w:p>
    <w:p w14:paraId="140C6964" w14:textId="77777777" w:rsidR="00A77B3E" w:rsidRDefault="002C2D2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Jang JY</w:t>
      </w:r>
      <w:r>
        <w:rPr>
          <w:rFonts w:ascii="Book Antiqua" w:eastAsia="Book Antiqua" w:hAnsi="Book Antiqua" w:cs="Book Antiqua"/>
          <w:color w:val="000000"/>
        </w:rPr>
        <w:t xml:space="preserve">, Han Y, Lee H, Kim SW, Kwon W, Lee KH, Oh DY, Chie EK, Lee JM,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JS, Park JO, Lim DH, Kim SH, Park SJ, Lee WJ, Koh YH, Park JS, Yoon DS, Lee IJ, Choi SH. Oncological Benefits of Neoadjuvant Chemoradiation With Gemcitabine Versus Upfront Surgery in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A Prospective, Randomized, Open-label, Multicenter Phase 2/3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215-222 [PMID: 29462005 DOI: 10.1097/SLA.0000000000002705]</w:t>
      </w:r>
    </w:p>
    <w:p w14:paraId="3B33E31E" w14:textId="77777777" w:rsidR="00A77B3E" w:rsidRDefault="002C2D2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Reni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Castoldi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Pinelli</w:t>
      </w:r>
      <w:proofErr w:type="spellEnd"/>
      <w:r>
        <w:rPr>
          <w:rFonts w:ascii="Book Antiqua" w:eastAsia="Book Antiqua" w:hAnsi="Book Antiqua" w:cs="Book Antiqua"/>
          <w:color w:val="000000"/>
        </w:rPr>
        <w:t xml:space="preserve"> D, Mosconi S,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Chiaravalli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C, Arcidiacono PG, Torri V, </w:t>
      </w:r>
      <w:proofErr w:type="spellStart"/>
      <w:r>
        <w:rPr>
          <w:rFonts w:ascii="Book Antiqua" w:eastAsia="Book Antiqua" w:hAnsi="Book Antiqua" w:cs="Book Antiqua"/>
          <w:color w:val="000000"/>
        </w:rPr>
        <w:t>Maggiora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Ceraulo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Gianni L. Safety and efficacy of preoperative or postoperative chemotherapy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(PACT-15):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2-3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413-423 [PMID: 29625841 DOI: 10.1016/S2468-1253(18)30081-5]</w:t>
      </w:r>
    </w:p>
    <w:p w14:paraId="509CBBCE" w14:textId="77777777" w:rsidR="00A77B3E" w:rsidRDefault="002C2D2E">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Ghaneh</w:t>
      </w:r>
      <w:proofErr w:type="spellEnd"/>
      <w:r>
        <w:rPr>
          <w:rFonts w:ascii="Book Antiqua" w:eastAsia="Book Antiqua" w:hAnsi="Book Antiqua" w:cs="Book Antiqua"/>
          <w:b/>
          <w:bCs/>
          <w:color w:val="000000"/>
        </w:rPr>
        <w:t xml:space="preserve"> P</w:t>
      </w:r>
      <w:r w:rsidRPr="002B2702">
        <w:rPr>
          <w:rFonts w:ascii="Book Antiqua" w:eastAsia="Book Antiqua" w:hAnsi="Book Antiqua" w:cs="Book Antiqua"/>
          <w:bCs/>
          <w:color w:val="000000"/>
        </w:rPr>
        <w:t>,</w:t>
      </w:r>
      <w:r w:rsidRPr="002B2702">
        <w:rPr>
          <w:rFonts w:ascii="Book Antiqua" w:eastAsia="Book Antiqua" w:hAnsi="Book Antiqua" w:cs="Book Antiqua"/>
          <w:color w:val="000000"/>
        </w:rPr>
        <w:t xml:space="preserve"> </w:t>
      </w:r>
      <w:r>
        <w:rPr>
          <w:rFonts w:ascii="Book Antiqua" w:eastAsia="Book Antiqua" w:hAnsi="Book Antiqua" w:cs="Book Antiqua"/>
          <w:color w:val="000000"/>
        </w:rPr>
        <w:t xml:space="preserve">Palmer DH, </w:t>
      </w:r>
      <w:proofErr w:type="spellStart"/>
      <w:r>
        <w:rPr>
          <w:rFonts w:ascii="Book Antiqua" w:eastAsia="Book Antiqua" w:hAnsi="Book Antiqua" w:cs="Book Antiqua"/>
          <w:color w:val="000000"/>
        </w:rPr>
        <w:t>Cicconi</w:t>
      </w:r>
      <w:proofErr w:type="spellEnd"/>
      <w:r>
        <w:rPr>
          <w:rFonts w:ascii="Book Antiqua" w:eastAsia="Book Antiqua" w:hAnsi="Book Antiqua" w:cs="Book Antiqua"/>
          <w:color w:val="000000"/>
        </w:rPr>
        <w:t xml:space="preserve"> S, Halloran C,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EE, Rawcliffe CL, </w:t>
      </w:r>
      <w:proofErr w:type="spellStart"/>
      <w:r>
        <w:rPr>
          <w:rFonts w:ascii="Book Antiqua" w:eastAsia="Book Antiqua" w:hAnsi="Book Antiqua" w:cs="Book Antiqua"/>
          <w:color w:val="000000"/>
        </w:rPr>
        <w:t>Sripadam</w:t>
      </w:r>
      <w:proofErr w:type="spellEnd"/>
      <w:r>
        <w:rPr>
          <w:rFonts w:ascii="Book Antiqua" w:eastAsia="Book Antiqua" w:hAnsi="Book Antiqua" w:cs="Book Antiqua"/>
          <w:color w:val="000000"/>
        </w:rPr>
        <w:t xml:space="preserve"> R, Mukherjee S,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Al-Mukhtar A, Jiao LR,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HS, Carter R, Graham JS, </w:t>
      </w:r>
      <w:proofErr w:type="spellStart"/>
      <w:r>
        <w:rPr>
          <w:rFonts w:ascii="Book Antiqua" w:eastAsia="Book Antiqua" w:hAnsi="Book Antiqua" w:cs="Book Antiqua"/>
          <w:color w:val="000000"/>
        </w:rPr>
        <w:t>Ammad</w:t>
      </w:r>
      <w:proofErr w:type="spellEnd"/>
      <w:r>
        <w:rPr>
          <w:rFonts w:ascii="Book Antiqua" w:eastAsia="Book Antiqua" w:hAnsi="Book Antiqua" w:cs="Book Antiqua"/>
          <w:color w:val="000000"/>
        </w:rPr>
        <w:t xml:space="preserve"> F, Evans J, </w:t>
      </w:r>
      <w:proofErr w:type="spellStart"/>
      <w:r>
        <w:rPr>
          <w:rFonts w:ascii="Book Antiqua" w:eastAsia="Book Antiqua" w:hAnsi="Book Antiqua" w:cs="Book Antiqua"/>
          <w:color w:val="000000"/>
        </w:rPr>
        <w:t>Tjaden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Buchler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ESPAC-5F: Four-arm, prospective, multicenter, international randomized phase II trial of immediate surgery compared with neoadjuvant gemcitabine plus capecitabine (GEMCAP) or FOLFIRINOX or chemoradiotherapy (CRT) in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w:t>
      </w:r>
      <w:r w:rsidRPr="002B2702">
        <w:rPr>
          <w:rFonts w:ascii="Book Antiqua" w:eastAsia="Book Antiqua" w:hAnsi="Book Antiqua" w:cs="Book Antiqua"/>
          <w:i/>
          <w:color w:val="000000"/>
        </w:rPr>
        <w:t xml:space="preserve"> J Clin Oncol</w:t>
      </w:r>
      <w:r>
        <w:rPr>
          <w:rFonts w:ascii="Book Antiqua" w:eastAsia="Book Antiqua" w:hAnsi="Book Antiqua" w:cs="Book Antiqua"/>
          <w:color w:val="000000"/>
        </w:rPr>
        <w:t xml:space="preserve"> 2020;</w:t>
      </w:r>
      <w:r w:rsidR="002B2702">
        <w:rPr>
          <w:rFonts w:ascii="Book Antiqua" w:hAnsi="Book Antiqua" w:cs="Book Antiqua" w:hint="eastAsia"/>
          <w:color w:val="000000"/>
          <w:lang w:eastAsia="zh-CN"/>
        </w:rPr>
        <w:t xml:space="preserve"> </w:t>
      </w:r>
      <w:r w:rsidR="002B2702" w:rsidRPr="002B2702">
        <w:rPr>
          <w:rFonts w:ascii="Book Antiqua" w:hAnsi="Book Antiqua" w:cs="Book Antiqua" w:hint="eastAsia"/>
          <w:b/>
          <w:color w:val="000000"/>
          <w:lang w:eastAsia="zh-CN"/>
        </w:rPr>
        <w:t>15</w:t>
      </w:r>
      <w:r w:rsidR="002B2702">
        <w:rPr>
          <w:rFonts w:ascii="Book Antiqua" w:hAnsi="Book Antiqua" w:cs="Book Antiqua" w:hint="eastAsia"/>
          <w:color w:val="000000"/>
          <w:lang w:eastAsia="zh-CN"/>
        </w:rPr>
        <w:t xml:space="preserve">: 4505 </w:t>
      </w:r>
      <w:r>
        <w:rPr>
          <w:rFonts w:ascii="Book Antiqua" w:eastAsia="Book Antiqua" w:hAnsi="Book Antiqua" w:cs="Book Antiqua"/>
          <w:color w:val="000000"/>
        </w:rPr>
        <w:t>[DOI: 10.1200/jco.2020.38.15_suppl.4505]</w:t>
      </w:r>
    </w:p>
    <w:p w14:paraId="27DDB9BC" w14:textId="77777777" w:rsidR="00A77B3E" w:rsidRDefault="002C2D2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Vauthey</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Dixon E. AHPBA/SSO/SSAT Consensus Conference on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rationale and overview of the conference.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1725-1726 [PMID: 19396495 DOI: 10.1245/s10434-009-0409-5]</w:t>
      </w:r>
    </w:p>
    <w:p w14:paraId="002B2A5B" w14:textId="77777777" w:rsidR="00A77B3E" w:rsidRDefault="002C2D2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Heinrich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Grimminger P, </w:t>
      </w:r>
      <w:proofErr w:type="spellStart"/>
      <w:r>
        <w:rPr>
          <w:rFonts w:ascii="Book Antiqua" w:eastAsia="Book Antiqua" w:hAnsi="Book Antiqua" w:cs="Book Antiqua"/>
          <w:color w:val="000000"/>
        </w:rPr>
        <w:t>Mittler</w:t>
      </w:r>
      <w:proofErr w:type="spellEnd"/>
      <w:r>
        <w:rPr>
          <w:rFonts w:ascii="Book Antiqua" w:eastAsia="Book Antiqua" w:hAnsi="Book Antiqua" w:cs="Book Antiqua"/>
          <w:color w:val="000000"/>
        </w:rPr>
        <w:t xml:space="preserve"> J, Lang H, Lutz MP, </w:t>
      </w:r>
      <w:proofErr w:type="spellStart"/>
      <w:r>
        <w:rPr>
          <w:rFonts w:ascii="Book Antiqua" w:eastAsia="Book Antiqua" w:hAnsi="Book Antiqua" w:cs="Book Antiqua"/>
          <w:color w:val="000000"/>
        </w:rPr>
        <w:t>Lesurtel</w:t>
      </w:r>
      <w:proofErr w:type="spellEnd"/>
      <w:r>
        <w:rPr>
          <w:rFonts w:ascii="Book Antiqua" w:eastAsia="Book Antiqua" w:hAnsi="Book Antiqua" w:cs="Book Antiqua"/>
          <w:color w:val="000000"/>
        </w:rPr>
        <w:t xml:space="preserve"> M; Scientific and Research Committee of the E-AHPBA and the EORTC pancreas working group. Opinions and use of neoadjuvant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locally advanced pancreatic cancer: international survey and case-vignette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675 [PMID: 31288786 DOI: 10.1186/s12885-019-5889-5]</w:t>
      </w:r>
    </w:p>
    <w:p w14:paraId="13049C5C" w14:textId="77777777" w:rsidR="00A77B3E" w:rsidRDefault="002C2D2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Hackert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Sachsenmaier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Schneider L, Michalski CW,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Strobel O,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Ulrich A,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Locally Advanced Pancreatic Cancer: Neoadjuvant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Results in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in 60% of the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457-463 [PMID: 27355262 DOI: 10.1097/SLA.0000000000001850]</w:t>
      </w:r>
    </w:p>
    <w:p w14:paraId="32EF2AD9" w14:textId="77777777" w:rsidR="00A77B3E" w:rsidRDefault="002C2D2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Gemenetzis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Groot VP, Blair AB,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Zheng L, Narang AK,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Yu J, Burkhart RA, Cameron JL, Weiss MJ, Wolfgang CL, He J. Survival in Locally Advanced Pancreatic Cancer After Neoadjuvant Therapy and Surgical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340-347 [PMID: 29596120 DOI: 10.1097/SLA.0000000000002753]</w:t>
      </w:r>
    </w:p>
    <w:p w14:paraId="1C4B9C3C" w14:textId="77777777" w:rsidR="00A77B3E" w:rsidRDefault="002C2D2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Hammel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Goldstein D,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Shannon J, André T,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LAP07 Trial Group. Effect of Chemoradiotherapy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on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Pancreatic Cancer Controlled After 4 Months of Gemcitabine </w:t>
      </w:r>
      <w:r>
        <w:rPr>
          <w:rFonts w:ascii="Book Antiqua" w:eastAsia="Book Antiqua" w:hAnsi="Book Antiqua" w:cs="Book Antiqua"/>
          <w:color w:val="000000"/>
        </w:rPr>
        <w:lastRenderedPageBreak/>
        <w:t xml:space="preserve">With or Without Erlotinib: The LAP07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1844-1853 [PMID: 27139057 DOI: 10.1001/jama.2016.4324]</w:t>
      </w:r>
    </w:p>
    <w:p w14:paraId="1BB567D7" w14:textId="77777777" w:rsidR="00A77B3E" w:rsidRDefault="002C2D2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Katz MHG</w:t>
      </w:r>
      <w:r w:rsidRPr="002B2702">
        <w:rPr>
          <w:rFonts w:ascii="Book Antiqua" w:eastAsia="Book Antiqua" w:hAnsi="Book Antiqua" w:cs="Book Antiqua"/>
          <w:bCs/>
          <w:color w:val="000000"/>
        </w:rPr>
        <w:t>,</w:t>
      </w:r>
      <w:r w:rsidRPr="002B2702">
        <w:rPr>
          <w:rFonts w:ascii="Book Antiqua" w:eastAsia="Book Antiqua" w:hAnsi="Book Antiqua" w:cs="Book Antiqua"/>
          <w:color w:val="000000"/>
        </w:rPr>
        <w:t xml:space="preserve"> </w:t>
      </w:r>
      <w:r>
        <w:rPr>
          <w:rFonts w:ascii="Book Antiqua" w:eastAsia="Book Antiqua" w:hAnsi="Book Antiqua" w:cs="Book Antiqua"/>
          <w:color w:val="000000"/>
        </w:rPr>
        <w:t xml:space="preserve">Shi Q, Ahmad SA, Herman JM, Marsh R de W, </w:t>
      </w:r>
      <w:proofErr w:type="spellStart"/>
      <w:r>
        <w:rPr>
          <w:rFonts w:ascii="Book Antiqua" w:eastAsia="Book Antiqua" w:hAnsi="Book Antiqua" w:cs="Book Antiqua"/>
          <w:color w:val="000000"/>
        </w:rPr>
        <w:t>Collisson</w:t>
      </w:r>
      <w:proofErr w:type="spellEnd"/>
      <w:r>
        <w:rPr>
          <w:rFonts w:ascii="Book Antiqua" w:eastAsia="Book Antiqua" w:hAnsi="Book Antiqua" w:cs="Book Antiqua"/>
          <w:color w:val="000000"/>
        </w:rPr>
        <w:t xml:space="preserve"> EA, Schwartz LH, Martin RCG, Conway WC, </w:t>
      </w:r>
      <w:proofErr w:type="spellStart"/>
      <w:r>
        <w:rPr>
          <w:rFonts w:ascii="Book Antiqua" w:eastAsia="Book Antiqua" w:hAnsi="Book Antiqua" w:cs="Book Antiqua"/>
          <w:color w:val="000000"/>
        </w:rPr>
        <w:t>Truty</w:t>
      </w:r>
      <w:proofErr w:type="spellEnd"/>
      <w:r>
        <w:rPr>
          <w:rFonts w:ascii="Book Antiqua" w:eastAsia="Book Antiqua" w:hAnsi="Book Antiqua" w:cs="Book Antiqua"/>
          <w:color w:val="000000"/>
        </w:rPr>
        <w:t xml:space="preserve"> M, Kindler HL, Lowy AM, Philip PA,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TS, Cardin DB,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Preoperative modified FOLFIRINOX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followed by chemoradiation (CRT)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(BLR) pancreatic cancer (PDAC): Initial results from Alliance Trial A021101. </w:t>
      </w:r>
      <w:r w:rsidRPr="002B2702">
        <w:rPr>
          <w:rFonts w:ascii="Book Antiqua" w:eastAsia="Book Antiqua" w:hAnsi="Book Antiqua" w:cs="Book Antiqua"/>
          <w:i/>
          <w:color w:val="000000"/>
        </w:rPr>
        <w:t>J Clin Oncol</w:t>
      </w:r>
      <w:r>
        <w:rPr>
          <w:rFonts w:ascii="Book Antiqua" w:eastAsia="Book Antiqua" w:hAnsi="Book Antiqua" w:cs="Book Antiqua"/>
          <w:color w:val="000000"/>
        </w:rPr>
        <w:t xml:space="preserve"> 2015; </w:t>
      </w:r>
      <w:r w:rsidRPr="002B2702">
        <w:rPr>
          <w:rFonts w:ascii="Book Antiqua" w:eastAsia="Book Antiqua" w:hAnsi="Book Antiqua" w:cs="Book Antiqua"/>
          <w:b/>
          <w:color w:val="000000"/>
        </w:rPr>
        <w:t>15</w:t>
      </w:r>
      <w:r>
        <w:rPr>
          <w:rFonts w:ascii="Book Antiqua" w:eastAsia="Book Antiqua" w:hAnsi="Book Antiqua" w:cs="Book Antiqua"/>
          <w:color w:val="000000"/>
        </w:rPr>
        <w:t>: 4008 [DOI: 10.1200/jco.2015.33.15_suppl.4008]</w:t>
      </w:r>
    </w:p>
    <w:p w14:paraId="195D65DF" w14:textId="77777777" w:rsidR="00A77B3E" w:rsidRDefault="002C2D2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Murphy JE</w:t>
      </w:r>
      <w:r>
        <w:rPr>
          <w:rFonts w:ascii="Book Antiqua" w:eastAsia="Book Antiqua" w:hAnsi="Book Antiqua" w:cs="Book Antiqua"/>
          <w:color w:val="000000"/>
        </w:rPr>
        <w:t xml:space="preserve">, Wo JY, Ryan DP, Jiang W,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Kwak EL, Allen JN, Clark JW, Faris JE, Zhu AX, Goyal 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DeLaney TF, Fernández-Del Castillo C, Ferrone CR, Hong TS. Total Neoadjuvant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FOLFIRINOX Followed by Individualized Chemoradiotherapy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A Phase 2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963-969 [PMID: 29800971 DOI: 10.1001/jamaoncol.2018.0329]</w:t>
      </w:r>
    </w:p>
    <w:p w14:paraId="2F19C96B" w14:textId="77777777" w:rsidR="00A77B3E" w:rsidRDefault="002C2D2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Katz MHG</w:t>
      </w:r>
      <w:r w:rsidRPr="002B2702">
        <w:rPr>
          <w:rFonts w:ascii="Book Antiqua" w:eastAsia="Book Antiqua" w:hAnsi="Book Antiqua" w:cs="Book Antiqua"/>
          <w:bCs/>
          <w:color w:val="000000"/>
        </w:rPr>
        <w:t>,</w:t>
      </w:r>
      <w:r w:rsidRPr="002B2702">
        <w:rPr>
          <w:rFonts w:ascii="Book Antiqua" w:eastAsia="Book Antiqua" w:hAnsi="Book Antiqua" w:cs="Book Antiqua"/>
          <w:color w:val="000000"/>
        </w:rPr>
        <w:t xml:space="preserve"> </w:t>
      </w:r>
      <w:r>
        <w:rPr>
          <w:rFonts w:ascii="Book Antiqua" w:eastAsia="Book Antiqua" w:hAnsi="Book Antiqua" w:cs="Book Antiqua"/>
          <w:color w:val="000000"/>
        </w:rPr>
        <w:t xml:space="preserve">Shi Q, Meyers JP, Herman JM, Choung M,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Ahmad S, Marsh R de W, Schwartz LH, Behr S, Frankel WL, </w:t>
      </w:r>
      <w:proofErr w:type="spellStart"/>
      <w:r>
        <w:rPr>
          <w:rFonts w:ascii="Book Antiqua" w:eastAsia="Book Antiqua" w:hAnsi="Book Antiqua" w:cs="Book Antiqua"/>
          <w:color w:val="000000"/>
        </w:rPr>
        <w:t>Collisson</w:t>
      </w:r>
      <w:proofErr w:type="spellEnd"/>
      <w:r>
        <w:rPr>
          <w:rFonts w:ascii="Book Antiqua" w:eastAsia="Book Antiqua" w:hAnsi="Book Antiqua" w:cs="Book Antiqua"/>
          <w:color w:val="000000"/>
        </w:rPr>
        <w:t xml:space="preserve"> EA, Leenstra JL, Williams TM, Vaccaro GM,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O’Reilly EM. Alliance A021501: Preoperative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radiation therapy (RT) for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(BR) adenocarcinoma of the pancreas. </w:t>
      </w:r>
      <w:r w:rsidRPr="002B2702">
        <w:rPr>
          <w:rFonts w:ascii="Book Antiqua" w:eastAsia="Book Antiqua" w:hAnsi="Book Antiqua" w:cs="Book Antiqua"/>
          <w:i/>
          <w:color w:val="000000"/>
        </w:rPr>
        <w:t>J Clin Oncol</w:t>
      </w:r>
      <w:r w:rsidR="002B2702">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sidR="002B2702">
        <w:rPr>
          <w:rFonts w:ascii="Book Antiqua" w:hAnsi="Book Antiqua" w:cs="Book Antiqua" w:hint="eastAsia"/>
          <w:color w:val="000000"/>
          <w:lang w:eastAsia="zh-CN"/>
        </w:rPr>
        <w:t xml:space="preserve"> </w:t>
      </w:r>
      <w:r w:rsidRPr="002B2702">
        <w:rPr>
          <w:rFonts w:ascii="Book Antiqua" w:eastAsia="Book Antiqua" w:hAnsi="Book Antiqua" w:cs="Book Antiqua"/>
          <w:b/>
          <w:color w:val="000000"/>
        </w:rPr>
        <w:t>39</w:t>
      </w:r>
      <w:r>
        <w:rPr>
          <w:rFonts w:ascii="Book Antiqua" w:eastAsia="Book Antiqua" w:hAnsi="Book Antiqua" w:cs="Book Antiqua"/>
          <w:color w:val="000000"/>
        </w:rPr>
        <w:t>:</w:t>
      </w:r>
      <w:r w:rsidR="002B2702">
        <w:rPr>
          <w:rFonts w:ascii="Book Antiqua" w:hAnsi="Book Antiqua" w:cs="Book Antiqua" w:hint="eastAsia"/>
          <w:color w:val="000000"/>
          <w:lang w:eastAsia="zh-CN"/>
        </w:rPr>
        <w:t xml:space="preserve"> </w:t>
      </w:r>
      <w:r>
        <w:rPr>
          <w:rFonts w:ascii="Book Antiqua" w:eastAsia="Book Antiqua" w:hAnsi="Book Antiqua" w:cs="Book Antiqua"/>
          <w:color w:val="000000"/>
        </w:rPr>
        <w:t>377 [DOI: 10.1200/JCO.2021.39.3_suppl.377]</w:t>
      </w:r>
    </w:p>
    <w:p w14:paraId="0B50EA90" w14:textId="77777777" w:rsidR="00A77B3E" w:rsidRDefault="002C2D2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Ahmad SA</w:t>
      </w:r>
      <w:r>
        <w:rPr>
          <w:rFonts w:ascii="Book Antiqua" w:eastAsia="Book Antiqua" w:hAnsi="Book Antiqua" w:cs="Book Antiqua"/>
          <w:color w:val="000000"/>
        </w:rPr>
        <w:t xml:space="preserve">, Duong M,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Gandhi NS, Beg MS, Wang-Gillam A, Wade JL 3rd,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Guthrie KA, Lowy AM, Philip PA, Hochster HS. Surgical Outcome Results From SWOG S1505: A Randomized Clinical Trial of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Versus Gemcitabine/Nab-paclitaxel for Perioperative Treatment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481-486 [PMID: 32740235 DOI: 10.1097/SLA.0000000000004155]</w:t>
      </w:r>
    </w:p>
    <w:p w14:paraId="3A433DE0" w14:textId="51CA8DE3" w:rsidR="00A77B3E" w:rsidRPr="00D0244E" w:rsidRDefault="002C2D2E">
      <w:pPr>
        <w:spacing w:line="360" w:lineRule="auto"/>
        <w:jc w:val="both"/>
        <w:rPr>
          <w:lang w:eastAsia="zh-CN"/>
        </w:rPr>
      </w:pPr>
      <w:r w:rsidRPr="00D0244E">
        <w:rPr>
          <w:rFonts w:ascii="Book Antiqua" w:eastAsia="Book Antiqua" w:hAnsi="Book Antiqua" w:cs="Book Antiqua"/>
          <w:color w:val="000000"/>
          <w:highlight w:val="yellow"/>
        </w:rPr>
        <w:t xml:space="preserve">34 </w:t>
      </w:r>
      <w:r w:rsidR="002B2702" w:rsidRPr="00D0244E">
        <w:rPr>
          <w:rFonts w:ascii="Book Antiqua" w:eastAsia="Book Antiqua" w:hAnsi="Book Antiqua" w:cs="Book Antiqua"/>
          <w:b/>
          <w:color w:val="000000"/>
          <w:highlight w:val="yellow"/>
        </w:rPr>
        <w:t>Ferrone</w:t>
      </w:r>
      <w:r w:rsidR="002B2702" w:rsidRPr="00D0244E">
        <w:rPr>
          <w:rFonts w:ascii="Book Antiqua" w:hAnsi="Book Antiqua" w:cs="Book Antiqua" w:hint="eastAsia"/>
          <w:b/>
          <w:color w:val="000000"/>
          <w:highlight w:val="yellow"/>
          <w:lang w:eastAsia="zh-CN"/>
        </w:rPr>
        <w:t xml:space="preserve"> CR</w:t>
      </w:r>
      <w:r w:rsidRPr="00D0244E">
        <w:rPr>
          <w:rFonts w:ascii="Book Antiqua" w:eastAsia="Book Antiqua" w:hAnsi="Book Antiqua" w:cs="Book Antiqua"/>
          <w:color w:val="000000"/>
          <w:highlight w:val="yellow"/>
        </w:rPr>
        <w:t xml:space="preserve">. Alliance for Clinical Trials in Oncology. A Phase III Trial of Perioperative Versus Adjuvant Chemotherapy for </w:t>
      </w:r>
      <w:proofErr w:type="spellStart"/>
      <w:r w:rsidRPr="00D0244E">
        <w:rPr>
          <w:rFonts w:ascii="Book Antiqua" w:eastAsia="Book Antiqua" w:hAnsi="Book Antiqua" w:cs="Book Antiqua"/>
          <w:color w:val="000000"/>
          <w:highlight w:val="yellow"/>
        </w:rPr>
        <w:t>Resectable</w:t>
      </w:r>
      <w:proofErr w:type="spellEnd"/>
      <w:r w:rsidRPr="00D0244E">
        <w:rPr>
          <w:rFonts w:ascii="Book Antiqua" w:eastAsia="Book Antiqua" w:hAnsi="Book Antiqua" w:cs="Book Antiqua"/>
          <w:color w:val="000000"/>
          <w:highlight w:val="yellow"/>
        </w:rPr>
        <w:t xml:space="preserve"> Pancreatic Cancer. </w:t>
      </w:r>
      <w:r w:rsidR="002B2702" w:rsidRPr="00D0244E">
        <w:rPr>
          <w:rFonts w:ascii="Book Antiqua" w:eastAsia="Times New Roman" w:hAnsi="Book Antiqua"/>
          <w:bCs/>
          <w:color w:val="000000" w:themeColor="text1"/>
          <w:highlight w:val="yellow"/>
        </w:rPr>
        <w:t>[</w:t>
      </w:r>
      <w:r w:rsidR="008D1710">
        <w:rPr>
          <w:rFonts w:ascii="Book Antiqua" w:eastAsia="Times New Roman" w:hAnsi="Book Antiqua"/>
          <w:bCs/>
          <w:color w:val="000000" w:themeColor="text1"/>
          <w:highlight w:val="yellow"/>
        </w:rPr>
        <w:t>accessed</w:t>
      </w:r>
      <w:r w:rsidR="00251E15">
        <w:rPr>
          <w:rFonts w:ascii="Book Antiqua" w:hAnsi="Book Antiqua" w:hint="eastAsia"/>
          <w:bCs/>
          <w:color w:val="000000" w:themeColor="text1"/>
          <w:highlight w:val="yellow"/>
          <w:lang w:eastAsia="zh-CN"/>
        </w:rPr>
        <w:t xml:space="preserve"> 2021</w:t>
      </w:r>
      <w:r w:rsidR="008D1710">
        <w:rPr>
          <w:rFonts w:ascii="Book Antiqua" w:eastAsia="Times New Roman" w:hAnsi="Book Antiqua"/>
          <w:bCs/>
          <w:color w:val="000000" w:themeColor="text1"/>
          <w:highlight w:val="yellow"/>
        </w:rPr>
        <w:t xml:space="preserve"> January 2</w:t>
      </w:r>
      <w:r w:rsidR="00251E15">
        <w:rPr>
          <w:rFonts w:ascii="Book Antiqua" w:hAnsi="Book Antiqua" w:hint="eastAsia"/>
          <w:bCs/>
          <w:color w:val="000000" w:themeColor="text1"/>
          <w:highlight w:val="yellow"/>
          <w:lang w:eastAsia="zh-CN"/>
        </w:rPr>
        <w:t>5</w:t>
      </w:r>
      <w:r w:rsidR="002B2702" w:rsidRPr="00D0244E">
        <w:rPr>
          <w:rFonts w:ascii="Book Antiqua" w:eastAsia="Times New Roman" w:hAnsi="Book Antiqua"/>
          <w:bCs/>
          <w:color w:val="000000" w:themeColor="text1"/>
          <w:highlight w:val="yellow"/>
        </w:rPr>
        <w:t xml:space="preserve">]. In: ClinicalTrials.gov [Internet]. </w:t>
      </w:r>
      <w:r w:rsidR="00D0244E" w:rsidRPr="00D0244E">
        <w:rPr>
          <w:rFonts w:ascii="Book Antiqua" w:eastAsia="Times New Roman" w:hAnsi="Book Antiqua"/>
          <w:bCs/>
          <w:color w:val="000000" w:themeColor="text1"/>
          <w:highlight w:val="yellow"/>
        </w:rPr>
        <w:t>Mobile</w:t>
      </w:r>
      <w:r w:rsidR="002B2702" w:rsidRPr="00D0244E">
        <w:rPr>
          <w:rFonts w:ascii="Book Antiqua" w:eastAsia="Times New Roman" w:hAnsi="Book Antiqua"/>
          <w:bCs/>
          <w:color w:val="000000" w:themeColor="text1"/>
          <w:highlight w:val="yellow"/>
        </w:rPr>
        <w:t xml:space="preserve"> (</w:t>
      </w:r>
      <w:r w:rsidR="00D0244E" w:rsidRPr="00D0244E">
        <w:rPr>
          <w:rFonts w:ascii="Book Antiqua" w:hAnsi="Book Antiqua" w:hint="eastAsia"/>
          <w:bCs/>
          <w:color w:val="000000" w:themeColor="text1"/>
          <w:highlight w:val="yellow"/>
          <w:lang w:eastAsia="zh-CN"/>
        </w:rPr>
        <w:t>AL</w:t>
      </w:r>
      <w:r w:rsidR="002B2702" w:rsidRPr="00D0244E">
        <w:rPr>
          <w:rFonts w:ascii="Book Antiqua" w:eastAsia="Times New Roman" w:hAnsi="Book Antiqua"/>
          <w:bCs/>
          <w:color w:val="000000" w:themeColor="text1"/>
          <w:highlight w:val="yellow"/>
        </w:rPr>
        <w:t xml:space="preserve">): U.S. National </w:t>
      </w:r>
      <w:r w:rsidR="002B2702" w:rsidRPr="00D0244E">
        <w:rPr>
          <w:rFonts w:ascii="Book Antiqua" w:eastAsia="Times New Roman" w:hAnsi="Book Antiqua"/>
          <w:bCs/>
          <w:color w:val="000000" w:themeColor="text1"/>
          <w:highlight w:val="yellow"/>
        </w:rPr>
        <w:lastRenderedPageBreak/>
        <w:t>Library of Medicine. Available from:</w:t>
      </w:r>
      <w:r w:rsidRPr="00D0244E">
        <w:rPr>
          <w:rFonts w:ascii="Book Antiqua" w:eastAsia="Book Antiqua" w:hAnsi="Book Antiqua" w:cs="Book Antiqua"/>
          <w:color w:val="000000"/>
          <w:highlight w:val="yellow"/>
        </w:rPr>
        <w:t xml:space="preserve"> </w:t>
      </w:r>
      <w:r w:rsidR="00D0244E" w:rsidRPr="00D0244E">
        <w:rPr>
          <w:rFonts w:ascii="Book Antiqua" w:eastAsia="Book Antiqua" w:hAnsi="Book Antiqua" w:cs="Book Antiqua"/>
          <w:color w:val="000000"/>
          <w:highlight w:val="yellow"/>
        </w:rPr>
        <w:t>https://clinicaltrials.gov/ct2/show/NCT04340141</w:t>
      </w:r>
      <w:r w:rsidR="00D0244E" w:rsidRPr="00D0244E">
        <w:rPr>
          <w:rFonts w:ascii="Book Antiqua" w:hAnsi="Book Antiqua" w:cs="Book Antiqua" w:hint="eastAsia"/>
          <w:color w:val="000000"/>
          <w:highlight w:val="yellow"/>
          <w:lang w:eastAsia="zh-CN"/>
        </w:rPr>
        <w:t xml:space="preserve"> </w:t>
      </w:r>
      <w:r w:rsidR="00D0244E" w:rsidRPr="00D0244E">
        <w:rPr>
          <w:rFonts w:ascii="Book Antiqua" w:eastAsia="Times New Roman" w:hAnsi="Book Antiqua"/>
          <w:bCs/>
          <w:color w:val="000000" w:themeColor="text1"/>
          <w:highlight w:val="yellow"/>
        </w:rPr>
        <w:t>ClinicalTrials.gov Identifier:</w:t>
      </w:r>
      <w:r w:rsidR="00D0244E" w:rsidRPr="00D0244E">
        <w:rPr>
          <w:rFonts w:ascii="Book Antiqua" w:hAnsi="Book Antiqua" w:hint="eastAsia"/>
          <w:bCs/>
          <w:color w:val="000000" w:themeColor="text1"/>
          <w:highlight w:val="yellow"/>
          <w:lang w:eastAsia="zh-CN"/>
        </w:rPr>
        <w:t xml:space="preserve"> </w:t>
      </w:r>
      <w:r w:rsidR="00D0244E" w:rsidRPr="00D0244E">
        <w:rPr>
          <w:rFonts w:ascii="Book Antiqua" w:eastAsia="Book Antiqua" w:hAnsi="Book Antiqua" w:cs="Book Antiqua"/>
          <w:color w:val="000000"/>
          <w:highlight w:val="yellow"/>
        </w:rPr>
        <w:t>NCT04340141</w:t>
      </w:r>
    </w:p>
    <w:p w14:paraId="40A9909E" w14:textId="77777777" w:rsidR="00A77B3E" w:rsidRDefault="002C2D2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Wood LD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Pathology and molecular genetics of pancreatic neoplasms.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492-501 [PMID: 23187835 DOI: 10.1097/PPO.0b013e31827459b6]</w:t>
      </w:r>
    </w:p>
    <w:p w14:paraId="441DD9DC" w14:textId="77777777" w:rsidR="00A77B3E" w:rsidRDefault="002C2D2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Stephenson JJ Jr, Rosen P, Loesch DM,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Anthony S, Jameson G, Brown S, </w:t>
      </w:r>
      <w:proofErr w:type="spellStart"/>
      <w:r>
        <w:rPr>
          <w:rFonts w:ascii="Book Antiqua" w:eastAsia="Book Antiqua" w:hAnsi="Book Antiqua" w:cs="Book Antiqua"/>
          <w:color w:val="000000"/>
        </w:rPr>
        <w:t>Cantafio</w:t>
      </w:r>
      <w:proofErr w:type="spellEnd"/>
      <w:r>
        <w:rPr>
          <w:rFonts w:ascii="Book Antiqua" w:eastAsia="Book Antiqua" w:hAnsi="Book Antiqua" w:cs="Book Antiqua"/>
          <w:color w:val="000000"/>
        </w:rPr>
        <w:t xml:space="preserve"> N, Richards DA, Fitch TR, Wasserman E, Fernandez C, Green S, Sutherland W, Bittner M, Alarcon A, Mallery D, Penny R. Pilot study using molecular profiling of patients' tumors to find potential targets and select treatments for their refractory cancers.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4877-4883 [PMID: 20921468 DOI: 10.1200/JCO.2009.26.5983]</w:t>
      </w:r>
    </w:p>
    <w:p w14:paraId="483BAC4E" w14:textId="77777777" w:rsidR="00A77B3E" w:rsidRDefault="002C2D2E">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Krepline</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Bliss L,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J, Akinola I, Christians KK, George B, Ritch PS, Hall WA, Erickson BA, Evans DB, Tsai S. Role of Molecular Profiling of Pancreatic Cancer After Neoadjuvant Therapy: Does it Change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235-242 [PMID: 31745905 DOI: 10.1007/s11605-019-04423-6]</w:t>
      </w:r>
    </w:p>
    <w:p w14:paraId="344E0EF1" w14:textId="77777777" w:rsidR="00A77B3E" w:rsidRDefault="002C2D2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Blair AB</w:t>
      </w:r>
      <w:r>
        <w:rPr>
          <w:rFonts w:ascii="Book Antiqua" w:eastAsia="Book Antiqua" w:hAnsi="Book Antiqua" w:cs="Book Antiqua"/>
          <w:color w:val="000000"/>
        </w:rPr>
        <w:t xml:space="preserve">, Groot VP, </w:t>
      </w:r>
      <w:proofErr w:type="spellStart"/>
      <w:r>
        <w:rPr>
          <w:rFonts w:ascii="Book Antiqua" w:eastAsia="Book Antiqua" w:hAnsi="Book Antiqua" w:cs="Book Antiqua"/>
          <w:color w:val="000000"/>
        </w:rPr>
        <w:t>Gemenetzis</w:t>
      </w:r>
      <w:proofErr w:type="spellEnd"/>
      <w:r>
        <w:rPr>
          <w:rFonts w:ascii="Book Antiqua" w:eastAsia="Book Antiqua" w:hAnsi="Book Antiqua" w:cs="Book Antiqua"/>
          <w:color w:val="000000"/>
        </w:rPr>
        <w:t xml:space="preserve"> G, Wei J, Cameron JL, Weiss MJ,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Wolfgang CL, Yu J, He J. BRCA1/BRCA2 Germline Mutation Carriers and Sporadic Pancreatic Ductal Adenocarcinoma.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226</w:t>
      </w:r>
      <w:r>
        <w:rPr>
          <w:rFonts w:ascii="Book Antiqua" w:eastAsia="Book Antiqua" w:hAnsi="Book Antiqua" w:cs="Book Antiqua"/>
          <w:color w:val="000000"/>
        </w:rPr>
        <w:t>: 630-637.e1 [PMID: 29309945 DOI: 10.1016/j.jamcollsurg.2017.12.021]</w:t>
      </w:r>
    </w:p>
    <w:p w14:paraId="31A00EE4" w14:textId="77777777" w:rsidR="00A77B3E" w:rsidRDefault="002C2D2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Wattenberg MM</w:t>
      </w:r>
      <w:r>
        <w:rPr>
          <w:rFonts w:ascii="Book Antiqua" w:eastAsia="Book Antiqua" w:hAnsi="Book Antiqua" w:cs="Book Antiqua"/>
          <w:color w:val="000000"/>
        </w:rPr>
        <w:t xml:space="preserve">, Asch D, Yu S,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Nathanson KL, Rosen MA, Beatty GL, Siegelman ES, Reiss KA. Platinum response characteristics of patients with pancreatic ductal adenocarcinoma and a germline BRCA1, BRCA2 or PALB2 mutation.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333-339 [PMID: 31787751 DOI: 10.1038/s41416-019-0582-7]</w:t>
      </w:r>
    </w:p>
    <w:p w14:paraId="64680469" w14:textId="77777777" w:rsidR="00A77B3E" w:rsidRDefault="002C2D2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Connor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Jang GH, Timms L, </w:t>
      </w:r>
      <w:proofErr w:type="spellStart"/>
      <w:r>
        <w:rPr>
          <w:rFonts w:ascii="Book Antiqua" w:eastAsia="Book Antiqua" w:hAnsi="Book Antiqua" w:cs="Book Antiqua"/>
          <w:color w:val="000000"/>
        </w:rPr>
        <w:t>Kalimuthu</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Selander</w:t>
      </w:r>
      <w:proofErr w:type="spellEnd"/>
      <w:r>
        <w:rPr>
          <w:rFonts w:ascii="Book Antiqua" w:eastAsia="Book Antiqua" w:hAnsi="Book Antiqua" w:cs="Book Antiqua"/>
          <w:color w:val="000000"/>
        </w:rPr>
        <w:t xml:space="preserve"> I, McPherson T, Wilson GW, Chan-Seng-Yue MA, </w:t>
      </w:r>
      <w:proofErr w:type="spellStart"/>
      <w:r>
        <w:rPr>
          <w:rFonts w:ascii="Book Antiqua" w:eastAsia="Book Antiqua" w:hAnsi="Book Antiqua" w:cs="Book Antiqua"/>
          <w:color w:val="000000"/>
        </w:rPr>
        <w:t>Borozan</w:t>
      </w:r>
      <w:proofErr w:type="spellEnd"/>
      <w:r>
        <w:rPr>
          <w:rFonts w:ascii="Book Antiqua" w:eastAsia="Book Antiqua" w:hAnsi="Book Antiqua" w:cs="Book Antiqua"/>
          <w:color w:val="000000"/>
        </w:rPr>
        <w:t xml:space="preserve"> I, Ferretti V, Grant RC, Lungu IM, Costello E,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Palmer D,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Buchler</w:t>
      </w:r>
      <w:proofErr w:type="spellEnd"/>
      <w:r>
        <w:rPr>
          <w:rFonts w:ascii="Book Antiqua" w:eastAsia="Book Antiqua" w:hAnsi="Book Antiqua" w:cs="Book Antiqua"/>
          <w:color w:val="000000"/>
        </w:rPr>
        <w:t xml:space="preserve"> M, Petersen G, Thayer S, Hollingsworth MA,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A, Durocher D,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Hedley D, Serra S, </w:t>
      </w:r>
      <w:proofErr w:type="spellStart"/>
      <w:r>
        <w:rPr>
          <w:rFonts w:ascii="Book Antiqua" w:eastAsia="Book Antiqua" w:hAnsi="Book Antiqua" w:cs="Book Antiqua"/>
          <w:color w:val="000000"/>
        </w:rPr>
        <w:t>Pollett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Roehrl</w:t>
      </w:r>
      <w:proofErr w:type="spellEnd"/>
      <w:r>
        <w:rPr>
          <w:rFonts w:ascii="Book Antiqua" w:eastAsia="Book Antiqua" w:hAnsi="Book Antiqua" w:cs="Book Antiqua"/>
          <w:color w:val="000000"/>
        </w:rPr>
        <w:t xml:space="preserve"> MHA, </w:t>
      </w:r>
      <w:proofErr w:type="spellStart"/>
      <w:r>
        <w:rPr>
          <w:rFonts w:ascii="Book Antiqua" w:eastAsia="Book Antiqua" w:hAnsi="Book Antiqua" w:cs="Book Antiqua"/>
          <w:color w:val="000000"/>
        </w:rPr>
        <w:t>Bavi</w:t>
      </w:r>
      <w:proofErr w:type="spellEnd"/>
      <w:r>
        <w:rPr>
          <w:rFonts w:ascii="Book Antiqua" w:eastAsia="Book Antiqua" w:hAnsi="Book Antiqua" w:cs="Book Antiqua"/>
          <w:color w:val="000000"/>
        </w:rPr>
        <w:t xml:space="preserve"> P, Bartlett JMS, Cleary S, Wilson JM, Alexandrov LB, Moore M, </w:t>
      </w:r>
      <w:proofErr w:type="spellStart"/>
      <w:r>
        <w:rPr>
          <w:rFonts w:ascii="Book Antiqua" w:eastAsia="Book Antiqua" w:hAnsi="Book Antiqua" w:cs="Book Antiqua"/>
          <w:color w:val="000000"/>
        </w:rPr>
        <w:lastRenderedPageBreak/>
        <w:t>Wouters</w:t>
      </w:r>
      <w:proofErr w:type="spellEnd"/>
      <w:r>
        <w:rPr>
          <w:rFonts w:ascii="Book Antiqua" w:eastAsia="Book Antiqua" w:hAnsi="Book Antiqua" w:cs="Book Antiqua"/>
          <w:color w:val="000000"/>
        </w:rPr>
        <w:t xml:space="preserve"> BG, McPherson JD, </w:t>
      </w:r>
      <w:proofErr w:type="spellStart"/>
      <w:r>
        <w:rPr>
          <w:rFonts w:ascii="Book Antiqua" w:eastAsia="Book Antiqua" w:hAnsi="Book Antiqua" w:cs="Book Antiqua"/>
          <w:color w:val="000000"/>
        </w:rPr>
        <w:t>Notta</w:t>
      </w:r>
      <w:proofErr w:type="spellEnd"/>
      <w:r>
        <w:rPr>
          <w:rFonts w:ascii="Book Antiqua" w:eastAsia="Book Antiqua" w:hAnsi="Book Antiqua" w:cs="Book Antiqua"/>
          <w:color w:val="000000"/>
        </w:rPr>
        <w:t xml:space="preserve"> F, Stein LD,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Association of Distinct Mutational Signatures With Correlates of Increased Immune Activity in Pancreatic Ductal Adenocarcinoma.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774-783 [PMID: 27768182 DOI: 10.1001/jamaoncol.2016.3916]</w:t>
      </w:r>
    </w:p>
    <w:p w14:paraId="057E2A35" w14:textId="77777777" w:rsidR="00A77B3E" w:rsidRDefault="002C2D2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Witkiewicz</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McMillan EA, Balaji U,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 Lin WC, Mansour J, </w:t>
      </w:r>
      <w:proofErr w:type="spellStart"/>
      <w:r>
        <w:rPr>
          <w:rFonts w:ascii="Book Antiqua" w:eastAsia="Book Antiqua" w:hAnsi="Book Antiqua" w:cs="Book Antiqua"/>
          <w:color w:val="000000"/>
        </w:rPr>
        <w:t>Mollaee</w:t>
      </w:r>
      <w:proofErr w:type="spellEnd"/>
      <w:r>
        <w:rPr>
          <w:rFonts w:ascii="Book Antiqua" w:eastAsia="Book Antiqua" w:hAnsi="Book Antiqua" w:cs="Book Antiqua"/>
          <w:color w:val="000000"/>
        </w:rPr>
        <w:t xml:space="preserve"> M, Wagner KU, </w:t>
      </w:r>
      <w:proofErr w:type="spellStart"/>
      <w:r>
        <w:rPr>
          <w:rFonts w:ascii="Book Antiqua" w:eastAsia="Book Antiqua" w:hAnsi="Book Antiqua" w:cs="Book Antiqua"/>
          <w:color w:val="000000"/>
        </w:rPr>
        <w:t>Koduru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Choti</w:t>
      </w:r>
      <w:proofErr w:type="spellEnd"/>
      <w:r>
        <w:rPr>
          <w:rFonts w:ascii="Book Antiqua" w:eastAsia="Book Antiqua" w:hAnsi="Book Antiqua" w:cs="Book Antiqua"/>
          <w:color w:val="000000"/>
        </w:rPr>
        <w:t xml:space="preserve"> MA, Yeo CJ, McCue P, White MA, Knudsen ES. Whole-exome sequencing of pancreatic cancer defines genetic diversity and therapeutic targets.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6744 [PMID: 25855536 DOI: 10.1038/ncomms7744]</w:t>
      </w:r>
    </w:p>
    <w:p w14:paraId="5425E29C" w14:textId="77777777" w:rsidR="00A77B3E" w:rsidRDefault="002C2D2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Miyoshi T</w:t>
      </w:r>
      <w:r>
        <w:rPr>
          <w:rFonts w:ascii="Book Antiqua" w:eastAsia="Book Antiqua" w:hAnsi="Book Antiqua" w:cs="Book Antiqua"/>
          <w:color w:val="000000"/>
        </w:rPr>
        <w:t xml:space="preserve">, Kondo K, Toba H, Yoshida M,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Kenzaki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S, Takehisa M, </w:t>
      </w:r>
      <w:proofErr w:type="spellStart"/>
      <w:r>
        <w:rPr>
          <w:rFonts w:ascii="Book Antiqua" w:eastAsia="Book Antiqua" w:hAnsi="Book Antiqua" w:cs="Book Antiqua"/>
          <w:color w:val="000000"/>
        </w:rPr>
        <w:t>Tangoku</w:t>
      </w:r>
      <w:proofErr w:type="spellEnd"/>
      <w:r>
        <w:rPr>
          <w:rFonts w:ascii="Book Antiqua" w:eastAsia="Book Antiqua" w:hAnsi="Book Antiqua" w:cs="Book Antiqua"/>
          <w:color w:val="000000"/>
        </w:rPr>
        <w:t xml:space="preserve"> A. Predictive value of thymidylate synthase and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dehydrogenase expression in tumor tissue, regarding the efficacy of postoperatively administered UFT (</w:t>
      </w:r>
      <w:proofErr w:type="spellStart"/>
      <w:r>
        <w:rPr>
          <w:rFonts w:ascii="Book Antiqua" w:eastAsia="Book Antiqua" w:hAnsi="Book Antiqua" w:cs="Book Antiqua"/>
          <w:color w:val="000000"/>
        </w:rPr>
        <w:t>tegafur+uracil</w:t>
      </w:r>
      <w:proofErr w:type="spellEnd"/>
      <w:r>
        <w:rPr>
          <w:rFonts w:ascii="Book Antiqua" w:eastAsia="Book Antiqua" w:hAnsi="Book Antiqua" w:cs="Book Antiqua"/>
          <w:color w:val="000000"/>
        </w:rPr>
        <w:t xml:space="preserve">) in patients with non-small cell lung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2641-2648 [PMID: 17695427]</w:t>
      </w:r>
    </w:p>
    <w:p w14:paraId="4C734CB8" w14:textId="77777777" w:rsidR="00A77B3E" w:rsidRDefault="002C2D2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G</w:t>
      </w:r>
      <w:r>
        <w:rPr>
          <w:rFonts w:ascii="Book Antiqua" w:eastAsia="Book Antiqua" w:hAnsi="Book Antiqua" w:cs="Book Antiqua"/>
          <w:color w:val="000000"/>
        </w:rPr>
        <w:t xml:space="preserve">, Tian X, Liu Z, Zhou S, Schmidt B,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-Bruns D, </w:t>
      </w:r>
      <w:proofErr w:type="spellStart"/>
      <w:r>
        <w:rPr>
          <w:rFonts w:ascii="Book Antiqua" w:eastAsia="Book Antiqua" w:hAnsi="Book Antiqua" w:cs="Book Antiqua"/>
          <w:color w:val="000000"/>
        </w:rPr>
        <w:t>Bachem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Kornmann</w:t>
      </w:r>
      <w:proofErr w:type="spellEnd"/>
      <w:r>
        <w:rPr>
          <w:rFonts w:ascii="Book Antiqua" w:eastAsia="Book Antiqua" w:hAnsi="Book Antiqua" w:cs="Book Antiqua"/>
          <w:color w:val="000000"/>
        </w:rPr>
        <w:t xml:space="preserve"> M. Inhibition of endogenous SPARC enhances pancreatic cancer cell growth: modulation by FGFR1-III isoform expression.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188-195 [PMID: 19920824 DOI: 10.1038/sj.bjc.6605440]</w:t>
      </w:r>
    </w:p>
    <w:p w14:paraId="7E5304B5" w14:textId="77777777" w:rsidR="00A77B3E" w:rsidRDefault="002C2D2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Akita H</w:t>
      </w:r>
      <w:r>
        <w:rPr>
          <w:rFonts w:ascii="Book Antiqua" w:eastAsia="Book Antiqua" w:hAnsi="Book Antiqua" w:cs="Book Antiqua"/>
          <w:color w:val="000000"/>
        </w:rPr>
        <w:t xml:space="preserve">, Zheng Z, Takeda Y, Kim C, Kittaka N, Kobayashi S,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I, Nagano H, </w:t>
      </w:r>
      <w:proofErr w:type="spellStart"/>
      <w:r>
        <w:rPr>
          <w:rFonts w:ascii="Book Antiqua" w:eastAsia="Book Antiqua" w:hAnsi="Book Antiqua" w:cs="Book Antiqua"/>
          <w:color w:val="000000"/>
        </w:rPr>
        <w:t>Dono</w:t>
      </w:r>
      <w:proofErr w:type="spellEnd"/>
      <w:r>
        <w:rPr>
          <w:rFonts w:ascii="Book Antiqua" w:eastAsia="Book Antiqua" w:hAnsi="Book Antiqua" w:cs="Book Antiqua"/>
          <w:color w:val="000000"/>
        </w:rPr>
        <w:t xml:space="preserve"> K, Nakamori S,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Mori M,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Bepler</w:t>
      </w:r>
      <w:proofErr w:type="spellEnd"/>
      <w:r>
        <w:rPr>
          <w:rFonts w:ascii="Book Antiqua" w:eastAsia="Book Antiqua" w:hAnsi="Book Antiqua" w:cs="Book Antiqua"/>
          <w:color w:val="000000"/>
        </w:rPr>
        <w:t xml:space="preserve"> G. Significance of RRM1 and ERCC1 expression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2903-2909 [PMID: 19543324 DOI: 10.1038/onc.2009.158]</w:t>
      </w:r>
    </w:p>
    <w:p w14:paraId="51E89A19" w14:textId="77777777" w:rsidR="00A77B3E" w:rsidRDefault="002C2D2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Spratlin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Sangha R, </w:t>
      </w:r>
      <w:proofErr w:type="spellStart"/>
      <w:r>
        <w:rPr>
          <w:rFonts w:ascii="Book Antiqua" w:eastAsia="Book Antiqua" w:hAnsi="Book Antiqua" w:cs="Book Antiqua"/>
          <w:color w:val="000000"/>
        </w:rPr>
        <w:t>Glubrecht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Dabbagh</w:t>
      </w:r>
      <w:proofErr w:type="spellEnd"/>
      <w:r>
        <w:rPr>
          <w:rFonts w:ascii="Book Antiqua" w:eastAsia="Book Antiqua" w:hAnsi="Book Antiqua" w:cs="Book Antiqua"/>
          <w:color w:val="000000"/>
        </w:rPr>
        <w:t xml:space="preserve"> L, Young JD, </w:t>
      </w:r>
      <w:proofErr w:type="spellStart"/>
      <w:r>
        <w:rPr>
          <w:rFonts w:ascii="Book Antiqua" w:eastAsia="Book Antiqua" w:hAnsi="Book Antiqua" w:cs="Book Antiqua"/>
          <w:color w:val="000000"/>
        </w:rPr>
        <w:t>Dumontet</w:t>
      </w:r>
      <w:proofErr w:type="spellEnd"/>
      <w:r>
        <w:rPr>
          <w:rFonts w:ascii="Book Antiqua" w:eastAsia="Book Antiqua" w:hAnsi="Book Antiqua" w:cs="Book Antiqua"/>
          <w:color w:val="000000"/>
        </w:rPr>
        <w:t xml:space="preserve"> C, Cass C, Lai R, Mackey JR. The absence of human </w:t>
      </w:r>
      <w:proofErr w:type="spellStart"/>
      <w:r>
        <w:rPr>
          <w:rFonts w:ascii="Book Antiqua" w:eastAsia="Book Antiqua" w:hAnsi="Book Antiqua" w:cs="Book Antiqua"/>
          <w:color w:val="000000"/>
        </w:rPr>
        <w:t>equilibrative</w:t>
      </w:r>
      <w:proofErr w:type="spellEnd"/>
      <w:r>
        <w:rPr>
          <w:rFonts w:ascii="Book Antiqua" w:eastAsia="Book Antiqua" w:hAnsi="Book Antiqua" w:cs="Book Antiqua"/>
          <w:color w:val="000000"/>
        </w:rPr>
        <w:t xml:space="preserve"> nucleoside transporter 1 is associated with reduced survival in patients with gemcitabine-treated pancreas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6956-6961 [PMID: 15501974 DOI: 10.1158/1078-0432.CCR-04-0224]</w:t>
      </w:r>
    </w:p>
    <w:p w14:paraId="636CA525" w14:textId="77777777" w:rsidR="00A77B3E" w:rsidRDefault="002C2D2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Tsai S</w:t>
      </w:r>
      <w:r>
        <w:rPr>
          <w:rFonts w:ascii="Book Antiqua" w:eastAsia="Book Antiqua" w:hAnsi="Book Antiqua" w:cs="Book Antiqua"/>
          <w:color w:val="000000"/>
        </w:rPr>
        <w:t xml:space="preserve">, Christians KK, George B, Ritch PS,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Khan A, Mackinnon AC, </w:t>
      </w:r>
      <w:proofErr w:type="spellStart"/>
      <w:r>
        <w:rPr>
          <w:rFonts w:ascii="Book Antiqua" w:eastAsia="Book Antiqua" w:hAnsi="Book Antiqua" w:cs="Book Antiqua"/>
          <w:color w:val="000000"/>
        </w:rPr>
        <w:t>Tolat</w:t>
      </w:r>
      <w:proofErr w:type="spellEnd"/>
      <w:r>
        <w:rPr>
          <w:rFonts w:ascii="Book Antiqua" w:eastAsia="Book Antiqua" w:hAnsi="Book Antiqua" w:cs="Book Antiqua"/>
          <w:color w:val="000000"/>
        </w:rPr>
        <w:t xml:space="preserve"> P, Ahmad SA, Hall WA, Erickson BA, Evans DB. A Phase II Clinical Trial of Molecular </w:t>
      </w:r>
      <w:r>
        <w:rPr>
          <w:rFonts w:ascii="Book Antiqua" w:eastAsia="Book Antiqua" w:hAnsi="Book Antiqua" w:cs="Book Antiqua"/>
          <w:color w:val="000000"/>
        </w:rPr>
        <w:lastRenderedPageBreak/>
        <w:t xml:space="preserve">Profiled Neoadjuvant Therapy for Localized Pancreatic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610-619 [PMID: 30080723 DOI: 10.1097/SLA.0000000000002957]</w:t>
      </w:r>
    </w:p>
    <w:p w14:paraId="5A086424" w14:textId="77777777" w:rsidR="00A77B3E" w:rsidRDefault="002C2D2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Chantrill</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Watson C, Johns AL, Martyn-Smith M, Simpson S, Mead S, Jones MD, Samra JS, Gill AJ, Watson N, Chin VT,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JL, Chou A, Brown B, Morey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Chang DK, Thomas D, Sebastian L, </w:t>
      </w:r>
      <w:proofErr w:type="spellStart"/>
      <w:r>
        <w:rPr>
          <w:rFonts w:ascii="Book Antiqua" w:eastAsia="Book Antiqua" w:hAnsi="Book Antiqua" w:cs="Book Antiqua"/>
          <w:color w:val="000000"/>
        </w:rPr>
        <w:t>Sjoquist</w:t>
      </w:r>
      <w:proofErr w:type="spellEnd"/>
      <w:r>
        <w:rPr>
          <w:rFonts w:ascii="Book Antiqua" w:eastAsia="Book Antiqua" w:hAnsi="Book Antiqua" w:cs="Book Antiqua"/>
          <w:color w:val="000000"/>
        </w:rPr>
        <w:t xml:space="preserve"> K, Yip S,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Asghari</w:t>
      </w:r>
      <w:proofErr w:type="spellEnd"/>
      <w:r>
        <w:rPr>
          <w:rFonts w:ascii="Book Antiqua" w:eastAsia="Book Antiqua" w:hAnsi="Book Antiqua" w:cs="Book Antiqua"/>
          <w:color w:val="000000"/>
        </w:rPr>
        <w:t xml:space="preserve"> R, Harvey S, </w:t>
      </w:r>
      <w:proofErr w:type="spellStart"/>
      <w:r>
        <w:rPr>
          <w:rFonts w:ascii="Book Antiqua" w:eastAsia="Book Antiqua" w:hAnsi="Book Antiqua" w:cs="Book Antiqua"/>
          <w:color w:val="000000"/>
        </w:rPr>
        <w:t>Grimison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Australian Pancreatic Cancer Genome Initiative (APGI); Individualized Molecular Pancreatic Cancer Therapy (</w:t>
      </w:r>
      <w:proofErr w:type="spellStart"/>
      <w:r>
        <w:rPr>
          <w:rFonts w:ascii="Book Antiqua" w:eastAsia="Book Antiqua" w:hAnsi="Book Antiqua" w:cs="Book Antiqua"/>
          <w:color w:val="000000"/>
        </w:rPr>
        <w:t>IMPaCT</w:t>
      </w:r>
      <w:proofErr w:type="spellEnd"/>
      <w:r>
        <w:rPr>
          <w:rFonts w:ascii="Book Antiqua" w:eastAsia="Book Antiqua" w:hAnsi="Book Antiqua" w:cs="Book Antiqua"/>
          <w:color w:val="000000"/>
        </w:rPr>
        <w:t>) Trial Management Committee of the Australasian Gastrointestinal Trials Group (AGITG). Precision Medicine for Advanced Pancreas Cancer: The Individualized Molecular Pancreatic Cancer Therapy (</w:t>
      </w:r>
      <w:proofErr w:type="spellStart"/>
      <w:r>
        <w:rPr>
          <w:rFonts w:ascii="Book Antiqua" w:eastAsia="Book Antiqua" w:hAnsi="Book Antiqua" w:cs="Book Antiqua"/>
          <w:color w:val="000000"/>
        </w:rPr>
        <w:t>IMPaCT</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2029-2037 [PMID: 25896973 DOI: 10.1158/1078-0432.CCR-15-0426]</w:t>
      </w:r>
    </w:p>
    <w:p w14:paraId="0EF6A1E8" w14:textId="77777777" w:rsidR="00A77B3E" w:rsidRDefault="002C2D2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Al Abbas AI</w:t>
      </w:r>
      <w:r>
        <w:rPr>
          <w:rFonts w:ascii="Book Antiqua" w:eastAsia="Book Antiqua" w:hAnsi="Book Antiqua" w:cs="Book Antiqua"/>
          <w:color w:val="000000"/>
        </w:rPr>
        <w:t xml:space="preserve">, Zenati M, Reiser CJ, Hamad A, Jung JP,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Hogg ME. Serum CA19-9 Response to Neoadjuvant Therapy Predicts Tumor Size Reduction and Survival in Pancreatic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2007-2014 [PMID: 31898105 DOI: 10.1245/s10434-019-08156-3]</w:t>
      </w:r>
    </w:p>
    <w:p w14:paraId="26ADF92E" w14:textId="77777777" w:rsidR="00A77B3E" w:rsidRDefault="002C2D2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Steve J, Zenati MS, Hogg ME,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Bartlett DL,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Serum CA 19-9 response to neoadjuvant therapy is associated with outcome in pancreatic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4351-4358 [PMID: 25092157 DOI: 10.1245/s10434-014-3842-z]</w:t>
      </w:r>
    </w:p>
    <w:p w14:paraId="7B3D2084" w14:textId="77777777" w:rsidR="00A77B3E" w:rsidRDefault="002C2D2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H</w:t>
      </w:r>
      <w:r>
        <w:rPr>
          <w:rFonts w:ascii="Book Antiqua" w:eastAsia="Book Antiqua" w:hAnsi="Book Antiqua" w:cs="Book Antiqua"/>
          <w:color w:val="000000"/>
        </w:rPr>
        <w:t xml:space="preserve">, Zenati MS, </w:t>
      </w:r>
      <w:proofErr w:type="spellStart"/>
      <w:r>
        <w:rPr>
          <w:rFonts w:ascii="Book Antiqua" w:eastAsia="Book Antiqua" w:hAnsi="Book Antiqua" w:cs="Book Antiqua"/>
          <w:color w:val="000000"/>
        </w:rPr>
        <w:t>Rieser</w:t>
      </w:r>
      <w:proofErr w:type="spellEnd"/>
      <w:r>
        <w:rPr>
          <w:rFonts w:ascii="Book Antiqua" w:eastAsia="Book Antiqua" w:hAnsi="Book Antiqua" w:cs="Book Antiqua"/>
          <w:color w:val="000000"/>
        </w:rPr>
        <w:t xml:space="preserve"> CJ, Al-Abbas A, Lee KK,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Hogg ME,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CA19-9 Change During Neoadjuvant Therapy May Guide the Need for Additional Adjuvant Therapy Following Resected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3950-3960 [PMID: 32318949 DOI: 10.1245/s10434-020-08468-9]</w:t>
      </w:r>
    </w:p>
    <w:p w14:paraId="73155ABE" w14:textId="77777777" w:rsidR="00A77B3E" w:rsidRDefault="002C2D2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Rose JB</w:t>
      </w:r>
      <w:r>
        <w:rPr>
          <w:rFonts w:ascii="Book Antiqua" w:eastAsia="Book Antiqua" w:hAnsi="Book Antiqua" w:cs="Book Antiqua"/>
          <w:color w:val="000000"/>
        </w:rPr>
        <w:t xml:space="preserve">, Edwards AM, Rocha FG, Clark C, </w:t>
      </w:r>
      <w:proofErr w:type="spellStart"/>
      <w:r>
        <w:rPr>
          <w:rFonts w:ascii="Book Antiqua" w:eastAsia="Book Antiqua" w:hAnsi="Book Antiqua" w:cs="Book Antiqua"/>
          <w:color w:val="000000"/>
        </w:rPr>
        <w:t>Alseidi</w:t>
      </w:r>
      <w:proofErr w:type="spellEnd"/>
      <w:r>
        <w:rPr>
          <w:rFonts w:ascii="Book Antiqua" w:eastAsia="Book Antiqua" w:hAnsi="Book Antiqua" w:cs="Book Antiqua"/>
          <w:color w:val="000000"/>
        </w:rPr>
        <w:t xml:space="preserve"> AA, Biehl TR, Lin BS,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VJ, Helton WS. Sustained Carbohydrate Antigen 19-9 Response to Neoadjuvant Chemotherapy in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Predicts Progression and Survival.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859-866 [PMID: 32277842 DOI: 10.1634/theoncologist.2019-0878]</w:t>
      </w:r>
    </w:p>
    <w:p w14:paraId="15470F5B" w14:textId="77777777" w:rsidR="00A77B3E" w:rsidRDefault="002C2D2E">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Tzeng CW</w:t>
      </w:r>
      <w:r>
        <w:rPr>
          <w:rFonts w:ascii="Book Antiqua" w:eastAsia="Book Antiqua" w:hAnsi="Book Antiqua" w:cs="Book Antiqua"/>
          <w:color w:val="000000"/>
        </w:rPr>
        <w:t xml:space="preserve">, Balachandran A, Ahmad M, Lee JE, Krishnan S, Wang H, Crane CH, Wolff RA,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Pisters PW,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Fleming JB, Katz MH. Serum carbohydrate antigen 19-9 represents a marker of response to neoadjuvant therapy in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430-438 [PMID: 23991810 DOI: 10.1111/hpb.12154]</w:t>
      </w:r>
    </w:p>
    <w:p w14:paraId="6224D1ED" w14:textId="77777777" w:rsidR="00A77B3E" w:rsidRDefault="002C2D2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Ferrone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Hong TS, Ryan DP, Deshpande V, McDonnell EI, </w:t>
      </w:r>
      <w:proofErr w:type="spellStart"/>
      <w:r>
        <w:rPr>
          <w:rFonts w:ascii="Book Antiqua" w:eastAsia="Book Antiqua" w:hAnsi="Book Antiqua" w:cs="Book Antiqua"/>
          <w:color w:val="000000"/>
        </w:rPr>
        <w:t>Sabbatino</w:t>
      </w:r>
      <w:proofErr w:type="spellEnd"/>
      <w:r>
        <w:rPr>
          <w:rFonts w:ascii="Book Antiqua" w:eastAsia="Book Antiqua" w:hAnsi="Book Antiqua" w:cs="Book Antiqua"/>
          <w:color w:val="000000"/>
        </w:rPr>
        <w:t xml:space="preserve"> F, Santos DD, Allen JN,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Clark JW, Faris JE, Goyal L, Kwak EL, Murphy JE, Ting DT, Wo JY, Zhu AX,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Fernández-del Castillo C. Radiological and surgical implications of neoadjuvant treatment with FOLFIRINOX for locally advanced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12-17 [PMID: 25599322 DOI: 10.1097/SLA.0000000000000867]</w:t>
      </w:r>
    </w:p>
    <w:p w14:paraId="39964FF5" w14:textId="77777777" w:rsidR="00A77B3E" w:rsidRDefault="002C2D2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Perri G</w:t>
      </w:r>
      <w:r>
        <w:rPr>
          <w:rFonts w:ascii="Book Antiqua" w:eastAsia="Book Antiqua" w:hAnsi="Book Antiqua" w:cs="Book Antiqua"/>
          <w:color w:val="000000"/>
        </w:rPr>
        <w:t xml:space="preserve">, Prakash L, Wang H, Bhosale P,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Wolff R, Fogelman D, Overman M, Pant S,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 Herman J, Kim M,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N, Tzeng CW, Lee JE, Katz MHG. Radiographic and Serologic Predictors of Pathologic Major Response to Preoperative Therapy for Pancreatic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806-813 [PMID: 31274655 DOI: 10.1097/SLA.0000000000003442]</w:t>
      </w:r>
    </w:p>
    <w:p w14:paraId="56864232" w14:textId="77777777" w:rsidR="00A77B3E" w:rsidRDefault="002C2D2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Ejaz A, Shen C,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Williams TM, Noonan A,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Tsung A. Pathologic complete response following neoadjuvant therapy for pancreatic ductal adenocarcinoma: defining the incidence, predictors, and outcomes.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1569-1576 [PMID: 32063480 DOI: 10.1016/j.hpb.2020.01.013]</w:t>
      </w:r>
    </w:p>
    <w:p w14:paraId="77A649FC" w14:textId="77777777" w:rsidR="00A77B3E" w:rsidRDefault="002C2D2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Vreeland TJ</w:t>
      </w:r>
      <w:r>
        <w:rPr>
          <w:rFonts w:ascii="Book Antiqua" w:eastAsia="Book Antiqua" w:hAnsi="Book Antiqua" w:cs="Book Antiqua"/>
          <w:color w:val="000000"/>
        </w:rPr>
        <w:t xml:space="preserve">, McAllister F, </w:t>
      </w:r>
      <w:proofErr w:type="spellStart"/>
      <w:r>
        <w:rPr>
          <w:rFonts w:ascii="Book Antiqua" w:eastAsia="Book Antiqua" w:hAnsi="Book Antiqua" w:cs="Book Antiqua"/>
          <w:color w:val="000000"/>
        </w:rPr>
        <w:t>Javadi</w:t>
      </w:r>
      <w:proofErr w:type="spellEnd"/>
      <w:r>
        <w:rPr>
          <w:rFonts w:ascii="Book Antiqua" w:eastAsia="Book Antiqua" w:hAnsi="Book Antiqua" w:cs="Book Antiqua"/>
          <w:color w:val="000000"/>
        </w:rPr>
        <w:t xml:space="preserve"> S, Prakash LR, Fogelman DR, Ho L,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Lee JE, Kim MP, Katz MHG, Tzeng CD. Benefit of Gemcitabine/Nab-Paclitaxel Rescue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Locally Advanced Pancreatic Adenocarcinoma After Early Failure of FOLFIRINOX.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837-843 [PMID: 31210666 DOI: 10.1097/MPA.0000000000001345]</w:t>
      </w:r>
    </w:p>
    <w:p w14:paraId="41712FE0" w14:textId="77777777" w:rsidR="00A77B3E" w:rsidRDefault="002C2D2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Puleo F</w:t>
      </w:r>
      <w:r>
        <w:rPr>
          <w:rFonts w:ascii="Book Antiqua" w:eastAsia="Book Antiqua" w:hAnsi="Book Antiqua" w:cs="Book Antiqua"/>
          <w:color w:val="000000"/>
        </w:rPr>
        <w:t xml:space="preserve">, Nicolle R, Blum Y, </w:t>
      </w:r>
      <w:proofErr w:type="spellStart"/>
      <w:r>
        <w:rPr>
          <w:rFonts w:ascii="Book Antiqua" w:eastAsia="Book Antiqua" w:hAnsi="Book Antiqua" w:cs="Book Antiqua"/>
          <w:color w:val="000000"/>
        </w:rPr>
        <w:t>Cros</w:t>
      </w:r>
      <w:proofErr w:type="spellEnd"/>
      <w:r>
        <w:rPr>
          <w:rFonts w:ascii="Book Antiqua" w:eastAsia="Book Antiqua" w:hAnsi="Book Antiqua" w:cs="Book Antiqua"/>
          <w:color w:val="000000"/>
        </w:rPr>
        <w:t xml:space="preserve"> J, Marisa L, </w:t>
      </w:r>
      <w:proofErr w:type="spellStart"/>
      <w:r>
        <w:rPr>
          <w:rFonts w:ascii="Book Antiqua" w:eastAsia="Book Antiqua" w:hAnsi="Book Antiqua" w:cs="Book Antiqua"/>
          <w:color w:val="000000"/>
        </w:rPr>
        <w:t>Demetter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Quertinmont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Elarouci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Iovanna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Franchimont</w:t>
      </w:r>
      <w:proofErr w:type="spellEnd"/>
      <w:r>
        <w:rPr>
          <w:rFonts w:ascii="Book Antiqua" w:eastAsia="Book Antiqua" w:hAnsi="Book Antiqua" w:cs="Book Antiqua"/>
          <w:color w:val="000000"/>
        </w:rPr>
        <w:t xml:space="preserve"> D, Verset L, </w:t>
      </w:r>
      <w:proofErr w:type="spellStart"/>
      <w:r>
        <w:rPr>
          <w:rFonts w:ascii="Book Antiqua" w:eastAsia="Book Antiqua" w:hAnsi="Book Antiqua" w:cs="Book Antiqua"/>
          <w:color w:val="000000"/>
        </w:rPr>
        <w:t>Galdon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Devière</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Reyniès</w:t>
      </w:r>
      <w:proofErr w:type="spellEnd"/>
      <w:r>
        <w:rPr>
          <w:rFonts w:ascii="Book Antiqua" w:eastAsia="Book Antiqua" w:hAnsi="Book Antiqua" w:cs="Book Antiqua"/>
          <w:color w:val="000000"/>
        </w:rPr>
        <w:t xml:space="preserve"> A, Laurent-Puig P,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Maréchal R. Stratification of Pancreatic Ductal Adenocarcinomas Based on Tumor and Microenvironment Features. </w:t>
      </w:r>
      <w:r>
        <w:rPr>
          <w:rFonts w:ascii="Book Antiqua" w:eastAsia="Book Antiqua" w:hAnsi="Book Antiqua" w:cs="Book Antiqua"/>
          <w:i/>
          <w:iCs/>
          <w:color w:val="000000"/>
        </w:rPr>
        <w:lastRenderedPageBreak/>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1999-2013.e3 [PMID: 30165049 DOI: 10.1053/j.gastro.2018.08.033]</w:t>
      </w:r>
    </w:p>
    <w:p w14:paraId="2E466A6F" w14:textId="77777777" w:rsidR="00A77B3E" w:rsidRDefault="002C2D2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Chang DK,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K, Johns AL, Patch AM, Gingras MC, Miller DK, Christ AN, </w:t>
      </w:r>
      <w:proofErr w:type="spellStart"/>
      <w:r>
        <w:rPr>
          <w:rFonts w:ascii="Book Antiqua" w:eastAsia="Book Antiqua" w:hAnsi="Book Antiqua" w:cs="Book Antiqua"/>
          <w:color w:val="000000"/>
        </w:rPr>
        <w:t>Bruxner</w:t>
      </w:r>
      <w:proofErr w:type="spellEnd"/>
      <w:r>
        <w:rPr>
          <w:rFonts w:ascii="Book Antiqua" w:eastAsia="Book Antiqua" w:hAnsi="Book Antiqua" w:cs="Book Antiqua"/>
          <w:color w:val="000000"/>
        </w:rPr>
        <w:t xml:space="preserve"> TJ, Quinn MC, </w:t>
      </w:r>
      <w:proofErr w:type="spellStart"/>
      <w:r>
        <w:rPr>
          <w:rFonts w:ascii="Book Antiqua" w:eastAsia="Book Antiqua" w:hAnsi="Book Antiqua" w:cs="Book Antiqua"/>
          <w:color w:val="000000"/>
        </w:rPr>
        <w:t>Nourse</w:t>
      </w:r>
      <w:proofErr w:type="spellEnd"/>
      <w:r>
        <w:rPr>
          <w:rFonts w:ascii="Book Antiqua" w:eastAsia="Book Antiqua" w:hAnsi="Book Antiqua" w:cs="Book Antiqua"/>
          <w:color w:val="000000"/>
        </w:rPr>
        <w:t xml:space="preserve"> C, Murtaugh LC, </w:t>
      </w:r>
      <w:proofErr w:type="spellStart"/>
      <w:r>
        <w:rPr>
          <w:rFonts w:ascii="Book Antiqua" w:eastAsia="Book Antiqua" w:hAnsi="Book Antiqua" w:cs="Book Antiqua"/>
          <w:color w:val="000000"/>
        </w:rPr>
        <w:t>Harliwong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Idrisoglu</w:t>
      </w:r>
      <w:proofErr w:type="spellEnd"/>
      <w:r>
        <w:rPr>
          <w:rFonts w:ascii="Book Antiqua" w:eastAsia="Book Antiqua" w:hAnsi="Book Antiqua" w:cs="Book Antiqua"/>
          <w:color w:val="000000"/>
        </w:rPr>
        <w:t xml:space="preserve"> S, Manning S, </w:t>
      </w:r>
      <w:proofErr w:type="spellStart"/>
      <w:r>
        <w:rPr>
          <w:rFonts w:ascii="Book Antiqua" w:eastAsia="Book Antiqua" w:hAnsi="Book Antiqua" w:cs="Book Antiqua"/>
          <w:color w:val="000000"/>
        </w:rPr>
        <w:t>Nourbakhsh</w:t>
      </w:r>
      <w:proofErr w:type="spellEnd"/>
      <w:r>
        <w:rPr>
          <w:rFonts w:ascii="Book Antiqua" w:eastAsia="Book Antiqua" w:hAnsi="Book Antiqua" w:cs="Book Antiqua"/>
          <w:color w:val="000000"/>
        </w:rPr>
        <w:t xml:space="preserve"> E, Wani S, Fink L, Holmes O, Chin V, Anderson MJ, </w:t>
      </w:r>
      <w:proofErr w:type="spellStart"/>
      <w:r>
        <w:rPr>
          <w:rFonts w:ascii="Book Antiqua" w:eastAsia="Book Antiqua" w:hAnsi="Book Antiqua" w:cs="Book Antiqua"/>
          <w:color w:val="000000"/>
        </w:rPr>
        <w:t>Kazakoff</w:t>
      </w:r>
      <w:proofErr w:type="spellEnd"/>
      <w:r>
        <w:rPr>
          <w:rFonts w:ascii="Book Antiqua" w:eastAsia="Book Antiqua" w:hAnsi="Book Antiqua" w:cs="Book Antiqua"/>
          <w:color w:val="000000"/>
        </w:rPr>
        <w:t xml:space="preserve"> S, Leonard C, Newell F, Waddell N, Wood S, Xu Q, Wilson PJ, </w:t>
      </w:r>
      <w:proofErr w:type="spellStart"/>
      <w:r>
        <w:rPr>
          <w:rFonts w:ascii="Book Antiqua" w:eastAsia="Book Antiqua" w:hAnsi="Book Antiqua" w:cs="Book Antiqua"/>
          <w:color w:val="000000"/>
        </w:rPr>
        <w:t>Cloonan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Kassahn</w:t>
      </w:r>
      <w:proofErr w:type="spellEnd"/>
      <w:r>
        <w:rPr>
          <w:rFonts w:ascii="Book Antiqua" w:eastAsia="Book Antiqua" w:hAnsi="Book Antiqua" w:cs="Book Antiqua"/>
          <w:color w:val="000000"/>
        </w:rPr>
        <w:t xml:space="preserve"> KS, Taylor D, Quek K, Robertson A,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Mincarelli</w:t>
      </w:r>
      <w:proofErr w:type="spellEnd"/>
      <w:r>
        <w:rPr>
          <w:rFonts w:ascii="Book Antiqua" w:eastAsia="Book Antiqua" w:hAnsi="Book Antiqua" w:cs="Book Antiqua"/>
          <w:color w:val="000000"/>
        </w:rPr>
        <w:t xml:space="preserve"> L, Sanchez LN, Evers L, Wu J,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Jones MD, Colvin EK,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AM, Humphrey ES, </w:t>
      </w:r>
      <w:proofErr w:type="spellStart"/>
      <w:r>
        <w:rPr>
          <w:rFonts w:ascii="Book Antiqua" w:eastAsia="Book Antiqua" w:hAnsi="Book Antiqua" w:cs="Book Antiqua"/>
          <w:color w:val="000000"/>
        </w:rPr>
        <w:t>Chantrill</w:t>
      </w:r>
      <w:proofErr w:type="spellEnd"/>
      <w:r>
        <w:rPr>
          <w:rFonts w:ascii="Book Antiqua" w:eastAsia="Book Antiqua" w:hAnsi="Book Antiqua" w:cs="Book Antiqua"/>
          <w:color w:val="000000"/>
        </w:rPr>
        <w:t xml:space="preserve"> LA, Mawson A, </w:t>
      </w:r>
      <w:proofErr w:type="spellStart"/>
      <w:r>
        <w:rPr>
          <w:rFonts w:ascii="Book Antiqua" w:eastAsia="Book Antiqua" w:hAnsi="Book Antiqua" w:cs="Book Antiqua"/>
          <w:color w:val="000000"/>
        </w:rPr>
        <w:t>Humphris</w:t>
      </w:r>
      <w:proofErr w:type="spellEnd"/>
      <w:r>
        <w:rPr>
          <w:rFonts w:ascii="Book Antiqua" w:eastAsia="Book Antiqua" w:hAnsi="Book Antiqua" w:cs="Book Antiqua"/>
          <w:color w:val="000000"/>
        </w:rPr>
        <w:t xml:space="preserve"> J, Chou A,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Scarlett CJ,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Giry-Laterriere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Rooman</w:t>
      </w:r>
      <w:proofErr w:type="spellEnd"/>
      <w:r>
        <w:rPr>
          <w:rFonts w:ascii="Book Antiqua" w:eastAsia="Book Antiqua" w:hAnsi="Book Antiqua" w:cs="Book Antiqua"/>
          <w:color w:val="000000"/>
        </w:rPr>
        <w:t xml:space="preserve"> I, Samra JS, Kench JG, Lovell JA, Merrett ND, Toon CW, </w:t>
      </w:r>
      <w:proofErr w:type="spellStart"/>
      <w:r>
        <w:rPr>
          <w:rFonts w:ascii="Book Antiqua" w:eastAsia="Book Antiqua" w:hAnsi="Book Antiqua" w:cs="Book Antiqua"/>
          <w:color w:val="000000"/>
        </w:rPr>
        <w:t>Epari</w:t>
      </w:r>
      <w:proofErr w:type="spellEnd"/>
      <w:r>
        <w:rPr>
          <w:rFonts w:ascii="Book Antiqua" w:eastAsia="Book Antiqua" w:hAnsi="Book Antiqua" w:cs="Book Antiqua"/>
          <w:color w:val="000000"/>
        </w:rPr>
        <w:t xml:space="preserve"> K, Nguyen NQ, Barbour A, Zeps N, Moran-Jones K, Jamieson NB, Graham JS, Duthie F,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Hair J,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Wolfgang CL, Morgan RA, Lawlor RT,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Rusev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Salvia R, Tortora G, Mukhopadhyay D, Petersen GM; Australian Pancreatic Cancer Genome Initiative, </w:t>
      </w:r>
      <w:proofErr w:type="spellStart"/>
      <w:r>
        <w:rPr>
          <w:rFonts w:ascii="Book Antiqua" w:eastAsia="Book Antiqua" w:hAnsi="Book Antiqua" w:cs="Book Antiqua"/>
          <w:color w:val="000000"/>
        </w:rPr>
        <w:t>Munzy</w:t>
      </w:r>
      <w:proofErr w:type="spellEnd"/>
      <w:r>
        <w:rPr>
          <w:rFonts w:ascii="Book Antiqua" w:eastAsia="Book Antiqua" w:hAnsi="Book Antiqua" w:cs="Book Antiqua"/>
          <w:color w:val="000000"/>
        </w:rPr>
        <w:t xml:space="preserve"> DM, Fisher WE, Karim SA, Eshleman JR,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Grimmond</w:t>
      </w:r>
      <w:proofErr w:type="spellEnd"/>
      <w:r>
        <w:rPr>
          <w:rFonts w:ascii="Book Antiqua" w:eastAsia="Book Antiqua" w:hAnsi="Book Antiqua" w:cs="Book Antiqua"/>
          <w:color w:val="000000"/>
        </w:rPr>
        <w:t xml:space="preserve"> SM. Genomic analyses identify molecular subtypes of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531</w:t>
      </w:r>
      <w:r>
        <w:rPr>
          <w:rFonts w:ascii="Book Antiqua" w:eastAsia="Book Antiqua" w:hAnsi="Book Antiqua" w:cs="Book Antiqua"/>
          <w:color w:val="000000"/>
        </w:rPr>
        <w:t>: 47-52 [PMID: 26909576 DOI: 10.1038/nature16965]</w:t>
      </w:r>
    </w:p>
    <w:p w14:paraId="5E6DF7CB" w14:textId="77777777" w:rsidR="00A77B3E" w:rsidRDefault="002C2D2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Mizrahi JD</w:t>
      </w:r>
      <w:r>
        <w:rPr>
          <w:rFonts w:ascii="Book Antiqua" w:eastAsia="Book Antiqua" w:hAnsi="Book Antiqua" w:cs="Book Antiqua"/>
          <w:color w:val="000000"/>
        </w:rPr>
        <w:t xml:space="preserve">, Surana R, Valle JW, Shroff RT.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2008-2020 [PMID: 32593337 DOI: 10.1016/S0140-6736(20)30974-0]</w:t>
      </w:r>
    </w:p>
    <w:p w14:paraId="3BC80DEC" w14:textId="77777777" w:rsidR="00A77B3E" w:rsidRDefault="002C2D2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Ormanns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Haas M, </w:t>
      </w:r>
      <w:proofErr w:type="spellStart"/>
      <w:r>
        <w:rPr>
          <w:rFonts w:ascii="Book Antiqua" w:eastAsia="Book Antiqua" w:hAnsi="Book Antiqua" w:cs="Book Antiqua"/>
          <w:color w:val="000000"/>
        </w:rPr>
        <w:t>Baechmann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Altendorf</w:t>
      </w:r>
      <w:proofErr w:type="spellEnd"/>
      <w:r>
        <w:rPr>
          <w:rFonts w:ascii="Book Antiqua" w:eastAsia="Book Antiqua" w:hAnsi="Book Antiqua" w:cs="Book Antiqua"/>
          <w:color w:val="000000"/>
        </w:rPr>
        <w:t xml:space="preserve">-Hofmann A, Remold A, </w:t>
      </w:r>
      <w:proofErr w:type="spellStart"/>
      <w:r>
        <w:rPr>
          <w:rFonts w:ascii="Book Antiqua" w:eastAsia="Book Antiqua" w:hAnsi="Book Antiqua" w:cs="Book Antiqua"/>
          <w:color w:val="000000"/>
        </w:rPr>
        <w:t>Quietzsch</w:t>
      </w:r>
      <w:proofErr w:type="spellEnd"/>
      <w:r>
        <w:rPr>
          <w:rFonts w:ascii="Book Antiqua" w:eastAsia="Book Antiqua" w:hAnsi="Book Antiqua" w:cs="Book Antiqua"/>
          <w:color w:val="000000"/>
        </w:rPr>
        <w:t xml:space="preserve"> D, Clemens MR, Bentz M, Geissler M, </w:t>
      </w:r>
      <w:proofErr w:type="spellStart"/>
      <w:r>
        <w:rPr>
          <w:rFonts w:ascii="Book Antiqua" w:eastAsia="Book Antiqua" w:hAnsi="Book Antiqua" w:cs="Book Antiqua"/>
          <w:color w:val="000000"/>
        </w:rPr>
        <w:t>Lambertz</w:t>
      </w:r>
      <w:proofErr w:type="spellEnd"/>
      <w:r>
        <w:rPr>
          <w:rFonts w:ascii="Book Antiqua" w:eastAsia="Book Antiqua" w:hAnsi="Book Antiqua" w:cs="Book Antiqua"/>
          <w:color w:val="000000"/>
        </w:rPr>
        <w:t xml:space="preserve"> H, Kruger S, Kirchner T, Heinemann V,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Impact of SPARC expression on outcome in patients with advanced pancreatic cancer not receiving nab-paclitaxel: a pooled analysis from prospective clinical and translational trials.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1520-1529 [PMID: 27802454 DOI: 10.1038/bjc.2016.355]</w:t>
      </w:r>
    </w:p>
    <w:p w14:paraId="04CAF526" w14:textId="77777777" w:rsidR="00A77B3E" w:rsidRDefault="002C2D2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Hidalgo M</w:t>
      </w:r>
      <w:r>
        <w:rPr>
          <w:rFonts w:ascii="Book Antiqua" w:eastAsia="Book Antiqua" w:hAnsi="Book Antiqua" w:cs="Book Antiqua"/>
          <w:color w:val="000000"/>
        </w:rPr>
        <w:t xml:space="preserve">, Plaza C, </w:t>
      </w:r>
      <w:proofErr w:type="spellStart"/>
      <w:r>
        <w:rPr>
          <w:rFonts w:ascii="Book Antiqua" w:eastAsia="Book Antiqua" w:hAnsi="Book Antiqua" w:cs="Book Antiqua"/>
          <w:color w:val="000000"/>
        </w:rPr>
        <w:t>Musteanu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Illei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Brachmann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C, Pierce D, Lopez-Casas PP, Menendez C,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Romano A, Wei X, Lopez-Rios F, Von Hoff DD. SPARC Expression Did Not Predict Efficacy of nab-Paclitaxel plus Gemcitabine or </w:t>
      </w:r>
      <w:r>
        <w:rPr>
          <w:rFonts w:ascii="Book Antiqua" w:eastAsia="Book Antiqua" w:hAnsi="Book Antiqua" w:cs="Book Antiqua"/>
          <w:color w:val="000000"/>
        </w:rPr>
        <w:lastRenderedPageBreak/>
        <w:t xml:space="preserve">Gemcitabine Alone for Metastatic Pancreatic Cancer in an Exploratory Analysis of the Phase III MPACT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4811-4818 [PMID: 26169969 DOI: 10.1158/1078-0432.CCR-14-3222]</w:t>
      </w:r>
    </w:p>
    <w:p w14:paraId="792B612F" w14:textId="77777777" w:rsidR="00A77B3E" w:rsidRDefault="002C2D2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Andersson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Aho</w:t>
      </w:r>
      <w:proofErr w:type="spellEnd"/>
      <w:r>
        <w:rPr>
          <w:rFonts w:ascii="Book Antiqua" w:eastAsia="Book Antiqua" w:hAnsi="Book Antiqua" w:cs="Book Antiqua"/>
          <w:color w:val="000000"/>
        </w:rPr>
        <w:t xml:space="preserve"> U, Nilsson BI, Peters GJ, Pastor-</w:t>
      </w:r>
      <w:proofErr w:type="spellStart"/>
      <w:r>
        <w:rPr>
          <w:rFonts w:ascii="Book Antiqua" w:eastAsia="Book Antiqua" w:hAnsi="Book Antiqua" w:cs="Book Antiqua"/>
          <w:color w:val="000000"/>
        </w:rPr>
        <w:t>Anglada</w:t>
      </w:r>
      <w:proofErr w:type="spellEnd"/>
      <w:r>
        <w:rPr>
          <w:rFonts w:ascii="Book Antiqua" w:eastAsia="Book Antiqua" w:hAnsi="Book Antiqua" w:cs="Book Antiqua"/>
          <w:color w:val="000000"/>
        </w:rPr>
        <w:t xml:space="preserve"> M, Rasch W, </w:t>
      </w:r>
      <w:proofErr w:type="spellStart"/>
      <w:r>
        <w:rPr>
          <w:rFonts w:ascii="Book Antiqua" w:eastAsia="Book Antiqua" w:hAnsi="Book Antiqua" w:cs="Book Antiqua"/>
          <w:color w:val="000000"/>
        </w:rPr>
        <w:t>Sandvold</w:t>
      </w:r>
      <w:proofErr w:type="spellEnd"/>
      <w:r>
        <w:rPr>
          <w:rFonts w:ascii="Book Antiqua" w:eastAsia="Book Antiqua" w:hAnsi="Book Antiqua" w:cs="Book Antiqua"/>
          <w:color w:val="000000"/>
        </w:rPr>
        <w:t xml:space="preserve"> ML. Gemcitabine chemoresistance in pancreatic cancer: molecular mechanisms and potential solutions.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782-786 [PMID: 19214867 DOI: 10.1080/00365520902745039]</w:t>
      </w:r>
    </w:p>
    <w:p w14:paraId="103C32A0" w14:textId="77777777" w:rsidR="00A77B3E" w:rsidRDefault="002C2D2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Mori R</w:t>
      </w:r>
      <w:r>
        <w:rPr>
          <w:rFonts w:ascii="Book Antiqua" w:eastAsia="Book Antiqua" w:hAnsi="Book Antiqua" w:cs="Book Antiqua"/>
          <w:color w:val="000000"/>
        </w:rPr>
        <w:t xml:space="preserve">, Ishikawa T, Ichikawa Y, Taniguchi K, Matsuyama R, Ueda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Endo I, Togo S,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PV, Shimada H. Human </w:t>
      </w:r>
      <w:proofErr w:type="spellStart"/>
      <w:r>
        <w:rPr>
          <w:rFonts w:ascii="Book Antiqua" w:eastAsia="Book Antiqua" w:hAnsi="Book Antiqua" w:cs="Book Antiqua"/>
          <w:color w:val="000000"/>
        </w:rPr>
        <w:t>equilibrative</w:t>
      </w:r>
      <w:proofErr w:type="spellEnd"/>
      <w:r>
        <w:rPr>
          <w:rFonts w:ascii="Book Antiqua" w:eastAsia="Book Antiqua" w:hAnsi="Book Antiqua" w:cs="Book Antiqua"/>
          <w:color w:val="000000"/>
        </w:rPr>
        <w:t xml:space="preserve"> nucleoside transporter 1 is associated with the chemosensitivity of gemcitabine in human pancreatic adenocarcinoma and biliary tract 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1201-1205 [PMID: 17390066 DOI: 10.3892/or.17.5.1201]</w:t>
      </w:r>
    </w:p>
    <w:p w14:paraId="706EE2FD" w14:textId="77777777" w:rsidR="00A77B3E" w:rsidRDefault="002C2D2E">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Mackey JR</w:t>
      </w:r>
      <w:r>
        <w:rPr>
          <w:rFonts w:ascii="Book Antiqua" w:eastAsia="Book Antiqua" w:hAnsi="Book Antiqua" w:cs="Book Antiqua"/>
          <w:color w:val="000000"/>
        </w:rPr>
        <w:t xml:space="preserve">, Mani RS, </w:t>
      </w:r>
      <w:proofErr w:type="spellStart"/>
      <w:r>
        <w:rPr>
          <w:rFonts w:ascii="Book Antiqua" w:eastAsia="Book Antiqua" w:hAnsi="Book Antiqua" w:cs="Book Antiqua"/>
          <w:color w:val="000000"/>
        </w:rPr>
        <w:t>Selner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Mowles</w:t>
      </w:r>
      <w:proofErr w:type="spellEnd"/>
      <w:r>
        <w:rPr>
          <w:rFonts w:ascii="Book Antiqua" w:eastAsia="Book Antiqua" w:hAnsi="Book Antiqua" w:cs="Book Antiqua"/>
          <w:color w:val="000000"/>
        </w:rPr>
        <w:t xml:space="preserve"> D, Young JD, Belt JA, Crawford CR, Cass CE. Functional nucleoside transporters are required for gemcitabine influx and manifestation of toxicity in cancer cell lines.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4349-4357 [PMID: 9766663]</w:t>
      </w:r>
    </w:p>
    <w:p w14:paraId="6906ECF5" w14:textId="77777777" w:rsidR="00A77B3E" w:rsidRDefault="002C2D2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Bird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Elmasry</w:t>
      </w:r>
      <w:proofErr w:type="spellEnd"/>
      <w:r>
        <w:rPr>
          <w:rFonts w:ascii="Book Antiqua" w:eastAsia="Book Antiqua" w:hAnsi="Book Antiqua" w:cs="Book Antiqua"/>
          <w:color w:val="000000"/>
        </w:rPr>
        <w:t xml:space="preserve"> M, Jones R, </w:t>
      </w:r>
      <w:proofErr w:type="spellStart"/>
      <w:r>
        <w:rPr>
          <w:rFonts w:ascii="Book Antiqua" w:eastAsia="Book Antiqua" w:hAnsi="Book Antiqua" w:cs="Book Antiqua"/>
          <w:color w:val="000000"/>
        </w:rPr>
        <w:t>Psarelli</w:t>
      </w:r>
      <w:proofErr w:type="spellEnd"/>
      <w:r>
        <w:rPr>
          <w:rFonts w:ascii="Book Antiqua" w:eastAsia="Book Antiqua" w:hAnsi="Book Antiqua" w:cs="Book Antiqua"/>
          <w:color w:val="000000"/>
        </w:rPr>
        <w:t xml:space="preserve"> E, Dodd J, Malik H,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Kitteringham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Palmer D. Immunohistochemical hENT1 expression as a prognostic biomarker in patients with resected pancreatic ductal adenocarcinoma undergoing adjuvant gemcitabine-based chemotherapy.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328-336 [PMID: 28199010 DOI: 10.1002/bjs.10482]</w:t>
      </w:r>
    </w:p>
    <w:p w14:paraId="49BD6651" w14:textId="77777777" w:rsidR="00A77B3E" w:rsidRDefault="002C2D2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Poplin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Rolfe L, </w:t>
      </w:r>
      <w:proofErr w:type="spellStart"/>
      <w:r>
        <w:rPr>
          <w:rFonts w:ascii="Book Antiqua" w:eastAsia="Book Antiqua" w:hAnsi="Book Antiqua" w:cs="Book Antiqua"/>
          <w:color w:val="000000"/>
        </w:rPr>
        <w:t>Raponi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Ikdahl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Bondarenko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Davidenko</w:t>
      </w:r>
      <w:proofErr w:type="spellEnd"/>
      <w:r>
        <w:rPr>
          <w:rFonts w:ascii="Book Antiqua" w:eastAsia="Book Antiqua" w:hAnsi="Book Antiqua" w:cs="Book Antiqua"/>
          <w:color w:val="000000"/>
        </w:rPr>
        <w:t xml:space="preserve"> I, Bondar V, </w:t>
      </w:r>
      <w:proofErr w:type="spellStart"/>
      <w:r>
        <w:rPr>
          <w:rFonts w:ascii="Book Antiqua" w:eastAsia="Book Antiqua" w:hAnsi="Book Antiqua" w:cs="Book Antiqua"/>
          <w:color w:val="000000"/>
        </w:rPr>
        <w:t>Garin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Heinemann V,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Evans TR, Andersson R, Hahn H,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 Dicker A, Mann E, Voong C, Kaur P, Isaacson J, Allen A. Randomized, multicenter, phase II study of CO-101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in patients with metastatic pancreatic ductal adenocarcinoma: including a prospective evaluation of the role of hENT1 in gemcitabine or CO-101 sensitivity.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4453-4461 [PMID: 24220555 DOI: 10.1200/JCO.2013.51.0826]</w:t>
      </w:r>
    </w:p>
    <w:p w14:paraId="020B202D" w14:textId="77777777" w:rsidR="00A77B3E" w:rsidRDefault="002C2D2E">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Mayers</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Wu C, Clish CB, Kraft P, </w:t>
      </w:r>
      <w:proofErr w:type="spellStart"/>
      <w:r>
        <w:rPr>
          <w:rFonts w:ascii="Book Antiqua" w:eastAsia="Book Antiqua" w:hAnsi="Book Antiqua" w:cs="Book Antiqua"/>
          <w:color w:val="000000"/>
        </w:rPr>
        <w:t>Torrence</w:t>
      </w:r>
      <w:proofErr w:type="spellEnd"/>
      <w:r>
        <w:rPr>
          <w:rFonts w:ascii="Book Antiqua" w:eastAsia="Book Antiqua" w:hAnsi="Book Antiqua" w:cs="Book Antiqua"/>
          <w:color w:val="000000"/>
        </w:rPr>
        <w:t xml:space="preserve"> ME, Fiske BP, Yuan C, Bao Y, Townsend MK, </w:t>
      </w:r>
      <w:proofErr w:type="spellStart"/>
      <w:r>
        <w:rPr>
          <w:rFonts w:ascii="Book Antiqua" w:eastAsia="Book Antiqua" w:hAnsi="Book Antiqua" w:cs="Book Antiqua"/>
          <w:color w:val="000000"/>
        </w:rPr>
        <w:t>Tworoger</w:t>
      </w:r>
      <w:proofErr w:type="spellEnd"/>
      <w:r>
        <w:rPr>
          <w:rFonts w:ascii="Book Antiqua" w:eastAsia="Book Antiqua" w:hAnsi="Book Antiqua" w:cs="Book Antiqua"/>
          <w:color w:val="000000"/>
        </w:rPr>
        <w:t xml:space="preserve"> SS, Davidson SM, </w:t>
      </w:r>
      <w:proofErr w:type="spellStart"/>
      <w:r>
        <w:rPr>
          <w:rFonts w:ascii="Book Antiqua" w:eastAsia="Book Antiqua" w:hAnsi="Book Antiqua" w:cs="Book Antiqua"/>
          <w:color w:val="000000"/>
        </w:rPr>
        <w:t>Papagiannakopoulos</w:t>
      </w:r>
      <w:proofErr w:type="spellEnd"/>
      <w:r>
        <w:rPr>
          <w:rFonts w:ascii="Book Antiqua" w:eastAsia="Book Antiqua" w:hAnsi="Book Antiqua" w:cs="Book Antiqua"/>
          <w:color w:val="000000"/>
        </w:rPr>
        <w:t xml:space="preserve"> T, Yang A, Dayton TL, Ogino S,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Qian ZR,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Ma J,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Cochrane BB, Liu S, </w:t>
      </w:r>
      <w:proofErr w:type="spellStart"/>
      <w:r>
        <w:rPr>
          <w:rFonts w:ascii="Book Antiqua" w:eastAsia="Book Antiqua" w:hAnsi="Book Antiqua" w:cs="Book Antiqua"/>
          <w:color w:val="000000"/>
        </w:rPr>
        <w:t>Wactawski</w:t>
      </w:r>
      <w:proofErr w:type="spellEnd"/>
      <w:r>
        <w:rPr>
          <w:rFonts w:ascii="Book Antiqua" w:eastAsia="Book Antiqua" w:hAnsi="Book Antiqua" w:cs="Book Antiqua"/>
          <w:color w:val="000000"/>
        </w:rPr>
        <w:t xml:space="preserve">-Wende J, Manson JE, Pollak MN, Kimmelman AC, Souza A, Pierce K, Wang TJ, </w:t>
      </w:r>
      <w:proofErr w:type="spellStart"/>
      <w:r>
        <w:rPr>
          <w:rFonts w:ascii="Book Antiqua" w:eastAsia="Book Antiqua" w:hAnsi="Book Antiqua" w:cs="Book Antiqua"/>
          <w:color w:val="000000"/>
        </w:rPr>
        <w:t>Gerszten</w:t>
      </w:r>
      <w:proofErr w:type="spellEnd"/>
      <w:r>
        <w:rPr>
          <w:rFonts w:ascii="Book Antiqua" w:eastAsia="Book Antiqua" w:hAnsi="Book Antiqua" w:cs="Book Antiqua"/>
          <w:color w:val="000000"/>
        </w:rPr>
        <w:t xml:space="preserve"> RE, Fuchs CS, Vander </w:t>
      </w:r>
      <w:proofErr w:type="spellStart"/>
      <w:r>
        <w:rPr>
          <w:rFonts w:ascii="Book Antiqua" w:eastAsia="Book Antiqua" w:hAnsi="Book Antiqua" w:cs="Book Antiqua"/>
          <w:color w:val="000000"/>
        </w:rPr>
        <w:t>Heiden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Elevation of circulating branched-chain amino acids is an early event in human pancreatic adenocarcinoma development.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1193-1198 [PMID: 25261994 DOI: 10.1038/nm.3686]</w:t>
      </w:r>
    </w:p>
    <w:p w14:paraId="7FDDFD4A" w14:textId="77777777" w:rsidR="00A77B3E" w:rsidRDefault="002C2D2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Ding Z</w:t>
      </w:r>
      <w:r>
        <w:rPr>
          <w:rFonts w:ascii="Book Antiqua" w:eastAsia="Book Antiqua" w:hAnsi="Book Antiqua" w:cs="Book Antiqua"/>
          <w:color w:val="000000"/>
        </w:rPr>
        <w:t xml:space="preserve">, Wu H, Zhang J, Huang G, Ji D. MicroRNAs as novel biomarkers for pancreatic cancer diagnosis: a meta-analysis based on 18 articles.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8837-8848 [PMID: 24880590 DOI: 10.1007/s13277-014-2133-4]</w:t>
      </w:r>
    </w:p>
    <w:p w14:paraId="024B00C4" w14:textId="77777777" w:rsidR="00A77B3E" w:rsidRDefault="002C2D2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Schultz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Dehlendorff</w:t>
      </w:r>
      <w:proofErr w:type="spellEnd"/>
      <w:r>
        <w:rPr>
          <w:rFonts w:ascii="Book Antiqua" w:eastAsia="Book Antiqua" w:hAnsi="Book Antiqua" w:cs="Book Antiqua"/>
          <w:color w:val="000000"/>
        </w:rPr>
        <w:t xml:space="preserve"> C, Jensen BV, </w:t>
      </w:r>
      <w:proofErr w:type="spellStart"/>
      <w:r>
        <w:rPr>
          <w:rFonts w:ascii="Book Antiqua" w:eastAsia="Book Antiqua" w:hAnsi="Book Antiqua" w:cs="Book Antiqua"/>
          <w:color w:val="000000"/>
        </w:rPr>
        <w:t>Bjerregaard</w:t>
      </w:r>
      <w:proofErr w:type="spellEnd"/>
      <w:r>
        <w:rPr>
          <w:rFonts w:ascii="Book Antiqua" w:eastAsia="Book Antiqua" w:hAnsi="Book Antiqua" w:cs="Book Antiqua"/>
          <w:color w:val="000000"/>
        </w:rPr>
        <w:t xml:space="preserve"> JK, Nielsen KR, </w:t>
      </w:r>
      <w:proofErr w:type="spellStart"/>
      <w:r>
        <w:rPr>
          <w:rFonts w:ascii="Book Antiqua" w:eastAsia="Book Antiqua" w:hAnsi="Book Antiqua" w:cs="Book Antiqua"/>
          <w:color w:val="000000"/>
        </w:rPr>
        <w:t>Bojesen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Calatayud</w:t>
      </w:r>
      <w:proofErr w:type="spellEnd"/>
      <w:r>
        <w:rPr>
          <w:rFonts w:ascii="Book Antiqua" w:eastAsia="Book Antiqua" w:hAnsi="Book Antiqua" w:cs="Book Antiqua"/>
          <w:color w:val="000000"/>
        </w:rPr>
        <w:t xml:space="preserve"> D, Nielsen SE, Yilmaz M, </w:t>
      </w:r>
      <w:proofErr w:type="spellStart"/>
      <w:r>
        <w:rPr>
          <w:rFonts w:ascii="Book Antiqua" w:eastAsia="Book Antiqua" w:hAnsi="Book Antiqua" w:cs="Book Antiqua"/>
          <w:color w:val="000000"/>
        </w:rPr>
        <w:t>Holländer</w:t>
      </w:r>
      <w:proofErr w:type="spellEnd"/>
      <w:r>
        <w:rPr>
          <w:rFonts w:ascii="Book Antiqua" w:eastAsia="Book Antiqua" w:hAnsi="Book Antiqua" w:cs="Book Antiqua"/>
          <w:color w:val="000000"/>
        </w:rPr>
        <w:t xml:space="preserve"> NH, Andersen KK, Johansen JS. MicroRNA biomarkers in whole blood for detection of pancreatic cancer.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311</w:t>
      </w:r>
      <w:r>
        <w:rPr>
          <w:rFonts w:ascii="Book Antiqua" w:eastAsia="Book Antiqua" w:hAnsi="Book Antiqua" w:cs="Book Antiqua"/>
          <w:color w:val="000000"/>
        </w:rPr>
        <w:t>: 392-404 [PMID: 24449318 DOI: 10.1001/jama.2013.284664]</w:t>
      </w:r>
    </w:p>
    <w:p w14:paraId="12691395" w14:textId="77777777" w:rsidR="00A77B3E" w:rsidRDefault="002C2D2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Amer AM</w:t>
      </w:r>
      <w:r>
        <w:rPr>
          <w:rFonts w:ascii="Book Antiqua" w:eastAsia="Book Antiqua" w:hAnsi="Book Antiqua" w:cs="Book Antiqua"/>
          <w:color w:val="000000"/>
        </w:rPr>
        <w:t xml:space="preserve">, Zaid M, Chaudhury B, </w:t>
      </w:r>
      <w:proofErr w:type="spellStart"/>
      <w:r>
        <w:rPr>
          <w:rFonts w:ascii="Book Antiqua" w:eastAsia="Book Antiqua" w:hAnsi="Book Antiqua" w:cs="Book Antiqua"/>
          <w:color w:val="000000"/>
        </w:rPr>
        <w:t>Elganainy</w:t>
      </w:r>
      <w:proofErr w:type="spellEnd"/>
      <w:r>
        <w:rPr>
          <w:rFonts w:ascii="Book Antiqua" w:eastAsia="Book Antiqua" w:hAnsi="Book Antiqua" w:cs="Book Antiqua"/>
          <w:color w:val="000000"/>
        </w:rPr>
        <w:t xml:space="preserve"> D, Lee Y, Wilke CT, Cloyd J, Wang H, Maitra A, Wolff RA,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 Overman MJ, Lee JE, Fleming JB, Tzeng CW, Katz MH, Holliday EB, Krishnan S, Minsky BD, Herman JM, Taniguchi CM, Das P, Crane CH, Le O, Bhosale P, Tamm EP,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Imaging-based biomarkers: Changes in the tumor interface of pancreatic ductal adenocarcinoma on computed tomography scans indicate response to cytotoxic 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1701-1709 [PMID: 29370450 DOI: 10.1002/cncr.31251]</w:t>
      </w:r>
    </w:p>
    <w:p w14:paraId="6420ED55" w14:textId="77777777" w:rsidR="00A77B3E" w:rsidRDefault="002C2D2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Dasgupta A</w:t>
      </w:r>
      <w:r>
        <w:rPr>
          <w:rFonts w:ascii="Book Antiqua" w:eastAsia="Book Antiqua" w:hAnsi="Book Antiqua" w:cs="Book Antiqua"/>
          <w:color w:val="000000"/>
        </w:rPr>
        <w:t xml:space="preserve">, Lim AR, </w:t>
      </w:r>
      <w:proofErr w:type="spellStart"/>
      <w:r>
        <w:rPr>
          <w:rFonts w:ascii="Book Antiqua" w:eastAsia="Book Antiqua" w:hAnsi="Book Antiqua" w:cs="Book Antiqua"/>
          <w:color w:val="000000"/>
        </w:rPr>
        <w:t>Ghajar</w:t>
      </w:r>
      <w:proofErr w:type="spellEnd"/>
      <w:r>
        <w:rPr>
          <w:rFonts w:ascii="Book Antiqua" w:eastAsia="Book Antiqua" w:hAnsi="Book Antiqua" w:cs="Book Antiqua"/>
          <w:color w:val="000000"/>
        </w:rPr>
        <w:t xml:space="preserve"> CM. Circulating and disseminated tumor cells: harbingers or initiators of metastasis?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40-61 [PMID: 28085223 DOI: 10.1002/1878-0261.12022]</w:t>
      </w:r>
    </w:p>
    <w:p w14:paraId="5E3DBB2E" w14:textId="77777777" w:rsidR="00A77B3E" w:rsidRDefault="002C2D2E">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Pantel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Alix-</w:t>
      </w:r>
      <w:proofErr w:type="spellStart"/>
      <w:r>
        <w:rPr>
          <w:rFonts w:ascii="Book Antiqua" w:eastAsia="Book Antiqua" w:hAnsi="Book Antiqua" w:cs="Book Antiqua"/>
          <w:color w:val="000000"/>
        </w:rPr>
        <w:t>Panabières</w:t>
      </w:r>
      <w:proofErr w:type="spellEnd"/>
      <w:r>
        <w:rPr>
          <w:rFonts w:ascii="Book Antiqua" w:eastAsia="Book Antiqua" w:hAnsi="Book Antiqua" w:cs="Book Antiqua"/>
          <w:color w:val="000000"/>
        </w:rPr>
        <w:t xml:space="preserve"> C.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in cancer patients: challenges and perspectives.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398-406 [PMID: 20667783 DOI: 10.1016/j.molmed.2010.07.001]</w:t>
      </w:r>
    </w:p>
    <w:p w14:paraId="0142C3BC" w14:textId="77777777" w:rsidR="00A77B3E" w:rsidRDefault="002C2D2E">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Wei T</w:t>
      </w:r>
      <w:r>
        <w:rPr>
          <w:rFonts w:ascii="Book Antiqua" w:eastAsia="Book Antiqua" w:hAnsi="Book Antiqua" w:cs="Book Antiqua"/>
          <w:color w:val="000000"/>
        </w:rPr>
        <w:t xml:space="preserve">, Zhang Q, Li X, Su W, Li G, Ma T, Gao S, Lou J, Que R, Zheng L, Bai X, Liang T. Monitoring Tumor Burden in Response to FOLFIRINOX Chemotherapy Via Profiling Circulating Cell-Free DNA in Pancreatic Cancer.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196-203 [PMID: 30301865 DOI: 10.1158/1535-7163.MCT-17-1298]</w:t>
      </w:r>
    </w:p>
    <w:p w14:paraId="795BA59C" w14:textId="77777777" w:rsidR="00A77B3E" w:rsidRDefault="002C2D2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Gemenetzis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Groot VP, Yu J, Ding D, </w:t>
      </w:r>
      <w:proofErr w:type="spellStart"/>
      <w:r>
        <w:rPr>
          <w:rFonts w:ascii="Book Antiqua" w:eastAsia="Book Antiqua" w:hAnsi="Book Antiqua" w:cs="Book Antiqua"/>
          <w:color w:val="000000"/>
        </w:rPr>
        <w:t>Teinor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Wood LD, Burkhart RA, Cameron JL,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MA, Weiss MJ, He J, Wolfgang CL. Circulating Tumor Cells Dynamics in Pancreatic Adenocarcinoma Correlate With Disease Status: Results of the Prospective CLUSTER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408-420 [PMID: 30080739 DOI: 10.1097/SLA.0000000000002925]</w:t>
      </w:r>
    </w:p>
    <w:p w14:paraId="4BED5938" w14:textId="77777777" w:rsidR="00A77B3E" w:rsidRDefault="002C2D2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Tsung A, Hays J, Wills CE, Bridges JF. Neoadjuvant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ductal adenocarcinoma: The need for patient-centered research.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375-382 [PMID: 32063686 DOI: 10.3748/wjg.v26.i4.375]</w:t>
      </w:r>
    </w:p>
    <w:p w14:paraId="6B848EFC" w14:textId="77777777" w:rsidR="00A77B3E" w:rsidRDefault="002C2D2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Ngo-Huang A</w:t>
      </w:r>
      <w:r>
        <w:rPr>
          <w:rFonts w:ascii="Book Antiqua" w:eastAsia="Book Antiqua" w:hAnsi="Book Antiqua" w:cs="Book Antiqua"/>
          <w:color w:val="000000"/>
        </w:rPr>
        <w:t xml:space="preserve">, Parker NH, </w:t>
      </w:r>
      <w:proofErr w:type="spellStart"/>
      <w:r>
        <w:rPr>
          <w:rFonts w:ascii="Book Antiqua" w:eastAsia="Book Antiqua" w:hAnsi="Book Antiqua" w:cs="Book Antiqua"/>
          <w:color w:val="000000"/>
        </w:rPr>
        <w:t>Bruera</w:t>
      </w:r>
      <w:proofErr w:type="spellEnd"/>
      <w:r>
        <w:rPr>
          <w:rFonts w:ascii="Book Antiqua" w:eastAsia="Book Antiqua" w:hAnsi="Book Antiqua" w:cs="Book Antiqua"/>
          <w:color w:val="000000"/>
        </w:rPr>
        <w:t xml:space="preserve"> E, Lee RE, Simpson R, O'Connor DP, </w:t>
      </w:r>
      <w:proofErr w:type="spellStart"/>
      <w:r>
        <w:rPr>
          <w:rFonts w:ascii="Book Antiqua" w:eastAsia="Book Antiqua" w:hAnsi="Book Antiqua" w:cs="Book Antiqua"/>
          <w:color w:val="000000"/>
        </w:rPr>
        <w:t>Petzel</w:t>
      </w:r>
      <w:proofErr w:type="spellEnd"/>
      <w:r>
        <w:rPr>
          <w:rFonts w:ascii="Book Antiqua" w:eastAsia="Book Antiqua" w:hAnsi="Book Antiqua" w:cs="Book Antiqua"/>
          <w:color w:val="000000"/>
        </w:rPr>
        <w:t xml:space="preserve"> MQB, </w:t>
      </w:r>
      <w:proofErr w:type="spellStart"/>
      <w:r>
        <w:rPr>
          <w:rFonts w:ascii="Book Antiqua" w:eastAsia="Book Antiqua" w:hAnsi="Book Antiqua" w:cs="Book Antiqua"/>
          <w:color w:val="000000"/>
        </w:rPr>
        <w:t>Fontillas</w:t>
      </w:r>
      <w:proofErr w:type="spellEnd"/>
      <w:r>
        <w:rPr>
          <w:rFonts w:ascii="Book Antiqua" w:eastAsia="Book Antiqua" w:hAnsi="Book Antiqua" w:cs="Book Antiqua"/>
          <w:color w:val="000000"/>
        </w:rPr>
        <w:t xml:space="preserve"> RC, Schadler K, Xiao L, Wang X, Fogelman D, Sahai SK, Lee JE, </w:t>
      </w:r>
      <w:proofErr w:type="spellStart"/>
      <w:r>
        <w:rPr>
          <w:rFonts w:ascii="Book Antiqua" w:eastAsia="Book Antiqua" w:hAnsi="Book Antiqua" w:cs="Book Antiqua"/>
          <w:color w:val="000000"/>
        </w:rPr>
        <w:t>Basen-Engquist</w:t>
      </w:r>
      <w:proofErr w:type="spellEnd"/>
      <w:r>
        <w:rPr>
          <w:rFonts w:ascii="Book Antiqua" w:eastAsia="Book Antiqua" w:hAnsi="Book Antiqua" w:cs="Book Antiqua"/>
          <w:color w:val="000000"/>
        </w:rPr>
        <w:t xml:space="preserve"> K, Katz MHG. Home-Based Exercise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During Preoperative Treatment for Pancreatic Cancer Is Associated With Improvement in Physical Function and Quality of Life.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1534735419894061 [PMID: 31858837 DOI: 10.1177/1534735419894061]</w:t>
      </w:r>
    </w:p>
    <w:p w14:paraId="576E4AFD" w14:textId="77777777" w:rsidR="00A77B3E" w:rsidRDefault="002C2D2E">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Jabłońska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Mrowiec S. The Role of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in Patients Undergoing Pancreaticoduodenectomy.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32842475 DOI: 10.3390/nu12092547]</w:t>
      </w:r>
    </w:p>
    <w:p w14:paraId="3D3FA60D" w14:textId="77777777" w:rsidR="00A77B3E" w:rsidRDefault="002C2D2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Cloyd JM</w:t>
      </w:r>
      <w:r>
        <w:rPr>
          <w:rFonts w:ascii="Book Antiqua" w:eastAsia="Book Antiqua" w:hAnsi="Book Antiqua" w:cs="Book Antiqua"/>
          <w:color w:val="000000"/>
        </w:rPr>
        <w:t xml:space="preserve">, Hyman S, </w:t>
      </w:r>
      <w:proofErr w:type="spellStart"/>
      <w:r>
        <w:rPr>
          <w:rFonts w:ascii="Book Antiqua" w:eastAsia="Book Antiqua" w:hAnsi="Book Antiqua" w:cs="Book Antiqua"/>
          <w:color w:val="000000"/>
        </w:rPr>
        <w:t>Huwig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Monsour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Santry</w:t>
      </w:r>
      <w:proofErr w:type="spellEnd"/>
      <w:r>
        <w:rPr>
          <w:rFonts w:ascii="Book Antiqua" w:eastAsia="Book Antiqua" w:hAnsi="Book Antiqua" w:cs="Book Antiqua"/>
          <w:color w:val="000000"/>
        </w:rPr>
        <w:t xml:space="preserve"> H, Wills C, Tsung A, Bridges JFP. Patient experience and quality of life during neoadjuvant therapy for pancreatic cancer: a systematic review and study protocol.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3009-3016 [PMID: 33030596 DOI: 10.1007/s00520-020-05813-2]</w:t>
      </w:r>
    </w:p>
    <w:p w14:paraId="4DD207E7" w14:textId="77777777" w:rsidR="00A77B3E" w:rsidRDefault="002C2D2E">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Basch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Deal AM, Dueck AC,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HI, Kris MG,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Overall Survival Results of a Trial Assessing Patient-Reported Outcomes for Symptom Monitoring During Routine Cancer Treatment.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197-198 [PMID: 28586821 DOI: 10.1001/jama.2017.7156]</w:t>
      </w:r>
    </w:p>
    <w:bookmarkEnd w:id="5"/>
    <w:p w14:paraId="0D86183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C5AB929" w14:textId="77777777" w:rsidR="00A77B3E" w:rsidRDefault="002C2D2E">
      <w:pPr>
        <w:spacing w:line="360" w:lineRule="auto"/>
        <w:jc w:val="both"/>
      </w:pPr>
      <w:r>
        <w:rPr>
          <w:rFonts w:ascii="Book Antiqua" w:eastAsia="Book Antiqua" w:hAnsi="Book Antiqua" w:cs="Book Antiqua"/>
          <w:b/>
          <w:color w:val="000000"/>
        </w:rPr>
        <w:lastRenderedPageBreak/>
        <w:t>Footnotes</w:t>
      </w:r>
    </w:p>
    <w:p w14:paraId="6F7E3DEC" w14:textId="77777777" w:rsidR="00A77B3E" w:rsidRDefault="002C2D2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conflict-of-interest.</w:t>
      </w:r>
    </w:p>
    <w:p w14:paraId="591A7374" w14:textId="77777777" w:rsidR="00A77B3E" w:rsidRDefault="00A77B3E">
      <w:pPr>
        <w:spacing w:line="360" w:lineRule="auto"/>
        <w:jc w:val="both"/>
      </w:pPr>
    </w:p>
    <w:p w14:paraId="66CC188F" w14:textId="77777777" w:rsidR="00A77B3E" w:rsidRDefault="002C2D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D7039C" w14:textId="77777777" w:rsidR="00A77B3E" w:rsidRDefault="00A77B3E">
      <w:pPr>
        <w:spacing w:line="360" w:lineRule="auto"/>
        <w:jc w:val="both"/>
      </w:pPr>
    </w:p>
    <w:p w14:paraId="59B25375" w14:textId="77777777" w:rsidR="00A77B3E" w:rsidRDefault="002C2D2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B270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9389CE7" w14:textId="77777777" w:rsidR="00A77B3E" w:rsidRDefault="00A77B3E">
      <w:pPr>
        <w:spacing w:line="360" w:lineRule="auto"/>
        <w:jc w:val="both"/>
      </w:pPr>
    </w:p>
    <w:p w14:paraId="7BE804E2" w14:textId="77777777" w:rsidR="00A77B3E" w:rsidRDefault="002C2D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0F10506F" w14:textId="77777777" w:rsidR="00A77B3E" w:rsidRDefault="002C2D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7FEA6F63" w14:textId="77777777" w:rsidR="00A77B3E" w:rsidRDefault="002C2D2E">
      <w:pPr>
        <w:spacing w:line="360" w:lineRule="auto"/>
        <w:jc w:val="both"/>
      </w:pPr>
      <w:r>
        <w:rPr>
          <w:rFonts w:ascii="Book Antiqua" w:eastAsia="Book Antiqua" w:hAnsi="Book Antiqua" w:cs="Book Antiqua"/>
          <w:b/>
          <w:color w:val="000000"/>
        </w:rPr>
        <w:t xml:space="preserve">Article in press: </w:t>
      </w:r>
    </w:p>
    <w:p w14:paraId="5FC02A97" w14:textId="77777777" w:rsidR="00A77B3E" w:rsidRDefault="00A77B3E">
      <w:pPr>
        <w:spacing w:line="360" w:lineRule="auto"/>
        <w:jc w:val="both"/>
      </w:pPr>
    </w:p>
    <w:p w14:paraId="6A2EC5FC" w14:textId="77777777" w:rsidR="00A77B3E" w:rsidRDefault="002C2D2E">
      <w:pPr>
        <w:spacing w:line="360" w:lineRule="auto"/>
        <w:jc w:val="both"/>
      </w:pPr>
      <w:r>
        <w:rPr>
          <w:rFonts w:ascii="Book Antiqua" w:eastAsia="Book Antiqua" w:hAnsi="Book Antiqua" w:cs="Book Antiqua"/>
          <w:b/>
          <w:color w:val="000000"/>
        </w:rPr>
        <w:t xml:space="preserve">Specialty type: </w:t>
      </w:r>
      <w:r w:rsidR="002B2702" w:rsidRPr="00E700C2">
        <w:rPr>
          <w:rFonts w:ascii="Book Antiqua" w:eastAsia="微软雅黑" w:hAnsi="Book Antiqua" w:cs="宋体"/>
        </w:rPr>
        <w:t>Gastroenterology and hepatology</w:t>
      </w:r>
    </w:p>
    <w:p w14:paraId="1F6E3A4D" w14:textId="77777777" w:rsidR="00A77B3E" w:rsidRDefault="002C2D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2BF6912" w14:textId="77777777" w:rsidR="00A77B3E" w:rsidRDefault="002C2D2E">
      <w:pPr>
        <w:spacing w:line="360" w:lineRule="auto"/>
        <w:jc w:val="both"/>
      </w:pPr>
      <w:r>
        <w:rPr>
          <w:rFonts w:ascii="Book Antiqua" w:eastAsia="Book Antiqua" w:hAnsi="Book Antiqua" w:cs="Book Antiqua"/>
          <w:b/>
          <w:color w:val="000000"/>
        </w:rPr>
        <w:t>Peer-review report’s scientific quality classification</w:t>
      </w:r>
    </w:p>
    <w:p w14:paraId="642ED438" w14:textId="77777777" w:rsidR="00A77B3E" w:rsidRDefault="002C2D2E">
      <w:pPr>
        <w:spacing w:line="360" w:lineRule="auto"/>
        <w:jc w:val="both"/>
      </w:pPr>
      <w:r>
        <w:rPr>
          <w:rFonts w:ascii="Book Antiqua" w:eastAsia="Book Antiqua" w:hAnsi="Book Antiqua" w:cs="Book Antiqua"/>
          <w:color w:val="000000"/>
        </w:rPr>
        <w:t>Grade A (Excellent): 0</w:t>
      </w:r>
    </w:p>
    <w:p w14:paraId="73904BC5" w14:textId="77777777" w:rsidR="00A77B3E" w:rsidRPr="002B2702" w:rsidRDefault="002C2D2E">
      <w:pPr>
        <w:spacing w:line="360" w:lineRule="auto"/>
        <w:jc w:val="both"/>
        <w:rPr>
          <w:lang w:eastAsia="zh-CN"/>
        </w:rPr>
      </w:pPr>
      <w:r>
        <w:rPr>
          <w:rFonts w:ascii="Book Antiqua" w:eastAsia="Book Antiqua" w:hAnsi="Book Antiqua" w:cs="Book Antiqua"/>
          <w:color w:val="000000"/>
        </w:rPr>
        <w:t>Grade B (Very good): B</w:t>
      </w:r>
      <w:r w:rsidR="002B2702">
        <w:rPr>
          <w:rFonts w:ascii="Book Antiqua" w:hAnsi="Book Antiqua" w:cs="Book Antiqua" w:hint="eastAsia"/>
          <w:color w:val="000000"/>
          <w:lang w:eastAsia="zh-CN"/>
        </w:rPr>
        <w:t>, B</w:t>
      </w:r>
    </w:p>
    <w:p w14:paraId="01B7C632" w14:textId="77777777" w:rsidR="00A77B3E" w:rsidRDefault="002C2D2E">
      <w:pPr>
        <w:spacing w:line="360" w:lineRule="auto"/>
        <w:jc w:val="both"/>
      </w:pPr>
      <w:r>
        <w:rPr>
          <w:rFonts w:ascii="Book Antiqua" w:eastAsia="Book Antiqua" w:hAnsi="Book Antiqua" w:cs="Book Antiqua"/>
          <w:color w:val="000000"/>
        </w:rPr>
        <w:t>Grade C (Good): 0</w:t>
      </w:r>
    </w:p>
    <w:p w14:paraId="023B28EF" w14:textId="77777777" w:rsidR="00A77B3E" w:rsidRDefault="002C2D2E">
      <w:pPr>
        <w:spacing w:line="360" w:lineRule="auto"/>
        <w:jc w:val="both"/>
      </w:pPr>
      <w:r>
        <w:rPr>
          <w:rFonts w:ascii="Book Antiqua" w:eastAsia="Book Antiqua" w:hAnsi="Book Antiqua" w:cs="Book Antiqua"/>
          <w:color w:val="000000"/>
        </w:rPr>
        <w:t>Grade D (Fair): 0</w:t>
      </w:r>
    </w:p>
    <w:p w14:paraId="329E1838" w14:textId="77777777" w:rsidR="00A77B3E" w:rsidRDefault="002C2D2E">
      <w:pPr>
        <w:spacing w:line="360" w:lineRule="auto"/>
        <w:jc w:val="both"/>
      </w:pPr>
      <w:r>
        <w:rPr>
          <w:rFonts w:ascii="Book Antiqua" w:eastAsia="Book Antiqua" w:hAnsi="Book Antiqua" w:cs="Book Antiqua"/>
          <w:color w:val="000000"/>
        </w:rPr>
        <w:t>Grade E (Poor): 0</w:t>
      </w:r>
    </w:p>
    <w:p w14:paraId="7613DA14" w14:textId="77777777" w:rsidR="00A77B3E" w:rsidRDefault="00A77B3E">
      <w:pPr>
        <w:spacing w:line="360" w:lineRule="auto"/>
        <w:jc w:val="both"/>
      </w:pPr>
    </w:p>
    <w:p w14:paraId="72A21D3C" w14:textId="77777777" w:rsidR="00A77B3E" w:rsidRDefault="002C2D2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Stifter</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0487D42" w14:textId="77777777" w:rsidR="00A77B3E" w:rsidRDefault="002C2D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7FA2D90" w14:textId="77777777" w:rsidR="00886748" w:rsidRPr="00886748" w:rsidRDefault="00886748">
      <w:pPr>
        <w:spacing w:line="360" w:lineRule="auto"/>
        <w:jc w:val="both"/>
        <w:rPr>
          <w:lang w:eastAsia="zh-CN"/>
        </w:rPr>
      </w:pPr>
      <w:r>
        <w:rPr>
          <w:noProof/>
          <w:lang w:eastAsia="zh-CN"/>
        </w:rPr>
        <w:drawing>
          <wp:inline distT="0" distB="0" distL="0" distR="0" wp14:anchorId="549C4BBE" wp14:editId="0B12A6FF">
            <wp:extent cx="5486400" cy="1917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917700"/>
                    </a:xfrm>
                    <a:prstGeom prst="rect">
                      <a:avLst/>
                    </a:prstGeom>
                  </pic:spPr>
                </pic:pic>
              </a:graphicData>
            </a:graphic>
          </wp:inline>
        </w:drawing>
      </w:r>
    </w:p>
    <w:p w14:paraId="23B2A5F6" w14:textId="2D1C9633" w:rsidR="007D7EBF" w:rsidRDefault="002C2D2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86748" w:rsidRPr="0082227B">
        <w:rPr>
          <w:rFonts w:ascii="Book Antiqua" w:hAnsi="Book Antiqua" w:cs="Book Antiqua" w:hint="eastAsia"/>
          <w:b/>
          <w:bCs/>
          <w:color w:val="000000"/>
          <w:lang w:eastAsia="zh-CN"/>
        </w:rPr>
        <w:t xml:space="preserve"> </w:t>
      </w:r>
      <w:r w:rsidRPr="0082227B">
        <w:rPr>
          <w:rFonts w:ascii="Book Antiqua" w:eastAsia="Book Antiqua" w:hAnsi="Book Antiqua" w:cs="Book Antiqua"/>
          <w:b/>
          <w:color w:val="000000"/>
        </w:rPr>
        <w:t>Case example of a 60</w:t>
      </w:r>
      <w:r w:rsidR="0082227B" w:rsidRPr="0082227B">
        <w:rPr>
          <w:rFonts w:ascii="Book Antiqua" w:hAnsi="Book Antiqua" w:cs="Book Antiqua" w:hint="eastAsia"/>
          <w:b/>
          <w:color w:val="000000"/>
          <w:lang w:eastAsia="zh-CN"/>
        </w:rPr>
        <w:t>-</w:t>
      </w:r>
      <w:r w:rsidRPr="0082227B">
        <w:rPr>
          <w:rFonts w:ascii="Book Antiqua" w:eastAsia="Book Antiqua" w:hAnsi="Book Antiqua" w:cs="Book Antiqua"/>
          <w:b/>
          <w:color w:val="000000"/>
        </w:rPr>
        <w:t>year</w:t>
      </w:r>
      <w:r w:rsidR="0082227B" w:rsidRPr="0082227B">
        <w:rPr>
          <w:rFonts w:ascii="Book Antiqua" w:hAnsi="Book Antiqua" w:cs="Book Antiqua" w:hint="eastAsia"/>
          <w:b/>
          <w:color w:val="000000"/>
          <w:lang w:eastAsia="zh-CN"/>
        </w:rPr>
        <w:t>-</w:t>
      </w:r>
      <w:r w:rsidRPr="0082227B">
        <w:rPr>
          <w:rFonts w:ascii="Book Antiqua" w:eastAsia="Book Antiqua" w:hAnsi="Book Antiqua" w:cs="Book Antiqua"/>
          <w:b/>
          <w:color w:val="000000"/>
        </w:rPr>
        <w:t xml:space="preserve">old man with borderline </w:t>
      </w:r>
      <w:proofErr w:type="spellStart"/>
      <w:r w:rsidRPr="0082227B">
        <w:rPr>
          <w:rFonts w:ascii="Book Antiqua" w:eastAsia="Book Antiqua" w:hAnsi="Book Antiqua" w:cs="Book Antiqua"/>
          <w:b/>
          <w:color w:val="000000"/>
        </w:rPr>
        <w:t>resectable</w:t>
      </w:r>
      <w:proofErr w:type="spellEnd"/>
      <w:r w:rsidRPr="0082227B">
        <w:rPr>
          <w:rFonts w:ascii="Book Antiqua" w:eastAsia="Book Antiqua" w:hAnsi="Book Antiqua" w:cs="Book Antiqua"/>
          <w:b/>
          <w:color w:val="000000"/>
        </w:rPr>
        <w:t xml:space="preserve"> pancreatic cancer</w:t>
      </w:r>
      <w:r w:rsidR="0082227B" w:rsidRPr="0082227B">
        <w:rPr>
          <w:rFonts w:ascii="Book Antiqua" w:hAnsi="Book Antiqua" w:cs="Book Antiqua" w:hint="eastAsia"/>
          <w:b/>
          <w:color w:val="000000"/>
          <w:lang w:eastAsia="zh-CN"/>
        </w:rPr>
        <w:t xml:space="preserve"> </w:t>
      </w:r>
      <w:r w:rsidRPr="0082227B">
        <w:rPr>
          <w:rFonts w:ascii="Book Antiqua" w:eastAsia="Book Antiqua" w:hAnsi="Book Antiqua" w:cs="Book Antiqua"/>
          <w:b/>
          <w:color w:val="000000"/>
        </w:rPr>
        <w:t>initially treated with FOLFIRINOX.</w:t>
      </w:r>
      <w:r>
        <w:rPr>
          <w:rFonts w:ascii="Book Antiqua" w:eastAsia="Book Antiqua" w:hAnsi="Book Antiqua" w:cs="Book Antiqua"/>
          <w:color w:val="000000"/>
        </w:rPr>
        <w:t xml:space="preserve"> </w:t>
      </w:r>
      <w:r w:rsidR="0082227B">
        <w:rPr>
          <w:rFonts w:ascii="Book Antiqua" w:hAnsi="Book Antiqua" w:cs="Book Antiqua" w:hint="eastAsia"/>
          <w:color w:val="000000"/>
          <w:lang w:eastAsia="zh-CN"/>
        </w:rPr>
        <w:t xml:space="preserve">A: </w:t>
      </w:r>
      <w:r w:rsidR="0082227B" w:rsidRPr="00FC58BB">
        <w:rPr>
          <w:rFonts w:ascii="Book Antiqua" w:eastAsia="Book Antiqua" w:hAnsi="Book Antiqua" w:cs="Book Antiqua"/>
          <w:color w:val="000000"/>
        </w:rPr>
        <w:t>Computed tomography</w:t>
      </w:r>
      <w:r w:rsidR="0082227B">
        <w:rPr>
          <w:rFonts w:ascii="Book Antiqua" w:hAnsi="Book Antiqua" w:cs="Book Antiqua" w:hint="eastAsia"/>
          <w:color w:val="000000"/>
          <w:lang w:eastAsia="zh-CN"/>
        </w:rPr>
        <w:t xml:space="preserve"> image; B: C</w:t>
      </w:r>
      <w:r w:rsidR="0082227B">
        <w:rPr>
          <w:rFonts w:ascii="Book Antiqua" w:eastAsia="Book Antiqua" w:hAnsi="Book Antiqua" w:cs="Book Antiqua"/>
          <w:color w:val="000000"/>
        </w:rPr>
        <w:t>arbohydrate antigen 19-9</w:t>
      </w:r>
      <w:r>
        <w:rPr>
          <w:rFonts w:ascii="Book Antiqua" w:eastAsia="Book Antiqua" w:hAnsi="Book Antiqua" w:cs="Book Antiqua"/>
          <w:color w:val="000000"/>
        </w:rPr>
        <w:t xml:space="preserve"> after two months increased</w:t>
      </w:r>
      <w:r w:rsidR="008222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 was switched to Gemcitabine/Abraxane with resultant decrease in tumor markers. Given low involvement of </w:t>
      </w:r>
      <w:r w:rsidR="008631D3">
        <w:rPr>
          <w:rFonts w:ascii="Book Antiqua" w:hAnsi="Book Antiqua"/>
          <w:lang w:eastAsia="zh-CN"/>
        </w:rPr>
        <w:t>s</w:t>
      </w:r>
      <w:r w:rsidR="008631D3" w:rsidRPr="00242E41">
        <w:rPr>
          <w:rFonts w:ascii="Book Antiqua" w:hAnsi="Book Antiqua"/>
          <w:lang w:eastAsia="zh-CN"/>
        </w:rPr>
        <w:t>uperior mesenteric vein</w:t>
      </w:r>
      <w:r>
        <w:rPr>
          <w:rFonts w:ascii="Book Antiqua" w:eastAsia="Book Antiqua" w:hAnsi="Book Antiqua" w:cs="Book Antiqua"/>
          <w:color w:val="000000"/>
        </w:rPr>
        <w:t>, chemoradiation given prior to surgical resection.</w:t>
      </w:r>
      <w:r w:rsidR="0082227B">
        <w:rPr>
          <w:rFonts w:ascii="Book Antiqua" w:hAnsi="Book Antiqua" w:cs="Book Antiqua" w:hint="eastAsia"/>
          <w:color w:val="000000"/>
          <w:lang w:eastAsia="zh-CN"/>
        </w:rPr>
        <w:t xml:space="preserve"> </w:t>
      </w:r>
      <w:r w:rsidR="0082227B">
        <w:rPr>
          <w:rFonts w:ascii="Book Antiqua" w:eastAsia="Book Antiqua" w:hAnsi="Book Antiqua" w:cs="Book Antiqua"/>
          <w:color w:val="000000"/>
        </w:rPr>
        <w:t>CA 19-9</w:t>
      </w:r>
      <w:r w:rsidR="0082227B">
        <w:rPr>
          <w:rFonts w:ascii="Book Antiqua" w:hAnsi="Book Antiqua" w:cs="Book Antiqua" w:hint="eastAsia"/>
          <w:color w:val="000000"/>
          <w:lang w:eastAsia="zh-CN"/>
        </w:rPr>
        <w:t>: C</w:t>
      </w:r>
      <w:r w:rsidR="0082227B">
        <w:rPr>
          <w:rFonts w:ascii="Book Antiqua" w:eastAsia="Book Antiqua" w:hAnsi="Book Antiqua" w:cs="Book Antiqua"/>
          <w:color w:val="000000"/>
        </w:rPr>
        <w:t>arbohydrate antigen 19-9</w:t>
      </w:r>
      <w:r w:rsidR="0082227B">
        <w:rPr>
          <w:rFonts w:ascii="Book Antiqua" w:hAnsi="Book Antiqua" w:cs="Book Antiqua" w:hint="eastAsia"/>
          <w:color w:val="000000"/>
          <w:lang w:eastAsia="zh-CN"/>
        </w:rPr>
        <w:t>.</w:t>
      </w:r>
    </w:p>
    <w:p w14:paraId="17958E22" w14:textId="77777777" w:rsidR="00A77B3E" w:rsidRDefault="007D7EB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D7EBF">
        <w:rPr>
          <w:rFonts w:ascii="Book Antiqua" w:hAnsi="Book Antiqua" w:cs="Book Antiqua"/>
          <w:b/>
          <w:color w:val="000000"/>
          <w:lang w:eastAsia="zh-CN"/>
        </w:rPr>
        <w:lastRenderedPageBreak/>
        <w:t>Table 1</w:t>
      </w:r>
      <w:r w:rsidRPr="007D7EBF">
        <w:rPr>
          <w:rFonts w:ascii="Book Antiqua" w:hAnsi="Book Antiqua" w:cs="Book Antiqua" w:hint="eastAsia"/>
          <w:b/>
          <w:color w:val="000000"/>
          <w:lang w:eastAsia="zh-CN"/>
        </w:rPr>
        <w:t xml:space="preserve"> </w:t>
      </w:r>
      <w:r w:rsidRPr="007D7EBF">
        <w:rPr>
          <w:rFonts w:ascii="Book Antiqua" w:hAnsi="Book Antiqua" w:cs="Book Antiqua"/>
          <w:b/>
          <w:color w:val="000000"/>
          <w:lang w:eastAsia="zh-CN"/>
        </w:rPr>
        <w:t>Opportunities for personalized care during neoadjuvant therapy for pancreatic cancer</w:t>
      </w:r>
    </w:p>
    <w:tbl>
      <w:tblPr>
        <w:tblStyle w:val="ListTable3-Accent1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2"/>
        <w:gridCol w:w="2087"/>
        <w:gridCol w:w="2870"/>
        <w:gridCol w:w="3307"/>
      </w:tblGrid>
      <w:tr w:rsidR="007D7EBF" w:rsidRPr="007D7EBF" w14:paraId="7872A6A0" w14:textId="77777777" w:rsidTr="007D7EBF">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336" w:type="dxa"/>
            <w:tcBorders>
              <w:top w:val="single" w:sz="4" w:space="0" w:color="auto"/>
              <w:bottom w:val="single" w:sz="4" w:space="0" w:color="auto"/>
              <w:right w:val="none" w:sz="0" w:space="0" w:color="auto"/>
            </w:tcBorders>
            <w:shd w:val="clear" w:color="auto" w:fill="auto"/>
          </w:tcPr>
          <w:p w14:paraId="5F7A77EE" w14:textId="77777777" w:rsidR="007D7EBF" w:rsidRPr="007D7EBF" w:rsidRDefault="007D7EBF" w:rsidP="007D7EBF">
            <w:pPr>
              <w:spacing w:line="360" w:lineRule="auto"/>
              <w:jc w:val="both"/>
              <w:rPr>
                <w:rFonts w:ascii="Book Antiqua" w:hAnsi="Book Antiqua"/>
                <w:color w:val="auto"/>
              </w:rPr>
            </w:pPr>
            <w:r w:rsidRPr="007D7EBF">
              <w:rPr>
                <w:rFonts w:ascii="Book Antiqua" w:hAnsi="Book Antiqua"/>
                <w:color w:val="auto"/>
              </w:rPr>
              <w:t>Concept</w:t>
            </w:r>
          </w:p>
        </w:tc>
        <w:tc>
          <w:tcPr>
            <w:tcW w:w="2239" w:type="dxa"/>
            <w:tcBorders>
              <w:top w:val="single" w:sz="4" w:space="0" w:color="auto"/>
              <w:bottom w:val="single" w:sz="4" w:space="0" w:color="auto"/>
            </w:tcBorders>
            <w:shd w:val="clear" w:color="auto" w:fill="auto"/>
          </w:tcPr>
          <w:p w14:paraId="7857CD89" w14:textId="77777777" w:rsidR="007D7EBF" w:rsidRPr="007D7EBF"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7D7EBF">
              <w:rPr>
                <w:rFonts w:ascii="Book Antiqua" w:hAnsi="Book Antiqua"/>
                <w:color w:val="auto"/>
              </w:rPr>
              <w:t>Description</w:t>
            </w:r>
          </w:p>
        </w:tc>
        <w:tc>
          <w:tcPr>
            <w:tcW w:w="2995" w:type="dxa"/>
            <w:tcBorders>
              <w:top w:val="single" w:sz="4" w:space="0" w:color="auto"/>
              <w:bottom w:val="single" w:sz="4" w:space="0" w:color="auto"/>
            </w:tcBorders>
            <w:shd w:val="clear" w:color="auto" w:fill="auto"/>
          </w:tcPr>
          <w:p w14:paraId="5B74E612" w14:textId="77777777" w:rsidR="007D7EBF" w:rsidRPr="007D7EBF"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7D7EBF">
              <w:rPr>
                <w:rFonts w:ascii="Book Antiqua" w:hAnsi="Book Antiqua"/>
                <w:color w:val="auto"/>
              </w:rPr>
              <w:t>Examples</w:t>
            </w:r>
          </w:p>
        </w:tc>
        <w:tc>
          <w:tcPr>
            <w:tcW w:w="4500" w:type="dxa"/>
            <w:tcBorders>
              <w:top w:val="single" w:sz="4" w:space="0" w:color="auto"/>
              <w:bottom w:val="single" w:sz="4" w:space="0" w:color="auto"/>
            </w:tcBorders>
            <w:shd w:val="clear" w:color="auto" w:fill="auto"/>
          </w:tcPr>
          <w:p w14:paraId="2EAB308F" w14:textId="77777777" w:rsidR="007D7EBF" w:rsidRPr="007D7EBF"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7D7EBF">
              <w:rPr>
                <w:rFonts w:ascii="Book Antiqua" w:hAnsi="Book Antiqua"/>
                <w:color w:val="auto"/>
              </w:rPr>
              <w:t>Outcome</w:t>
            </w:r>
          </w:p>
        </w:tc>
      </w:tr>
      <w:tr w:rsidR="007D7EBF" w:rsidRPr="007D7EBF" w14:paraId="13A6E9A5" w14:textId="77777777" w:rsidTr="007D7EB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36" w:type="dxa"/>
            <w:tcBorders>
              <w:top w:val="single" w:sz="4" w:space="0" w:color="auto"/>
              <w:bottom w:val="none" w:sz="0" w:space="0" w:color="auto"/>
              <w:right w:val="none" w:sz="0" w:space="0" w:color="auto"/>
            </w:tcBorders>
            <w:shd w:val="clear" w:color="auto" w:fill="auto"/>
          </w:tcPr>
          <w:p w14:paraId="616F4FAB" w14:textId="77777777" w:rsidR="007D7EBF" w:rsidRPr="007D7EBF" w:rsidRDefault="007D7EBF" w:rsidP="007D7EBF">
            <w:pPr>
              <w:spacing w:line="360" w:lineRule="auto"/>
              <w:jc w:val="both"/>
              <w:rPr>
                <w:rFonts w:ascii="Book Antiqua" w:hAnsi="Book Antiqua"/>
                <w:b w:val="0"/>
              </w:rPr>
            </w:pPr>
            <w:r w:rsidRPr="007D7EBF">
              <w:rPr>
                <w:rFonts w:ascii="Book Antiqua" w:hAnsi="Book Antiqua"/>
                <w:b w:val="0"/>
              </w:rPr>
              <w:t xml:space="preserve">Anatomic </w:t>
            </w:r>
            <w:r>
              <w:rPr>
                <w:rFonts w:ascii="Book Antiqua" w:hAnsi="Book Antiqua" w:hint="eastAsia"/>
                <w:b w:val="0"/>
                <w:lang w:eastAsia="zh-CN"/>
              </w:rPr>
              <w:t>s</w:t>
            </w:r>
            <w:r w:rsidRPr="007D7EBF">
              <w:rPr>
                <w:rFonts w:ascii="Book Antiqua" w:hAnsi="Book Antiqua"/>
                <w:b w:val="0"/>
              </w:rPr>
              <w:t>taging</w:t>
            </w:r>
          </w:p>
        </w:tc>
        <w:tc>
          <w:tcPr>
            <w:tcW w:w="2239" w:type="dxa"/>
            <w:tcBorders>
              <w:top w:val="single" w:sz="4" w:space="0" w:color="auto"/>
              <w:bottom w:val="none" w:sz="0" w:space="0" w:color="auto"/>
            </w:tcBorders>
            <w:shd w:val="clear" w:color="auto" w:fill="auto"/>
          </w:tcPr>
          <w:p w14:paraId="06504398"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7D7EBF">
              <w:rPr>
                <w:rFonts w:ascii="Book Antiqua" w:hAnsi="Book Antiqua" w:cstheme="minorHAnsi"/>
              </w:rPr>
              <w:t>Characterization of local extent and vascular involvement of tumor</w:t>
            </w:r>
          </w:p>
        </w:tc>
        <w:tc>
          <w:tcPr>
            <w:tcW w:w="2995" w:type="dxa"/>
            <w:tcBorders>
              <w:top w:val="single" w:sz="4" w:space="0" w:color="auto"/>
              <w:bottom w:val="none" w:sz="0" w:space="0" w:color="auto"/>
            </w:tcBorders>
            <w:shd w:val="clear" w:color="auto" w:fill="auto"/>
          </w:tcPr>
          <w:p w14:paraId="503DC3FB"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eastAsia="zh-CN"/>
              </w:rPr>
            </w:pPr>
            <w:r w:rsidRPr="007D7EBF">
              <w:rPr>
                <w:rFonts w:ascii="Book Antiqua" w:hAnsi="Book Antiqua"/>
                <w:bCs/>
              </w:rPr>
              <w:t>Locally advanced/unresectable</w:t>
            </w:r>
            <w:r>
              <w:rPr>
                <w:rFonts w:ascii="Book Antiqua" w:hAnsi="Book Antiqua" w:hint="eastAsia"/>
                <w:bCs/>
                <w:lang w:eastAsia="zh-CN"/>
              </w:rPr>
              <w:t xml:space="preserve">; </w:t>
            </w:r>
            <w:r w:rsidRPr="007D7EBF">
              <w:rPr>
                <w:rFonts w:ascii="Book Antiqua" w:hAnsi="Book Antiqua"/>
                <w:bCs/>
              </w:rPr>
              <w:t xml:space="preserve">Borderline </w:t>
            </w:r>
            <w:proofErr w:type="spellStart"/>
            <w:r w:rsidRPr="007D7EBF">
              <w:rPr>
                <w:rFonts w:ascii="Book Antiqua" w:hAnsi="Book Antiqua"/>
                <w:bCs/>
              </w:rPr>
              <w:t>resectable</w:t>
            </w:r>
            <w:proofErr w:type="spellEnd"/>
            <w:r>
              <w:rPr>
                <w:rFonts w:ascii="Book Antiqua" w:hAnsi="Book Antiqua" w:hint="eastAsia"/>
                <w:bCs/>
                <w:lang w:eastAsia="zh-CN"/>
              </w:rPr>
              <w:t xml:space="preserve">; </w:t>
            </w:r>
            <w:r w:rsidRPr="007D7EBF">
              <w:rPr>
                <w:rFonts w:ascii="Book Antiqua" w:hAnsi="Book Antiqua"/>
                <w:bCs/>
              </w:rPr>
              <w:t xml:space="preserve">Potentially </w:t>
            </w:r>
            <w:proofErr w:type="spellStart"/>
            <w:r>
              <w:rPr>
                <w:rFonts w:ascii="Book Antiqua" w:hAnsi="Book Antiqua" w:hint="eastAsia"/>
                <w:bCs/>
                <w:lang w:eastAsia="zh-CN"/>
              </w:rPr>
              <w:t>r</w:t>
            </w:r>
            <w:r w:rsidRPr="007D7EBF">
              <w:rPr>
                <w:rFonts w:ascii="Book Antiqua" w:hAnsi="Book Antiqua"/>
                <w:bCs/>
              </w:rPr>
              <w:t>esectable</w:t>
            </w:r>
            <w:proofErr w:type="spellEnd"/>
          </w:p>
        </w:tc>
        <w:tc>
          <w:tcPr>
            <w:tcW w:w="4500" w:type="dxa"/>
            <w:tcBorders>
              <w:top w:val="single" w:sz="4" w:space="0" w:color="auto"/>
              <w:bottom w:val="none" w:sz="0" w:space="0" w:color="auto"/>
            </w:tcBorders>
            <w:shd w:val="clear" w:color="auto" w:fill="auto"/>
          </w:tcPr>
          <w:p w14:paraId="6C946300"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eastAsia="zh-CN"/>
              </w:rPr>
            </w:pPr>
            <w:r w:rsidRPr="007D7EBF">
              <w:rPr>
                <w:rFonts w:ascii="Book Antiqua" w:hAnsi="Book Antiqua"/>
                <w:bCs/>
              </w:rPr>
              <w:t>Anatomic staging can influence the recommended duration and components (</w:t>
            </w:r>
            <w:r w:rsidRPr="007D7EBF">
              <w:rPr>
                <w:rFonts w:ascii="Book Antiqua" w:hAnsi="Book Antiqua"/>
                <w:bCs/>
                <w:i/>
              </w:rPr>
              <w:t>e.g.</w:t>
            </w:r>
            <w:r w:rsidRPr="007D7EBF">
              <w:rPr>
                <w:rFonts w:ascii="Book Antiqua" w:hAnsi="Book Antiqua"/>
                <w:bCs/>
              </w:rPr>
              <w:t xml:space="preserve">, preoperative radiation) of </w:t>
            </w:r>
            <w:r>
              <w:rPr>
                <w:rFonts w:ascii="Book Antiqua" w:eastAsia="Book Antiqua" w:hAnsi="Book Antiqua" w:cs="Book Antiqua"/>
                <w:color w:val="000000"/>
                <w:szCs w:val="17"/>
                <w:shd w:val="clear" w:color="auto" w:fill="FFFFFF"/>
              </w:rPr>
              <w:t>neoadjuvant therapy</w:t>
            </w:r>
          </w:p>
        </w:tc>
      </w:tr>
      <w:tr w:rsidR="007D7EBF" w:rsidRPr="007D7EBF" w14:paraId="42C560D1" w14:textId="77777777" w:rsidTr="007D7EBF">
        <w:trPr>
          <w:trHeight w:val="434"/>
        </w:trPr>
        <w:tc>
          <w:tcPr>
            <w:cnfStyle w:val="001000000000" w:firstRow="0" w:lastRow="0" w:firstColumn="1" w:lastColumn="0" w:oddVBand="0" w:evenVBand="0" w:oddHBand="0" w:evenHBand="0" w:firstRowFirstColumn="0" w:firstRowLastColumn="0" w:lastRowFirstColumn="0" w:lastRowLastColumn="0"/>
            <w:tcW w:w="1336" w:type="dxa"/>
            <w:tcBorders>
              <w:right w:val="none" w:sz="0" w:space="0" w:color="auto"/>
            </w:tcBorders>
            <w:shd w:val="clear" w:color="auto" w:fill="auto"/>
          </w:tcPr>
          <w:p w14:paraId="055E0F20" w14:textId="77777777" w:rsidR="007D7EBF" w:rsidRPr="007D7EBF" w:rsidRDefault="007D7EBF" w:rsidP="007D7EBF">
            <w:pPr>
              <w:spacing w:line="360" w:lineRule="auto"/>
              <w:jc w:val="both"/>
              <w:rPr>
                <w:rFonts w:ascii="Book Antiqua" w:hAnsi="Book Antiqua"/>
                <w:b w:val="0"/>
              </w:rPr>
            </w:pPr>
            <w:r w:rsidRPr="007D7EBF">
              <w:rPr>
                <w:rFonts w:ascii="Book Antiqua" w:hAnsi="Book Antiqua"/>
                <w:b w:val="0"/>
              </w:rPr>
              <w:t xml:space="preserve">Molecular </w:t>
            </w:r>
            <w:r>
              <w:rPr>
                <w:rFonts w:ascii="Book Antiqua" w:hAnsi="Book Antiqua" w:hint="eastAsia"/>
                <w:b w:val="0"/>
                <w:lang w:eastAsia="zh-CN"/>
              </w:rPr>
              <w:t>s</w:t>
            </w:r>
            <w:r w:rsidRPr="007D7EBF">
              <w:rPr>
                <w:rFonts w:ascii="Book Antiqua" w:hAnsi="Book Antiqua"/>
                <w:b w:val="0"/>
              </w:rPr>
              <w:t>taging</w:t>
            </w:r>
          </w:p>
        </w:tc>
        <w:tc>
          <w:tcPr>
            <w:tcW w:w="2239" w:type="dxa"/>
            <w:shd w:val="clear" w:color="auto" w:fill="auto"/>
          </w:tcPr>
          <w:p w14:paraId="0476EA3D" w14:textId="77777777" w:rsidR="007D7EBF" w:rsidRPr="007D7EBF"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7D7EBF">
              <w:rPr>
                <w:rFonts w:ascii="Book Antiqua" w:hAnsi="Book Antiqua" w:cstheme="minorHAnsi"/>
              </w:rPr>
              <w:t>Identification of tumor/germline genetic and molecular markers</w:t>
            </w:r>
          </w:p>
        </w:tc>
        <w:tc>
          <w:tcPr>
            <w:tcW w:w="2995" w:type="dxa"/>
            <w:shd w:val="clear" w:color="auto" w:fill="auto"/>
          </w:tcPr>
          <w:p w14:paraId="6104CEB2" w14:textId="77777777" w:rsidR="007D7EBF" w:rsidRPr="007D7EBF"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7D7EBF">
              <w:rPr>
                <w:rFonts w:ascii="Book Antiqua" w:hAnsi="Book Antiqua"/>
                <w:i/>
              </w:rPr>
              <w:t>BRCA</w:t>
            </w:r>
            <w:r w:rsidRPr="007D7EBF">
              <w:rPr>
                <w:rFonts w:ascii="Book Antiqua" w:hAnsi="Book Antiqua"/>
              </w:rPr>
              <w:t xml:space="preserve"> </w:t>
            </w:r>
            <w:r>
              <w:rPr>
                <w:rFonts w:ascii="Book Antiqua" w:hAnsi="Book Antiqua" w:hint="eastAsia"/>
                <w:lang w:eastAsia="zh-CN"/>
              </w:rPr>
              <w:t>m</w:t>
            </w:r>
            <w:r w:rsidRPr="007D7EBF">
              <w:rPr>
                <w:rFonts w:ascii="Book Antiqua" w:hAnsi="Book Antiqua"/>
              </w:rPr>
              <w:t>utations</w:t>
            </w:r>
            <w:r>
              <w:rPr>
                <w:rFonts w:ascii="Book Antiqua" w:hAnsi="Book Antiqua" w:hint="eastAsia"/>
                <w:lang w:eastAsia="zh-CN"/>
              </w:rPr>
              <w:t xml:space="preserve">; </w:t>
            </w:r>
            <w:r w:rsidRPr="007D7EBF">
              <w:rPr>
                <w:rFonts w:ascii="Book Antiqua" w:hAnsi="Book Antiqua" w:cstheme="minorHAnsi"/>
              </w:rPr>
              <w:t>Mismatch repair-deficiency</w:t>
            </w:r>
            <w:r>
              <w:rPr>
                <w:rFonts w:ascii="Book Antiqua" w:hAnsi="Book Antiqua" w:cstheme="minorHAnsi" w:hint="eastAsia"/>
                <w:lang w:eastAsia="zh-CN"/>
              </w:rPr>
              <w:t xml:space="preserve">; </w:t>
            </w:r>
            <w:r w:rsidRPr="007D7EBF">
              <w:rPr>
                <w:rFonts w:ascii="Book Antiqua" w:hAnsi="Book Antiqua"/>
              </w:rPr>
              <w:t xml:space="preserve">Molecular </w:t>
            </w:r>
            <w:r>
              <w:rPr>
                <w:rFonts w:ascii="Book Antiqua" w:hAnsi="Book Antiqua" w:hint="eastAsia"/>
                <w:lang w:eastAsia="zh-CN"/>
              </w:rPr>
              <w:t>m</w:t>
            </w:r>
            <w:r w:rsidRPr="007D7EBF">
              <w:rPr>
                <w:rFonts w:ascii="Book Antiqua" w:hAnsi="Book Antiqua"/>
              </w:rPr>
              <w:t>arkers</w:t>
            </w:r>
          </w:p>
        </w:tc>
        <w:tc>
          <w:tcPr>
            <w:tcW w:w="4500" w:type="dxa"/>
            <w:shd w:val="clear" w:color="auto" w:fill="auto"/>
          </w:tcPr>
          <w:p w14:paraId="107A66C6" w14:textId="77777777" w:rsidR="007D7EBF" w:rsidRPr="007D7EBF"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7D7EBF">
              <w:rPr>
                <w:rFonts w:ascii="Book Antiqua" w:hAnsi="Book Antiqua"/>
              </w:rPr>
              <w:t>Specific tumor/germline mutations may identify opportunity for targeted therapies (</w:t>
            </w:r>
            <w:r w:rsidRPr="007D7EBF">
              <w:rPr>
                <w:rFonts w:ascii="Book Antiqua" w:hAnsi="Book Antiqua"/>
                <w:i/>
              </w:rPr>
              <w:t>e.g.</w:t>
            </w:r>
            <w:r w:rsidRPr="007D7EBF">
              <w:rPr>
                <w:rFonts w:ascii="Book Antiqua" w:hAnsi="Book Antiqua"/>
              </w:rPr>
              <w:t>, immunotherapy, PARP inhibitors)</w:t>
            </w:r>
            <w:r w:rsidRPr="007D7EBF">
              <w:rPr>
                <w:rFonts w:ascii="Book Antiqua" w:hAnsi="Book Antiqua" w:cstheme="minorHAnsi"/>
              </w:rPr>
              <w:t>. Standard chemotherapy may be influenced by molecular markers (</w:t>
            </w:r>
            <w:r w:rsidRPr="007D7EBF">
              <w:rPr>
                <w:rFonts w:ascii="Book Antiqua" w:hAnsi="Book Antiqua" w:cstheme="minorHAnsi"/>
                <w:i/>
              </w:rPr>
              <w:t>e.g.</w:t>
            </w:r>
            <w:r w:rsidRPr="007D7EBF">
              <w:rPr>
                <w:rFonts w:ascii="Book Antiqua" w:hAnsi="Book Antiqua" w:cstheme="minorHAnsi"/>
              </w:rPr>
              <w:t xml:space="preserve">, resistance/sensitivity to traditional </w:t>
            </w:r>
            <w:proofErr w:type="spellStart"/>
            <w:r w:rsidRPr="007D7EBF">
              <w:rPr>
                <w:rFonts w:ascii="Book Antiqua" w:hAnsi="Book Antiqua" w:cstheme="minorHAnsi"/>
              </w:rPr>
              <w:t>flouropyridamine</w:t>
            </w:r>
            <w:proofErr w:type="spellEnd"/>
            <w:r w:rsidRPr="007D7EBF">
              <w:rPr>
                <w:rFonts w:ascii="Book Antiqua" w:hAnsi="Book Antiqua" w:cstheme="minorHAnsi"/>
              </w:rPr>
              <w:t xml:space="preserve"> or gemcitabine-based therapy)</w:t>
            </w:r>
          </w:p>
        </w:tc>
      </w:tr>
      <w:tr w:rsidR="007D7EBF" w:rsidRPr="007D7EBF" w14:paraId="6C0EB600" w14:textId="77777777" w:rsidTr="007D7EB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bottom w:val="single" w:sz="4" w:space="0" w:color="auto"/>
              <w:right w:val="none" w:sz="0" w:space="0" w:color="auto"/>
            </w:tcBorders>
            <w:shd w:val="clear" w:color="auto" w:fill="auto"/>
          </w:tcPr>
          <w:p w14:paraId="2920162E" w14:textId="77777777" w:rsidR="007D7EBF" w:rsidRPr="007D7EBF" w:rsidRDefault="007D7EBF" w:rsidP="007D7EBF">
            <w:pPr>
              <w:spacing w:line="360" w:lineRule="auto"/>
              <w:jc w:val="both"/>
              <w:rPr>
                <w:rFonts w:ascii="Book Antiqua" w:hAnsi="Book Antiqua"/>
                <w:b w:val="0"/>
              </w:rPr>
            </w:pPr>
            <w:r w:rsidRPr="007D7EBF">
              <w:rPr>
                <w:rFonts w:ascii="Book Antiqua" w:hAnsi="Book Antiqua"/>
                <w:b w:val="0"/>
              </w:rPr>
              <w:t xml:space="preserve">Dynamic </w:t>
            </w:r>
            <w:r>
              <w:rPr>
                <w:rFonts w:ascii="Book Antiqua" w:hAnsi="Book Antiqua" w:hint="eastAsia"/>
                <w:b w:val="0"/>
                <w:lang w:eastAsia="zh-CN"/>
              </w:rPr>
              <w:t>s</w:t>
            </w:r>
            <w:r w:rsidRPr="007D7EBF">
              <w:rPr>
                <w:rFonts w:ascii="Book Antiqua" w:hAnsi="Book Antiqua"/>
                <w:b w:val="0"/>
              </w:rPr>
              <w:t>taging</w:t>
            </w:r>
          </w:p>
        </w:tc>
        <w:tc>
          <w:tcPr>
            <w:tcW w:w="2239" w:type="dxa"/>
            <w:tcBorders>
              <w:top w:val="none" w:sz="0" w:space="0" w:color="auto"/>
              <w:bottom w:val="single" w:sz="4" w:space="0" w:color="auto"/>
            </w:tcBorders>
            <w:shd w:val="clear" w:color="auto" w:fill="auto"/>
          </w:tcPr>
          <w:p w14:paraId="4EFFBDE6"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7D7EBF">
              <w:rPr>
                <w:rFonts w:ascii="Book Antiqua" w:hAnsi="Book Antiqua" w:cstheme="minorHAnsi"/>
              </w:rPr>
              <w:t xml:space="preserve">Measuring biochemical, radiographic, and histologic response of the tumor to </w:t>
            </w:r>
            <w:r>
              <w:rPr>
                <w:rFonts w:ascii="Book Antiqua" w:eastAsia="Book Antiqua" w:hAnsi="Book Antiqua" w:cs="Book Antiqua"/>
                <w:color w:val="000000"/>
                <w:szCs w:val="17"/>
                <w:shd w:val="clear" w:color="auto" w:fill="FFFFFF"/>
              </w:rPr>
              <w:t xml:space="preserve">neoadjuvant </w:t>
            </w:r>
            <w:r>
              <w:rPr>
                <w:rFonts w:ascii="Book Antiqua" w:eastAsia="Book Antiqua" w:hAnsi="Book Antiqua" w:cs="Book Antiqua"/>
                <w:color w:val="000000"/>
                <w:szCs w:val="17"/>
                <w:shd w:val="clear" w:color="auto" w:fill="FFFFFF"/>
              </w:rPr>
              <w:lastRenderedPageBreak/>
              <w:t>therapy</w:t>
            </w:r>
          </w:p>
        </w:tc>
        <w:tc>
          <w:tcPr>
            <w:tcW w:w="2995" w:type="dxa"/>
            <w:tcBorders>
              <w:top w:val="none" w:sz="0" w:space="0" w:color="auto"/>
              <w:bottom w:val="single" w:sz="4" w:space="0" w:color="auto"/>
            </w:tcBorders>
            <w:shd w:val="clear" w:color="auto" w:fill="auto"/>
          </w:tcPr>
          <w:p w14:paraId="4424FC91"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7D7EBF">
              <w:rPr>
                <w:rFonts w:ascii="Book Antiqua" w:hAnsi="Book Antiqua"/>
              </w:rPr>
              <w:lastRenderedPageBreak/>
              <w:t xml:space="preserve">Carbohydrate </w:t>
            </w:r>
            <w:r>
              <w:rPr>
                <w:rFonts w:ascii="Book Antiqua" w:hAnsi="Book Antiqua" w:hint="eastAsia"/>
                <w:lang w:eastAsia="zh-CN"/>
              </w:rPr>
              <w:t>a</w:t>
            </w:r>
            <w:r>
              <w:rPr>
                <w:rFonts w:ascii="Book Antiqua" w:hAnsi="Book Antiqua"/>
              </w:rPr>
              <w:t>ntigen 19-9</w:t>
            </w:r>
            <w:r>
              <w:rPr>
                <w:rFonts w:ascii="Book Antiqua" w:hAnsi="Book Antiqua" w:hint="eastAsia"/>
                <w:lang w:eastAsia="zh-CN"/>
              </w:rPr>
              <w:t xml:space="preserve">; </w:t>
            </w:r>
            <w:r>
              <w:rPr>
                <w:rFonts w:ascii="Book Antiqua" w:eastAsia="Book Antiqua" w:hAnsi="Book Antiqua" w:cs="Book Antiqua"/>
                <w:color w:val="000000"/>
              </w:rPr>
              <w:t>Response evaluation criteria in solid tumors</w:t>
            </w:r>
            <w:r w:rsidRPr="007D7EBF">
              <w:rPr>
                <w:rFonts w:ascii="Book Antiqua" w:hAnsi="Book Antiqua"/>
              </w:rPr>
              <w:t xml:space="preserve"> response</w:t>
            </w:r>
            <w:r>
              <w:rPr>
                <w:rFonts w:ascii="Book Antiqua" w:hAnsi="Book Antiqua" w:hint="eastAsia"/>
                <w:lang w:eastAsia="zh-CN"/>
              </w:rPr>
              <w:t xml:space="preserve">; </w:t>
            </w:r>
            <w:r w:rsidRPr="007D7EBF">
              <w:rPr>
                <w:rFonts w:ascii="Book Antiqua" w:hAnsi="Book Antiqua"/>
                <w:bCs/>
              </w:rPr>
              <w:t>Pathologic response</w:t>
            </w:r>
          </w:p>
        </w:tc>
        <w:tc>
          <w:tcPr>
            <w:tcW w:w="4500" w:type="dxa"/>
            <w:tcBorders>
              <w:top w:val="none" w:sz="0" w:space="0" w:color="auto"/>
              <w:bottom w:val="single" w:sz="4" w:space="0" w:color="auto"/>
            </w:tcBorders>
            <w:shd w:val="clear" w:color="auto" w:fill="auto"/>
          </w:tcPr>
          <w:p w14:paraId="59FA229D" w14:textId="77777777" w:rsidR="007D7EBF" w:rsidRPr="007D7EBF"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7D7EBF">
              <w:rPr>
                <w:rFonts w:ascii="Book Antiqua" w:hAnsi="Book Antiqua" w:cstheme="minorHAnsi"/>
              </w:rPr>
              <w:t>Measuring response to neoadjuvant therapy can influence treatment strategies (</w:t>
            </w:r>
            <w:r w:rsidRPr="007D7EBF">
              <w:rPr>
                <w:rFonts w:ascii="Book Antiqua" w:hAnsi="Book Antiqua" w:cstheme="minorHAnsi"/>
                <w:i/>
              </w:rPr>
              <w:t>e.g.</w:t>
            </w:r>
            <w:r w:rsidRPr="007D7EBF">
              <w:rPr>
                <w:rFonts w:ascii="Book Antiqua" w:hAnsi="Book Antiqua" w:cstheme="minorHAnsi"/>
              </w:rPr>
              <w:t>, changing neoadjuvant regimen, use of radiation, recommendations for adjuvant therapy)</w:t>
            </w:r>
          </w:p>
        </w:tc>
      </w:tr>
    </w:tbl>
    <w:p w14:paraId="0B691D75" w14:textId="77777777" w:rsidR="007D7EBF" w:rsidRDefault="007D7EBF">
      <w:pPr>
        <w:spacing w:line="360" w:lineRule="auto"/>
        <w:jc w:val="both"/>
        <w:rPr>
          <w:b/>
          <w:lang w:eastAsia="zh-CN"/>
        </w:rPr>
      </w:pPr>
    </w:p>
    <w:p w14:paraId="5A9BC3EE" w14:textId="77777777" w:rsidR="007D7EBF" w:rsidRDefault="007D7EBF">
      <w:pPr>
        <w:spacing w:line="360" w:lineRule="auto"/>
        <w:jc w:val="both"/>
        <w:rPr>
          <w:rFonts w:ascii="Book Antiqua" w:hAnsi="Book Antiqua"/>
          <w:b/>
          <w:lang w:eastAsia="zh-CN"/>
        </w:rPr>
      </w:pPr>
      <w:r>
        <w:rPr>
          <w:b/>
          <w:lang w:eastAsia="zh-CN"/>
        </w:rPr>
        <w:br w:type="page"/>
      </w:r>
      <w:r w:rsidRPr="007D7EBF">
        <w:rPr>
          <w:rFonts w:ascii="Book Antiqua" w:hAnsi="Book Antiqua"/>
          <w:b/>
          <w:lang w:eastAsia="zh-CN"/>
        </w:rPr>
        <w:lastRenderedPageBreak/>
        <w:t>Table 2</w:t>
      </w:r>
      <w:r>
        <w:rPr>
          <w:rFonts w:ascii="Book Antiqua" w:hAnsi="Book Antiqua" w:hint="eastAsia"/>
          <w:b/>
          <w:lang w:eastAsia="zh-CN"/>
        </w:rPr>
        <w:t xml:space="preserve"> </w:t>
      </w:r>
      <w:r w:rsidRPr="007D7EBF">
        <w:rPr>
          <w:rFonts w:ascii="Book Antiqua" w:hAnsi="Book Antiqua"/>
          <w:b/>
          <w:lang w:eastAsia="zh-CN"/>
        </w:rPr>
        <w:t xml:space="preserve">Anatomic staging of localized </w:t>
      </w:r>
      <w:r>
        <w:rPr>
          <w:rFonts w:ascii="Book Antiqua" w:hAnsi="Book Antiqua" w:hint="eastAsia"/>
          <w:b/>
          <w:lang w:eastAsia="zh-CN"/>
        </w:rPr>
        <w:t>p</w:t>
      </w:r>
      <w:r w:rsidRPr="007D7EBF">
        <w:rPr>
          <w:rFonts w:ascii="Book Antiqua" w:hAnsi="Book Antiqua"/>
          <w:b/>
          <w:lang w:eastAsia="zh-CN"/>
        </w:rPr>
        <w:t>ancreatic ductal adenocarcinoma as defined by the 2008 AHPBA/SSO/SSAT consensus guidelines</w:t>
      </w:r>
    </w:p>
    <w:tbl>
      <w:tblPr>
        <w:tblStyle w:val="ListTable3-Accent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9"/>
        <w:gridCol w:w="2257"/>
        <w:gridCol w:w="3739"/>
        <w:gridCol w:w="2641"/>
      </w:tblGrid>
      <w:tr w:rsidR="00242E41" w:rsidRPr="00242E41" w14:paraId="4C3BFCAF" w14:textId="77777777" w:rsidTr="00242E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24B864AB" w14:textId="77777777" w:rsidR="00242E41" w:rsidRPr="00242E41" w:rsidRDefault="00242E41" w:rsidP="00242E41">
            <w:pPr>
              <w:spacing w:line="360" w:lineRule="auto"/>
              <w:jc w:val="both"/>
              <w:rPr>
                <w:rFonts w:ascii="Book Antiqua" w:hAnsi="Book Antiqua" w:cstheme="minorHAnsi"/>
                <w:bCs w:val="0"/>
                <w:color w:val="auto"/>
              </w:rPr>
            </w:pPr>
          </w:p>
        </w:tc>
        <w:tc>
          <w:tcPr>
            <w:tcW w:w="0" w:type="auto"/>
            <w:tcBorders>
              <w:top w:val="single" w:sz="4" w:space="0" w:color="auto"/>
              <w:bottom w:val="single" w:sz="4" w:space="0" w:color="auto"/>
            </w:tcBorders>
            <w:shd w:val="clear" w:color="auto" w:fill="auto"/>
          </w:tcPr>
          <w:p w14:paraId="50FABA7A" w14:textId="77777777" w:rsidR="00242E41" w:rsidRPr="00242E41"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proofErr w:type="spellStart"/>
            <w:r w:rsidRPr="00242E41">
              <w:rPr>
                <w:rFonts w:ascii="Book Antiqua" w:hAnsi="Book Antiqua" w:cstheme="minorHAnsi"/>
                <w:bCs w:val="0"/>
                <w:color w:val="auto"/>
              </w:rPr>
              <w:t>Resectable</w:t>
            </w:r>
            <w:proofErr w:type="spellEnd"/>
          </w:p>
        </w:tc>
        <w:tc>
          <w:tcPr>
            <w:tcW w:w="0" w:type="auto"/>
            <w:tcBorders>
              <w:top w:val="single" w:sz="4" w:space="0" w:color="auto"/>
              <w:bottom w:val="single" w:sz="4" w:space="0" w:color="auto"/>
            </w:tcBorders>
            <w:shd w:val="clear" w:color="auto" w:fill="auto"/>
          </w:tcPr>
          <w:p w14:paraId="3DD0C9AA" w14:textId="77777777" w:rsidR="00242E41" w:rsidRPr="00242E41"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242E41">
              <w:rPr>
                <w:rFonts w:ascii="Book Antiqua" w:hAnsi="Book Antiqua" w:cstheme="minorHAnsi"/>
                <w:bCs w:val="0"/>
                <w:color w:val="auto"/>
              </w:rPr>
              <w:t>Borderline</w:t>
            </w:r>
          </w:p>
        </w:tc>
        <w:tc>
          <w:tcPr>
            <w:tcW w:w="0" w:type="auto"/>
            <w:tcBorders>
              <w:top w:val="single" w:sz="4" w:space="0" w:color="auto"/>
              <w:bottom w:val="single" w:sz="4" w:space="0" w:color="auto"/>
            </w:tcBorders>
            <w:shd w:val="clear" w:color="auto" w:fill="auto"/>
          </w:tcPr>
          <w:p w14:paraId="0DD55574" w14:textId="77777777" w:rsidR="00242E41" w:rsidRPr="00242E41"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242E41">
              <w:rPr>
                <w:rFonts w:ascii="Book Antiqua" w:hAnsi="Book Antiqua" w:cstheme="minorHAnsi"/>
                <w:bCs w:val="0"/>
                <w:color w:val="auto"/>
              </w:rPr>
              <w:t>Locally Advanced</w:t>
            </w:r>
          </w:p>
        </w:tc>
      </w:tr>
      <w:tr w:rsidR="00242E41" w:rsidRPr="00242E41" w14:paraId="1FBD5893" w14:textId="77777777" w:rsidTr="0024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3459B299" w14:textId="77777777" w:rsidR="00242E41" w:rsidRPr="00242E41" w:rsidRDefault="00242E41" w:rsidP="00242E41">
            <w:pPr>
              <w:spacing w:line="360" w:lineRule="auto"/>
              <w:jc w:val="both"/>
              <w:rPr>
                <w:rFonts w:ascii="Book Antiqua" w:hAnsi="Book Antiqua" w:cstheme="minorHAnsi"/>
                <w:b w:val="0"/>
                <w:bCs w:val="0"/>
              </w:rPr>
            </w:pPr>
            <w:r w:rsidRPr="00242E41">
              <w:rPr>
                <w:rFonts w:ascii="Book Antiqua" w:hAnsi="Book Antiqua" w:cstheme="minorHAnsi"/>
                <w:b w:val="0"/>
                <w:bCs w:val="0"/>
              </w:rPr>
              <w:t>SMV-PV</w:t>
            </w:r>
          </w:p>
        </w:tc>
        <w:tc>
          <w:tcPr>
            <w:tcW w:w="0" w:type="auto"/>
            <w:tcBorders>
              <w:top w:val="single" w:sz="4" w:space="0" w:color="auto"/>
              <w:bottom w:val="none" w:sz="0" w:space="0" w:color="auto"/>
            </w:tcBorders>
            <w:shd w:val="clear" w:color="auto" w:fill="auto"/>
          </w:tcPr>
          <w:p w14:paraId="70255612"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Uninvolved with tumor with clear fat planes around vessels</w:t>
            </w:r>
          </w:p>
        </w:tc>
        <w:tc>
          <w:tcPr>
            <w:tcW w:w="0" w:type="auto"/>
            <w:tcBorders>
              <w:top w:val="single" w:sz="4" w:space="0" w:color="auto"/>
              <w:bottom w:val="none" w:sz="0" w:space="0" w:color="auto"/>
            </w:tcBorders>
            <w:shd w:val="clear" w:color="auto" w:fill="auto"/>
          </w:tcPr>
          <w:p w14:paraId="6363DD1C"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Abutment, encasement, or occlusion of short segment of vein</w:t>
            </w:r>
          </w:p>
        </w:tc>
        <w:tc>
          <w:tcPr>
            <w:tcW w:w="0" w:type="auto"/>
            <w:tcBorders>
              <w:top w:val="single" w:sz="4" w:space="0" w:color="auto"/>
              <w:bottom w:val="none" w:sz="0" w:space="0" w:color="auto"/>
            </w:tcBorders>
            <w:shd w:val="clear" w:color="auto" w:fill="auto"/>
          </w:tcPr>
          <w:p w14:paraId="09265CA8"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Occlusion, thrombosis, or encasement extending several centimeters</w:t>
            </w:r>
          </w:p>
        </w:tc>
      </w:tr>
      <w:tr w:rsidR="00242E41" w:rsidRPr="00242E41" w14:paraId="4E7A352A" w14:textId="77777777" w:rsidTr="00242E41">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FBB414" w14:textId="77777777" w:rsidR="00242E41" w:rsidRPr="00242E41" w:rsidRDefault="00242E41" w:rsidP="00242E41">
            <w:pPr>
              <w:spacing w:line="360" w:lineRule="auto"/>
              <w:jc w:val="both"/>
              <w:rPr>
                <w:rFonts w:ascii="Book Antiqua" w:hAnsi="Book Antiqua" w:cstheme="minorHAnsi"/>
                <w:b w:val="0"/>
                <w:bCs w:val="0"/>
              </w:rPr>
            </w:pPr>
            <w:r w:rsidRPr="00242E41">
              <w:rPr>
                <w:rFonts w:ascii="Book Antiqua" w:hAnsi="Book Antiqua" w:cstheme="minorHAnsi"/>
                <w:b w:val="0"/>
                <w:bCs w:val="0"/>
              </w:rPr>
              <w:t>SMA</w:t>
            </w:r>
          </w:p>
        </w:tc>
        <w:tc>
          <w:tcPr>
            <w:tcW w:w="0" w:type="auto"/>
            <w:shd w:val="clear" w:color="auto" w:fill="auto"/>
          </w:tcPr>
          <w:p w14:paraId="7C383156" w14:textId="77777777" w:rsidR="00242E41" w:rsidRPr="00242E41"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42E41">
              <w:rPr>
                <w:rFonts w:ascii="Book Antiqua" w:hAnsi="Book Antiqua" w:cstheme="minorHAnsi"/>
              </w:rPr>
              <w:t>Uninvolved</w:t>
            </w:r>
          </w:p>
        </w:tc>
        <w:tc>
          <w:tcPr>
            <w:tcW w:w="0" w:type="auto"/>
            <w:shd w:val="clear" w:color="auto" w:fill="auto"/>
          </w:tcPr>
          <w:p w14:paraId="12C9BACA" w14:textId="77777777" w:rsidR="00242E41" w:rsidRPr="00242E41"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42E41">
              <w:rPr>
                <w:rFonts w:ascii="Book Antiqua" w:hAnsi="Book Antiqua" w:cstheme="minorHAnsi"/>
              </w:rPr>
              <w:t>Tumor abutment &lt;</w:t>
            </w:r>
            <w:r>
              <w:rPr>
                <w:rFonts w:ascii="Book Antiqua" w:hAnsi="Book Antiqua" w:cstheme="minorHAnsi" w:hint="eastAsia"/>
                <w:lang w:eastAsia="zh-CN"/>
              </w:rPr>
              <w:t xml:space="preserve"> </w:t>
            </w:r>
            <w:r w:rsidRPr="00242E41">
              <w:rPr>
                <w:rFonts w:ascii="Book Antiqua" w:hAnsi="Book Antiqua" w:cstheme="minorHAnsi"/>
              </w:rPr>
              <w:t>180°</w:t>
            </w:r>
          </w:p>
        </w:tc>
        <w:tc>
          <w:tcPr>
            <w:tcW w:w="0" w:type="auto"/>
            <w:shd w:val="clear" w:color="auto" w:fill="auto"/>
          </w:tcPr>
          <w:p w14:paraId="600F8550" w14:textId="77777777" w:rsidR="00242E41" w:rsidRPr="00242E41"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42E41">
              <w:rPr>
                <w:rFonts w:ascii="Book Antiqua" w:hAnsi="Book Antiqua" w:cstheme="minorHAnsi"/>
              </w:rPr>
              <w:t>Tumor abutment &gt;</w:t>
            </w:r>
            <w:r>
              <w:rPr>
                <w:rFonts w:ascii="Book Antiqua" w:hAnsi="Book Antiqua" w:cstheme="minorHAnsi" w:hint="eastAsia"/>
                <w:lang w:eastAsia="zh-CN"/>
              </w:rPr>
              <w:t xml:space="preserve"> </w:t>
            </w:r>
            <w:r w:rsidRPr="00242E41">
              <w:rPr>
                <w:rFonts w:ascii="Book Antiqua" w:hAnsi="Book Antiqua" w:cstheme="minorHAnsi"/>
              </w:rPr>
              <w:t>180° (encasement) or thrombosis of artery</w:t>
            </w:r>
          </w:p>
        </w:tc>
      </w:tr>
      <w:tr w:rsidR="00242E41" w:rsidRPr="00242E41" w14:paraId="0E76CC4E" w14:textId="77777777" w:rsidTr="0024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right w:val="none" w:sz="0" w:space="0" w:color="auto"/>
            </w:tcBorders>
            <w:shd w:val="clear" w:color="auto" w:fill="auto"/>
          </w:tcPr>
          <w:p w14:paraId="415663B3" w14:textId="77777777" w:rsidR="00242E41" w:rsidRPr="00242E41" w:rsidRDefault="00242E41" w:rsidP="00242E41">
            <w:pPr>
              <w:spacing w:line="360" w:lineRule="auto"/>
              <w:jc w:val="both"/>
              <w:rPr>
                <w:rFonts w:ascii="Book Antiqua" w:hAnsi="Book Antiqua" w:cstheme="minorHAnsi"/>
                <w:b w:val="0"/>
                <w:bCs w:val="0"/>
              </w:rPr>
            </w:pPr>
            <w:r w:rsidRPr="00242E41">
              <w:rPr>
                <w:rFonts w:ascii="Book Antiqua" w:hAnsi="Book Antiqua" w:cstheme="minorHAnsi"/>
                <w:b w:val="0"/>
                <w:bCs w:val="0"/>
              </w:rPr>
              <w:t>Celiac axis</w:t>
            </w:r>
          </w:p>
        </w:tc>
        <w:tc>
          <w:tcPr>
            <w:tcW w:w="0" w:type="auto"/>
            <w:tcBorders>
              <w:top w:val="none" w:sz="0" w:space="0" w:color="auto"/>
              <w:bottom w:val="single" w:sz="4" w:space="0" w:color="auto"/>
            </w:tcBorders>
            <w:shd w:val="clear" w:color="auto" w:fill="auto"/>
          </w:tcPr>
          <w:p w14:paraId="2A3BA2E5"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Uninvolved</w:t>
            </w:r>
          </w:p>
        </w:tc>
        <w:tc>
          <w:tcPr>
            <w:tcW w:w="0" w:type="auto"/>
            <w:tcBorders>
              <w:top w:val="none" w:sz="0" w:space="0" w:color="auto"/>
              <w:bottom w:val="single" w:sz="4" w:space="0" w:color="auto"/>
            </w:tcBorders>
            <w:shd w:val="clear" w:color="auto" w:fill="auto"/>
          </w:tcPr>
          <w:p w14:paraId="4CE4EF00"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Uninvolved celiac axis; short segment encasement or abutment of common hepatic artery may be amenable to resection and reconstruction</w:t>
            </w:r>
          </w:p>
        </w:tc>
        <w:tc>
          <w:tcPr>
            <w:tcW w:w="0" w:type="auto"/>
            <w:tcBorders>
              <w:top w:val="none" w:sz="0" w:space="0" w:color="auto"/>
              <w:bottom w:val="single" w:sz="4" w:space="0" w:color="auto"/>
            </w:tcBorders>
            <w:shd w:val="clear" w:color="auto" w:fill="auto"/>
          </w:tcPr>
          <w:p w14:paraId="05B1BB9B" w14:textId="77777777" w:rsidR="00242E41" w:rsidRPr="00242E41"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42E41">
              <w:rPr>
                <w:rFonts w:ascii="Book Antiqua" w:hAnsi="Book Antiqua" w:cstheme="minorHAnsi"/>
              </w:rPr>
              <w:t xml:space="preserve">Abutment or encasement of celiac axis indicates </w:t>
            </w:r>
            <w:proofErr w:type="spellStart"/>
            <w:r w:rsidRPr="00242E41">
              <w:rPr>
                <w:rFonts w:ascii="Book Antiqua" w:hAnsi="Book Antiqua" w:cstheme="minorHAnsi"/>
              </w:rPr>
              <w:t>unresectability</w:t>
            </w:r>
            <w:proofErr w:type="spellEnd"/>
          </w:p>
        </w:tc>
      </w:tr>
    </w:tbl>
    <w:p w14:paraId="7E887924" w14:textId="77777777" w:rsidR="007D7EBF" w:rsidRPr="00242E41" w:rsidRDefault="00242E41">
      <w:pPr>
        <w:spacing w:line="360" w:lineRule="auto"/>
        <w:jc w:val="both"/>
        <w:rPr>
          <w:rFonts w:ascii="Book Antiqua" w:hAnsi="Book Antiqua"/>
          <w:lang w:eastAsia="zh-CN"/>
        </w:rPr>
      </w:pPr>
      <w:r w:rsidRPr="00242E41">
        <w:rPr>
          <w:rFonts w:ascii="Book Antiqua" w:hAnsi="Book Antiqua"/>
          <w:lang w:eastAsia="zh-CN"/>
        </w:rPr>
        <w:t>SMV</w:t>
      </w:r>
      <w:r>
        <w:rPr>
          <w:rFonts w:ascii="Book Antiqua" w:hAnsi="Book Antiqua" w:hint="eastAsia"/>
          <w:lang w:eastAsia="zh-CN"/>
        </w:rPr>
        <w:t>:</w:t>
      </w:r>
      <w:r w:rsidRPr="00242E41">
        <w:rPr>
          <w:rFonts w:ascii="Book Antiqua" w:hAnsi="Book Antiqua"/>
          <w:lang w:eastAsia="zh-CN"/>
        </w:rPr>
        <w:t xml:space="preserve"> Superior mesenteric vein; PV</w:t>
      </w:r>
      <w:r>
        <w:rPr>
          <w:rFonts w:ascii="Book Antiqua" w:hAnsi="Book Antiqua" w:hint="eastAsia"/>
          <w:lang w:eastAsia="zh-CN"/>
        </w:rPr>
        <w:t>:</w:t>
      </w:r>
      <w:r w:rsidRPr="00242E41">
        <w:rPr>
          <w:rFonts w:ascii="Book Antiqua" w:hAnsi="Book Antiqua"/>
          <w:lang w:eastAsia="zh-CN"/>
        </w:rPr>
        <w:t xml:space="preserve"> Portal vein; SMA</w:t>
      </w:r>
      <w:r>
        <w:rPr>
          <w:rFonts w:ascii="Book Antiqua" w:hAnsi="Book Antiqua" w:hint="eastAsia"/>
          <w:lang w:eastAsia="zh-CN"/>
        </w:rPr>
        <w:t>:</w:t>
      </w:r>
      <w:r w:rsidRPr="00242E41">
        <w:rPr>
          <w:rFonts w:ascii="Book Antiqua" w:hAnsi="Book Antiqua"/>
          <w:lang w:eastAsia="zh-CN"/>
        </w:rPr>
        <w:t xml:space="preserve"> </w:t>
      </w:r>
      <w:r>
        <w:rPr>
          <w:rFonts w:ascii="Book Antiqua" w:hAnsi="Book Antiqua" w:hint="eastAsia"/>
          <w:lang w:eastAsia="zh-CN"/>
        </w:rPr>
        <w:t>S</w:t>
      </w:r>
      <w:r w:rsidRPr="00242E41">
        <w:rPr>
          <w:rFonts w:ascii="Book Antiqua" w:hAnsi="Book Antiqua"/>
          <w:lang w:eastAsia="zh-CN"/>
        </w:rPr>
        <w:t>uperior mesenteric artery</w:t>
      </w:r>
      <w:r>
        <w:rPr>
          <w:rFonts w:ascii="Book Antiqua" w:hAnsi="Book Antiqua" w:hint="eastAsia"/>
          <w:lang w:eastAsia="zh-CN"/>
        </w:rPr>
        <w:t>.</w:t>
      </w:r>
    </w:p>
    <w:sectPr w:rsidR="007D7EBF" w:rsidRPr="00242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21B9" w14:textId="77777777" w:rsidR="00E30CC9" w:rsidRDefault="00E30CC9" w:rsidP="004D4C2F">
      <w:r>
        <w:separator/>
      </w:r>
    </w:p>
  </w:endnote>
  <w:endnote w:type="continuationSeparator" w:id="0">
    <w:p w14:paraId="5E12854F" w14:textId="77777777" w:rsidR="00E30CC9" w:rsidRDefault="00E30CC9" w:rsidP="004D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4291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DDEA19E" w14:textId="3007831C" w:rsidR="004D4C2F" w:rsidRPr="004D4C2F" w:rsidRDefault="004D4C2F" w:rsidP="004D4C2F">
            <w:pPr>
              <w:pStyle w:val="ad"/>
              <w:jc w:val="right"/>
              <w:rPr>
                <w:rFonts w:ascii="Book Antiqua" w:hAnsi="Book Antiqua"/>
                <w:sz w:val="24"/>
                <w:szCs w:val="24"/>
              </w:rPr>
            </w:pPr>
            <w:r w:rsidRPr="004D4C2F">
              <w:rPr>
                <w:rFonts w:ascii="Book Antiqua" w:hAnsi="Book Antiqua"/>
                <w:sz w:val="24"/>
                <w:szCs w:val="24"/>
                <w:lang w:val="zh-CN" w:eastAsia="zh-CN"/>
              </w:rPr>
              <w:t xml:space="preserve"> </w:t>
            </w:r>
            <w:r w:rsidRPr="004D4C2F">
              <w:rPr>
                <w:rFonts w:ascii="Book Antiqua" w:hAnsi="Book Antiqua"/>
                <w:bCs/>
                <w:sz w:val="24"/>
                <w:szCs w:val="24"/>
              </w:rPr>
              <w:fldChar w:fldCharType="begin"/>
            </w:r>
            <w:r w:rsidRPr="004D4C2F">
              <w:rPr>
                <w:rFonts w:ascii="Book Antiqua" w:hAnsi="Book Antiqua"/>
                <w:bCs/>
                <w:sz w:val="24"/>
                <w:szCs w:val="24"/>
              </w:rPr>
              <w:instrText>PAGE</w:instrText>
            </w:r>
            <w:r w:rsidRPr="004D4C2F">
              <w:rPr>
                <w:rFonts w:ascii="Book Antiqua" w:hAnsi="Book Antiqua"/>
                <w:bCs/>
                <w:sz w:val="24"/>
                <w:szCs w:val="24"/>
              </w:rPr>
              <w:fldChar w:fldCharType="separate"/>
            </w:r>
            <w:r w:rsidR="00251E15">
              <w:rPr>
                <w:rFonts w:ascii="Book Antiqua" w:hAnsi="Book Antiqua"/>
                <w:bCs/>
                <w:noProof/>
                <w:sz w:val="24"/>
                <w:szCs w:val="24"/>
              </w:rPr>
              <w:t>28</w:t>
            </w:r>
            <w:r w:rsidRPr="004D4C2F">
              <w:rPr>
                <w:rFonts w:ascii="Book Antiqua" w:hAnsi="Book Antiqua"/>
                <w:bCs/>
                <w:sz w:val="24"/>
                <w:szCs w:val="24"/>
              </w:rPr>
              <w:fldChar w:fldCharType="end"/>
            </w:r>
            <w:r w:rsidRPr="004D4C2F">
              <w:rPr>
                <w:rFonts w:ascii="Book Antiqua" w:hAnsi="Book Antiqua"/>
                <w:sz w:val="24"/>
                <w:szCs w:val="24"/>
                <w:lang w:val="zh-CN" w:eastAsia="zh-CN"/>
              </w:rPr>
              <w:t xml:space="preserve"> / </w:t>
            </w:r>
            <w:r w:rsidRPr="004D4C2F">
              <w:rPr>
                <w:rFonts w:ascii="Book Antiqua" w:hAnsi="Book Antiqua"/>
                <w:bCs/>
                <w:sz w:val="24"/>
                <w:szCs w:val="24"/>
              </w:rPr>
              <w:fldChar w:fldCharType="begin"/>
            </w:r>
            <w:r w:rsidRPr="004D4C2F">
              <w:rPr>
                <w:rFonts w:ascii="Book Antiqua" w:hAnsi="Book Antiqua"/>
                <w:bCs/>
                <w:sz w:val="24"/>
                <w:szCs w:val="24"/>
              </w:rPr>
              <w:instrText>NUMPAGES</w:instrText>
            </w:r>
            <w:r w:rsidRPr="004D4C2F">
              <w:rPr>
                <w:rFonts w:ascii="Book Antiqua" w:hAnsi="Book Antiqua"/>
                <w:bCs/>
                <w:sz w:val="24"/>
                <w:szCs w:val="24"/>
              </w:rPr>
              <w:fldChar w:fldCharType="separate"/>
            </w:r>
            <w:r w:rsidR="00251E15">
              <w:rPr>
                <w:rFonts w:ascii="Book Antiqua" w:hAnsi="Book Antiqua"/>
                <w:bCs/>
                <w:noProof/>
                <w:sz w:val="24"/>
                <w:szCs w:val="24"/>
              </w:rPr>
              <w:t>32</w:t>
            </w:r>
            <w:r w:rsidRPr="004D4C2F">
              <w:rPr>
                <w:rFonts w:ascii="Book Antiqua" w:hAnsi="Book Antiqua"/>
                <w:bCs/>
                <w:sz w:val="24"/>
                <w:szCs w:val="24"/>
              </w:rPr>
              <w:fldChar w:fldCharType="end"/>
            </w:r>
          </w:p>
        </w:sdtContent>
      </w:sdt>
    </w:sdtContent>
  </w:sdt>
  <w:p w14:paraId="60EB279A" w14:textId="77777777" w:rsidR="004D4C2F" w:rsidRPr="004D4C2F" w:rsidRDefault="004D4C2F" w:rsidP="004D4C2F">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D271" w14:textId="77777777" w:rsidR="00E30CC9" w:rsidRDefault="00E30CC9" w:rsidP="004D4C2F">
      <w:r>
        <w:separator/>
      </w:r>
    </w:p>
  </w:footnote>
  <w:footnote w:type="continuationSeparator" w:id="0">
    <w:p w14:paraId="04B59606" w14:textId="77777777" w:rsidR="00E30CC9" w:rsidRDefault="00E30CC9" w:rsidP="004D4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39CB"/>
    <w:rsid w:val="0019005F"/>
    <w:rsid w:val="0023373D"/>
    <w:rsid w:val="00242E41"/>
    <w:rsid w:val="00251E15"/>
    <w:rsid w:val="002B2702"/>
    <w:rsid w:val="002C2D2E"/>
    <w:rsid w:val="004D22BF"/>
    <w:rsid w:val="004D4C2F"/>
    <w:rsid w:val="005F15E4"/>
    <w:rsid w:val="00782953"/>
    <w:rsid w:val="007D7EBF"/>
    <w:rsid w:val="0082227B"/>
    <w:rsid w:val="008631D3"/>
    <w:rsid w:val="00886748"/>
    <w:rsid w:val="008D1710"/>
    <w:rsid w:val="00900524"/>
    <w:rsid w:val="00942F20"/>
    <w:rsid w:val="009B116B"/>
    <w:rsid w:val="00A74397"/>
    <w:rsid w:val="00A77B3E"/>
    <w:rsid w:val="00BD7BFD"/>
    <w:rsid w:val="00CA2A55"/>
    <w:rsid w:val="00D0244E"/>
    <w:rsid w:val="00DB2156"/>
    <w:rsid w:val="00DE4C87"/>
    <w:rsid w:val="00E30CC9"/>
    <w:rsid w:val="00EC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0B5DD"/>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B2702"/>
    <w:rPr>
      <w:sz w:val="21"/>
      <w:szCs w:val="21"/>
    </w:rPr>
  </w:style>
  <w:style w:type="paragraph" w:styleId="a4">
    <w:name w:val="annotation text"/>
    <w:basedOn w:val="a"/>
    <w:link w:val="a5"/>
    <w:rsid w:val="002B2702"/>
  </w:style>
  <w:style w:type="character" w:customStyle="1" w:styleId="a5">
    <w:name w:val="批注文字 字符"/>
    <w:basedOn w:val="a0"/>
    <w:link w:val="a4"/>
    <w:rsid w:val="002B2702"/>
    <w:rPr>
      <w:sz w:val="24"/>
      <w:szCs w:val="24"/>
    </w:rPr>
  </w:style>
  <w:style w:type="paragraph" w:styleId="a6">
    <w:name w:val="annotation subject"/>
    <w:basedOn w:val="a4"/>
    <w:next w:val="a4"/>
    <w:link w:val="a7"/>
    <w:rsid w:val="002B2702"/>
    <w:rPr>
      <w:b/>
      <w:bCs/>
    </w:rPr>
  </w:style>
  <w:style w:type="character" w:customStyle="1" w:styleId="a7">
    <w:name w:val="批注主题 字符"/>
    <w:basedOn w:val="a5"/>
    <w:link w:val="a6"/>
    <w:rsid w:val="002B2702"/>
    <w:rPr>
      <w:b/>
      <w:bCs/>
      <w:sz w:val="24"/>
      <w:szCs w:val="24"/>
    </w:rPr>
  </w:style>
  <w:style w:type="paragraph" w:styleId="a8">
    <w:name w:val="Balloon Text"/>
    <w:basedOn w:val="a"/>
    <w:link w:val="a9"/>
    <w:rsid w:val="002B2702"/>
    <w:rPr>
      <w:sz w:val="18"/>
      <w:szCs w:val="18"/>
    </w:rPr>
  </w:style>
  <w:style w:type="character" w:customStyle="1" w:styleId="a9">
    <w:name w:val="批注框文本 字符"/>
    <w:basedOn w:val="a0"/>
    <w:link w:val="a8"/>
    <w:rsid w:val="002B2702"/>
    <w:rPr>
      <w:sz w:val="18"/>
      <w:szCs w:val="18"/>
    </w:rPr>
  </w:style>
  <w:style w:type="character" w:styleId="aa">
    <w:name w:val="Hyperlink"/>
    <w:basedOn w:val="a0"/>
    <w:rsid w:val="00D0244E"/>
    <w:rPr>
      <w:color w:val="0000FF" w:themeColor="hyperlink"/>
      <w:u w:val="single"/>
    </w:rPr>
  </w:style>
  <w:style w:type="table" w:customStyle="1" w:styleId="ListTable3-Accent11">
    <w:name w:val="List Table 3 - Accent 11"/>
    <w:basedOn w:val="a1"/>
    <w:uiPriority w:val="48"/>
    <w:rsid w:val="007D7EBF"/>
    <w:rPr>
      <w:rFonts w:asciiTheme="minorHAnsi" w:hAnsiTheme="minorHAnsi" w:cstheme="minorBid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b">
    <w:name w:val="header"/>
    <w:basedOn w:val="a"/>
    <w:link w:val="ac"/>
    <w:rsid w:val="004D4C2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D4C2F"/>
    <w:rPr>
      <w:sz w:val="18"/>
      <w:szCs w:val="18"/>
    </w:rPr>
  </w:style>
  <w:style w:type="paragraph" w:styleId="ad">
    <w:name w:val="footer"/>
    <w:basedOn w:val="a"/>
    <w:link w:val="ae"/>
    <w:uiPriority w:val="99"/>
    <w:rsid w:val="004D4C2F"/>
    <w:pPr>
      <w:tabs>
        <w:tab w:val="center" w:pos="4153"/>
        <w:tab w:val="right" w:pos="8306"/>
      </w:tabs>
      <w:snapToGrid w:val="0"/>
    </w:pPr>
    <w:rPr>
      <w:sz w:val="18"/>
      <w:szCs w:val="18"/>
    </w:rPr>
  </w:style>
  <w:style w:type="character" w:customStyle="1" w:styleId="ae">
    <w:name w:val="页脚 字符"/>
    <w:basedOn w:val="a0"/>
    <w:link w:val="ad"/>
    <w:uiPriority w:val="99"/>
    <w:rsid w:val="004D4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8594</Words>
  <Characters>48990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2021-06-25T13:39:00Z</dcterms:created>
  <dcterms:modified xsi:type="dcterms:W3CDTF">2021-07-05T09:46:00Z</dcterms:modified>
</cp:coreProperties>
</file>