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CE5B4" w14:textId="77777777" w:rsidR="00A77B3E" w:rsidRDefault="009819D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2984FE50" w14:textId="70BE427E" w:rsidR="00A77B3E" w:rsidRDefault="009819D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63592</w:t>
      </w:r>
    </w:p>
    <w:p w14:paraId="6E1D0752" w14:textId="77777777" w:rsidR="00A77B3E" w:rsidRDefault="009819D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6AAEC0D5" w14:textId="77777777" w:rsidR="00A77B3E" w:rsidRDefault="00A77B3E">
      <w:pPr>
        <w:spacing w:line="360" w:lineRule="auto"/>
        <w:jc w:val="both"/>
      </w:pPr>
    </w:p>
    <w:p w14:paraId="4D28A8E2" w14:textId="5213AC4B" w:rsidR="00A77B3E" w:rsidRDefault="009819DF">
      <w:pPr>
        <w:spacing w:line="360" w:lineRule="auto"/>
        <w:jc w:val="both"/>
      </w:pPr>
      <w:r>
        <w:rPr>
          <w:rFonts w:ascii="Book Antiqua" w:eastAsia="Book Antiqua" w:hAnsi="Book Antiqua" w:cs="Book Antiqua"/>
          <w:b/>
          <w:bCs/>
          <w:color w:val="000000"/>
        </w:rPr>
        <w:t>Targeting of elevated cell surface phosphatidylserine with saposin C-dioleoylphosphatidylserine nanodrug as</w:t>
      </w:r>
      <w:r w:rsidR="00C80131">
        <w:rPr>
          <w:rFonts w:ascii="Book Antiqua" w:eastAsia="Book Antiqua" w:hAnsi="Book Antiqua" w:cs="Book Antiqua"/>
          <w:b/>
          <w:bCs/>
          <w:color w:val="000000"/>
        </w:rPr>
        <w:t xml:space="preserve"> </w:t>
      </w:r>
      <w:r>
        <w:rPr>
          <w:rFonts w:ascii="Book Antiqua" w:eastAsia="Book Antiqua" w:hAnsi="Book Antiqua" w:cs="Book Antiqua"/>
          <w:b/>
          <w:bCs/>
          <w:color w:val="000000"/>
        </w:rPr>
        <w:t>individual or combination therapy for pancreatic cancer</w:t>
      </w:r>
    </w:p>
    <w:p w14:paraId="2BE3C975" w14:textId="77777777" w:rsidR="00A77B3E" w:rsidRDefault="00A77B3E">
      <w:pPr>
        <w:spacing w:line="360" w:lineRule="auto"/>
        <w:jc w:val="both"/>
      </w:pPr>
    </w:p>
    <w:p w14:paraId="5CB461CC" w14:textId="4F6805C6" w:rsidR="00A77B3E" w:rsidRDefault="0071501E">
      <w:pPr>
        <w:spacing w:line="360" w:lineRule="auto"/>
        <w:jc w:val="both"/>
      </w:pPr>
      <w:r>
        <w:rPr>
          <w:rFonts w:ascii="Book Antiqua" w:eastAsia="Book Antiqua" w:hAnsi="Book Antiqua" w:cs="Book Antiqua"/>
          <w:color w:val="000000"/>
        </w:rPr>
        <w:t xml:space="preserve">Davis HW </w:t>
      </w:r>
      <w:r w:rsidRPr="0071501E">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9819DF">
        <w:rPr>
          <w:rFonts w:ascii="Book Antiqua" w:eastAsia="Book Antiqua" w:hAnsi="Book Antiqua" w:cs="Book Antiqua"/>
          <w:color w:val="000000"/>
        </w:rPr>
        <w:t>Phosphatidylserine-selective therapies for pancreatic cancer</w:t>
      </w:r>
    </w:p>
    <w:p w14:paraId="0F18B637" w14:textId="77777777" w:rsidR="00A77B3E" w:rsidRDefault="00A77B3E">
      <w:pPr>
        <w:spacing w:line="360" w:lineRule="auto"/>
        <w:jc w:val="both"/>
      </w:pPr>
    </w:p>
    <w:p w14:paraId="42130D0F" w14:textId="77777777" w:rsidR="00A77B3E" w:rsidRDefault="009819DF">
      <w:pPr>
        <w:spacing w:line="360" w:lineRule="auto"/>
        <w:jc w:val="both"/>
      </w:pPr>
      <w:r>
        <w:rPr>
          <w:rFonts w:ascii="Book Antiqua" w:eastAsia="Book Antiqua" w:hAnsi="Book Antiqua" w:cs="Book Antiqua"/>
          <w:color w:val="000000"/>
        </w:rPr>
        <w:t>Harold W Davis, Ahmet Kaynak, Subrahmanya D Vallabhapurapu, Xiaoyang Qi</w:t>
      </w:r>
    </w:p>
    <w:p w14:paraId="6FE8D150" w14:textId="77777777" w:rsidR="00A77B3E" w:rsidRDefault="00A77B3E">
      <w:pPr>
        <w:spacing w:line="360" w:lineRule="auto"/>
        <w:jc w:val="both"/>
      </w:pPr>
    </w:p>
    <w:p w14:paraId="51B2D43C" w14:textId="77777777" w:rsidR="00A77B3E" w:rsidRDefault="009819DF">
      <w:pPr>
        <w:spacing w:line="360" w:lineRule="auto"/>
        <w:jc w:val="both"/>
      </w:pPr>
      <w:r>
        <w:rPr>
          <w:rFonts w:ascii="Book Antiqua" w:eastAsia="Book Antiqua" w:hAnsi="Book Antiqua" w:cs="Book Antiqua"/>
          <w:b/>
          <w:bCs/>
          <w:color w:val="000000"/>
        </w:rPr>
        <w:t xml:space="preserve">Harold W Davis, Ahmet Kaynak, Subrahmanya D Vallabhapurapu, Xiaoyang Qi, </w:t>
      </w:r>
      <w:r>
        <w:rPr>
          <w:rFonts w:ascii="Book Antiqua" w:eastAsia="Book Antiqua" w:hAnsi="Book Antiqua" w:cs="Book Antiqua"/>
          <w:color w:val="000000"/>
        </w:rPr>
        <w:t>Division of Hematology/Oncology, Department of Internal Medicine, University of Cincinnati College of Medicine, Brain Tumor Center at UC Neuroscience Institute, Cincinnati, OH 45267, United States</w:t>
      </w:r>
    </w:p>
    <w:p w14:paraId="5484EA79" w14:textId="77777777" w:rsidR="00A77B3E" w:rsidRDefault="00A77B3E">
      <w:pPr>
        <w:spacing w:line="360" w:lineRule="auto"/>
        <w:jc w:val="both"/>
      </w:pPr>
    </w:p>
    <w:p w14:paraId="0A23F449" w14:textId="77777777" w:rsidR="00A77B3E" w:rsidRDefault="009819DF">
      <w:pPr>
        <w:spacing w:line="360" w:lineRule="auto"/>
        <w:jc w:val="both"/>
      </w:pPr>
      <w:r>
        <w:rPr>
          <w:rFonts w:ascii="Book Antiqua" w:eastAsia="Book Antiqua" w:hAnsi="Book Antiqua" w:cs="Book Antiqua"/>
          <w:b/>
          <w:bCs/>
          <w:color w:val="000000"/>
        </w:rPr>
        <w:t xml:space="preserve">Ahmet Kaynak, Xiaoyang Qi, </w:t>
      </w:r>
      <w:r>
        <w:rPr>
          <w:rFonts w:ascii="Book Antiqua" w:eastAsia="Book Antiqua" w:hAnsi="Book Antiqua" w:cs="Book Antiqua"/>
          <w:color w:val="000000"/>
        </w:rPr>
        <w:t>Department of Biomedical Engineering, College of Engineering and Applied Science, University of Cincinnati, Cincinnati, OH 45221, United States</w:t>
      </w:r>
    </w:p>
    <w:p w14:paraId="205F3D35" w14:textId="77777777" w:rsidR="00A77B3E" w:rsidRDefault="00A77B3E">
      <w:pPr>
        <w:spacing w:line="360" w:lineRule="auto"/>
        <w:jc w:val="both"/>
      </w:pPr>
    </w:p>
    <w:p w14:paraId="00BBE5F0" w14:textId="48FE61CA" w:rsidR="00A77B3E" w:rsidRDefault="009819DF">
      <w:pPr>
        <w:spacing w:line="360" w:lineRule="auto"/>
        <w:jc w:val="both"/>
      </w:pPr>
      <w:r>
        <w:rPr>
          <w:rFonts w:ascii="Book Antiqua" w:eastAsia="Book Antiqua" w:hAnsi="Book Antiqua" w:cs="Book Antiqua"/>
          <w:b/>
          <w:bCs/>
          <w:color w:val="000000"/>
        </w:rPr>
        <w:t xml:space="preserve">Author contributions: </w:t>
      </w:r>
      <w:r w:rsidR="0071501E">
        <w:rPr>
          <w:rFonts w:ascii="Book Antiqua" w:eastAsia="Book Antiqua" w:hAnsi="Book Antiqua" w:cs="Book Antiqua"/>
          <w:color w:val="000000"/>
        </w:rPr>
        <w:t>Davis HW</w:t>
      </w:r>
      <w:r>
        <w:rPr>
          <w:rFonts w:ascii="Book Antiqua" w:eastAsia="Book Antiqua" w:hAnsi="Book Antiqua" w:cs="Book Antiqua"/>
          <w:color w:val="000000"/>
        </w:rPr>
        <w:t xml:space="preserve"> and Qi </w:t>
      </w:r>
      <w:r w:rsidR="0071501E">
        <w:rPr>
          <w:rFonts w:ascii="Book Antiqua" w:eastAsia="Book Antiqua" w:hAnsi="Book Antiqua" w:cs="Book Antiqua"/>
          <w:color w:val="000000"/>
        </w:rPr>
        <w:t xml:space="preserve">X </w:t>
      </w:r>
      <w:r>
        <w:rPr>
          <w:rFonts w:ascii="Book Antiqua" w:eastAsia="Book Antiqua" w:hAnsi="Book Antiqua" w:cs="Book Antiqua"/>
          <w:color w:val="000000"/>
        </w:rPr>
        <w:t>conceptualized the review</w:t>
      </w:r>
      <w:r w:rsidR="0071501E">
        <w:rPr>
          <w:rFonts w:ascii="Book Antiqua" w:eastAsia="Book Antiqua" w:hAnsi="Book Antiqua" w:cs="Book Antiqua"/>
          <w:color w:val="000000"/>
        </w:rPr>
        <w:t>;</w:t>
      </w:r>
      <w:r>
        <w:rPr>
          <w:rFonts w:ascii="Book Antiqua" w:eastAsia="Book Antiqua" w:hAnsi="Book Antiqua" w:cs="Book Antiqua"/>
          <w:color w:val="000000"/>
        </w:rPr>
        <w:t xml:space="preserve"> Kaynak </w:t>
      </w:r>
      <w:r w:rsidR="0071501E">
        <w:rPr>
          <w:rFonts w:ascii="Book Antiqua" w:eastAsia="Book Antiqua" w:hAnsi="Book Antiqua" w:cs="Book Antiqua"/>
          <w:color w:val="000000"/>
        </w:rPr>
        <w:t xml:space="preserve">A </w:t>
      </w:r>
      <w:r>
        <w:rPr>
          <w:rFonts w:ascii="Book Antiqua" w:eastAsia="Book Antiqua" w:hAnsi="Book Antiqua" w:cs="Book Antiqua"/>
          <w:color w:val="000000"/>
        </w:rPr>
        <w:t>helped generate the figures</w:t>
      </w:r>
      <w:r w:rsidR="0071501E">
        <w:rPr>
          <w:rFonts w:ascii="Book Antiqua" w:eastAsia="Book Antiqua" w:hAnsi="Book Antiqua" w:cs="Book Antiqua"/>
          <w:color w:val="000000"/>
        </w:rPr>
        <w:t>;</w:t>
      </w:r>
      <w:r>
        <w:rPr>
          <w:rFonts w:ascii="Book Antiqua" w:eastAsia="Book Antiqua" w:hAnsi="Book Antiqua" w:cs="Book Antiqua"/>
          <w:color w:val="000000"/>
        </w:rPr>
        <w:t xml:space="preserve"> </w:t>
      </w:r>
      <w:r w:rsidR="0071501E">
        <w:rPr>
          <w:rFonts w:ascii="Book Antiqua" w:eastAsia="Book Antiqua" w:hAnsi="Book Antiqua" w:cs="Book Antiqua"/>
          <w:color w:val="000000"/>
        </w:rPr>
        <w:t>a</w:t>
      </w:r>
      <w:r>
        <w:rPr>
          <w:rFonts w:ascii="Book Antiqua" w:eastAsia="Book Antiqua" w:hAnsi="Book Antiqua" w:cs="Book Antiqua"/>
          <w:color w:val="000000"/>
        </w:rPr>
        <w:t>ll authors made major contributions to the review’s literature search and contributed to drafting the manuscript</w:t>
      </w:r>
      <w:r w:rsidR="0071501E">
        <w:rPr>
          <w:rFonts w:ascii="Book Antiqua" w:eastAsia="Book Antiqua" w:hAnsi="Book Antiqua" w:cs="Book Antiqua"/>
          <w:color w:val="000000"/>
        </w:rPr>
        <w:t>;</w:t>
      </w:r>
      <w:r>
        <w:rPr>
          <w:rFonts w:ascii="Book Antiqua" w:eastAsia="Book Antiqua" w:hAnsi="Book Antiqua" w:cs="Book Antiqua"/>
          <w:color w:val="000000"/>
        </w:rPr>
        <w:t xml:space="preserve"> </w:t>
      </w:r>
      <w:r w:rsidR="0071501E">
        <w:rPr>
          <w:rFonts w:ascii="Book Antiqua" w:eastAsia="Book Antiqua" w:hAnsi="Book Antiqua" w:cs="Book Antiqua"/>
          <w:color w:val="000000"/>
        </w:rPr>
        <w:t>a</w:t>
      </w:r>
      <w:r>
        <w:rPr>
          <w:rFonts w:ascii="Book Antiqua" w:eastAsia="Book Antiqua" w:hAnsi="Book Antiqua" w:cs="Book Antiqua"/>
          <w:color w:val="000000"/>
        </w:rPr>
        <w:t>ll authors contributed to some or all of our laboratory’s original studies discussed in this review</w:t>
      </w:r>
      <w:r w:rsidR="0071501E">
        <w:rPr>
          <w:rFonts w:ascii="Book Antiqua" w:eastAsia="Book Antiqua" w:hAnsi="Book Antiqua" w:cs="Book Antiqua"/>
          <w:color w:val="000000"/>
        </w:rPr>
        <w:t>;</w:t>
      </w:r>
      <w:r>
        <w:rPr>
          <w:rFonts w:ascii="Book Antiqua" w:eastAsia="Book Antiqua" w:hAnsi="Book Antiqua" w:cs="Book Antiqua"/>
          <w:color w:val="000000"/>
        </w:rPr>
        <w:t xml:space="preserve"> </w:t>
      </w:r>
      <w:r w:rsidR="0071501E">
        <w:rPr>
          <w:rFonts w:ascii="Book Antiqua" w:eastAsia="Book Antiqua" w:hAnsi="Book Antiqua" w:cs="Book Antiqua"/>
          <w:color w:val="000000"/>
        </w:rPr>
        <w:t>a</w:t>
      </w:r>
      <w:r>
        <w:rPr>
          <w:rFonts w:ascii="Book Antiqua" w:eastAsia="Book Antiqua" w:hAnsi="Book Antiqua" w:cs="Book Antiqua"/>
          <w:color w:val="000000"/>
        </w:rPr>
        <w:t>ll authors provided critical review and approved the final manuscript before submission.</w:t>
      </w:r>
    </w:p>
    <w:p w14:paraId="4370C6D5" w14:textId="77777777" w:rsidR="00A77B3E" w:rsidRDefault="00A77B3E">
      <w:pPr>
        <w:spacing w:line="360" w:lineRule="auto"/>
        <w:jc w:val="both"/>
      </w:pPr>
    </w:p>
    <w:p w14:paraId="5888BE62" w14:textId="4040735C" w:rsidR="00A77B3E" w:rsidRDefault="009819DF">
      <w:pPr>
        <w:spacing w:line="360" w:lineRule="auto"/>
        <w:jc w:val="both"/>
      </w:pPr>
      <w:r>
        <w:rPr>
          <w:rFonts w:ascii="Book Antiqua" w:eastAsia="Book Antiqua" w:hAnsi="Book Antiqua" w:cs="Book Antiqua"/>
          <w:b/>
          <w:bCs/>
          <w:color w:val="000000"/>
          <w:szCs w:val="22"/>
        </w:rPr>
        <w:t xml:space="preserve">Supported by </w:t>
      </w:r>
      <w:r>
        <w:rPr>
          <w:rFonts w:ascii="Book Antiqua" w:eastAsia="Book Antiqua" w:hAnsi="Book Antiqua" w:cs="Book Antiqua"/>
          <w:color w:val="000000"/>
        </w:rPr>
        <w:t>Pancreatic Cancer Action Network Translational Research Grant</w:t>
      </w:r>
      <w:r w:rsidR="0071501E">
        <w:rPr>
          <w:rFonts w:ascii="Book Antiqua" w:eastAsia="Book Antiqua" w:hAnsi="Book Antiqua" w:cs="Book Antiqua"/>
          <w:color w:val="000000"/>
        </w:rPr>
        <w:t>,</w:t>
      </w:r>
      <w:r>
        <w:rPr>
          <w:rFonts w:ascii="Book Antiqua" w:eastAsia="Book Antiqua" w:hAnsi="Book Antiqua" w:cs="Book Antiqua"/>
          <w:color w:val="000000"/>
        </w:rPr>
        <w:t xml:space="preserve"> </w:t>
      </w:r>
      <w:r w:rsidR="0071501E">
        <w:rPr>
          <w:rFonts w:ascii="Book Antiqua" w:eastAsia="Book Antiqua" w:hAnsi="Book Antiqua" w:cs="Book Antiqua"/>
          <w:color w:val="000000"/>
        </w:rPr>
        <w:t xml:space="preserve">No. </w:t>
      </w:r>
      <w:r>
        <w:rPr>
          <w:rFonts w:ascii="Book Antiqua" w:eastAsia="Book Antiqua" w:hAnsi="Book Antiqua" w:cs="Book Antiqua"/>
          <w:color w:val="000000"/>
        </w:rPr>
        <w:t>20-65-QIXI</w:t>
      </w:r>
      <w:r w:rsidR="0071501E">
        <w:rPr>
          <w:rFonts w:ascii="Book Antiqua" w:eastAsia="Book Antiqua" w:hAnsi="Book Antiqua" w:cs="Book Antiqua"/>
          <w:color w:val="000000"/>
        </w:rPr>
        <w:t>;</w:t>
      </w:r>
      <w:r>
        <w:rPr>
          <w:rFonts w:ascii="Book Antiqua" w:eastAsia="Book Antiqua" w:hAnsi="Book Antiqua" w:cs="Book Antiqua"/>
          <w:color w:val="000000"/>
        </w:rPr>
        <w:t xml:space="preserve"> Give Hope </w:t>
      </w:r>
      <w:r w:rsidR="0071501E">
        <w:rPr>
          <w:rFonts w:ascii="Book Antiqua" w:eastAsia="Book Antiqua" w:hAnsi="Book Antiqua" w:cs="Book Antiqua"/>
          <w:color w:val="000000"/>
        </w:rPr>
        <w:t>F</w:t>
      </w:r>
      <w:r>
        <w:rPr>
          <w:rFonts w:ascii="Book Antiqua" w:eastAsia="Book Antiqua" w:hAnsi="Book Antiqua" w:cs="Book Antiqua"/>
          <w:color w:val="000000"/>
        </w:rPr>
        <w:t xml:space="preserve">oundation, </w:t>
      </w:r>
      <w:r w:rsidR="0071501E" w:rsidRPr="0071501E">
        <w:rPr>
          <w:rFonts w:ascii="Book Antiqua" w:eastAsia="Book Antiqua" w:hAnsi="Book Antiqua" w:cs="Book Antiqua"/>
          <w:color w:val="000000"/>
        </w:rPr>
        <w:t>National Institutes of Health</w:t>
      </w:r>
      <w:r w:rsidR="0071501E">
        <w:rPr>
          <w:rFonts w:ascii="Book Antiqua" w:eastAsia="Book Antiqua" w:hAnsi="Book Antiqua" w:cs="Book Antiqua"/>
          <w:color w:val="000000"/>
        </w:rPr>
        <w:t xml:space="preserve">, No. </w:t>
      </w:r>
      <w:r>
        <w:rPr>
          <w:rFonts w:ascii="Book Antiqua" w:eastAsia="Book Antiqua" w:hAnsi="Book Antiqua" w:cs="Book Antiqua"/>
          <w:color w:val="000000"/>
        </w:rPr>
        <w:t xml:space="preserve">R01CA158372 and </w:t>
      </w:r>
      <w:r w:rsidR="0071501E">
        <w:rPr>
          <w:rFonts w:ascii="Book Antiqua" w:eastAsia="Book Antiqua" w:hAnsi="Book Antiqua" w:cs="Book Antiqua"/>
          <w:color w:val="000000"/>
        </w:rPr>
        <w:lastRenderedPageBreak/>
        <w:t xml:space="preserve">No. </w:t>
      </w:r>
      <w:r>
        <w:rPr>
          <w:rFonts w:ascii="Book Antiqua" w:eastAsia="Book Antiqua" w:hAnsi="Book Antiqua" w:cs="Book Antiqua"/>
          <w:color w:val="000000"/>
        </w:rPr>
        <w:t>R21NS095047</w:t>
      </w:r>
      <w:r w:rsidR="0071501E">
        <w:rPr>
          <w:rFonts w:ascii="Book Antiqua" w:eastAsia="Book Antiqua" w:hAnsi="Book Antiqua" w:cs="Book Antiqua"/>
          <w:color w:val="000000"/>
        </w:rPr>
        <w:t>;</w:t>
      </w:r>
      <w:r>
        <w:rPr>
          <w:rFonts w:ascii="Book Antiqua" w:eastAsia="Book Antiqua" w:hAnsi="Book Antiqua" w:cs="Book Antiqua"/>
          <w:color w:val="000000"/>
        </w:rPr>
        <w:t xml:space="preserve"> </w:t>
      </w:r>
      <w:r w:rsidR="0071501E">
        <w:rPr>
          <w:rFonts w:ascii="Book Antiqua" w:eastAsia="Book Antiqua" w:hAnsi="Book Antiqua" w:cs="Book Antiqua"/>
          <w:color w:val="000000"/>
        </w:rPr>
        <w:t xml:space="preserve">and </w:t>
      </w:r>
      <w:r>
        <w:rPr>
          <w:rFonts w:ascii="Book Antiqua" w:eastAsia="Book Antiqua" w:hAnsi="Book Antiqua" w:cs="Book Antiqua"/>
          <w:color w:val="000000"/>
        </w:rPr>
        <w:t xml:space="preserve">CCTST Pilot Collaborative Studies, Bearcats </w:t>
      </w:r>
      <w:r w:rsidR="0071501E">
        <w:rPr>
          <w:rFonts w:ascii="Book Antiqua" w:eastAsia="Book Antiqua" w:hAnsi="Book Antiqua" w:cs="Book Antiqua"/>
          <w:color w:val="000000"/>
        </w:rPr>
        <w:t>Against Ca</w:t>
      </w:r>
      <w:r>
        <w:rPr>
          <w:rFonts w:ascii="Book Antiqua" w:eastAsia="Book Antiqua" w:hAnsi="Book Antiqua" w:cs="Book Antiqua"/>
          <w:color w:val="000000"/>
        </w:rPr>
        <w:t xml:space="preserve">ncer, and Hematology-Oncology </w:t>
      </w:r>
      <w:r w:rsidR="0071501E">
        <w:rPr>
          <w:rFonts w:ascii="Book Antiqua" w:eastAsia="Book Antiqua" w:hAnsi="Book Antiqua" w:cs="Book Antiqua"/>
          <w:color w:val="000000"/>
        </w:rPr>
        <w:t>Programmatic Sup</w:t>
      </w:r>
      <w:r>
        <w:rPr>
          <w:rFonts w:ascii="Book Antiqua" w:eastAsia="Book Antiqua" w:hAnsi="Book Antiqua" w:cs="Book Antiqua"/>
          <w:color w:val="000000"/>
        </w:rPr>
        <w:t>port from University of Cincinnati College of Medicine (to Qi</w:t>
      </w:r>
      <w:r w:rsidR="0071501E">
        <w:rPr>
          <w:rFonts w:ascii="Book Antiqua" w:eastAsia="Book Antiqua" w:hAnsi="Book Antiqua" w:cs="Book Antiqua"/>
          <w:color w:val="000000"/>
        </w:rPr>
        <w:t xml:space="preserve"> X</w:t>
      </w:r>
      <w:r>
        <w:rPr>
          <w:rFonts w:ascii="Book Antiqua" w:eastAsia="Book Antiqua" w:hAnsi="Book Antiqua" w:cs="Book Antiqua"/>
          <w:color w:val="000000"/>
        </w:rPr>
        <w:t>).</w:t>
      </w:r>
    </w:p>
    <w:p w14:paraId="10FC9537" w14:textId="77777777" w:rsidR="00A77B3E" w:rsidRDefault="00A77B3E">
      <w:pPr>
        <w:spacing w:line="360" w:lineRule="auto"/>
        <w:jc w:val="both"/>
      </w:pPr>
    </w:p>
    <w:p w14:paraId="44F509C4" w14:textId="77777777" w:rsidR="00A77B3E" w:rsidRDefault="009819DF">
      <w:pPr>
        <w:spacing w:line="360" w:lineRule="auto"/>
        <w:jc w:val="both"/>
      </w:pPr>
      <w:r>
        <w:rPr>
          <w:rFonts w:ascii="Book Antiqua" w:eastAsia="Book Antiqua" w:hAnsi="Book Antiqua" w:cs="Book Antiqua"/>
          <w:b/>
          <w:bCs/>
          <w:color w:val="000000"/>
        </w:rPr>
        <w:t xml:space="preserve">Corresponding author: Xiaoyang Qi, PhD, Professor, </w:t>
      </w:r>
      <w:r>
        <w:rPr>
          <w:rFonts w:ascii="Book Antiqua" w:eastAsia="Book Antiqua" w:hAnsi="Book Antiqua" w:cs="Book Antiqua"/>
          <w:color w:val="000000"/>
        </w:rPr>
        <w:t>Division of Hematology/Oncology, Department of Internal Medicine, University of Cincinnati College of Medicine, Brain Tumor Center at UC Neuroscience Institute, 3512 Eden Avenue, Cincinnati, OH 45267, United States. xiaoyang.qi@uc.edu</w:t>
      </w:r>
    </w:p>
    <w:p w14:paraId="0784732E" w14:textId="77777777" w:rsidR="00A77B3E" w:rsidRDefault="00A77B3E">
      <w:pPr>
        <w:spacing w:line="360" w:lineRule="auto"/>
        <w:jc w:val="both"/>
      </w:pPr>
    </w:p>
    <w:p w14:paraId="7F43706B" w14:textId="77777777" w:rsidR="00A77B3E" w:rsidRDefault="009819D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29, 2021</w:t>
      </w:r>
    </w:p>
    <w:p w14:paraId="593CA85D" w14:textId="77777777" w:rsidR="00A77B3E" w:rsidRDefault="009819D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13, 2021</w:t>
      </w:r>
    </w:p>
    <w:p w14:paraId="0713DC6B" w14:textId="44958063" w:rsidR="00A77B3E" w:rsidRDefault="009819DF">
      <w:pPr>
        <w:spacing w:line="360" w:lineRule="auto"/>
        <w:jc w:val="both"/>
      </w:pPr>
      <w:r>
        <w:rPr>
          <w:rFonts w:ascii="Book Antiqua" w:eastAsia="Book Antiqua" w:hAnsi="Book Antiqua" w:cs="Book Antiqua"/>
          <w:b/>
          <w:bCs/>
          <w:color w:val="000000"/>
        </w:rPr>
        <w:t xml:space="preserve">Accepted: </w:t>
      </w:r>
      <w:r w:rsidR="00FF6936" w:rsidRPr="00DE1749">
        <w:rPr>
          <w:rFonts w:ascii="Book Antiqua" w:eastAsia="Book Antiqua" w:hAnsi="Book Antiqua" w:cs="Book Antiqua"/>
          <w:bCs/>
          <w:color w:val="000000"/>
        </w:rPr>
        <w:t>May 10, 2021</w:t>
      </w:r>
    </w:p>
    <w:p w14:paraId="1FFBA62D" w14:textId="2B0955ED" w:rsidR="00A77B3E" w:rsidRDefault="009819DF">
      <w:pPr>
        <w:spacing w:line="360" w:lineRule="auto"/>
        <w:jc w:val="both"/>
      </w:pPr>
      <w:r>
        <w:rPr>
          <w:rFonts w:ascii="Book Antiqua" w:eastAsia="Book Antiqua" w:hAnsi="Book Antiqua" w:cs="Book Antiqua"/>
          <w:b/>
          <w:bCs/>
          <w:color w:val="000000"/>
        </w:rPr>
        <w:t xml:space="preserve">Published online: </w:t>
      </w:r>
      <w:r w:rsidR="003D30F9" w:rsidRPr="003D30F9">
        <w:rPr>
          <w:rFonts w:ascii="Book Antiqua" w:eastAsia="Book Antiqua" w:hAnsi="Book Antiqua" w:cs="Book Antiqua"/>
          <w:bCs/>
          <w:color w:val="000000"/>
        </w:rPr>
        <w:t>June 15, 2021</w:t>
      </w:r>
    </w:p>
    <w:p w14:paraId="1422D3C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72270ED" w14:textId="77777777" w:rsidR="00A77B3E" w:rsidRDefault="009819DF">
      <w:pPr>
        <w:spacing w:line="360" w:lineRule="auto"/>
        <w:jc w:val="both"/>
      </w:pPr>
      <w:r>
        <w:rPr>
          <w:rFonts w:ascii="Book Antiqua" w:eastAsia="Book Antiqua" w:hAnsi="Book Antiqua" w:cs="Book Antiqua"/>
          <w:b/>
          <w:color w:val="000000"/>
        </w:rPr>
        <w:lastRenderedPageBreak/>
        <w:t>Abstract</w:t>
      </w:r>
    </w:p>
    <w:p w14:paraId="1F52F776" w14:textId="528DD62F" w:rsidR="00A77B3E" w:rsidRDefault="009819DF">
      <w:pPr>
        <w:spacing w:line="360" w:lineRule="auto"/>
        <w:jc w:val="both"/>
      </w:pPr>
      <w:r>
        <w:rPr>
          <w:rFonts w:ascii="Book Antiqua" w:eastAsia="Book Antiqua" w:hAnsi="Book Antiqua" w:cs="Book Antiqua"/>
          <w:color w:val="000000"/>
        </w:rPr>
        <w:t>Pancreatic cancer is one of the deadliest of cancers with a five-year survival of roughly 8%. Current therapies are: surgery, radiation and chemotherapy. Surgery is curative only if the cancer is caught very early, which is rare, and the latter two modalities are only marginally effective and have significant side effects. We have developed a nanosome comprised of the lysosomal protein, saposin C (SapC) and the acidic phospholipid, dioleoylphosphatidylserine (DOPS). In the acidic tumor microenvironment, this molecule, SapC-DOPS, targets the phosphatidylserine cancer-biomarker which is predominantly elevated on the surface of cancer cells. Importantly, SapC-DOPS can selectively target pancreatic tumors and metastases. Furthermore, SapC-DOPS has exhibited an impressive safety profile with only a few minor side effects in both preclinical experiments and in phase I clinical trials. With the dismal outcomes for pancreatic cancer there is an urgent need for better treatments and SapC-DOPS is a good candidate for addition to the oncologist’s toolbox.</w:t>
      </w:r>
    </w:p>
    <w:p w14:paraId="4CEC28A8" w14:textId="77777777" w:rsidR="00A77B3E" w:rsidRDefault="00A77B3E">
      <w:pPr>
        <w:spacing w:line="360" w:lineRule="auto"/>
        <w:jc w:val="both"/>
      </w:pPr>
    </w:p>
    <w:p w14:paraId="1AE0971D" w14:textId="3EBD2A4F" w:rsidR="00A77B3E" w:rsidRDefault="009819D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Pancreatic cancer; </w:t>
      </w:r>
      <w:r w:rsidR="00A049EB">
        <w:rPr>
          <w:rFonts w:ascii="Book Antiqua" w:eastAsia="Book Antiqua" w:hAnsi="Book Antiqua" w:cs="Book Antiqua"/>
          <w:color w:val="000000"/>
        </w:rPr>
        <w:t>S</w:t>
      </w:r>
      <w:r>
        <w:rPr>
          <w:rFonts w:ascii="Book Antiqua" w:eastAsia="Book Antiqua" w:hAnsi="Book Antiqua" w:cs="Book Antiqua"/>
          <w:color w:val="000000"/>
        </w:rPr>
        <w:t xml:space="preserve">aposin C; </w:t>
      </w:r>
      <w:r w:rsidR="00A049EB">
        <w:rPr>
          <w:rFonts w:ascii="Book Antiqua" w:eastAsia="Book Antiqua" w:hAnsi="Book Antiqua" w:cs="Book Antiqua"/>
          <w:color w:val="000000"/>
        </w:rPr>
        <w:t>D</w:t>
      </w:r>
      <w:r>
        <w:rPr>
          <w:rFonts w:ascii="Book Antiqua" w:eastAsia="Book Antiqua" w:hAnsi="Book Antiqua" w:cs="Book Antiqua"/>
          <w:color w:val="000000"/>
        </w:rPr>
        <w:t xml:space="preserve">ioleoylphosphatidylserine; </w:t>
      </w:r>
      <w:r w:rsidR="00A049EB">
        <w:rPr>
          <w:rFonts w:ascii="Book Antiqua" w:eastAsia="Book Antiqua" w:hAnsi="Book Antiqua" w:cs="Book Antiqua"/>
          <w:color w:val="000000"/>
        </w:rPr>
        <w:t>P</w:t>
      </w:r>
      <w:r>
        <w:rPr>
          <w:rFonts w:ascii="Book Antiqua" w:eastAsia="Book Antiqua" w:hAnsi="Book Antiqua" w:cs="Book Antiqua"/>
          <w:color w:val="000000"/>
        </w:rPr>
        <w:t xml:space="preserve">hosphatidylserine-targeted therapy; </w:t>
      </w:r>
      <w:r w:rsidR="00A049EB">
        <w:rPr>
          <w:rFonts w:ascii="Book Antiqua" w:eastAsia="Book Antiqua" w:hAnsi="Book Antiqua" w:cs="Book Antiqua"/>
          <w:color w:val="000000"/>
        </w:rPr>
        <w:t>C</w:t>
      </w:r>
      <w:r>
        <w:rPr>
          <w:rFonts w:ascii="Book Antiqua" w:eastAsia="Book Antiqua" w:hAnsi="Book Antiqua" w:cs="Book Antiqua"/>
          <w:color w:val="000000"/>
        </w:rPr>
        <w:t xml:space="preserve">hemotherapy; </w:t>
      </w:r>
      <w:r w:rsidR="00A049EB">
        <w:rPr>
          <w:rFonts w:ascii="Book Antiqua" w:eastAsia="Book Antiqua" w:hAnsi="Book Antiqua" w:cs="Book Antiqua"/>
          <w:color w:val="000000"/>
        </w:rPr>
        <w:t>R</w:t>
      </w:r>
      <w:r>
        <w:rPr>
          <w:rFonts w:ascii="Book Antiqua" w:eastAsia="Book Antiqua" w:hAnsi="Book Antiqua" w:cs="Book Antiqua"/>
          <w:color w:val="000000"/>
        </w:rPr>
        <w:t>adiation</w:t>
      </w:r>
    </w:p>
    <w:p w14:paraId="0168B039" w14:textId="77777777" w:rsidR="008841B7" w:rsidRDefault="008841B7" w:rsidP="008841B7">
      <w:pPr>
        <w:spacing w:line="360" w:lineRule="auto"/>
        <w:jc w:val="both"/>
        <w:rPr>
          <w:lang w:eastAsia="zh-CN"/>
        </w:rPr>
      </w:pPr>
    </w:p>
    <w:p w14:paraId="283D21E5" w14:textId="77777777" w:rsidR="008841B7" w:rsidRPr="00026CB8" w:rsidRDefault="008841B7" w:rsidP="008841B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C4A27F5" w14:textId="77777777" w:rsidR="008841B7" w:rsidRPr="009C101B" w:rsidRDefault="008841B7" w:rsidP="008841B7">
      <w:pPr>
        <w:spacing w:line="360" w:lineRule="auto"/>
        <w:jc w:val="both"/>
        <w:rPr>
          <w:lang w:eastAsia="zh-CN"/>
        </w:rPr>
      </w:pPr>
    </w:p>
    <w:p w14:paraId="41769A3F" w14:textId="34403CD5" w:rsidR="00621A30" w:rsidRDefault="008841B7" w:rsidP="008841B7">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9819DF">
        <w:rPr>
          <w:rFonts w:ascii="Book Antiqua" w:eastAsia="Book Antiqua" w:hAnsi="Book Antiqua" w:cs="Book Antiqua"/>
          <w:color w:val="000000"/>
        </w:rPr>
        <w:t>Davis HW, Kaynak A, Vallabhapurapu SD, Qi X. Targeting of elevated cell surface phosphatidylserine with saposin C-dioleoylphosphatidylserine nanodrug as</w:t>
      </w:r>
      <w:r w:rsidR="00C80131">
        <w:rPr>
          <w:rFonts w:ascii="Book Antiqua" w:eastAsia="Book Antiqua" w:hAnsi="Book Antiqua" w:cs="Book Antiqua"/>
          <w:color w:val="000000"/>
        </w:rPr>
        <w:t xml:space="preserve"> </w:t>
      </w:r>
      <w:r w:rsidR="009819DF">
        <w:rPr>
          <w:rFonts w:ascii="Book Antiqua" w:eastAsia="Book Antiqua" w:hAnsi="Book Antiqua" w:cs="Book Antiqua"/>
          <w:color w:val="000000"/>
        </w:rPr>
        <w:t xml:space="preserve">individual or combination therapy for pancreatic cancer. </w:t>
      </w:r>
      <w:r w:rsidR="009819DF">
        <w:rPr>
          <w:rFonts w:ascii="Book Antiqua" w:eastAsia="Book Antiqua" w:hAnsi="Book Antiqua" w:cs="Book Antiqua"/>
          <w:i/>
          <w:iCs/>
          <w:color w:val="000000"/>
        </w:rPr>
        <w:t>World J Gastrointest Oncol</w:t>
      </w:r>
      <w:r w:rsidR="009819DF">
        <w:rPr>
          <w:rFonts w:ascii="Book Antiqua" w:eastAsia="Book Antiqua" w:hAnsi="Book Antiqua" w:cs="Book Antiqua"/>
          <w:color w:val="000000"/>
        </w:rPr>
        <w:t xml:space="preserve"> 2021;</w:t>
      </w:r>
      <w:r w:rsidR="00E564DD" w:rsidRPr="00E564DD">
        <w:rPr>
          <w:rFonts w:ascii="Book Antiqua" w:eastAsia="Book Antiqua" w:hAnsi="Book Antiqua" w:cs="Book Antiqua"/>
          <w:color w:val="000000"/>
        </w:rPr>
        <w:t xml:space="preserve"> 13(6): </w:t>
      </w:r>
      <w:r w:rsidR="00621A30" w:rsidRPr="00621A30">
        <w:rPr>
          <w:rFonts w:ascii="Book Antiqua" w:eastAsia="Book Antiqua" w:hAnsi="Book Antiqua" w:cs="Book Antiqua"/>
          <w:color w:val="000000"/>
        </w:rPr>
        <w:t>550-559</w:t>
      </w:r>
    </w:p>
    <w:p w14:paraId="1E3C4FAA" w14:textId="6A6618EB" w:rsidR="00621A30" w:rsidRDefault="00E564DD" w:rsidP="008841B7">
      <w:pPr>
        <w:spacing w:line="360" w:lineRule="auto"/>
        <w:jc w:val="both"/>
        <w:rPr>
          <w:rFonts w:ascii="Book Antiqua" w:eastAsia="Book Antiqua" w:hAnsi="Book Antiqua" w:cs="Book Antiqua"/>
          <w:color w:val="000000"/>
        </w:rPr>
      </w:pPr>
      <w:r w:rsidRPr="00E564DD">
        <w:rPr>
          <w:rFonts w:ascii="Book Antiqua" w:eastAsia="Book Antiqua" w:hAnsi="Book Antiqua" w:cs="Book Antiqua"/>
          <w:color w:val="000000"/>
        </w:rPr>
        <w:t>URL: https://www.wjgnet.com/1948-5204/full/v13/i6/</w:t>
      </w:r>
      <w:r w:rsidR="00621A30" w:rsidRPr="00621A30">
        <w:rPr>
          <w:rFonts w:ascii="Book Antiqua" w:eastAsia="Book Antiqua" w:hAnsi="Book Antiqua" w:cs="Book Antiqua"/>
          <w:color w:val="000000"/>
        </w:rPr>
        <w:t>550</w:t>
      </w:r>
      <w:r w:rsidRPr="00E564DD">
        <w:rPr>
          <w:rFonts w:ascii="Book Antiqua" w:eastAsia="Book Antiqua" w:hAnsi="Book Antiqua" w:cs="Book Antiqua"/>
          <w:color w:val="000000"/>
        </w:rPr>
        <w:t xml:space="preserve">.htm  </w:t>
      </w:r>
    </w:p>
    <w:p w14:paraId="0F41DCF1" w14:textId="336E85F4" w:rsidR="00A77B3E" w:rsidRDefault="00E564DD" w:rsidP="008841B7">
      <w:pPr>
        <w:spacing w:line="360" w:lineRule="auto"/>
        <w:jc w:val="both"/>
      </w:pPr>
      <w:r w:rsidRPr="00E564DD">
        <w:rPr>
          <w:rFonts w:ascii="Book Antiqua" w:eastAsia="Book Antiqua" w:hAnsi="Book Antiqua" w:cs="Book Antiqua"/>
          <w:color w:val="000000"/>
        </w:rPr>
        <w:t>DOI: https://dx.doi.org/10.4251/wjgo.v13.i6.</w:t>
      </w:r>
      <w:r w:rsidR="00621A30" w:rsidRPr="00621A30">
        <w:rPr>
          <w:rFonts w:ascii="Book Antiqua" w:eastAsia="Book Antiqua" w:hAnsi="Book Antiqua" w:cs="Book Antiqua"/>
          <w:color w:val="000000"/>
        </w:rPr>
        <w:t>550</w:t>
      </w:r>
    </w:p>
    <w:p w14:paraId="6CC5B442" w14:textId="77777777" w:rsidR="00A77B3E" w:rsidRDefault="00A77B3E">
      <w:pPr>
        <w:spacing w:line="360" w:lineRule="auto"/>
        <w:jc w:val="both"/>
      </w:pPr>
    </w:p>
    <w:p w14:paraId="77A13658" w14:textId="53569F12" w:rsidR="00A77B3E" w:rsidRDefault="009819DF">
      <w:pPr>
        <w:spacing w:line="360" w:lineRule="auto"/>
        <w:jc w:val="both"/>
      </w:pPr>
      <w:r>
        <w:rPr>
          <w:rFonts w:ascii="Book Antiqua" w:eastAsia="Book Antiqua" w:hAnsi="Book Antiqua" w:cs="Book Antiqua"/>
          <w:b/>
          <w:bCs/>
          <w:color w:val="000000"/>
        </w:rPr>
        <w:lastRenderedPageBreak/>
        <w:t xml:space="preserve">Core Tip: </w:t>
      </w:r>
      <w:r w:rsidR="00596CF9">
        <w:rPr>
          <w:rFonts w:ascii="Book Antiqua" w:eastAsia="Book Antiqua" w:hAnsi="Book Antiqua" w:cs="Book Antiqua"/>
          <w:color w:val="000000"/>
        </w:rPr>
        <w:t>This</w:t>
      </w:r>
      <w:r>
        <w:rPr>
          <w:rFonts w:ascii="Book Antiqua" w:eastAsia="Book Antiqua" w:hAnsi="Book Antiqua" w:cs="Book Antiqua"/>
          <w:color w:val="000000"/>
        </w:rPr>
        <w:t xml:space="preserve"> review present</w:t>
      </w:r>
      <w:r w:rsidR="00596CF9">
        <w:rPr>
          <w:rFonts w:ascii="Book Antiqua" w:eastAsia="Book Antiqua" w:hAnsi="Book Antiqua" w:cs="Book Antiqua"/>
          <w:color w:val="000000"/>
        </w:rPr>
        <w:t>s</w:t>
      </w:r>
      <w:r>
        <w:rPr>
          <w:rFonts w:ascii="Book Antiqua" w:eastAsia="Book Antiqua" w:hAnsi="Book Antiqua" w:cs="Book Antiqua"/>
          <w:color w:val="000000"/>
        </w:rPr>
        <w:t xml:space="preserve"> the mechanisms and efficacy of</w:t>
      </w:r>
      <w:r w:rsidR="00A049EB" w:rsidRPr="00A049EB">
        <w:rPr>
          <w:rFonts w:ascii="Book Antiqua" w:eastAsia="Book Antiqua" w:hAnsi="Book Antiqua" w:cs="Book Antiqua"/>
          <w:color w:val="000000"/>
        </w:rPr>
        <w:t xml:space="preserve"> </w:t>
      </w:r>
      <w:bookmarkStart w:id="0" w:name="_Hlk71270540"/>
      <w:r w:rsidR="00A049EB">
        <w:rPr>
          <w:rFonts w:ascii="Book Antiqua" w:eastAsia="Book Antiqua" w:hAnsi="Book Antiqua" w:cs="Book Antiqua"/>
          <w:color w:val="000000"/>
        </w:rPr>
        <w:t>saposin C-dioleoylphosphatidylserine</w:t>
      </w:r>
      <w:bookmarkEnd w:id="0"/>
      <w:r w:rsidR="00A049EB">
        <w:rPr>
          <w:rFonts w:ascii="Book Antiqua" w:eastAsia="Book Antiqua" w:hAnsi="Book Antiqua" w:cs="Book Antiqua"/>
          <w:color w:val="000000"/>
        </w:rPr>
        <w:t xml:space="preserve"> (SapC-DOPS)</w:t>
      </w:r>
      <w:r>
        <w:rPr>
          <w:rFonts w:ascii="Book Antiqua" w:eastAsia="Book Antiqua" w:hAnsi="Book Antiqua" w:cs="Book Antiqua"/>
          <w:color w:val="000000"/>
        </w:rPr>
        <w:t xml:space="preserve">, a novel </w:t>
      </w:r>
      <w:bookmarkStart w:id="1" w:name="_Hlk71270281"/>
      <w:r>
        <w:rPr>
          <w:rFonts w:ascii="Book Antiqua" w:eastAsia="Book Antiqua" w:hAnsi="Book Antiqua" w:cs="Book Antiqua"/>
          <w:color w:val="000000"/>
        </w:rPr>
        <w:t>phosphatidylserine</w:t>
      </w:r>
      <w:bookmarkEnd w:id="1"/>
      <w:r>
        <w:rPr>
          <w:rFonts w:ascii="Book Antiqua" w:eastAsia="Book Antiqua" w:hAnsi="Book Antiqua" w:cs="Book Antiqua"/>
          <w:color w:val="000000"/>
        </w:rPr>
        <w:t xml:space="preserve"> (PS) biomarker</w:t>
      </w:r>
      <w:r w:rsidR="00596CF9">
        <w:rPr>
          <w:rFonts w:ascii="Book Antiqua" w:eastAsia="Book Antiqua" w:hAnsi="Book Antiqua" w:cs="Book Antiqua"/>
          <w:color w:val="000000"/>
        </w:rPr>
        <w:t>-</w:t>
      </w:r>
      <w:r>
        <w:rPr>
          <w:rFonts w:ascii="Book Antiqua" w:eastAsia="Book Antiqua" w:hAnsi="Book Antiqua" w:cs="Book Antiqua"/>
          <w:color w:val="000000"/>
        </w:rPr>
        <w:t xml:space="preserve">targeted nanodrug, alone and in combination with other treatment modalities for the treatment of </w:t>
      </w:r>
      <w:bookmarkStart w:id="2" w:name="_Hlk71270301"/>
      <w:r>
        <w:rPr>
          <w:rFonts w:ascii="Book Antiqua" w:eastAsia="Book Antiqua" w:hAnsi="Book Antiqua" w:cs="Book Antiqua"/>
          <w:color w:val="000000"/>
        </w:rPr>
        <w:t>pancreatic ductal adenocarcinoma</w:t>
      </w:r>
      <w:bookmarkEnd w:id="2"/>
      <w:r>
        <w:rPr>
          <w:rFonts w:ascii="Book Antiqua" w:eastAsia="Book Antiqua" w:hAnsi="Book Antiqua" w:cs="Book Antiqua"/>
          <w:color w:val="000000"/>
        </w:rPr>
        <w:t xml:space="preserve"> (PDAC) tumors. Our results indicate that SapC-DOPS preferentially target</w:t>
      </w:r>
      <w:r w:rsidR="00596CF9">
        <w:rPr>
          <w:rFonts w:ascii="Book Antiqua" w:eastAsia="Book Antiqua" w:hAnsi="Book Antiqua" w:cs="Book Antiqua"/>
          <w:color w:val="000000"/>
        </w:rPr>
        <w:t>s</w:t>
      </w:r>
      <w:r>
        <w:rPr>
          <w:rFonts w:ascii="Book Antiqua" w:eastAsia="Book Antiqua" w:hAnsi="Book Antiqua" w:cs="Book Antiqua"/>
          <w:color w:val="000000"/>
        </w:rPr>
        <w:t xml:space="preserve"> cells with high surface PS which are primarily in the G2/M phase of the cell cycle. Other treatment modalities such as </w:t>
      </w:r>
      <w:r w:rsidR="009B176F">
        <w:rPr>
          <w:rFonts w:ascii="Book Antiqua" w:eastAsia="Book Antiqua" w:hAnsi="Book Antiqua" w:cs="Book Antiqua"/>
          <w:color w:val="000000"/>
        </w:rPr>
        <w:t>Gemcitabine</w:t>
      </w:r>
      <w:r>
        <w:rPr>
          <w:rFonts w:ascii="Book Antiqua" w:eastAsia="Book Antiqua" w:hAnsi="Book Antiqua" w:cs="Book Antiqua"/>
          <w:color w:val="000000"/>
        </w:rPr>
        <w:t xml:space="preserve">, Abraxane and radiation target G1 phase cells that have low surface PS. Combination of SapC-DOPS and </w:t>
      </w:r>
      <w:r w:rsidR="009B176F">
        <w:rPr>
          <w:rFonts w:ascii="Book Antiqua" w:eastAsia="Book Antiqua" w:hAnsi="Book Antiqua" w:cs="Book Antiqua"/>
          <w:color w:val="000000"/>
        </w:rPr>
        <w:t>Gemcitabine</w:t>
      </w:r>
      <w:r>
        <w:rPr>
          <w:rFonts w:ascii="Book Antiqua" w:eastAsia="Book Antiqua" w:hAnsi="Book Antiqua" w:cs="Book Antiqua"/>
          <w:color w:val="000000"/>
        </w:rPr>
        <w:t>/Abraxane or radiation significantly inhibits tumor growth of orthotopic PDAC tumors</w:t>
      </w:r>
      <w:r>
        <w:rPr>
          <w:rFonts w:ascii="Book Antiqua" w:eastAsia="Book Antiqua" w:hAnsi="Book Antiqua" w:cs="Book Antiqua"/>
          <w:i/>
          <w:iCs/>
          <w:color w:val="000000"/>
        </w:rPr>
        <w:t xml:space="preserve"> in vivo</w:t>
      </w:r>
      <w:r>
        <w:rPr>
          <w:rFonts w:ascii="Book Antiqua" w:eastAsia="Book Antiqua" w:hAnsi="Book Antiqua" w:cs="Book Antiqua"/>
          <w:color w:val="000000"/>
        </w:rPr>
        <w:t xml:space="preserve"> and increases survival compared to individual treatments.</w:t>
      </w:r>
    </w:p>
    <w:p w14:paraId="109E9CF6" w14:textId="1675D887" w:rsidR="00A77B3E" w:rsidRDefault="00EB05FD">
      <w:pPr>
        <w:spacing w:line="360" w:lineRule="auto"/>
        <w:jc w:val="both"/>
      </w:pPr>
      <w:r>
        <w:br w:type="page"/>
      </w:r>
      <w:r w:rsidR="009819DF">
        <w:rPr>
          <w:rFonts w:ascii="Book Antiqua" w:eastAsia="Book Antiqua" w:hAnsi="Book Antiqua" w:cs="Book Antiqua"/>
          <w:b/>
          <w:caps/>
          <w:color w:val="000000"/>
          <w:u w:val="single"/>
        </w:rPr>
        <w:lastRenderedPageBreak/>
        <w:t>INTRODUCTION</w:t>
      </w:r>
    </w:p>
    <w:p w14:paraId="2FF84E14" w14:textId="77CDA96B" w:rsidR="00A77B3E" w:rsidRDefault="009819DF">
      <w:pPr>
        <w:spacing w:line="360" w:lineRule="auto"/>
        <w:jc w:val="both"/>
      </w:pPr>
      <w:r>
        <w:rPr>
          <w:rFonts w:ascii="Book Antiqua" w:eastAsia="Book Antiqua" w:hAnsi="Book Antiqua" w:cs="Book Antiqua"/>
          <w:color w:val="000000"/>
        </w:rPr>
        <w:t>On March 6</w:t>
      </w:r>
      <w:r w:rsidR="00EB05FD">
        <w:rPr>
          <w:rFonts w:ascii="Book Antiqua" w:eastAsia="Book Antiqua" w:hAnsi="Book Antiqua" w:cs="Book Antiqua"/>
          <w:color w:val="000000"/>
        </w:rPr>
        <w:t>,</w:t>
      </w:r>
      <w:r>
        <w:rPr>
          <w:rFonts w:ascii="Book Antiqua" w:eastAsia="Book Antiqua" w:hAnsi="Book Antiqua" w:cs="Book Antiqua"/>
          <w:color w:val="000000"/>
        </w:rPr>
        <w:t xml:space="preserve"> 2019, </w:t>
      </w:r>
      <w:r w:rsidR="00596CF9">
        <w:rPr>
          <w:rFonts w:ascii="Book Antiqua" w:eastAsia="Book Antiqua" w:hAnsi="Book Antiqua" w:cs="Book Antiqua"/>
          <w:color w:val="000000"/>
        </w:rPr>
        <w:t xml:space="preserve">Alex </w:t>
      </w:r>
      <w:r>
        <w:rPr>
          <w:rFonts w:ascii="Book Antiqua" w:eastAsia="Book Antiqua" w:hAnsi="Book Antiqua" w:cs="Book Antiqua"/>
          <w:color w:val="000000"/>
        </w:rPr>
        <w:t xml:space="preserve">Trebek, the beloved host of the quiz show </w:t>
      </w:r>
      <w:r>
        <w:rPr>
          <w:rFonts w:ascii="Book Antiqua" w:eastAsia="Book Antiqua" w:hAnsi="Book Antiqua" w:cs="Book Antiqua"/>
          <w:i/>
          <w:iCs/>
          <w:color w:val="000000"/>
        </w:rPr>
        <w:t xml:space="preserve">Jeopardy </w:t>
      </w:r>
      <w:r>
        <w:rPr>
          <w:rFonts w:ascii="Book Antiqua" w:eastAsia="Book Antiqua" w:hAnsi="Book Antiqua" w:cs="Book Antiqua"/>
          <w:color w:val="000000"/>
        </w:rPr>
        <w:t>announced that he had Stage IV pancreatic cancer. While discovering that one has cancer is unsettling, a diagnosis of pancreatic cancer is particularly terrifying due to the dismal prognosis. In the U</w:t>
      </w:r>
      <w:r w:rsidR="00EB05FD">
        <w:rPr>
          <w:rFonts w:ascii="Book Antiqua" w:eastAsia="Book Antiqua" w:hAnsi="Book Antiqua" w:cs="Book Antiqua"/>
          <w:color w:val="000000"/>
        </w:rPr>
        <w:t xml:space="preserve">nited </w:t>
      </w:r>
      <w:r>
        <w:rPr>
          <w:rFonts w:ascii="Book Antiqua" w:eastAsia="Book Antiqua" w:hAnsi="Book Antiqua" w:cs="Book Antiqua"/>
          <w:color w:val="000000"/>
        </w:rPr>
        <w:t>S</w:t>
      </w:r>
      <w:r w:rsidR="00EB05FD">
        <w:rPr>
          <w:rFonts w:ascii="Book Antiqua" w:eastAsia="Book Antiqua" w:hAnsi="Book Antiqua" w:cs="Book Antiqua"/>
          <w:color w:val="000000"/>
        </w:rPr>
        <w:t>tates</w:t>
      </w:r>
      <w:r w:rsidR="006B58E7">
        <w:rPr>
          <w:rFonts w:ascii="Book Antiqua" w:hAnsi="Book Antiqua" w:cs="Book Antiqua" w:hint="eastAsia"/>
          <w:color w:val="000000"/>
          <w:lang w:eastAsia="zh-CN"/>
        </w:rPr>
        <w:t>,</w:t>
      </w:r>
      <w:r>
        <w:rPr>
          <w:rFonts w:ascii="Book Antiqua" w:eastAsia="Book Antiqua" w:hAnsi="Book Antiqua" w:cs="Book Antiqua"/>
          <w:color w:val="000000"/>
        </w:rPr>
        <w:t xml:space="preserve"> pancreatic cancer is the 9</w:t>
      </w:r>
      <w:r w:rsidRPr="00EB05F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or 10</w:t>
      </w:r>
      <w:r w:rsidRPr="00EB05F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most commonly diagnosed cancer but is the fourth leading cause of cancer-associated death</w:t>
      </w:r>
      <w:r>
        <w:rPr>
          <w:rFonts w:ascii="Book Antiqua" w:eastAsia="Book Antiqua" w:hAnsi="Book Antiqua" w:cs="Book Antiqua"/>
          <w:color w:val="000000"/>
          <w:vertAlign w:val="superscript"/>
        </w:rPr>
        <w:t>[1]</w:t>
      </w:r>
      <w:r>
        <w:rPr>
          <w:rFonts w:ascii="Book Antiqua" w:eastAsia="Book Antiqua" w:hAnsi="Book Antiqua" w:cs="Book Antiqua"/>
          <w:color w:val="000000"/>
        </w:rPr>
        <w:t>. Pancreatic ductal adenocarcinoma (PDAC) which accounts for 85% of all forms of pancreatic cancer is also the deadliest gastrointestinal cancer</w:t>
      </w:r>
      <w:r>
        <w:rPr>
          <w:rFonts w:ascii="Book Antiqua" w:eastAsia="Book Antiqua" w:hAnsi="Book Antiqua" w:cs="Book Antiqua"/>
          <w:color w:val="000000"/>
          <w:vertAlign w:val="superscript"/>
        </w:rPr>
        <w:t>[2]</w:t>
      </w:r>
      <w:r>
        <w:rPr>
          <w:rFonts w:ascii="Book Antiqua" w:eastAsia="Book Antiqua" w:hAnsi="Book Antiqua" w:cs="Book Antiqua"/>
          <w:color w:val="000000"/>
        </w:rPr>
        <w:t>. Longevity from the time of diagnosis until death is the worst of any of the major cancers; the median survival for untreated advanced pancreatic cancer is about 3 1/2 mo but with surgery, radiation and chemotherapy this increases to about 8 mo. In contrast to the steady increase in survival observed for most cancer types, advances have been slow for pancreatic cancer and the 5</w:t>
      </w:r>
      <w:r w:rsidR="00EB05FD">
        <w:rPr>
          <w:rFonts w:ascii="Book Antiqua" w:eastAsia="Book Antiqua" w:hAnsi="Book Antiqua" w:cs="Book Antiqua"/>
          <w:color w:val="000000"/>
        </w:rPr>
        <w:t>-</w:t>
      </w:r>
      <w:r>
        <w:rPr>
          <w:rFonts w:ascii="Book Antiqua" w:eastAsia="Book Antiqua" w:hAnsi="Book Antiqua" w:cs="Book Antiqua"/>
          <w:color w:val="000000"/>
        </w:rPr>
        <w:t xml:space="preserve">year survival rate is only about 8%, however </w:t>
      </w:r>
      <w:r w:rsidR="006B58E7" w:rsidRPr="006B58E7">
        <w:rPr>
          <w:rFonts w:ascii="Book Antiqua" w:eastAsia="Book Antiqua" w:hAnsi="Book Antiqua" w:cs="Book Antiqua"/>
          <w:color w:val="000000"/>
        </w:rPr>
        <w:t xml:space="preserve">for </w:t>
      </w:r>
      <w:r>
        <w:rPr>
          <w:rFonts w:ascii="Book Antiqua" w:eastAsia="Book Antiqua" w:hAnsi="Book Antiqua" w:cs="Book Antiqua"/>
          <w:color w:val="000000"/>
        </w:rPr>
        <w:t>patients who are diagnosed at an advanced stage the 5</w:t>
      </w:r>
      <w:r w:rsidR="00EB05FD">
        <w:rPr>
          <w:rFonts w:ascii="Book Antiqua" w:eastAsia="Book Antiqua" w:hAnsi="Book Antiqua" w:cs="Book Antiqua"/>
          <w:color w:val="000000"/>
        </w:rPr>
        <w:t>-</w:t>
      </w:r>
      <w:r>
        <w:rPr>
          <w:rFonts w:ascii="Book Antiqua" w:eastAsia="Book Antiqua" w:hAnsi="Book Antiqua" w:cs="Book Antiqua"/>
          <w:color w:val="000000"/>
        </w:rPr>
        <w:t xml:space="preserve">year survival rate is a discouraging 3%. While over the past 20 years there have been incremental increases in survival due to improving treatments, the incidence of pancreatic cancer is increasing by </w:t>
      </w:r>
      <w:r w:rsidR="00EB05FD" w:rsidRPr="00EB05FD">
        <w:rPr>
          <w:rFonts w:ascii="Book Antiqua" w:eastAsia="Book Antiqua" w:hAnsi="Book Antiqua" w:cs="Book Antiqua"/>
          <w:color w:val="000000"/>
        </w:rPr>
        <w:t>approximately</w:t>
      </w:r>
      <w:r w:rsidR="00EB05FD">
        <w:rPr>
          <w:rFonts w:ascii="Book Antiqua" w:eastAsia="Book Antiqua" w:hAnsi="Book Antiqua" w:cs="Book Antiqua"/>
          <w:color w:val="000000"/>
        </w:rPr>
        <w:t xml:space="preserve"> </w:t>
      </w:r>
      <w:r>
        <w:rPr>
          <w:rFonts w:ascii="Book Antiqua" w:eastAsia="Book Antiqua" w:hAnsi="Book Antiqua" w:cs="Book Antiqua"/>
          <w:color w:val="000000"/>
        </w:rPr>
        <w:t>0.3%/year leading to the expectation that it will be the second leading cause of cancer death by 2030</w:t>
      </w:r>
      <w:r>
        <w:rPr>
          <w:rFonts w:ascii="Book Antiqua" w:eastAsia="Book Antiqua" w:hAnsi="Book Antiqua" w:cs="Book Antiqua"/>
          <w:color w:val="000000"/>
          <w:vertAlign w:val="superscript"/>
        </w:rPr>
        <w:t>[3]</w:t>
      </w:r>
      <w:r>
        <w:rPr>
          <w:rFonts w:ascii="Book Antiqua" w:eastAsia="Book Antiqua" w:hAnsi="Book Antiqua" w:cs="Book Antiqua"/>
          <w:color w:val="000000"/>
        </w:rPr>
        <w:t>. Pancreatic neuroendocr</w:t>
      </w:r>
      <w:r w:rsidR="006B58E7">
        <w:rPr>
          <w:rFonts w:ascii="Book Antiqua" w:eastAsia="Book Antiqua" w:hAnsi="Book Antiqua" w:cs="Book Antiqua"/>
          <w:color w:val="000000"/>
        </w:rPr>
        <w:t>ine tumors or islet cell tumors</w:t>
      </w:r>
      <w:r>
        <w:rPr>
          <w:rFonts w:ascii="Book Antiqua" w:eastAsia="Book Antiqua" w:hAnsi="Book Antiqua" w:cs="Book Antiqua"/>
          <w:color w:val="000000"/>
        </w:rPr>
        <w:t xml:space="preserve"> are less common and tend to have a better outcome so our emphasis in this review will be on PDAC.</w:t>
      </w:r>
    </w:p>
    <w:p w14:paraId="63D81E65" w14:textId="6E3045B1" w:rsidR="00A77B3E" w:rsidRDefault="009819DF" w:rsidP="00EB05FD">
      <w:pPr>
        <w:spacing w:line="360" w:lineRule="auto"/>
        <w:ind w:firstLineChars="100" w:firstLine="240"/>
        <w:jc w:val="both"/>
      </w:pPr>
      <w:r>
        <w:rPr>
          <w:rFonts w:ascii="Book Antiqua" w:eastAsia="Book Antiqua" w:hAnsi="Book Antiqua" w:cs="Book Antiqua"/>
          <w:color w:val="000000"/>
        </w:rPr>
        <w:t>The vast majority of pancreatic tumors are located in the head of the pancreas (65%) which are usually found relatively early due to symptoms of obstructive jaundice and pancreatitis. Pancreatic tumors are also located in the body (15%), in the tail (10%), or present as multifocal lesions (2%). These tumors tend to present late and are associated with a worse prognosis</w:t>
      </w:r>
      <w:r>
        <w:rPr>
          <w:rFonts w:ascii="Book Antiqua" w:eastAsia="Book Antiqua" w:hAnsi="Book Antiqua" w:cs="Book Antiqua"/>
          <w:color w:val="000000"/>
          <w:vertAlign w:val="superscript"/>
        </w:rPr>
        <w:t>[4]</w:t>
      </w:r>
      <w:r>
        <w:rPr>
          <w:rFonts w:ascii="Book Antiqua" w:eastAsia="Book Antiqua" w:hAnsi="Book Antiqua" w:cs="Book Antiqua"/>
          <w:color w:val="000000"/>
        </w:rPr>
        <w:t>. Unfortunately, PDAC is rarely diagnosed early and the tumor is generally between 2-4 cm when found (but can be even larger if located in the body or tail) and has already infiltrated surrounding structures (</w:t>
      </w:r>
      <w:r w:rsidRPr="00EB05FD">
        <w:rPr>
          <w:rFonts w:ascii="Book Antiqua" w:eastAsia="Book Antiqua" w:hAnsi="Book Antiqua" w:cs="Book Antiqua"/>
          <w:i/>
          <w:iCs/>
          <w:color w:val="000000"/>
        </w:rPr>
        <w:t>i.e.</w:t>
      </w:r>
      <w:r>
        <w:rPr>
          <w:rFonts w:ascii="Book Antiqua" w:eastAsia="Book Antiqua" w:hAnsi="Book Antiqua" w:cs="Book Antiqua"/>
          <w:color w:val="000000"/>
        </w:rPr>
        <w:t xml:space="preserve">, peri-pancreatic adipose tissue, stomach, duodenum, portal vein). The histology of PDAC specimens is critical for assessing a PDAC case, with the three main aspects being the size of the primary tumor, the incidence and number of lymph node metastases and the presence or </w:t>
      </w:r>
      <w:r>
        <w:rPr>
          <w:rFonts w:ascii="Book Antiqua" w:eastAsia="Book Antiqua" w:hAnsi="Book Antiqua" w:cs="Book Antiqua"/>
          <w:color w:val="000000"/>
        </w:rPr>
        <w:lastRenderedPageBreak/>
        <w:t>absence of tumor cells at the resection margins</w:t>
      </w:r>
      <w:r>
        <w:rPr>
          <w:rFonts w:ascii="Book Antiqua" w:eastAsia="Book Antiqua" w:hAnsi="Book Antiqua" w:cs="Book Antiqua"/>
          <w:color w:val="000000"/>
          <w:vertAlign w:val="superscript"/>
        </w:rPr>
        <w:t>[1]</w:t>
      </w:r>
      <w:r>
        <w:rPr>
          <w:rFonts w:ascii="Book Antiqua" w:eastAsia="Book Antiqua" w:hAnsi="Book Antiqua" w:cs="Book Antiqua"/>
          <w:color w:val="000000"/>
        </w:rPr>
        <w:t>. The tumor is generally a solid, firm white to pale yellow, poorly-defined mass. Regional lymph node metastases are also commonly present at diagnosis</w:t>
      </w:r>
      <w:r>
        <w:rPr>
          <w:rFonts w:ascii="Book Antiqua" w:eastAsia="Book Antiqua" w:hAnsi="Book Antiqua" w:cs="Book Antiqua"/>
          <w:color w:val="000000"/>
          <w:vertAlign w:val="superscript"/>
        </w:rPr>
        <w:t>[5]</w:t>
      </w:r>
      <w:r>
        <w:rPr>
          <w:rFonts w:ascii="Book Antiqua" w:eastAsia="Book Antiqua" w:hAnsi="Book Antiqua" w:cs="Book Antiqua"/>
          <w:color w:val="000000"/>
        </w:rPr>
        <w:t>. Often as little as 10% of the whole tumor volume is occupied by tumor cells, while the remainder is a network of nonmalignant cells, called the stroma, which acts as a protective barrier. In addition, the tumor usually contains a buildup of matrix proteins that cause blood vessels to collapse, preventing chemotherapeutic drugs from reaching the cancer cells in sufficient amounts.</w:t>
      </w:r>
    </w:p>
    <w:p w14:paraId="7512ED51" w14:textId="77777777" w:rsidR="00A77B3E" w:rsidRDefault="009819DF" w:rsidP="00EB05FD">
      <w:pPr>
        <w:spacing w:line="360" w:lineRule="auto"/>
        <w:ind w:firstLineChars="100" w:firstLine="240"/>
        <w:jc w:val="both"/>
      </w:pPr>
      <w:r>
        <w:rPr>
          <w:rFonts w:ascii="Book Antiqua" w:eastAsia="Book Antiqua" w:hAnsi="Book Antiqua" w:cs="Book Antiqua"/>
          <w:color w:val="000000"/>
        </w:rPr>
        <w:t>Pancreatic cancer is staged according to the American Joint Committee on Cancer tumor-node-metastasis classification (Table 1).</w:t>
      </w:r>
    </w:p>
    <w:p w14:paraId="72273A74" w14:textId="77777777" w:rsidR="00A77B3E" w:rsidRDefault="00A77B3E">
      <w:pPr>
        <w:spacing w:line="360" w:lineRule="auto"/>
        <w:jc w:val="both"/>
      </w:pPr>
    </w:p>
    <w:p w14:paraId="65FA620F" w14:textId="77777777" w:rsidR="00A77B3E" w:rsidRDefault="009819DF">
      <w:pPr>
        <w:spacing w:line="360" w:lineRule="auto"/>
        <w:jc w:val="both"/>
      </w:pPr>
      <w:r>
        <w:rPr>
          <w:rFonts w:ascii="Book Antiqua" w:eastAsia="Book Antiqua" w:hAnsi="Book Antiqua" w:cs="Book Antiqua"/>
          <w:b/>
          <w:bCs/>
          <w:caps/>
          <w:color w:val="000000"/>
          <w:u w:val="single"/>
        </w:rPr>
        <w:t>Current Therapy</w:t>
      </w:r>
    </w:p>
    <w:p w14:paraId="5190C545" w14:textId="7C6B1A62" w:rsidR="00A77B3E" w:rsidRDefault="009819DF">
      <w:pPr>
        <w:spacing w:line="360" w:lineRule="auto"/>
        <w:jc w:val="both"/>
      </w:pPr>
      <w:r>
        <w:rPr>
          <w:rFonts w:ascii="Book Antiqua" w:eastAsia="Book Antiqua" w:hAnsi="Book Antiqua" w:cs="Book Antiqua"/>
          <w:color w:val="000000"/>
        </w:rPr>
        <w:t xml:space="preserve">For earlier stage pancreatic cancers, surgery is the best option and is potentially curative. Unfortunately, only </w:t>
      </w:r>
      <w:r w:rsidR="00EB05FD" w:rsidRPr="00EB05FD">
        <w:rPr>
          <w:rFonts w:ascii="Book Antiqua" w:eastAsia="Book Antiqua" w:hAnsi="Book Antiqua" w:cs="Book Antiqua"/>
          <w:color w:val="000000"/>
        </w:rPr>
        <w:t>approximately</w:t>
      </w:r>
      <w:r w:rsidR="00EB05FD">
        <w:rPr>
          <w:rFonts w:ascii="Book Antiqua" w:eastAsia="Book Antiqua" w:hAnsi="Book Antiqua" w:cs="Book Antiqua"/>
          <w:color w:val="000000"/>
        </w:rPr>
        <w:t xml:space="preserve"> </w:t>
      </w:r>
      <w:r>
        <w:rPr>
          <w:rFonts w:ascii="Book Antiqua" w:eastAsia="Book Antiqua" w:hAnsi="Book Antiqua" w:cs="Book Antiqua"/>
          <w:color w:val="000000"/>
        </w:rPr>
        <w:t>20% of patients are candidates for surgery and Stage III or IV cancers are unresectable. Even then in only about 15% of cases are all cancer cells removed</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Recently, neoadjuvant therapy (chemo- or radiation therapy prior to surgery) </w:t>
      </w:r>
      <w:r w:rsidR="00032823" w:rsidRPr="00032823">
        <w:rPr>
          <w:rFonts w:ascii="Book Antiqua" w:eastAsia="Book Antiqua" w:hAnsi="Book Antiqua" w:cs="Book Antiqua"/>
          <w:color w:val="000000"/>
        </w:rPr>
        <w:t>has been</w:t>
      </w:r>
      <w:r>
        <w:rPr>
          <w:rFonts w:ascii="Book Antiqua" w:eastAsia="Book Antiqua" w:hAnsi="Book Antiqua" w:cs="Book Antiqua"/>
          <w:color w:val="000000"/>
        </w:rPr>
        <w:t xml:space="preserve"> used to shrink the tumor. The most common type of surgery is the Whipple procedure</w:t>
      </w:r>
      <w:r w:rsidR="00203E5D">
        <w:rPr>
          <w:rFonts w:ascii="Book Antiqua" w:eastAsia="Book Antiqua" w:hAnsi="Book Antiqua" w:cs="Book Antiqua"/>
          <w:color w:val="000000"/>
        </w:rPr>
        <w:t>,</w:t>
      </w:r>
      <w:r>
        <w:rPr>
          <w:rFonts w:ascii="Book Antiqua" w:eastAsia="Book Antiqua" w:hAnsi="Book Antiqua" w:cs="Book Antiqua"/>
          <w:color w:val="000000"/>
        </w:rPr>
        <w:t xml:space="preserve"> </w:t>
      </w:r>
      <w:r w:rsidR="00203E5D">
        <w:rPr>
          <w:rFonts w:ascii="Book Antiqua" w:eastAsia="Book Antiqua" w:hAnsi="Book Antiqua" w:cs="Book Antiqua"/>
          <w:color w:val="000000"/>
        </w:rPr>
        <w:t>a</w:t>
      </w:r>
      <w:r>
        <w:rPr>
          <w:rFonts w:ascii="Book Antiqua" w:eastAsia="Book Antiqua" w:hAnsi="Book Antiqua" w:cs="Book Antiqua"/>
          <w:color w:val="000000"/>
        </w:rPr>
        <w:t xml:space="preserve">lso known as pancreaticoduodenectomy, </w:t>
      </w:r>
      <w:r w:rsidR="00203E5D">
        <w:rPr>
          <w:rFonts w:ascii="Book Antiqua" w:eastAsia="Book Antiqua" w:hAnsi="Book Antiqua" w:cs="Book Antiqua"/>
          <w:color w:val="000000"/>
        </w:rPr>
        <w:t xml:space="preserve">which </w:t>
      </w:r>
      <w:r>
        <w:rPr>
          <w:rFonts w:ascii="Book Antiqua" w:eastAsia="Book Antiqua" w:hAnsi="Book Antiqua" w:cs="Book Antiqua"/>
          <w:color w:val="000000"/>
        </w:rPr>
        <w:t>involves removal of the head of the pancreas next to the duodenum</w:t>
      </w:r>
      <w:r w:rsidR="00203E5D">
        <w:rPr>
          <w:rFonts w:ascii="Book Antiqua" w:eastAsia="Book Antiqua" w:hAnsi="Book Antiqua" w:cs="Book Antiqua"/>
          <w:color w:val="000000"/>
        </w:rPr>
        <w:t>,</w:t>
      </w:r>
      <w:r w:rsidR="00EF0058">
        <w:rPr>
          <w:rFonts w:ascii="Book Antiqua" w:eastAsia="Book Antiqua" w:hAnsi="Book Antiqua" w:cs="Book Antiqua"/>
          <w:color w:val="000000"/>
        </w:rPr>
        <w:t xml:space="preserve"> </w:t>
      </w:r>
      <w:r>
        <w:rPr>
          <w:rFonts w:ascii="Book Antiqua" w:eastAsia="Book Antiqua" w:hAnsi="Book Antiqua" w:cs="Book Antiqua"/>
          <w:color w:val="000000"/>
        </w:rPr>
        <w:t xml:space="preserve">the duodenum, a portion of the common bile duct, gallbladder, and occasionally part of the stomach. Afterward, the remaining intestine is reconnected to itself and to the bile duct and pancreas. Although this surgery can improve 5-year survival to </w:t>
      </w:r>
      <w:r w:rsidR="00EB05FD" w:rsidRPr="00EB05FD">
        <w:rPr>
          <w:rFonts w:ascii="Book Antiqua" w:eastAsia="Book Antiqua" w:hAnsi="Book Antiqua" w:cs="Book Antiqua"/>
          <w:color w:val="000000"/>
        </w:rPr>
        <w:t>approximately</w:t>
      </w:r>
      <w:r w:rsidR="00EB05FD">
        <w:rPr>
          <w:rFonts w:ascii="Book Antiqua" w:eastAsia="Book Antiqua" w:hAnsi="Book Antiqua" w:cs="Book Antiqua"/>
          <w:color w:val="000000"/>
        </w:rPr>
        <w:t xml:space="preserve"> </w:t>
      </w:r>
      <w:r>
        <w:rPr>
          <w:rFonts w:ascii="Book Antiqua" w:eastAsia="Book Antiqua" w:hAnsi="Book Antiqua" w:cs="Book Antiqua"/>
          <w:color w:val="000000"/>
        </w:rPr>
        <w:t>25% it is only available for a small percentage of patients where the tumor has not metastasized</w:t>
      </w:r>
      <w:r>
        <w:rPr>
          <w:rFonts w:ascii="Book Antiqua" w:eastAsia="Book Antiqua" w:hAnsi="Book Antiqua" w:cs="Book Antiqua"/>
          <w:color w:val="000000"/>
          <w:vertAlign w:val="superscript"/>
        </w:rPr>
        <w:t>[6]</w:t>
      </w:r>
      <w:r>
        <w:rPr>
          <w:rFonts w:ascii="Book Antiqua" w:eastAsia="Book Antiqua" w:hAnsi="Book Antiqua" w:cs="Book Antiqua"/>
          <w:color w:val="000000"/>
        </w:rPr>
        <w:t>. After resection, both gross and microscopic evaluation of the tumor extent is challenging in PDAC, due to dispersed growth, which is more prominent following neoadjuvant therapy, as regression and therefore tumor-induced fibrosis may be patchy. Furthermore, PDAC (even untreated) is characterized by significant inflammation and accumulation of matrix proteins in the normal surrounding stromal cells, making the extent of therapy-induced fibrosis unsatisfactory for determining efficacy</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39ECD084" w14:textId="77777777" w:rsidR="00A77B3E" w:rsidRDefault="00A77B3E">
      <w:pPr>
        <w:spacing w:line="360" w:lineRule="auto"/>
        <w:jc w:val="both"/>
      </w:pPr>
    </w:p>
    <w:p w14:paraId="5F52FA4D" w14:textId="32278199" w:rsidR="00EB05FD" w:rsidRPr="00EB05FD" w:rsidRDefault="009819DF">
      <w:pPr>
        <w:spacing w:line="360" w:lineRule="auto"/>
        <w:jc w:val="both"/>
        <w:rPr>
          <w:rFonts w:ascii="Book Antiqua" w:eastAsia="Book Antiqua" w:hAnsi="Book Antiqua" w:cs="Book Antiqua"/>
          <w:b/>
          <w:bCs/>
          <w:color w:val="000000"/>
        </w:rPr>
      </w:pPr>
      <w:r w:rsidRPr="00EB05FD">
        <w:rPr>
          <w:rFonts w:ascii="Book Antiqua" w:eastAsia="Book Antiqua" w:hAnsi="Book Antiqua" w:cs="Book Antiqua"/>
          <w:b/>
          <w:bCs/>
          <w:i/>
          <w:iCs/>
          <w:color w:val="000000"/>
        </w:rPr>
        <w:lastRenderedPageBreak/>
        <w:t>Chemotherapy</w:t>
      </w:r>
    </w:p>
    <w:p w14:paraId="4D0839BC" w14:textId="0BBD9223" w:rsidR="00A77B3E" w:rsidRDefault="009819DF">
      <w:pPr>
        <w:spacing w:line="360" w:lineRule="auto"/>
        <w:jc w:val="both"/>
      </w:pPr>
      <w:r>
        <w:rPr>
          <w:rFonts w:ascii="Book Antiqua" w:eastAsia="Book Antiqua" w:hAnsi="Book Antiqua" w:cs="Book Antiqua"/>
          <w:color w:val="000000"/>
        </w:rPr>
        <w:t xml:space="preserve">Gemcitabine (GEM, Gemzar) is a first line drug for advanced pancreatic cancer. It can be used alone or combined with other drugs such as albumin-bound paclitaxel (Abraxane), capecitabine (Xeloda), or the targeted drug erlotinib (Tarceva). </w:t>
      </w:r>
      <w:r w:rsidR="00EB05FD">
        <w:rPr>
          <w:rFonts w:ascii="Book Antiqua" w:eastAsia="Book Antiqua" w:hAnsi="Book Antiqua" w:cs="Book Antiqua"/>
          <w:color w:val="000000"/>
        </w:rPr>
        <w:t>GEM</w:t>
      </w:r>
      <w:r>
        <w:rPr>
          <w:rFonts w:ascii="Book Antiqua" w:eastAsia="Book Antiqua" w:hAnsi="Book Antiqua" w:cs="Book Antiqua"/>
          <w:color w:val="000000"/>
        </w:rPr>
        <w:t xml:space="preserve"> is hydrophilic and must be transported into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molecular transporters for nucleosides. After addition of three phosphates, </w:t>
      </w:r>
      <w:r w:rsidR="00EB05FD">
        <w:rPr>
          <w:rFonts w:ascii="Book Antiqua" w:eastAsia="Book Antiqua" w:hAnsi="Book Antiqua" w:cs="Book Antiqua"/>
          <w:color w:val="000000"/>
        </w:rPr>
        <w:t>GEM</w:t>
      </w:r>
      <w:r>
        <w:rPr>
          <w:rFonts w:ascii="Book Antiqua" w:eastAsia="Book Antiqua" w:hAnsi="Book Antiqua" w:cs="Book Antiqua"/>
          <w:color w:val="000000"/>
        </w:rPr>
        <w:t xml:space="preserve"> can mimic deoxycytidine triphosphate so </w:t>
      </w:r>
      <w:r w:rsidR="00203E5D">
        <w:rPr>
          <w:rFonts w:ascii="Book Antiqua" w:eastAsia="Book Antiqua" w:hAnsi="Book Antiqua" w:cs="Book Antiqua"/>
          <w:color w:val="000000"/>
        </w:rPr>
        <w:t xml:space="preserve">it </w:t>
      </w:r>
      <w:r>
        <w:rPr>
          <w:rFonts w:ascii="Book Antiqua" w:eastAsia="Book Antiqua" w:hAnsi="Book Antiqua" w:cs="Book Antiqua"/>
          <w:color w:val="000000"/>
        </w:rPr>
        <w:t>is incorporated into newly synthesized DNA and cr</w:t>
      </w:r>
      <w:r w:rsidR="00032823">
        <w:rPr>
          <w:rFonts w:ascii="Book Antiqua" w:eastAsia="Book Antiqua" w:hAnsi="Book Antiqua" w:cs="Book Antiqua"/>
          <w:color w:val="000000"/>
        </w:rPr>
        <w:t>eates an irreparable error that</w:t>
      </w:r>
      <w:r w:rsidR="00032823">
        <w:rPr>
          <w:rFonts w:ascii="Book Antiqua" w:hAnsi="Book Antiqua" w:cs="Book Antiqua" w:hint="eastAsia"/>
          <w:color w:val="000000"/>
          <w:lang w:eastAsia="zh-CN"/>
        </w:rPr>
        <w:t xml:space="preserve"> </w:t>
      </w:r>
      <w:r>
        <w:rPr>
          <w:rFonts w:ascii="Book Antiqua" w:eastAsia="Book Antiqua" w:hAnsi="Book Antiqua" w:cs="Book Antiqua"/>
          <w:color w:val="000000"/>
        </w:rPr>
        <w:t>inhibit</w:t>
      </w:r>
      <w:r w:rsidR="00032823">
        <w:rPr>
          <w:rFonts w:ascii="Book Antiqua" w:hAnsi="Book Antiqua" w:cs="Book Antiqua" w:hint="eastAsia"/>
          <w:color w:val="000000"/>
          <w:lang w:eastAsia="zh-CN"/>
        </w:rPr>
        <w:t>s</w:t>
      </w:r>
      <w:r>
        <w:rPr>
          <w:rFonts w:ascii="Book Antiqua" w:eastAsia="Book Antiqua" w:hAnsi="Book Antiqua" w:cs="Book Antiqua"/>
          <w:color w:val="000000"/>
        </w:rPr>
        <w:t xml:space="preserve"> of further DNA synthesis, thereby leading to cell death</w:t>
      </w:r>
      <w:r>
        <w:rPr>
          <w:rFonts w:ascii="Book Antiqua" w:eastAsia="Book Antiqua" w:hAnsi="Book Antiqua" w:cs="Book Antiqua"/>
          <w:color w:val="000000"/>
          <w:vertAlign w:val="superscript"/>
        </w:rPr>
        <w:t>[7]</w:t>
      </w:r>
      <w:r w:rsidR="000E26E7">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sidR="000E26E7">
        <w:rPr>
          <w:rFonts w:ascii="Book Antiqua" w:eastAsia="Book Antiqua" w:hAnsi="Book Antiqua" w:cs="Book Antiqua"/>
          <w:color w:val="000000"/>
        </w:rPr>
        <w:t>H</w:t>
      </w:r>
      <w:r>
        <w:rPr>
          <w:rFonts w:ascii="Book Antiqua" w:eastAsia="Book Antiqua" w:hAnsi="Book Antiqua" w:cs="Book Antiqua"/>
          <w:color w:val="000000"/>
        </w:rPr>
        <w:t>owever, cancer cells often become resistant to GEM after several months of treatment. Abraxane is a form of the anti-cancer drug, paclitaxel that has fewer side effects. It is an anti-microtubule agent that inhibits mitosis thus preventing cancer cells from growing and dividing, consequently killing them</w:t>
      </w:r>
      <w:r>
        <w:rPr>
          <w:rFonts w:ascii="Book Antiqua" w:eastAsia="Book Antiqua" w:hAnsi="Book Antiqua" w:cs="Book Antiqua"/>
          <w:color w:val="000000"/>
          <w:vertAlign w:val="superscript"/>
        </w:rPr>
        <w:t>[8]</w:t>
      </w:r>
      <w:r>
        <w:rPr>
          <w:rFonts w:ascii="Book Antiqua" w:eastAsia="Book Antiqua" w:hAnsi="Book Antiqua" w:cs="Book Antiqua"/>
          <w:color w:val="000000"/>
        </w:rPr>
        <w:t>. In a Phase III study of patients with previously untreated metastatic pancreatic cancer</w:t>
      </w:r>
      <w:r w:rsidR="00032823">
        <w:rPr>
          <w:rFonts w:ascii="Book Antiqua" w:hAnsi="Book Antiqua" w:cs="Book Antiqua" w:hint="eastAsia"/>
          <w:color w:val="000000"/>
          <w:lang w:eastAsia="zh-CN"/>
        </w:rPr>
        <w:t>,</w:t>
      </w:r>
      <w:r>
        <w:rPr>
          <w:rFonts w:ascii="Book Antiqua" w:eastAsia="Book Antiqua" w:hAnsi="Book Antiqua" w:cs="Book Antiqua"/>
          <w:color w:val="000000"/>
        </w:rPr>
        <w:t xml:space="preserve"> there was a statistically significant median overall survival benefit of 8.5 </w:t>
      </w:r>
      <w:r w:rsidR="00EB05FD">
        <w:rPr>
          <w:rFonts w:ascii="Book Antiqua" w:eastAsia="Book Antiqua" w:hAnsi="Book Antiqua" w:cs="Book Antiqua"/>
          <w:color w:val="000000"/>
        </w:rPr>
        <w:t>mo</w:t>
      </w:r>
      <w:r w:rsidR="00EB05FD">
        <w:rPr>
          <w:rFonts w:ascii="Book Antiqua" w:eastAsia="Book Antiqua" w:hAnsi="Book Antiqua" w:cs="Book Antiqua"/>
          <w:i/>
          <w:iCs/>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6.7 mo in the GEM/Abraxane group compared to the GEM arm</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4F9BBCB5" w14:textId="029BF740" w:rsidR="00A77B3E" w:rsidRDefault="009819DF" w:rsidP="00EB05FD">
      <w:pPr>
        <w:spacing w:line="360" w:lineRule="auto"/>
        <w:ind w:firstLineChars="100" w:firstLine="240"/>
        <w:jc w:val="both"/>
      </w:pPr>
      <w:r>
        <w:rPr>
          <w:rFonts w:ascii="Book Antiqua" w:eastAsia="Book Antiqua" w:hAnsi="Book Antiqua" w:cs="Book Antiqua"/>
          <w:color w:val="000000"/>
        </w:rPr>
        <w:t xml:space="preserve">Capecitabine is metabolized to 5-fluorouracil (5-FU) which inhibits the synthesis of thymidine monophosphate, the active form of thymidine required for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synthesis of DNA</w:t>
      </w:r>
      <w:r>
        <w:rPr>
          <w:rFonts w:ascii="Book Antiqua" w:eastAsia="Book Antiqua" w:hAnsi="Book Antiqua" w:cs="Book Antiqua"/>
          <w:color w:val="000000"/>
          <w:vertAlign w:val="superscript"/>
        </w:rPr>
        <w:t>[10]</w:t>
      </w:r>
      <w:r>
        <w:rPr>
          <w:rFonts w:ascii="Book Antiqua" w:eastAsia="Book Antiqua" w:hAnsi="Book Antiqua" w:cs="Book Antiqua"/>
          <w:color w:val="000000"/>
        </w:rPr>
        <w:t>. Erlotinib specifically targets the epidermal growth factor receptor tyrosine kinase, which is overexpressed and often mutated (to generate an overactive form) in most pancreatic cancers</w:t>
      </w:r>
      <w:r>
        <w:rPr>
          <w:rFonts w:ascii="Book Antiqua" w:eastAsia="Book Antiqua" w:hAnsi="Book Antiqua" w:cs="Book Antiqua"/>
          <w:color w:val="000000"/>
          <w:vertAlign w:val="superscript"/>
        </w:rPr>
        <w:t>[11]</w:t>
      </w:r>
      <w:r>
        <w:rPr>
          <w:rFonts w:ascii="Book Antiqua" w:eastAsia="Book Antiqua" w:hAnsi="Book Antiqua" w:cs="Book Antiqua"/>
          <w:color w:val="000000"/>
        </w:rPr>
        <w:t>. Interestingly, many PDAC cell lines of the classical subtype seem to be resistant to GEM therapy, but sensitive to erlotinib, while PDAC cell lines of the quasi-mesenchymal subtype seem GEM-sensitive, but erlotinib-resistant</w:t>
      </w:r>
      <w:r>
        <w:rPr>
          <w:rFonts w:ascii="Book Antiqua" w:eastAsia="Book Antiqua" w:hAnsi="Book Antiqua" w:cs="Book Antiqua"/>
          <w:color w:val="000000"/>
          <w:vertAlign w:val="superscript"/>
        </w:rPr>
        <w:t>[12]</w:t>
      </w:r>
      <w:r>
        <w:rPr>
          <w:rFonts w:ascii="Book Antiqua" w:eastAsia="Book Antiqua" w:hAnsi="Book Antiqua" w:cs="Book Antiqua"/>
          <w:color w:val="000000"/>
        </w:rPr>
        <w:t>. Therapeutic strategies targeting angiogenesis with bevacizumab plus GEM were evaluated in a Phase III study but showed no additional benefit</w:t>
      </w:r>
      <w:r>
        <w:rPr>
          <w:rFonts w:ascii="Book Antiqua" w:eastAsia="Book Antiqua" w:hAnsi="Book Antiqua" w:cs="Book Antiqua"/>
          <w:color w:val="000000"/>
          <w:vertAlign w:val="superscript"/>
        </w:rPr>
        <w:t>[13]</w:t>
      </w:r>
      <w:r>
        <w:rPr>
          <w:rFonts w:ascii="Book Antiqua" w:eastAsia="Book Antiqua" w:hAnsi="Book Antiqua" w:cs="Book Antiqua"/>
          <w:color w:val="000000"/>
        </w:rPr>
        <w:t>. A combination of chemotherapeutic drugs called FOLFIRINOX consisting of 4 drugs: 5-FU, leucovorin, irinotecan (Camptosar), and oxaliplatin (Eloxatin) improves lifespan compared to GEM alone, but it can also have more severe side effects</w:t>
      </w:r>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For otherwise healthy patients, FOLFIRINOX is now considered a category 1 recommendation for advanced pancreatic cancer. In a recent study, adjuvant therapy with a modified FOLFIRINOX protocol led </w:t>
      </w:r>
      <w:r>
        <w:rPr>
          <w:rFonts w:ascii="Book Antiqua" w:eastAsia="Book Antiqua" w:hAnsi="Book Antiqua" w:cs="Book Antiqua"/>
          <w:color w:val="000000"/>
        </w:rPr>
        <w:lastRenderedPageBreak/>
        <w:t>to significantly longer disease-free survival than with GEM</w:t>
      </w:r>
      <w:r w:rsidR="00032823">
        <w:rPr>
          <w:rFonts w:ascii="Book Antiqua" w:hAnsi="Book Antiqua" w:cs="Book Antiqua" w:hint="eastAsia"/>
          <w:color w:val="000000"/>
          <w:lang w:eastAsia="zh-CN"/>
        </w:rPr>
        <w:t>,</w:t>
      </w:r>
      <w:r>
        <w:rPr>
          <w:rFonts w:ascii="Book Antiqua" w:eastAsia="Book Antiqua" w:hAnsi="Book Antiqua" w:cs="Book Antiqua"/>
          <w:color w:val="000000"/>
        </w:rPr>
        <w:t xml:space="preserve"> among patients with resected PDAC</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21.6 </w:t>
      </w:r>
      <w:r w:rsidR="00EB05FD">
        <w:rPr>
          <w:rFonts w:ascii="Book Antiqua" w:eastAsia="Book Antiqua" w:hAnsi="Book Antiqua" w:cs="Book Antiqua"/>
          <w:color w:val="000000"/>
        </w:rPr>
        <w:t>mo</w:t>
      </w:r>
      <w:r w:rsidR="00EB05FD">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12.8 mo), but had a higher incidence of adverse events of grade 3 or 4 (75.9% </w:t>
      </w:r>
      <w:r>
        <w:rPr>
          <w:rFonts w:ascii="Book Antiqua" w:eastAsia="Book Antiqua" w:hAnsi="Book Antiqua" w:cs="Book Antiqua"/>
          <w:i/>
          <w:iCs/>
          <w:color w:val="000000"/>
        </w:rPr>
        <w:t>vs</w:t>
      </w:r>
      <w:r>
        <w:rPr>
          <w:rFonts w:ascii="Book Antiqua" w:eastAsia="Book Antiqua" w:hAnsi="Book Antiqua" w:cs="Book Antiqua"/>
          <w:color w:val="000000"/>
        </w:rPr>
        <w:t xml:space="preserve"> 52.9%)</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In addition, a retrospective study, Perri </w:t>
      </w:r>
      <w:r>
        <w:rPr>
          <w:rFonts w:ascii="Book Antiqua" w:eastAsia="Book Antiqua" w:hAnsi="Book Antiqua" w:cs="Book Antiqua"/>
          <w:i/>
          <w:iCs/>
          <w:color w:val="000000"/>
        </w:rPr>
        <w:t>et al</w:t>
      </w:r>
      <w:r w:rsidR="00EB05FD">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showed that patients with localized PDAC who received FOLFIRINOX or GEM/Abraxane as their first line of therapy, FOLFIRINOX was associated with a higher rate of RECIST partial response, allowing subsequent pancreatectomy, than</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GEM/Abraxane but the overall survival rates were similar (21 </w:t>
      </w:r>
      <w:r w:rsidR="00795E97">
        <w:rPr>
          <w:rFonts w:ascii="Book Antiqua" w:eastAsia="Book Antiqua" w:hAnsi="Book Antiqua" w:cs="Book Antiqua"/>
          <w:color w:val="000000"/>
        </w:rPr>
        <w:t>mo</w:t>
      </w:r>
      <w:r w:rsidR="00795E97">
        <w:rPr>
          <w:rFonts w:ascii="Book Antiqua" w:eastAsia="Book Antiqua" w:hAnsi="Book Antiqua" w:cs="Book Antiqua"/>
          <w:i/>
          <w:iCs/>
          <w:color w:val="000000"/>
        </w:rPr>
        <w:t xml:space="preserve"> </w:t>
      </w:r>
      <w:r w:rsidR="00EB05FD">
        <w:rPr>
          <w:rFonts w:ascii="Book Antiqua" w:eastAsia="Book Antiqua" w:hAnsi="Book Antiqua" w:cs="Book Antiqua"/>
          <w:i/>
          <w:iCs/>
          <w:color w:val="000000"/>
        </w:rPr>
        <w:t>vs</w:t>
      </w:r>
      <w:r>
        <w:rPr>
          <w:rFonts w:ascii="Book Antiqua" w:eastAsia="Book Antiqua" w:hAnsi="Book Antiqua" w:cs="Book Antiqua"/>
          <w:color w:val="000000"/>
        </w:rPr>
        <w:t xml:space="preserve"> 20 mo). However, the patients treated with FOLFIRINOX were significantly younger (61 </w:t>
      </w:r>
      <w:r w:rsidR="00795E97">
        <w:rPr>
          <w:rFonts w:ascii="Book Antiqua" w:eastAsia="Book Antiqua" w:hAnsi="Book Antiqua" w:cs="Book Antiqua"/>
          <w:color w:val="000000"/>
        </w:rPr>
        <w:t>years</w:t>
      </w:r>
      <w:r w:rsidR="00795E97">
        <w:rPr>
          <w:rFonts w:ascii="Book Antiqua" w:eastAsia="Book Antiqua" w:hAnsi="Book Antiqua" w:cs="Book Antiqua"/>
          <w:i/>
          <w:iCs/>
          <w:color w:val="000000"/>
        </w:rPr>
        <w:t xml:space="preserve"> </w:t>
      </w:r>
      <w:r w:rsidR="00EB05FD">
        <w:rPr>
          <w:rFonts w:ascii="Book Antiqua" w:eastAsia="Book Antiqua" w:hAnsi="Book Antiqua" w:cs="Book Antiqua"/>
          <w:i/>
          <w:iCs/>
          <w:color w:val="000000"/>
        </w:rPr>
        <w:t>vs</w:t>
      </w:r>
      <w:r>
        <w:rPr>
          <w:rFonts w:ascii="Book Antiqua" w:eastAsia="Book Antiqua" w:hAnsi="Book Antiqua" w:cs="Book Antiqua"/>
          <w:color w:val="000000"/>
        </w:rPr>
        <w:t xml:space="preserve"> 71 years). As indicated, none of these treatments are especially effective and </w:t>
      </w:r>
      <w:r w:rsidR="000E26E7">
        <w:rPr>
          <w:rFonts w:ascii="Book Antiqua" w:eastAsia="Book Antiqua" w:hAnsi="Book Antiqua" w:cs="Book Antiqua"/>
          <w:color w:val="000000"/>
        </w:rPr>
        <w:t xml:space="preserve">Alex </w:t>
      </w:r>
      <w:r>
        <w:rPr>
          <w:rFonts w:ascii="Book Antiqua" w:eastAsia="Book Antiqua" w:hAnsi="Book Antiqua" w:cs="Book Antiqua"/>
          <w:color w:val="000000"/>
        </w:rPr>
        <w:t>Trebek</w:t>
      </w:r>
      <w:r w:rsidR="00EB05FD">
        <w:rPr>
          <w:rFonts w:ascii="Book Antiqua" w:eastAsia="Book Antiqua" w:hAnsi="Book Antiqua" w:cs="Book Antiqua"/>
          <w:color w:val="000000"/>
        </w:rPr>
        <w:t xml:space="preserve"> </w:t>
      </w:r>
      <w:r>
        <w:rPr>
          <w:rFonts w:ascii="Book Antiqua" w:eastAsia="Book Antiqua" w:hAnsi="Book Antiqua" w:cs="Book Antiqua"/>
          <w:color w:val="000000"/>
        </w:rPr>
        <w:t>died on November 8, 2020, 19 mo after his announcement.</w:t>
      </w:r>
    </w:p>
    <w:p w14:paraId="24A35CAC" w14:textId="77777777" w:rsidR="00A77B3E" w:rsidRDefault="00A77B3E">
      <w:pPr>
        <w:spacing w:line="360" w:lineRule="auto"/>
        <w:jc w:val="both"/>
      </w:pPr>
    </w:p>
    <w:p w14:paraId="2A27020F" w14:textId="77777777" w:rsidR="00A77B3E" w:rsidRDefault="009819DF">
      <w:pPr>
        <w:spacing w:line="360" w:lineRule="auto"/>
        <w:jc w:val="both"/>
      </w:pPr>
      <w:r>
        <w:rPr>
          <w:rFonts w:ascii="Book Antiqua" w:eastAsia="Book Antiqua" w:hAnsi="Book Antiqua" w:cs="Book Antiqua"/>
          <w:b/>
          <w:bCs/>
          <w:caps/>
          <w:color w:val="000000"/>
          <w:u w:val="single"/>
        </w:rPr>
        <w:t>A Novel Therapy</w:t>
      </w:r>
    </w:p>
    <w:p w14:paraId="3586CF8B" w14:textId="3468FE02" w:rsidR="00A77B3E" w:rsidRDefault="009819DF">
      <w:pPr>
        <w:spacing w:line="360" w:lineRule="auto"/>
        <w:jc w:val="both"/>
      </w:pPr>
      <w:r>
        <w:rPr>
          <w:rFonts w:ascii="Book Antiqua" w:eastAsia="Book Antiqua" w:hAnsi="Book Antiqua" w:cs="Book Antiqua"/>
          <w:color w:val="000000"/>
        </w:rPr>
        <w:t>Phosphatidylserine (PS), an anionic phospholipid, is primarily located on the inner leaflet of the cell membrane</w:t>
      </w:r>
      <w:r>
        <w:rPr>
          <w:rFonts w:ascii="Book Antiqua" w:eastAsia="Book Antiqua" w:hAnsi="Book Antiqua" w:cs="Book Antiqua"/>
          <w:color w:val="000000"/>
          <w:vertAlign w:val="superscript"/>
        </w:rPr>
        <w:t>[18-20]</w:t>
      </w:r>
      <w:r>
        <w:rPr>
          <w:rFonts w:ascii="Book Antiqua" w:eastAsia="Book Antiqua" w:hAnsi="Book Antiqua" w:cs="Book Antiqua"/>
          <w:color w:val="000000"/>
        </w:rPr>
        <w:t xml:space="preserve"> due to the activity of ATP-dependent phospholipid translocases (flippases)</w:t>
      </w:r>
      <w:r>
        <w:rPr>
          <w:rFonts w:ascii="Book Antiqua" w:eastAsia="Book Antiqua" w:hAnsi="Book Antiqua" w:cs="Book Antiqua"/>
          <w:color w:val="000000"/>
          <w:vertAlign w:val="superscript"/>
        </w:rPr>
        <w:t>[21,22]</w:t>
      </w:r>
      <w:r>
        <w:rPr>
          <w:rFonts w:ascii="Book Antiqua" w:eastAsia="Book Antiqua" w:hAnsi="Book Antiqua" w:cs="Book Antiqua"/>
          <w:color w:val="000000"/>
        </w:rPr>
        <w:t>. However, in many viable cancer cells flippase activity is depressed and PS accumulates on the outer leaflet of the membrane</w:t>
      </w:r>
      <w:r w:rsidRPr="00795E97">
        <w:rPr>
          <w:rFonts w:ascii="Book Antiqua" w:eastAsia="Book Antiqua" w:hAnsi="Book Antiqua" w:cs="Book Antiqua"/>
          <w:color w:val="000000"/>
          <w:vertAlign w:val="superscript"/>
        </w:rPr>
        <w:t>[</w:t>
      </w:r>
      <w:r w:rsidRPr="00795E97">
        <w:rPr>
          <w:rFonts w:ascii="Book Antiqua" w:eastAsia="Book Antiqua" w:hAnsi="Book Antiqua" w:cs="Book Antiqua"/>
          <w:color w:val="000000"/>
          <w:szCs w:val="30"/>
          <w:vertAlign w:val="superscript"/>
        </w:rPr>
        <w:t>22</w:t>
      </w:r>
      <w:r w:rsidRPr="00795E97">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normal cells the </w:t>
      </w:r>
      <w:r w:rsidR="00400F52">
        <w:rPr>
          <w:rFonts w:ascii="Book Antiqua" w:eastAsia="Book Antiqua" w:hAnsi="Book Antiqua" w:cs="Book Antiqua"/>
          <w:color w:val="000000"/>
        </w:rPr>
        <w:t xml:space="preserve">increased </w:t>
      </w:r>
      <w:r>
        <w:rPr>
          <w:rFonts w:ascii="Book Antiqua" w:eastAsia="Book Antiqua" w:hAnsi="Book Antiqua" w:cs="Book Antiqua"/>
          <w:color w:val="000000"/>
        </w:rPr>
        <w:t>surface PS would represent apoptosis and the cell would be engulfed by macrophages</w:t>
      </w:r>
      <w:r>
        <w:rPr>
          <w:rFonts w:ascii="Book Antiqua" w:eastAsia="Book Antiqua" w:hAnsi="Book Antiqua" w:cs="Book Antiqua"/>
          <w:color w:val="000000"/>
          <w:vertAlign w:val="superscript"/>
        </w:rPr>
        <w:t>[23,24]</w:t>
      </w:r>
      <w:r>
        <w:rPr>
          <w:rFonts w:ascii="Book Antiqua" w:eastAsia="Book Antiqua" w:hAnsi="Book Antiqua" w:cs="Book Antiqua"/>
          <w:color w:val="000000"/>
        </w:rPr>
        <w:t xml:space="preserve"> but cancer cells express CD47 which prevents phagocytosis by macrophages</w:t>
      </w:r>
      <w:r>
        <w:rPr>
          <w:rFonts w:ascii="Book Antiqua" w:eastAsia="Book Antiqua" w:hAnsi="Book Antiqua" w:cs="Book Antiqua"/>
          <w:color w:val="000000"/>
          <w:vertAlign w:val="superscript"/>
        </w:rPr>
        <w:t>[25]</w:t>
      </w:r>
      <w:r>
        <w:rPr>
          <w:rFonts w:ascii="Book Antiqua" w:eastAsia="Book Antiqua" w:hAnsi="Book Antiqua" w:cs="Book Antiqua"/>
          <w:color w:val="000000"/>
        </w:rPr>
        <w:t>. While most cancer cells express higher levels of PS on the extracellular cell membrane than normal cells</w:t>
      </w:r>
      <w:r w:rsidR="00032823">
        <w:rPr>
          <w:rFonts w:ascii="Book Antiqua" w:hAnsi="Book Antiqua" w:cs="Book Antiqua" w:hint="eastAsia"/>
          <w:color w:val="000000"/>
          <w:lang w:eastAsia="zh-CN"/>
        </w:rPr>
        <w:t>,</w:t>
      </w:r>
      <w:r>
        <w:rPr>
          <w:rFonts w:ascii="Book Antiqua" w:eastAsia="Book Antiqua" w:hAnsi="Book Antiqua" w:cs="Book Antiqua"/>
          <w:color w:val="000000"/>
        </w:rPr>
        <w:t xml:space="preserve"> there is a wide variation of surface PS, even in cell lines from the same type of cancer</w:t>
      </w:r>
      <w:r>
        <w:rPr>
          <w:rFonts w:ascii="Book Antiqua" w:eastAsia="Book Antiqua" w:hAnsi="Book Antiqua" w:cs="Book Antiqua"/>
          <w:color w:val="000000"/>
          <w:vertAlign w:val="superscript"/>
        </w:rPr>
        <w:t>[22]</w:t>
      </w:r>
      <w:r>
        <w:rPr>
          <w:rFonts w:ascii="Book Antiqua" w:eastAsia="Book Antiqua" w:hAnsi="Book Antiqua" w:cs="Book Antiqua"/>
          <w:color w:val="000000"/>
        </w:rPr>
        <w:t>. We have previously demonstrated this is extant in a panel of pancreatic cancer cell lines</w:t>
      </w:r>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0FD4D606" w14:textId="0EF5DA2E" w:rsidR="00A77B3E" w:rsidRDefault="009819DF" w:rsidP="00795E97">
      <w:pPr>
        <w:spacing w:line="360" w:lineRule="auto"/>
        <w:ind w:firstLineChars="100" w:firstLine="240"/>
        <w:jc w:val="both"/>
      </w:pPr>
      <w:r>
        <w:rPr>
          <w:rFonts w:ascii="Book Antiqua" w:eastAsia="Book Antiqua" w:hAnsi="Book Antiqua" w:cs="Book Antiqua"/>
          <w:color w:val="000000"/>
        </w:rPr>
        <w:t>Exploiting the increased surface PS on cancer cells</w:t>
      </w:r>
      <w:r w:rsidR="00032823">
        <w:rPr>
          <w:rFonts w:ascii="Book Antiqua" w:hAnsi="Book Antiqua" w:cs="Book Antiqua" w:hint="eastAsia"/>
          <w:color w:val="000000"/>
          <w:lang w:eastAsia="zh-CN"/>
        </w:rPr>
        <w:t>,</w:t>
      </w:r>
      <w:r>
        <w:rPr>
          <w:rFonts w:ascii="Book Antiqua" w:eastAsia="Book Antiqua" w:hAnsi="Book Antiqua" w:cs="Book Antiqua"/>
          <w:color w:val="000000"/>
        </w:rPr>
        <w:t xml:space="preserve"> our lab has developed a therapeutic agent that consists of the membrane fusogenic protein, saposin C (SapC) which is embedded in dioleoylphosphatidylserine (DOPS) vesicles. These nanovesicles selectively target a variety of cancer cells</w:t>
      </w:r>
      <w:r>
        <w:rPr>
          <w:rFonts w:ascii="Book Antiqua" w:eastAsia="Book Antiqua" w:hAnsi="Book Antiqua" w:cs="Book Antiqua"/>
          <w:color w:val="000000"/>
          <w:vertAlign w:val="superscript"/>
        </w:rPr>
        <w:t>[27-30]</w:t>
      </w:r>
      <w:r>
        <w:rPr>
          <w:rFonts w:ascii="Book Antiqua" w:eastAsia="Book Antiqua" w:hAnsi="Book Antiqua" w:cs="Book Antiqua"/>
          <w:color w:val="000000"/>
        </w:rPr>
        <w:t xml:space="preserve"> including pancreatic tumors, due to high affinity of SapC for cancer cell PS</w:t>
      </w:r>
      <w:r>
        <w:rPr>
          <w:rFonts w:ascii="Book Antiqua" w:eastAsia="Book Antiqua" w:hAnsi="Book Antiqua" w:cs="Book Antiqua"/>
          <w:color w:val="000000"/>
          <w:vertAlign w:val="superscript"/>
        </w:rPr>
        <w:t>[26,31]</w:t>
      </w:r>
      <w:r>
        <w:rPr>
          <w:rFonts w:ascii="Book Antiqua" w:eastAsia="Book Antiqua" w:hAnsi="Book Antiqua" w:cs="Book Antiqua"/>
          <w:color w:val="000000"/>
        </w:rPr>
        <w:t>. SapC is a stable 80-amino acid lysosomal protein ubiquitous in all cells</w:t>
      </w:r>
      <w:r w:rsidR="00032823">
        <w:rPr>
          <w:rFonts w:ascii="Book Antiqua" w:hAnsi="Book Antiqua" w:cs="Book Antiqua" w:hint="eastAsia"/>
          <w:color w:val="000000"/>
          <w:lang w:eastAsia="zh-CN"/>
        </w:rPr>
        <w:t>,</w:t>
      </w:r>
      <w:r>
        <w:rPr>
          <w:rFonts w:ascii="Book Antiqua" w:eastAsia="Book Antiqua" w:hAnsi="Book Antiqua" w:cs="Book Antiqua"/>
          <w:color w:val="000000"/>
        </w:rPr>
        <w:t xml:space="preserve"> that has high affinity and exceptional specificity for PS and catabolizes glycosphingolipids in membranes</w:t>
      </w:r>
      <w:r>
        <w:rPr>
          <w:rFonts w:ascii="Book Antiqua" w:eastAsia="Book Antiqua" w:hAnsi="Book Antiqua" w:cs="Book Antiqua"/>
          <w:color w:val="000000"/>
          <w:vertAlign w:val="superscript"/>
        </w:rPr>
        <w:t>[32-34]</w:t>
      </w:r>
      <w:r>
        <w:rPr>
          <w:rFonts w:ascii="Book Antiqua" w:eastAsia="Book Antiqua" w:hAnsi="Book Antiqua" w:cs="Book Antiqua"/>
          <w:color w:val="000000"/>
        </w:rPr>
        <w:t>.</w:t>
      </w:r>
    </w:p>
    <w:p w14:paraId="73236570" w14:textId="668585FF" w:rsidR="00A77B3E" w:rsidRDefault="009819DF" w:rsidP="00795E97">
      <w:pPr>
        <w:spacing w:line="360" w:lineRule="auto"/>
        <w:ind w:firstLineChars="100" w:firstLine="240"/>
        <w:jc w:val="both"/>
      </w:pPr>
      <w:r>
        <w:rPr>
          <w:rFonts w:ascii="Book Antiqua" w:eastAsia="Book Antiqua" w:hAnsi="Book Antiqua" w:cs="Book Antiqua"/>
          <w:color w:val="000000"/>
        </w:rPr>
        <w:lastRenderedPageBreak/>
        <w:t>When SapC is coupled with DOPS durable nanovesicles are formed and selectively fuse with the PS on the surface of cancer cells</w:t>
      </w:r>
      <w:r>
        <w:rPr>
          <w:rFonts w:ascii="Book Antiqua" w:eastAsia="Book Antiqua" w:hAnsi="Book Antiqua" w:cs="Book Antiqua"/>
          <w:color w:val="000000"/>
          <w:vertAlign w:val="superscript"/>
        </w:rPr>
        <w:t>[27,28]</w:t>
      </w:r>
      <w:r>
        <w:rPr>
          <w:rFonts w:ascii="Book Antiqua" w:eastAsia="Book Antiqua" w:hAnsi="Book Antiqua" w:cs="Book Antiqua"/>
          <w:color w:val="000000"/>
        </w:rPr>
        <w:t>. This targeting correlates with the expression of surface PS on the cells and can be blocked by specific PS-binding proteins, such as lactadherin or β2-glycoprotein</w:t>
      </w:r>
      <w:r>
        <w:rPr>
          <w:rFonts w:ascii="Book Antiqua" w:eastAsia="Book Antiqua" w:hAnsi="Book Antiqua" w:cs="Book Antiqua"/>
          <w:color w:val="000000"/>
          <w:vertAlign w:val="superscript"/>
        </w:rPr>
        <w:t>[26,35]</w:t>
      </w:r>
      <w:r>
        <w:rPr>
          <w:rFonts w:ascii="Book Antiqua" w:eastAsia="Book Antiqua" w:hAnsi="Book Antiqua" w:cs="Book Antiqua"/>
          <w:color w:val="000000"/>
        </w:rPr>
        <w:t>. The specificity of SapC-DOPS binding to cancer cells is further enhanced by the tumor microenvironment which is acidic due to the Warburg effect</w:t>
      </w:r>
      <w:r>
        <w:rPr>
          <w:rFonts w:ascii="Book Antiqua" w:eastAsia="Book Antiqua" w:hAnsi="Book Antiqua" w:cs="Book Antiqua"/>
          <w:color w:val="000000"/>
          <w:vertAlign w:val="superscript"/>
        </w:rPr>
        <w:t>[36,37]</w:t>
      </w:r>
      <w:r>
        <w:rPr>
          <w:rFonts w:ascii="Book Antiqua" w:eastAsia="Book Antiqua" w:hAnsi="Book Antiqua" w:cs="Book Antiqua"/>
          <w:color w:val="000000"/>
        </w:rPr>
        <w:t>. In cancer cells, lysosomal acid sphingomyelinase (ASMase) leaks out from lysosomes and migrates to the plasma membrane. When SapC-DOPS nanovesicles fuse with surface PS of cancer cell membranes, SapC stimulates ASMase which elevates ceramide levels and consequently activates caspases that induce apoptotic cell death</w:t>
      </w:r>
      <w:r>
        <w:rPr>
          <w:rFonts w:ascii="Book Antiqua" w:eastAsia="Book Antiqua" w:hAnsi="Book Antiqua" w:cs="Book Antiqua"/>
          <w:color w:val="000000"/>
          <w:vertAlign w:val="superscript"/>
        </w:rPr>
        <w:t>[26,27,38]</w:t>
      </w:r>
      <w:r>
        <w:rPr>
          <w:rFonts w:ascii="Book Antiqua" w:eastAsia="Book Antiqua" w:hAnsi="Book Antiqua" w:cs="Book Antiqua"/>
          <w:color w:val="000000"/>
        </w:rPr>
        <w:t>. In untransformed cells, asymmetric acidic phospholipid distribution results in low PS exposure on the membrane surface. This coupled with the neutral pH environment leads to weak SapC-DOPS interaction with these cells. Thus, SapC-DOPS selectively kills pancreatic tumor cells, without apparent off-target toxicity to normal cells and tissues</w:t>
      </w:r>
      <w:r>
        <w:rPr>
          <w:rFonts w:ascii="Book Antiqua" w:eastAsia="Book Antiqua" w:hAnsi="Book Antiqua" w:cs="Book Antiqua"/>
          <w:color w:val="000000"/>
          <w:vertAlign w:val="superscript"/>
        </w:rPr>
        <w:t>[26-31]</w:t>
      </w:r>
      <w:r>
        <w:rPr>
          <w:rFonts w:ascii="Book Antiqua" w:eastAsia="Book Antiqua" w:hAnsi="Book Antiqua" w:cs="Book Antiqua"/>
          <w:color w:val="000000"/>
        </w:rPr>
        <w:t>. Indeed, SapC-DOPS (clinical name: BXQ-350) has shown an exemplary safety profile both preclinically</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and in Phase I clinical trials</w:t>
      </w:r>
      <w:r>
        <w:rPr>
          <w:rFonts w:ascii="Book Antiqua" w:eastAsia="Book Antiqua" w:hAnsi="Book Antiqua" w:cs="Book Antiqua"/>
          <w:color w:val="000000"/>
          <w:vertAlign w:val="superscript"/>
        </w:rPr>
        <w:t>[39,40]</w:t>
      </w:r>
      <w:r>
        <w:rPr>
          <w:rFonts w:ascii="Book Antiqua" w:eastAsia="Book Antiqua" w:hAnsi="Book Antiqua" w:cs="Book Antiqua"/>
          <w:color w:val="000000"/>
        </w:rPr>
        <w:t>. In mice there were no noticeable side effects and SapC-DOPS appeared to attenuate cancer-associated cachexia</w:t>
      </w:r>
      <w:r>
        <w:rPr>
          <w:rFonts w:ascii="Book Antiqua" w:eastAsia="Book Antiqua" w:hAnsi="Book Antiqua" w:cs="Book Antiqua"/>
          <w:color w:val="000000"/>
          <w:vertAlign w:val="superscript"/>
        </w:rPr>
        <w:t>[31,41]</w:t>
      </w:r>
      <w:r>
        <w:rPr>
          <w:rFonts w:ascii="Book Antiqua" w:eastAsia="Book Antiqua" w:hAnsi="Book Antiqua" w:cs="Book Antiqua"/>
          <w:color w:val="000000"/>
        </w:rPr>
        <w:t>. In the clinical trials, no severe adverse events were observed and most subjects showed no drug linked problems at all. Importantly, SapC-DOPS has shown strong cytotoxicity on pancreatic cancer cells regardless of their genetic modifications so it should be effective in all patients.</w:t>
      </w:r>
    </w:p>
    <w:p w14:paraId="2FF781E9" w14:textId="08BFDBA6" w:rsidR="00A77B3E" w:rsidRDefault="00A049EB" w:rsidP="00795E97">
      <w:pPr>
        <w:spacing w:line="360" w:lineRule="auto"/>
        <w:ind w:firstLineChars="100" w:firstLine="240"/>
        <w:jc w:val="both"/>
      </w:pPr>
      <w:r>
        <w:rPr>
          <w:rFonts w:ascii="Book Antiqua" w:eastAsia="Book Antiqua" w:hAnsi="Book Antiqua" w:cs="Book Antiqua"/>
          <w:color w:val="000000"/>
        </w:rPr>
        <w:t>PS</w:t>
      </w:r>
      <w:r w:rsidR="009819DF">
        <w:rPr>
          <w:rFonts w:ascii="Book Antiqua" w:eastAsia="Book Antiqua" w:hAnsi="Book Antiqua" w:cs="Book Antiqua"/>
          <w:color w:val="000000"/>
        </w:rPr>
        <w:t xml:space="preserve"> also has potential as a diagnostic biomarker</w:t>
      </w:r>
      <w:r w:rsidR="00032823">
        <w:rPr>
          <w:rFonts w:ascii="Book Antiqua" w:hAnsi="Book Antiqua" w:cs="Book Antiqua" w:hint="eastAsia"/>
          <w:color w:val="000000"/>
          <w:lang w:eastAsia="zh-CN"/>
        </w:rPr>
        <w:t>,</w:t>
      </w:r>
      <w:r w:rsidR="009819DF">
        <w:rPr>
          <w:rFonts w:ascii="Book Antiqua" w:eastAsia="Book Antiqua" w:hAnsi="Book Antiqua" w:cs="Book Antiqua"/>
          <w:color w:val="000000"/>
        </w:rPr>
        <w:t xml:space="preserve"> as our data indicate that pancreatic tumors have elevated surface PS compared to relatively normal pancreatic tissue from PDAC patients with no previous therapeutic exposure (Figure 1). This increased PS serves as a molecular target for SapC-DOPS and allows SapC-DOPS to invade the PDAC tumor (Figure 2A) and specifically target tumor blood vessels (Figure 2B) and PDAC cells (Figure 2C) in murine tumor models.</w:t>
      </w:r>
    </w:p>
    <w:p w14:paraId="453F83D0" w14:textId="11B6AC1B" w:rsidR="00A77B3E" w:rsidRDefault="009819DF" w:rsidP="00795E97">
      <w:pPr>
        <w:spacing w:line="360" w:lineRule="auto"/>
        <w:ind w:firstLineChars="100" w:firstLine="240"/>
        <w:jc w:val="both"/>
      </w:pPr>
      <w:r>
        <w:rPr>
          <w:rFonts w:ascii="Book Antiqua" w:eastAsia="Book Antiqua" w:hAnsi="Book Antiqua" w:cs="Book Antiqua"/>
          <w:color w:val="000000"/>
        </w:rPr>
        <w:t xml:space="preserve">Chu </w:t>
      </w:r>
      <w:r>
        <w:rPr>
          <w:rFonts w:ascii="Book Antiqua" w:eastAsia="Book Antiqua" w:hAnsi="Book Antiqua" w:cs="Book Antiqua"/>
          <w:i/>
          <w:iCs/>
          <w:color w:val="000000"/>
        </w:rPr>
        <w:t>et al</w:t>
      </w:r>
      <w:r w:rsidR="00795E97">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have determined that the optimal molar ratio of SapC to DOPS is 1:3-1:10 for maximal cytotoxic effects against human cancer cells and for most studies we use 1:7. This formulation of SapC-DOPS is cytotoxic to a variety of pancreatic cancer cells but </w:t>
      </w:r>
      <w:r>
        <w:rPr>
          <w:rFonts w:ascii="Book Antiqua" w:eastAsia="Book Antiqua" w:hAnsi="Book Antiqua" w:cs="Book Antiqua"/>
          <w:color w:val="000000"/>
        </w:rPr>
        <w:lastRenderedPageBreak/>
        <w:t>harmless to normal human pancreatic ductal epithelial cells (HPDE)</w:t>
      </w:r>
      <w:r>
        <w:rPr>
          <w:rFonts w:ascii="Book Antiqua" w:eastAsia="Book Antiqua" w:hAnsi="Book Antiqua" w:cs="Book Antiqua"/>
          <w:color w:val="000000"/>
          <w:vertAlign w:val="superscript"/>
        </w:rPr>
        <w:t>[26]</w:t>
      </w:r>
      <w:r>
        <w:rPr>
          <w:rFonts w:ascii="Book Antiqua" w:eastAsia="Book Antiqua" w:hAnsi="Book Antiqua" w:cs="Book Antiqua"/>
          <w:color w:val="000000"/>
        </w:rPr>
        <w:t>. As anticipated, there was a correlation between surface PS and the killing effect of SapC-DOPS. Microscopic inspection of SapC-DOPS-treated cells revealed that tumor cells had morphologies consistent with apoptotic cell death, while HPDE cells appeared unchanged</w:t>
      </w:r>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30B096EF" w14:textId="5D3A1828" w:rsidR="00A77B3E" w:rsidRDefault="009819DF" w:rsidP="00795E97">
      <w:pPr>
        <w:spacing w:line="360" w:lineRule="auto"/>
        <w:ind w:firstLineChars="100" w:firstLine="240"/>
        <w:jc w:val="both"/>
      </w:pPr>
      <w:r>
        <w:rPr>
          <w:rFonts w:ascii="Book Antiqua" w:eastAsia="Book Antiqua" w:hAnsi="Book Antiqua" w:cs="Book Antiqua"/>
          <w:color w:val="000000"/>
        </w:rPr>
        <w:t xml:space="preserve">To advance these studies, human PANC-1 or MiaPaCa-2 cells were implanted subcutaneously in nude mice then the mice were treated every </w:t>
      </w:r>
      <w:r w:rsidR="00795E97">
        <w:rPr>
          <w:rFonts w:ascii="Book Antiqua" w:eastAsia="Book Antiqua" w:hAnsi="Book Antiqua" w:cs="Book Antiqua"/>
          <w:color w:val="000000"/>
        </w:rPr>
        <w:t>2</w:t>
      </w:r>
      <w:r>
        <w:rPr>
          <w:rFonts w:ascii="Book Antiqua" w:eastAsia="Book Antiqua" w:hAnsi="Book Antiqua" w:cs="Book Antiqua"/>
          <w:color w:val="000000"/>
        </w:rPr>
        <w:t xml:space="preserve"> </w:t>
      </w:r>
      <w:r w:rsidR="00795E97">
        <w:rPr>
          <w:rFonts w:ascii="Book Antiqua" w:eastAsia="Book Antiqua" w:hAnsi="Book Antiqua" w:cs="Book Antiqua"/>
          <w:color w:val="000000"/>
        </w:rPr>
        <w:t xml:space="preserve">d </w:t>
      </w:r>
      <w:r>
        <w:rPr>
          <w:rFonts w:ascii="Book Antiqua" w:eastAsia="Book Antiqua" w:hAnsi="Book Antiqua" w:cs="Book Antiqua"/>
          <w:color w:val="000000"/>
        </w:rPr>
        <w:t xml:space="preserve">to </w:t>
      </w:r>
      <w:r w:rsidR="00795E97">
        <w:rPr>
          <w:rFonts w:ascii="Book Antiqua" w:eastAsia="Book Antiqua" w:hAnsi="Book Antiqua" w:cs="Book Antiqua"/>
          <w:color w:val="000000"/>
        </w:rPr>
        <w:t>3</w:t>
      </w:r>
      <w:r>
        <w:rPr>
          <w:rFonts w:ascii="Book Antiqua" w:eastAsia="Book Antiqua" w:hAnsi="Book Antiqua" w:cs="Book Antiqua"/>
          <w:color w:val="000000"/>
        </w:rPr>
        <w:t xml:space="preserve"> d</w:t>
      </w:r>
      <w:r w:rsidR="00795E97">
        <w:rPr>
          <w:rFonts w:ascii="Book Antiqua" w:eastAsia="Book Antiqua" w:hAnsi="Book Antiqua" w:cs="Book Antiqua"/>
          <w:color w:val="000000"/>
        </w:rPr>
        <w:t xml:space="preserve"> </w:t>
      </w:r>
      <w:r>
        <w:rPr>
          <w:rFonts w:ascii="Book Antiqua" w:eastAsia="Book Antiqua" w:hAnsi="Book Antiqua" w:cs="Book Antiqua"/>
          <w:color w:val="000000"/>
        </w:rPr>
        <w:t>with various doses of SapC-DOPS. Our results demonstrated a dose-dependent inhibition of pancreatic tumor growth by SapC-DOPS. To investigate a more pathologically important model, mice were implanted with cfPac-1 cells orthotopically into the pancreata. In these mice, SapC-DOPS dramatically prolonged survival; tumor-bearing control mice all died within 170 d</w:t>
      </w:r>
      <w:r w:rsidR="00795E97">
        <w:rPr>
          <w:rFonts w:ascii="Book Antiqua" w:eastAsia="Book Antiqua" w:hAnsi="Book Antiqua" w:cs="Book Antiqua"/>
          <w:color w:val="000000"/>
        </w:rPr>
        <w:t xml:space="preserve"> </w:t>
      </w:r>
      <w:r>
        <w:rPr>
          <w:rFonts w:ascii="Book Antiqua" w:eastAsia="Book Antiqua" w:hAnsi="Book Antiqua" w:cs="Book Antiqua"/>
          <w:color w:val="000000"/>
        </w:rPr>
        <w:t>but 67% of SapC-DOPS-treated mice survived until they were euthanized at day 260 and none of the surviving mice harbored any detectable tumor.</w:t>
      </w:r>
      <w:r w:rsidR="00795E97">
        <w:rPr>
          <w:rFonts w:ascii="Book Antiqua" w:eastAsia="Book Antiqua" w:hAnsi="Book Antiqua" w:cs="Book Antiqua"/>
          <w:color w:val="000000"/>
        </w:rPr>
        <w:t xml:space="preserve"> </w:t>
      </w:r>
      <w:r>
        <w:rPr>
          <w:rFonts w:ascii="Book Antiqua" w:eastAsia="Book Antiqua" w:hAnsi="Book Antiqua" w:cs="Book Antiqua"/>
          <w:color w:val="000000"/>
        </w:rPr>
        <w:t>Notably, a metastatic tumor appeared in the lung of one mouse (Figure 2A) and this lesion was targeted by SapC-DOPS</w:t>
      </w:r>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019B1689" w14:textId="09239F10" w:rsidR="00A77B3E" w:rsidRDefault="009819DF" w:rsidP="00795E97">
      <w:pPr>
        <w:spacing w:line="360" w:lineRule="auto"/>
        <w:ind w:firstLineChars="100" w:firstLine="240"/>
        <w:jc w:val="both"/>
      </w:pPr>
      <w:r>
        <w:rPr>
          <w:rFonts w:ascii="Book Antiqua" w:eastAsia="Book Antiqua" w:hAnsi="Book Antiqua" w:cs="Book Antiqua"/>
          <w:color w:val="000000"/>
        </w:rPr>
        <w:t>As mentioned, GEM provides only marginal benefit to patients so we assessed the therapeutic benefits of combining GEM with SapC-DOPS. For these studies</w:t>
      </w:r>
      <w:r w:rsidRPr="00795E97">
        <w:rPr>
          <w:rFonts w:ascii="Book Antiqua" w:eastAsia="Book Antiqua" w:hAnsi="Book Antiqua" w:cs="Book Antiqua"/>
          <w:color w:val="000000"/>
          <w:vertAlign w:val="superscript"/>
        </w:rPr>
        <w:t>[</w:t>
      </w:r>
      <w:r w:rsidRPr="00795E97">
        <w:rPr>
          <w:rFonts w:ascii="Book Antiqua" w:eastAsia="Book Antiqua" w:hAnsi="Book Antiqua" w:cs="Book Antiqua"/>
          <w:color w:val="000000"/>
          <w:szCs w:val="30"/>
          <w:vertAlign w:val="superscript"/>
        </w:rPr>
        <w:t>31</w:t>
      </w:r>
      <w:r w:rsidRPr="00795E97">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 first, treated MiaPaCa-2 cells with SapC-DOPS (48 h) and GEM (24 h) alone as well as a combination of SapC-DOPS with GEM. These data demonstrated that the combination of SapC-DOPS and GEM had a significantly greater anti-tumor effect than either treatment alone. Interestingly, low dose GEM treatment elevates surface PS on cancer cells lines within 48 h without killing the cells, although this may be an early, aborted apoptotic response. We then implanted the pancreatic cancer cell line, p53.2.1.1, subcutaneously into c57Bl/6J mice</w:t>
      </w:r>
      <w:r>
        <w:rPr>
          <w:rFonts w:ascii="Book Antiqua" w:eastAsia="Book Antiqua" w:hAnsi="Book Antiqua" w:cs="Book Antiqua"/>
          <w:color w:val="000000"/>
          <w:vertAlign w:val="superscript"/>
        </w:rPr>
        <w:t>[31]</w:t>
      </w:r>
      <w:r>
        <w:rPr>
          <w:rFonts w:ascii="Book Antiqua" w:eastAsia="Book Antiqua" w:hAnsi="Book Antiqua" w:cs="Book Antiqua"/>
          <w:color w:val="000000"/>
        </w:rPr>
        <w:t>.</w:t>
      </w:r>
      <w:r w:rsidR="00795E97">
        <w:rPr>
          <w:rFonts w:ascii="Book Antiqua" w:eastAsia="Book Antiqua" w:hAnsi="Book Antiqua" w:cs="Book Antiqua"/>
          <w:color w:val="000000"/>
        </w:rPr>
        <w:t xml:space="preserve"> </w:t>
      </w:r>
      <w:r>
        <w:rPr>
          <w:rFonts w:ascii="Book Antiqua" w:eastAsia="Book Antiqua" w:hAnsi="Book Antiqua" w:cs="Book Antiqua"/>
          <w:color w:val="000000"/>
        </w:rPr>
        <w:t>We used suboptimal concentrations of both GEM and SapC-DOPS and only treated on days 1 and 4 post implantation to examine the combination effects.</w:t>
      </w:r>
      <w:r w:rsidR="00795E97">
        <w:rPr>
          <w:rFonts w:ascii="Book Antiqua" w:eastAsia="Book Antiqua" w:hAnsi="Book Antiqua" w:cs="Book Antiqua"/>
          <w:color w:val="000000"/>
        </w:rPr>
        <w:t xml:space="preserve"> </w:t>
      </w:r>
      <w:r>
        <w:rPr>
          <w:rFonts w:ascii="Book Antiqua" w:eastAsia="Book Antiqua" w:hAnsi="Book Antiqua" w:cs="Book Antiqua"/>
          <w:color w:val="000000"/>
        </w:rPr>
        <w:t>Both GEM and SapC-DOPS alone reduced tumor sizes by about 50% but the combination reached 90%. A similar experiment was conducted using subcutaneous mouse 4580P cells in c57Bl/6J mice with GEM/Abraxane and SapC-DOPS with similar results.</w:t>
      </w:r>
      <w:r w:rsidR="00795E97">
        <w:rPr>
          <w:rFonts w:ascii="Book Antiqua" w:eastAsia="Book Antiqua" w:hAnsi="Book Antiqua" w:cs="Book Antiqua"/>
          <w:color w:val="000000"/>
        </w:rPr>
        <w:t xml:space="preserve"> </w:t>
      </w:r>
      <w:r>
        <w:rPr>
          <w:rFonts w:ascii="Book Antiqua" w:eastAsia="Book Antiqua" w:hAnsi="Book Antiqua" w:cs="Book Antiqua"/>
          <w:color w:val="000000"/>
        </w:rPr>
        <w:t xml:space="preserve">To ascertain whether the combination could improve </w:t>
      </w:r>
      <w:r>
        <w:rPr>
          <w:rFonts w:ascii="Book Antiqua" w:eastAsia="Book Antiqua" w:hAnsi="Book Antiqua" w:cs="Book Antiqua"/>
          <w:color w:val="000000"/>
        </w:rPr>
        <w:lastRenderedPageBreak/>
        <w:t>survival, we injected mice orthotopically with p53.2.1.1 cell</w:t>
      </w:r>
      <w:r w:rsidR="00674B07">
        <w:rPr>
          <w:rFonts w:ascii="Book Antiqua" w:eastAsia="Book Antiqua" w:hAnsi="Book Antiqua" w:cs="Book Antiqua"/>
          <w:color w:val="000000"/>
        </w:rPr>
        <w:t>s</w:t>
      </w:r>
      <w:r>
        <w:rPr>
          <w:rFonts w:ascii="Book Antiqua" w:eastAsia="Book Antiqua" w:hAnsi="Book Antiqua" w:cs="Book Antiqua"/>
          <w:color w:val="000000"/>
        </w:rPr>
        <w:t xml:space="preserve"> and then administered saline, GEM, SapC-DOPS or the combination. All the control mice died within 29 d. The mice receiving the combination treatment lived substantially longer with one mouse being euthanized tumor-free on day 50. The mice receiving suboptimal concentrations of either GEM or SapC-DOPS alone lived for an intermediate duration. In all of these experiments SapC-DOPS was introduced shortly after the injection of the GEM or GEM/Abraxane. We had previously shown that another chemotherapeutic drug, temozolomide, also had synergistic effects with SapC-DOPS in brain cancer models</w:t>
      </w:r>
      <w:r>
        <w:rPr>
          <w:rFonts w:ascii="Book Antiqua" w:eastAsia="Book Antiqua" w:hAnsi="Book Antiqua" w:cs="Book Antiqua"/>
          <w:color w:val="000000"/>
          <w:vertAlign w:val="superscript"/>
        </w:rPr>
        <w:t>[35]</w:t>
      </w:r>
      <w:r>
        <w:rPr>
          <w:rFonts w:ascii="Book Antiqua" w:eastAsia="Book Antiqua" w:hAnsi="Book Antiqua" w:cs="Book Antiqua"/>
          <w:color w:val="000000"/>
        </w:rPr>
        <w:t>.</w:t>
      </w:r>
    </w:p>
    <w:p w14:paraId="35BC32BA" w14:textId="02E6D2F6" w:rsidR="00A77B3E" w:rsidRDefault="009819DF" w:rsidP="00795E97">
      <w:pPr>
        <w:spacing w:line="360" w:lineRule="auto"/>
        <w:ind w:firstLineChars="100" w:firstLine="240"/>
        <w:jc w:val="both"/>
      </w:pPr>
      <w:r>
        <w:rPr>
          <w:rFonts w:ascii="Book Antiqua" w:eastAsia="Book Antiqua" w:hAnsi="Book Antiqua" w:cs="Book Antiqua"/>
          <w:color w:val="000000"/>
        </w:rPr>
        <w:t>Radiation, another therapy for PDAC, also increases surface PS on viable cancer cells. Pancreatic cell lines with initially low to moderate surface PS exhibited dose-dependent increases in surface PS by 12 h with a maximum increase by 24 h. In addition, subcutaneous tumors generated in nude mice from the human pancreatic cancer cell line, cfPac-1, nearly doubled their surface PS 48 h following focused exposure to 10 Gy of radiation</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Incidentally, we have recently demonstrated that we can incorporate the therapeutic radioisotope,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I into SapC-DOPS nanovesicles and that this radiation enhances the effects of SapC-DOPS to prolong survival in mice bearing glioblastoma multiforme, a type of brain cancer</w:t>
      </w:r>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In this scenario, the radiation from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I, while directly killing the tumor cells may also increase surface PS.</w:t>
      </w:r>
    </w:p>
    <w:p w14:paraId="0FF2E2D0" w14:textId="6D1BCC46" w:rsidR="00A77B3E" w:rsidRDefault="009819DF" w:rsidP="00795E97">
      <w:pPr>
        <w:spacing w:line="360" w:lineRule="auto"/>
        <w:ind w:firstLineChars="100" w:firstLine="240"/>
        <w:jc w:val="both"/>
      </w:pPr>
      <w:r>
        <w:rPr>
          <w:rFonts w:ascii="Book Antiqua" w:eastAsia="Book Antiqua" w:hAnsi="Book Antiqua" w:cs="Book Antiqua"/>
          <w:color w:val="000000"/>
        </w:rPr>
        <w:t xml:space="preserve">It is tempting to speculate that increasing surface PS with GEM or radiation would augment the cytotoxicity of SapC-DOPS. Thus, we investigated whether sequential treatment order of SapC-DOPS and GEM altered the treatment efficacy. Treating the cells with GEM long enough to increase cell surface PS followed by SapC-DOPS was no more efficacious than SapC-DOPS followed by GEM treatment (Figure 3). These data and results from Davis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E470EB">
        <w:rPr>
          <w:rFonts w:ascii="Book Antiqua" w:eastAsia="Book Antiqua" w:hAnsi="Book Antiqua" w:cs="Book Antiqua"/>
          <w:color w:val="000000"/>
          <w:szCs w:val="30"/>
          <w:vertAlign w:val="superscript"/>
        </w:rPr>
        <w:t>42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suggest that GEM and radiation do not sensitize cells to SapC-DOPS treatment but rather selectively kill the low surface PS cells, leaving high PS cancer cells intact which can then be targeted by SapC-DOPS.</w:t>
      </w:r>
    </w:p>
    <w:p w14:paraId="73F41150" w14:textId="74961D15" w:rsidR="00A77B3E" w:rsidRDefault="009819DF" w:rsidP="00795E97">
      <w:pPr>
        <w:spacing w:line="360" w:lineRule="auto"/>
        <w:ind w:firstLineChars="100" w:firstLine="240"/>
        <w:jc w:val="both"/>
      </w:pPr>
      <w:r>
        <w:rPr>
          <w:rFonts w:ascii="Book Antiqua" w:eastAsia="Book Antiqua" w:hAnsi="Book Antiqua" w:cs="Book Antiqua"/>
          <w:color w:val="000000"/>
        </w:rPr>
        <w:t>Even within a specific pancreatic cancer cell line there is heterogeneous surface PS expression. As discussed above, SapC-DOPS targets cancer cells with higher surface PS.</w:t>
      </w:r>
      <w:r w:rsidR="00795E97">
        <w:rPr>
          <w:rFonts w:ascii="Book Antiqua" w:eastAsia="Book Antiqua" w:hAnsi="Book Antiqua" w:cs="Book Antiqua"/>
          <w:color w:val="000000"/>
        </w:rPr>
        <w:t xml:space="preserve"> </w:t>
      </w:r>
      <w:r>
        <w:rPr>
          <w:rFonts w:ascii="Book Antiqua" w:eastAsia="Book Antiqua" w:hAnsi="Book Antiqua" w:cs="Book Antiqua"/>
          <w:color w:val="000000"/>
        </w:rPr>
        <w:t xml:space="preserve">Indeed, when we treated a heterogeneous cell population with SapC-DOPS the high </w:t>
      </w:r>
      <w:r>
        <w:rPr>
          <w:rFonts w:ascii="Book Antiqua" w:eastAsia="Book Antiqua" w:hAnsi="Book Antiqua" w:cs="Book Antiqua"/>
          <w:color w:val="000000"/>
        </w:rPr>
        <w:lastRenderedPageBreak/>
        <w:t>surface PS population was killed, leaving behind cells with lower surface PS</w:t>
      </w:r>
      <w:r>
        <w:rPr>
          <w:rFonts w:ascii="Book Antiqua" w:eastAsia="Book Antiqua" w:hAnsi="Book Antiqua" w:cs="Book Antiqua"/>
          <w:color w:val="000000"/>
          <w:vertAlign w:val="superscript"/>
        </w:rPr>
        <w:t>[31]</w:t>
      </w:r>
      <w:r>
        <w:rPr>
          <w:rFonts w:ascii="Book Antiqua" w:eastAsia="Book Antiqua" w:hAnsi="Book Antiqua" w:cs="Book Antiqua"/>
          <w:color w:val="000000"/>
        </w:rPr>
        <w:t>. Interestingly, the opposite effect was observed when pancreatic cancer cell lines were treated with GEM</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or radiation</w:t>
      </w:r>
      <w:r>
        <w:rPr>
          <w:rFonts w:ascii="Book Antiqua" w:eastAsia="Book Antiqua" w:hAnsi="Book Antiqua" w:cs="Book Antiqua"/>
          <w:color w:val="000000"/>
          <w:vertAlign w:val="superscript"/>
        </w:rPr>
        <w:t>[42]</w:t>
      </w:r>
      <w:r w:rsidR="00032823">
        <w:rPr>
          <w:rFonts w:ascii="Book Antiqua" w:hAnsi="Book Antiqua" w:cs="Book Antiqua" w:hint="eastAsia"/>
          <w:color w:val="000000"/>
          <w:lang w:eastAsia="zh-CN"/>
        </w:rPr>
        <w:t>;</w:t>
      </w:r>
      <w:r>
        <w:rPr>
          <w:rFonts w:ascii="Book Antiqua" w:eastAsia="Book Antiqua" w:hAnsi="Book Antiqua" w:cs="Book Antiqua"/>
          <w:color w:val="000000"/>
        </w:rPr>
        <w:t xml:space="preserve"> that is GEM and radiation tend to kill low surface PS cells. Additionally, when cells were sorted into low and high surface PS fractions by flow cytometry </w:t>
      </w:r>
      <w:r w:rsidR="006E4B4A">
        <w:rPr>
          <w:rFonts w:ascii="Book Antiqua" w:eastAsia="Book Antiqua" w:hAnsi="Book Antiqua" w:cs="Book Antiqua"/>
          <w:color w:val="000000"/>
        </w:rPr>
        <w:t xml:space="preserve">then </w:t>
      </w:r>
      <w:r>
        <w:rPr>
          <w:rFonts w:ascii="Book Antiqua" w:eastAsia="Book Antiqua" w:hAnsi="Book Antiqua" w:cs="Book Antiqua"/>
          <w:color w:val="000000"/>
        </w:rPr>
        <w:t>treated with GEM, cytotoxicity was more pronounced in the low surface PS population</w:t>
      </w:r>
      <w:r>
        <w:rPr>
          <w:rFonts w:ascii="Book Antiqua" w:eastAsia="Book Antiqua" w:hAnsi="Book Antiqua" w:cs="Book Antiqua"/>
          <w:color w:val="000000"/>
          <w:vertAlign w:val="superscript"/>
        </w:rPr>
        <w:t>[31,42]</w:t>
      </w:r>
      <w:r>
        <w:rPr>
          <w:rFonts w:ascii="Book Antiqua" w:eastAsia="Book Antiqua" w:hAnsi="Book Antiqua" w:cs="Book Antiqua"/>
          <w:color w:val="000000"/>
        </w:rPr>
        <w:t>.</w:t>
      </w:r>
    </w:p>
    <w:p w14:paraId="75491C66" w14:textId="3DE6ADC8" w:rsidR="00A77B3E" w:rsidRDefault="009819DF" w:rsidP="00795E97">
      <w:pPr>
        <w:spacing w:line="360" w:lineRule="auto"/>
        <w:ind w:firstLineChars="100" w:firstLine="240"/>
        <w:jc w:val="both"/>
      </w:pPr>
      <w:r>
        <w:rPr>
          <w:rFonts w:ascii="Book Antiqua" w:eastAsia="Book Antiqua" w:hAnsi="Book Antiqua" w:cs="Book Antiqua"/>
          <w:color w:val="000000"/>
        </w:rPr>
        <w:t>GEM preferentially kills cells in the G1 phase of the cell cycle by binding to DNA to prevent the cells from entering S phase of the cycle where DNA is duplicated</w:t>
      </w:r>
      <w:r>
        <w:rPr>
          <w:rFonts w:ascii="Book Antiqua" w:eastAsia="Book Antiqua" w:hAnsi="Book Antiqua" w:cs="Book Antiqua"/>
          <w:color w:val="000000"/>
          <w:vertAlign w:val="superscript"/>
        </w:rPr>
        <w:t>[31,43]</w:t>
      </w:r>
      <w:r>
        <w:rPr>
          <w:rFonts w:ascii="Book Antiqua" w:eastAsia="Book Antiqua" w:hAnsi="Book Antiqua" w:cs="Book Antiqua"/>
          <w:color w:val="000000"/>
        </w:rPr>
        <w:t>. Of note, we have demonstrated that G1 cancer cells have relatively low surface PS</w:t>
      </w:r>
      <w:r w:rsidR="00032823">
        <w:rPr>
          <w:rFonts w:ascii="Book Antiqua" w:hAnsi="Book Antiqua" w:cs="Book Antiqua" w:hint="eastAsia"/>
          <w:color w:val="000000"/>
          <w:lang w:eastAsia="zh-CN"/>
        </w:rPr>
        <w:t>,</w:t>
      </w:r>
      <w:r>
        <w:rPr>
          <w:rFonts w:ascii="Book Antiqua" w:eastAsia="Book Antiqua" w:hAnsi="Book Antiqua" w:cs="Book Antiqua"/>
          <w:color w:val="000000"/>
        </w:rPr>
        <w:t xml:space="preserve"> and as the cells proceed through the cell cycle surface PS increases even when the expansion of the cell surface area is accounted for</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Interestingly, PTDSS1, the gene for the enzyme that converts phosphatidylcholine to PS, is elevated in G2/M compared to G1 phase in cfPac-1 cells but not in a non-cancerous pancreatic epithelial cell line (HPDE). PTDSS2 (the enzyme that catalyzes phosphatidylethanolamine transition to PS) is unchanged in either cell line throughout the cell cycle. On the other hand, when we sorted cells by surface PS, we found that a higher percentage of low surface PS cells were in G1 and a higher percentage of high surface PS cells were in G2/M (Qi </w:t>
      </w:r>
      <w:r w:rsidR="00795E97">
        <w:rPr>
          <w:rFonts w:ascii="Book Antiqua" w:eastAsia="Book Antiqua" w:hAnsi="Book Antiqua" w:cs="Book Antiqua"/>
          <w:color w:val="000000"/>
        </w:rPr>
        <w:t xml:space="preserve">and </w:t>
      </w:r>
      <w:r w:rsidR="00795E97" w:rsidRPr="00795E97">
        <w:rPr>
          <w:rFonts w:ascii="Book Antiqua" w:eastAsia="Book Antiqua" w:hAnsi="Book Antiqua" w:cs="Book Antiqua"/>
          <w:color w:val="000000"/>
        </w:rPr>
        <w:t>colleague</w:t>
      </w:r>
      <w:r w:rsidR="00795E97">
        <w:rPr>
          <w:rFonts w:ascii="Book Antiqua" w:eastAsia="Book Antiqua" w:hAnsi="Book Antiqua" w:cs="Book Antiqua"/>
          <w:color w:val="000000"/>
        </w:rPr>
        <w:t>s</w:t>
      </w:r>
      <w:r>
        <w:rPr>
          <w:rFonts w:ascii="Book Antiqua" w:eastAsia="Book Antiqua" w:hAnsi="Book Antiqua" w:cs="Book Antiqua"/>
          <w:color w:val="000000"/>
        </w:rPr>
        <w:t xml:space="preserve"> unpublished data).</w:t>
      </w:r>
      <w:r w:rsidR="00795E97">
        <w:rPr>
          <w:rFonts w:ascii="Book Antiqua" w:eastAsia="Book Antiqua" w:hAnsi="Book Antiqua" w:cs="Book Antiqua"/>
          <w:color w:val="000000"/>
        </w:rPr>
        <w:t xml:space="preserve"> </w:t>
      </w:r>
      <w:r>
        <w:rPr>
          <w:rFonts w:ascii="Book Antiqua" w:eastAsia="Book Antiqua" w:hAnsi="Book Antiqua" w:cs="Book Antiqua"/>
          <w:color w:val="000000"/>
        </w:rPr>
        <w:t>Consequently, more cells in G1 are killed by GEM than SapC-DOPS while the opposite is true for cells in G2/M</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w:t>
      </w:r>
      <w:r w:rsidR="006E4B4A">
        <w:rPr>
          <w:rFonts w:ascii="Book Antiqua" w:eastAsia="Book Antiqua" w:hAnsi="Book Antiqua" w:cs="Book Antiqua"/>
          <w:color w:val="000000"/>
        </w:rPr>
        <w:t>W</w:t>
      </w:r>
      <w:r>
        <w:rPr>
          <w:rFonts w:ascii="Book Antiqua" w:eastAsia="Book Antiqua" w:hAnsi="Book Antiqua" w:cs="Book Antiqua"/>
          <w:color w:val="000000"/>
        </w:rPr>
        <w:t>hen these experiments were repeated in HPDE surface PS was unaltered throughout the cell cycle.</w:t>
      </w:r>
    </w:p>
    <w:p w14:paraId="10D37C74" w14:textId="0AD3778C" w:rsidR="00A77B3E" w:rsidRDefault="009819DF" w:rsidP="00795E97">
      <w:pPr>
        <w:spacing w:line="360" w:lineRule="auto"/>
        <w:ind w:firstLineChars="100" w:firstLine="240"/>
        <w:jc w:val="both"/>
      </w:pPr>
      <w:r>
        <w:rPr>
          <w:rFonts w:ascii="Book Antiqua" w:eastAsia="Book Antiqua" w:hAnsi="Book Antiqua" w:cs="Book Antiqua"/>
          <w:color w:val="000000"/>
        </w:rPr>
        <w:t>While GEM and SapC-DOPS kill cells through different mechanisms</w:t>
      </w:r>
      <w:r w:rsidR="00122C2F">
        <w:rPr>
          <w:rFonts w:ascii="Book Antiqua" w:hAnsi="Book Antiqua" w:cs="Book Antiqua" w:hint="eastAsia"/>
          <w:color w:val="000000"/>
          <w:lang w:eastAsia="zh-CN"/>
        </w:rPr>
        <w:t>;</w:t>
      </w:r>
      <w:r>
        <w:rPr>
          <w:rFonts w:ascii="Book Antiqua" w:eastAsia="Book Antiqua" w:hAnsi="Book Antiqua" w:cs="Book Antiqua"/>
          <w:color w:val="000000"/>
        </w:rPr>
        <w:t xml:space="preserve"> by preventing DNA synthesis and activating caspases, respectively, we have shown that cells in tumors are segregated into low PS, high G1 and high PS, high G2/M populations which allows the drugs to work on divergent cells and to collaborate to enhance tumor destruction (Figure 4). Thus, tumor cell surface PS may serve as a significant biomarker to assign the most effective treatment for the patient. Importantly, SapC-DOPS is a nanovesicle, and unlike many chemotherapeutic drugs, can penetrate the fibrosis and stroma of pancreatic tumors (see Figure 2). This makes it available for use as a carrier of therapeutic modalities such as the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I mentioned above but also as an imaging and </w:t>
      </w:r>
      <w:r>
        <w:rPr>
          <w:rFonts w:ascii="Book Antiqua" w:eastAsia="Book Antiqua" w:hAnsi="Book Antiqua" w:cs="Book Antiqua"/>
          <w:color w:val="000000"/>
        </w:rPr>
        <w:lastRenderedPageBreak/>
        <w:t xml:space="preserve">detection agent. In fact, we have demonstrated that fluorescently labeled SapC-DOPS nanovesicles allow selective visualization of primary and metastatic pancreatic tumors </w:t>
      </w:r>
      <w:r>
        <w:rPr>
          <w:rFonts w:ascii="Book Antiqua" w:eastAsia="Book Antiqua" w:hAnsi="Book Antiqua" w:cs="Book Antiqua"/>
          <w:i/>
          <w:iCs/>
          <w:color w:val="000000"/>
        </w:rPr>
        <w:t>in vivo</w:t>
      </w:r>
      <w:r>
        <w:rPr>
          <w:rFonts w:ascii="Book Antiqua" w:eastAsia="Book Antiqua" w:hAnsi="Book Antiqua" w:cs="Book Antiqua"/>
          <w:color w:val="000000"/>
          <w:vertAlign w:val="superscript"/>
        </w:rPr>
        <w:t>[26]</w:t>
      </w:r>
      <w:r>
        <w:rPr>
          <w:rFonts w:ascii="Book Antiqua" w:eastAsia="Book Antiqua" w:hAnsi="Book Antiqua" w:cs="Book Antiqua"/>
          <w:color w:val="000000"/>
        </w:rPr>
        <w:t>. The nanovesicles can also carry contrast agents (iron or gadolinium) for computed tomography or magnetic resonance imaging of tumors</w:t>
      </w:r>
      <w:r>
        <w:rPr>
          <w:rFonts w:ascii="Book Antiqua" w:eastAsia="Book Antiqua" w:hAnsi="Book Antiqua" w:cs="Book Antiqua"/>
          <w:color w:val="000000"/>
          <w:vertAlign w:val="superscript"/>
        </w:rPr>
        <w:t>[44]</w:t>
      </w:r>
      <w:r>
        <w:rPr>
          <w:rFonts w:ascii="Book Antiqua" w:eastAsia="Book Antiqua" w:hAnsi="Book Antiqua" w:cs="Book Antiqua"/>
          <w:color w:val="000000"/>
        </w:rPr>
        <w:t>. Thus, SapC-DOPS can be used for both diagnosis and treatment.</w:t>
      </w:r>
    </w:p>
    <w:p w14:paraId="1C5A2A50" w14:textId="77777777" w:rsidR="00A77B3E" w:rsidRDefault="00A77B3E">
      <w:pPr>
        <w:spacing w:line="360" w:lineRule="auto"/>
        <w:jc w:val="both"/>
      </w:pPr>
    </w:p>
    <w:p w14:paraId="4A15ED11" w14:textId="77777777" w:rsidR="00A77B3E" w:rsidRDefault="009819DF">
      <w:pPr>
        <w:spacing w:line="360" w:lineRule="auto"/>
        <w:jc w:val="both"/>
      </w:pPr>
      <w:r>
        <w:rPr>
          <w:rFonts w:ascii="Book Antiqua" w:eastAsia="Book Antiqua" w:hAnsi="Book Antiqua" w:cs="Book Antiqua"/>
          <w:b/>
          <w:caps/>
          <w:color w:val="000000"/>
          <w:u w:val="single"/>
        </w:rPr>
        <w:t>CONCLUSION</w:t>
      </w:r>
    </w:p>
    <w:p w14:paraId="4634933F" w14:textId="5734D74E" w:rsidR="00A77B3E" w:rsidRDefault="009819DF">
      <w:pPr>
        <w:spacing w:line="360" w:lineRule="auto"/>
        <w:jc w:val="both"/>
      </w:pPr>
      <w:r>
        <w:rPr>
          <w:rFonts w:ascii="Book Antiqua" w:eastAsia="Book Antiqua" w:hAnsi="Book Antiqua" w:cs="Book Antiqua"/>
          <w:color w:val="000000"/>
        </w:rPr>
        <w:t>Phase I clinical trials are designed to evaluate the safety of a candidate drug. In these preliminary trials, SapC-DOPS (BXQ-350) has demonstrated an excellent safety record but impressively, has also shown remarkable efficacy in some patients that have failed all other modalities</w:t>
      </w:r>
      <w:r>
        <w:rPr>
          <w:rFonts w:ascii="Book Antiqua" w:eastAsia="Book Antiqua" w:hAnsi="Book Antiqua" w:cs="Book Antiqua"/>
          <w:color w:val="000000"/>
          <w:vertAlign w:val="superscript"/>
        </w:rPr>
        <w:t>[39,40]</w:t>
      </w:r>
      <w:r>
        <w:rPr>
          <w:rFonts w:ascii="Book Antiqua" w:eastAsia="Book Antiqua" w:hAnsi="Book Antiqua" w:cs="Book Antiqua"/>
          <w:color w:val="000000"/>
        </w:rPr>
        <w:t>. Our data establish that SapC-DOPS alone or in combination with GEM (GEM/Abraxane) or radiation can reduce tumor growth and enhance survival in mouse models of PDAC.  We are hopeful that one day soon SapC-DOPS will be part of the cancer treatment arsenal and alleviate the dread that comes with this diagnosis.</w:t>
      </w:r>
    </w:p>
    <w:p w14:paraId="6A01AB34" w14:textId="77777777" w:rsidR="00A77B3E" w:rsidRDefault="00A77B3E">
      <w:pPr>
        <w:spacing w:line="360" w:lineRule="auto"/>
        <w:jc w:val="both"/>
      </w:pPr>
    </w:p>
    <w:p w14:paraId="5D11E97E" w14:textId="77777777" w:rsidR="00A77B3E" w:rsidRDefault="009819DF">
      <w:pPr>
        <w:spacing w:line="360" w:lineRule="auto"/>
        <w:jc w:val="both"/>
      </w:pPr>
      <w:r>
        <w:rPr>
          <w:rFonts w:ascii="Book Antiqua" w:eastAsia="Book Antiqua" w:hAnsi="Book Antiqua" w:cs="Book Antiqua"/>
          <w:b/>
          <w:caps/>
          <w:color w:val="000000"/>
          <w:u w:val="single"/>
        </w:rPr>
        <w:t>ACKNOWLEDGEMENTS</w:t>
      </w:r>
    </w:p>
    <w:p w14:paraId="13376D6E" w14:textId="67449E7B" w:rsidR="00A77B3E" w:rsidRDefault="009819DF">
      <w:pPr>
        <w:spacing w:line="360" w:lineRule="auto"/>
        <w:jc w:val="both"/>
      </w:pPr>
      <w:r>
        <w:rPr>
          <w:rFonts w:ascii="Book Antiqua" w:eastAsia="Book Antiqua" w:hAnsi="Book Antiqua" w:cs="Book Antiqua"/>
          <w:color w:val="000000"/>
        </w:rPr>
        <w:t>We thank</w:t>
      </w:r>
      <w:r w:rsidR="006B26A1">
        <w:rPr>
          <w:rFonts w:ascii="Book Antiqua" w:eastAsia="Book Antiqua" w:hAnsi="Book Antiqua" w:cs="Book Antiqua"/>
          <w:color w:val="000000"/>
        </w:rPr>
        <w:t xml:space="preserve"> </w:t>
      </w:r>
      <w:r>
        <w:rPr>
          <w:rFonts w:ascii="Book Antiqua" w:eastAsia="Book Antiqua" w:hAnsi="Book Antiqua" w:cs="Book Antiqua"/>
          <w:color w:val="000000"/>
        </w:rPr>
        <w:t xml:space="preserve">Chu </w:t>
      </w:r>
      <w:r w:rsidR="006B26A1">
        <w:rPr>
          <w:rFonts w:ascii="Book Antiqua" w:eastAsia="Book Antiqua" w:hAnsi="Book Antiqua" w:cs="Book Antiqua"/>
          <w:color w:val="000000"/>
        </w:rPr>
        <w:t xml:space="preserve">Z </w:t>
      </w:r>
      <w:r>
        <w:rPr>
          <w:rFonts w:ascii="Book Antiqua" w:eastAsia="Book Antiqua" w:hAnsi="Book Antiqua" w:cs="Book Antiqua"/>
          <w:color w:val="000000"/>
        </w:rPr>
        <w:t>and</w:t>
      </w:r>
      <w:r w:rsidR="006B26A1">
        <w:rPr>
          <w:rFonts w:ascii="Book Antiqua" w:eastAsia="Book Antiqua" w:hAnsi="Book Antiqua" w:cs="Book Antiqua"/>
          <w:color w:val="000000"/>
        </w:rPr>
        <w:t xml:space="preserve"> </w:t>
      </w:r>
      <w:r>
        <w:rPr>
          <w:rFonts w:ascii="Book Antiqua" w:eastAsia="Book Antiqua" w:hAnsi="Book Antiqua" w:cs="Book Antiqua"/>
          <w:color w:val="000000"/>
        </w:rPr>
        <w:t xml:space="preserve">Blanco </w:t>
      </w:r>
      <w:r w:rsidR="006B26A1">
        <w:rPr>
          <w:rFonts w:ascii="Book Antiqua" w:eastAsia="Book Antiqua" w:hAnsi="Book Antiqua" w:cs="Book Antiqua"/>
          <w:color w:val="000000"/>
        </w:rPr>
        <w:t xml:space="preserve">V </w:t>
      </w:r>
      <w:r>
        <w:rPr>
          <w:rFonts w:ascii="Book Antiqua" w:eastAsia="Book Antiqua" w:hAnsi="Book Antiqua" w:cs="Book Antiqua"/>
          <w:color w:val="000000"/>
        </w:rPr>
        <w:t>for technical assistance with experiments mentioned within.</w:t>
      </w:r>
    </w:p>
    <w:p w14:paraId="506DC297" w14:textId="77777777" w:rsidR="00A77B3E" w:rsidRDefault="00A77B3E">
      <w:pPr>
        <w:spacing w:line="360" w:lineRule="auto"/>
        <w:jc w:val="both"/>
      </w:pPr>
    </w:p>
    <w:p w14:paraId="1DCF0C73" w14:textId="77777777" w:rsidR="00A77B3E" w:rsidRDefault="009819DF">
      <w:pPr>
        <w:spacing w:line="360" w:lineRule="auto"/>
        <w:jc w:val="both"/>
      </w:pPr>
      <w:r>
        <w:rPr>
          <w:rFonts w:ascii="Book Antiqua" w:eastAsia="Book Antiqua" w:hAnsi="Book Antiqua" w:cs="Book Antiqua"/>
          <w:b/>
          <w:color w:val="000000"/>
        </w:rPr>
        <w:t>REFERENCES</w:t>
      </w:r>
    </w:p>
    <w:p w14:paraId="2B1D5957" w14:textId="77777777" w:rsidR="00A77B3E" w:rsidRDefault="009819D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Haeberle L</w:t>
      </w:r>
      <w:r>
        <w:rPr>
          <w:rFonts w:ascii="Book Antiqua" w:eastAsia="Book Antiqua" w:hAnsi="Book Antiqua" w:cs="Book Antiqua"/>
          <w:color w:val="000000"/>
        </w:rPr>
        <w:t xml:space="preserve">, Esposito I. Pathology of pancreatic cancer. </w:t>
      </w:r>
      <w:r>
        <w:rPr>
          <w:rFonts w:ascii="Book Antiqua" w:eastAsia="Book Antiqua" w:hAnsi="Book Antiqua" w:cs="Book Antiqua"/>
          <w:i/>
          <w:iCs/>
          <w:color w:val="000000"/>
        </w:rPr>
        <w:t>Transl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50 [PMID: 31304427 DOI: 10.21037/tgh.2019.06.02]</w:t>
      </w:r>
    </w:p>
    <w:p w14:paraId="1FF935F9" w14:textId="77777777" w:rsidR="00A77B3E" w:rsidRDefault="009819D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2020.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7-30 [PMID: 31912902 DOI: 10.3322/caac.21590]</w:t>
      </w:r>
    </w:p>
    <w:p w14:paraId="3698635B" w14:textId="77777777" w:rsidR="00A77B3E" w:rsidRDefault="009819D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2018.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7-30 [PMID: 29313949 DOI: 10.3322/caac.21442]</w:t>
      </w:r>
    </w:p>
    <w:p w14:paraId="0F2861FE" w14:textId="77777777" w:rsidR="00A77B3E" w:rsidRDefault="009819D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Ghaneh P</w:t>
      </w:r>
      <w:r>
        <w:rPr>
          <w:rFonts w:ascii="Book Antiqua" w:eastAsia="Book Antiqua" w:hAnsi="Book Antiqua" w:cs="Book Antiqua"/>
          <w:color w:val="000000"/>
        </w:rPr>
        <w:t xml:space="preserve">, Costello E, Neoptolemos JP. Biology and management of pancreatic cancer. </w:t>
      </w:r>
      <w:r>
        <w:rPr>
          <w:rFonts w:ascii="Book Antiqua" w:eastAsia="Book Antiqua" w:hAnsi="Book Antiqua" w:cs="Book Antiqua"/>
          <w:i/>
          <w:iCs/>
          <w:color w:val="000000"/>
        </w:rPr>
        <w:t>Gut</w:t>
      </w:r>
      <w:r>
        <w:rPr>
          <w:rFonts w:ascii="Book Antiqua" w:eastAsia="Book Antiqua" w:hAnsi="Book Antiqua" w:cs="Book Antiqua"/>
          <w:color w:val="000000"/>
        </w:rPr>
        <w:t xml:space="preserve"> 2007; </w:t>
      </w:r>
      <w:r>
        <w:rPr>
          <w:rFonts w:ascii="Book Antiqua" w:eastAsia="Book Antiqua" w:hAnsi="Book Antiqua" w:cs="Book Antiqua"/>
          <w:b/>
          <w:bCs/>
          <w:color w:val="000000"/>
        </w:rPr>
        <w:t>56</w:t>
      </w:r>
      <w:r>
        <w:rPr>
          <w:rFonts w:ascii="Book Antiqua" w:eastAsia="Book Antiqua" w:hAnsi="Book Antiqua" w:cs="Book Antiqua"/>
          <w:color w:val="000000"/>
        </w:rPr>
        <w:t>: 1134-1152 [PMID: 17625148 DOI: 10.1136/gut.2006.103333]</w:t>
      </w:r>
    </w:p>
    <w:p w14:paraId="1B440F23" w14:textId="77777777" w:rsidR="00A77B3E" w:rsidRDefault="009819DF">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Peixoto RD</w:t>
      </w:r>
      <w:r>
        <w:rPr>
          <w:rFonts w:ascii="Book Antiqua" w:eastAsia="Book Antiqua" w:hAnsi="Book Antiqua" w:cs="Book Antiqua"/>
          <w:color w:val="000000"/>
        </w:rPr>
        <w:t xml:space="preserve">, Speers C, McGahan CE, Renouf DJ, Schaeffer DF, Kennecke HF. Prognostic factors and sites of metastasis in unresectable locally advanced pancreatic cancer.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1171-1177 [PMID: 25891650 DOI: 10.1002/cam4.459]</w:t>
      </w:r>
    </w:p>
    <w:p w14:paraId="1D057E98" w14:textId="77777777" w:rsidR="00A77B3E" w:rsidRDefault="009819D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Neoptolemos JP</w:t>
      </w:r>
      <w:r>
        <w:rPr>
          <w:rFonts w:ascii="Book Antiqua" w:eastAsia="Book Antiqua" w:hAnsi="Book Antiqua" w:cs="Book Antiqua"/>
          <w:color w:val="000000"/>
        </w:rPr>
        <w:t xml:space="preserve">, Kleeff J, Michl P, Costello E, Greenhalf W, Palmer DH. Therapeutic developments in pancreatic cancer: current and future perspectives.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333-348 [PMID: 29717230 DOI: 10.1038/s41575-018-0005-x]</w:t>
      </w:r>
    </w:p>
    <w:p w14:paraId="76D64EA1" w14:textId="77777777" w:rsidR="00A77B3E" w:rsidRDefault="009819D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Ciccolini J</w:t>
      </w:r>
      <w:r>
        <w:rPr>
          <w:rFonts w:ascii="Book Antiqua" w:eastAsia="Book Antiqua" w:hAnsi="Book Antiqua" w:cs="Book Antiqua"/>
          <w:color w:val="000000"/>
        </w:rPr>
        <w:t xml:space="preserve">, Serdjebi C, Peters GJ, Giovannetti E. Pharmacokinetics and pharmacogenetics of Gemcitabine as a mainstay in adult and pediatric oncology: an EORTC-PAMM perspective. </w:t>
      </w:r>
      <w:r>
        <w:rPr>
          <w:rFonts w:ascii="Book Antiqua" w:eastAsia="Book Antiqua" w:hAnsi="Book Antiqua" w:cs="Book Antiqua"/>
          <w:i/>
          <w:iCs/>
          <w:color w:val="000000"/>
        </w:rPr>
        <w:t>Cancer Chemother Pharmacol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78</w:t>
      </w:r>
      <w:r>
        <w:rPr>
          <w:rFonts w:ascii="Book Antiqua" w:eastAsia="Book Antiqua" w:hAnsi="Book Antiqua" w:cs="Book Antiqua"/>
          <w:color w:val="000000"/>
        </w:rPr>
        <w:t>: 1-12 [PMID: 27007129 DOI: 10.1007/s00280-016-3003-0]</w:t>
      </w:r>
    </w:p>
    <w:p w14:paraId="16936649" w14:textId="77777777" w:rsidR="00A77B3E" w:rsidRDefault="009819D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Gradishar WJ</w:t>
      </w:r>
      <w:r>
        <w:rPr>
          <w:rFonts w:ascii="Book Antiqua" w:eastAsia="Book Antiqua" w:hAnsi="Book Antiqua" w:cs="Book Antiqua"/>
          <w:color w:val="000000"/>
        </w:rPr>
        <w:t xml:space="preserve">. Albumin-bound paclitaxel: a next-generation taxane. </w:t>
      </w:r>
      <w:r>
        <w:rPr>
          <w:rFonts w:ascii="Book Antiqua" w:eastAsia="Book Antiqua" w:hAnsi="Book Antiqua" w:cs="Book Antiqua"/>
          <w:i/>
          <w:iCs/>
          <w:color w:val="000000"/>
        </w:rPr>
        <w:t>Expert Opin Pharmacother</w:t>
      </w:r>
      <w:r>
        <w:rPr>
          <w:rFonts w:ascii="Book Antiqua" w:eastAsia="Book Antiqua" w:hAnsi="Book Antiqua" w:cs="Book Antiqua"/>
          <w:color w:val="000000"/>
        </w:rPr>
        <w:t xml:space="preserve"> 2006; </w:t>
      </w:r>
      <w:r>
        <w:rPr>
          <w:rFonts w:ascii="Book Antiqua" w:eastAsia="Book Antiqua" w:hAnsi="Book Antiqua" w:cs="Book Antiqua"/>
          <w:b/>
          <w:bCs/>
          <w:color w:val="000000"/>
        </w:rPr>
        <w:t>7</w:t>
      </w:r>
      <w:r>
        <w:rPr>
          <w:rFonts w:ascii="Book Antiqua" w:eastAsia="Book Antiqua" w:hAnsi="Book Antiqua" w:cs="Book Antiqua"/>
          <w:color w:val="000000"/>
        </w:rPr>
        <w:t>: 1041-1053 [PMID: 16722814 DOI: 10.1517/14656566.7.8.1041]</w:t>
      </w:r>
    </w:p>
    <w:p w14:paraId="2FC7B24C" w14:textId="77777777" w:rsidR="00A77B3E" w:rsidRDefault="009819D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Von Hoff DD</w:t>
      </w:r>
      <w:r>
        <w:rPr>
          <w:rFonts w:ascii="Book Antiqua" w:eastAsia="Book Antiqua" w:hAnsi="Book Antiqua" w:cs="Book Antiqua"/>
          <w:color w:val="000000"/>
        </w:rPr>
        <w:t xml:space="preserve">, Ervin T, Arena FP, Chiorean EG, Infante J, Moore M, Seay T, Tjulandin SA, Ma WW, Saleh MN, Harris M, Reni M, Dowden S, Laheru D, Bahary N, Ramanathan RK, Tabernero J, Hidalgo M, Goldstein D, Van Cutsem E, Wei X, Iglesias J, Renschler MF. Increased survival in pancreatic cancer with nab-paclitaxel plus gemcitabine.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369</w:t>
      </w:r>
      <w:r>
        <w:rPr>
          <w:rFonts w:ascii="Book Antiqua" w:eastAsia="Book Antiqua" w:hAnsi="Book Antiqua" w:cs="Book Antiqua"/>
          <w:color w:val="000000"/>
        </w:rPr>
        <w:t>: 1691-1703 [PMID: 24131140 DOI: 10.1056/NEJMoa1304369]</w:t>
      </w:r>
    </w:p>
    <w:p w14:paraId="1B0FD4CB" w14:textId="77777777" w:rsidR="00A77B3E" w:rsidRDefault="009819D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Reigner B</w:t>
      </w:r>
      <w:r>
        <w:rPr>
          <w:rFonts w:ascii="Book Antiqua" w:eastAsia="Book Antiqua" w:hAnsi="Book Antiqua" w:cs="Book Antiqua"/>
          <w:color w:val="000000"/>
        </w:rPr>
        <w:t xml:space="preserve">, Verweij J, Dirix L, Cassidy J, Twelves C, Allman D, Weidekamm E, Roos B, Banken L, Utoh M, Osterwalder B. Effect of food on the pharmacokinetics of capecitabine and its metabolites following oral administration in cancer patients.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1998; </w:t>
      </w:r>
      <w:r>
        <w:rPr>
          <w:rFonts w:ascii="Book Antiqua" w:eastAsia="Book Antiqua" w:hAnsi="Book Antiqua" w:cs="Book Antiqua"/>
          <w:b/>
          <w:bCs/>
          <w:color w:val="000000"/>
        </w:rPr>
        <w:t>4</w:t>
      </w:r>
      <w:r>
        <w:rPr>
          <w:rFonts w:ascii="Book Antiqua" w:eastAsia="Book Antiqua" w:hAnsi="Book Antiqua" w:cs="Book Antiqua"/>
          <w:color w:val="000000"/>
        </w:rPr>
        <w:t>: 941-948 [PMID: 9563888]</w:t>
      </w:r>
    </w:p>
    <w:p w14:paraId="496338A7" w14:textId="77777777" w:rsidR="00A77B3E" w:rsidRDefault="009819D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Moore MJ</w:t>
      </w:r>
      <w:r>
        <w:rPr>
          <w:rFonts w:ascii="Book Antiqua" w:eastAsia="Book Antiqua" w:hAnsi="Book Antiqua" w:cs="Book Antiqua"/>
          <w:color w:val="000000"/>
        </w:rPr>
        <w:t xml:space="preserve">, Goldstein D, Hamm J, Figer A, Hecht JR, Gallinger S, Au HJ, Murawa P, Walde D, Wolff RA, Campos D, Lim R, Ding K, Clark G, Voskoglou-Nomikos T, Ptasynski M, Parulekar W; National Cancer Institute of Canada Clinical Trials Group. Erlotinib plus gemcitabine compared with gemcitabine alone in patients with advanced pancreatic cancer: a phase III trial of the National Cancer Institute of Canada Clinical Trials Group.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1960-1966 [PMID: 17452677 DOI: 10.1200/JCO.2006.07.9525]</w:t>
      </w:r>
    </w:p>
    <w:p w14:paraId="7E812E63" w14:textId="77777777" w:rsidR="00A77B3E" w:rsidRDefault="009819DF">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Collisson EA</w:t>
      </w:r>
      <w:r>
        <w:rPr>
          <w:rFonts w:ascii="Book Antiqua" w:eastAsia="Book Antiqua" w:hAnsi="Book Antiqua" w:cs="Book Antiqua"/>
          <w:color w:val="000000"/>
        </w:rPr>
        <w:t xml:space="preserve">, Sadanandam A, Olson P, Gibb WJ, Truitt M, Gu S, Cooc J, Weinkle J, Kim GE, Jakkula L, Feiler HS, Ko AH, Olshen AB, Danenberg KL, Tempero MA, Spellman PT, Hanahan D, Gray JW. Subtypes of pancreatic ductal adenocarcinoma and their differing responses to therapy.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500-503 [PMID: 21460848 DOI: 10.1038/nm.2344]</w:t>
      </w:r>
    </w:p>
    <w:p w14:paraId="3CDD965C" w14:textId="77777777" w:rsidR="00A77B3E" w:rsidRDefault="009819D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Kindler HL</w:t>
      </w:r>
      <w:r>
        <w:rPr>
          <w:rFonts w:ascii="Book Antiqua" w:eastAsia="Book Antiqua" w:hAnsi="Book Antiqua" w:cs="Book Antiqua"/>
          <w:color w:val="000000"/>
        </w:rPr>
        <w:t xml:space="preserve">, Niedzwiecki D, Hollis D, Sutherland S, Schrag D, Hurwitz H, Innocenti F, Mulcahy MF, O'Reilly E, Wozniak TF, Picus J, Bhargava P, Mayer RJ, Schilsky RL, Goldberg RM. Gemcitabine plus bevacizumab compared with gemcitabine plus placebo in patients with advanced pancreatic cancer: phase III trial of the Cancer and Leukemia Group B (CALGB 80303).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3617-3622 [PMID: 20606091 DOI: 10.1200/JCO.2010.28.1386]</w:t>
      </w:r>
    </w:p>
    <w:p w14:paraId="1BDE0DC8" w14:textId="77777777" w:rsidR="00A77B3E" w:rsidRDefault="009819D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Conroy T</w:t>
      </w:r>
      <w:r>
        <w:rPr>
          <w:rFonts w:ascii="Book Antiqua" w:eastAsia="Book Antiqua" w:hAnsi="Book Antiqua" w:cs="Book Antiqua"/>
          <w:color w:val="000000"/>
        </w:rPr>
        <w:t xml:space="preserve">, Gavoille C, Samalin E, Ychou M, Ducreux M. The role of the FOLFIRINOX regimen for advanced pancreatic cancer. </w:t>
      </w:r>
      <w:r>
        <w:rPr>
          <w:rFonts w:ascii="Book Antiqua" w:eastAsia="Book Antiqua" w:hAnsi="Book Antiqua" w:cs="Book Antiqua"/>
          <w:i/>
          <w:iCs/>
          <w:color w:val="000000"/>
        </w:rPr>
        <w:t>Curr Oncol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182-189 [PMID: 23341367 DOI: 10.1007/s11912-012-0290-4]</w:t>
      </w:r>
    </w:p>
    <w:p w14:paraId="30C37AA3" w14:textId="77777777" w:rsidR="00A77B3E" w:rsidRDefault="009819D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Conroy T</w:t>
      </w:r>
      <w:r>
        <w:rPr>
          <w:rFonts w:ascii="Book Antiqua" w:eastAsia="Book Antiqua" w:hAnsi="Book Antiqua" w:cs="Book Antiqua"/>
          <w:color w:val="000000"/>
        </w:rPr>
        <w:t xml:space="preserve">, Desseigne F, Ychou M, Bouché O, Guimbaud R, Bécouarn Y, Adenis A, Raoul JL, Gourgou-Bourgade S, de la Fouchardière C, Bennouna J, Bachet JB, Khemissa-Akouz F, Péré-Vergé D, Delbaldo C, Assenat E, Chauffert B, Michel P, Montoto-Grillot C, Ducreux M; Groupe Tumeurs Digestives of Unicancer; PRODIGE Intergroup. FOLFIRINOX </w:t>
      </w:r>
      <w:r>
        <w:rPr>
          <w:rFonts w:ascii="Book Antiqua" w:eastAsia="Book Antiqua" w:hAnsi="Book Antiqua" w:cs="Book Antiqua"/>
          <w:i/>
          <w:iCs/>
          <w:color w:val="000000"/>
        </w:rPr>
        <w:t>vs</w:t>
      </w:r>
      <w:r>
        <w:rPr>
          <w:rFonts w:ascii="Book Antiqua" w:eastAsia="Book Antiqua" w:hAnsi="Book Antiqua" w:cs="Book Antiqua"/>
          <w:color w:val="000000"/>
        </w:rPr>
        <w:t xml:space="preserve"> gemcitabine for metastatic pancreatic cancer.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364</w:t>
      </w:r>
      <w:r>
        <w:rPr>
          <w:rFonts w:ascii="Book Antiqua" w:eastAsia="Book Antiqua" w:hAnsi="Book Antiqua" w:cs="Book Antiqua"/>
          <w:color w:val="000000"/>
        </w:rPr>
        <w:t>: 1817-1825 [PMID: 21561347 DOI: 10.1056/NEJMoa1011923]</w:t>
      </w:r>
    </w:p>
    <w:p w14:paraId="564495E8" w14:textId="77777777" w:rsidR="00A77B3E" w:rsidRDefault="009819D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Conroy T</w:t>
      </w:r>
      <w:r>
        <w:rPr>
          <w:rFonts w:ascii="Book Antiqua" w:eastAsia="Book Antiqua" w:hAnsi="Book Antiqua" w:cs="Book Antiqua"/>
          <w:color w:val="000000"/>
        </w:rPr>
        <w:t xml:space="preserve">, Hammel P, Hebbar M, Ben Abdelghani M, Wei AC, Raoul JL, Choné L, Francois E, Artru P, Biagi JJ, Lecomte T, Assenat E, Faroux R, Ychou M, Volet J, Sauvanet A, Breysacher G, Di Fiore F, Cripps C, Kavan P, Texereau P, Bouhier-Leporrier K, Khemissa-Akouz F, Legoux JL, Juzyna B, Gourgou S, O'Callaghan CJ, Jouffroy-Zeller C, Rat P, Malka D, Castan F, Bachet JB; Canadian Cancer Trials Group and the Unicancer-GI–PRODIGE Group. FOLFIRINOX or Gemcitabine as Adjuvant Therapy for Pancreatic Cancer.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379</w:t>
      </w:r>
      <w:r>
        <w:rPr>
          <w:rFonts w:ascii="Book Antiqua" w:eastAsia="Book Antiqua" w:hAnsi="Book Antiqua" w:cs="Book Antiqua"/>
          <w:color w:val="000000"/>
        </w:rPr>
        <w:t>: 2395-2406 [PMID: 30575490 DOI: 10.1056/NEJMoa1809775]</w:t>
      </w:r>
    </w:p>
    <w:p w14:paraId="2037C531" w14:textId="77777777" w:rsidR="00A77B3E" w:rsidRDefault="009819DF">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Perri G</w:t>
      </w:r>
      <w:r>
        <w:rPr>
          <w:rFonts w:ascii="Book Antiqua" w:eastAsia="Book Antiqua" w:hAnsi="Book Antiqua" w:cs="Book Antiqua"/>
          <w:color w:val="000000"/>
        </w:rPr>
        <w:t xml:space="preserve">, Prakash L, Qiao W, Varadhachary GR, Wolff R, Fogelman D, Overman M, Pant S, Javle M, Koay EJ, Herman J, Kim M, Ikoma N, Tzeng CW, Lee JE, Katz MHG. Response and Survival Associated With First-line FOLFIRINOX </w:t>
      </w:r>
      <w:r>
        <w:rPr>
          <w:rFonts w:ascii="Book Antiqua" w:eastAsia="Book Antiqua" w:hAnsi="Book Antiqua" w:cs="Book Antiqua"/>
          <w:i/>
          <w:iCs/>
          <w:color w:val="000000"/>
        </w:rPr>
        <w:t>vs</w:t>
      </w:r>
      <w:r>
        <w:rPr>
          <w:rFonts w:ascii="Book Antiqua" w:eastAsia="Book Antiqua" w:hAnsi="Book Antiqua" w:cs="Book Antiqua"/>
          <w:color w:val="000000"/>
        </w:rPr>
        <w:t xml:space="preserve"> Gemcitabine and nab-Paclitaxel Chemotherapy for Localized Pancreatic Ductal Adenocarcinoma. </w:t>
      </w:r>
      <w:r>
        <w:rPr>
          <w:rFonts w:ascii="Book Antiqua" w:eastAsia="Book Antiqua" w:hAnsi="Book Antiqua" w:cs="Book Antiqua"/>
          <w:i/>
          <w:iCs/>
          <w:color w:val="000000"/>
        </w:rPr>
        <w:t>JAMA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155</w:t>
      </w:r>
      <w:r>
        <w:rPr>
          <w:rFonts w:ascii="Book Antiqua" w:eastAsia="Book Antiqua" w:hAnsi="Book Antiqua" w:cs="Book Antiqua"/>
          <w:color w:val="000000"/>
        </w:rPr>
        <w:t>: 832-839 [PMID: 32667641 DOI: 10.1001/jamasurg.2020.2286]</w:t>
      </w:r>
    </w:p>
    <w:p w14:paraId="1694AF76" w14:textId="77777777" w:rsidR="00A77B3E" w:rsidRDefault="009819D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Bevers EM</w:t>
      </w:r>
      <w:r>
        <w:rPr>
          <w:rFonts w:ascii="Book Antiqua" w:eastAsia="Book Antiqua" w:hAnsi="Book Antiqua" w:cs="Book Antiqua"/>
          <w:color w:val="000000"/>
        </w:rPr>
        <w:t xml:space="preserve">, Williamson PL. Getting to the Outer Leaflet: Physiology of Phosphatidylserine Exposure at the Plasma Membrane. </w:t>
      </w:r>
      <w:r>
        <w:rPr>
          <w:rFonts w:ascii="Book Antiqua" w:eastAsia="Book Antiqua" w:hAnsi="Book Antiqua" w:cs="Book Antiqua"/>
          <w:i/>
          <w:iCs/>
          <w:color w:val="000000"/>
        </w:rPr>
        <w:t>Physiol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96</w:t>
      </w:r>
      <w:r>
        <w:rPr>
          <w:rFonts w:ascii="Book Antiqua" w:eastAsia="Book Antiqua" w:hAnsi="Book Antiqua" w:cs="Book Antiqua"/>
          <w:color w:val="000000"/>
        </w:rPr>
        <w:t>: 605-645 [PMID: 26936867 DOI: 10.1152/physrev.00020.2015]</w:t>
      </w:r>
    </w:p>
    <w:p w14:paraId="611C005B" w14:textId="62C63A5A" w:rsidR="00A77B3E" w:rsidRDefault="009819D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Connor J</w:t>
      </w:r>
      <w:r>
        <w:rPr>
          <w:rFonts w:ascii="Book Antiqua" w:eastAsia="Book Antiqua" w:hAnsi="Book Antiqua" w:cs="Book Antiqua"/>
          <w:color w:val="000000"/>
        </w:rPr>
        <w:t xml:space="preserve">, Bucana C, Fidler IJ, Schroit AJ. Differentiation-dependent expression of phosphatidylserine in mammalian plasma membranes: quantitative assessment of outer-leaflet lipid by prothrombinase complex formation. </w:t>
      </w:r>
      <w:r>
        <w:rPr>
          <w:rFonts w:ascii="Book Antiqua" w:eastAsia="Book Antiqua" w:hAnsi="Book Antiqua" w:cs="Book Antiqua"/>
          <w:i/>
          <w:iCs/>
          <w:color w:val="000000"/>
        </w:rPr>
        <w:t>Proc Natl Acad Sci USA</w:t>
      </w:r>
      <w:r>
        <w:rPr>
          <w:rFonts w:ascii="Book Antiqua" w:eastAsia="Book Antiqua" w:hAnsi="Book Antiqua" w:cs="Book Antiqua"/>
          <w:color w:val="000000"/>
        </w:rPr>
        <w:t xml:space="preserve"> 1989; </w:t>
      </w:r>
      <w:r>
        <w:rPr>
          <w:rFonts w:ascii="Book Antiqua" w:eastAsia="Book Antiqua" w:hAnsi="Book Antiqua" w:cs="Book Antiqua"/>
          <w:b/>
          <w:bCs/>
          <w:color w:val="000000"/>
        </w:rPr>
        <w:t>86</w:t>
      </w:r>
      <w:r>
        <w:rPr>
          <w:rFonts w:ascii="Book Antiqua" w:eastAsia="Book Antiqua" w:hAnsi="Book Antiqua" w:cs="Book Antiqua"/>
          <w:color w:val="000000"/>
        </w:rPr>
        <w:t>: 3184-3188 [PMID: 2717615 DOI: 10.1073/pnas.86.9.3184]</w:t>
      </w:r>
    </w:p>
    <w:p w14:paraId="0A468FA2" w14:textId="77777777" w:rsidR="00A77B3E" w:rsidRDefault="009819DF">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Riedl S</w:t>
      </w:r>
      <w:r>
        <w:rPr>
          <w:rFonts w:ascii="Book Antiqua" w:eastAsia="Book Antiqua" w:hAnsi="Book Antiqua" w:cs="Book Antiqua"/>
          <w:color w:val="000000"/>
        </w:rPr>
        <w:t xml:space="preserve">, Rinner B, Asslaber M, Schaider H, Walzer S, Novak A, Lohner K, Zweytick D. In search of a novel target - phosphatidylserine exposed by non-apoptotic tumor cells and metastases of malignancies with poor treatment efficacy. </w:t>
      </w:r>
      <w:r>
        <w:rPr>
          <w:rFonts w:ascii="Book Antiqua" w:eastAsia="Book Antiqua" w:hAnsi="Book Antiqua" w:cs="Book Antiqua"/>
          <w:i/>
          <w:iCs/>
          <w:color w:val="000000"/>
        </w:rPr>
        <w:t>Biochim Biophys Acta</w:t>
      </w:r>
      <w:r>
        <w:rPr>
          <w:rFonts w:ascii="Book Antiqua" w:eastAsia="Book Antiqua" w:hAnsi="Book Antiqua" w:cs="Book Antiqua"/>
          <w:color w:val="000000"/>
        </w:rPr>
        <w:t xml:space="preserve"> 2011; </w:t>
      </w:r>
      <w:r>
        <w:rPr>
          <w:rFonts w:ascii="Book Antiqua" w:eastAsia="Book Antiqua" w:hAnsi="Book Antiqua" w:cs="Book Antiqua"/>
          <w:b/>
          <w:bCs/>
          <w:color w:val="000000"/>
        </w:rPr>
        <w:t>1808</w:t>
      </w:r>
      <w:r>
        <w:rPr>
          <w:rFonts w:ascii="Book Antiqua" w:eastAsia="Book Antiqua" w:hAnsi="Book Antiqua" w:cs="Book Antiqua"/>
          <w:color w:val="000000"/>
        </w:rPr>
        <w:t>: 2638-2645 [PMID: 21810406 DOI: 10.1016/j.bbamem.2011.07.026]</w:t>
      </w:r>
    </w:p>
    <w:p w14:paraId="5000F4E5" w14:textId="77777777" w:rsidR="00A77B3E" w:rsidRDefault="009819D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Soupene E</w:t>
      </w:r>
      <w:r>
        <w:rPr>
          <w:rFonts w:ascii="Book Antiqua" w:eastAsia="Book Antiqua" w:hAnsi="Book Antiqua" w:cs="Book Antiqua"/>
          <w:color w:val="000000"/>
        </w:rPr>
        <w:t xml:space="preserve">, Kemaladewi DU, Kuypers FA. ATP8A1 activity and phosphatidylserine transbilayer movement. </w:t>
      </w:r>
      <w:r>
        <w:rPr>
          <w:rFonts w:ascii="Book Antiqua" w:eastAsia="Book Antiqua" w:hAnsi="Book Antiqua" w:cs="Book Antiqua"/>
          <w:i/>
          <w:iCs/>
          <w:color w:val="000000"/>
        </w:rPr>
        <w:t>J Receptor Ligand Channel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1</w:t>
      </w:r>
      <w:r>
        <w:rPr>
          <w:rFonts w:ascii="Book Antiqua" w:eastAsia="Book Antiqua" w:hAnsi="Book Antiqua" w:cs="Book Antiqua"/>
          <w:color w:val="000000"/>
        </w:rPr>
        <w:t>: 1-10 [PMID: 20224745 DOI: 10.2147/jrlcr.s3773]</w:t>
      </w:r>
    </w:p>
    <w:p w14:paraId="4FBFD420" w14:textId="77777777" w:rsidR="00A77B3E" w:rsidRDefault="009819DF">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Vallabhapurapu SD</w:t>
      </w:r>
      <w:r>
        <w:rPr>
          <w:rFonts w:ascii="Book Antiqua" w:eastAsia="Book Antiqua" w:hAnsi="Book Antiqua" w:cs="Book Antiqua"/>
          <w:color w:val="000000"/>
        </w:rPr>
        <w:t xml:space="preserve">, Blanco VM, Sulaiman MK, Vallabhapurapu SL, Chu Z, Franco RS, Qi X. Variation in human cancer cell external phosphatidylserine is regulated by flippase activity and intracellular calcium.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34375-34388 [PMID: 26462157 DOI: 10.18632/oncotarget.6045]</w:t>
      </w:r>
    </w:p>
    <w:p w14:paraId="0D39AECA" w14:textId="77777777" w:rsidR="00A77B3E" w:rsidRDefault="009819D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Huynh ML</w:t>
      </w:r>
      <w:r>
        <w:rPr>
          <w:rFonts w:ascii="Book Antiqua" w:eastAsia="Book Antiqua" w:hAnsi="Book Antiqua" w:cs="Book Antiqua"/>
          <w:color w:val="000000"/>
        </w:rPr>
        <w:t xml:space="preserve">, Fadok VA, Henson PM. Phosphatidylserine-dependent ingestion of apoptotic cells promotes TGF-beta1 secretion and the resolution of inflammation.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2002; </w:t>
      </w:r>
      <w:r>
        <w:rPr>
          <w:rFonts w:ascii="Book Antiqua" w:eastAsia="Book Antiqua" w:hAnsi="Book Antiqua" w:cs="Book Antiqua"/>
          <w:b/>
          <w:bCs/>
          <w:color w:val="000000"/>
        </w:rPr>
        <w:t>109</w:t>
      </w:r>
      <w:r>
        <w:rPr>
          <w:rFonts w:ascii="Book Antiqua" w:eastAsia="Book Antiqua" w:hAnsi="Book Antiqua" w:cs="Book Antiqua"/>
          <w:color w:val="000000"/>
        </w:rPr>
        <w:t>: 41-50 [PMID: 11781349 DOI: 10.1172/JCI11638]</w:t>
      </w:r>
    </w:p>
    <w:p w14:paraId="78F322B8" w14:textId="77777777" w:rsidR="00A77B3E" w:rsidRDefault="009819D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Poon IK</w:t>
      </w:r>
      <w:r>
        <w:rPr>
          <w:rFonts w:ascii="Book Antiqua" w:eastAsia="Book Antiqua" w:hAnsi="Book Antiqua" w:cs="Book Antiqua"/>
          <w:color w:val="000000"/>
        </w:rPr>
        <w:t xml:space="preserve">, Lucas CD, Rossi AG, Ravichandran KS. Apoptotic cell clearance: basic biology and therapeutic potential.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166-180 [PMID: 24481336 DOI: 10.1038/nri3607]</w:t>
      </w:r>
    </w:p>
    <w:p w14:paraId="2287D48C" w14:textId="77777777" w:rsidR="00A77B3E" w:rsidRDefault="009819DF">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Jaiswal S</w:t>
      </w:r>
      <w:r>
        <w:rPr>
          <w:rFonts w:ascii="Book Antiqua" w:eastAsia="Book Antiqua" w:hAnsi="Book Antiqua" w:cs="Book Antiqua"/>
          <w:color w:val="000000"/>
        </w:rPr>
        <w:t xml:space="preserve">, Jamieson CH, Pang WW, Park CY, Chao MP, Majeti R, Traver D, van Rooijen N, Weissman IL. CD47 is upregulated on circulating hematopoietic stem cells and leukemia cells to avoid phagocytosis.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2009; </w:t>
      </w:r>
      <w:r>
        <w:rPr>
          <w:rFonts w:ascii="Book Antiqua" w:eastAsia="Book Antiqua" w:hAnsi="Book Antiqua" w:cs="Book Antiqua"/>
          <w:b/>
          <w:bCs/>
          <w:color w:val="000000"/>
        </w:rPr>
        <w:t>138</w:t>
      </w:r>
      <w:r>
        <w:rPr>
          <w:rFonts w:ascii="Book Antiqua" w:eastAsia="Book Antiqua" w:hAnsi="Book Antiqua" w:cs="Book Antiqua"/>
          <w:color w:val="000000"/>
        </w:rPr>
        <w:t>: 271-285 [PMID: 19632178 DOI: 10.1016/j.cell.2009.05.046]</w:t>
      </w:r>
    </w:p>
    <w:p w14:paraId="4FF1C152" w14:textId="77777777" w:rsidR="00A77B3E" w:rsidRDefault="009819D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Chu Z</w:t>
      </w:r>
      <w:r>
        <w:rPr>
          <w:rFonts w:ascii="Book Antiqua" w:eastAsia="Book Antiqua" w:hAnsi="Book Antiqua" w:cs="Book Antiqua"/>
          <w:color w:val="000000"/>
        </w:rPr>
        <w:t xml:space="preserve">, Abu-Baker S, Palascak MB, Ahmad SA, Franco RS, Qi X. Targeting and cytotoxicity of SapC-DOPS nanovesicles in pancreatic cancer.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e75507 [PMID: 24124494 DOI: 10.1371/journal.pone.0075507]</w:t>
      </w:r>
    </w:p>
    <w:p w14:paraId="0892450D" w14:textId="77777777" w:rsidR="00A77B3E" w:rsidRDefault="009819DF">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Qi X</w:t>
      </w:r>
      <w:r>
        <w:rPr>
          <w:rFonts w:ascii="Book Antiqua" w:eastAsia="Book Antiqua" w:hAnsi="Book Antiqua" w:cs="Book Antiqua"/>
          <w:color w:val="000000"/>
        </w:rPr>
        <w:t xml:space="preserve">, Chu Z, Mahller YY, Stringer KF, Witte DP, Cripe TP. Cancer-selective targeting and cytotoxicity by liposomal-coupled lysosomal saposin C protein.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5840-5851 [PMID: 19737950 DOI: 10.1158/1078-0432.CCR-08-3285]</w:t>
      </w:r>
    </w:p>
    <w:p w14:paraId="6E6FCA87" w14:textId="77777777" w:rsidR="00A77B3E" w:rsidRDefault="009819D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Abu-Baker S</w:t>
      </w:r>
      <w:r>
        <w:rPr>
          <w:rFonts w:ascii="Book Antiqua" w:eastAsia="Book Antiqua" w:hAnsi="Book Antiqua" w:cs="Book Antiqua"/>
          <w:color w:val="000000"/>
        </w:rPr>
        <w:t xml:space="preserve">, Chu Z, Stevens AM, Li J, Qi X. Cytotoxicity and Selectivity in Skin Cancer by SapC-DOPS Nanovesicles. </w:t>
      </w:r>
      <w:r>
        <w:rPr>
          <w:rFonts w:ascii="Book Antiqua" w:eastAsia="Book Antiqua" w:hAnsi="Book Antiqua" w:cs="Book Antiqua"/>
          <w:i/>
          <w:iCs/>
          <w:color w:val="000000"/>
        </w:rPr>
        <w:t>J Cancer Ther</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321-326 [PMID: 25485166 DOI: 10.4236/jct.2012.34041]</w:t>
      </w:r>
    </w:p>
    <w:p w14:paraId="51B98FD5" w14:textId="77777777" w:rsidR="00A77B3E" w:rsidRDefault="009819DF">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Zhao S</w:t>
      </w:r>
      <w:r>
        <w:rPr>
          <w:rFonts w:ascii="Book Antiqua" w:eastAsia="Book Antiqua" w:hAnsi="Book Antiqua" w:cs="Book Antiqua"/>
          <w:color w:val="000000"/>
        </w:rPr>
        <w:t xml:space="preserve">, Chu Z, Blanco VM, Nie Y, Hou Y, Qi X. SapC-DOPS nanovesicles as targeted therapy for lung cancer. </w:t>
      </w:r>
      <w:r>
        <w:rPr>
          <w:rFonts w:ascii="Book Antiqua" w:eastAsia="Book Antiqua" w:hAnsi="Book Antiqua" w:cs="Book Antiqua"/>
          <w:i/>
          <w:iCs/>
          <w:color w:val="000000"/>
        </w:rPr>
        <w:t>Mol Cancer Ther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491-498 [PMID: 25670331 DOI: 10.1158/1535-7163.MCT-14-0661]</w:t>
      </w:r>
    </w:p>
    <w:p w14:paraId="56CFC2B5" w14:textId="77777777" w:rsidR="00A77B3E" w:rsidRDefault="009819DF">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Blanco VM</w:t>
      </w:r>
      <w:r>
        <w:rPr>
          <w:rFonts w:ascii="Book Antiqua" w:eastAsia="Book Antiqua" w:hAnsi="Book Antiqua" w:cs="Book Antiqua"/>
          <w:color w:val="000000"/>
        </w:rPr>
        <w:t xml:space="preserve">, Curry R, Qi X. SapC-DOPS nanovesicles: a novel targeted agent for the imaging and treatment of glioblastoma. </w:t>
      </w:r>
      <w:r>
        <w:rPr>
          <w:rFonts w:ascii="Book Antiqua" w:eastAsia="Book Antiqua" w:hAnsi="Book Antiqua" w:cs="Book Antiqua"/>
          <w:i/>
          <w:iCs/>
          <w:color w:val="000000"/>
        </w:rPr>
        <w:t>Oncoscience</w:t>
      </w:r>
      <w:r>
        <w:rPr>
          <w:rFonts w:ascii="Book Antiqua" w:eastAsia="Book Antiqua" w:hAnsi="Book Antiqua" w:cs="Book Antiqua"/>
          <w:color w:val="000000"/>
        </w:rPr>
        <w:t xml:space="preserve"> 2015; </w:t>
      </w:r>
      <w:r>
        <w:rPr>
          <w:rFonts w:ascii="Book Antiqua" w:eastAsia="Book Antiqua" w:hAnsi="Book Antiqua" w:cs="Book Antiqua"/>
          <w:b/>
          <w:bCs/>
          <w:color w:val="000000"/>
        </w:rPr>
        <w:t>2</w:t>
      </w:r>
      <w:r>
        <w:rPr>
          <w:rFonts w:ascii="Book Antiqua" w:eastAsia="Book Antiqua" w:hAnsi="Book Antiqua" w:cs="Book Antiqua"/>
          <w:color w:val="000000"/>
        </w:rPr>
        <w:t>: 102-110 [PMID: 25859553 DOI: 10.18632/oncoscience.122]</w:t>
      </w:r>
    </w:p>
    <w:p w14:paraId="7B6D7BE8" w14:textId="77777777" w:rsidR="00A77B3E" w:rsidRDefault="009819DF">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N'Guessan KF</w:t>
      </w:r>
      <w:r>
        <w:rPr>
          <w:rFonts w:ascii="Book Antiqua" w:eastAsia="Book Antiqua" w:hAnsi="Book Antiqua" w:cs="Book Antiqua"/>
          <w:color w:val="000000"/>
        </w:rPr>
        <w:t xml:space="preserve">, Davis HW, Chu Z, Vallabhapurapu SD, Lewis CS, Franco RS, Olowokure O, Ahmad SA, Yeh JJ, Bogdanov VY, Qi X. Enhanced Efficacy of Combination of Gemcitabine and Phosphatidylserine-Targeted Nanovesicles against Pancreatic Cancer. </w:t>
      </w:r>
      <w:r>
        <w:rPr>
          <w:rFonts w:ascii="Book Antiqua" w:eastAsia="Book Antiqua" w:hAnsi="Book Antiqua" w:cs="Book Antiqua"/>
          <w:i/>
          <w:iCs/>
          <w:color w:val="000000"/>
        </w:rPr>
        <w:t>Mol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1876-1886 [PMID: 32516572 DOI: 10.1016/j.ymthe.2020.05.013]</w:t>
      </w:r>
    </w:p>
    <w:p w14:paraId="32377189" w14:textId="68E90425" w:rsidR="00A77B3E" w:rsidRDefault="009819DF">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Qi X</w:t>
      </w:r>
      <w:r>
        <w:rPr>
          <w:rFonts w:ascii="Book Antiqua" w:eastAsia="Book Antiqua" w:hAnsi="Book Antiqua" w:cs="Book Antiqua"/>
          <w:color w:val="000000"/>
        </w:rPr>
        <w:t xml:space="preserve">, Leonova T, Grabowski GA. Functional human saposins expressed in Escherichia coli. Evidence for binding and activation properties of saposins C with acid beta-glucosidase.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1994; </w:t>
      </w:r>
      <w:r>
        <w:rPr>
          <w:rFonts w:ascii="Book Antiqua" w:eastAsia="Book Antiqua" w:hAnsi="Book Antiqua" w:cs="Book Antiqua"/>
          <w:b/>
          <w:bCs/>
          <w:color w:val="000000"/>
        </w:rPr>
        <w:t>269</w:t>
      </w:r>
      <w:r>
        <w:rPr>
          <w:rFonts w:ascii="Book Antiqua" w:eastAsia="Book Antiqua" w:hAnsi="Book Antiqua" w:cs="Book Antiqua"/>
          <w:color w:val="000000"/>
        </w:rPr>
        <w:t>: 16746-16753 [PMID: 8206997</w:t>
      </w:r>
      <w:r w:rsidR="001F00DB">
        <w:rPr>
          <w:rFonts w:ascii="Book Antiqua" w:hAnsi="Book Antiqua" w:cs="Book Antiqua" w:hint="eastAsia"/>
          <w:color w:val="000000"/>
          <w:lang w:eastAsia="zh-CN"/>
        </w:rPr>
        <w:t xml:space="preserve"> </w:t>
      </w:r>
      <w:r w:rsidR="001F00DB" w:rsidRPr="001F00DB">
        <w:rPr>
          <w:rFonts w:ascii="Book Antiqua" w:eastAsia="Book Antiqua" w:hAnsi="Book Antiqua" w:cs="Book Antiqua"/>
          <w:color w:val="000000"/>
        </w:rPr>
        <w:t>DOI:</w:t>
      </w:r>
      <w:r w:rsidR="001F00DB">
        <w:rPr>
          <w:rFonts w:ascii="Book Antiqua" w:hAnsi="Book Antiqua" w:cs="Book Antiqua" w:hint="eastAsia"/>
          <w:color w:val="000000"/>
          <w:lang w:eastAsia="zh-CN"/>
        </w:rPr>
        <w:t xml:space="preserve"> </w:t>
      </w:r>
      <w:r w:rsidR="001F00DB" w:rsidRPr="001F00DB">
        <w:rPr>
          <w:rFonts w:ascii="Book Antiqua" w:eastAsia="Book Antiqua" w:hAnsi="Book Antiqua" w:cs="Book Antiqua"/>
          <w:color w:val="000000"/>
        </w:rPr>
        <w:t>10.1016/S0021-9258(19)89454-1</w:t>
      </w:r>
      <w:r>
        <w:rPr>
          <w:rFonts w:ascii="Book Antiqua" w:eastAsia="Book Antiqua" w:hAnsi="Book Antiqua" w:cs="Book Antiqua"/>
          <w:color w:val="000000"/>
        </w:rPr>
        <w:t>]</w:t>
      </w:r>
    </w:p>
    <w:p w14:paraId="140B7129" w14:textId="77777777" w:rsidR="00A77B3E" w:rsidRDefault="009819DF">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Wang Y</w:t>
      </w:r>
      <w:r>
        <w:rPr>
          <w:rFonts w:ascii="Book Antiqua" w:eastAsia="Book Antiqua" w:hAnsi="Book Antiqua" w:cs="Book Antiqua"/>
          <w:color w:val="000000"/>
        </w:rPr>
        <w:t xml:space="preserve">, Grabowski GA, Qi X. Phospholipid vesicle fusion induced by saposin C. </w:t>
      </w:r>
      <w:r>
        <w:rPr>
          <w:rFonts w:ascii="Book Antiqua" w:eastAsia="Book Antiqua" w:hAnsi="Book Antiqua" w:cs="Book Antiqua"/>
          <w:i/>
          <w:iCs/>
          <w:color w:val="000000"/>
        </w:rPr>
        <w:t>Arch Biochem Biophys</w:t>
      </w:r>
      <w:r>
        <w:rPr>
          <w:rFonts w:ascii="Book Antiqua" w:eastAsia="Book Antiqua" w:hAnsi="Book Antiqua" w:cs="Book Antiqua"/>
          <w:color w:val="000000"/>
        </w:rPr>
        <w:t xml:space="preserve"> 2003; </w:t>
      </w:r>
      <w:r>
        <w:rPr>
          <w:rFonts w:ascii="Book Antiqua" w:eastAsia="Book Antiqua" w:hAnsi="Book Antiqua" w:cs="Book Antiqua"/>
          <w:b/>
          <w:bCs/>
          <w:color w:val="000000"/>
        </w:rPr>
        <w:t>415</w:t>
      </w:r>
      <w:r>
        <w:rPr>
          <w:rFonts w:ascii="Book Antiqua" w:eastAsia="Book Antiqua" w:hAnsi="Book Antiqua" w:cs="Book Antiqua"/>
          <w:color w:val="000000"/>
        </w:rPr>
        <w:t>: 43-53 [PMID: 12801511 DOI: 10.1016/s0003-9861(03)00219-4]</w:t>
      </w:r>
    </w:p>
    <w:p w14:paraId="1600E3F3" w14:textId="77777777" w:rsidR="00A77B3E" w:rsidRDefault="009819DF">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Qi X</w:t>
      </w:r>
      <w:r>
        <w:rPr>
          <w:rFonts w:ascii="Book Antiqua" w:eastAsia="Book Antiqua" w:hAnsi="Book Antiqua" w:cs="Book Antiqua"/>
          <w:color w:val="000000"/>
        </w:rPr>
        <w:t xml:space="preserve">, Chu Z. Fusogenic domain and lysines in saposin C. </w:t>
      </w:r>
      <w:r>
        <w:rPr>
          <w:rFonts w:ascii="Book Antiqua" w:eastAsia="Book Antiqua" w:hAnsi="Book Antiqua" w:cs="Book Antiqua"/>
          <w:i/>
          <w:iCs/>
          <w:color w:val="000000"/>
        </w:rPr>
        <w:t>Arch Biochem Biophys</w:t>
      </w:r>
      <w:r>
        <w:rPr>
          <w:rFonts w:ascii="Book Antiqua" w:eastAsia="Book Antiqua" w:hAnsi="Book Antiqua" w:cs="Book Antiqua"/>
          <w:color w:val="000000"/>
        </w:rPr>
        <w:t xml:space="preserve"> 2004; </w:t>
      </w:r>
      <w:r>
        <w:rPr>
          <w:rFonts w:ascii="Book Antiqua" w:eastAsia="Book Antiqua" w:hAnsi="Book Antiqua" w:cs="Book Antiqua"/>
          <w:b/>
          <w:bCs/>
          <w:color w:val="000000"/>
        </w:rPr>
        <w:t>424</w:t>
      </w:r>
      <w:r>
        <w:rPr>
          <w:rFonts w:ascii="Book Antiqua" w:eastAsia="Book Antiqua" w:hAnsi="Book Antiqua" w:cs="Book Antiqua"/>
          <w:color w:val="000000"/>
        </w:rPr>
        <w:t>: 210-218 [PMID: 15047193 DOI: 10.1016/j.abb.2004.02.023]</w:t>
      </w:r>
    </w:p>
    <w:p w14:paraId="3B35A1A4" w14:textId="77777777" w:rsidR="00A77B3E" w:rsidRDefault="009819DF">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Wojton J</w:t>
      </w:r>
      <w:r>
        <w:rPr>
          <w:rFonts w:ascii="Book Antiqua" w:eastAsia="Book Antiqua" w:hAnsi="Book Antiqua" w:cs="Book Antiqua"/>
          <w:color w:val="000000"/>
        </w:rPr>
        <w:t xml:space="preserve">, Meisen WH, Jacob NK, Thorne AH, Hardcastle J, Denton N, Chu Z, Dmitrieva N, Marsh R, Van Meir EG, Kwon CH, Chakravarti A, Qi X, Kaur B. SapC-DOPS-induced lysosomal cell death synergizes with TMZ in glioblastoma.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9703-9709 [PMID: 25210852 DOI: 10.18632/oncotarget.2232]</w:t>
      </w:r>
    </w:p>
    <w:p w14:paraId="1386EB8B" w14:textId="77777777" w:rsidR="00A77B3E" w:rsidRDefault="009819DF">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Hsu PP</w:t>
      </w:r>
      <w:r>
        <w:rPr>
          <w:rFonts w:ascii="Book Antiqua" w:eastAsia="Book Antiqua" w:hAnsi="Book Antiqua" w:cs="Book Antiqua"/>
          <w:color w:val="000000"/>
        </w:rPr>
        <w:t xml:space="preserve">, Sabatini DM. Cancer cell metabolism: Warburg and beyond.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2008; </w:t>
      </w:r>
      <w:r>
        <w:rPr>
          <w:rFonts w:ascii="Book Antiqua" w:eastAsia="Book Antiqua" w:hAnsi="Book Antiqua" w:cs="Book Antiqua"/>
          <w:b/>
          <w:bCs/>
          <w:color w:val="000000"/>
        </w:rPr>
        <w:t>134</w:t>
      </w:r>
      <w:r>
        <w:rPr>
          <w:rFonts w:ascii="Book Antiqua" w:eastAsia="Book Antiqua" w:hAnsi="Book Antiqua" w:cs="Book Antiqua"/>
          <w:color w:val="000000"/>
        </w:rPr>
        <w:t>: 703-707 [PMID: 18775299 DOI: 10.1016/j.cell.2008.08.021]</w:t>
      </w:r>
    </w:p>
    <w:p w14:paraId="3A06FA9B" w14:textId="77777777" w:rsidR="00A77B3E" w:rsidRDefault="009819DF">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Webb BA</w:t>
      </w:r>
      <w:r>
        <w:rPr>
          <w:rFonts w:ascii="Book Antiqua" w:eastAsia="Book Antiqua" w:hAnsi="Book Antiqua" w:cs="Book Antiqua"/>
          <w:color w:val="000000"/>
        </w:rPr>
        <w:t xml:space="preserve">, Chimenti M, Jacobson MP, Barber DL. Dysregulated pH: a perfect storm for cancer progression.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671-677 [PMID: 21833026 DOI: 10.1038/nrc3110]</w:t>
      </w:r>
    </w:p>
    <w:p w14:paraId="38C8CE3F" w14:textId="77777777" w:rsidR="00A77B3E" w:rsidRDefault="009819DF">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Sulaiman MK</w:t>
      </w:r>
      <w:r>
        <w:rPr>
          <w:rFonts w:ascii="Book Antiqua" w:eastAsia="Book Antiqua" w:hAnsi="Book Antiqua" w:cs="Book Antiqua"/>
          <w:color w:val="000000"/>
        </w:rPr>
        <w:t xml:space="preserve">, Chu Z, Blanco VM, Vallabhapurapu SD, Franco RS, Qi X. SapC-DOPS nanovesicles induce Smac- and Bax-dependent apoptosis through mitochondrial activation in neuroblastomas.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78 [PMID: 25889084 DOI: 10.1186/s12943-015-0336-y]</w:t>
      </w:r>
    </w:p>
    <w:p w14:paraId="0A9D1ABC" w14:textId="234402BF" w:rsidR="00A77B3E" w:rsidRDefault="009819DF">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Rixe O</w:t>
      </w:r>
      <w:r w:rsidRPr="009819DF">
        <w:rPr>
          <w:rFonts w:ascii="Book Antiqua" w:eastAsia="Book Antiqua" w:hAnsi="Book Antiqua" w:cs="Book Antiqua"/>
          <w:color w:val="000000"/>
        </w:rPr>
        <w:t xml:space="preserve">, </w:t>
      </w:r>
      <w:r>
        <w:rPr>
          <w:rFonts w:ascii="Book Antiqua" w:eastAsia="Book Antiqua" w:hAnsi="Book Antiqua" w:cs="Book Antiqua"/>
          <w:color w:val="000000"/>
        </w:rPr>
        <w:t xml:space="preserve">Morris JC, Puduvalli VK, </w:t>
      </w:r>
      <w:r w:rsidRPr="009819DF">
        <w:rPr>
          <w:rFonts w:ascii="Book Antiqua" w:eastAsia="Book Antiqua" w:hAnsi="Book Antiqua" w:cs="Book Antiqua"/>
          <w:color w:val="000000"/>
        </w:rPr>
        <w:t>Villano</w:t>
      </w:r>
      <w:r>
        <w:rPr>
          <w:rFonts w:ascii="Book Antiqua" w:eastAsia="Book Antiqua" w:hAnsi="Book Antiqua" w:cs="Book Antiqua"/>
          <w:color w:val="000000"/>
        </w:rPr>
        <w:t xml:space="preserve"> JL</w:t>
      </w:r>
      <w:r w:rsidRPr="009819DF">
        <w:rPr>
          <w:rFonts w:ascii="Book Antiqua" w:eastAsia="Book Antiqua" w:hAnsi="Book Antiqua" w:cs="Book Antiqua"/>
          <w:color w:val="000000"/>
        </w:rPr>
        <w:t>, Wise-Draper</w:t>
      </w:r>
      <w:r>
        <w:rPr>
          <w:rFonts w:ascii="Book Antiqua" w:eastAsia="Book Antiqua" w:hAnsi="Book Antiqua" w:cs="Book Antiqua"/>
          <w:color w:val="000000"/>
        </w:rPr>
        <w:t xml:space="preserve"> TM</w:t>
      </w:r>
      <w:r w:rsidRPr="009819DF">
        <w:rPr>
          <w:rFonts w:ascii="Book Antiqua" w:eastAsia="Book Antiqua" w:hAnsi="Book Antiqua" w:cs="Book Antiqua"/>
          <w:color w:val="000000"/>
        </w:rPr>
        <w:t>, Muller</w:t>
      </w:r>
      <w:r>
        <w:rPr>
          <w:rFonts w:ascii="Book Antiqua" w:eastAsia="Book Antiqua" w:hAnsi="Book Antiqua" w:cs="Book Antiqua"/>
          <w:color w:val="000000"/>
        </w:rPr>
        <w:t xml:space="preserve"> C</w:t>
      </w:r>
      <w:r w:rsidRPr="009819DF">
        <w:rPr>
          <w:rFonts w:ascii="Book Antiqua" w:eastAsia="Book Antiqua" w:hAnsi="Book Antiqua" w:cs="Book Antiqua"/>
          <w:color w:val="000000"/>
        </w:rPr>
        <w:t>, Johnson</w:t>
      </w:r>
      <w:r>
        <w:rPr>
          <w:rFonts w:ascii="Book Antiqua" w:eastAsia="Book Antiqua" w:hAnsi="Book Antiqua" w:cs="Book Antiqua"/>
          <w:color w:val="000000"/>
        </w:rPr>
        <w:t xml:space="preserve"> AN</w:t>
      </w:r>
      <w:r w:rsidRPr="009819DF">
        <w:rPr>
          <w:rFonts w:ascii="Book Antiqua" w:eastAsia="Book Antiqua" w:hAnsi="Book Antiqua" w:cs="Book Antiqua"/>
          <w:color w:val="000000"/>
        </w:rPr>
        <w:t>, Wesolowski</w:t>
      </w:r>
      <w:r>
        <w:rPr>
          <w:rFonts w:ascii="Book Antiqua" w:eastAsia="Book Antiqua" w:hAnsi="Book Antiqua" w:cs="Book Antiqua"/>
          <w:color w:val="000000"/>
        </w:rPr>
        <w:t xml:space="preserve"> R</w:t>
      </w:r>
      <w:r w:rsidRPr="009819DF">
        <w:rPr>
          <w:rFonts w:ascii="Book Antiqua" w:eastAsia="Book Antiqua" w:hAnsi="Book Antiqua" w:cs="Book Antiqua"/>
          <w:color w:val="000000"/>
        </w:rPr>
        <w:t>, Qi</w:t>
      </w:r>
      <w:r>
        <w:rPr>
          <w:rFonts w:ascii="Book Antiqua" w:eastAsia="Book Antiqua" w:hAnsi="Book Antiqua" w:cs="Book Antiqua"/>
          <w:color w:val="000000"/>
        </w:rPr>
        <w:t xml:space="preserve"> X. First-in-human, first-in-class phase 1a study of BXQ-350 for solid tumors and gliomas. </w:t>
      </w:r>
      <w:r w:rsidRPr="009819DF">
        <w:rPr>
          <w:rFonts w:ascii="Book Antiqua" w:eastAsia="Book Antiqua" w:hAnsi="Book Antiqua" w:cs="Book Antiqua"/>
          <w:i/>
          <w:iCs/>
          <w:color w:val="000000"/>
        </w:rPr>
        <w:t>J Clin Oncol</w:t>
      </w:r>
      <w:r>
        <w:rPr>
          <w:rFonts w:ascii="Book Antiqua" w:eastAsia="Book Antiqua" w:hAnsi="Book Antiqua" w:cs="Book Antiqua"/>
          <w:color w:val="000000"/>
        </w:rPr>
        <w:t xml:space="preserve"> 2018; </w:t>
      </w:r>
      <w:r w:rsidRPr="009819DF">
        <w:rPr>
          <w:rFonts w:ascii="Book Antiqua" w:eastAsia="Book Antiqua" w:hAnsi="Book Antiqua" w:cs="Book Antiqua"/>
          <w:b/>
          <w:bCs/>
          <w:color w:val="000000"/>
        </w:rPr>
        <w:t>36</w:t>
      </w:r>
      <w:r>
        <w:rPr>
          <w:rFonts w:ascii="Book Antiqua" w:eastAsia="Book Antiqua" w:hAnsi="Book Antiqua" w:cs="Book Antiqua"/>
          <w:color w:val="000000"/>
        </w:rPr>
        <w:t>: 2517-17 [DOI: 10.1200/JCO.2018.36.15_suppl.2517]</w:t>
      </w:r>
    </w:p>
    <w:p w14:paraId="48175B97" w14:textId="1E752B20" w:rsidR="00A77B3E" w:rsidRDefault="009819DF">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Abdelbaki M</w:t>
      </w:r>
      <w:r w:rsidRPr="009819DF">
        <w:rPr>
          <w:rFonts w:ascii="Book Antiqua" w:eastAsia="Book Antiqua" w:hAnsi="Book Antiqua" w:cs="Book Antiqua"/>
          <w:color w:val="000000"/>
        </w:rPr>
        <w:t xml:space="preserve">, </w:t>
      </w:r>
      <w:r>
        <w:rPr>
          <w:rFonts w:ascii="Book Antiqua" w:eastAsia="Book Antiqua" w:hAnsi="Book Antiqua" w:cs="Book Antiqua"/>
          <w:color w:val="000000"/>
        </w:rPr>
        <w:t xml:space="preserve">Setty B, DeWire MD, Cripe TP, Curry R. A pediatric and young adult phase I dose escalation study of BXQ-350 for solid and central nervous system tumors. </w:t>
      </w:r>
      <w:r w:rsidRPr="009819DF">
        <w:rPr>
          <w:rFonts w:ascii="Book Antiqua" w:eastAsia="Book Antiqua" w:hAnsi="Book Antiqua" w:cs="Book Antiqua"/>
          <w:i/>
          <w:iCs/>
          <w:color w:val="000000"/>
        </w:rPr>
        <w:t>J Clin Oncol</w:t>
      </w:r>
      <w:r>
        <w:rPr>
          <w:rFonts w:ascii="Book Antiqua" w:eastAsia="Book Antiqua" w:hAnsi="Book Antiqua" w:cs="Book Antiqua"/>
          <w:color w:val="000000"/>
        </w:rPr>
        <w:t xml:space="preserve"> 2020; </w:t>
      </w:r>
      <w:r w:rsidRPr="009819DF">
        <w:rPr>
          <w:rFonts w:ascii="Book Antiqua" w:eastAsia="Book Antiqua" w:hAnsi="Book Antiqua" w:cs="Book Antiqua"/>
          <w:b/>
          <w:bCs/>
          <w:color w:val="000000"/>
        </w:rPr>
        <w:t>38</w:t>
      </w:r>
      <w:r>
        <w:rPr>
          <w:rFonts w:ascii="Book Antiqua" w:eastAsia="Book Antiqua" w:hAnsi="Book Antiqua" w:cs="Book Antiqua"/>
          <w:color w:val="000000"/>
        </w:rPr>
        <w:t>: 2541-41 [DOI: 10.1200/JCO.2020.38.15_suppl.2541]</w:t>
      </w:r>
    </w:p>
    <w:p w14:paraId="432179A9" w14:textId="77777777" w:rsidR="00A77B3E" w:rsidRDefault="009819DF">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Davis HW</w:t>
      </w:r>
      <w:r>
        <w:rPr>
          <w:rFonts w:ascii="Book Antiqua" w:eastAsia="Book Antiqua" w:hAnsi="Book Antiqua" w:cs="Book Antiqua"/>
          <w:color w:val="000000"/>
        </w:rPr>
        <w:t xml:space="preserve">, Vallabhapurapu SD, Chu Z, Wyder MA, Greis KD, Fannin V, Sun Y, Desai PB, Pak KY, Gray BD, Qi X. Biotherapy of Brain Tumors with Phosphatidylserine-Targeted Radioiodinated SapC-DOPS Nanovesicles.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32854321 DOI: 10.3390/cells9091960]</w:t>
      </w:r>
    </w:p>
    <w:p w14:paraId="76451F02" w14:textId="77777777" w:rsidR="00A77B3E" w:rsidRDefault="009819DF">
      <w:pPr>
        <w:spacing w:line="360" w:lineRule="auto"/>
        <w:jc w:val="both"/>
      </w:pPr>
      <w:r>
        <w:rPr>
          <w:rFonts w:ascii="Book Antiqua" w:eastAsia="Book Antiqua" w:hAnsi="Book Antiqua" w:cs="Book Antiqua"/>
          <w:color w:val="000000"/>
        </w:rPr>
        <w:lastRenderedPageBreak/>
        <w:t xml:space="preserve">42 </w:t>
      </w:r>
      <w:r>
        <w:rPr>
          <w:rFonts w:ascii="Book Antiqua" w:eastAsia="Book Antiqua" w:hAnsi="Book Antiqua" w:cs="Book Antiqua"/>
          <w:b/>
          <w:bCs/>
          <w:color w:val="000000"/>
        </w:rPr>
        <w:t>Davis HW</w:t>
      </w:r>
      <w:r>
        <w:rPr>
          <w:rFonts w:ascii="Book Antiqua" w:eastAsia="Book Antiqua" w:hAnsi="Book Antiqua" w:cs="Book Antiqua"/>
          <w:color w:val="000000"/>
        </w:rPr>
        <w:t xml:space="preserve">, Vallabhapurapu SD, Chu Z, Vallabhapurapu SL, Franco RS, Mierzwa M, Kassing W, Barrett WL, Qi X. Enhanced phosphatidylserine-selective cancer therapy with irradiation and SapC-DOPS nanovesicles.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856-868 [PMID: 30783515 DOI: 10.18632/oncotarget.26615]</w:t>
      </w:r>
    </w:p>
    <w:p w14:paraId="54C38F07" w14:textId="77777777" w:rsidR="00A77B3E" w:rsidRDefault="009819DF">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Park SH</w:t>
      </w:r>
      <w:r>
        <w:rPr>
          <w:rFonts w:ascii="Book Antiqua" w:eastAsia="Book Antiqua" w:hAnsi="Book Antiqua" w:cs="Book Antiqua"/>
          <w:color w:val="000000"/>
        </w:rPr>
        <w:t xml:space="preserve">, Sung JH, Kim EJ, Chung N. Berberine induces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ROS generation in PANC-1 and MIA-PaCa2 pancreatic cell lines. </w:t>
      </w:r>
      <w:r>
        <w:rPr>
          <w:rFonts w:ascii="Book Antiqua" w:eastAsia="Book Antiqua" w:hAnsi="Book Antiqua" w:cs="Book Antiqua"/>
          <w:i/>
          <w:iCs/>
          <w:color w:val="000000"/>
        </w:rPr>
        <w:t>Braz J Med Biol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48</w:t>
      </w:r>
      <w:r>
        <w:rPr>
          <w:rFonts w:ascii="Book Antiqua" w:eastAsia="Book Antiqua" w:hAnsi="Book Antiqua" w:cs="Book Antiqua"/>
          <w:color w:val="000000"/>
        </w:rPr>
        <w:t>: 111-119 [PMID: 25517919 DOI: 10.1590/1414-431X20144293]</w:t>
      </w:r>
    </w:p>
    <w:p w14:paraId="6D52F0C2" w14:textId="77777777" w:rsidR="00A77B3E" w:rsidRDefault="009819DF">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Blanco VM</w:t>
      </w:r>
      <w:r>
        <w:rPr>
          <w:rFonts w:ascii="Book Antiqua" w:eastAsia="Book Antiqua" w:hAnsi="Book Antiqua" w:cs="Book Antiqua"/>
          <w:color w:val="000000"/>
        </w:rPr>
        <w:t xml:space="preserve">, Latif T, Chu Z, Qi X. Imaging and Therapy of Pancreatic Cancer with Phosphatidylserine-Targeted Nanovesicles. </w:t>
      </w:r>
      <w:r>
        <w:rPr>
          <w:rFonts w:ascii="Book Antiqua" w:eastAsia="Book Antiqua" w:hAnsi="Book Antiqua" w:cs="Book Antiqua"/>
          <w:i/>
          <w:iCs/>
          <w:color w:val="000000"/>
        </w:rPr>
        <w:t>Transl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196-203 [PMID: 26055177 DOI: 10.1016/j.tranon.2015.03.011]</w:t>
      </w:r>
    </w:p>
    <w:p w14:paraId="23154595" w14:textId="692A469B" w:rsidR="003E1754" w:rsidRPr="00EF0058" w:rsidRDefault="003E1754">
      <w:pPr>
        <w:spacing w:line="360" w:lineRule="auto"/>
        <w:jc w:val="both"/>
        <w:rPr>
          <w:rFonts w:ascii="Book Antiqua" w:eastAsia="Book Antiqua" w:hAnsi="Book Antiqua" w:cs="Book Antiqua"/>
          <w:color w:val="000000"/>
        </w:rPr>
      </w:pPr>
      <w:r w:rsidRPr="00D340A1">
        <w:rPr>
          <w:rFonts w:ascii="Book Antiqua" w:eastAsia="Book Antiqua" w:hAnsi="Book Antiqua" w:cs="Book Antiqua"/>
          <w:color w:val="000000"/>
        </w:rPr>
        <w:t>45</w:t>
      </w:r>
      <w:r w:rsidR="00EF0058" w:rsidRPr="00D340A1">
        <w:rPr>
          <w:rFonts w:ascii="Book Antiqua" w:eastAsia="Book Antiqua" w:hAnsi="Book Antiqua" w:cs="Book Antiqua"/>
          <w:color w:val="000000"/>
        </w:rPr>
        <w:t xml:space="preserve"> </w:t>
      </w:r>
      <w:r w:rsidR="000F09BC" w:rsidRPr="00D340A1">
        <w:rPr>
          <w:rFonts w:ascii="Book Antiqua" w:eastAsia="Book Antiqua" w:hAnsi="Book Antiqua" w:cs="Book Antiqua"/>
          <w:b/>
          <w:bCs/>
          <w:color w:val="000000"/>
        </w:rPr>
        <w:t>Amin MB</w:t>
      </w:r>
      <w:r w:rsidR="000F09BC" w:rsidRPr="00D340A1">
        <w:rPr>
          <w:rFonts w:ascii="Book Antiqua" w:eastAsia="Book Antiqua" w:hAnsi="Book Antiqua" w:cs="Book Antiqua"/>
          <w:color w:val="000000"/>
        </w:rPr>
        <w:t xml:space="preserve">, Edge S, Greene F, Byrd DR, Brookland RK, Washington MK, Gershenwald JE, Compton CC, Hess KR, </w:t>
      </w:r>
      <w:r w:rsidR="00ED08FE" w:rsidRPr="00D340A1">
        <w:rPr>
          <w:rFonts w:ascii="Book Antiqua" w:eastAsia="Book Antiqua" w:hAnsi="Book Antiqua" w:cs="Book Antiqua"/>
          <w:color w:val="000000"/>
        </w:rPr>
        <w:t>Sullivan DC, Jessup JM, Brierley JD, Gaspar LE, Schilsky RL, Balch CM</w:t>
      </w:r>
      <w:r w:rsidR="000F09BC" w:rsidRPr="00D340A1">
        <w:rPr>
          <w:rFonts w:ascii="Book Antiqua" w:eastAsia="Book Antiqua" w:hAnsi="Book Antiqua" w:cs="Book Antiqua"/>
          <w:color w:val="000000"/>
        </w:rPr>
        <w:t>. AJCC Cancer Staging Manual</w:t>
      </w:r>
      <w:r w:rsidR="009773DB" w:rsidRPr="00D340A1">
        <w:rPr>
          <w:rFonts w:ascii="Book Antiqua" w:eastAsia="Book Antiqua" w:hAnsi="Book Antiqua" w:cs="Book Antiqua"/>
          <w:color w:val="000000"/>
        </w:rPr>
        <w:t xml:space="preserve">. </w:t>
      </w:r>
      <w:r w:rsidR="000F09BC" w:rsidRPr="00D340A1">
        <w:rPr>
          <w:rFonts w:ascii="Book Antiqua" w:eastAsia="Book Antiqua" w:hAnsi="Book Antiqua" w:cs="Book Antiqua"/>
          <w:color w:val="000000"/>
        </w:rPr>
        <w:t>8th ed</w:t>
      </w:r>
      <w:r w:rsidR="00EF0058" w:rsidRPr="00D340A1">
        <w:rPr>
          <w:rFonts w:ascii="Book Antiqua" w:eastAsia="Book Antiqua" w:hAnsi="Book Antiqua" w:cs="Book Antiqua"/>
          <w:color w:val="000000"/>
        </w:rPr>
        <w:t>.</w:t>
      </w:r>
      <w:r w:rsidR="000F09BC" w:rsidRPr="00D340A1">
        <w:rPr>
          <w:rFonts w:ascii="Book Antiqua" w:eastAsia="Book Antiqua" w:hAnsi="Book Antiqua" w:cs="Book Antiqua"/>
          <w:color w:val="000000"/>
        </w:rPr>
        <w:t xml:space="preserve"> Springer International Publishing: American Joint Commission on Cancer</w:t>
      </w:r>
      <w:r w:rsidR="00EF0058" w:rsidRPr="00D340A1">
        <w:rPr>
          <w:rFonts w:ascii="Book Antiqua" w:eastAsia="Book Antiqua" w:hAnsi="Book Antiqua" w:cs="Book Antiqua"/>
          <w:color w:val="000000"/>
        </w:rPr>
        <w:t>, 2017</w:t>
      </w:r>
    </w:p>
    <w:p w14:paraId="744F6EA7" w14:textId="77777777" w:rsidR="00932343" w:rsidRDefault="00932343">
      <w:pPr>
        <w:spacing w:line="360" w:lineRule="auto"/>
        <w:jc w:val="both"/>
        <w:sectPr w:rsidR="00932343">
          <w:pgSz w:w="12240" w:h="15840"/>
          <w:pgMar w:top="1440" w:right="1440" w:bottom="1440" w:left="1440" w:header="720" w:footer="720" w:gutter="0"/>
          <w:cols w:space="720"/>
          <w:docGrid w:linePitch="360"/>
        </w:sectPr>
      </w:pPr>
    </w:p>
    <w:p w14:paraId="564DA2DB" w14:textId="77777777" w:rsidR="00A77B3E" w:rsidRDefault="009819DF">
      <w:pPr>
        <w:spacing w:line="360" w:lineRule="auto"/>
        <w:jc w:val="both"/>
      </w:pPr>
      <w:r>
        <w:rPr>
          <w:rFonts w:ascii="Book Antiqua" w:eastAsia="Book Antiqua" w:hAnsi="Book Antiqua" w:cs="Book Antiqua"/>
          <w:b/>
          <w:color w:val="000000"/>
        </w:rPr>
        <w:lastRenderedPageBreak/>
        <w:t>Footnotes</w:t>
      </w:r>
    </w:p>
    <w:p w14:paraId="7B6D8984" w14:textId="1D352BFF" w:rsidR="00A77B3E" w:rsidRDefault="009819D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Qi</w:t>
      </w:r>
      <w:r w:rsidR="00795E97">
        <w:rPr>
          <w:rFonts w:ascii="Book Antiqua" w:eastAsia="Book Antiqua" w:hAnsi="Book Antiqua" w:cs="Book Antiqua"/>
          <w:color w:val="000000"/>
        </w:rPr>
        <w:t xml:space="preserve"> X</w:t>
      </w:r>
      <w:r>
        <w:rPr>
          <w:rFonts w:ascii="Book Antiqua" w:eastAsia="Book Antiqua" w:hAnsi="Book Antiqua" w:cs="Book Antiqua"/>
          <w:color w:val="000000"/>
        </w:rPr>
        <w:t xml:space="preserve"> is listed as an inventor on the patent for SapC-DOPS technology that is the subject of this review. Consistent with current Cincinnati Children’s Hospital Medical Center policies, the development and commercialization of this technology has been licensed to Bexion Pharmaceuticals, LLC, in which Qi</w:t>
      </w:r>
      <w:r w:rsidR="00795E97">
        <w:rPr>
          <w:rFonts w:ascii="Book Antiqua" w:eastAsia="Book Antiqua" w:hAnsi="Book Antiqua" w:cs="Book Antiqua"/>
          <w:color w:val="000000"/>
        </w:rPr>
        <w:t xml:space="preserve"> X</w:t>
      </w:r>
      <w:r>
        <w:rPr>
          <w:rFonts w:ascii="Book Antiqua" w:eastAsia="Book Antiqua" w:hAnsi="Book Antiqua" w:cs="Book Antiqua"/>
          <w:color w:val="000000"/>
        </w:rPr>
        <w:t>, holds a minor (&lt; 3%) equity interest.</w:t>
      </w:r>
    </w:p>
    <w:p w14:paraId="3441849D" w14:textId="77777777" w:rsidR="00A77B3E" w:rsidRDefault="00A77B3E">
      <w:pPr>
        <w:spacing w:line="360" w:lineRule="auto"/>
        <w:jc w:val="both"/>
      </w:pPr>
    </w:p>
    <w:p w14:paraId="50895805" w14:textId="77777777" w:rsidR="00A77B3E" w:rsidRDefault="009819D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02A19E" w14:textId="77777777" w:rsidR="00A77B3E" w:rsidRDefault="00A77B3E">
      <w:pPr>
        <w:spacing w:line="360" w:lineRule="auto"/>
        <w:jc w:val="both"/>
      </w:pPr>
    </w:p>
    <w:p w14:paraId="3FFEF028" w14:textId="5F6B5C2E" w:rsidR="00A77B3E" w:rsidRDefault="009819D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14:paraId="32500C7E" w14:textId="77777777" w:rsidR="00A77B3E" w:rsidRDefault="00A77B3E">
      <w:pPr>
        <w:spacing w:line="360" w:lineRule="auto"/>
        <w:jc w:val="both"/>
      </w:pPr>
    </w:p>
    <w:p w14:paraId="43FC0F12" w14:textId="77777777" w:rsidR="00A77B3E" w:rsidRDefault="009819D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29, 2021</w:t>
      </w:r>
    </w:p>
    <w:p w14:paraId="37DB0273" w14:textId="77777777" w:rsidR="00A77B3E" w:rsidRDefault="009819D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6, 2021</w:t>
      </w:r>
    </w:p>
    <w:p w14:paraId="67F9D89B" w14:textId="6E3DFEB8" w:rsidR="00A77B3E" w:rsidRDefault="009819DF">
      <w:pPr>
        <w:spacing w:line="360" w:lineRule="auto"/>
        <w:jc w:val="both"/>
      </w:pPr>
      <w:r>
        <w:rPr>
          <w:rFonts w:ascii="Book Antiqua" w:eastAsia="Book Antiqua" w:hAnsi="Book Antiqua" w:cs="Book Antiqua"/>
          <w:b/>
          <w:color w:val="000000"/>
        </w:rPr>
        <w:t xml:space="preserve">Article in press: </w:t>
      </w:r>
      <w:r w:rsidR="003D30F9" w:rsidRPr="003D30F9">
        <w:rPr>
          <w:rFonts w:ascii="Book Antiqua" w:eastAsia="Book Antiqua" w:hAnsi="Book Antiqua" w:cs="Book Antiqua"/>
          <w:color w:val="000000"/>
        </w:rPr>
        <w:t>May 10, 2021</w:t>
      </w:r>
    </w:p>
    <w:p w14:paraId="76F7A28C" w14:textId="77777777" w:rsidR="00A77B3E" w:rsidRDefault="00A77B3E">
      <w:pPr>
        <w:spacing w:line="360" w:lineRule="auto"/>
        <w:jc w:val="both"/>
      </w:pPr>
    </w:p>
    <w:p w14:paraId="1523D8D0" w14:textId="30474D85" w:rsidR="00A77B3E" w:rsidRDefault="009819DF">
      <w:pPr>
        <w:spacing w:line="360" w:lineRule="auto"/>
        <w:jc w:val="both"/>
      </w:pPr>
      <w:r>
        <w:rPr>
          <w:rFonts w:ascii="Book Antiqua" w:eastAsia="Book Antiqua" w:hAnsi="Book Antiqua" w:cs="Book Antiqua"/>
          <w:b/>
          <w:color w:val="000000"/>
        </w:rPr>
        <w:t xml:space="preserve">Specialty type: </w:t>
      </w:r>
      <w:r w:rsidRPr="00E700C2">
        <w:rPr>
          <w:rFonts w:ascii="Book Antiqua" w:eastAsia="微软雅黑" w:hAnsi="Book Antiqua" w:cs="宋体"/>
        </w:rPr>
        <w:t>Oncology</w:t>
      </w:r>
    </w:p>
    <w:p w14:paraId="1B415218" w14:textId="77777777" w:rsidR="00A77B3E" w:rsidRDefault="009819D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33F734D7" w14:textId="77777777" w:rsidR="00A77B3E" w:rsidRDefault="009819DF">
      <w:pPr>
        <w:spacing w:line="360" w:lineRule="auto"/>
        <w:jc w:val="both"/>
      </w:pPr>
      <w:r>
        <w:rPr>
          <w:rFonts w:ascii="Book Antiqua" w:eastAsia="Book Antiqua" w:hAnsi="Book Antiqua" w:cs="Book Antiqua"/>
          <w:b/>
          <w:color w:val="000000"/>
        </w:rPr>
        <w:t>Peer-review report’s scientific quality classification</w:t>
      </w:r>
    </w:p>
    <w:p w14:paraId="2DB2F8F1" w14:textId="77777777" w:rsidR="00A77B3E" w:rsidRDefault="009819DF">
      <w:pPr>
        <w:spacing w:line="360" w:lineRule="auto"/>
        <w:jc w:val="both"/>
      </w:pPr>
      <w:r>
        <w:rPr>
          <w:rFonts w:ascii="Book Antiqua" w:eastAsia="Book Antiqua" w:hAnsi="Book Antiqua" w:cs="Book Antiqua"/>
          <w:color w:val="000000"/>
        </w:rPr>
        <w:t>Grade A (Excellent): 0</w:t>
      </w:r>
    </w:p>
    <w:p w14:paraId="4605116A" w14:textId="096A8D63" w:rsidR="00A77B3E" w:rsidRDefault="009819DF">
      <w:pPr>
        <w:spacing w:line="360" w:lineRule="auto"/>
        <w:jc w:val="both"/>
      </w:pPr>
      <w:r>
        <w:rPr>
          <w:rFonts w:ascii="Book Antiqua" w:eastAsia="Book Antiqua" w:hAnsi="Book Antiqua" w:cs="Book Antiqua"/>
          <w:color w:val="000000"/>
        </w:rPr>
        <w:t>Grade B (Very good): B, B, B</w:t>
      </w:r>
    </w:p>
    <w:p w14:paraId="4B79DD82" w14:textId="77777777" w:rsidR="00A77B3E" w:rsidRDefault="009819DF">
      <w:pPr>
        <w:spacing w:line="360" w:lineRule="auto"/>
        <w:jc w:val="both"/>
      </w:pPr>
      <w:r>
        <w:rPr>
          <w:rFonts w:ascii="Book Antiqua" w:eastAsia="Book Antiqua" w:hAnsi="Book Antiqua" w:cs="Book Antiqua"/>
          <w:color w:val="000000"/>
        </w:rPr>
        <w:t>Grade C (Good): C</w:t>
      </w:r>
    </w:p>
    <w:p w14:paraId="1D33A171" w14:textId="77777777" w:rsidR="00A77B3E" w:rsidRDefault="009819DF">
      <w:pPr>
        <w:spacing w:line="360" w:lineRule="auto"/>
        <w:jc w:val="both"/>
      </w:pPr>
      <w:r>
        <w:rPr>
          <w:rFonts w:ascii="Book Antiqua" w:eastAsia="Book Antiqua" w:hAnsi="Book Antiqua" w:cs="Book Antiqua"/>
          <w:color w:val="000000"/>
        </w:rPr>
        <w:t>Grade D (Fair): 0</w:t>
      </w:r>
    </w:p>
    <w:p w14:paraId="60C51E07" w14:textId="77777777" w:rsidR="00A77B3E" w:rsidRDefault="009819DF">
      <w:pPr>
        <w:spacing w:line="360" w:lineRule="auto"/>
        <w:jc w:val="both"/>
      </w:pPr>
      <w:r>
        <w:rPr>
          <w:rFonts w:ascii="Book Antiqua" w:eastAsia="Book Antiqua" w:hAnsi="Book Antiqua" w:cs="Book Antiqua"/>
          <w:color w:val="000000"/>
        </w:rPr>
        <w:t>Grade E (Poor): 0</w:t>
      </w:r>
    </w:p>
    <w:p w14:paraId="051DD24E" w14:textId="77777777" w:rsidR="00A77B3E" w:rsidRDefault="00A77B3E">
      <w:pPr>
        <w:spacing w:line="360" w:lineRule="auto"/>
        <w:jc w:val="both"/>
      </w:pPr>
    </w:p>
    <w:p w14:paraId="6419B30E" w14:textId="6EBDE8F6" w:rsidR="003D30F9" w:rsidRDefault="009819D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Tenreiro N, Wang XB, Zhou J</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3D30F9" w:rsidRPr="003D30F9">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3D30F9" w:rsidRPr="003D30F9">
        <w:rPr>
          <w:rFonts w:ascii="Book Antiqua" w:eastAsia="Book Antiqua" w:hAnsi="Book Antiqua" w:cs="Book Antiqua"/>
          <w:color w:val="000000"/>
        </w:rPr>
        <w:t>Yuan YY</w:t>
      </w:r>
    </w:p>
    <w:p w14:paraId="069F2799" w14:textId="77777777" w:rsidR="003D30F9" w:rsidRDefault="003D30F9">
      <w:pPr>
        <w:rPr>
          <w:rFonts w:ascii="Book Antiqua" w:eastAsia="Book Antiqua" w:hAnsi="Book Antiqua" w:cs="Book Antiqua"/>
          <w:b/>
          <w:color w:val="000000"/>
        </w:rPr>
      </w:pPr>
      <w:r>
        <w:rPr>
          <w:rFonts w:ascii="Book Antiqua" w:eastAsia="Book Antiqua" w:hAnsi="Book Antiqua" w:cs="Book Antiqua"/>
          <w:b/>
          <w:color w:val="000000"/>
        </w:rPr>
        <w:br w:type="page"/>
      </w:r>
    </w:p>
    <w:p w14:paraId="4BEA189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8F70D2E" w14:textId="1BE58C0A" w:rsidR="00A77B3E" w:rsidRDefault="009819D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03A0A2A" w14:textId="4D180174" w:rsidR="00795E97" w:rsidRDefault="00BA4DFD">
      <w:pPr>
        <w:spacing w:line="360" w:lineRule="auto"/>
        <w:jc w:val="both"/>
      </w:pPr>
      <w:r>
        <w:rPr>
          <w:noProof/>
          <w:lang w:eastAsia="zh-CN"/>
        </w:rPr>
        <w:drawing>
          <wp:inline distT="0" distB="0" distL="0" distR="0" wp14:anchorId="2CFC9336" wp14:editId="70A850D0">
            <wp:extent cx="4052917" cy="2709882"/>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52917" cy="2709882"/>
                    </a:xfrm>
                    <a:prstGeom prst="rect">
                      <a:avLst/>
                    </a:prstGeom>
                  </pic:spPr>
                </pic:pic>
              </a:graphicData>
            </a:graphic>
          </wp:inline>
        </w:drawing>
      </w:r>
    </w:p>
    <w:p w14:paraId="48C18988" w14:textId="0A416A4D" w:rsidR="00BA4DFD" w:rsidRDefault="009819DF">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rPr>
        <w:t>Figure 1</w:t>
      </w:r>
      <w:r w:rsidR="00795E97">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Surface </w:t>
      </w:r>
      <w:r w:rsidR="00BA4DFD" w:rsidRPr="00BA4DFD">
        <w:rPr>
          <w:rFonts w:ascii="Book Antiqua" w:eastAsia="Book Antiqua" w:hAnsi="Book Antiqua" w:cs="Book Antiqua"/>
          <w:b/>
          <w:bCs/>
          <w:color w:val="000000"/>
        </w:rPr>
        <w:t>phosphatidylserine</w:t>
      </w:r>
      <w:r>
        <w:rPr>
          <w:rFonts w:ascii="Book Antiqua" w:eastAsia="Book Antiqua" w:hAnsi="Book Antiqua" w:cs="Book Antiqua"/>
          <w:b/>
          <w:bCs/>
          <w:color w:val="000000"/>
        </w:rPr>
        <w:t xml:space="preserve"> on normal pancreata and </w:t>
      </w:r>
      <w:r w:rsidR="00BA4DFD" w:rsidRPr="00BA4DFD">
        <w:rPr>
          <w:rFonts w:ascii="Book Antiqua" w:eastAsia="Book Antiqua" w:hAnsi="Book Antiqua" w:cs="Book Antiqua"/>
          <w:b/>
          <w:bCs/>
          <w:color w:val="000000"/>
        </w:rPr>
        <w:t>pancreatic ductal adenocarcinoma</w:t>
      </w:r>
      <w:r>
        <w:rPr>
          <w:rFonts w:ascii="Book Antiqua" w:eastAsia="Book Antiqua" w:hAnsi="Book Antiqua" w:cs="Book Antiqua"/>
          <w:b/>
          <w:bCs/>
          <w:color w:val="000000"/>
        </w:rPr>
        <w:t xml:space="preserve"> tumors.</w:t>
      </w:r>
      <w:r>
        <w:rPr>
          <w:rFonts w:ascii="Book Antiqua" w:eastAsia="Book Antiqua" w:hAnsi="Book Antiqua" w:cs="Book Antiqua"/>
          <w:color w:val="000000"/>
        </w:rPr>
        <w:t xml:space="preserve"> Pancreatic tumors and neighboring more normal tissue excised from treatment</w:t>
      </w:r>
      <w:r w:rsidR="00F36643">
        <w:rPr>
          <w:rFonts w:ascii="Book Antiqua" w:hAnsi="Book Antiqua" w:cs="Book Antiqua" w:hint="eastAsia"/>
          <w:color w:val="000000"/>
          <w:lang w:eastAsia="zh-CN"/>
        </w:rPr>
        <w:t>-</w:t>
      </w:r>
      <w:r>
        <w:rPr>
          <w:rFonts w:ascii="Book Antiqua" w:eastAsia="Book Antiqua" w:hAnsi="Book Antiqua" w:cs="Book Antiqua"/>
          <w:color w:val="000000"/>
        </w:rPr>
        <w:t xml:space="preserve">naïve </w:t>
      </w:r>
      <w:bookmarkStart w:id="3" w:name="_Hlk71270993"/>
      <w:r w:rsidR="00BA4DFD">
        <w:rPr>
          <w:rFonts w:ascii="Book Antiqua" w:eastAsia="Book Antiqua" w:hAnsi="Book Antiqua" w:cs="Book Antiqua"/>
          <w:color w:val="000000"/>
        </w:rPr>
        <w:t>pancreatic ductal adenocarcinoma (</w:t>
      </w:r>
      <w:r>
        <w:rPr>
          <w:rFonts w:ascii="Book Antiqua" w:eastAsia="Book Antiqua" w:hAnsi="Book Antiqua" w:cs="Book Antiqua"/>
          <w:color w:val="000000"/>
        </w:rPr>
        <w:t>PDAC</w:t>
      </w:r>
      <w:r w:rsidR="00BA4DFD">
        <w:rPr>
          <w:rFonts w:ascii="Book Antiqua" w:eastAsia="Book Antiqua" w:hAnsi="Book Antiqua" w:cs="Book Antiqua"/>
          <w:color w:val="000000"/>
        </w:rPr>
        <w:t>)</w:t>
      </w:r>
      <w:bookmarkEnd w:id="3"/>
      <w:r>
        <w:rPr>
          <w:rFonts w:ascii="Book Antiqua" w:eastAsia="Book Antiqua" w:hAnsi="Book Antiqua" w:cs="Book Antiqua"/>
          <w:color w:val="000000"/>
        </w:rPr>
        <w:t xml:space="preserve"> patients were digested with collagenase IV or a Tumor Dissociation kit (Miltenyi). PDAC cells were co-stained with MUC-4-APC, a marker for epithelial cells and Annexin V-FITC, which binds cell surface </w:t>
      </w:r>
      <w:bookmarkStart w:id="4" w:name="_Hlk71270855"/>
      <w:r w:rsidR="00BA4DFD" w:rsidRPr="00BA4DFD">
        <w:rPr>
          <w:rFonts w:ascii="Book Antiqua" w:eastAsia="Book Antiqua" w:hAnsi="Book Antiqua" w:cs="Book Antiqua"/>
          <w:color w:val="000000"/>
        </w:rPr>
        <w:t>phosphatidylserine</w:t>
      </w:r>
      <w:r w:rsidR="00BA4DFD">
        <w:rPr>
          <w:rFonts w:ascii="Book Antiqua" w:eastAsia="Book Antiqua" w:hAnsi="Book Antiqua" w:cs="Book Antiqua"/>
          <w:color w:val="000000"/>
        </w:rPr>
        <w:t xml:space="preserve"> (</w:t>
      </w:r>
      <w:r>
        <w:rPr>
          <w:rFonts w:ascii="Book Antiqua" w:eastAsia="Book Antiqua" w:hAnsi="Book Antiqua" w:cs="Book Antiqua"/>
          <w:color w:val="000000"/>
        </w:rPr>
        <w:t>PS</w:t>
      </w:r>
      <w:r w:rsidR="00BA4DFD">
        <w:rPr>
          <w:rFonts w:ascii="Book Antiqua" w:eastAsia="Book Antiqua" w:hAnsi="Book Antiqua" w:cs="Book Antiqua"/>
          <w:color w:val="000000"/>
        </w:rPr>
        <w:t>)</w:t>
      </w:r>
      <w:bookmarkEnd w:id="4"/>
      <w:r>
        <w:rPr>
          <w:rFonts w:ascii="Book Antiqua" w:eastAsia="Book Antiqua" w:hAnsi="Book Antiqua" w:cs="Book Antiqua"/>
          <w:color w:val="000000"/>
        </w:rPr>
        <w:t xml:space="preserve"> and surface PS was quantified on MUC-4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cells by flow cytometry (</w:t>
      </w:r>
      <w:r>
        <w:rPr>
          <w:rFonts w:ascii="Book Antiqua" w:eastAsia="Book Antiqua" w:hAnsi="Book Antiqua" w:cs="Book Antiqua"/>
          <w:i/>
          <w:iCs/>
          <w:color w:val="000000"/>
        </w:rPr>
        <w:t>n</w:t>
      </w:r>
      <w:r>
        <w:rPr>
          <w:rFonts w:ascii="Book Antiqua" w:eastAsia="Book Antiqua" w:hAnsi="Book Antiqua" w:cs="Book Antiqua"/>
          <w:color w:val="000000"/>
        </w:rPr>
        <w:t xml:space="preserve"> = 5 for each). Data are presented as the mean ± </w:t>
      </w:r>
      <w:r w:rsidR="00BA4DFD">
        <w:rPr>
          <w:rFonts w:ascii="Book Antiqua" w:eastAsia="Book Antiqua" w:hAnsi="Book Antiqua" w:cs="Book Antiqua"/>
          <w:color w:val="000000"/>
        </w:rPr>
        <w:t>SE</w:t>
      </w:r>
      <w:r>
        <w:rPr>
          <w:rFonts w:ascii="Book Antiqua" w:eastAsia="Book Antiqua" w:hAnsi="Book Antiqua" w:cs="Book Antiqua"/>
          <w:color w:val="000000"/>
        </w:rPr>
        <w:t xml:space="preserve"> of the mean, and were compared between two groups using </w:t>
      </w:r>
      <w:r w:rsidRPr="00BA4DFD">
        <w:rPr>
          <w:rFonts w:ascii="Book Antiqua" w:eastAsia="Book Antiqua" w:hAnsi="Book Antiqua" w:cs="Book Antiqua"/>
          <w:i/>
          <w:iCs/>
          <w:color w:val="000000"/>
        </w:rPr>
        <w:t>t</w:t>
      </w:r>
      <w:r>
        <w:rPr>
          <w:rFonts w:ascii="Book Antiqua" w:eastAsia="Book Antiqua" w:hAnsi="Book Antiqua" w:cs="Book Antiqua"/>
          <w:color w:val="000000"/>
        </w:rPr>
        <w:t xml:space="preserve">-test. </w:t>
      </w:r>
      <w:r>
        <w:rPr>
          <w:rFonts w:ascii="Book Antiqua" w:eastAsia="Book Antiqua" w:hAnsi="Book Antiqua" w:cs="Book Antiqua"/>
          <w:color w:val="000000"/>
          <w:szCs w:val="18"/>
          <w:vertAlign w:val="superscript"/>
        </w:rPr>
        <w:t>a</w:t>
      </w:r>
      <w:r w:rsidRPr="00BA4DFD">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&lt; 0.05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normal group.</w:t>
      </w:r>
      <w:r w:rsidR="00BA4DFD">
        <w:rPr>
          <w:rFonts w:ascii="Book Antiqua" w:eastAsia="Book Antiqua" w:hAnsi="Book Antiqua" w:cs="Book Antiqua"/>
          <w:color w:val="000000"/>
          <w:szCs w:val="22"/>
        </w:rPr>
        <w:t xml:space="preserve"> PDAC: P</w:t>
      </w:r>
      <w:r w:rsidR="00BA4DFD" w:rsidRPr="00BA4DFD">
        <w:rPr>
          <w:rFonts w:ascii="Book Antiqua" w:eastAsia="Book Antiqua" w:hAnsi="Book Antiqua" w:cs="Book Antiqua"/>
          <w:color w:val="000000"/>
          <w:szCs w:val="22"/>
        </w:rPr>
        <w:t>ancreatic ductal adenocarcinoma</w:t>
      </w:r>
      <w:r w:rsidR="00BA4DFD">
        <w:rPr>
          <w:rFonts w:ascii="Book Antiqua" w:eastAsia="Book Antiqua" w:hAnsi="Book Antiqua" w:cs="Book Antiqua"/>
          <w:color w:val="000000"/>
          <w:szCs w:val="22"/>
        </w:rPr>
        <w:t>.</w:t>
      </w:r>
    </w:p>
    <w:p w14:paraId="45F8DC9B" w14:textId="6E37A4FC" w:rsidR="00A77B3E" w:rsidRDefault="00BA4DFD">
      <w:pPr>
        <w:spacing w:line="360" w:lineRule="auto"/>
        <w:jc w:val="both"/>
      </w:pPr>
      <w:r>
        <w:rPr>
          <w:rFonts w:ascii="Book Antiqua" w:eastAsia="Book Antiqua" w:hAnsi="Book Antiqua" w:cs="Book Antiqua"/>
          <w:color w:val="000000"/>
          <w:szCs w:val="22"/>
        </w:rPr>
        <w:br w:type="page"/>
      </w:r>
      <w:r>
        <w:rPr>
          <w:noProof/>
          <w:lang w:eastAsia="zh-CN"/>
        </w:rPr>
        <w:lastRenderedPageBreak/>
        <w:drawing>
          <wp:inline distT="0" distB="0" distL="0" distR="0" wp14:anchorId="67C1544D" wp14:editId="28709E0D">
            <wp:extent cx="5943600" cy="31984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98495"/>
                    </a:xfrm>
                    <a:prstGeom prst="rect">
                      <a:avLst/>
                    </a:prstGeom>
                  </pic:spPr>
                </pic:pic>
              </a:graphicData>
            </a:graphic>
          </wp:inline>
        </w:drawing>
      </w:r>
    </w:p>
    <w:p w14:paraId="43C60EDB" w14:textId="0F79BAFB" w:rsidR="009F22BE" w:rsidRDefault="009819D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BA4DFD" w:rsidRPr="00BA4DFD">
        <w:rPr>
          <w:rFonts w:ascii="Book Antiqua" w:eastAsia="Book Antiqua" w:hAnsi="Book Antiqua" w:cs="Book Antiqua"/>
          <w:b/>
          <w:bCs/>
          <w:color w:val="000000"/>
        </w:rPr>
        <w:t xml:space="preserve"> Saposin C-dioleoylphosphatidylserine</w:t>
      </w:r>
      <w:r w:rsidRPr="00BA4DFD">
        <w:rPr>
          <w:rFonts w:ascii="Book Antiqua" w:eastAsia="Book Antiqua" w:hAnsi="Book Antiqua" w:cs="Book Antiqua"/>
          <w:b/>
          <w:bCs/>
          <w:color w:val="000000"/>
        </w:rPr>
        <w:t xml:space="preserve"> </w:t>
      </w:r>
      <w:r>
        <w:rPr>
          <w:rFonts w:ascii="Book Antiqua" w:eastAsia="Book Antiqua" w:hAnsi="Book Antiqua" w:cs="Book Antiqua"/>
          <w:b/>
          <w:bCs/>
          <w:color w:val="000000"/>
        </w:rPr>
        <w:t>targets pancreatic tumors.</w:t>
      </w:r>
      <w:r>
        <w:rPr>
          <w:rFonts w:ascii="Book Antiqua" w:eastAsia="Book Antiqua" w:hAnsi="Book Antiqua" w:cs="Book Antiqua"/>
          <w:color w:val="000000"/>
        </w:rPr>
        <w:t xml:space="preserve"> </w:t>
      </w:r>
      <w:r w:rsidR="00BA4DFD">
        <w:rPr>
          <w:rFonts w:ascii="Book Antiqua" w:eastAsia="Book Antiqua" w:hAnsi="Book Antiqua" w:cs="Book Antiqua"/>
          <w:color w:val="000000"/>
        </w:rPr>
        <w:t>Saposin C-dioleoylphosphatidylserine (</w:t>
      </w:r>
      <w:r>
        <w:rPr>
          <w:rFonts w:ascii="Book Antiqua" w:eastAsia="Book Antiqua" w:hAnsi="Book Antiqua" w:cs="Book Antiqua"/>
          <w:color w:val="000000"/>
        </w:rPr>
        <w:t>SapC-DOPS</w:t>
      </w:r>
      <w:r w:rsidR="00BA4DFD">
        <w:rPr>
          <w:rFonts w:ascii="Book Antiqua" w:eastAsia="Book Antiqua" w:hAnsi="Book Antiqua" w:cs="Book Antiqua"/>
          <w:color w:val="000000"/>
        </w:rPr>
        <w:t>)</w:t>
      </w:r>
      <w:r>
        <w:rPr>
          <w:rFonts w:ascii="Book Antiqua" w:eastAsia="Book Antiqua" w:hAnsi="Book Antiqua" w:cs="Book Antiqua"/>
          <w:color w:val="000000"/>
        </w:rPr>
        <w:t xml:space="preserve"> was fluorescently labeled with CellVue Maroon (CVM, a far red fluorescent probe) and injected into mice after pancreatic tumors were established from human cancer cells (cfPac-1-Luc3)</w:t>
      </w:r>
      <w:r w:rsidR="00BA4DFD">
        <w:rPr>
          <w:rFonts w:ascii="Book Antiqua" w:eastAsia="Book Antiqua" w:hAnsi="Book Antiqua" w:cs="Book Antiqua"/>
          <w:color w:val="000000"/>
        </w:rPr>
        <w:t xml:space="preserve"> (s</w:t>
      </w:r>
      <w:r>
        <w:rPr>
          <w:rFonts w:ascii="Book Antiqua" w:eastAsia="Book Antiqua" w:hAnsi="Book Antiqua" w:cs="Book Antiqua"/>
          <w:color w:val="000000"/>
        </w:rPr>
        <w:t>ee details in reference 2</w:t>
      </w:r>
      <w:r w:rsidR="00F36643">
        <w:rPr>
          <w:rFonts w:ascii="Book Antiqua" w:hAnsi="Book Antiqua" w:cs="Book Antiqua" w:hint="eastAsia"/>
          <w:color w:val="000000"/>
          <w:lang w:eastAsia="zh-CN"/>
        </w:rPr>
        <w:t>6</w:t>
      </w:r>
      <w:r w:rsidR="00BA4DFD">
        <w:rPr>
          <w:rFonts w:ascii="Book Antiqua" w:eastAsia="Book Antiqua" w:hAnsi="Book Antiqua" w:cs="Book Antiqua"/>
          <w:color w:val="000000"/>
        </w:rPr>
        <w:t>)</w:t>
      </w:r>
      <w:r w:rsidR="00BA4DFD" w:rsidRPr="00BA4DFD">
        <w:rPr>
          <w:rFonts w:ascii="Book Antiqua" w:eastAsia="Book Antiqua" w:hAnsi="Book Antiqua" w:cs="Book Antiqua"/>
          <w:color w:val="000000"/>
          <w:vertAlign w:val="superscript"/>
        </w:rPr>
        <w:t>[2</w:t>
      </w:r>
      <w:r w:rsidR="00F36643">
        <w:rPr>
          <w:rFonts w:ascii="Book Antiqua" w:hAnsi="Book Antiqua" w:cs="Book Antiqua" w:hint="eastAsia"/>
          <w:color w:val="000000"/>
          <w:vertAlign w:val="superscript"/>
          <w:lang w:eastAsia="zh-CN"/>
        </w:rPr>
        <w:t>6</w:t>
      </w:r>
      <w:r w:rsidR="00BA4DFD" w:rsidRPr="00BA4DFD">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Pr="00BA4DFD">
        <w:rPr>
          <w:rFonts w:ascii="Book Antiqua" w:eastAsia="Book Antiqua" w:hAnsi="Book Antiqua" w:cs="Book Antiqua"/>
          <w:color w:val="000000"/>
        </w:rPr>
        <w:t>A</w:t>
      </w:r>
      <w:r w:rsidR="00BA4DFD">
        <w:rPr>
          <w:rFonts w:ascii="Book Antiqua" w:eastAsia="Book Antiqua" w:hAnsi="Book Antiqua" w:cs="Book Antiqua"/>
          <w:color w:val="000000"/>
        </w:rPr>
        <w:t>:</w:t>
      </w:r>
      <w:r w:rsidRPr="00BA4DFD">
        <w:rPr>
          <w:rFonts w:ascii="Book Antiqua" w:eastAsia="Book Antiqua" w:hAnsi="Book Antiqua" w:cs="Book Antiqua"/>
          <w:color w:val="000000"/>
        </w:rPr>
        <w:t xml:space="preserve"> SapC-DOPS-CVM localized to the primary and lung metastatic tumors detected with </w:t>
      </w:r>
      <w:r w:rsidR="00BA4DFD" w:rsidRPr="00BA4DFD">
        <w:rPr>
          <w:rFonts w:ascii="Book Antiqua" w:eastAsia="Book Antiqua" w:hAnsi="Book Antiqua" w:cs="Book Antiqua"/>
          <w:color w:val="000000"/>
        </w:rPr>
        <w:t>intravascular ultrasound</w:t>
      </w:r>
      <w:r w:rsidRPr="00BA4DFD">
        <w:rPr>
          <w:rFonts w:ascii="Book Antiqua" w:eastAsia="Book Antiqua" w:hAnsi="Book Antiqua" w:cs="Book Antiqua"/>
          <w:color w:val="000000"/>
        </w:rPr>
        <w:t xml:space="preserve"> live animal imaging</w:t>
      </w:r>
      <w:r w:rsidR="00BA4DFD">
        <w:rPr>
          <w:rFonts w:ascii="Book Antiqua" w:eastAsia="Book Antiqua" w:hAnsi="Book Antiqua" w:cs="Book Antiqua"/>
          <w:color w:val="000000"/>
        </w:rPr>
        <w:t>;</w:t>
      </w:r>
      <w:r w:rsidRPr="00BA4DFD">
        <w:rPr>
          <w:rFonts w:ascii="Book Antiqua" w:eastAsia="Book Antiqua" w:hAnsi="Book Antiqua" w:cs="Book Antiqua"/>
          <w:color w:val="000000"/>
        </w:rPr>
        <w:t xml:space="preserve"> B</w:t>
      </w:r>
      <w:r w:rsidR="00BA4DFD">
        <w:rPr>
          <w:rFonts w:ascii="Book Antiqua" w:eastAsia="Book Antiqua" w:hAnsi="Book Antiqua" w:cs="Book Antiqua"/>
          <w:color w:val="000000"/>
        </w:rPr>
        <w:t>:</w:t>
      </w:r>
      <w:r w:rsidRPr="00BA4DFD">
        <w:rPr>
          <w:rFonts w:ascii="Book Antiqua" w:eastAsia="Book Antiqua" w:hAnsi="Book Antiqua" w:cs="Book Antiqua"/>
          <w:color w:val="000000"/>
        </w:rPr>
        <w:t xml:space="preserve"> Tumors, established from human MiaPaCa-2 cells, and normal pancreata of SapC-DOPS-CVM-injected mice were isolated and prepared for fluorescent microscopy.</w:t>
      </w:r>
      <w:r w:rsidR="00BA4DFD">
        <w:rPr>
          <w:rFonts w:ascii="Book Antiqua" w:eastAsia="Book Antiqua" w:hAnsi="Book Antiqua" w:cs="Book Antiqua"/>
          <w:color w:val="000000"/>
        </w:rPr>
        <w:t xml:space="preserve"> </w:t>
      </w:r>
      <w:r w:rsidRPr="00BA4DFD">
        <w:rPr>
          <w:rFonts w:ascii="Book Antiqua" w:eastAsia="Book Antiqua" w:hAnsi="Book Antiqua" w:cs="Book Antiqua"/>
          <w:color w:val="000000"/>
        </w:rPr>
        <w:t>The slides, after staining with DAPI (blue) to detect nuclei, show accumulation of SapC-DOPS-CVM in the tumors.</w:t>
      </w:r>
      <w:r w:rsidR="00BA4DFD">
        <w:rPr>
          <w:rFonts w:ascii="Book Antiqua" w:eastAsia="Book Antiqua" w:hAnsi="Book Antiqua" w:cs="Book Antiqua"/>
          <w:color w:val="000000"/>
        </w:rPr>
        <w:t xml:space="preserve"> </w:t>
      </w:r>
      <w:r w:rsidRPr="00BA4DFD">
        <w:rPr>
          <w:rFonts w:ascii="Book Antiqua" w:eastAsia="Book Antiqua" w:hAnsi="Book Antiqua" w:cs="Book Antiqua"/>
          <w:color w:val="000000"/>
        </w:rPr>
        <w:t xml:space="preserve">Note preferential SapC-DOPS labeling of ductal structures </w:t>
      </w:r>
      <w:r w:rsidR="00F36643" w:rsidRPr="00F36643">
        <w:rPr>
          <w:rFonts w:ascii="Book Antiqua" w:eastAsia="Book Antiqua" w:hAnsi="Book Antiqua" w:cs="Book Antiqua"/>
          <w:color w:val="000000"/>
        </w:rPr>
        <w:t xml:space="preserve">(arrows) </w:t>
      </w:r>
      <w:r w:rsidRPr="00BA4DFD">
        <w:rPr>
          <w:rFonts w:ascii="Book Antiqua" w:eastAsia="Book Antiqua" w:hAnsi="Book Antiqua" w:cs="Book Antiqua"/>
          <w:color w:val="000000"/>
        </w:rPr>
        <w:t xml:space="preserve">in </w:t>
      </w:r>
      <w:bookmarkStart w:id="5" w:name="_Hlk71271090"/>
      <w:r w:rsidR="009F22BE" w:rsidRPr="009F22BE">
        <w:rPr>
          <w:rFonts w:ascii="Book Antiqua" w:eastAsia="Book Antiqua" w:hAnsi="Book Antiqua" w:cs="Book Antiqua"/>
          <w:color w:val="000000"/>
        </w:rPr>
        <w:t>pancreatic ductal adenocarcinoma</w:t>
      </w:r>
      <w:bookmarkEnd w:id="5"/>
      <w:r w:rsidR="009F22BE" w:rsidRPr="009F22BE">
        <w:rPr>
          <w:rFonts w:ascii="Book Antiqua" w:eastAsia="Book Antiqua" w:hAnsi="Book Antiqua" w:cs="Book Antiqua"/>
          <w:color w:val="000000"/>
        </w:rPr>
        <w:t xml:space="preserve"> (PDAC)</w:t>
      </w:r>
      <w:r w:rsidRPr="00BA4DFD">
        <w:rPr>
          <w:rFonts w:ascii="Book Antiqua" w:eastAsia="Book Antiqua" w:hAnsi="Book Antiqua" w:cs="Book Antiqua"/>
          <w:color w:val="000000"/>
        </w:rPr>
        <w:t xml:space="preserve">, and minimal binding to normal pancreas. SapC-DOPS is binding </w:t>
      </w:r>
      <w:bookmarkStart w:id="6" w:name="_Hlk71271370"/>
      <w:r w:rsidR="00BA4DFD" w:rsidRPr="00BA4DFD">
        <w:rPr>
          <w:rFonts w:ascii="Book Antiqua" w:eastAsia="Book Antiqua" w:hAnsi="Book Antiqua" w:cs="Book Antiqua"/>
          <w:color w:val="000000"/>
        </w:rPr>
        <w:t>phosphatidylserine</w:t>
      </w:r>
      <w:bookmarkEnd w:id="6"/>
      <w:r w:rsidR="00BA4DFD" w:rsidRPr="00BA4DFD">
        <w:rPr>
          <w:rFonts w:ascii="Book Antiqua" w:eastAsia="Book Antiqua" w:hAnsi="Book Antiqua" w:cs="Book Antiqua"/>
          <w:color w:val="000000"/>
        </w:rPr>
        <w:t xml:space="preserve"> (PS)</w:t>
      </w:r>
      <w:r w:rsidRPr="00BA4DFD">
        <w:rPr>
          <w:rFonts w:ascii="Book Antiqua" w:eastAsia="Book Antiqua" w:hAnsi="Book Antiqua" w:cs="Book Antiqua"/>
          <w:color w:val="000000"/>
        </w:rPr>
        <w:t xml:space="preserve"> on the cancer cell surfaces as prior treatment with lactadherin, a PS binding protein, eliminates subsequent binding of SapC-DOPS</w:t>
      </w:r>
      <w:r w:rsidR="00BA4DFD">
        <w:rPr>
          <w:rFonts w:ascii="Book Antiqua" w:eastAsia="Book Antiqua" w:hAnsi="Book Antiqua" w:cs="Book Antiqua"/>
          <w:color w:val="000000"/>
        </w:rPr>
        <w:t>;</w:t>
      </w:r>
      <w:r w:rsidRPr="00BA4DFD">
        <w:rPr>
          <w:rFonts w:ascii="Book Antiqua" w:eastAsia="Book Antiqua" w:hAnsi="Book Antiqua" w:cs="Book Antiqua"/>
          <w:color w:val="000000"/>
        </w:rPr>
        <w:t xml:space="preserve"> C</w:t>
      </w:r>
      <w:r w:rsidR="00BA4DFD">
        <w:rPr>
          <w:rFonts w:ascii="Book Antiqua" w:eastAsia="Book Antiqua" w:hAnsi="Book Antiqua" w:cs="Book Antiqua"/>
          <w:color w:val="000000"/>
        </w:rPr>
        <w:t>:</w:t>
      </w:r>
      <w:r w:rsidRPr="00BA4DFD">
        <w:rPr>
          <w:rFonts w:ascii="Book Antiqua" w:eastAsia="Book Antiqua" w:hAnsi="Book Antiqua" w:cs="Book Antiqua"/>
          <w:color w:val="000000"/>
        </w:rPr>
        <w:t xml:space="preserve"> Frozen</w:t>
      </w:r>
      <w:r>
        <w:rPr>
          <w:rFonts w:ascii="Book Antiqua" w:eastAsia="Book Antiqua" w:hAnsi="Book Antiqua" w:cs="Book Antiqua"/>
          <w:color w:val="000000"/>
        </w:rPr>
        <w:t>, unfixed sections from murine PDAC and matched normal pancreas tissues were incubated with SapC-DOPS-CVM nanovesicles for 20 min, counterstained with DAPI and mounted. The ovals localize the PDAC tumor.</w:t>
      </w:r>
      <w:r w:rsidR="009F22BE">
        <w:rPr>
          <w:rFonts w:ascii="Book Antiqua" w:eastAsia="Book Antiqua" w:hAnsi="Book Antiqua" w:cs="Book Antiqua"/>
          <w:color w:val="000000"/>
        </w:rPr>
        <w:t xml:space="preserve"> SapC-</w:t>
      </w:r>
      <w:r w:rsidR="009F22BE">
        <w:rPr>
          <w:rFonts w:ascii="Book Antiqua" w:eastAsia="Book Antiqua" w:hAnsi="Book Antiqua" w:cs="Book Antiqua"/>
          <w:color w:val="000000"/>
        </w:rPr>
        <w:lastRenderedPageBreak/>
        <w:t>DOPS: Saposin C-dioleoylphosphatidylserine; CVM: CellVue Maroon; Mets: M</w:t>
      </w:r>
      <w:r w:rsidR="009F22BE" w:rsidRPr="00BA4DFD">
        <w:rPr>
          <w:rFonts w:ascii="Book Antiqua" w:eastAsia="Book Antiqua" w:hAnsi="Book Antiqua" w:cs="Book Antiqua"/>
          <w:color w:val="000000"/>
        </w:rPr>
        <w:t>etastatic tumors</w:t>
      </w:r>
      <w:r w:rsidR="009F22BE">
        <w:rPr>
          <w:rFonts w:ascii="Book Antiqua" w:eastAsia="Book Antiqua" w:hAnsi="Book Antiqua" w:cs="Book Antiqua"/>
          <w:color w:val="000000"/>
        </w:rPr>
        <w:t>; PDAC: P</w:t>
      </w:r>
      <w:r w:rsidR="009F22BE" w:rsidRPr="009F22BE">
        <w:rPr>
          <w:rFonts w:ascii="Book Antiqua" w:eastAsia="Book Antiqua" w:hAnsi="Book Antiqua" w:cs="Book Antiqua"/>
          <w:color w:val="000000"/>
        </w:rPr>
        <w:t>ancreatic ductal adenocarcinoma</w:t>
      </w:r>
      <w:r w:rsidR="009F22BE">
        <w:rPr>
          <w:rFonts w:ascii="Book Antiqua" w:eastAsia="Book Antiqua" w:hAnsi="Book Antiqua" w:cs="Book Antiqua"/>
          <w:color w:val="000000"/>
        </w:rPr>
        <w:t>.</w:t>
      </w:r>
    </w:p>
    <w:p w14:paraId="1E478F2E" w14:textId="05C6B245" w:rsidR="00A77B3E" w:rsidRDefault="009F22BE">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32B1C22E" wp14:editId="687332A1">
            <wp:extent cx="4262469" cy="2847996"/>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2469" cy="2847996"/>
                    </a:xfrm>
                    <a:prstGeom prst="rect">
                      <a:avLst/>
                    </a:prstGeom>
                  </pic:spPr>
                </pic:pic>
              </a:graphicData>
            </a:graphic>
          </wp:inline>
        </w:drawing>
      </w:r>
    </w:p>
    <w:p w14:paraId="2034C958" w14:textId="6E4E2FB0" w:rsidR="009F22BE" w:rsidRDefault="009819D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9F22BE">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Sequential treatment of </w:t>
      </w:r>
      <w:r w:rsidR="009F22BE" w:rsidRPr="009F22BE">
        <w:rPr>
          <w:rFonts w:ascii="Book Antiqua" w:eastAsia="Book Antiqua" w:hAnsi="Book Antiqua" w:cs="Book Antiqua"/>
          <w:b/>
          <w:bCs/>
          <w:color w:val="000000"/>
        </w:rPr>
        <w:t>pancreatic ductal adenocarcinoma</w:t>
      </w:r>
      <w:r>
        <w:rPr>
          <w:rFonts w:ascii="Book Antiqua" w:eastAsia="Book Antiqua" w:hAnsi="Book Antiqua" w:cs="Book Antiqua"/>
          <w:b/>
          <w:bCs/>
          <w:color w:val="000000"/>
        </w:rPr>
        <w:t xml:space="preserve"> cells with </w:t>
      </w:r>
      <w:r w:rsidR="009F22BE">
        <w:rPr>
          <w:rFonts w:ascii="Book Antiqua" w:eastAsia="Book Antiqua" w:hAnsi="Book Antiqua" w:cs="Book Antiqua"/>
          <w:b/>
          <w:bCs/>
          <w:color w:val="000000"/>
        </w:rPr>
        <w:t>s</w:t>
      </w:r>
      <w:r w:rsidR="009F22BE" w:rsidRPr="00BA4DFD">
        <w:rPr>
          <w:rFonts w:ascii="Book Antiqua" w:eastAsia="Book Antiqua" w:hAnsi="Book Antiqua" w:cs="Book Antiqua"/>
          <w:b/>
          <w:bCs/>
          <w:color w:val="000000"/>
        </w:rPr>
        <w:t>aposin C-dioleoylphosphatidylserine</w:t>
      </w:r>
      <w:r>
        <w:rPr>
          <w:rFonts w:ascii="Book Antiqua" w:eastAsia="Book Antiqua" w:hAnsi="Book Antiqua" w:cs="Book Antiqua"/>
          <w:b/>
          <w:bCs/>
          <w:color w:val="000000"/>
        </w:rPr>
        <w:t xml:space="preserve"> nanodrug and </w:t>
      </w:r>
      <w:r w:rsidR="009F22BE" w:rsidRPr="009F22BE">
        <w:rPr>
          <w:rFonts w:ascii="Book Antiqua" w:eastAsia="Book Antiqua" w:hAnsi="Book Antiqua" w:cs="Book Antiqua"/>
          <w:b/>
          <w:bCs/>
          <w:color w:val="000000"/>
        </w:rPr>
        <w:t>gemcitabine</w:t>
      </w:r>
      <w:r>
        <w:rPr>
          <w:rFonts w:ascii="Book Antiqua" w:eastAsia="Book Antiqua" w:hAnsi="Book Antiqua" w:cs="Book Antiqua"/>
          <w:b/>
          <w:bCs/>
          <w:color w:val="000000"/>
        </w:rPr>
        <w:t>.</w:t>
      </w:r>
      <w:r>
        <w:rPr>
          <w:rFonts w:ascii="Book Antiqua" w:eastAsia="Book Antiqua" w:hAnsi="Book Antiqua" w:cs="Book Antiqua"/>
          <w:color w:val="000000"/>
        </w:rPr>
        <w:t xml:space="preserve"> MiaPaCa-2 cells were treated with </w:t>
      </w:r>
      <w:r w:rsidR="009F22BE">
        <w:rPr>
          <w:rFonts w:ascii="Book Antiqua" w:eastAsia="Book Antiqua" w:hAnsi="Book Antiqua" w:cs="Book Antiqua"/>
          <w:color w:val="000000"/>
        </w:rPr>
        <w:t>saposin C-dioleoylphosphatidylserine (SapC-DOPS)</w:t>
      </w:r>
      <w:r>
        <w:rPr>
          <w:rFonts w:ascii="Book Antiqua" w:eastAsia="Book Antiqua" w:hAnsi="Book Antiqua" w:cs="Book Antiqua"/>
          <w:color w:val="000000"/>
        </w:rPr>
        <w:t xml:space="preserve"> (25 µ</w:t>
      </w:r>
      <w:r w:rsidR="009F22BE">
        <w:rPr>
          <w:rFonts w:ascii="Book Antiqua" w:eastAsia="Book Antiqua" w:hAnsi="Book Antiqua" w:cs="Book Antiqua"/>
          <w:color w:val="000000"/>
        </w:rPr>
        <w:t>mol/L</w:t>
      </w:r>
      <w:r>
        <w:rPr>
          <w:rFonts w:ascii="Book Antiqua" w:eastAsia="Book Antiqua" w:hAnsi="Book Antiqua" w:cs="Book Antiqua"/>
          <w:color w:val="000000"/>
        </w:rPr>
        <w:t xml:space="preserve">) alone, </w:t>
      </w:r>
      <w:r w:rsidR="009F22BE">
        <w:rPr>
          <w:rFonts w:ascii="Book Antiqua" w:eastAsia="Book Antiqua" w:hAnsi="Book Antiqua" w:cs="Book Antiqua"/>
          <w:color w:val="000000"/>
        </w:rPr>
        <w:t>gemcitabine (</w:t>
      </w:r>
      <w:r>
        <w:rPr>
          <w:rFonts w:ascii="Book Antiqua" w:eastAsia="Book Antiqua" w:hAnsi="Book Antiqua" w:cs="Book Antiqua"/>
          <w:color w:val="000000"/>
        </w:rPr>
        <w:t>GEM</w:t>
      </w:r>
      <w:r w:rsidR="009F22BE">
        <w:rPr>
          <w:rFonts w:ascii="Book Antiqua" w:eastAsia="Book Antiqua" w:hAnsi="Book Antiqua" w:cs="Book Antiqua"/>
          <w:color w:val="000000"/>
        </w:rPr>
        <w:t>)</w:t>
      </w:r>
      <w:r>
        <w:rPr>
          <w:rFonts w:ascii="Book Antiqua" w:eastAsia="Book Antiqua" w:hAnsi="Book Antiqua" w:cs="Book Antiqua"/>
          <w:color w:val="000000"/>
        </w:rPr>
        <w:t xml:space="preserve"> (50 n</w:t>
      </w:r>
      <w:r w:rsidR="009F22BE">
        <w:rPr>
          <w:rFonts w:ascii="Book Antiqua" w:eastAsia="Book Antiqua" w:hAnsi="Book Antiqua" w:cs="Book Antiqua"/>
          <w:color w:val="000000"/>
        </w:rPr>
        <w:t>mol/L</w:t>
      </w:r>
      <w:r>
        <w:rPr>
          <w:rFonts w:ascii="Book Antiqua" w:eastAsia="Book Antiqua" w:hAnsi="Book Antiqua" w:cs="Book Antiqua"/>
          <w:color w:val="000000"/>
        </w:rPr>
        <w:t xml:space="preserve">) alone or in combination. Cells were seeded onto 96 well plates and the next day were exposed to drugs. In the left grouping SapC-DOPS was added for 48 h, the cells were washed twice then incubated with GEM for 24 h. In the right grouping the cells were treated with GEM for 24 h, washed twice and SapC-DOPS was added for 48 h. Untreated cells remained in the media for 72 h. After the 72 h incubation, the MTT cell viability assay was performed. Data are presented as the mean ± </w:t>
      </w:r>
      <w:r w:rsidR="009F22BE">
        <w:rPr>
          <w:rFonts w:ascii="Book Antiqua" w:eastAsia="Book Antiqua" w:hAnsi="Book Antiqua" w:cs="Book Antiqua"/>
          <w:color w:val="000000"/>
        </w:rPr>
        <w:t>SE</w:t>
      </w:r>
      <w:r>
        <w:rPr>
          <w:rFonts w:ascii="Book Antiqua" w:eastAsia="Book Antiqua" w:hAnsi="Book Antiqua" w:cs="Book Antiqua"/>
          <w:color w:val="000000"/>
        </w:rPr>
        <w:t xml:space="preserve"> of the mean, and were compared between two groups using </w:t>
      </w:r>
      <w:r w:rsidRPr="009F22BE">
        <w:rPr>
          <w:rFonts w:ascii="Book Antiqua" w:eastAsia="Book Antiqua" w:hAnsi="Book Antiqua" w:cs="Book Antiqua"/>
          <w:i/>
          <w:iCs/>
          <w:color w:val="000000"/>
        </w:rPr>
        <w:t>t</w:t>
      </w:r>
      <w:r>
        <w:rPr>
          <w:rFonts w:ascii="Book Antiqua" w:eastAsia="Book Antiqua" w:hAnsi="Book Antiqua" w:cs="Book Antiqua"/>
          <w:color w:val="000000"/>
        </w:rPr>
        <w:t xml:space="preserve">-test. </w:t>
      </w:r>
      <w:r>
        <w:rPr>
          <w:rFonts w:ascii="Book Antiqua" w:eastAsia="Book Antiqua" w:hAnsi="Book Antiqua" w:cs="Book Antiqua"/>
          <w:color w:val="000000"/>
          <w:szCs w:val="30"/>
          <w:vertAlign w:val="superscript"/>
        </w:rPr>
        <w:t>a</w:t>
      </w:r>
      <w:r w:rsidRPr="009F22BE">
        <w:rPr>
          <w:rFonts w:ascii="Book Antiqua" w:eastAsia="Book Antiqua" w:hAnsi="Book Antiqua" w:cs="Book Antiqua"/>
          <w:i/>
          <w:iCs/>
          <w:color w:val="000000"/>
        </w:rPr>
        <w:t>P</w:t>
      </w:r>
      <w:r w:rsidR="009F22BE">
        <w:rPr>
          <w:rFonts w:ascii="Book Antiqua" w:eastAsia="Book Antiqua" w:hAnsi="Book Antiqua" w:cs="Book Antiqua"/>
          <w:color w:val="000000"/>
        </w:rPr>
        <w:t xml:space="preserve"> </w:t>
      </w:r>
      <w:r>
        <w:rPr>
          <w:rFonts w:ascii="Book Antiqua" w:eastAsia="Book Antiqua" w:hAnsi="Book Antiqua" w:cs="Book Antiqua"/>
          <w:color w:val="000000"/>
        </w:rPr>
        <w:t>&lt;</w:t>
      </w:r>
      <w:r w:rsidR="009F22BE">
        <w:rPr>
          <w:rFonts w:ascii="Book Antiqua" w:eastAsia="Book Antiqua" w:hAnsi="Book Antiqua" w:cs="Book Antiqua"/>
          <w:color w:val="000000"/>
        </w:rPr>
        <w:t xml:space="preserve"> </w:t>
      </w:r>
      <w:r>
        <w:rPr>
          <w:rFonts w:ascii="Book Antiqua" w:eastAsia="Book Antiqua" w:hAnsi="Book Antiqua" w:cs="Book Antiqua"/>
          <w:color w:val="000000"/>
        </w:rPr>
        <w:t xml:space="preserve">0.05 and </w:t>
      </w:r>
      <w:r>
        <w:rPr>
          <w:rFonts w:ascii="Book Antiqua" w:eastAsia="Book Antiqua" w:hAnsi="Book Antiqua" w:cs="Book Antiqua"/>
          <w:color w:val="000000"/>
          <w:szCs w:val="30"/>
          <w:vertAlign w:val="superscript"/>
        </w:rPr>
        <w:t>b</w:t>
      </w:r>
      <w:r w:rsidRPr="009F22BE">
        <w:rPr>
          <w:rFonts w:ascii="Book Antiqua" w:eastAsia="Book Antiqua" w:hAnsi="Book Antiqua" w:cs="Book Antiqua"/>
          <w:i/>
          <w:iCs/>
          <w:color w:val="000000"/>
        </w:rPr>
        <w:t>P</w:t>
      </w:r>
      <w:r w:rsidR="009F22BE">
        <w:rPr>
          <w:rFonts w:ascii="Book Antiqua" w:eastAsia="Book Antiqua" w:hAnsi="Book Antiqua" w:cs="Book Antiqua"/>
          <w:color w:val="000000"/>
        </w:rPr>
        <w:t xml:space="preserve"> </w:t>
      </w:r>
      <w:r>
        <w:rPr>
          <w:rFonts w:ascii="Book Antiqua" w:eastAsia="Book Antiqua" w:hAnsi="Book Antiqua" w:cs="Book Antiqua"/>
          <w:color w:val="000000"/>
        </w:rPr>
        <w:t>&lt;</w:t>
      </w:r>
      <w:r w:rsidR="009F22BE">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r>
        <w:rPr>
          <w:rFonts w:ascii="Book Antiqua" w:eastAsia="Book Antiqua" w:hAnsi="Book Antiqua" w:cs="Book Antiqua"/>
          <w:i/>
          <w:iCs/>
          <w:color w:val="000000"/>
        </w:rPr>
        <w:t>vs</w:t>
      </w:r>
      <w:r>
        <w:rPr>
          <w:rFonts w:ascii="Book Antiqua" w:eastAsia="Book Antiqua" w:hAnsi="Book Antiqua" w:cs="Book Antiqua"/>
          <w:color w:val="000000"/>
        </w:rPr>
        <w:t xml:space="preserve"> combination group; </w:t>
      </w:r>
      <w:r>
        <w:rPr>
          <w:rFonts w:ascii="Book Antiqua" w:eastAsia="Book Antiqua" w:hAnsi="Book Antiqua" w:cs="Book Antiqua"/>
          <w:color w:val="000000"/>
          <w:szCs w:val="30"/>
          <w:vertAlign w:val="superscript"/>
        </w:rPr>
        <w:t>d</w:t>
      </w:r>
      <w:r w:rsidRPr="009F22BE">
        <w:rPr>
          <w:rFonts w:ascii="Book Antiqua" w:eastAsia="Book Antiqua" w:hAnsi="Book Antiqua" w:cs="Book Antiqua"/>
          <w:i/>
          <w:iCs/>
          <w:color w:val="000000"/>
        </w:rPr>
        <w:t>P</w:t>
      </w:r>
      <w:r w:rsidR="009F22BE">
        <w:rPr>
          <w:rFonts w:ascii="Book Antiqua" w:eastAsia="Book Antiqua" w:hAnsi="Book Antiqua" w:cs="Book Antiqua"/>
          <w:color w:val="000000"/>
        </w:rPr>
        <w:t xml:space="preserve"> </w:t>
      </w:r>
      <w:r>
        <w:rPr>
          <w:rFonts w:ascii="Book Antiqua" w:eastAsia="Book Antiqua" w:hAnsi="Book Antiqua" w:cs="Book Antiqua"/>
          <w:color w:val="000000"/>
        </w:rPr>
        <w:t>&lt;</w:t>
      </w:r>
      <w:r w:rsidR="009F22BE">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r>
        <w:rPr>
          <w:rFonts w:ascii="Book Antiqua" w:eastAsia="Book Antiqua" w:hAnsi="Book Antiqua" w:cs="Book Antiqua"/>
          <w:i/>
          <w:iCs/>
          <w:color w:val="000000"/>
        </w:rPr>
        <w:t>vs</w:t>
      </w:r>
      <w:r>
        <w:rPr>
          <w:rFonts w:ascii="Book Antiqua" w:eastAsia="Book Antiqua" w:hAnsi="Book Antiqua" w:cs="Book Antiqua"/>
          <w:color w:val="000000"/>
        </w:rPr>
        <w:t xml:space="preserve"> combination group.</w:t>
      </w:r>
      <w:r w:rsidR="009F22BE">
        <w:rPr>
          <w:rFonts w:ascii="Book Antiqua" w:eastAsia="Book Antiqua" w:hAnsi="Book Antiqua" w:cs="Book Antiqua"/>
          <w:color w:val="000000"/>
        </w:rPr>
        <w:t xml:space="preserve"> GEM: Gemcitabine; SapC-DOPS: Saposin C-dioleoylphosphatidylserine.</w:t>
      </w:r>
    </w:p>
    <w:p w14:paraId="2245E425" w14:textId="3304768E" w:rsidR="00A77B3E" w:rsidRDefault="009F22BE">
      <w:pPr>
        <w:spacing w:line="360" w:lineRule="auto"/>
        <w:jc w:val="both"/>
      </w:pPr>
      <w:r>
        <w:rPr>
          <w:rFonts w:ascii="Book Antiqua" w:eastAsia="Book Antiqua" w:hAnsi="Book Antiqua" w:cs="Book Antiqua"/>
          <w:color w:val="000000"/>
        </w:rPr>
        <w:br w:type="page"/>
      </w:r>
      <w:r w:rsidR="007833CE">
        <w:rPr>
          <w:noProof/>
          <w:lang w:eastAsia="zh-CN"/>
        </w:rPr>
        <w:lastRenderedPageBreak/>
        <w:drawing>
          <wp:inline distT="0" distB="0" distL="0" distR="0" wp14:anchorId="4D44EE91" wp14:editId="298266E2">
            <wp:extent cx="5943600" cy="40278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027805"/>
                    </a:xfrm>
                    <a:prstGeom prst="rect">
                      <a:avLst/>
                    </a:prstGeom>
                  </pic:spPr>
                </pic:pic>
              </a:graphicData>
            </a:graphic>
          </wp:inline>
        </w:drawing>
      </w:r>
    </w:p>
    <w:p w14:paraId="241CEA05" w14:textId="42E8D46E" w:rsidR="007846A4" w:rsidRDefault="009819D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9F22BE">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Variable surface </w:t>
      </w:r>
      <w:r w:rsidR="009F22BE" w:rsidRPr="009F22BE">
        <w:rPr>
          <w:rFonts w:ascii="Book Antiqua" w:eastAsia="Book Antiqua" w:hAnsi="Book Antiqua" w:cs="Book Antiqua"/>
          <w:b/>
          <w:bCs/>
          <w:color w:val="000000"/>
        </w:rPr>
        <w:t>phosphatidylserine</w:t>
      </w:r>
      <w:r>
        <w:rPr>
          <w:rFonts w:ascii="Book Antiqua" w:eastAsia="Book Antiqua" w:hAnsi="Book Antiqua" w:cs="Book Antiqua"/>
          <w:b/>
          <w:bCs/>
          <w:color w:val="000000"/>
        </w:rPr>
        <w:t xml:space="preserve"> on </w:t>
      </w:r>
      <w:bookmarkStart w:id="7" w:name="_Hlk71271476"/>
      <w:r w:rsidR="009F22BE" w:rsidRPr="009F22BE">
        <w:rPr>
          <w:rFonts w:ascii="Book Antiqua" w:eastAsia="Book Antiqua" w:hAnsi="Book Antiqua" w:cs="Book Antiqua"/>
          <w:b/>
          <w:bCs/>
          <w:color w:val="000000"/>
        </w:rPr>
        <w:t>pancreatic ductal adenocarcinoma</w:t>
      </w:r>
      <w:bookmarkEnd w:id="7"/>
      <w:r>
        <w:rPr>
          <w:rFonts w:ascii="Book Antiqua" w:eastAsia="Book Antiqua" w:hAnsi="Book Antiqua" w:cs="Book Antiqua"/>
          <w:b/>
          <w:bCs/>
          <w:color w:val="000000"/>
        </w:rPr>
        <w:t xml:space="preserve"> tumor cells are sensitive to </w:t>
      </w:r>
      <w:r w:rsidR="009F22BE" w:rsidRPr="009F22BE">
        <w:rPr>
          <w:rFonts w:ascii="Book Antiqua" w:eastAsia="Book Antiqua" w:hAnsi="Book Antiqua" w:cs="Book Antiqua"/>
          <w:b/>
          <w:bCs/>
          <w:color w:val="000000"/>
        </w:rPr>
        <w:t>phosphatidylserine</w:t>
      </w:r>
      <w:r>
        <w:rPr>
          <w:rFonts w:ascii="Book Antiqua" w:eastAsia="Book Antiqua" w:hAnsi="Book Antiqua" w:cs="Book Antiqua"/>
          <w:b/>
          <w:bCs/>
          <w:color w:val="000000"/>
        </w:rPr>
        <w:t xml:space="preserve">-selective treatments. </w:t>
      </w:r>
      <w:r>
        <w:rPr>
          <w:rFonts w:ascii="Book Antiqua" w:eastAsia="Book Antiqua" w:hAnsi="Book Antiqua" w:cs="Book Antiqua"/>
          <w:color w:val="000000"/>
        </w:rPr>
        <w:t xml:space="preserve">Chemotherapy and radiation target primarily low surface </w:t>
      </w:r>
      <w:r w:rsidR="009F22BE" w:rsidRPr="00BA4DFD">
        <w:rPr>
          <w:rFonts w:ascii="Book Antiqua" w:eastAsia="Book Antiqua" w:hAnsi="Book Antiqua" w:cs="Book Antiqua"/>
          <w:color w:val="000000"/>
        </w:rPr>
        <w:t>phosphatidylserine</w:t>
      </w:r>
      <w:r w:rsidR="009F22BE">
        <w:rPr>
          <w:rFonts w:ascii="Book Antiqua" w:eastAsia="Book Antiqua" w:hAnsi="Book Antiqua" w:cs="Book Antiqua"/>
          <w:color w:val="000000"/>
        </w:rPr>
        <w:t xml:space="preserve"> (</w:t>
      </w:r>
      <w:r>
        <w:rPr>
          <w:rFonts w:ascii="Book Antiqua" w:eastAsia="Book Antiqua" w:hAnsi="Book Antiqua" w:cs="Book Antiqua"/>
          <w:color w:val="000000"/>
        </w:rPr>
        <w:t>PS</w:t>
      </w:r>
      <w:r w:rsidR="009F22BE">
        <w:rPr>
          <w:rFonts w:ascii="Book Antiqua" w:eastAsia="Book Antiqua" w:hAnsi="Book Antiqua" w:cs="Book Antiqua"/>
          <w:color w:val="000000"/>
        </w:rPr>
        <w:t>)</w:t>
      </w:r>
      <w:r>
        <w:rPr>
          <w:rFonts w:ascii="Book Antiqua" w:eastAsia="Book Antiqua" w:hAnsi="Book Antiqua" w:cs="Book Antiqua"/>
          <w:color w:val="000000"/>
        </w:rPr>
        <w:t xml:space="preserve"> cells and may increase PS. </w:t>
      </w:r>
      <w:r w:rsidR="009F22BE">
        <w:rPr>
          <w:rFonts w:ascii="Book Antiqua" w:eastAsia="Book Antiqua" w:hAnsi="Book Antiqua" w:cs="Book Antiqua"/>
          <w:color w:val="000000"/>
        </w:rPr>
        <w:t>Saposin C-dioleoylphosphatidylserine (SapC-DOPS)</w:t>
      </w:r>
      <w:r>
        <w:rPr>
          <w:rFonts w:ascii="Book Antiqua" w:eastAsia="Book Antiqua" w:hAnsi="Book Antiqua" w:cs="Book Antiqua"/>
          <w:color w:val="000000"/>
        </w:rPr>
        <w:t xml:space="preserve"> hones in on high surface PS cells in the acidic</w:t>
      </w:r>
      <w:r w:rsidR="003C4975">
        <w:rPr>
          <w:rFonts w:ascii="Book Antiqua" w:eastAsia="Book Antiqua" w:hAnsi="Book Antiqua" w:cs="Book Antiqua"/>
          <w:color w:val="000000"/>
        </w:rPr>
        <w:t xml:space="preserve"> tumor microenvironment.</w:t>
      </w:r>
      <w:r w:rsidR="00EF0058">
        <w:rPr>
          <w:rFonts w:ascii="Book Antiqua" w:eastAsia="Book Antiqua" w:hAnsi="Book Antiqua" w:cs="Book Antiqua"/>
          <w:color w:val="000000"/>
        </w:rPr>
        <w:t xml:space="preserve"> </w:t>
      </w:r>
      <w:r>
        <w:rPr>
          <w:rFonts w:ascii="Book Antiqua" w:eastAsia="Book Antiqua" w:hAnsi="Book Antiqua" w:cs="Book Antiqua"/>
          <w:color w:val="000000"/>
        </w:rPr>
        <w:t>Thus, a combination of chemotherapy and/or radiation therapy and SapC-DOPS has the potential to eliminate the preponderance of tumor cells.</w:t>
      </w:r>
      <w:r w:rsidR="009F22BE">
        <w:rPr>
          <w:rFonts w:ascii="Book Antiqua" w:eastAsia="Book Antiqua" w:hAnsi="Book Antiqua" w:cs="Book Antiqua"/>
          <w:color w:val="000000"/>
        </w:rPr>
        <w:t xml:space="preserve"> PDAC: P</w:t>
      </w:r>
      <w:r w:rsidR="009F22BE" w:rsidRPr="009F22BE">
        <w:rPr>
          <w:rFonts w:ascii="Book Antiqua" w:eastAsia="Book Antiqua" w:hAnsi="Book Antiqua" w:cs="Book Antiqua"/>
          <w:color w:val="000000"/>
        </w:rPr>
        <w:t>ancreatic ductal adenocarcinoma</w:t>
      </w:r>
      <w:r w:rsidR="00D748BA">
        <w:rPr>
          <w:rFonts w:ascii="Book Antiqua" w:eastAsia="Book Antiqua" w:hAnsi="Book Antiqua" w:cs="Book Antiqua"/>
          <w:color w:val="000000"/>
        </w:rPr>
        <w:t>.</w:t>
      </w:r>
    </w:p>
    <w:p w14:paraId="24386B04" w14:textId="693F7995" w:rsidR="00A77B3E" w:rsidRPr="006B3728" w:rsidRDefault="007846A4">
      <w:pPr>
        <w:spacing w:line="360" w:lineRule="auto"/>
        <w:jc w:val="both"/>
        <w:rPr>
          <w:rFonts w:ascii="Book Antiqua" w:eastAsia="Book Antiqua" w:hAnsi="Book Antiqua" w:cs="Book Antiqua"/>
          <w:b/>
          <w:color w:val="000000"/>
        </w:rPr>
      </w:pPr>
      <w:r>
        <w:rPr>
          <w:rFonts w:ascii="Book Antiqua" w:eastAsia="Book Antiqua" w:hAnsi="Book Antiqua" w:cs="Book Antiqua"/>
          <w:color w:val="000000"/>
        </w:rPr>
        <w:br w:type="page"/>
      </w:r>
      <w:r w:rsidRPr="006B3728">
        <w:rPr>
          <w:rFonts w:ascii="Book Antiqua" w:eastAsia="Book Antiqua" w:hAnsi="Book Antiqua" w:cs="Book Antiqua"/>
          <w:b/>
          <w:bCs/>
          <w:color w:val="000000"/>
        </w:rPr>
        <w:lastRenderedPageBreak/>
        <w:t>Table 1 Staging of pancreatic cancer</w:t>
      </w:r>
      <w:r w:rsidRPr="006B3728">
        <w:rPr>
          <w:rFonts w:ascii="Book Antiqua" w:eastAsia="Book Antiqua" w:hAnsi="Book Antiqua" w:cs="Book Antiqua"/>
          <w:b/>
          <w:color w:val="000000"/>
        </w:rPr>
        <w:t xml:space="preserve"> (from the American Joint Committee on Cancer Staging Manual, 8</w:t>
      </w:r>
      <w:r w:rsidRPr="006B3728">
        <w:rPr>
          <w:rFonts w:ascii="Book Antiqua" w:eastAsia="Book Antiqua" w:hAnsi="Book Antiqua" w:cs="Book Antiqua"/>
          <w:b/>
          <w:color w:val="000000"/>
          <w:vertAlign w:val="superscript"/>
        </w:rPr>
        <w:t>th</w:t>
      </w:r>
      <w:r w:rsidRPr="006B3728">
        <w:rPr>
          <w:rFonts w:ascii="Book Antiqua" w:eastAsia="Book Antiqua" w:hAnsi="Book Antiqua" w:cs="Book Antiqua"/>
          <w:b/>
          <w:color w:val="000000"/>
        </w:rPr>
        <w:t xml:space="preserve"> </w:t>
      </w:r>
      <w:r w:rsidR="00EF0058" w:rsidRPr="006B3728">
        <w:rPr>
          <w:rFonts w:ascii="Book Antiqua" w:eastAsia="Book Antiqua" w:hAnsi="Book Antiqua" w:cs="Book Antiqua"/>
          <w:b/>
          <w:color w:val="000000"/>
        </w:rPr>
        <w:t>e</w:t>
      </w:r>
      <w:r w:rsidRPr="006B3728">
        <w:rPr>
          <w:rFonts w:ascii="Book Antiqua" w:eastAsia="Book Antiqua" w:hAnsi="Book Antiqua" w:cs="Book Antiqua"/>
          <w:b/>
          <w:color w:val="000000"/>
        </w:rPr>
        <w:t>dition</w:t>
      </w:r>
      <w:r w:rsidR="001E0763" w:rsidRPr="006B3728">
        <w:rPr>
          <w:rFonts w:ascii="Book Antiqua" w:eastAsia="Book Antiqua" w:hAnsi="Book Antiqua" w:cs="Book Antiqua"/>
          <w:b/>
          <w:color w:val="000000"/>
          <w:vertAlign w:val="superscript"/>
        </w:rPr>
        <w:t>[45]</w:t>
      </w:r>
      <w:r w:rsidRPr="006B3728">
        <w:rPr>
          <w:rFonts w:ascii="Book Antiqua" w:eastAsia="Book Antiqua" w:hAnsi="Book Antiqua" w:cs="Book Antiqua"/>
          <w:b/>
          <w:color w:val="000000"/>
        </w:rPr>
        <w:t>)</w:t>
      </w:r>
    </w:p>
    <w:tbl>
      <w:tblPr>
        <w:tblW w:w="9490" w:type="dxa"/>
        <w:tblLook w:val="04A0" w:firstRow="1" w:lastRow="0" w:firstColumn="1" w:lastColumn="0" w:noHBand="0" w:noVBand="1"/>
      </w:tblPr>
      <w:tblGrid>
        <w:gridCol w:w="1347"/>
        <w:gridCol w:w="8143"/>
      </w:tblGrid>
      <w:tr w:rsidR="007846A4" w:rsidRPr="006B6E58" w14:paraId="3625F01B" w14:textId="77777777" w:rsidTr="007846A4">
        <w:trPr>
          <w:trHeight w:val="307"/>
        </w:trPr>
        <w:tc>
          <w:tcPr>
            <w:tcW w:w="1347" w:type="dxa"/>
            <w:tcBorders>
              <w:top w:val="single" w:sz="4" w:space="0" w:color="auto"/>
              <w:bottom w:val="single" w:sz="4" w:space="0" w:color="auto"/>
            </w:tcBorders>
            <w:shd w:val="clear" w:color="auto" w:fill="auto"/>
            <w:hideMark/>
          </w:tcPr>
          <w:p w14:paraId="12C50BF4" w14:textId="77777777" w:rsidR="007846A4" w:rsidRPr="006B6E58" w:rsidRDefault="007846A4" w:rsidP="00A623F9">
            <w:pPr>
              <w:spacing w:line="360" w:lineRule="auto"/>
              <w:jc w:val="both"/>
              <w:rPr>
                <w:rFonts w:ascii="Book Antiqua" w:eastAsia="Times New Roman" w:hAnsi="Book Antiqua"/>
                <w:b/>
                <w:bCs/>
                <w:color w:val="000000"/>
              </w:rPr>
            </w:pPr>
            <w:r w:rsidRPr="006B6E58">
              <w:rPr>
                <w:rFonts w:ascii="Book Antiqua" w:eastAsia="Times New Roman" w:hAnsi="Book Antiqua"/>
                <w:b/>
                <w:bCs/>
                <w:color w:val="000000"/>
              </w:rPr>
              <w:t>Stage</w:t>
            </w:r>
          </w:p>
        </w:tc>
        <w:tc>
          <w:tcPr>
            <w:tcW w:w="8143" w:type="dxa"/>
            <w:tcBorders>
              <w:top w:val="single" w:sz="4" w:space="0" w:color="auto"/>
              <w:bottom w:val="single" w:sz="4" w:space="0" w:color="auto"/>
            </w:tcBorders>
            <w:shd w:val="clear" w:color="auto" w:fill="auto"/>
            <w:hideMark/>
          </w:tcPr>
          <w:p w14:paraId="2C683E2C" w14:textId="77777777" w:rsidR="007846A4" w:rsidRPr="006B6E58" w:rsidRDefault="007846A4" w:rsidP="00A623F9">
            <w:pPr>
              <w:spacing w:line="360" w:lineRule="auto"/>
              <w:jc w:val="both"/>
              <w:rPr>
                <w:rFonts w:ascii="Book Antiqua" w:eastAsia="Times New Roman" w:hAnsi="Book Antiqua"/>
                <w:b/>
                <w:bCs/>
                <w:color w:val="000000"/>
              </w:rPr>
            </w:pPr>
            <w:r w:rsidRPr="006B6E58">
              <w:rPr>
                <w:rFonts w:ascii="Book Antiqua" w:eastAsia="Times New Roman" w:hAnsi="Book Antiqua"/>
                <w:b/>
                <w:bCs/>
                <w:color w:val="000000"/>
              </w:rPr>
              <w:t>Tumor</w:t>
            </w:r>
          </w:p>
        </w:tc>
      </w:tr>
      <w:tr w:rsidR="007846A4" w:rsidRPr="006B6E58" w14:paraId="61BCA5D6" w14:textId="77777777" w:rsidTr="007846A4">
        <w:trPr>
          <w:trHeight w:val="293"/>
        </w:trPr>
        <w:tc>
          <w:tcPr>
            <w:tcW w:w="1347" w:type="dxa"/>
            <w:tcBorders>
              <w:top w:val="single" w:sz="4" w:space="0" w:color="auto"/>
            </w:tcBorders>
            <w:shd w:val="clear" w:color="auto" w:fill="auto"/>
            <w:hideMark/>
          </w:tcPr>
          <w:p w14:paraId="687918A5" w14:textId="77777777" w:rsidR="007846A4" w:rsidRPr="006B6E58" w:rsidRDefault="007846A4" w:rsidP="00A623F9">
            <w:pPr>
              <w:spacing w:line="360" w:lineRule="auto"/>
              <w:jc w:val="both"/>
              <w:rPr>
                <w:rFonts w:ascii="Book Antiqua" w:eastAsia="Times New Roman" w:hAnsi="Book Antiqua"/>
                <w:color w:val="000000"/>
              </w:rPr>
            </w:pPr>
            <w:r w:rsidRPr="006B6E58">
              <w:rPr>
                <w:rFonts w:ascii="Book Antiqua" w:eastAsia="Times New Roman" w:hAnsi="Book Antiqua"/>
                <w:color w:val="000000"/>
              </w:rPr>
              <w:t>IA</w:t>
            </w:r>
          </w:p>
        </w:tc>
        <w:tc>
          <w:tcPr>
            <w:tcW w:w="8143" w:type="dxa"/>
            <w:tcBorders>
              <w:top w:val="single" w:sz="4" w:space="0" w:color="auto"/>
            </w:tcBorders>
            <w:shd w:val="clear" w:color="auto" w:fill="auto"/>
            <w:hideMark/>
          </w:tcPr>
          <w:p w14:paraId="08B34DCF" w14:textId="6FAD3D97" w:rsidR="007846A4" w:rsidRPr="006B6E58" w:rsidRDefault="007846A4" w:rsidP="00A623F9">
            <w:pPr>
              <w:spacing w:line="360" w:lineRule="auto"/>
              <w:jc w:val="both"/>
              <w:rPr>
                <w:rFonts w:ascii="Book Antiqua" w:eastAsia="Times New Roman" w:hAnsi="Book Antiqua"/>
                <w:bCs/>
                <w:color w:val="000000"/>
              </w:rPr>
            </w:pPr>
            <w:r w:rsidRPr="006B6E58">
              <w:rPr>
                <w:rFonts w:ascii="Book Antiqua" w:eastAsia="Times New Roman" w:hAnsi="Book Antiqua"/>
                <w:bCs/>
                <w:color w:val="000000"/>
              </w:rPr>
              <w:t>Limited to pancreas, greatest dimension: ≤ 2 cm</w:t>
            </w:r>
          </w:p>
        </w:tc>
      </w:tr>
      <w:tr w:rsidR="007846A4" w:rsidRPr="006B6E58" w14:paraId="2E295BF2" w14:textId="77777777" w:rsidTr="007846A4">
        <w:trPr>
          <w:trHeight w:val="293"/>
        </w:trPr>
        <w:tc>
          <w:tcPr>
            <w:tcW w:w="1347" w:type="dxa"/>
            <w:shd w:val="clear" w:color="auto" w:fill="auto"/>
            <w:hideMark/>
          </w:tcPr>
          <w:p w14:paraId="1D32DFF5" w14:textId="77777777" w:rsidR="007846A4" w:rsidRPr="006B6E58" w:rsidRDefault="007846A4" w:rsidP="00A623F9">
            <w:pPr>
              <w:spacing w:line="360" w:lineRule="auto"/>
              <w:jc w:val="both"/>
              <w:rPr>
                <w:rFonts w:ascii="Book Antiqua" w:eastAsia="Times New Roman" w:hAnsi="Book Antiqua"/>
                <w:color w:val="000000"/>
              </w:rPr>
            </w:pPr>
            <w:r w:rsidRPr="006B6E58">
              <w:rPr>
                <w:rFonts w:ascii="Book Antiqua" w:eastAsia="Times New Roman" w:hAnsi="Book Antiqua"/>
                <w:color w:val="000000"/>
              </w:rPr>
              <w:t>IB</w:t>
            </w:r>
          </w:p>
        </w:tc>
        <w:tc>
          <w:tcPr>
            <w:tcW w:w="8143" w:type="dxa"/>
            <w:shd w:val="clear" w:color="auto" w:fill="auto"/>
            <w:hideMark/>
          </w:tcPr>
          <w:p w14:paraId="43C66BFB" w14:textId="77777777" w:rsidR="007846A4" w:rsidRPr="006B6E58" w:rsidRDefault="007846A4" w:rsidP="00A623F9">
            <w:pPr>
              <w:spacing w:line="360" w:lineRule="auto"/>
              <w:jc w:val="both"/>
              <w:rPr>
                <w:rFonts w:ascii="Book Antiqua" w:eastAsia="Times New Roman" w:hAnsi="Book Antiqua"/>
                <w:bCs/>
                <w:color w:val="000000"/>
              </w:rPr>
            </w:pPr>
            <w:r w:rsidRPr="006B6E58">
              <w:rPr>
                <w:rFonts w:ascii="Book Antiqua" w:eastAsia="Times New Roman" w:hAnsi="Book Antiqua"/>
                <w:bCs/>
                <w:color w:val="000000"/>
              </w:rPr>
              <w:t>Limited to pancreas, greatest dimension: ≥ 2 cm</w:t>
            </w:r>
          </w:p>
        </w:tc>
      </w:tr>
      <w:tr w:rsidR="007846A4" w:rsidRPr="006B6E58" w14:paraId="3BAF59BD" w14:textId="77777777" w:rsidTr="007846A4">
        <w:trPr>
          <w:trHeight w:val="586"/>
        </w:trPr>
        <w:tc>
          <w:tcPr>
            <w:tcW w:w="1347" w:type="dxa"/>
            <w:shd w:val="clear" w:color="auto" w:fill="auto"/>
            <w:hideMark/>
          </w:tcPr>
          <w:p w14:paraId="03B90BA4" w14:textId="77777777" w:rsidR="007846A4" w:rsidRPr="006B6E58" w:rsidRDefault="007846A4" w:rsidP="00A623F9">
            <w:pPr>
              <w:spacing w:line="360" w:lineRule="auto"/>
              <w:jc w:val="both"/>
              <w:rPr>
                <w:rFonts w:ascii="Book Antiqua" w:eastAsia="Times New Roman" w:hAnsi="Book Antiqua"/>
                <w:color w:val="000000"/>
              </w:rPr>
            </w:pPr>
            <w:r w:rsidRPr="006B6E58">
              <w:rPr>
                <w:rFonts w:ascii="Book Antiqua" w:eastAsia="Times New Roman" w:hAnsi="Book Antiqua"/>
                <w:color w:val="000000"/>
              </w:rPr>
              <w:t>IIA</w:t>
            </w:r>
          </w:p>
        </w:tc>
        <w:tc>
          <w:tcPr>
            <w:tcW w:w="8143" w:type="dxa"/>
            <w:shd w:val="clear" w:color="auto" w:fill="auto"/>
            <w:hideMark/>
          </w:tcPr>
          <w:p w14:paraId="6D0032F2" w14:textId="77777777" w:rsidR="007846A4" w:rsidRPr="006B6E58" w:rsidRDefault="007846A4" w:rsidP="00A623F9">
            <w:pPr>
              <w:spacing w:line="360" w:lineRule="auto"/>
              <w:jc w:val="both"/>
              <w:rPr>
                <w:rFonts w:ascii="Book Antiqua" w:eastAsia="Times New Roman" w:hAnsi="Book Antiqua"/>
                <w:bCs/>
                <w:color w:val="000000"/>
              </w:rPr>
            </w:pPr>
            <w:r w:rsidRPr="006B6E58">
              <w:rPr>
                <w:rFonts w:ascii="Book Antiqua" w:eastAsia="Times New Roman" w:hAnsi="Book Antiqua"/>
                <w:bCs/>
                <w:color w:val="000000"/>
              </w:rPr>
              <w:t>The greatest dimension is &gt; 4 cm but there is no metastasis or lymph node involvement</w:t>
            </w:r>
          </w:p>
        </w:tc>
      </w:tr>
      <w:tr w:rsidR="007846A4" w:rsidRPr="006B6E58" w14:paraId="268D04ED" w14:textId="77777777" w:rsidTr="007846A4">
        <w:trPr>
          <w:trHeight w:val="395"/>
        </w:trPr>
        <w:tc>
          <w:tcPr>
            <w:tcW w:w="1347" w:type="dxa"/>
            <w:shd w:val="clear" w:color="auto" w:fill="auto"/>
            <w:hideMark/>
          </w:tcPr>
          <w:p w14:paraId="511269D2" w14:textId="77777777" w:rsidR="007846A4" w:rsidRPr="006B6E58" w:rsidRDefault="007846A4" w:rsidP="00A623F9">
            <w:pPr>
              <w:spacing w:line="360" w:lineRule="auto"/>
              <w:jc w:val="both"/>
              <w:rPr>
                <w:rFonts w:ascii="Book Antiqua" w:eastAsia="Times New Roman" w:hAnsi="Book Antiqua"/>
                <w:color w:val="000000"/>
              </w:rPr>
            </w:pPr>
            <w:r w:rsidRPr="006B6E58">
              <w:rPr>
                <w:rFonts w:ascii="Book Antiqua" w:eastAsia="Times New Roman" w:hAnsi="Book Antiqua"/>
                <w:color w:val="000000"/>
              </w:rPr>
              <w:t>IIB</w:t>
            </w:r>
          </w:p>
        </w:tc>
        <w:tc>
          <w:tcPr>
            <w:tcW w:w="8143" w:type="dxa"/>
            <w:shd w:val="clear" w:color="auto" w:fill="auto"/>
            <w:hideMark/>
          </w:tcPr>
          <w:p w14:paraId="4A72860A" w14:textId="6E8B4399" w:rsidR="007846A4" w:rsidRPr="006B6E58" w:rsidRDefault="007846A4" w:rsidP="00A623F9">
            <w:pPr>
              <w:spacing w:line="360" w:lineRule="auto"/>
              <w:jc w:val="both"/>
              <w:rPr>
                <w:rFonts w:ascii="Book Antiqua" w:eastAsia="Times New Roman" w:hAnsi="Book Antiqua"/>
                <w:bCs/>
                <w:color w:val="000000"/>
              </w:rPr>
            </w:pPr>
            <w:r w:rsidRPr="006B6E58">
              <w:rPr>
                <w:rFonts w:ascii="Book Antiqua" w:eastAsia="Times New Roman" w:hAnsi="Book Antiqua"/>
                <w:bCs/>
                <w:color w:val="000000"/>
              </w:rPr>
              <w:t>The</w:t>
            </w:r>
            <w:r>
              <w:rPr>
                <w:rFonts w:ascii="Book Antiqua" w:eastAsia="Times New Roman" w:hAnsi="Book Antiqua"/>
                <w:bCs/>
                <w:color w:val="000000"/>
              </w:rPr>
              <w:t xml:space="preserve"> </w:t>
            </w:r>
            <w:r w:rsidRPr="006B6E58">
              <w:rPr>
                <w:rFonts w:ascii="Book Antiqua" w:eastAsia="Times New Roman" w:hAnsi="Book Antiqua"/>
                <w:bCs/>
                <w:color w:val="000000"/>
              </w:rPr>
              <w:t>greatest dimension is ≤ 2 cm to &gt; 4 cm but the cancer has spread to 1-3 regional lymph nodes</w:t>
            </w:r>
          </w:p>
        </w:tc>
      </w:tr>
      <w:tr w:rsidR="007846A4" w:rsidRPr="006B6E58" w14:paraId="295D4212" w14:textId="77777777" w:rsidTr="007846A4">
        <w:trPr>
          <w:trHeight w:val="644"/>
        </w:trPr>
        <w:tc>
          <w:tcPr>
            <w:tcW w:w="1347" w:type="dxa"/>
            <w:shd w:val="clear" w:color="auto" w:fill="auto"/>
            <w:hideMark/>
          </w:tcPr>
          <w:p w14:paraId="0B02C308" w14:textId="77777777" w:rsidR="007846A4" w:rsidRPr="006B6E58" w:rsidRDefault="007846A4" w:rsidP="00A623F9">
            <w:pPr>
              <w:spacing w:line="360" w:lineRule="auto"/>
              <w:jc w:val="both"/>
              <w:rPr>
                <w:rFonts w:ascii="Book Antiqua" w:eastAsia="Times New Roman" w:hAnsi="Book Antiqua"/>
                <w:color w:val="000000"/>
              </w:rPr>
            </w:pPr>
            <w:r w:rsidRPr="006B6E58">
              <w:rPr>
                <w:rFonts w:ascii="Book Antiqua" w:eastAsia="Times New Roman" w:hAnsi="Book Antiqua"/>
                <w:color w:val="000000"/>
              </w:rPr>
              <w:t>III</w:t>
            </w:r>
          </w:p>
        </w:tc>
        <w:tc>
          <w:tcPr>
            <w:tcW w:w="8143" w:type="dxa"/>
            <w:shd w:val="clear" w:color="auto" w:fill="auto"/>
            <w:hideMark/>
          </w:tcPr>
          <w:p w14:paraId="0400AF99" w14:textId="77777777" w:rsidR="007846A4" w:rsidRPr="006B6E58" w:rsidRDefault="007846A4" w:rsidP="00A623F9">
            <w:pPr>
              <w:spacing w:line="360" w:lineRule="auto"/>
              <w:jc w:val="both"/>
              <w:rPr>
                <w:rFonts w:ascii="Book Antiqua" w:eastAsia="Times New Roman" w:hAnsi="Book Antiqua"/>
                <w:bCs/>
                <w:color w:val="000000"/>
              </w:rPr>
            </w:pPr>
            <w:r w:rsidRPr="006B6E58">
              <w:rPr>
                <w:rFonts w:ascii="Book Antiqua" w:eastAsia="Times New Roman" w:hAnsi="Book Antiqua"/>
                <w:bCs/>
                <w:color w:val="000000"/>
              </w:rPr>
              <w:t xml:space="preserve">The greatest dimension is &gt; 4 cm and there are 4 or more lymph nodes involved </w:t>
            </w:r>
            <w:r w:rsidRPr="007846A4">
              <w:rPr>
                <w:rFonts w:ascii="Book Antiqua" w:eastAsia="Times New Roman" w:hAnsi="Book Antiqua"/>
                <w:bCs/>
                <w:iCs/>
                <w:color w:val="000000"/>
              </w:rPr>
              <w:t>or</w:t>
            </w:r>
            <w:r w:rsidRPr="006B6E58">
              <w:rPr>
                <w:rFonts w:ascii="Book Antiqua" w:eastAsia="Times New Roman" w:hAnsi="Book Antiqua"/>
                <w:bCs/>
                <w:color w:val="000000"/>
              </w:rPr>
              <w:t xml:space="preserve"> the tumor has invaded the celiac axis, superior mesenteric artery, and/or common hepatic artery, regardless of tumor size or lymph nodes involved.  The tumor is unresectable</w:t>
            </w:r>
          </w:p>
        </w:tc>
      </w:tr>
      <w:tr w:rsidR="007846A4" w:rsidRPr="006B6E58" w14:paraId="7AC68DCF" w14:textId="77777777" w:rsidTr="007846A4">
        <w:trPr>
          <w:trHeight w:val="879"/>
        </w:trPr>
        <w:tc>
          <w:tcPr>
            <w:tcW w:w="1347" w:type="dxa"/>
            <w:tcBorders>
              <w:bottom w:val="single" w:sz="4" w:space="0" w:color="auto"/>
            </w:tcBorders>
            <w:shd w:val="clear" w:color="auto" w:fill="auto"/>
            <w:hideMark/>
          </w:tcPr>
          <w:p w14:paraId="79BC7CEF" w14:textId="77777777" w:rsidR="007846A4" w:rsidRPr="006B6E58" w:rsidRDefault="007846A4" w:rsidP="00A623F9">
            <w:pPr>
              <w:spacing w:line="360" w:lineRule="auto"/>
              <w:jc w:val="both"/>
              <w:rPr>
                <w:rFonts w:ascii="Book Antiqua" w:eastAsia="Times New Roman" w:hAnsi="Book Antiqua"/>
                <w:color w:val="000000"/>
              </w:rPr>
            </w:pPr>
            <w:r w:rsidRPr="006B6E58">
              <w:rPr>
                <w:rFonts w:ascii="Book Antiqua" w:eastAsia="Times New Roman" w:hAnsi="Book Antiqua"/>
                <w:color w:val="000000"/>
              </w:rPr>
              <w:t>IV</w:t>
            </w:r>
          </w:p>
        </w:tc>
        <w:tc>
          <w:tcPr>
            <w:tcW w:w="8143" w:type="dxa"/>
            <w:tcBorders>
              <w:bottom w:val="single" w:sz="4" w:space="0" w:color="auto"/>
            </w:tcBorders>
            <w:shd w:val="clear" w:color="auto" w:fill="auto"/>
            <w:hideMark/>
          </w:tcPr>
          <w:p w14:paraId="4F11D934" w14:textId="77777777" w:rsidR="007846A4" w:rsidRPr="006B6E58" w:rsidRDefault="007846A4" w:rsidP="00A623F9">
            <w:pPr>
              <w:spacing w:line="360" w:lineRule="auto"/>
              <w:jc w:val="both"/>
              <w:rPr>
                <w:rFonts w:ascii="Book Antiqua" w:eastAsia="Times New Roman" w:hAnsi="Book Antiqua"/>
                <w:bCs/>
                <w:color w:val="000000"/>
              </w:rPr>
            </w:pPr>
            <w:r w:rsidRPr="006B6E58">
              <w:rPr>
                <w:rFonts w:ascii="Book Antiqua" w:eastAsia="Times New Roman" w:hAnsi="Book Antiqua"/>
                <w:bCs/>
                <w:color w:val="000000"/>
              </w:rPr>
              <w:t>Metastasis to distant sites, regardless of size or number of lymph nodes involved. Metastasis of pancreatic cancer occurs mainly in the liver, peritoneum, and lungs</w:t>
            </w:r>
          </w:p>
        </w:tc>
      </w:tr>
    </w:tbl>
    <w:p w14:paraId="22BE3F25" w14:textId="41B9F208" w:rsidR="00FA1224" w:rsidRDefault="00FA1224">
      <w:pPr>
        <w:spacing w:line="360" w:lineRule="auto"/>
        <w:jc w:val="both"/>
      </w:pPr>
    </w:p>
    <w:p w14:paraId="1586E511" w14:textId="77777777" w:rsidR="00FA1224" w:rsidRDefault="00FA1224">
      <w:r>
        <w:br w:type="page"/>
      </w:r>
    </w:p>
    <w:p w14:paraId="730E6D94" w14:textId="77777777" w:rsidR="00FA1224" w:rsidRDefault="00FA1224" w:rsidP="00FA1224">
      <w:pPr>
        <w:jc w:val="center"/>
        <w:rPr>
          <w:rFonts w:ascii="Book Antiqua" w:hAnsi="Book Antiqua"/>
          <w:lang w:eastAsia="zh-CN"/>
        </w:rPr>
      </w:pPr>
    </w:p>
    <w:p w14:paraId="0B8EADA5" w14:textId="77777777" w:rsidR="00FA1224" w:rsidRDefault="00FA1224" w:rsidP="00FA1224">
      <w:pPr>
        <w:jc w:val="center"/>
        <w:rPr>
          <w:rFonts w:ascii="Book Antiqua" w:hAnsi="Book Antiqua"/>
          <w:lang w:eastAsia="zh-CN"/>
        </w:rPr>
      </w:pPr>
    </w:p>
    <w:p w14:paraId="7BA8558D" w14:textId="77777777" w:rsidR="00FA1224" w:rsidRDefault="00FA1224" w:rsidP="00FA1224">
      <w:pPr>
        <w:jc w:val="center"/>
        <w:rPr>
          <w:rFonts w:ascii="Book Antiqua" w:hAnsi="Book Antiqua"/>
          <w:lang w:eastAsia="zh-CN"/>
        </w:rPr>
      </w:pPr>
    </w:p>
    <w:p w14:paraId="03E6EE6C" w14:textId="77777777" w:rsidR="00FA1224" w:rsidRDefault="00FA1224" w:rsidP="00FA1224">
      <w:pPr>
        <w:jc w:val="center"/>
        <w:rPr>
          <w:rFonts w:ascii="Book Antiqua" w:hAnsi="Book Antiqua"/>
          <w:lang w:eastAsia="zh-CN"/>
        </w:rPr>
      </w:pPr>
    </w:p>
    <w:p w14:paraId="4D5563CD" w14:textId="77777777" w:rsidR="00FA1224" w:rsidRDefault="00FA1224" w:rsidP="00FA1224">
      <w:pPr>
        <w:jc w:val="center"/>
        <w:rPr>
          <w:rFonts w:ascii="Book Antiqua" w:hAnsi="Book Antiqua"/>
          <w:lang w:eastAsia="zh-CN"/>
        </w:rPr>
      </w:pPr>
    </w:p>
    <w:p w14:paraId="5FE27CA6" w14:textId="77777777" w:rsidR="00FA1224" w:rsidRDefault="00FA1224" w:rsidP="00FA1224">
      <w:pPr>
        <w:jc w:val="center"/>
        <w:rPr>
          <w:rFonts w:ascii="Book Antiqua" w:hAnsi="Book Antiqua"/>
          <w:lang w:eastAsia="zh-CN"/>
        </w:rPr>
      </w:pPr>
      <w:r>
        <w:rPr>
          <w:rFonts w:ascii="Book Antiqua" w:hAnsi="Book Antiqua"/>
          <w:noProof/>
          <w:lang w:eastAsia="zh-CN"/>
        </w:rPr>
        <w:drawing>
          <wp:inline distT="0" distB="0" distL="0" distR="0" wp14:anchorId="1D107AFF" wp14:editId="1C4B3FF0">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ED4C998" w14:textId="77777777" w:rsidR="00FA1224" w:rsidRDefault="00FA1224" w:rsidP="00FA1224">
      <w:pPr>
        <w:jc w:val="center"/>
        <w:rPr>
          <w:rFonts w:ascii="Book Antiqua" w:hAnsi="Book Antiqua"/>
          <w:lang w:eastAsia="zh-CN"/>
        </w:rPr>
      </w:pPr>
    </w:p>
    <w:p w14:paraId="1446852B" w14:textId="77777777" w:rsidR="00FA1224" w:rsidRPr="00763D22" w:rsidRDefault="00FA1224" w:rsidP="00FA122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06F77E4" w14:textId="77777777" w:rsidR="00FA1224" w:rsidRPr="00763D22" w:rsidRDefault="00FA1224" w:rsidP="00FA122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F576BA6" w14:textId="77777777" w:rsidR="00FA1224" w:rsidRPr="00763D22" w:rsidRDefault="00FA1224" w:rsidP="00FA122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7C9A907" w14:textId="77777777" w:rsidR="00FA1224" w:rsidRPr="00763D22" w:rsidRDefault="00FA1224" w:rsidP="00FA122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E6656C5" w14:textId="77777777" w:rsidR="00FA1224" w:rsidRPr="00763D22" w:rsidRDefault="00FA1224" w:rsidP="00FA122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71BAC9D" w14:textId="77777777" w:rsidR="00FA1224" w:rsidRPr="00763D22" w:rsidRDefault="00FA1224" w:rsidP="00FA122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BB9F65A" w14:textId="77777777" w:rsidR="00FA1224" w:rsidRDefault="00FA1224" w:rsidP="00FA1224">
      <w:pPr>
        <w:jc w:val="center"/>
        <w:rPr>
          <w:rFonts w:ascii="Book Antiqua" w:hAnsi="Book Antiqua"/>
          <w:lang w:eastAsia="zh-CN"/>
        </w:rPr>
      </w:pPr>
    </w:p>
    <w:p w14:paraId="182CA314" w14:textId="77777777" w:rsidR="00FA1224" w:rsidRDefault="00FA1224" w:rsidP="00FA1224">
      <w:pPr>
        <w:jc w:val="center"/>
        <w:rPr>
          <w:rFonts w:ascii="Book Antiqua" w:hAnsi="Book Antiqua"/>
          <w:lang w:eastAsia="zh-CN"/>
        </w:rPr>
      </w:pPr>
    </w:p>
    <w:p w14:paraId="0378FB94" w14:textId="77777777" w:rsidR="00FA1224" w:rsidRDefault="00FA1224" w:rsidP="00FA1224">
      <w:pPr>
        <w:jc w:val="center"/>
        <w:rPr>
          <w:rFonts w:ascii="Book Antiqua" w:hAnsi="Book Antiqua"/>
          <w:lang w:eastAsia="zh-CN"/>
        </w:rPr>
      </w:pPr>
    </w:p>
    <w:p w14:paraId="535810EA" w14:textId="77777777" w:rsidR="00FA1224" w:rsidRDefault="00FA1224" w:rsidP="00FA1224">
      <w:pPr>
        <w:jc w:val="center"/>
        <w:rPr>
          <w:rFonts w:ascii="Book Antiqua" w:hAnsi="Book Antiqua"/>
          <w:lang w:eastAsia="zh-CN"/>
        </w:rPr>
      </w:pPr>
      <w:r>
        <w:rPr>
          <w:rFonts w:ascii="Book Antiqua" w:hAnsi="Book Antiqua"/>
          <w:noProof/>
          <w:lang w:eastAsia="zh-CN"/>
        </w:rPr>
        <w:drawing>
          <wp:inline distT="0" distB="0" distL="0" distR="0" wp14:anchorId="0DE08F9D" wp14:editId="7AF2411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48DCB07" w14:textId="77777777" w:rsidR="00FA1224" w:rsidRDefault="00FA1224" w:rsidP="00FA1224">
      <w:pPr>
        <w:jc w:val="center"/>
        <w:rPr>
          <w:rFonts w:ascii="Book Antiqua" w:hAnsi="Book Antiqua"/>
          <w:lang w:eastAsia="zh-CN"/>
        </w:rPr>
      </w:pPr>
    </w:p>
    <w:p w14:paraId="7EB2CC91" w14:textId="77777777" w:rsidR="00FA1224" w:rsidRDefault="00FA1224" w:rsidP="00FA1224">
      <w:pPr>
        <w:jc w:val="center"/>
        <w:rPr>
          <w:rFonts w:ascii="Book Antiqua" w:hAnsi="Book Antiqua"/>
          <w:lang w:eastAsia="zh-CN"/>
        </w:rPr>
      </w:pPr>
    </w:p>
    <w:p w14:paraId="2C5ECECA" w14:textId="77777777" w:rsidR="00FA1224" w:rsidRDefault="00FA1224" w:rsidP="00FA1224">
      <w:pPr>
        <w:jc w:val="center"/>
        <w:rPr>
          <w:rFonts w:ascii="Book Antiqua" w:hAnsi="Book Antiqua"/>
          <w:lang w:eastAsia="zh-CN"/>
        </w:rPr>
      </w:pPr>
    </w:p>
    <w:p w14:paraId="4C2FD574" w14:textId="77777777" w:rsidR="00FA1224" w:rsidRDefault="00FA1224" w:rsidP="00FA1224">
      <w:pPr>
        <w:jc w:val="center"/>
        <w:rPr>
          <w:rFonts w:ascii="Book Antiqua" w:hAnsi="Book Antiqua"/>
          <w:lang w:eastAsia="zh-CN"/>
        </w:rPr>
      </w:pPr>
    </w:p>
    <w:p w14:paraId="621C9436" w14:textId="77777777" w:rsidR="00FA1224" w:rsidRDefault="00FA1224" w:rsidP="00FA1224">
      <w:pPr>
        <w:jc w:val="center"/>
        <w:rPr>
          <w:rFonts w:ascii="Book Antiqua" w:hAnsi="Book Antiqua"/>
          <w:lang w:eastAsia="zh-CN"/>
        </w:rPr>
      </w:pPr>
    </w:p>
    <w:p w14:paraId="7D6EC9FC" w14:textId="77777777" w:rsidR="00FA1224" w:rsidRDefault="00FA1224" w:rsidP="00FA1224">
      <w:pPr>
        <w:jc w:val="center"/>
        <w:rPr>
          <w:rFonts w:ascii="Book Antiqua" w:hAnsi="Book Antiqua"/>
          <w:lang w:eastAsia="zh-CN"/>
        </w:rPr>
      </w:pPr>
    </w:p>
    <w:p w14:paraId="1E47B7BE" w14:textId="77777777" w:rsidR="00FA1224" w:rsidRDefault="00FA1224" w:rsidP="00FA1224">
      <w:pPr>
        <w:jc w:val="center"/>
        <w:rPr>
          <w:rFonts w:ascii="Book Antiqua" w:hAnsi="Book Antiqua"/>
          <w:lang w:eastAsia="zh-CN"/>
        </w:rPr>
      </w:pPr>
    </w:p>
    <w:p w14:paraId="4060BCC7" w14:textId="77777777" w:rsidR="00FA1224" w:rsidRDefault="00FA1224" w:rsidP="00FA1224">
      <w:pPr>
        <w:jc w:val="center"/>
        <w:rPr>
          <w:rFonts w:ascii="Book Antiqua" w:hAnsi="Book Antiqua"/>
          <w:lang w:eastAsia="zh-CN"/>
        </w:rPr>
      </w:pPr>
    </w:p>
    <w:p w14:paraId="5A370671" w14:textId="77777777" w:rsidR="00FA1224" w:rsidRDefault="00FA1224" w:rsidP="00FA1224">
      <w:pPr>
        <w:jc w:val="center"/>
        <w:rPr>
          <w:rFonts w:ascii="Book Antiqua" w:hAnsi="Book Antiqua"/>
          <w:lang w:eastAsia="zh-CN"/>
        </w:rPr>
      </w:pPr>
    </w:p>
    <w:p w14:paraId="0BFF0953" w14:textId="77777777" w:rsidR="00FA1224" w:rsidRPr="00763D22" w:rsidRDefault="00FA1224" w:rsidP="00FA1224">
      <w:pPr>
        <w:jc w:val="right"/>
        <w:rPr>
          <w:rFonts w:ascii="Book Antiqua" w:hAnsi="Book Antiqua"/>
          <w:color w:val="000000" w:themeColor="text1"/>
          <w:lang w:eastAsia="zh-CN"/>
        </w:rPr>
      </w:pPr>
    </w:p>
    <w:p w14:paraId="52157AAF" w14:textId="77777777" w:rsidR="00FA1224" w:rsidRPr="00763D22" w:rsidRDefault="00FA1224" w:rsidP="00FA122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5CCED57" w14:textId="77777777" w:rsidR="007846A4" w:rsidRDefault="007846A4">
      <w:pPr>
        <w:spacing w:line="360" w:lineRule="auto"/>
        <w:jc w:val="both"/>
      </w:pPr>
    </w:p>
    <w:sectPr w:rsidR="007846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B668A" w14:textId="77777777" w:rsidR="004014A4" w:rsidRDefault="004014A4" w:rsidP="0071501E">
      <w:r>
        <w:separator/>
      </w:r>
    </w:p>
  </w:endnote>
  <w:endnote w:type="continuationSeparator" w:id="0">
    <w:p w14:paraId="3FCEE198" w14:textId="77777777" w:rsidR="004014A4" w:rsidRDefault="004014A4" w:rsidP="00715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41484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8BF95BE" w14:textId="7432816B" w:rsidR="00B231CE" w:rsidRPr="00B231CE" w:rsidRDefault="00B231CE" w:rsidP="00B231CE">
            <w:pPr>
              <w:pStyle w:val="a5"/>
              <w:jc w:val="right"/>
              <w:rPr>
                <w:rFonts w:ascii="Book Antiqua" w:hAnsi="Book Antiqua"/>
                <w:sz w:val="24"/>
                <w:szCs w:val="24"/>
              </w:rPr>
            </w:pPr>
            <w:r w:rsidRPr="00B231CE">
              <w:rPr>
                <w:rFonts w:ascii="Book Antiqua" w:hAnsi="Book Antiqua"/>
                <w:sz w:val="24"/>
                <w:szCs w:val="24"/>
                <w:lang w:val="zh-CN" w:eastAsia="zh-CN"/>
              </w:rPr>
              <w:t xml:space="preserve"> </w:t>
            </w:r>
            <w:r w:rsidRPr="00B231CE">
              <w:rPr>
                <w:rFonts w:ascii="Book Antiqua" w:hAnsi="Book Antiqua"/>
                <w:sz w:val="24"/>
                <w:szCs w:val="24"/>
              </w:rPr>
              <w:fldChar w:fldCharType="begin"/>
            </w:r>
            <w:r w:rsidRPr="00B231CE">
              <w:rPr>
                <w:rFonts w:ascii="Book Antiqua" w:hAnsi="Book Antiqua"/>
                <w:sz w:val="24"/>
                <w:szCs w:val="24"/>
              </w:rPr>
              <w:instrText>PAGE</w:instrText>
            </w:r>
            <w:r w:rsidRPr="00B231CE">
              <w:rPr>
                <w:rFonts w:ascii="Book Antiqua" w:hAnsi="Book Antiqua"/>
                <w:sz w:val="24"/>
                <w:szCs w:val="24"/>
              </w:rPr>
              <w:fldChar w:fldCharType="separate"/>
            </w:r>
            <w:r w:rsidR="00F36643">
              <w:rPr>
                <w:rFonts w:ascii="Book Antiqua" w:hAnsi="Book Antiqua"/>
                <w:noProof/>
                <w:sz w:val="24"/>
                <w:szCs w:val="24"/>
              </w:rPr>
              <w:t>17</w:t>
            </w:r>
            <w:r w:rsidRPr="00B231CE">
              <w:rPr>
                <w:rFonts w:ascii="Book Antiqua" w:hAnsi="Book Antiqua"/>
                <w:sz w:val="24"/>
                <w:szCs w:val="24"/>
              </w:rPr>
              <w:fldChar w:fldCharType="end"/>
            </w:r>
            <w:r w:rsidRPr="00B231CE">
              <w:rPr>
                <w:rFonts w:ascii="Book Antiqua" w:hAnsi="Book Antiqua"/>
                <w:sz w:val="24"/>
                <w:szCs w:val="24"/>
                <w:lang w:val="zh-CN" w:eastAsia="zh-CN"/>
              </w:rPr>
              <w:t xml:space="preserve"> / </w:t>
            </w:r>
            <w:r w:rsidRPr="00B231CE">
              <w:rPr>
                <w:rFonts w:ascii="Book Antiqua" w:hAnsi="Book Antiqua"/>
                <w:sz w:val="24"/>
                <w:szCs w:val="24"/>
              </w:rPr>
              <w:fldChar w:fldCharType="begin"/>
            </w:r>
            <w:r w:rsidRPr="00B231CE">
              <w:rPr>
                <w:rFonts w:ascii="Book Antiqua" w:hAnsi="Book Antiqua"/>
                <w:sz w:val="24"/>
                <w:szCs w:val="24"/>
              </w:rPr>
              <w:instrText>NUMPAGES</w:instrText>
            </w:r>
            <w:r w:rsidRPr="00B231CE">
              <w:rPr>
                <w:rFonts w:ascii="Book Antiqua" w:hAnsi="Book Antiqua"/>
                <w:sz w:val="24"/>
                <w:szCs w:val="24"/>
              </w:rPr>
              <w:fldChar w:fldCharType="separate"/>
            </w:r>
            <w:r w:rsidR="00F36643">
              <w:rPr>
                <w:rFonts w:ascii="Book Antiqua" w:hAnsi="Book Antiqua"/>
                <w:noProof/>
                <w:sz w:val="24"/>
                <w:szCs w:val="24"/>
              </w:rPr>
              <w:t>27</w:t>
            </w:r>
            <w:r w:rsidRPr="00B231CE">
              <w:rPr>
                <w:rFonts w:ascii="Book Antiqua" w:hAnsi="Book Antiqua"/>
                <w:sz w:val="24"/>
                <w:szCs w:val="24"/>
              </w:rPr>
              <w:fldChar w:fldCharType="end"/>
            </w:r>
          </w:p>
        </w:sdtContent>
      </w:sdt>
    </w:sdtContent>
  </w:sdt>
  <w:p w14:paraId="765A539E" w14:textId="77777777" w:rsidR="00B231CE" w:rsidRPr="00B231CE" w:rsidRDefault="00B231CE" w:rsidP="00B231CE">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66FA1" w14:textId="77777777" w:rsidR="004014A4" w:rsidRDefault="004014A4" w:rsidP="0071501E">
      <w:r>
        <w:separator/>
      </w:r>
    </w:p>
  </w:footnote>
  <w:footnote w:type="continuationSeparator" w:id="0">
    <w:p w14:paraId="48DC59DC" w14:textId="77777777" w:rsidR="004014A4" w:rsidRDefault="004014A4" w:rsidP="007150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Layout" w:val="&lt;ENLayout&gt;&lt;Style&gt;World Journal of Gastrointestinal Onc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32823"/>
    <w:rsid w:val="00060C88"/>
    <w:rsid w:val="000E26E7"/>
    <w:rsid w:val="000F09BC"/>
    <w:rsid w:val="00122C2F"/>
    <w:rsid w:val="001E0763"/>
    <w:rsid w:val="001F00DB"/>
    <w:rsid w:val="00203E5D"/>
    <w:rsid w:val="002A19C1"/>
    <w:rsid w:val="002E5CA4"/>
    <w:rsid w:val="002F3450"/>
    <w:rsid w:val="00304EF1"/>
    <w:rsid w:val="003C4975"/>
    <w:rsid w:val="003D30F9"/>
    <w:rsid w:val="003E1754"/>
    <w:rsid w:val="00400F52"/>
    <w:rsid w:val="004014A4"/>
    <w:rsid w:val="004531B9"/>
    <w:rsid w:val="004550D4"/>
    <w:rsid w:val="004E1ED1"/>
    <w:rsid w:val="00596CF9"/>
    <w:rsid w:val="005D6CDE"/>
    <w:rsid w:val="005E5BDB"/>
    <w:rsid w:val="00615EB5"/>
    <w:rsid w:val="00621A30"/>
    <w:rsid w:val="00674B07"/>
    <w:rsid w:val="00682CAB"/>
    <w:rsid w:val="006B26A1"/>
    <w:rsid w:val="006B3728"/>
    <w:rsid w:val="006B58E7"/>
    <w:rsid w:val="006E4B4A"/>
    <w:rsid w:val="006F48B9"/>
    <w:rsid w:val="0071501E"/>
    <w:rsid w:val="007833CE"/>
    <w:rsid w:val="007846A4"/>
    <w:rsid w:val="00785F81"/>
    <w:rsid w:val="00795E97"/>
    <w:rsid w:val="008557C1"/>
    <w:rsid w:val="008841B7"/>
    <w:rsid w:val="00932343"/>
    <w:rsid w:val="009773DB"/>
    <w:rsid w:val="009819DF"/>
    <w:rsid w:val="009B176F"/>
    <w:rsid w:val="009F22BE"/>
    <w:rsid w:val="00A049EB"/>
    <w:rsid w:val="00A77B3E"/>
    <w:rsid w:val="00AD787C"/>
    <w:rsid w:val="00B231CE"/>
    <w:rsid w:val="00B26374"/>
    <w:rsid w:val="00B67C5B"/>
    <w:rsid w:val="00BA4DFD"/>
    <w:rsid w:val="00C61AD2"/>
    <w:rsid w:val="00C80131"/>
    <w:rsid w:val="00C8612C"/>
    <w:rsid w:val="00CA2A55"/>
    <w:rsid w:val="00D340A1"/>
    <w:rsid w:val="00D4491B"/>
    <w:rsid w:val="00D748BA"/>
    <w:rsid w:val="00E470EB"/>
    <w:rsid w:val="00E564DD"/>
    <w:rsid w:val="00E611C7"/>
    <w:rsid w:val="00EB05FD"/>
    <w:rsid w:val="00ED08FE"/>
    <w:rsid w:val="00ED7570"/>
    <w:rsid w:val="00EF0058"/>
    <w:rsid w:val="00F36643"/>
    <w:rsid w:val="00FA1224"/>
    <w:rsid w:val="00FF69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F7E816"/>
  <w15:docId w15:val="{4E557C6B-ACE8-4AA4-88F5-8ACAEE1BD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1501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1501E"/>
    <w:rPr>
      <w:sz w:val="18"/>
      <w:szCs w:val="18"/>
    </w:rPr>
  </w:style>
  <w:style w:type="paragraph" w:styleId="a5">
    <w:name w:val="footer"/>
    <w:basedOn w:val="a"/>
    <w:link w:val="a6"/>
    <w:uiPriority w:val="99"/>
    <w:unhideWhenUsed/>
    <w:rsid w:val="0071501E"/>
    <w:pPr>
      <w:tabs>
        <w:tab w:val="center" w:pos="4153"/>
        <w:tab w:val="right" w:pos="8306"/>
      </w:tabs>
      <w:snapToGrid w:val="0"/>
    </w:pPr>
    <w:rPr>
      <w:sz w:val="18"/>
      <w:szCs w:val="18"/>
    </w:rPr>
  </w:style>
  <w:style w:type="character" w:customStyle="1" w:styleId="a6">
    <w:name w:val="页脚 字符"/>
    <w:basedOn w:val="a0"/>
    <w:link w:val="a5"/>
    <w:uiPriority w:val="99"/>
    <w:rsid w:val="0071501E"/>
    <w:rPr>
      <w:sz w:val="18"/>
      <w:szCs w:val="18"/>
    </w:rPr>
  </w:style>
  <w:style w:type="character" w:styleId="a7">
    <w:name w:val="annotation reference"/>
    <w:basedOn w:val="a0"/>
    <w:semiHidden/>
    <w:unhideWhenUsed/>
    <w:rsid w:val="00A049EB"/>
    <w:rPr>
      <w:sz w:val="21"/>
      <w:szCs w:val="21"/>
    </w:rPr>
  </w:style>
  <w:style w:type="paragraph" w:styleId="a8">
    <w:name w:val="annotation text"/>
    <w:basedOn w:val="a"/>
    <w:link w:val="a9"/>
    <w:semiHidden/>
    <w:unhideWhenUsed/>
    <w:rsid w:val="00A049EB"/>
  </w:style>
  <w:style w:type="character" w:customStyle="1" w:styleId="a9">
    <w:name w:val="批注文字 字符"/>
    <w:basedOn w:val="a0"/>
    <w:link w:val="a8"/>
    <w:semiHidden/>
    <w:rsid w:val="00A049EB"/>
    <w:rPr>
      <w:sz w:val="24"/>
      <w:szCs w:val="24"/>
    </w:rPr>
  </w:style>
  <w:style w:type="paragraph" w:styleId="aa">
    <w:name w:val="annotation subject"/>
    <w:basedOn w:val="a8"/>
    <w:next w:val="a8"/>
    <w:link w:val="ab"/>
    <w:semiHidden/>
    <w:unhideWhenUsed/>
    <w:rsid w:val="00A049EB"/>
    <w:rPr>
      <w:b/>
      <w:bCs/>
    </w:rPr>
  </w:style>
  <w:style w:type="character" w:customStyle="1" w:styleId="ab">
    <w:name w:val="批注主题 字符"/>
    <w:basedOn w:val="a9"/>
    <w:link w:val="aa"/>
    <w:semiHidden/>
    <w:rsid w:val="00A049EB"/>
    <w:rPr>
      <w:b/>
      <w:bCs/>
      <w:sz w:val="24"/>
      <w:szCs w:val="24"/>
    </w:rPr>
  </w:style>
  <w:style w:type="paragraph" w:styleId="ac">
    <w:name w:val="Balloon Text"/>
    <w:basedOn w:val="a"/>
    <w:link w:val="ad"/>
    <w:rsid w:val="005D6CDE"/>
    <w:rPr>
      <w:rFonts w:ascii="Segoe UI" w:hAnsi="Segoe UI" w:cs="Segoe UI"/>
      <w:sz w:val="18"/>
      <w:szCs w:val="18"/>
    </w:rPr>
  </w:style>
  <w:style w:type="character" w:customStyle="1" w:styleId="ad">
    <w:name w:val="批注框文本 字符"/>
    <w:basedOn w:val="a0"/>
    <w:link w:val="ac"/>
    <w:rsid w:val="005D6C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28</Pages>
  <Words>6272</Words>
  <Characters>35757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25</cp:revision>
  <dcterms:created xsi:type="dcterms:W3CDTF">2021-05-08T16:37:00Z</dcterms:created>
  <dcterms:modified xsi:type="dcterms:W3CDTF">2021-06-07T02:07:00Z</dcterms:modified>
</cp:coreProperties>
</file>