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891D68" w14:textId="77777777" w:rsidR="00411356" w:rsidRPr="00B01787" w:rsidRDefault="008D1FB5">
      <w:pPr>
        <w:spacing w:line="360" w:lineRule="auto"/>
        <w:jc w:val="both"/>
      </w:pPr>
      <w:r w:rsidRPr="00B01787">
        <w:rPr>
          <w:rFonts w:ascii="Book Antiqua" w:eastAsia="Book Antiqua" w:hAnsi="Book Antiqua" w:cs="Book Antiqua"/>
          <w:b/>
          <w:color w:val="000000"/>
        </w:rPr>
        <w:t xml:space="preserve">Name of Journal: </w:t>
      </w:r>
      <w:r w:rsidRPr="00B01787">
        <w:rPr>
          <w:rFonts w:ascii="Book Antiqua" w:eastAsia="Book Antiqua" w:hAnsi="Book Antiqua" w:cs="Book Antiqua"/>
          <w:i/>
          <w:color w:val="000000"/>
        </w:rPr>
        <w:t>World Journal of Clinical Cases</w:t>
      </w:r>
    </w:p>
    <w:p w14:paraId="1239FD45" w14:textId="77777777" w:rsidR="00411356" w:rsidRPr="00B01787" w:rsidRDefault="008D1FB5">
      <w:pPr>
        <w:spacing w:line="360" w:lineRule="auto"/>
        <w:jc w:val="both"/>
      </w:pPr>
      <w:r w:rsidRPr="00B01787">
        <w:rPr>
          <w:rFonts w:ascii="Book Antiqua" w:eastAsia="Book Antiqua" w:hAnsi="Book Antiqua" w:cs="Book Antiqua"/>
          <w:b/>
          <w:color w:val="000000"/>
        </w:rPr>
        <w:t xml:space="preserve">Manuscript NO: </w:t>
      </w:r>
      <w:r w:rsidRPr="00B01787">
        <w:rPr>
          <w:rFonts w:ascii="Book Antiqua" w:eastAsia="Book Antiqua" w:hAnsi="Book Antiqua" w:cs="Book Antiqua"/>
          <w:color w:val="000000"/>
        </w:rPr>
        <w:t>63818</w:t>
      </w:r>
    </w:p>
    <w:p w14:paraId="55B5F56A" w14:textId="77777777" w:rsidR="00411356" w:rsidRPr="00B01787" w:rsidRDefault="008D1FB5">
      <w:pPr>
        <w:spacing w:line="360" w:lineRule="auto"/>
        <w:jc w:val="both"/>
      </w:pPr>
      <w:r w:rsidRPr="00B01787">
        <w:rPr>
          <w:rFonts w:ascii="Book Antiqua" w:eastAsia="Book Antiqua" w:hAnsi="Book Antiqua" w:cs="Book Antiqua"/>
          <w:b/>
          <w:color w:val="000000"/>
        </w:rPr>
        <w:t xml:space="preserve">Manuscript Type: </w:t>
      </w:r>
      <w:r w:rsidRPr="00B01787">
        <w:rPr>
          <w:rFonts w:ascii="Book Antiqua" w:eastAsia="Book Antiqua" w:hAnsi="Book Antiqua" w:cs="Book Antiqua"/>
          <w:color w:val="000000"/>
        </w:rPr>
        <w:t>CASE REPORT</w:t>
      </w:r>
    </w:p>
    <w:p w14:paraId="4094C9EF" w14:textId="77777777" w:rsidR="00411356" w:rsidRPr="00B01787" w:rsidRDefault="00411356">
      <w:pPr>
        <w:spacing w:line="360" w:lineRule="auto"/>
        <w:jc w:val="both"/>
      </w:pPr>
    </w:p>
    <w:p w14:paraId="2713BB47" w14:textId="77777777" w:rsidR="00411356" w:rsidRPr="00B01787" w:rsidRDefault="008D1FB5">
      <w:pPr>
        <w:spacing w:line="360" w:lineRule="auto"/>
        <w:jc w:val="both"/>
      </w:pPr>
      <w:r w:rsidRPr="00B01787">
        <w:rPr>
          <w:rFonts w:ascii="Book Antiqua" w:eastAsia="Book Antiqua" w:hAnsi="Book Antiqua" w:cs="Book Antiqua"/>
          <w:b/>
          <w:bCs/>
          <w:color w:val="000000"/>
          <w:szCs w:val="32"/>
        </w:rPr>
        <w:t>Central pontine myelinolysis mimicking glioma in diabetes: A case report</w:t>
      </w:r>
    </w:p>
    <w:p w14:paraId="3B046A63" w14:textId="77777777" w:rsidR="00411356" w:rsidRPr="00B01787" w:rsidRDefault="00411356">
      <w:pPr>
        <w:spacing w:line="360" w:lineRule="auto"/>
        <w:jc w:val="both"/>
      </w:pPr>
    </w:p>
    <w:p w14:paraId="33721867" w14:textId="77777777" w:rsidR="00411356" w:rsidRPr="00B01787" w:rsidRDefault="008D1FB5">
      <w:pPr>
        <w:spacing w:line="360" w:lineRule="auto"/>
        <w:jc w:val="both"/>
      </w:pPr>
      <w:r w:rsidRPr="00B01787">
        <w:rPr>
          <w:rFonts w:ascii="Book Antiqua" w:eastAsia="Book Antiqua" w:hAnsi="Book Antiqua" w:cs="Book Antiqua"/>
          <w:color w:val="000000"/>
        </w:rPr>
        <w:t xml:space="preserve">Shi XY </w:t>
      </w:r>
      <w:r w:rsidRPr="00B01787">
        <w:rPr>
          <w:rFonts w:ascii="Book Antiqua" w:eastAsia="Book Antiqua" w:hAnsi="Book Antiqua" w:cs="Book Antiqua"/>
          <w:i/>
          <w:iCs/>
          <w:color w:val="000000"/>
        </w:rPr>
        <w:t>et al</w:t>
      </w:r>
      <w:r w:rsidRPr="00B01787">
        <w:rPr>
          <w:rFonts w:ascii="Book Antiqua" w:eastAsia="Book Antiqua" w:hAnsi="Book Antiqua" w:cs="Book Antiqua"/>
          <w:color w:val="000000"/>
        </w:rPr>
        <w:t>. Tumor-like imaging in diabetes</w:t>
      </w:r>
    </w:p>
    <w:p w14:paraId="3B1F095A" w14:textId="77777777" w:rsidR="00411356" w:rsidRPr="00B01787" w:rsidRDefault="00411356">
      <w:pPr>
        <w:spacing w:line="360" w:lineRule="auto"/>
        <w:jc w:val="both"/>
      </w:pPr>
    </w:p>
    <w:p w14:paraId="30B684AF" w14:textId="77777777" w:rsidR="00411356" w:rsidRPr="00B01787" w:rsidRDefault="008D1FB5">
      <w:pPr>
        <w:spacing w:line="360" w:lineRule="auto"/>
        <w:jc w:val="both"/>
      </w:pPr>
      <w:r w:rsidRPr="00B01787">
        <w:rPr>
          <w:rFonts w:ascii="Book Antiqua" w:eastAsia="Book Antiqua" w:hAnsi="Book Antiqua" w:cs="Book Antiqua"/>
          <w:color w:val="000000"/>
        </w:rPr>
        <w:t>Xiao-Yong Shi, Meng-Ting Cai, Hao Shen, Jin-Xia Zhang</w:t>
      </w:r>
    </w:p>
    <w:p w14:paraId="650CEFE2" w14:textId="77777777" w:rsidR="00411356" w:rsidRPr="00B01787" w:rsidRDefault="00411356">
      <w:pPr>
        <w:spacing w:line="360" w:lineRule="auto"/>
        <w:jc w:val="both"/>
      </w:pPr>
    </w:p>
    <w:p w14:paraId="3C5BA7CA" w14:textId="77777777" w:rsidR="00411356" w:rsidRPr="00B01787" w:rsidRDefault="008D1FB5">
      <w:pPr>
        <w:spacing w:line="360" w:lineRule="auto"/>
        <w:jc w:val="both"/>
      </w:pPr>
      <w:r w:rsidRPr="00B01787">
        <w:rPr>
          <w:rFonts w:ascii="Book Antiqua" w:eastAsia="Book Antiqua" w:hAnsi="Book Antiqua" w:cs="Book Antiqua"/>
          <w:b/>
          <w:bCs/>
          <w:color w:val="000000"/>
        </w:rPr>
        <w:t xml:space="preserve">Xiao-Yong Shi, </w:t>
      </w:r>
      <w:r w:rsidRPr="00B01787">
        <w:rPr>
          <w:rFonts w:ascii="Book Antiqua" w:eastAsia="Book Antiqua" w:hAnsi="Book Antiqua" w:cs="Book Antiqua"/>
          <w:color w:val="000000"/>
        </w:rPr>
        <w:t>Department of Brain Center, Affiliated Zhejiang Hospital, Zhejiang University School of Medicine, Hangzhou 310000, Zhejiang Province, China</w:t>
      </w:r>
    </w:p>
    <w:p w14:paraId="2340BF6F" w14:textId="77777777" w:rsidR="00411356" w:rsidRPr="00B01787" w:rsidRDefault="00411356">
      <w:pPr>
        <w:spacing w:line="360" w:lineRule="auto"/>
        <w:jc w:val="both"/>
      </w:pPr>
    </w:p>
    <w:p w14:paraId="05FCD101" w14:textId="77777777" w:rsidR="00411356" w:rsidRPr="00B01787" w:rsidRDefault="008D1FB5">
      <w:pPr>
        <w:spacing w:line="360" w:lineRule="auto"/>
        <w:jc w:val="both"/>
      </w:pPr>
      <w:r w:rsidRPr="00B01787">
        <w:rPr>
          <w:rFonts w:ascii="Book Antiqua" w:eastAsia="Book Antiqua" w:hAnsi="Book Antiqua" w:cs="Book Antiqua"/>
          <w:b/>
          <w:bCs/>
          <w:color w:val="000000"/>
        </w:rPr>
        <w:t xml:space="preserve">Meng-Ting Cai, </w:t>
      </w:r>
      <w:r w:rsidRPr="00B01787">
        <w:rPr>
          <w:rFonts w:ascii="Book Antiqua" w:eastAsia="Book Antiqua" w:hAnsi="Book Antiqua" w:cs="Book Antiqua"/>
          <w:color w:val="000000"/>
        </w:rPr>
        <w:t>Department of Neurology, The Second Affiliated Hospital, School of Medicine, Zhejiang University, Hangzhou 310000, Zhejiang Province, China</w:t>
      </w:r>
    </w:p>
    <w:p w14:paraId="4EEAD85F" w14:textId="77777777" w:rsidR="00411356" w:rsidRPr="00B01787" w:rsidRDefault="00411356">
      <w:pPr>
        <w:spacing w:line="360" w:lineRule="auto"/>
        <w:jc w:val="both"/>
      </w:pPr>
    </w:p>
    <w:p w14:paraId="227B9984" w14:textId="77777777" w:rsidR="00411356" w:rsidRPr="00B01787" w:rsidRDefault="008D1FB5">
      <w:pPr>
        <w:spacing w:line="360" w:lineRule="auto"/>
        <w:jc w:val="both"/>
      </w:pPr>
      <w:r w:rsidRPr="00B01787">
        <w:rPr>
          <w:rFonts w:ascii="Book Antiqua" w:eastAsia="Book Antiqua" w:hAnsi="Book Antiqua" w:cs="Book Antiqua"/>
          <w:b/>
          <w:bCs/>
          <w:color w:val="000000"/>
        </w:rPr>
        <w:t xml:space="preserve">Hao Shen, </w:t>
      </w:r>
      <w:r w:rsidRPr="00B01787">
        <w:rPr>
          <w:rFonts w:ascii="Book Antiqua" w:eastAsia="Book Antiqua" w:hAnsi="Book Antiqua" w:cs="Book Antiqua"/>
          <w:color w:val="000000"/>
        </w:rPr>
        <w:t>Department of Neurology, Hangzhou Hospital of Traditional Chinese Medicine, Hangzhou 310000, Zhejiang Province, China</w:t>
      </w:r>
    </w:p>
    <w:p w14:paraId="7ABD3118" w14:textId="77777777" w:rsidR="00411356" w:rsidRPr="00B01787" w:rsidRDefault="00411356">
      <w:pPr>
        <w:spacing w:line="360" w:lineRule="auto"/>
        <w:jc w:val="both"/>
      </w:pPr>
    </w:p>
    <w:p w14:paraId="4711653F" w14:textId="77777777" w:rsidR="00411356" w:rsidRPr="00B01787" w:rsidRDefault="008D1FB5">
      <w:pPr>
        <w:spacing w:line="360" w:lineRule="auto"/>
        <w:jc w:val="both"/>
      </w:pPr>
      <w:r w:rsidRPr="00B01787">
        <w:rPr>
          <w:rFonts w:ascii="Book Antiqua" w:eastAsia="Book Antiqua" w:hAnsi="Book Antiqua" w:cs="Book Antiqua"/>
          <w:b/>
          <w:bCs/>
          <w:color w:val="000000"/>
        </w:rPr>
        <w:t xml:space="preserve">Jin-Xia Zhang, </w:t>
      </w:r>
      <w:r w:rsidRPr="00B01787">
        <w:rPr>
          <w:rFonts w:ascii="Book Antiqua" w:eastAsia="Book Antiqua" w:hAnsi="Book Antiqua" w:cs="Book Antiqua"/>
          <w:color w:val="000000"/>
        </w:rPr>
        <w:t>Department of Clinical Psychology (Sleep Medical Center), Hangzhou TCM Hospital Affiliated to Zhejiang Chinese Medical University, Hangzhou 310000, Zhejiang Province, China</w:t>
      </w:r>
    </w:p>
    <w:p w14:paraId="016601B9" w14:textId="77777777" w:rsidR="00411356" w:rsidRPr="00B01787" w:rsidRDefault="00411356">
      <w:pPr>
        <w:spacing w:line="360" w:lineRule="auto"/>
        <w:jc w:val="both"/>
      </w:pPr>
    </w:p>
    <w:p w14:paraId="415CD5E5" w14:textId="77777777" w:rsidR="00411356" w:rsidRPr="00B01787" w:rsidRDefault="008D1FB5">
      <w:pPr>
        <w:spacing w:line="360" w:lineRule="auto"/>
        <w:jc w:val="both"/>
      </w:pPr>
      <w:r w:rsidRPr="00B01787">
        <w:rPr>
          <w:rFonts w:ascii="Book Antiqua" w:eastAsia="Book Antiqua" w:hAnsi="Book Antiqua" w:cs="Book Antiqua"/>
          <w:b/>
          <w:bCs/>
          <w:color w:val="000000"/>
        </w:rPr>
        <w:t xml:space="preserve">Author </w:t>
      </w:r>
      <w:bookmarkStart w:id="0" w:name="_Hlk67656134"/>
      <w:r w:rsidRPr="00B01787">
        <w:rPr>
          <w:rFonts w:ascii="Book Antiqua" w:eastAsia="Book Antiqua" w:hAnsi="Book Antiqua" w:cs="Book Antiqua"/>
          <w:b/>
          <w:bCs/>
          <w:color w:val="000000"/>
        </w:rPr>
        <w:t>contribut</w:t>
      </w:r>
      <w:bookmarkEnd w:id="0"/>
      <w:r w:rsidRPr="00B01787">
        <w:rPr>
          <w:rFonts w:ascii="Book Antiqua" w:eastAsia="Book Antiqua" w:hAnsi="Book Antiqua" w:cs="Book Antiqua"/>
          <w:b/>
          <w:bCs/>
          <w:color w:val="000000"/>
        </w:rPr>
        <w:t xml:space="preserve">ions: </w:t>
      </w:r>
      <w:r w:rsidRPr="00B01787">
        <w:rPr>
          <w:rFonts w:ascii="Book Antiqua" w:eastAsia="Book Antiqua" w:hAnsi="Book Antiqua" w:cs="Book Antiqua"/>
          <w:color w:val="000000"/>
        </w:rPr>
        <w:t>Shi XY contributed literature review, initial draft manuscript preparation; Cai MT contributed literature review, initial draft manuscript preparation, provided radiology images; Shen H contributed patient management, provided clinical data; Zhang JX contributed concept and design of the study, final approval of the version to be published; all authors read and approved the final manuscript.</w:t>
      </w:r>
    </w:p>
    <w:p w14:paraId="21869B2B" w14:textId="77777777" w:rsidR="00411356" w:rsidRPr="00B01787" w:rsidRDefault="00411356">
      <w:pPr>
        <w:spacing w:line="360" w:lineRule="auto"/>
        <w:jc w:val="both"/>
      </w:pPr>
    </w:p>
    <w:p w14:paraId="43FB91EB" w14:textId="77777777" w:rsidR="00411356" w:rsidRPr="00B01787" w:rsidRDefault="008D1FB5">
      <w:pPr>
        <w:spacing w:line="360" w:lineRule="auto"/>
        <w:jc w:val="both"/>
      </w:pPr>
      <w:r w:rsidRPr="00B01787">
        <w:rPr>
          <w:rFonts w:ascii="Book Antiqua" w:eastAsia="Book Antiqua" w:hAnsi="Book Antiqua" w:cs="Book Antiqua"/>
          <w:b/>
          <w:bCs/>
          <w:color w:val="000000"/>
        </w:rPr>
        <w:lastRenderedPageBreak/>
        <w:t xml:space="preserve">Corresponding author: Jin-Xia Zhang, MD, Doctor, </w:t>
      </w:r>
      <w:r w:rsidRPr="00B01787">
        <w:rPr>
          <w:rFonts w:ascii="Book Antiqua" w:eastAsia="Book Antiqua" w:hAnsi="Book Antiqua" w:cs="Book Antiqua"/>
          <w:color w:val="000000"/>
        </w:rPr>
        <w:t>Department of Clinical Psychology (Sleep Medical Center), Hangzhou TCM Hospital Affiliated to Zhejiang Chinese Medical University, No. 1630 Huanding Road, Hangzhou 310000, Zhejiang Province, China. zhangjinxia20000@163.com</w:t>
      </w:r>
    </w:p>
    <w:p w14:paraId="2519C149" w14:textId="77777777" w:rsidR="00411356" w:rsidRPr="00B01787" w:rsidRDefault="00411356">
      <w:pPr>
        <w:spacing w:line="360" w:lineRule="auto"/>
        <w:jc w:val="both"/>
      </w:pPr>
    </w:p>
    <w:p w14:paraId="6818C9FC" w14:textId="77777777" w:rsidR="00411356" w:rsidRPr="00B01787" w:rsidRDefault="008D1FB5">
      <w:pPr>
        <w:spacing w:line="360" w:lineRule="auto"/>
        <w:jc w:val="both"/>
      </w:pPr>
      <w:r w:rsidRPr="00B01787">
        <w:rPr>
          <w:rFonts w:ascii="Book Antiqua" w:eastAsia="Book Antiqua" w:hAnsi="Book Antiqua" w:cs="Book Antiqua"/>
          <w:b/>
          <w:bCs/>
          <w:color w:val="000000"/>
        </w:rPr>
        <w:t xml:space="preserve">Received: </w:t>
      </w:r>
      <w:r w:rsidRPr="00B01787">
        <w:rPr>
          <w:rFonts w:ascii="Book Antiqua" w:eastAsia="Book Antiqua" w:hAnsi="Book Antiqua" w:cs="Book Antiqua"/>
          <w:color w:val="000000"/>
        </w:rPr>
        <w:t>February 5, 2021</w:t>
      </w:r>
    </w:p>
    <w:p w14:paraId="1A09B8CB" w14:textId="77777777" w:rsidR="00411356" w:rsidRPr="00B01787" w:rsidRDefault="008D1FB5">
      <w:pPr>
        <w:spacing w:line="360" w:lineRule="auto"/>
        <w:jc w:val="both"/>
      </w:pPr>
      <w:r w:rsidRPr="00B01787">
        <w:rPr>
          <w:rFonts w:ascii="Book Antiqua" w:eastAsia="Book Antiqua" w:hAnsi="Book Antiqua" w:cs="Book Antiqua"/>
          <w:b/>
          <w:bCs/>
          <w:color w:val="000000"/>
        </w:rPr>
        <w:t xml:space="preserve">Revised: </w:t>
      </w:r>
      <w:r w:rsidRPr="00B01787">
        <w:rPr>
          <w:rFonts w:ascii="Book Antiqua" w:eastAsia="Book Antiqua" w:hAnsi="Book Antiqua" w:cs="Book Antiqua"/>
          <w:color w:val="000000"/>
        </w:rPr>
        <w:t>March 9, 2021</w:t>
      </w:r>
    </w:p>
    <w:p w14:paraId="0202FAF9" w14:textId="77777777" w:rsidR="00411356" w:rsidRPr="00B01787" w:rsidRDefault="008D1FB5">
      <w:pPr>
        <w:spacing w:line="360" w:lineRule="auto"/>
        <w:jc w:val="both"/>
      </w:pPr>
      <w:r w:rsidRPr="00B01787">
        <w:rPr>
          <w:rFonts w:ascii="Book Antiqua" w:eastAsia="Book Antiqua" w:hAnsi="Book Antiqua" w:cs="Book Antiqua"/>
          <w:b/>
          <w:bCs/>
          <w:color w:val="000000"/>
        </w:rPr>
        <w:t xml:space="preserve">Accepted: </w:t>
      </w:r>
      <w:r w:rsidRPr="00B01787">
        <w:rPr>
          <w:rFonts w:ascii="Book Antiqua" w:eastAsia="Book Antiqua" w:hAnsi="Book Antiqua" w:cs="Book Antiqua"/>
          <w:color w:val="000000"/>
        </w:rPr>
        <w:t>March 31, 2021</w:t>
      </w:r>
    </w:p>
    <w:p w14:paraId="4762D0EA" w14:textId="77777777" w:rsidR="00411356" w:rsidRPr="00B01787" w:rsidRDefault="008D1FB5">
      <w:pPr>
        <w:spacing w:line="360" w:lineRule="auto"/>
        <w:jc w:val="both"/>
        <w:rPr>
          <w:rFonts w:ascii="Book Antiqua" w:eastAsia="Book Antiqua" w:hAnsi="Book Antiqua" w:cs="Book Antiqua"/>
          <w:b/>
          <w:bCs/>
          <w:color w:val="000000"/>
        </w:rPr>
      </w:pPr>
      <w:r w:rsidRPr="00B01787">
        <w:rPr>
          <w:rFonts w:ascii="Book Antiqua" w:eastAsia="Book Antiqua" w:hAnsi="Book Antiqua" w:cs="Book Antiqua"/>
          <w:b/>
          <w:bCs/>
          <w:color w:val="000000"/>
        </w:rPr>
        <w:t>Published online:</w:t>
      </w:r>
      <w:r w:rsidRPr="00B01787">
        <w:rPr>
          <w:rFonts w:ascii="Book Antiqua" w:eastAsia="Book Antiqua" w:hAnsi="Book Antiqua" w:cs="Book Antiqua"/>
          <w:color w:val="000000"/>
        </w:rPr>
        <w:t xml:space="preserve"> J</w:t>
      </w:r>
      <w:r w:rsidRPr="00B01787">
        <w:rPr>
          <w:rFonts w:ascii="Book Antiqua" w:eastAsia="Book Antiqua" w:hAnsi="Book Antiqua" w:cs="Book Antiqua" w:hint="eastAsia"/>
          <w:color w:val="000000"/>
        </w:rPr>
        <w:t>une</w:t>
      </w:r>
      <w:r w:rsidRPr="00B01787">
        <w:rPr>
          <w:rFonts w:ascii="Book Antiqua" w:eastAsia="Book Antiqua" w:hAnsi="Book Antiqua" w:cs="Book Antiqua"/>
          <w:color w:val="000000"/>
        </w:rPr>
        <w:t xml:space="preserve"> 26, 2021</w:t>
      </w:r>
    </w:p>
    <w:p w14:paraId="34F56C2A" w14:textId="77777777" w:rsidR="00411356" w:rsidRPr="00B01787" w:rsidRDefault="00411356">
      <w:pPr>
        <w:spacing w:line="360" w:lineRule="auto"/>
        <w:jc w:val="both"/>
        <w:rPr>
          <w:rFonts w:ascii="Book Antiqua" w:eastAsia="Book Antiqua" w:hAnsi="Book Antiqua" w:cs="Book Antiqua"/>
          <w:b/>
          <w:bCs/>
          <w:color w:val="000000"/>
        </w:rPr>
      </w:pPr>
    </w:p>
    <w:p w14:paraId="464358DB" w14:textId="77777777" w:rsidR="00411356" w:rsidRPr="00B01787" w:rsidRDefault="00411356">
      <w:pPr>
        <w:spacing w:line="360" w:lineRule="auto"/>
        <w:jc w:val="both"/>
      </w:pPr>
    </w:p>
    <w:p w14:paraId="20B49BFB" w14:textId="77777777" w:rsidR="00411356" w:rsidRPr="00B01787" w:rsidRDefault="00411356">
      <w:pPr>
        <w:spacing w:line="360" w:lineRule="auto"/>
        <w:jc w:val="both"/>
        <w:sectPr w:rsidR="00411356" w:rsidRPr="00B01787">
          <w:footerReference w:type="default" r:id="rId8"/>
          <w:pgSz w:w="12240" w:h="15840"/>
          <w:pgMar w:top="1440" w:right="1440" w:bottom="1440" w:left="1440" w:header="720" w:footer="720" w:gutter="0"/>
          <w:cols w:space="720"/>
          <w:docGrid w:linePitch="360"/>
        </w:sectPr>
      </w:pPr>
    </w:p>
    <w:p w14:paraId="4BD0BE88" w14:textId="77777777" w:rsidR="00411356" w:rsidRPr="00B01787" w:rsidRDefault="008D1FB5">
      <w:pPr>
        <w:spacing w:line="360" w:lineRule="auto"/>
        <w:jc w:val="both"/>
      </w:pPr>
      <w:r w:rsidRPr="00B01787">
        <w:rPr>
          <w:rFonts w:ascii="Book Antiqua" w:eastAsia="Book Antiqua" w:hAnsi="Book Antiqua" w:cs="Book Antiqua"/>
          <w:b/>
          <w:color w:val="000000"/>
        </w:rPr>
        <w:t>Abstract</w:t>
      </w:r>
    </w:p>
    <w:p w14:paraId="222A32C9" w14:textId="77777777" w:rsidR="00411356" w:rsidRPr="00B01787" w:rsidRDefault="008D1FB5">
      <w:pPr>
        <w:spacing w:line="360" w:lineRule="auto"/>
        <w:jc w:val="both"/>
      </w:pPr>
      <w:r w:rsidRPr="00B01787">
        <w:rPr>
          <w:rFonts w:ascii="Book Antiqua" w:eastAsia="Book Antiqua" w:hAnsi="Book Antiqua" w:cs="Book Antiqua"/>
          <w:color w:val="000000"/>
        </w:rPr>
        <w:t>BACKGROUND</w:t>
      </w:r>
    </w:p>
    <w:p w14:paraId="47EB1885" w14:textId="680AB65B" w:rsidR="00411356" w:rsidRPr="00B01787" w:rsidRDefault="008D1FB5">
      <w:pPr>
        <w:spacing w:line="360" w:lineRule="auto"/>
        <w:jc w:val="both"/>
      </w:pPr>
      <w:r w:rsidRPr="00B01787">
        <w:rPr>
          <w:rFonts w:ascii="Book Antiqua" w:eastAsia="Book Antiqua" w:hAnsi="Book Antiqua" w:cs="Book Antiqua"/>
          <w:color w:val="000000"/>
        </w:rPr>
        <w:t xml:space="preserve">Central pontine myelinolysis (CPM) usually occurs during rapid correction of serum osmolality, typically with brainstem lesions presenting uniform signals following enhancement on </w:t>
      </w:r>
      <w:bookmarkStart w:id="1" w:name="_Hlk67657024"/>
      <w:r w:rsidRPr="00B01787">
        <w:rPr>
          <w:rFonts w:ascii="Book Antiqua" w:eastAsia="Book Antiqua" w:hAnsi="Book Antiqua" w:cs="Book Antiqua"/>
          <w:color w:val="000000"/>
        </w:rPr>
        <w:t>magnetic resonance imaging</w:t>
      </w:r>
      <w:bookmarkEnd w:id="1"/>
      <w:r w:rsidRPr="00B01787">
        <w:rPr>
          <w:rFonts w:ascii="Book Antiqua" w:eastAsia="Book Antiqua" w:hAnsi="Book Antiqua" w:cs="Book Antiqua"/>
          <w:color w:val="000000"/>
        </w:rPr>
        <w:t xml:space="preserve"> (MRI). We report a case of CPM caused by diabetes, which was characterized by glioma-like imaging features and the patient responded well to corticosteroids.</w:t>
      </w:r>
    </w:p>
    <w:p w14:paraId="21187571" w14:textId="77777777" w:rsidR="00411356" w:rsidRPr="00B01787" w:rsidRDefault="00411356">
      <w:pPr>
        <w:spacing w:line="360" w:lineRule="auto"/>
        <w:jc w:val="both"/>
      </w:pPr>
    </w:p>
    <w:p w14:paraId="425E42B2" w14:textId="77777777" w:rsidR="00411356" w:rsidRPr="00B01787" w:rsidRDefault="008D1FB5">
      <w:pPr>
        <w:spacing w:line="360" w:lineRule="auto"/>
        <w:jc w:val="both"/>
      </w:pPr>
      <w:r w:rsidRPr="00B01787">
        <w:rPr>
          <w:rFonts w:ascii="Book Antiqua" w:eastAsia="Book Antiqua" w:hAnsi="Book Antiqua" w:cs="Book Antiqua"/>
          <w:color w:val="000000"/>
        </w:rPr>
        <w:t>CASE SUMMARY</w:t>
      </w:r>
    </w:p>
    <w:p w14:paraId="35318DEB" w14:textId="77777777" w:rsidR="00411356" w:rsidRPr="00B01787" w:rsidRDefault="008D1FB5">
      <w:pPr>
        <w:spacing w:line="360" w:lineRule="auto"/>
        <w:jc w:val="both"/>
      </w:pPr>
      <w:r w:rsidRPr="00B01787">
        <w:rPr>
          <w:rFonts w:ascii="Book Antiqua" w:eastAsia="Book Antiqua" w:hAnsi="Book Antiqua" w:cs="Book Antiqua"/>
          <w:color w:val="000000"/>
        </w:rPr>
        <w:t>A 49-year-old man with type 2 diabetes was admitted due to numbness and weakness for 6 mo with progressive aggravation for 2 wk. His complete blood count, serum electrolytes, renal and liver function parameters were within the normal range. MRI showed mass lesions in the brainstem, with unusually inhomogeneous signal intensity after contrast-enhanced scans. His symptoms worsened after hypoglycemic therapy. Due to his clinical history and examination results, CPM was considered the most likely diagnosis. Treatment with corticosteroids was administered with a methylprednisolone pulse in the acute phase followed by dose tapering. During the 8-mo follow-up period, his clinical symptoms and imaging features significantly improved.</w:t>
      </w:r>
    </w:p>
    <w:p w14:paraId="491E2F63" w14:textId="77777777" w:rsidR="00411356" w:rsidRPr="00B01787" w:rsidRDefault="00411356">
      <w:pPr>
        <w:spacing w:line="360" w:lineRule="auto"/>
        <w:jc w:val="both"/>
      </w:pPr>
    </w:p>
    <w:p w14:paraId="260CB997" w14:textId="77777777" w:rsidR="00411356" w:rsidRPr="00B01787" w:rsidRDefault="008D1FB5">
      <w:pPr>
        <w:spacing w:line="360" w:lineRule="auto"/>
        <w:jc w:val="both"/>
      </w:pPr>
      <w:r w:rsidRPr="00B01787">
        <w:rPr>
          <w:rFonts w:ascii="Book Antiqua" w:eastAsia="Book Antiqua" w:hAnsi="Book Antiqua" w:cs="Book Antiqua"/>
          <w:color w:val="000000"/>
        </w:rPr>
        <w:t>CONCLUSION</w:t>
      </w:r>
    </w:p>
    <w:p w14:paraId="51389A6A" w14:textId="460D8BD2" w:rsidR="00411356" w:rsidRPr="00B01787" w:rsidRDefault="008D1FB5">
      <w:pPr>
        <w:spacing w:line="360" w:lineRule="auto"/>
        <w:jc w:val="both"/>
      </w:pPr>
      <w:r w:rsidRPr="00B01787">
        <w:rPr>
          <w:rFonts w:ascii="Book Antiqua" w:eastAsia="Book Antiqua" w:hAnsi="Book Antiqua" w:cs="Book Antiqua"/>
          <w:color w:val="000000"/>
        </w:rPr>
        <w:t>Diabetes c</w:t>
      </w:r>
      <w:r w:rsidR="007E0465" w:rsidRPr="00B01787">
        <w:rPr>
          <w:rFonts w:ascii="Book Antiqua" w:eastAsia="Book Antiqua" w:hAnsi="Book Antiqua" w:cs="Book Antiqua" w:hint="eastAsia"/>
          <w:color w:val="000000"/>
          <w:lang w:eastAsia="zh-CN"/>
        </w:rPr>
        <w:t>ould</w:t>
      </w:r>
      <w:r w:rsidRPr="00B01787">
        <w:rPr>
          <w:rFonts w:ascii="Book Antiqua" w:eastAsia="Book Antiqua" w:hAnsi="Book Antiqua" w:cs="Book Antiqua"/>
          <w:color w:val="000000"/>
        </w:rPr>
        <w:t xml:space="preserve"> rarely be accompanied by CPM, and patients who experience this neurological complication could benefit from corticosteroid treatment. Clinicians should recognize the special relationship between diabetes and CPM, and improve awareness of early identification and appropriate treatment.</w:t>
      </w:r>
    </w:p>
    <w:p w14:paraId="0388B612" w14:textId="77777777" w:rsidR="00411356" w:rsidRPr="00B01787" w:rsidRDefault="00411356">
      <w:pPr>
        <w:spacing w:line="360" w:lineRule="auto"/>
        <w:jc w:val="both"/>
      </w:pPr>
    </w:p>
    <w:p w14:paraId="2EBD70AF" w14:textId="77777777" w:rsidR="00411356" w:rsidRPr="00B01787" w:rsidRDefault="008D1FB5">
      <w:pPr>
        <w:spacing w:line="360" w:lineRule="auto"/>
        <w:jc w:val="both"/>
      </w:pPr>
      <w:r w:rsidRPr="00B01787">
        <w:rPr>
          <w:rFonts w:ascii="Book Antiqua" w:eastAsia="Book Antiqua" w:hAnsi="Book Antiqua" w:cs="Book Antiqua"/>
          <w:b/>
          <w:bCs/>
          <w:color w:val="000000"/>
        </w:rPr>
        <w:t xml:space="preserve">Key Words: </w:t>
      </w:r>
      <w:r w:rsidRPr="00B01787">
        <w:rPr>
          <w:rFonts w:ascii="Book Antiqua" w:eastAsia="Book Antiqua" w:hAnsi="Book Antiqua" w:cs="Book Antiqua"/>
          <w:color w:val="000000"/>
        </w:rPr>
        <w:t>Central pontine myelinolysis; Diabetes; Imaging; Glioma; Corticosteroids; Case report</w:t>
      </w:r>
    </w:p>
    <w:p w14:paraId="3498C07E" w14:textId="77777777" w:rsidR="00411356" w:rsidRPr="00B01787" w:rsidRDefault="00411356">
      <w:pPr>
        <w:spacing w:line="360" w:lineRule="auto"/>
        <w:jc w:val="both"/>
      </w:pPr>
    </w:p>
    <w:p w14:paraId="32E4D240" w14:textId="77777777" w:rsidR="00B01787" w:rsidRPr="00B01787" w:rsidRDefault="00B01787" w:rsidP="00B01787">
      <w:pPr>
        <w:spacing w:line="360" w:lineRule="auto"/>
        <w:jc w:val="both"/>
        <w:rPr>
          <w:lang w:eastAsia="zh-CN"/>
        </w:rPr>
      </w:pPr>
    </w:p>
    <w:p w14:paraId="0F62B1E0" w14:textId="77777777" w:rsidR="00B01787" w:rsidRPr="00B01787" w:rsidRDefault="00B01787" w:rsidP="00B01787">
      <w:pPr>
        <w:spacing w:line="360" w:lineRule="auto"/>
        <w:jc w:val="both"/>
        <w:rPr>
          <w:rFonts w:ascii="Book Antiqua" w:eastAsia="Book Antiqua" w:hAnsi="Book Antiqua" w:cs="Book Antiqua"/>
          <w:color w:val="000000"/>
        </w:rPr>
      </w:pPr>
      <w:r w:rsidRPr="00B01787">
        <w:rPr>
          <w:rFonts w:ascii="Book Antiqua" w:eastAsia="Book Antiqua" w:hAnsi="Book Antiqua" w:cs="Book Antiqua" w:hint="eastAsia"/>
          <w:b/>
          <w:color w:val="000000"/>
        </w:rPr>
        <w:t>©</w:t>
      </w:r>
      <w:r w:rsidRPr="00B01787">
        <w:rPr>
          <w:rFonts w:ascii="Book Antiqua" w:eastAsia="Book Antiqua" w:hAnsi="Book Antiqua" w:cs="Book Antiqua"/>
          <w:b/>
          <w:color w:val="000000"/>
        </w:rPr>
        <w:t>The</w:t>
      </w:r>
      <w:r w:rsidRPr="00B01787">
        <w:rPr>
          <w:rFonts w:ascii="Book Antiqua" w:eastAsia="Book Antiqua" w:hAnsi="Book Antiqua" w:cs="Book Antiqua"/>
          <w:color w:val="000000"/>
        </w:rPr>
        <w:t xml:space="preserve"> </w:t>
      </w:r>
      <w:r w:rsidRPr="00B01787">
        <w:rPr>
          <w:rFonts w:ascii="Book Antiqua" w:eastAsia="Book Antiqua" w:hAnsi="Book Antiqua" w:cs="Book Antiqua"/>
          <w:b/>
          <w:color w:val="000000"/>
        </w:rPr>
        <w:t xml:space="preserve">Author(s) 2021. </w:t>
      </w:r>
      <w:r w:rsidRPr="00B01787">
        <w:rPr>
          <w:rFonts w:ascii="Book Antiqua" w:eastAsia="Book Antiqua" w:hAnsi="Book Antiqua" w:cs="Book Antiqua"/>
          <w:color w:val="000000"/>
        </w:rPr>
        <w:t xml:space="preserve">Published by Baishideng Publishing Group Inc. All rights reserved. </w:t>
      </w:r>
    </w:p>
    <w:p w14:paraId="584EA2EF" w14:textId="77777777" w:rsidR="00B01787" w:rsidRPr="00B01787" w:rsidRDefault="00B01787">
      <w:pPr>
        <w:spacing w:line="360" w:lineRule="auto"/>
        <w:jc w:val="both"/>
        <w:rPr>
          <w:rFonts w:ascii="Book Antiqua" w:hAnsi="Book Antiqua" w:cs="Book Antiqua" w:hint="eastAsia"/>
          <w:b/>
          <w:color w:val="000000"/>
          <w:lang w:eastAsia="zh-CN"/>
        </w:rPr>
      </w:pPr>
    </w:p>
    <w:p w14:paraId="141DF4A6" w14:textId="5EB9C25E" w:rsidR="00C756BB" w:rsidRPr="00B01787" w:rsidRDefault="00C756BB">
      <w:pPr>
        <w:spacing w:line="360" w:lineRule="auto"/>
        <w:jc w:val="both"/>
        <w:rPr>
          <w:rFonts w:ascii="Book Antiqua" w:hAnsi="Book Antiqua" w:cs="Book Antiqua" w:hint="eastAsia"/>
          <w:color w:val="000000"/>
          <w:lang w:eastAsia="zh-CN"/>
        </w:rPr>
      </w:pPr>
      <w:r w:rsidRPr="00B01787">
        <w:rPr>
          <w:rFonts w:ascii="Book Antiqua" w:hAnsi="Book Antiqua" w:cs="Book Antiqua" w:hint="eastAsia"/>
          <w:b/>
          <w:color w:val="000000"/>
          <w:lang w:eastAsia="zh-CN"/>
        </w:rPr>
        <w:t xml:space="preserve">Citation: </w:t>
      </w:r>
      <w:r w:rsidR="008D1FB5" w:rsidRPr="00B01787">
        <w:rPr>
          <w:rFonts w:ascii="Book Antiqua" w:eastAsia="Book Antiqua" w:hAnsi="Book Antiqua" w:cs="Book Antiqua"/>
          <w:color w:val="000000"/>
        </w:rPr>
        <w:t xml:space="preserve">Shi XY, Cai MT, Shen H, Zhang JX. Central pontine myelinolysis mimicking glioma in diabetes: A case report. </w:t>
      </w:r>
      <w:r w:rsidR="008D1FB5" w:rsidRPr="00B01787">
        <w:rPr>
          <w:rFonts w:ascii="Book Antiqua" w:eastAsia="Book Antiqua" w:hAnsi="Book Antiqua" w:cs="Book Antiqua"/>
          <w:i/>
          <w:iCs/>
          <w:color w:val="000000"/>
        </w:rPr>
        <w:t>World J Clin Cases</w:t>
      </w:r>
      <w:r w:rsidR="008D1FB5" w:rsidRPr="00B01787">
        <w:rPr>
          <w:rFonts w:ascii="Book Antiqua" w:eastAsia="Book Antiqua" w:hAnsi="Book Antiqua" w:cs="Book Antiqua"/>
          <w:color w:val="000000"/>
        </w:rPr>
        <w:t xml:space="preserve"> 2021; 9(18): </w:t>
      </w:r>
      <w:r w:rsidRPr="00B01787">
        <w:rPr>
          <w:rFonts w:ascii="Book Antiqua" w:eastAsia="Book Antiqua" w:hAnsi="Book Antiqua" w:cs="Book Antiqua"/>
          <w:color w:val="000000"/>
        </w:rPr>
        <w:t>4837-4843</w:t>
      </w:r>
      <w:r w:rsidR="008D1FB5" w:rsidRPr="00B01787">
        <w:rPr>
          <w:rFonts w:ascii="Book Antiqua" w:eastAsia="Book Antiqua" w:hAnsi="Book Antiqua" w:cs="Book Antiqua"/>
          <w:color w:val="000000"/>
        </w:rPr>
        <w:t xml:space="preserve"> </w:t>
      </w:r>
    </w:p>
    <w:p w14:paraId="7F15534B" w14:textId="77777777" w:rsidR="00C756BB" w:rsidRPr="00B01787" w:rsidRDefault="008D1FB5">
      <w:pPr>
        <w:spacing w:line="360" w:lineRule="auto"/>
        <w:jc w:val="both"/>
        <w:rPr>
          <w:rFonts w:ascii="Book Antiqua" w:hAnsi="Book Antiqua" w:cs="Book Antiqua" w:hint="eastAsia"/>
          <w:color w:val="000000"/>
          <w:lang w:eastAsia="zh-CN"/>
        </w:rPr>
      </w:pPr>
      <w:r w:rsidRPr="00B01787">
        <w:rPr>
          <w:rFonts w:ascii="Book Antiqua" w:eastAsia="Book Antiqua" w:hAnsi="Book Antiqua" w:cs="Book Antiqua"/>
          <w:color w:val="000000"/>
        </w:rPr>
        <w:t>URL: https://www.wjgnet.com/2307-8960/full/v9/i18/</w:t>
      </w:r>
      <w:r w:rsidR="00C756BB" w:rsidRPr="00B01787">
        <w:rPr>
          <w:rFonts w:ascii="Book Antiqua" w:eastAsia="Book Antiqua" w:hAnsi="Book Antiqua" w:cs="Book Antiqua"/>
          <w:color w:val="000000"/>
        </w:rPr>
        <w:t>4837</w:t>
      </w:r>
      <w:r w:rsidRPr="00B01787">
        <w:rPr>
          <w:rFonts w:ascii="Book Antiqua" w:eastAsia="Book Antiqua" w:hAnsi="Book Antiqua" w:cs="Book Antiqua"/>
          <w:color w:val="000000"/>
        </w:rPr>
        <w:t xml:space="preserve">.htm </w:t>
      </w:r>
    </w:p>
    <w:p w14:paraId="631D7039" w14:textId="702954B6" w:rsidR="00411356" w:rsidRPr="00B01787" w:rsidRDefault="008D1FB5">
      <w:pPr>
        <w:spacing w:line="360" w:lineRule="auto"/>
        <w:jc w:val="both"/>
      </w:pPr>
      <w:r w:rsidRPr="00B01787">
        <w:rPr>
          <w:rFonts w:ascii="Book Antiqua" w:eastAsia="Book Antiqua" w:hAnsi="Book Antiqua" w:cs="Book Antiqua"/>
          <w:color w:val="000000"/>
        </w:rPr>
        <w:t>DOI: https://dx.doi.org/10.12998/wjcc.v9.i18.</w:t>
      </w:r>
      <w:r w:rsidR="00C756BB" w:rsidRPr="00B01787">
        <w:rPr>
          <w:rFonts w:ascii="Book Antiqua" w:eastAsia="Book Antiqua" w:hAnsi="Book Antiqua" w:cs="Book Antiqua"/>
          <w:color w:val="000000"/>
        </w:rPr>
        <w:t>4837</w:t>
      </w:r>
    </w:p>
    <w:p w14:paraId="7B671B5C" w14:textId="77777777" w:rsidR="00411356" w:rsidRPr="00B01787" w:rsidRDefault="00411356">
      <w:pPr>
        <w:spacing w:line="360" w:lineRule="auto"/>
        <w:jc w:val="both"/>
      </w:pPr>
    </w:p>
    <w:p w14:paraId="3D91A4C3" w14:textId="152E033F" w:rsidR="00411356" w:rsidRPr="00B01787" w:rsidRDefault="008D1FB5">
      <w:pPr>
        <w:spacing w:line="360" w:lineRule="auto"/>
        <w:jc w:val="both"/>
        <w:rPr>
          <w:rFonts w:ascii="Book Antiqua" w:eastAsia="Book Antiqua" w:hAnsi="Book Antiqua" w:cs="Book Antiqua"/>
          <w:color w:val="000000"/>
        </w:rPr>
      </w:pPr>
      <w:r w:rsidRPr="00B01787">
        <w:rPr>
          <w:rFonts w:ascii="Book Antiqua" w:eastAsia="Book Antiqua" w:hAnsi="Book Antiqua" w:cs="Book Antiqua"/>
          <w:b/>
          <w:bCs/>
          <w:color w:val="000000"/>
        </w:rPr>
        <w:t xml:space="preserve">Core Tip: </w:t>
      </w:r>
      <w:r w:rsidRPr="00B01787">
        <w:rPr>
          <w:rFonts w:ascii="Book Antiqua" w:eastAsia="Book Antiqua" w:hAnsi="Book Antiqua" w:cs="Book Antiqua"/>
          <w:color w:val="000000"/>
        </w:rPr>
        <w:t>Central pontine myelinolysis (CPM) usually occurs during rapid correction of serum osmolality. We describe a 49-year-old man with type 2 diabetes who developed CPM without a history of hyponatremia or other common causes. Lesions in his brainstem showed</w:t>
      </w:r>
      <w:r w:rsidRPr="00B01787">
        <w:rPr>
          <w:rFonts w:ascii="Book Antiqua" w:eastAsia="Book Antiqua" w:hAnsi="Book Antiqua" w:cs="Book Antiqua"/>
        </w:rPr>
        <w:t xml:space="preserve"> </w:t>
      </w:r>
      <w:r w:rsidRPr="00B01787">
        <w:rPr>
          <w:rFonts w:ascii="Book Antiqua" w:eastAsia="Book Antiqua" w:hAnsi="Book Antiqua" w:cs="Book Antiqua"/>
          <w:lang w:eastAsia="zh-Hans"/>
        </w:rPr>
        <w:t xml:space="preserve">atypical </w:t>
      </w:r>
      <w:r w:rsidRPr="00B01787">
        <w:rPr>
          <w:rFonts w:ascii="Book Antiqua" w:eastAsia="Book Antiqua" w:hAnsi="Book Antiqua" w:cs="Book Antiqua"/>
        </w:rPr>
        <w:t>glioma-like inhomogeneous signal intensity on contrast-enhanced magnetic resonance imaging. He</w:t>
      </w:r>
      <w:r w:rsidRPr="00B01787">
        <w:rPr>
          <w:rFonts w:ascii="Book Antiqua" w:eastAsia="Book Antiqua" w:hAnsi="Book Antiqua" w:cs="Book Antiqua"/>
          <w:color w:val="000000"/>
        </w:rPr>
        <w:t xml:space="preserve"> recovered after methylprednisolone pulse therapy in the acute phase and subsequent dose tapering. Our patient revealed an unusual cause and imaging presentation of CPM, implying the benefits of corticosteroid therapy to outcomes</w:t>
      </w:r>
      <w:r w:rsidR="00303ADD" w:rsidRPr="00B01787">
        <w:rPr>
          <w:rFonts w:ascii="Book Antiqua" w:eastAsia="Book Antiqua" w:hAnsi="Book Antiqua" w:cs="Book Antiqua"/>
          <w:color w:val="000000"/>
        </w:rPr>
        <w:t xml:space="preserve">. Thus, </w:t>
      </w:r>
      <w:r w:rsidR="00A41A56" w:rsidRPr="00B01787">
        <w:rPr>
          <w:rFonts w:ascii="Book Antiqua" w:eastAsia="Book Antiqua" w:hAnsi="Book Antiqua" w:cs="Book Antiqua"/>
          <w:color w:val="000000"/>
        </w:rPr>
        <w:t xml:space="preserve">it might </w:t>
      </w:r>
      <w:r w:rsidR="004A5907" w:rsidRPr="00B01787">
        <w:rPr>
          <w:rFonts w:ascii="Book Antiqua" w:eastAsia="Book Antiqua" w:hAnsi="Book Antiqua" w:cs="Book Antiqua"/>
          <w:color w:val="000000"/>
        </w:rPr>
        <w:t xml:space="preserve">be helpful </w:t>
      </w:r>
      <w:r w:rsidR="0033364E" w:rsidRPr="00B01787">
        <w:rPr>
          <w:rFonts w:ascii="Book Antiqua" w:eastAsia="Book Antiqua" w:hAnsi="Book Antiqua" w:cs="Book Antiqua"/>
          <w:color w:val="000000"/>
        </w:rPr>
        <w:t xml:space="preserve">for clinicians </w:t>
      </w:r>
      <w:r w:rsidR="0033364E" w:rsidRPr="00B01787">
        <w:rPr>
          <w:rFonts w:ascii="Book Antiqua" w:eastAsia="Book Antiqua" w:hAnsi="Book Antiqua" w:cs="Book Antiqua" w:hint="eastAsia"/>
          <w:color w:val="000000"/>
          <w:lang w:eastAsia="zh-CN"/>
        </w:rPr>
        <w:t>on</w:t>
      </w:r>
      <w:r w:rsidR="004A5907" w:rsidRPr="00B01787">
        <w:rPr>
          <w:rFonts w:ascii="Book Antiqua" w:eastAsia="Book Antiqua" w:hAnsi="Book Antiqua" w:cs="Book Antiqua"/>
          <w:color w:val="000000"/>
        </w:rPr>
        <w:t xml:space="preserve"> </w:t>
      </w:r>
      <w:r w:rsidR="00303ADD" w:rsidRPr="00B01787">
        <w:rPr>
          <w:rFonts w:ascii="Book Antiqua" w:eastAsia="Book Antiqua" w:hAnsi="Book Antiqua" w:cs="Book Antiqua"/>
          <w:color w:val="000000"/>
        </w:rPr>
        <w:t>diagnostic and</w:t>
      </w:r>
      <w:r w:rsidRPr="00B01787">
        <w:rPr>
          <w:rFonts w:ascii="Book Antiqua" w:eastAsia="Book Antiqua" w:hAnsi="Book Antiqua" w:cs="Book Antiqua"/>
          <w:color w:val="000000"/>
        </w:rPr>
        <w:t xml:space="preserve"> therapeutic decision</w:t>
      </w:r>
      <w:r w:rsidR="000242C7" w:rsidRPr="00B01787">
        <w:rPr>
          <w:rFonts w:ascii="Book Antiqua" w:eastAsia="Book Antiqua" w:hAnsi="Book Antiqua" w:cs="Book Antiqua"/>
          <w:color w:val="000000"/>
        </w:rPr>
        <w:t xml:space="preserve"> </w:t>
      </w:r>
      <w:r w:rsidR="000242C7" w:rsidRPr="00B01787">
        <w:rPr>
          <w:rFonts w:ascii="Book Antiqua" w:eastAsia="Book Antiqua" w:hAnsi="Book Antiqua" w:cs="Book Antiqua" w:hint="eastAsia"/>
          <w:color w:val="000000"/>
          <w:lang w:eastAsia="zh-CN"/>
        </w:rPr>
        <w:t>in</w:t>
      </w:r>
      <w:r w:rsidR="000242C7" w:rsidRPr="00B01787">
        <w:rPr>
          <w:rFonts w:ascii="Book Antiqua" w:eastAsia="Book Antiqua" w:hAnsi="Book Antiqua" w:cs="Book Antiqua"/>
          <w:color w:val="000000"/>
          <w:lang w:eastAsia="zh-CN"/>
        </w:rPr>
        <w:t xml:space="preserve"> </w:t>
      </w:r>
      <w:r w:rsidR="000242C7" w:rsidRPr="00B01787">
        <w:rPr>
          <w:rFonts w:ascii="Book Antiqua" w:eastAsia="Book Antiqua" w:hAnsi="Book Antiqua" w:cs="Book Antiqua" w:hint="eastAsia"/>
          <w:color w:val="000000"/>
          <w:lang w:eastAsia="zh-CN"/>
        </w:rPr>
        <w:t>the</w:t>
      </w:r>
      <w:r w:rsidR="000242C7" w:rsidRPr="00B01787">
        <w:rPr>
          <w:rFonts w:ascii="Book Antiqua" w:eastAsia="Book Antiqua" w:hAnsi="Book Antiqua" w:cs="Book Antiqua"/>
          <w:color w:val="000000"/>
          <w:lang w:eastAsia="zh-CN"/>
        </w:rPr>
        <w:t xml:space="preserve"> </w:t>
      </w:r>
      <w:r w:rsidR="00330028" w:rsidRPr="00B01787">
        <w:rPr>
          <w:rFonts w:ascii="Book Antiqua" w:eastAsia="Book Antiqua" w:hAnsi="Book Antiqua" w:cs="Book Antiqua" w:hint="eastAsia"/>
          <w:color w:val="000000"/>
          <w:lang w:eastAsia="zh-CN"/>
        </w:rPr>
        <w:t>future</w:t>
      </w:r>
      <w:r w:rsidRPr="00B01787">
        <w:rPr>
          <w:rFonts w:ascii="Book Antiqua" w:eastAsia="Book Antiqua" w:hAnsi="Book Antiqua" w:cs="Book Antiqua"/>
          <w:color w:val="000000"/>
        </w:rPr>
        <w:t>.</w:t>
      </w:r>
    </w:p>
    <w:p w14:paraId="176AAEEC" w14:textId="77777777" w:rsidR="00411356" w:rsidRPr="00B01787" w:rsidRDefault="008D1FB5">
      <w:pPr>
        <w:spacing w:line="360" w:lineRule="auto"/>
        <w:jc w:val="both"/>
      </w:pPr>
      <w:r w:rsidRPr="00B01787">
        <w:br w:type="page"/>
      </w:r>
      <w:r w:rsidRPr="00B01787">
        <w:rPr>
          <w:rFonts w:ascii="Book Antiqua" w:eastAsia="Book Antiqua" w:hAnsi="Book Antiqua" w:cs="Book Antiqua"/>
          <w:b/>
          <w:caps/>
          <w:color w:val="000000"/>
          <w:u w:val="single"/>
        </w:rPr>
        <w:t>INTRODUCTION</w:t>
      </w:r>
    </w:p>
    <w:p w14:paraId="72C564A7" w14:textId="17E0C489" w:rsidR="00411356" w:rsidRPr="00B01787" w:rsidRDefault="008D1FB5">
      <w:pPr>
        <w:spacing w:line="360" w:lineRule="auto"/>
        <w:jc w:val="both"/>
      </w:pPr>
      <w:r w:rsidRPr="00B01787">
        <w:rPr>
          <w:rFonts w:ascii="Book Antiqua" w:eastAsia="Book Antiqua" w:hAnsi="Book Antiqua" w:cs="Book Antiqua"/>
          <w:color w:val="000000"/>
        </w:rPr>
        <w:t xml:space="preserve">Central pontine myelinolysis (CPM) is a neurological disorder that frequently occurs after rapid correction of hyponatremia. It was first described as a disorder associated with alcoholics and malnutrition in 1959 by Adams </w:t>
      </w:r>
      <w:r w:rsidRPr="00B01787">
        <w:rPr>
          <w:rFonts w:ascii="Book Antiqua" w:eastAsia="Book Antiqua" w:hAnsi="Book Antiqua" w:cs="Book Antiqua"/>
          <w:i/>
          <w:iCs/>
          <w:color w:val="000000"/>
        </w:rPr>
        <w:t>et al</w:t>
      </w:r>
      <w:r w:rsidRPr="00B01787">
        <w:rPr>
          <w:rFonts w:ascii="Book Antiqua" w:eastAsia="Book Antiqua" w:hAnsi="Book Antiqua" w:cs="Book Antiqua"/>
          <w:color w:val="000000"/>
          <w:szCs w:val="20"/>
          <w:vertAlign w:val="superscript"/>
        </w:rPr>
        <w:t>[1]</w:t>
      </w:r>
      <w:r w:rsidRPr="00B01787">
        <w:rPr>
          <w:rFonts w:ascii="Book Antiqua" w:eastAsia="Book Antiqua" w:hAnsi="Book Antiqua" w:cs="Book Antiqua"/>
          <w:color w:val="000000"/>
        </w:rPr>
        <w:t>, and was later known as osmotic demyelination syndrome</w:t>
      </w:r>
      <w:r w:rsidRPr="00B01787">
        <w:rPr>
          <w:rFonts w:ascii="Book Antiqua" w:eastAsia="Book Antiqua" w:hAnsi="Book Antiqua" w:cs="Book Antiqua"/>
          <w:color w:val="000000"/>
          <w:szCs w:val="20"/>
          <w:vertAlign w:val="superscript"/>
        </w:rPr>
        <w:t>[2]</w:t>
      </w:r>
      <w:r w:rsidRPr="00B01787">
        <w:rPr>
          <w:rFonts w:ascii="Book Antiqua" w:eastAsia="Book Antiqua" w:hAnsi="Book Antiqua" w:cs="Book Antiqua"/>
          <w:color w:val="000000"/>
        </w:rPr>
        <w:t>. The pathophysiology of CPM is not completely understood. Currently, CPM is considered a concentrated, frequently symmetric, non-inflammatory demyelination within the central basis pontis. Other regions including the cerebral hemispheres, thalamus, basal nuclei, and cerebellum c</w:t>
      </w:r>
      <w:r w:rsidRPr="00B01787">
        <w:rPr>
          <w:rFonts w:ascii="Book Antiqua" w:eastAsia="Book Antiqua" w:hAnsi="Book Antiqua" w:cs="Book Antiqua" w:hint="eastAsia"/>
          <w:color w:val="000000"/>
          <w:lang w:eastAsia="zh-Hans"/>
        </w:rPr>
        <w:t>ould</w:t>
      </w:r>
      <w:r w:rsidRPr="00B01787">
        <w:rPr>
          <w:rFonts w:ascii="Book Antiqua" w:eastAsia="Book Antiqua" w:hAnsi="Book Antiqua" w:cs="Book Antiqua"/>
          <w:color w:val="000000"/>
        </w:rPr>
        <w:t xml:space="preserve"> also be affected, which is called ‘extrapontine myelinolysis’</w:t>
      </w:r>
      <w:r w:rsidRPr="00B01787">
        <w:rPr>
          <w:rFonts w:ascii="Book Antiqua" w:eastAsia="Book Antiqua" w:hAnsi="Book Antiqua" w:cs="Book Antiqua"/>
          <w:color w:val="000000"/>
          <w:szCs w:val="20"/>
          <w:vertAlign w:val="superscript"/>
        </w:rPr>
        <w:t>[3]</w:t>
      </w:r>
      <w:r w:rsidRPr="00B01787">
        <w:rPr>
          <w:rFonts w:ascii="Book Antiqua" w:eastAsia="Book Antiqua" w:hAnsi="Book Antiqua" w:cs="Book Antiqua"/>
          <w:color w:val="000000"/>
        </w:rPr>
        <w:t>. Following too rapid correction of hyponatremia with intravenous fluids, the extracellular tonicity increases dramatically, while the intracellular osmoles fail to change in time, and water is then driven out of the brain cells. As a result, cellular edema develops with dysfunction of water regulation. The fiber tracts in these susceptible regions contain abundant compact white and gray matter which are compressed and further induce demyelination</w:t>
      </w:r>
      <w:r w:rsidRPr="00B01787">
        <w:rPr>
          <w:rFonts w:ascii="Book Antiqua" w:eastAsia="Book Antiqua" w:hAnsi="Book Antiqua" w:cs="Book Antiqua"/>
          <w:color w:val="000000"/>
          <w:szCs w:val="20"/>
          <w:vertAlign w:val="superscript"/>
        </w:rPr>
        <w:t>[3,4]</w:t>
      </w:r>
      <w:r w:rsidRPr="00B01787">
        <w:rPr>
          <w:rFonts w:ascii="Book Antiqua" w:eastAsia="Book Antiqua" w:hAnsi="Book Antiqua" w:cs="Book Antiqua"/>
          <w:color w:val="000000"/>
        </w:rPr>
        <w:t>. The lesions are frequently demonstrated as hypointense on T1-weighted imaging (T1WI), hyperintense on</w:t>
      </w:r>
      <w:r w:rsidRPr="00B01787">
        <w:rPr>
          <w:rFonts w:ascii="Book Antiqua" w:eastAsia="Book Antiqua" w:hAnsi="Book Antiqua" w:cs="Book Antiqua" w:hint="eastAsia"/>
          <w:color w:val="000000"/>
        </w:rPr>
        <w:t xml:space="preserve"> T</w:t>
      </w:r>
      <w:r w:rsidRPr="00B01787">
        <w:rPr>
          <w:rFonts w:ascii="Book Antiqua" w:eastAsia="Book Antiqua" w:hAnsi="Book Antiqua" w:cs="Book Antiqua"/>
          <w:color w:val="000000"/>
        </w:rPr>
        <w:t>2</w:t>
      </w:r>
      <w:r w:rsidRPr="00B01787">
        <w:rPr>
          <w:rFonts w:ascii="Book Antiqua" w:eastAsia="Book Antiqua" w:hAnsi="Book Antiqua" w:cs="Book Antiqua" w:hint="eastAsia"/>
          <w:color w:val="000000"/>
        </w:rPr>
        <w:t>-weighted imaging</w:t>
      </w:r>
      <w:r w:rsidRPr="00B01787">
        <w:rPr>
          <w:rFonts w:ascii="Book Antiqua" w:eastAsia="Book Antiqua" w:hAnsi="Book Antiqua" w:cs="Book Antiqua"/>
          <w:color w:val="000000"/>
        </w:rPr>
        <w:t xml:space="preserve"> (T2WI)/ fluid-attenuated inversion recovery (FLAIR), hyperintense on diffusion weighted imaging (DWI), and isointense or hypointense on apparent diffusion coefficient (ADC), </w:t>
      </w:r>
      <w:r w:rsidR="00253F90" w:rsidRPr="00B01787">
        <w:rPr>
          <w:rFonts w:ascii="Book Antiqua" w:eastAsia="Book Antiqua" w:hAnsi="Book Antiqua" w:cs="Book Antiqua" w:hint="eastAsia"/>
          <w:color w:val="000000"/>
          <w:lang w:eastAsia="zh-CN"/>
        </w:rPr>
        <w:t>yet</w:t>
      </w:r>
      <w:r w:rsidR="00253F90" w:rsidRPr="00B01787">
        <w:rPr>
          <w:rFonts w:ascii="Book Antiqua" w:eastAsia="Book Antiqua" w:hAnsi="Book Antiqua" w:cs="Book Antiqua"/>
          <w:color w:val="000000"/>
          <w:lang w:eastAsia="zh-CN"/>
        </w:rPr>
        <w:t xml:space="preserve"> </w:t>
      </w:r>
      <w:r w:rsidRPr="00B01787">
        <w:rPr>
          <w:rFonts w:ascii="Book Antiqua" w:eastAsia="Book Antiqua" w:hAnsi="Book Antiqua" w:cs="Book Antiqua"/>
          <w:color w:val="000000"/>
        </w:rPr>
        <w:t>with</w:t>
      </w:r>
      <w:r w:rsidR="00D32275" w:rsidRPr="00B01787">
        <w:rPr>
          <w:rFonts w:ascii="Book Antiqua" w:eastAsia="Book Antiqua" w:hAnsi="Book Antiqua" w:cs="Book Antiqua"/>
          <w:color w:val="000000"/>
        </w:rPr>
        <w:t xml:space="preserve"> </w:t>
      </w:r>
      <w:r w:rsidR="00D32275" w:rsidRPr="00B01787">
        <w:rPr>
          <w:rFonts w:ascii="Book Antiqua" w:eastAsia="Book Antiqua" w:hAnsi="Book Antiqua" w:cs="Book Antiqua" w:hint="eastAsia"/>
          <w:color w:val="000000"/>
          <w:lang w:eastAsia="zh-CN"/>
        </w:rPr>
        <w:t>no</w:t>
      </w:r>
      <w:r w:rsidRPr="00B01787">
        <w:rPr>
          <w:rFonts w:ascii="Book Antiqua" w:eastAsia="Book Antiqua" w:hAnsi="Book Antiqua" w:cs="Book Antiqua"/>
          <w:color w:val="000000"/>
        </w:rPr>
        <w:t xml:space="preserve"> </w:t>
      </w:r>
      <w:r w:rsidR="00253F90" w:rsidRPr="00B01787">
        <w:rPr>
          <w:rFonts w:ascii="Book Antiqua" w:eastAsia="Book Antiqua" w:hAnsi="Book Antiqua" w:cs="Book Antiqua" w:hint="eastAsia"/>
          <w:color w:val="000000"/>
          <w:lang w:eastAsia="zh-CN"/>
        </w:rPr>
        <w:t>abnormal</w:t>
      </w:r>
      <w:r w:rsidR="00253F90" w:rsidRPr="00B01787">
        <w:rPr>
          <w:rFonts w:ascii="Book Antiqua" w:eastAsia="Book Antiqua" w:hAnsi="Book Antiqua" w:cs="Book Antiqua"/>
          <w:color w:val="000000"/>
          <w:lang w:eastAsia="zh-CN"/>
        </w:rPr>
        <w:t xml:space="preserve"> </w:t>
      </w:r>
      <w:r w:rsidRPr="00B01787">
        <w:rPr>
          <w:rFonts w:ascii="Book Antiqua" w:eastAsia="Book Antiqua" w:hAnsi="Book Antiqua" w:cs="Book Antiqua"/>
          <w:color w:val="000000"/>
        </w:rPr>
        <w:t>enhanc</w:t>
      </w:r>
      <w:r w:rsidR="00D32275" w:rsidRPr="00B01787">
        <w:rPr>
          <w:rFonts w:ascii="Book Antiqua" w:eastAsia="Book Antiqua" w:hAnsi="Book Antiqua" w:cs="Book Antiqua" w:hint="eastAsia"/>
          <w:color w:val="000000"/>
          <w:lang w:eastAsia="zh-CN"/>
        </w:rPr>
        <w:t>ed</w:t>
      </w:r>
      <w:r w:rsidR="00D32275" w:rsidRPr="00B01787">
        <w:rPr>
          <w:rFonts w:ascii="Book Antiqua" w:eastAsia="Book Antiqua" w:hAnsi="Book Antiqua" w:cs="Book Antiqua"/>
          <w:color w:val="000000"/>
          <w:lang w:eastAsia="zh-CN"/>
        </w:rPr>
        <w:t xml:space="preserve"> </w:t>
      </w:r>
      <w:r w:rsidR="00253F90" w:rsidRPr="00B01787">
        <w:rPr>
          <w:rFonts w:ascii="Book Antiqua" w:eastAsia="Book Antiqua" w:hAnsi="Book Antiqua" w:cs="Book Antiqua" w:hint="eastAsia"/>
          <w:color w:val="000000"/>
          <w:lang w:eastAsia="zh-CN"/>
        </w:rPr>
        <w:t>signal</w:t>
      </w:r>
      <w:r w:rsidRPr="00B01787">
        <w:rPr>
          <w:rFonts w:ascii="Book Antiqua" w:eastAsia="Book Antiqua" w:hAnsi="Book Antiqua" w:cs="Book Antiqua"/>
          <w:color w:val="000000"/>
        </w:rPr>
        <w:t>. The regions appear as a classic-trident-shaped area. Prophylactic and supportive treatments predominate, without evidence of efficacy of adjunctive corticosteroid therapy</w:t>
      </w:r>
      <w:r w:rsidRPr="00B01787">
        <w:rPr>
          <w:rFonts w:ascii="Book Antiqua" w:eastAsia="Book Antiqua" w:hAnsi="Book Antiqua" w:cs="Book Antiqua"/>
          <w:color w:val="000000"/>
          <w:szCs w:val="20"/>
          <w:vertAlign w:val="superscript"/>
        </w:rPr>
        <w:t>[4]</w:t>
      </w:r>
      <w:r w:rsidRPr="00B01787">
        <w:rPr>
          <w:rFonts w:ascii="Book Antiqua" w:eastAsia="Book Antiqua" w:hAnsi="Book Antiqua" w:cs="Book Antiqua"/>
          <w:color w:val="000000"/>
        </w:rPr>
        <w:t>. Herein we describe a case of CPM caused by type 2 diabetes, showing glioma-like inhomogeneous signal intensity on contrast-enhanced magnetic resonance imaging (MRI). Methylprednisolone pulse therapy in the acute phase was followed by dose tapering, which improved the patient’s clinical outcome.</w:t>
      </w:r>
    </w:p>
    <w:p w14:paraId="19B36177" w14:textId="77777777" w:rsidR="00411356" w:rsidRPr="00B01787" w:rsidRDefault="00411356">
      <w:pPr>
        <w:spacing w:line="360" w:lineRule="auto"/>
        <w:jc w:val="both"/>
      </w:pPr>
    </w:p>
    <w:p w14:paraId="11AEE362" w14:textId="77777777" w:rsidR="00411356" w:rsidRPr="00B01787" w:rsidRDefault="008D1FB5">
      <w:pPr>
        <w:spacing w:line="360" w:lineRule="auto"/>
        <w:jc w:val="both"/>
      </w:pPr>
      <w:r w:rsidRPr="00B01787">
        <w:rPr>
          <w:rFonts w:ascii="Book Antiqua" w:eastAsia="Book Antiqua" w:hAnsi="Book Antiqua" w:cs="Book Antiqua"/>
          <w:b/>
          <w:caps/>
          <w:color w:val="000000"/>
          <w:u w:val="single"/>
        </w:rPr>
        <w:t>CASE PRESENTATION</w:t>
      </w:r>
    </w:p>
    <w:p w14:paraId="7D55CF36" w14:textId="77777777" w:rsidR="00411356" w:rsidRPr="00B01787" w:rsidRDefault="008D1FB5">
      <w:pPr>
        <w:spacing w:line="360" w:lineRule="auto"/>
        <w:jc w:val="both"/>
      </w:pPr>
      <w:r w:rsidRPr="00B01787">
        <w:rPr>
          <w:rFonts w:ascii="Book Antiqua" w:eastAsia="Book Antiqua" w:hAnsi="Book Antiqua" w:cs="Book Antiqua"/>
          <w:b/>
          <w:i/>
          <w:color w:val="000000"/>
        </w:rPr>
        <w:t>Chief complaints</w:t>
      </w:r>
    </w:p>
    <w:p w14:paraId="5FFB35B0" w14:textId="77777777" w:rsidR="00411356" w:rsidRPr="00B01787" w:rsidRDefault="008D1FB5">
      <w:pPr>
        <w:spacing w:line="360" w:lineRule="auto"/>
        <w:jc w:val="both"/>
      </w:pPr>
      <w:r w:rsidRPr="00B01787">
        <w:rPr>
          <w:rFonts w:ascii="Book Antiqua" w:eastAsia="Book Antiqua" w:hAnsi="Book Antiqua" w:cs="Book Antiqua"/>
          <w:color w:val="000000"/>
        </w:rPr>
        <w:t xml:space="preserve">A 49-year-old Chinese man was referred to our hospital due to chronic onset of numbness and weakness of the lower limbs for 6 mo, progressively worsening with abasia, blurred vision, and speech disorder for more than 2 wk. </w:t>
      </w:r>
    </w:p>
    <w:p w14:paraId="43479081" w14:textId="77777777" w:rsidR="00411356" w:rsidRPr="00B01787" w:rsidRDefault="00411356">
      <w:pPr>
        <w:spacing w:line="360" w:lineRule="auto"/>
        <w:jc w:val="both"/>
      </w:pPr>
    </w:p>
    <w:p w14:paraId="2B7F9076" w14:textId="77777777" w:rsidR="00411356" w:rsidRPr="00B01787" w:rsidRDefault="008D1FB5">
      <w:pPr>
        <w:spacing w:line="360" w:lineRule="auto"/>
        <w:jc w:val="both"/>
      </w:pPr>
      <w:r w:rsidRPr="00B01787">
        <w:rPr>
          <w:rFonts w:ascii="Book Antiqua" w:eastAsia="Book Antiqua" w:hAnsi="Book Antiqua" w:cs="Book Antiqua"/>
          <w:b/>
          <w:i/>
          <w:color w:val="000000"/>
        </w:rPr>
        <w:t>History of present illness</w:t>
      </w:r>
    </w:p>
    <w:p w14:paraId="57D5D269" w14:textId="24E08773" w:rsidR="00411356" w:rsidRPr="00B01787" w:rsidRDefault="008D1FB5">
      <w:pPr>
        <w:spacing w:line="360" w:lineRule="auto"/>
        <w:jc w:val="both"/>
      </w:pPr>
      <w:r w:rsidRPr="00B01787">
        <w:rPr>
          <w:rFonts w:ascii="Book Antiqua" w:eastAsia="Book Antiqua" w:hAnsi="Book Antiqua" w:cs="Book Antiqua"/>
          <w:color w:val="000000"/>
        </w:rPr>
        <w:t xml:space="preserve">The patient developed blurred vision and slight dysarthria after a 2-wk period of treatment for diabetes, corresponding to lesions in the brainstem were subsequently demonstrated on MRI. For further diagnosis and treatment, he was transferred to the emergency intensive care unit in Hangzhou Hospital of Traditional Chinese Medicine on June 8, 2020. At that time, he developed urinary retention and </w:t>
      </w:r>
      <w:r w:rsidR="00913D03" w:rsidRPr="00B01787">
        <w:rPr>
          <w:rFonts w:ascii="Book Antiqua" w:eastAsia="Book Antiqua" w:hAnsi="Book Antiqua" w:cs="Book Antiqua" w:hint="eastAsia"/>
          <w:color w:val="000000"/>
          <w:lang w:eastAsia="zh-CN"/>
        </w:rPr>
        <w:t>under</w:t>
      </w:r>
      <w:r w:rsidR="000242C7" w:rsidRPr="00B01787">
        <w:rPr>
          <w:rFonts w:ascii="Book Antiqua" w:eastAsia="Book Antiqua" w:hAnsi="Book Antiqua" w:cs="Book Antiqua" w:hint="eastAsia"/>
          <w:color w:val="000000"/>
          <w:lang w:eastAsia="zh-CN"/>
        </w:rPr>
        <w:t>went</w:t>
      </w:r>
      <w:r w:rsidR="000242C7" w:rsidRPr="00B01787">
        <w:rPr>
          <w:rFonts w:ascii="Book Antiqua" w:eastAsia="Book Antiqua" w:hAnsi="Book Antiqua" w:cs="Book Antiqua"/>
          <w:color w:val="000000"/>
          <w:lang w:eastAsia="zh-CN"/>
        </w:rPr>
        <w:t xml:space="preserve"> </w:t>
      </w:r>
      <w:r w:rsidRPr="00B01787">
        <w:rPr>
          <w:rFonts w:ascii="Book Antiqua" w:eastAsia="Book Antiqua" w:hAnsi="Book Antiqua" w:cs="Book Antiqua"/>
          <w:color w:val="000000"/>
        </w:rPr>
        <w:t xml:space="preserve">indwelling catheterization. </w:t>
      </w:r>
    </w:p>
    <w:p w14:paraId="40F5F44A" w14:textId="77777777" w:rsidR="00411356" w:rsidRPr="00B01787" w:rsidRDefault="00411356">
      <w:pPr>
        <w:spacing w:line="360" w:lineRule="auto"/>
        <w:jc w:val="both"/>
      </w:pPr>
    </w:p>
    <w:p w14:paraId="36A9952C" w14:textId="77777777" w:rsidR="00411356" w:rsidRPr="00B01787" w:rsidRDefault="008D1FB5">
      <w:pPr>
        <w:spacing w:line="360" w:lineRule="auto"/>
        <w:jc w:val="both"/>
      </w:pPr>
      <w:r w:rsidRPr="00B01787">
        <w:rPr>
          <w:rFonts w:ascii="Book Antiqua" w:eastAsia="Book Antiqua" w:hAnsi="Book Antiqua" w:cs="Book Antiqua"/>
          <w:b/>
          <w:i/>
          <w:color w:val="000000"/>
        </w:rPr>
        <w:t>History of past illness</w:t>
      </w:r>
    </w:p>
    <w:p w14:paraId="22CC8E1B" w14:textId="5A060306" w:rsidR="00411356" w:rsidRPr="00B01787" w:rsidRDefault="008D1FB5">
      <w:pPr>
        <w:spacing w:line="360" w:lineRule="auto"/>
        <w:jc w:val="both"/>
      </w:pPr>
      <w:r w:rsidRPr="00B01787">
        <w:rPr>
          <w:rFonts w:ascii="Book Antiqua" w:eastAsia="Book Antiqua" w:hAnsi="Book Antiqua" w:cs="Book Antiqua"/>
          <w:color w:val="000000"/>
        </w:rPr>
        <w:t>Two weeks earlier, he was admitted to the local hospital due to big toe gangrene of his right foot associated with apparent thirst and urorrhagia. Initial laboratory examinations found an extremely high serum glucose (GLU) level of 450 mg/dL with a normal range of electrolytes, hematological parameters and biochemical markers of hepatic and renal function. Considering further possible examinations, as well as his unremarkable medical history, negative personal and family history, he was then diagnosed with type 2 diabetes. Treatment includ</w:t>
      </w:r>
      <w:r w:rsidR="00330028" w:rsidRPr="00B01787">
        <w:rPr>
          <w:rFonts w:ascii="Book Antiqua" w:eastAsia="Book Antiqua" w:hAnsi="Book Antiqua" w:cs="Book Antiqua" w:hint="eastAsia"/>
          <w:color w:val="000000"/>
          <w:lang w:eastAsia="zh-CN"/>
        </w:rPr>
        <w:t>ing</w:t>
      </w:r>
      <w:r w:rsidRPr="00B01787">
        <w:rPr>
          <w:rFonts w:ascii="Book Antiqua" w:eastAsia="Book Antiqua" w:hAnsi="Book Antiqua" w:cs="Book Antiqua"/>
          <w:color w:val="000000"/>
        </w:rPr>
        <w:t xml:space="preserve"> hypoglycemic therapy [intravenous regular insulin (0.1 U/kg) and subcutaneous biphasic insulin aspart after which GLU was controlled in the normal range], toe amputation, and other symptomatic supportive </w:t>
      </w:r>
      <w:r w:rsidR="0071094C" w:rsidRPr="00B01787">
        <w:rPr>
          <w:rFonts w:ascii="Book Antiqua" w:eastAsia="Book Antiqua" w:hAnsi="Book Antiqua" w:cs="Book Antiqua" w:hint="eastAsia"/>
          <w:color w:val="000000"/>
          <w:lang w:eastAsia="zh-CN"/>
        </w:rPr>
        <w:t>therapies</w:t>
      </w:r>
      <w:r w:rsidR="0071094C" w:rsidRPr="00B01787">
        <w:rPr>
          <w:rFonts w:ascii="Book Antiqua" w:eastAsia="Book Antiqua" w:hAnsi="Book Antiqua" w:cs="Book Antiqua"/>
          <w:color w:val="000000"/>
          <w:lang w:eastAsia="zh-CN"/>
        </w:rPr>
        <w:t xml:space="preserve"> </w:t>
      </w:r>
      <w:r w:rsidR="0071094C" w:rsidRPr="00B01787">
        <w:rPr>
          <w:rFonts w:ascii="Book Antiqua" w:eastAsia="Book Antiqua" w:hAnsi="Book Antiqua" w:cs="Book Antiqua" w:hint="eastAsia"/>
          <w:color w:val="000000"/>
          <w:lang w:eastAsia="zh-CN"/>
        </w:rPr>
        <w:t>were</w:t>
      </w:r>
      <w:r w:rsidR="0071094C" w:rsidRPr="00B01787">
        <w:rPr>
          <w:rFonts w:ascii="Book Antiqua" w:eastAsia="Book Antiqua" w:hAnsi="Book Antiqua" w:cs="Book Antiqua"/>
          <w:color w:val="000000"/>
          <w:lang w:eastAsia="zh-CN"/>
        </w:rPr>
        <w:t xml:space="preserve"> </w:t>
      </w:r>
      <w:r w:rsidR="0071094C" w:rsidRPr="00B01787">
        <w:rPr>
          <w:rFonts w:ascii="Book Antiqua" w:eastAsia="Book Antiqua" w:hAnsi="Book Antiqua" w:cs="Book Antiqua" w:hint="eastAsia"/>
          <w:color w:val="000000"/>
          <w:lang w:eastAsia="zh-CN"/>
        </w:rPr>
        <w:t>underwent</w:t>
      </w:r>
      <w:r w:rsidRPr="00B01787">
        <w:rPr>
          <w:rFonts w:ascii="Book Antiqua" w:eastAsia="Book Antiqua" w:hAnsi="Book Antiqua" w:cs="Book Antiqua"/>
          <w:color w:val="000000"/>
        </w:rPr>
        <w:t>.</w:t>
      </w:r>
    </w:p>
    <w:p w14:paraId="1C746279" w14:textId="77777777" w:rsidR="00411356" w:rsidRPr="00B01787" w:rsidRDefault="00411356">
      <w:pPr>
        <w:spacing w:line="360" w:lineRule="auto"/>
        <w:jc w:val="both"/>
      </w:pPr>
    </w:p>
    <w:p w14:paraId="37F28C6E" w14:textId="77777777" w:rsidR="00411356" w:rsidRPr="00B01787" w:rsidRDefault="008D1FB5">
      <w:pPr>
        <w:spacing w:line="360" w:lineRule="auto"/>
        <w:jc w:val="both"/>
      </w:pPr>
      <w:r w:rsidRPr="00B01787">
        <w:rPr>
          <w:rFonts w:ascii="Book Antiqua" w:eastAsia="Book Antiqua" w:hAnsi="Book Antiqua" w:cs="Book Antiqua"/>
          <w:b/>
          <w:i/>
          <w:color w:val="000000"/>
        </w:rPr>
        <w:t>Personal and family history</w:t>
      </w:r>
    </w:p>
    <w:p w14:paraId="6F0234F2" w14:textId="77777777" w:rsidR="00411356" w:rsidRPr="00B01787" w:rsidRDefault="008D1FB5">
      <w:pPr>
        <w:spacing w:line="360" w:lineRule="auto"/>
        <w:jc w:val="both"/>
      </w:pPr>
      <w:r w:rsidRPr="00B01787">
        <w:rPr>
          <w:rFonts w:ascii="Book Antiqua" w:eastAsia="Book Antiqua" w:hAnsi="Book Antiqua" w:cs="Book Antiqua"/>
          <w:color w:val="000000"/>
        </w:rPr>
        <w:t>The patient had no previous medical history.</w:t>
      </w:r>
    </w:p>
    <w:p w14:paraId="42B611B7" w14:textId="77777777" w:rsidR="00411356" w:rsidRPr="00B01787" w:rsidRDefault="00411356">
      <w:pPr>
        <w:spacing w:line="360" w:lineRule="auto"/>
        <w:jc w:val="both"/>
      </w:pPr>
    </w:p>
    <w:p w14:paraId="5DD25F3D" w14:textId="77777777" w:rsidR="00411356" w:rsidRPr="00B01787" w:rsidRDefault="008D1FB5">
      <w:pPr>
        <w:spacing w:line="360" w:lineRule="auto"/>
        <w:jc w:val="both"/>
      </w:pPr>
      <w:r w:rsidRPr="00B01787">
        <w:rPr>
          <w:rFonts w:ascii="Book Antiqua" w:eastAsia="Book Antiqua" w:hAnsi="Book Antiqua" w:cs="Book Antiqua"/>
          <w:b/>
          <w:i/>
          <w:color w:val="000000"/>
        </w:rPr>
        <w:t>Physical examination</w:t>
      </w:r>
    </w:p>
    <w:p w14:paraId="6A9C851E" w14:textId="54A13651" w:rsidR="00411356" w:rsidRPr="00B01787" w:rsidRDefault="008D1FB5">
      <w:pPr>
        <w:spacing w:line="360" w:lineRule="auto"/>
        <w:jc w:val="both"/>
      </w:pPr>
      <w:r w:rsidRPr="00B01787">
        <w:rPr>
          <w:rFonts w:ascii="Book Antiqua" w:eastAsia="Book Antiqua" w:hAnsi="Book Antiqua" w:cs="Book Antiqua"/>
          <w:color w:val="000000"/>
        </w:rPr>
        <w:t>Neurological examination on admission showed normal vital signs, consciousness, depression, roughly impaired visual acuity of both eyes, dysarthria, decreased muscle strength (4/5, Medical Research Council scale), hypoesthesia, and the disappearance of tendon reflexes in all extremities. However, there w</w:t>
      </w:r>
      <w:r w:rsidRPr="00B01787">
        <w:rPr>
          <w:rFonts w:ascii="Book Antiqua" w:eastAsia="Book Antiqua" w:hAnsi="Book Antiqua" w:cs="Book Antiqua" w:hint="eastAsia"/>
          <w:color w:val="000000"/>
          <w:lang w:eastAsia="zh-Hans"/>
        </w:rPr>
        <w:t>as</w:t>
      </w:r>
      <w:r w:rsidRPr="00B01787">
        <w:rPr>
          <w:rFonts w:ascii="Book Antiqua" w:eastAsia="Book Antiqua" w:hAnsi="Book Antiqua" w:cs="Book Antiqua"/>
          <w:color w:val="000000"/>
        </w:rPr>
        <w:t xml:space="preserve"> no pathological reflex.</w:t>
      </w:r>
    </w:p>
    <w:p w14:paraId="11ABC790" w14:textId="77777777" w:rsidR="00411356" w:rsidRPr="00B01787" w:rsidRDefault="00411356">
      <w:pPr>
        <w:spacing w:line="360" w:lineRule="auto"/>
        <w:jc w:val="both"/>
      </w:pPr>
    </w:p>
    <w:p w14:paraId="061395DD" w14:textId="77777777" w:rsidR="00411356" w:rsidRPr="00B01787" w:rsidRDefault="008D1FB5">
      <w:pPr>
        <w:spacing w:line="360" w:lineRule="auto"/>
        <w:jc w:val="both"/>
      </w:pPr>
      <w:r w:rsidRPr="00B01787">
        <w:rPr>
          <w:rFonts w:ascii="Book Antiqua" w:eastAsia="Book Antiqua" w:hAnsi="Book Antiqua" w:cs="Book Antiqua"/>
          <w:b/>
          <w:i/>
          <w:color w:val="000000"/>
        </w:rPr>
        <w:t>Laboratory examinations</w:t>
      </w:r>
    </w:p>
    <w:p w14:paraId="3868FBC1" w14:textId="47ADA11C" w:rsidR="00411356" w:rsidRPr="00B01787" w:rsidRDefault="008D1FB5">
      <w:pPr>
        <w:spacing w:line="360" w:lineRule="auto"/>
        <w:jc w:val="both"/>
      </w:pPr>
      <w:r w:rsidRPr="00B01787">
        <w:rPr>
          <w:rFonts w:ascii="Book Antiqua" w:eastAsia="Book Antiqua" w:hAnsi="Book Antiqua" w:cs="Book Antiqua"/>
          <w:color w:val="000000"/>
        </w:rPr>
        <w:t xml:space="preserve">Blood and biochemical evaluation showed a white blood cell count of 10/μL, C-reactive protein of 44 mg/L, GLU of 270 mg/dL, hemoglobin of 92 g/L, erythrocyte sedimentation rate of 94, Hb1Ac </w:t>
      </w:r>
      <w:r w:rsidRPr="00B01787">
        <w:rPr>
          <w:rFonts w:ascii="Book Antiqua" w:eastAsia="Book Antiqua" w:hAnsi="Book Antiqua" w:cs="Book Antiqua" w:hint="eastAsia"/>
          <w:color w:val="000000"/>
          <w:lang w:eastAsia="zh-Hans"/>
        </w:rPr>
        <w:t>of</w:t>
      </w:r>
      <w:r w:rsidRPr="00B01787">
        <w:rPr>
          <w:rFonts w:ascii="Book Antiqua" w:eastAsia="Book Antiqua" w:hAnsi="Book Antiqua" w:cs="Book Antiqua"/>
          <w:color w:val="000000"/>
          <w:lang w:eastAsia="zh-Hans"/>
        </w:rPr>
        <w:t xml:space="preserve"> </w:t>
      </w:r>
      <w:r w:rsidRPr="00B01787">
        <w:rPr>
          <w:rFonts w:ascii="Book Antiqua" w:eastAsia="Book Antiqua" w:hAnsi="Book Antiqua" w:cs="Book Antiqua"/>
          <w:color w:val="000000"/>
        </w:rPr>
        <w:t xml:space="preserve">8.9%, and osmolality of 327.66 mOsm/kg. Serum levels of sodium, potassium, calcium and magnesium were 140.8 mmol/dL, 3.81 mmol/L, 8 mg/dL and 1.9 mg/dL, respectively. Urine analysis showed the presence of GLU and protein without ketone bodies, and a later urine culture revealed </w:t>
      </w:r>
      <w:r w:rsidRPr="00B01787">
        <w:rPr>
          <w:rFonts w:ascii="Book Antiqua" w:eastAsia="Book Antiqua" w:hAnsi="Book Antiqua" w:cs="Book Antiqua"/>
          <w:i/>
          <w:iCs/>
          <w:color w:val="000000"/>
        </w:rPr>
        <w:t>Proteus mirabilis</w:t>
      </w:r>
      <w:r w:rsidRPr="00B01787">
        <w:rPr>
          <w:rFonts w:ascii="Book Antiqua" w:eastAsia="Book Antiqua" w:hAnsi="Book Antiqua" w:cs="Book Antiqua"/>
          <w:color w:val="000000"/>
        </w:rPr>
        <w:t xml:space="preserve"> infection. Other tests including arterial blood gas analysis and hepatorenal function were within the normal range. Chest computed tomography revealed inflammatory areas in both lungs and bilateral pleural effusion. A lumbar puncture was performed and disclosed elevated levels of cerebrospinal fluid (CSF) protein (1040 mg/L) and GLU (5.9 mmol/L), with normal pressure (150 mmH</w:t>
      </w:r>
      <w:r w:rsidRPr="00B01787">
        <w:rPr>
          <w:rFonts w:ascii="Book Antiqua" w:eastAsia="Book Antiqua" w:hAnsi="Book Antiqua" w:cs="Book Antiqua"/>
          <w:color w:val="000000"/>
          <w:vertAlign w:val="subscript"/>
        </w:rPr>
        <w:t>2</w:t>
      </w:r>
      <w:r w:rsidRPr="00B01787">
        <w:rPr>
          <w:rFonts w:ascii="Book Antiqua" w:eastAsia="Book Antiqua" w:hAnsi="Book Antiqua" w:cs="Book Antiqua"/>
          <w:color w:val="000000"/>
        </w:rPr>
        <w:t>O) and cellular (1/μL). The oligoclonal band, serum antibodies to aquaporin 4, myelin oligodendrocyte glycoprotein and glial fibrillary acidic protein, as well as common antibodies to autoimmune encephalitis in CSF were all negative.</w:t>
      </w:r>
    </w:p>
    <w:p w14:paraId="2E8EE4FE" w14:textId="77777777" w:rsidR="00411356" w:rsidRPr="00B01787" w:rsidRDefault="00411356">
      <w:pPr>
        <w:spacing w:line="360" w:lineRule="auto"/>
        <w:jc w:val="both"/>
      </w:pPr>
    </w:p>
    <w:p w14:paraId="3AF3C1DC" w14:textId="77777777" w:rsidR="00411356" w:rsidRPr="00B01787" w:rsidRDefault="008D1FB5">
      <w:pPr>
        <w:spacing w:line="360" w:lineRule="auto"/>
        <w:jc w:val="both"/>
      </w:pPr>
      <w:r w:rsidRPr="00B01787">
        <w:rPr>
          <w:rFonts w:ascii="Book Antiqua" w:eastAsia="Book Antiqua" w:hAnsi="Book Antiqua" w:cs="Book Antiqua"/>
          <w:b/>
          <w:i/>
          <w:color w:val="000000"/>
        </w:rPr>
        <w:t>Imaging examinations</w:t>
      </w:r>
    </w:p>
    <w:p w14:paraId="3460E9BE" w14:textId="77777777" w:rsidR="00411356" w:rsidRPr="00B01787" w:rsidRDefault="008D1FB5">
      <w:pPr>
        <w:spacing w:line="360" w:lineRule="auto"/>
        <w:jc w:val="both"/>
      </w:pPr>
      <w:r w:rsidRPr="00B01787">
        <w:rPr>
          <w:rFonts w:ascii="Book Antiqua" w:eastAsia="Book Antiqua" w:hAnsi="Book Antiqua" w:cs="Book Antiqua"/>
          <w:color w:val="000000"/>
        </w:rPr>
        <w:t xml:space="preserve">Brain contrast-enhanced MRI found diffuse lesions in the brainstem with inhomogeneous signal enhancement, which appeared like glioma and tumefactive demyelinating disease (TDL) </w:t>
      </w:r>
      <w:r w:rsidRPr="00B01787">
        <w:rPr>
          <w:rFonts w:ascii="Book Antiqua" w:eastAsia="Book Antiqua" w:hAnsi="Book Antiqua" w:cs="Book Antiqua"/>
          <w:color w:val="000000"/>
          <w:lang w:eastAsia="zh-Hans"/>
        </w:rPr>
        <w:t xml:space="preserve">after admission </w:t>
      </w:r>
      <w:r w:rsidRPr="00B01787">
        <w:rPr>
          <w:rFonts w:ascii="Book Antiqua" w:eastAsia="Book Antiqua" w:hAnsi="Book Antiqua" w:cs="Book Antiqua"/>
          <w:color w:val="000000"/>
        </w:rPr>
        <w:t>(Figure 1). MR spectroscopy revealed an elevated choline peak and lactate/lipid peak, and hypertonic demyelinating encephalopathy was considered. No lesions were observed on spinal MRI.</w:t>
      </w:r>
    </w:p>
    <w:p w14:paraId="04F3E92E" w14:textId="77777777" w:rsidR="00411356" w:rsidRPr="00B01787" w:rsidRDefault="00411356">
      <w:pPr>
        <w:spacing w:line="360" w:lineRule="auto"/>
        <w:jc w:val="both"/>
      </w:pPr>
    </w:p>
    <w:p w14:paraId="1C45444F" w14:textId="77777777" w:rsidR="00411356" w:rsidRPr="00B01787" w:rsidRDefault="008D1FB5">
      <w:pPr>
        <w:spacing w:line="360" w:lineRule="auto"/>
        <w:jc w:val="both"/>
      </w:pPr>
      <w:r w:rsidRPr="00B01787">
        <w:rPr>
          <w:rFonts w:ascii="Book Antiqua" w:eastAsia="Book Antiqua" w:hAnsi="Book Antiqua" w:cs="Book Antiqua"/>
          <w:b/>
          <w:caps/>
          <w:color w:val="000000"/>
          <w:u w:val="single"/>
        </w:rPr>
        <w:t>FINAL DIAGNOSIS</w:t>
      </w:r>
    </w:p>
    <w:p w14:paraId="285A3FD3" w14:textId="6E0CEBDD" w:rsidR="00411356" w:rsidRPr="00B01787" w:rsidRDefault="008D1FB5">
      <w:pPr>
        <w:spacing w:line="360" w:lineRule="auto"/>
        <w:jc w:val="both"/>
      </w:pPr>
      <w:r w:rsidRPr="00B01787">
        <w:rPr>
          <w:rFonts w:ascii="Book Antiqua" w:eastAsia="Book Antiqua" w:hAnsi="Book Antiqua" w:cs="Book Antiqua"/>
          <w:color w:val="000000"/>
        </w:rPr>
        <w:t>According to his clinical manifestations and auxiliary examination results, CPM secondary to hyperosmolar hyperglycemia was established as</w:t>
      </w:r>
      <w:r w:rsidR="000B1ABC" w:rsidRPr="00B01787">
        <w:rPr>
          <w:rFonts w:ascii="Book Antiqua" w:eastAsia="Book Antiqua" w:hAnsi="Book Antiqua" w:cs="Book Antiqua"/>
          <w:color w:val="000000"/>
        </w:rPr>
        <w:t xml:space="preserve"> </w:t>
      </w:r>
      <w:r w:rsidR="000B1ABC" w:rsidRPr="00B01787">
        <w:rPr>
          <w:rFonts w:ascii="宋体" w:eastAsia="宋体" w:hAnsi="宋体" w:cs="宋体" w:hint="eastAsia"/>
          <w:color w:val="000000"/>
          <w:lang w:eastAsia="zh-CN"/>
        </w:rPr>
        <w:t xml:space="preserve">a </w:t>
      </w:r>
      <w:r w:rsidR="007D6D66" w:rsidRPr="00B01787">
        <w:rPr>
          <w:rFonts w:ascii="宋体" w:eastAsia="宋体" w:hAnsi="宋体" w:cs="宋体" w:hint="eastAsia"/>
          <w:color w:val="000000"/>
          <w:lang w:eastAsia="zh-CN"/>
        </w:rPr>
        <w:t>most</w:t>
      </w:r>
      <w:r w:rsidR="007D6D66" w:rsidRPr="00B01787">
        <w:rPr>
          <w:rFonts w:ascii="宋体" w:eastAsia="宋体" w:hAnsi="宋体" w:cs="宋体"/>
          <w:color w:val="000000"/>
          <w:lang w:eastAsia="zh-CN"/>
        </w:rPr>
        <w:t xml:space="preserve"> </w:t>
      </w:r>
      <w:r w:rsidR="007D6D66" w:rsidRPr="00B01787">
        <w:rPr>
          <w:rFonts w:ascii="宋体" w:eastAsia="宋体" w:hAnsi="宋体" w:cs="宋体" w:hint="eastAsia"/>
          <w:color w:val="000000"/>
          <w:lang w:eastAsia="zh-CN"/>
        </w:rPr>
        <w:t>probable</w:t>
      </w:r>
      <w:r w:rsidR="007D6D66" w:rsidRPr="00B01787">
        <w:rPr>
          <w:rFonts w:ascii="Book Antiqua" w:eastAsia="Book Antiqua" w:hAnsi="Book Antiqua" w:cs="Book Antiqua"/>
          <w:color w:val="000000"/>
          <w:lang w:eastAsia="zh-CN"/>
        </w:rPr>
        <w:t xml:space="preserve"> </w:t>
      </w:r>
      <w:r w:rsidRPr="00B01787">
        <w:rPr>
          <w:rFonts w:ascii="Book Antiqua" w:eastAsia="Book Antiqua" w:hAnsi="Book Antiqua" w:cs="Book Antiqua"/>
          <w:color w:val="000000"/>
        </w:rPr>
        <w:t>diagnosis</w:t>
      </w:r>
      <w:r w:rsidR="007D6D66" w:rsidRPr="00B01787">
        <w:rPr>
          <w:rFonts w:ascii="Book Antiqua" w:eastAsia="Book Antiqua" w:hAnsi="Book Antiqua" w:cs="Book Antiqua"/>
          <w:color w:val="000000"/>
        </w:rPr>
        <w:t xml:space="preserve"> </w:t>
      </w:r>
      <w:r w:rsidR="007D6D66" w:rsidRPr="00B01787">
        <w:rPr>
          <w:rFonts w:ascii="Book Antiqua" w:eastAsia="Book Antiqua" w:hAnsi="Book Antiqua" w:cs="Book Antiqua" w:hint="eastAsia"/>
          <w:color w:val="000000"/>
          <w:lang w:eastAsia="zh-CN"/>
        </w:rPr>
        <w:t>finally</w:t>
      </w:r>
      <w:r w:rsidRPr="00B01787">
        <w:rPr>
          <w:rFonts w:ascii="Book Antiqua" w:eastAsia="Book Antiqua" w:hAnsi="Book Antiqua" w:cs="Book Antiqua"/>
          <w:color w:val="000000"/>
        </w:rPr>
        <w:t>.</w:t>
      </w:r>
    </w:p>
    <w:p w14:paraId="294F532D" w14:textId="77777777" w:rsidR="00411356" w:rsidRPr="00B01787" w:rsidRDefault="00411356">
      <w:pPr>
        <w:spacing w:line="360" w:lineRule="auto"/>
        <w:jc w:val="both"/>
      </w:pPr>
    </w:p>
    <w:p w14:paraId="6336B0CC" w14:textId="77777777" w:rsidR="00411356" w:rsidRPr="00B01787" w:rsidRDefault="008D1FB5">
      <w:pPr>
        <w:spacing w:line="360" w:lineRule="auto"/>
        <w:jc w:val="both"/>
      </w:pPr>
      <w:r w:rsidRPr="00B01787">
        <w:rPr>
          <w:rFonts w:ascii="Book Antiqua" w:eastAsia="Book Antiqua" w:hAnsi="Book Antiqua" w:cs="Book Antiqua"/>
          <w:b/>
          <w:caps/>
          <w:color w:val="000000"/>
          <w:u w:val="single"/>
        </w:rPr>
        <w:t>TREATMENT</w:t>
      </w:r>
    </w:p>
    <w:p w14:paraId="44297EF1" w14:textId="66AE14BE" w:rsidR="00411356" w:rsidRPr="00B01787" w:rsidRDefault="008D1FB5">
      <w:pPr>
        <w:spacing w:line="360" w:lineRule="auto"/>
        <w:jc w:val="both"/>
      </w:pPr>
      <w:r w:rsidRPr="00B01787">
        <w:rPr>
          <w:rFonts w:ascii="Book Antiqua" w:eastAsia="Book Antiqua" w:hAnsi="Book Antiqua" w:cs="Book Antiqua"/>
          <w:color w:val="000000"/>
        </w:rPr>
        <w:t>He was administered anti-inflammatory therapy. In consideration</w:t>
      </w:r>
      <w:r w:rsidR="00107535" w:rsidRPr="00B01787">
        <w:rPr>
          <w:rFonts w:ascii="Book Antiqua" w:eastAsia="Book Antiqua" w:hAnsi="Book Antiqua" w:cs="Book Antiqua"/>
          <w:color w:val="000000"/>
        </w:rPr>
        <w:t xml:space="preserve"> that</w:t>
      </w:r>
      <w:r w:rsidRPr="00B01787">
        <w:rPr>
          <w:rFonts w:ascii="Book Antiqua" w:eastAsia="Book Antiqua" w:hAnsi="Book Antiqua" w:cs="Book Antiqua" w:hint="eastAsia"/>
          <w:color w:val="000000"/>
        </w:rPr>
        <w:t xml:space="preserve"> </w:t>
      </w:r>
      <w:r w:rsidR="00107535" w:rsidRPr="00B01787">
        <w:rPr>
          <w:rFonts w:ascii="Book Antiqua" w:eastAsia="Book Antiqua" w:hAnsi="Book Antiqua" w:cs="Book Antiqua" w:hint="eastAsia"/>
          <w:color w:val="000000"/>
        </w:rPr>
        <w:t>his</w:t>
      </w:r>
      <w:r w:rsidR="00107535" w:rsidRPr="00B01787">
        <w:rPr>
          <w:rFonts w:ascii="Book Antiqua" w:eastAsia="Book Antiqua" w:hAnsi="Book Antiqua" w:cs="Book Antiqua"/>
          <w:color w:val="000000"/>
        </w:rPr>
        <w:t xml:space="preserve"> </w:t>
      </w:r>
      <w:r w:rsidR="007D0F27" w:rsidRPr="00B01787">
        <w:rPr>
          <w:rFonts w:ascii="Book Antiqua" w:eastAsia="Book Antiqua" w:hAnsi="Book Antiqua" w:cs="Book Antiqua"/>
          <w:color w:val="000000"/>
        </w:rPr>
        <w:t>condition progressively worsened</w:t>
      </w:r>
      <w:r w:rsidR="00107535" w:rsidRPr="00B01787">
        <w:rPr>
          <w:rFonts w:ascii="Book Antiqua" w:eastAsia="Book Antiqua" w:hAnsi="Book Antiqua" w:cs="Book Antiqua"/>
          <w:color w:val="000000"/>
        </w:rPr>
        <w:t xml:space="preserve">, </w:t>
      </w:r>
      <w:r w:rsidR="007D6D66" w:rsidRPr="00B01787">
        <w:rPr>
          <w:rFonts w:ascii="Book Antiqua" w:eastAsia="Book Antiqua" w:hAnsi="Book Antiqua" w:cs="Book Antiqua" w:hint="eastAsia"/>
          <w:color w:val="000000"/>
        </w:rPr>
        <w:t>and</w:t>
      </w:r>
      <w:r w:rsidR="007D6D66" w:rsidRPr="00B01787">
        <w:rPr>
          <w:rFonts w:ascii="Book Antiqua" w:eastAsia="Book Antiqua" w:hAnsi="Book Antiqua" w:cs="Book Antiqua"/>
          <w:color w:val="000000"/>
        </w:rPr>
        <w:t xml:space="preserve"> </w:t>
      </w:r>
      <w:r w:rsidR="007D6D66" w:rsidRPr="00B01787">
        <w:rPr>
          <w:rFonts w:ascii="Book Antiqua" w:eastAsia="Book Antiqua" w:hAnsi="Book Antiqua" w:cs="Book Antiqua" w:hint="eastAsia"/>
          <w:color w:val="000000"/>
        </w:rPr>
        <w:t>the</w:t>
      </w:r>
      <w:r w:rsidR="009F28ED" w:rsidRPr="00B01787">
        <w:rPr>
          <w:rFonts w:ascii="Book Antiqua" w:eastAsia="Book Antiqua" w:hAnsi="Book Antiqua" w:cs="Book Antiqua"/>
          <w:color w:val="000000"/>
        </w:rPr>
        <w:t xml:space="preserve"> </w:t>
      </w:r>
      <w:r w:rsidR="009F28ED" w:rsidRPr="00B01787">
        <w:rPr>
          <w:rFonts w:ascii="Book Antiqua" w:eastAsia="Book Antiqua" w:hAnsi="Book Antiqua" w:cs="Book Antiqua" w:hint="eastAsia"/>
          <w:color w:val="000000"/>
        </w:rPr>
        <w:t>diagnosis</w:t>
      </w:r>
      <w:r w:rsidR="009F28ED" w:rsidRPr="00B01787">
        <w:rPr>
          <w:rFonts w:ascii="Book Antiqua" w:eastAsia="Book Antiqua" w:hAnsi="Book Antiqua" w:cs="Book Antiqua"/>
          <w:color w:val="000000"/>
        </w:rPr>
        <w:t xml:space="preserve"> </w:t>
      </w:r>
      <w:r w:rsidR="009F28ED" w:rsidRPr="00B01787">
        <w:rPr>
          <w:rFonts w:ascii="Book Antiqua" w:eastAsia="Book Antiqua" w:hAnsi="Book Antiqua" w:cs="Book Antiqua" w:hint="eastAsia"/>
          <w:color w:val="000000"/>
        </w:rPr>
        <w:t>of</w:t>
      </w:r>
      <w:r w:rsidRPr="00B01787">
        <w:rPr>
          <w:rFonts w:ascii="Book Antiqua" w:eastAsia="Book Antiqua" w:hAnsi="Book Antiqua" w:cs="Book Antiqua"/>
          <w:color w:val="000000"/>
        </w:rPr>
        <w:t xml:space="preserve"> TDL</w:t>
      </w:r>
      <w:r w:rsidR="00107535" w:rsidRPr="00B01787">
        <w:rPr>
          <w:rFonts w:ascii="Book Antiqua" w:eastAsia="Book Antiqua" w:hAnsi="Book Antiqua" w:cs="Book Antiqua"/>
          <w:color w:val="000000"/>
        </w:rPr>
        <w:t xml:space="preserve"> </w:t>
      </w:r>
      <w:r w:rsidR="00107535" w:rsidRPr="00B01787">
        <w:rPr>
          <w:rFonts w:ascii="Book Antiqua" w:eastAsia="Book Antiqua" w:hAnsi="Book Antiqua" w:cs="Book Antiqua" w:hint="eastAsia"/>
          <w:color w:val="000000"/>
        </w:rPr>
        <w:t>could not</w:t>
      </w:r>
      <w:r w:rsidR="00107535" w:rsidRPr="00B01787">
        <w:rPr>
          <w:rFonts w:ascii="Book Antiqua" w:eastAsia="Book Antiqua" w:hAnsi="Book Antiqua" w:cs="Book Antiqua"/>
          <w:color w:val="000000"/>
        </w:rPr>
        <w:t xml:space="preserve"> be completely ruled out</w:t>
      </w:r>
      <w:r w:rsidRPr="00B01787">
        <w:rPr>
          <w:rFonts w:ascii="Book Antiqua" w:eastAsia="Book Antiqua" w:hAnsi="Book Antiqua" w:cs="Book Antiqua"/>
          <w:color w:val="000000"/>
        </w:rPr>
        <w:t>, corticosteroids were given as anti-inflammatory therapy</w:t>
      </w:r>
      <w:r w:rsidRPr="00B01787">
        <w:rPr>
          <w:rFonts w:ascii="Book Antiqua" w:eastAsia="Book Antiqua" w:hAnsi="Book Antiqua" w:cs="Book Antiqua"/>
        </w:rPr>
        <w:t xml:space="preserve"> </w:t>
      </w:r>
      <w:r w:rsidRPr="00B01787">
        <w:rPr>
          <w:rFonts w:ascii="Book Antiqua" w:eastAsia="Book Antiqua" w:hAnsi="Book Antiqua" w:cs="Book Antiqua"/>
          <w:lang w:eastAsia="zh-Hans"/>
        </w:rPr>
        <w:t>on</w:t>
      </w:r>
      <w:r w:rsidRPr="00B01787">
        <w:rPr>
          <w:rFonts w:ascii="Book Antiqua" w:eastAsia="Book Antiqua" w:hAnsi="Book Antiqua" w:cs="Book Antiqua"/>
        </w:rPr>
        <w:t xml:space="preserve"> June 16</w:t>
      </w:r>
      <w:r w:rsidRPr="00B01787">
        <w:rPr>
          <w:rFonts w:ascii="Book Antiqua" w:eastAsia="Book Antiqua" w:hAnsi="Book Antiqua" w:cs="Book Antiqua"/>
          <w:color w:val="000000"/>
        </w:rPr>
        <w:t xml:space="preserve">. Following intravenous methylprednisolone pulse therapy (methylprednisolone 500 mg for 3 d, 250 mg for 3 d, 80 mg for 3 d), with fluctuating GLU (200 mg/dL to 280 mg/dL), his symptoms gradually resolved. Oral prednisolone was administered as sequential treatment (60 mg/d for 1 wk), followed by gradual dose tapering (10 mg/wk). </w:t>
      </w:r>
    </w:p>
    <w:p w14:paraId="06F7AE8F" w14:textId="77777777" w:rsidR="00411356" w:rsidRPr="00B01787" w:rsidRDefault="00411356">
      <w:pPr>
        <w:spacing w:line="360" w:lineRule="auto"/>
        <w:jc w:val="both"/>
      </w:pPr>
    </w:p>
    <w:p w14:paraId="66F0509B" w14:textId="77777777" w:rsidR="00411356" w:rsidRPr="00B01787" w:rsidRDefault="008D1FB5">
      <w:pPr>
        <w:spacing w:line="360" w:lineRule="auto"/>
        <w:jc w:val="both"/>
      </w:pPr>
      <w:r w:rsidRPr="00B01787">
        <w:rPr>
          <w:rFonts w:ascii="Book Antiqua" w:eastAsia="Book Antiqua" w:hAnsi="Book Antiqua" w:cs="Book Antiqua"/>
          <w:b/>
          <w:caps/>
          <w:color w:val="000000"/>
          <w:u w:val="single"/>
        </w:rPr>
        <w:t>OUTCOME AND FOLLOW-UP</w:t>
      </w:r>
    </w:p>
    <w:p w14:paraId="2C512E0A" w14:textId="77777777" w:rsidR="00411356" w:rsidRPr="00B01787" w:rsidRDefault="008D1FB5">
      <w:pPr>
        <w:spacing w:line="360" w:lineRule="auto"/>
        <w:jc w:val="both"/>
      </w:pPr>
      <w:r w:rsidRPr="00B01787">
        <w:rPr>
          <w:rFonts w:ascii="Book Antiqua" w:eastAsia="Book Antiqua" w:hAnsi="Book Antiqua" w:cs="Book Antiqua"/>
          <w:color w:val="000000"/>
        </w:rPr>
        <w:t>Articulation function, numbness and weakness of the limbs had almost disappeared on discharge after 1 mo of treatment. In the 2-wk follow-up period, all symptoms were resolved except for mild persistent gait disturbance, with similar imaging findings to the previously obtained images. After 3-mo of follow-up, rehabilitation had improved, and a normal range of electrolytes, arterial blood gas analysis, and hepatorenal function were observed. MRI manifestations on reexamination indicated reduced lesion volume and the lesions had almost disappeared in bilateral cerebral peduncles, along with disappearance of enhanced lesions (Figure 2). In addition, his pulmonary and urinary tract infections had resolved. He could walk unassisted and was treated with oral hypoglycemic drugs merely to control his GLU levels. In the latest follow-up, his functional state was restored and he carried out simple daily life activities independently.</w:t>
      </w:r>
    </w:p>
    <w:p w14:paraId="41600668" w14:textId="77777777" w:rsidR="00411356" w:rsidRPr="00B01787" w:rsidRDefault="00411356">
      <w:pPr>
        <w:spacing w:line="360" w:lineRule="auto"/>
        <w:jc w:val="both"/>
      </w:pPr>
    </w:p>
    <w:p w14:paraId="1BE29648" w14:textId="77777777" w:rsidR="00411356" w:rsidRPr="00B01787" w:rsidRDefault="008D1FB5">
      <w:pPr>
        <w:spacing w:line="360" w:lineRule="auto"/>
        <w:jc w:val="both"/>
      </w:pPr>
      <w:r w:rsidRPr="00B01787">
        <w:rPr>
          <w:rFonts w:ascii="Book Antiqua" w:eastAsia="Book Antiqua" w:hAnsi="Book Antiqua" w:cs="Book Antiqua"/>
          <w:b/>
          <w:caps/>
          <w:color w:val="000000"/>
          <w:u w:val="single"/>
        </w:rPr>
        <w:t>DISCUSSION</w:t>
      </w:r>
    </w:p>
    <w:p w14:paraId="5EABFB1B" w14:textId="77777777" w:rsidR="00411356" w:rsidRPr="00B01787" w:rsidRDefault="008D1FB5">
      <w:pPr>
        <w:spacing w:line="360" w:lineRule="auto"/>
        <w:jc w:val="both"/>
      </w:pPr>
      <w:r w:rsidRPr="00B01787">
        <w:rPr>
          <w:rFonts w:ascii="Book Antiqua" w:eastAsia="Book Antiqua" w:hAnsi="Book Antiqua" w:cs="Book Antiqua"/>
          <w:color w:val="000000"/>
        </w:rPr>
        <w:t>Currently, CPM is considered a rare complication of uncontrolled diabetes, which is supported by several reports in patients diagnosed with CPM secondary to hyperosmolar hyperglycemia</w:t>
      </w:r>
      <w:r w:rsidRPr="00B01787">
        <w:rPr>
          <w:rFonts w:ascii="Book Antiqua" w:eastAsia="Book Antiqua" w:hAnsi="Book Antiqua" w:cs="Book Antiqua"/>
          <w:color w:val="000000"/>
          <w:szCs w:val="20"/>
          <w:vertAlign w:val="superscript"/>
        </w:rPr>
        <w:t>[5-9]</w:t>
      </w:r>
      <w:r w:rsidRPr="00B01787">
        <w:rPr>
          <w:rFonts w:ascii="Book Antiqua" w:eastAsia="Book Antiqua" w:hAnsi="Book Antiqua" w:cs="Book Antiqua"/>
          <w:color w:val="000000"/>
        </w:rPr>
        <w:t>. In one such case report</w:t>
      </w:r>
      <w:r w:rsidRPr="00B01787">
        <w:rPr>
          <w:rFonts w:ascii="Book Antiqua" w:eastAsia="Book Antiqua" w:hAnsi="Book Antiqua" w:cs="Book Antiqua"/>
          <w:color w:val="000000"/>
          <w:szCs w:val="30"/>
          <w:vertAlign w:val="superscript"/>
        </w:rPr>
        <w:t>[5]</w:t>
      </w:r>
      <w:r w:rsidRPr="00B01787">
        <w:rPr>
          <w:rFonts w:ascii="Book Antiqua" w:eastAsia="Book Antiqua" w:hAnsi="Book Antiqua" w:cs="Book Antiqua"/>
          <w:color w:val="000000"/>
        </w:rPr>
        <w:t>, a 28-year-old female with type 1 diabetes presented with an asymptomatic pontine lesion (named “asymptomatic pontine lesion”) and diabetic amyotrophy following rapid treatment of poor glycemic control. Other reports also indicated that patients with diabetes presented with brainstem dysfunction and revealed a CPM-like lesion on MRI</w:t>
      </w:r>
      <w:r w:rsidRPr="00B01787">
        <w:rPr>
          <w:rFonts w:ascii="Book Antiqua" w:eastAsia="Book Antiqua" w:hAnsi="Book Antiqua" w:cs="Book Antiqua"/>
          <w:color w:val="000000"/>
          <w:szCs w:val="30"/>
          <w:vertAlign w:val="superscript"/>
        </w:rPr>
        <w:t>[6-8]</w:t>
      </w:r>
      <w:r w:rsidRPr="00B01787">
        <w:rPr>
          <w:rFonts w:ascii="Book Antiqua" w:eastAsia="Book Antiqua" w:hAnsi="Book Antiqua" w:cs="Book Antiqua"/>
          <w:color w:val="000000"/>
        </w:rPr>
        <w:t>. For instance, a 20-year-old female with type 1 diabetes was reported to have an acute onset of spastic quadriparesis with dysarthria and mild ataxia</w:t>
      </w:r>
      <w:r w:rsidRPr="00B01787">
        <w:rPr>
          <w:rFonts w:ascii="Book Antiqua" w:eastAsia="Book Antiqua" w:hAnsi="Book Antiqua" w:cs="Book Antiqua"/>
          <w:color w:val="000000"/>
          <w:szCs w:val="30"/>
          <w:vertAlign w:val="superscript"/>
        </w:rPr>
        <w:t>[6]</w:t>
      </w:r>
      <w:r w:rsidRPr="00B01787">
        <w:rPr>
          <w:rFonts w:ascii="Book Antiqua" w:eastAsia="Book Antiqua" w:hAnsi="Book Antiqua" w:cs="Book Antiqua"/>
          <w:color w:val="000000"/>
        </w:rPr>
        <w:t>. In addition, a 45-year-old woman presented to the emergency department with an unsteady gait, dizziness and right-sided weakness</w:t>
      </w:r>
      <w:r w:rsidRPr="00B01787">
        <w:rPr>
          <w:rFonts w:ascii="Book Antiqua" w:eastAsia="Book Antiqua" w:hAnsi="Book Antiqua" w:cs="Book Antiqua"/>
          <w:color w:val="000000"/>
          <w:szCs w:val="30"/>
          <w:vertAlign w:val="superscript"/>
        </w:rPr>
        <w:t>[7]</w:t>
      </w:r>
      <w:r w:rsidRPr="00B01787">
        <w:rPr>
          <w:rFonts w:ascii="Book Antiqua" w:eastAsia="Book Antiqua" w:hAnsi="Book Antiqua" w:cs="Book Antiqua"/>
          <w:color w:val="000000"/>
        </w:rPr>
        <w:t>. Similarly, a 45-year-old male with a past medical history of type 2 diabetes, hypertension, stage V chronic kidney disease and hypothyroidism presented with a 2-wk history of intermittent episodes of gait imbalance, slurred speech and inappropriate laughter</w:t>
      </w:r>
      <w:r w:rsidRPr="00B01787">
        <w:rPr>
          <w:rFonts w:ascii="Book Antiqua" w:eastAsia="Book Antiqua" w:hAnsi="Book Antiqua" w:cs="Book Antiqua"/>
          <w:color w:val="000000"/>
          <w:szCs w:val="30"/>
          <w:vertAlign w:val="superscript"/>
        </w:rPr>
        <w:t>[8]</w:t>
      </w:r>
      <w:r w:rsidRPr="00B01787">
        <w:rPr>
          <w:rFonts w:ascii="Book Antiqua" w:eastAsia="Book Antiqua" w:hAnsi="Book Antiqua" w:cs="Book Antiqua"/>
          <w:color w:val="000000"/>
        </w:rPr>
        <w:t>. All these patients showed no obvious severe electrolyte abnormalities, were treated conservatively and gradually improved. However, a 29-year-old male with diabetic ketoacidosis and a history of surgical repair of a ventricular septal defect was found to have leukocytosis, severe metabolic acidosis, hypokalemia, and hyperglycemia, and was treated with a large amount of sodium bicarbonate and potassium chloride, which resulted in the development of CPM</w:t>
      </w:r>
      <w:r w:rsidRPr="00B01787">
        <w:rPr>
          <w:rFonts w:ascii="Book Antiqua" w:eastAsia="Book Antiqua" w:hAnsi="Book Antiqua" w:cs="Book Antiqua"/>
          <w:color w:val="000000"/>
          <w:szCs w:val="30"/>
          <w:vertAlign w:val="superscript"/>
        </w:rPr>
        <w:t>[9]</w:t>
      </w:r>
      <w:r w:rsidRPr="00B01787">
        <w:rPr>
          <w:rFonts w:ascii="Book Antiqua" w:eastAsia="Book Antiqua" w:hAnsi="Book Antiqua" w:cs="Book Antiqua"/>
          <w:color w:val="000000"/>
        </w:rPr>
        <w:t>.</w:t>
      </w:r>
    </w:p>
    <w:p w14:paraId="06CD286F" w14:textId="77777777" w:rsidR="00411356" w:rsidRPr="00B01787" w:rsidRDefault="008D1FB5">
      <w:pPr>
        <w:spacing w:line="360" w:lineRule="auto"/>
        <w:ind w:firstLineChars="100" w:firstLine="240"/>
        <w:jc w:val="both"/>
      </w:pPr>
      <w:r w:rsidRPr="00B01787">
        <w:rPr>
          <w:rFonts w:ascii="Book Antiqua" w:eastAsia="Book Antiqua" w:hAnsi="Book Antiqua" w:cs="Book Antiqua"/>
          <w:color w:val="000000"/>
        </w:rPr>
        <w:t>The following theories on the pathogenesis of CPM have been proposed</w:t>
      </w:r>
      <w:r w:rsidRPr="00B01787">
        <w:rPr>
          <w:rFonts w:ascii="Book Antiqua" w:eastAsia="Book Antiqua" w:hAnsi="Book Antiqua" w:cs="Book Antiqua"/>
          <w:color w:val="000000"/>
          <w:szCs w:val="20"/>
          <w:vertAlign w:val="superscript"/>
        </w:rPr>
        <w:t>[8,10]</w:t>
      </w:r>
      <w:r w:rsidRPr="00B01787">
        <w:rPr>
          <w:rFonts w:ascii="Book Antiqua" w:eastAsia="Book Antiqua" w:hAnsi="Book Antiqua" w:cs="Book Antiqua"/>
          <w:color w:val="000000"/>
        </w:rPr>
        <w:t>: (1) subacute cellular dysfunction induced by prolonged hyperglycemia; (2) osmotic demyelination caused by the rapid correction of osmolality, in relation to fluctuating GLU levels; and (3) demyelination secondary to hypertonic insult related to hyperglycemia. Our patient developed symptoms mainly of chronic hyperglycemia and fluctuating levels of GLU, indicating their probable correlation. Thus, the correction of hyperglycemia should be performed with caution.</w:t>
      </w:r>
    </w:p>
    <w:p w14:paraId="0794D3D7" w14:textId="77777777" w:rsidR="00411356" w:rsidRPr="00B01787" w:rsidRDefault="008D1FB5">
      <w:pPr>
        <w:spacing w:line="360" w:lineRule="auto"/>
        <w:ind w:firstLineChars="100" w:firstLine="240"/>
        <w:jc w:val="both"/>
      </w:pPr>
      <w:r w:rsidRPr="00B01787">
        <w:rPr>
          <w:rFonts w:ascii="Book Antiqua" w:eastAsia="Book Antiqua" w:hAnsi="Book Antiqua" w:cs="Book Antiqua"/>
          <w:color w:val="000000"/>
        </w:rPr>
        <w:t>The lesions in our patient were unusual, and appeared glioma-like. Due to damage of the blood-brain barrier (BBB) and subsequent penetration of the contrast medium, the lesions of glioma usually present with variable signals, typically with inhomogeneous enhancement following contrast administration</w:t>
      </w:r>
      <w:r w:rsidRPr="00B01787">
        <w:rPr>
          <w:rFonts w:ascii="Book Antiqua" w:eastAsia="Book Antiqua" w:hAnsi="Book Antiqua" w:cs="Book Antiqua"/>
          <w:color w:val="000000"/>
          <w:szCs w:val="20"/>
          <w:vertAlign w:val="superscript"/>
        </w:rPr>
        <w:t>[11,12]</w:t>
      </w:r>
      <w:r w:rsidRPr="00B01787">
        <w:rPr>
          <w:rFonts w:ascii="Book Antiqua" w:eastAsia="Book Antiqua" w:hAnsi="Book Antiqua" w:cs="Book Antiqua"/>
          <w:color w:val="000000"/>
        </w:rPr>
        <w:t>. The signals in our case can be explained by partial damage to the BBB, as a result of chronic hyperglycemia and repeated changes in GLU concentrations between the blood and CSF</w:t>
      </w:r>
      <w:r w:rsidRPr="00B01787">
        <w:rPr>
          <w:rFonts w:ascii="Book Antiqua" w:eastAsia="Book Antiqua" w:hAnsi="Book Antiqua" w:cs="Book Antiqua"/>
          <w:color w:val="000000"/>
          <w:szCs w:val="20"/>
          <w:vertAlign w:val="superscript"/>
        </w:rPr>
        <w:t>[13]</w:t>
      </w:r>
      <w:r w:rsidRPr="00B01787">
        <w:rPr>
          <w:rFonts w:ascii="Book Antiqua" w:eastAsia="Book Antiqua" w:hAnsi="Book Antiqua" w:cs="Book Antiqua"/>
          <w:color w:val="000000"/>
        </w:rPr>
        <w:t>. However, without biopsy results, a positive therapeutic response and the imaging features were suggestive of glioma. Further follow-up could be helpful for a definite diagnosis. In general, given its therapeutic safety and acceptability, conservative therapy should be considered prior to invasive examination or surgery. Thus, it is critical to recognize and distinguish metabolic diseases from tumor or other intracranial mass lesions.</w:t>
      </w:r>
    </w:p>
    <w:p w14:paraId="738F8458" w14:textId="77777777" w:rsidR="00411356" w:rsidRPr="00B01787" w:rsidRDefault="008D1FB5">
      <w:pPr>
        <w:spacing w:line="360" w:lineRule="auto"/>
        <w:ind w:firstLineChars="100" w:firstLine="240"/>
        <w:jc w:val="both"/>
      </w:pPr>
      <w:r w:rsidRPr="00B01787">
        <w:rPr>
          <w:rFonts w:ascii="Book Antiqua" w:eastAsia="Book Antiqua" w:hAnsi="Book Antiqua" w:cs="Book Antiqua"/>
          <w:color w:val="000000"/>
        </w:rPr>
        <w:t>The therapeutic effect of corticosteroids is uncertain in CPM</w:t>
      </w:r>
      <w:r w:rsidRPr="00B01787">
        <w:rPr>
          <w:rFonts w:ascii="Book Antiqua" w:eastAsia="Book Antiqua" w:hAnsi="Book Antiqua" w:cs="Book Antiqua"/>
          <w:color w:val="000000"/>
          <w:szCs w:val="20"/>
          <w:vertAlign w:val="superscript"/>
        </w:rPr>
        <w:t>[4]</w:t>
      </w:r>
      <w:r w:rsidRPr="00B01787">
        <w:rPr>
          <w:rFonts w:ascii="Book Antiqua" w:eastAsia="Book Antiqua" w:hAnsi="Book Antiqua" w:cs="Book Antiqua"/>
          <w:color w:val="000000"/>
        </w:rPr>
        <w:t>. Corticosteroids demonstrate a ‘double-edged sword’. They can improve the vascular inflammatory reaction and lessen permeability and edema. In contrast, their side-effects such as altering blood GLU concentrations might further aggravate tissue damage due to hyperglycemia</w:t>
      </w:r>
      <w:r w:rsidRPr="00B01787">
        <w:rPr>
          <w:rFonts w:ascii="Book Antiqua" w:eastAsia="Book Antiqua" w:hAnsi="Book Antiqua" w:cs="Book Antiqua"/>
          <w:color w:val="000000"/>
          <w:szCs w:val="20"/>
          <w:vertAlign w:val="superscript"/>
        </w:rPr>
        <w:t>[14]</w:t>
      </w:r>
      <w:r w:rsidRPr="00B01787">
        <w:rPr>
          <w:rFonts w:ascii="Book Antiqua" w:eastAsia="Book Antiqua" w:hAnsi="Book Antiqua" w:cs="Book Antiqua"/>
          <w:color w:val="000000"/>
        </w:rPr>
        <w:t>. With rapid disease progression and suspected TDL, we treated our patient with corticosteroids</w:t>
      </w:r>
      <w:r w:rsidRPr="00B01787">
        <w:rPr>
          <w:rFonts w:ascii="Book Antiqua" w:eastAsia="Book Antiqua" w:hAnsi="Book Antiqua" w:cs="Book Antiqua"/>
          <w:color w:val="000000"/>
          <w:szCs w:val="20"/>
          <w:vertAlign w:val="superscript"/>
        </w:rPr>
        <w:t>[15]</w:t>
      </w:r>
      <w:r w:rsidRPr="00B01787">
        <w:rPr>
          <w:rFonts w:ascii="Book Antiqua" w:eastAsia="Book Antiqua" w:hAnsi="Book Antiqua" w:cs="Book Antiqua"/>
          <w:color w:val="000000"/>
        </w:rPr>
        <w:t>. However, we tapered the dose of corticosteroids relatively quickly for better control of GLU. As a result, the patient achieved a positive prognosis during follow-up. However, the efficacy of hypoglycemic treatment alone or in combination with corticosteroids remains unknown. Further studies are needed to compare their curative value.</w:t>
      </w:r>
    </w:p>
    <w:p w14:paraId="63D5085F" w14:textId="77777777" w:rsidR="00411356" w:rsidRPr="00B01787" w:rsidRDefault="00411356">
      <w:pPr>
        <w:spacing w:line="360" w:lineRule="auto"/>
        <w:jc w:val="both"/>
      </w:pPr>
    </w:p>
    <w:p w14:paraId="7EAF0DA2" w14:textId="77777777" w:rsidR="00411356" w:rsidRPr="00B01787" w:rsidRDefault="008D1FB5">
      <w:pPr>
        <w:spacing w:line="360" w:lineRule="auto"/>
        <w:jc w:val="both"/>
      </w:pPr>
      <w:r w:rsidRPr="00B01787">
        <w:rPr>
          <w:rFonts w:ascii="Book Antiqua" w:eastAsia="Book Antiqua" w:hAnsi="Book Antiqua" w:cs="Book Antiqua"/>
          <w:b/>
          <w:caps/>
          <w:color w:val="000000"/>
          <w:u w:val="single"/>
        </w:rPr>
        <w:t>CONCLUSION</w:t>
      </w:r>
    </w:p>
    <w:p w14:paraId="1CAAF9FD" w14:textId="3F5EBC54" w:rsidR="00411356" w:rsidRPr="00B01787" w:rsidRDefault="008D1FB5">
      <w:pPr>
        <w:spacing w:line="360" w:lineRule="auto"/>
        <w:jc w:val="both"/>
      </w:pPr>
      <w:r w:rsidRPr="00B01787">
        <w:rPr>
          <w:rFonts w:ascii="Book Antiqua" w:eastAsia="Book Antiqua" w:hAnsi="Book Antiqua" w:cs="Book Antiqua"/>
          <w:color w:val="000000"/>
        </w:rPr>
        <w:t>CPM may be caused by diabetes, and could be associated with poorly controlled frequent hyponatremia. The imaging features c</w:t>
      </w:r>
      <w:r w:rsidR="0014334C" w:rsidRPr="00B01787">
        <w:rPr>
          <w:rFonts w:ascii="Book Antiqua" w:eastAsia="Book Antiqua" w:hAnsi="Book Antiqua" w:cs="Book Antiqua" w:hint="eastAsia"/>
          <w:color w:val="000000"/>
          <w:lang w:eastAsia="zh-CN"/>
        </w:rPr>
        <w:t>ould</w:t>
      </w:r>
      <w:r w:rsidRPr="00B01787">
        <w:rPr>
          <w:rFonts w:ascii="Book Antiqua" w:eastAsia="Book Antiqua" w:hAnsi="Book Antiqua" w:cs="Book Antiqua"/>
          <w:color w:val="000000"/>
        </w:rPr>
        <w:t xml:space="preserve"> mimic glioma, with atypical inhomogeneous signal intensity on contrast-enhanced MRI. As a frequent disease in various hospital departments, early identification should be performed when patients with diabetes develop neurological symptoms especially with glioma-like imaging features. Tentative treatment with corticosteroids might be effective and improve the prognosis.</w:t>
      </w:r>
    </w:p>
    <w:p w14:paraId="66451562" w14:textId="77777777" w:rsidR="00411356" w:rsidRPr="00B01787" w:rsidRDefault="00411356">
      <w:pPr>
        <w:spacing w:line="360" w:lineRule="auto"/>
        <w:jc w:val="both"/>
      </w:pPr>
    </w:p>
    <w:p w14:paraId="03522C78" w14:textId="77777777" w:rsidR="00411356" w:rsidRPr="00B01787" w:rsidRDefault="008D1FB5">
      <w:pPr>
        <w:spacing w:line="360" w:lineRule="auto"/>
        <w:jc w:val="both"/>
      </w:pPr>
      <w:r w:rsidRPr="00B01787">
        <w:rPr>
          <w:rFonts w:ascii="Book Antiqua" w:eastAsia="Book Antiqua" w:hAnsi="Book Antiqua" w:cs="Book Antiqua"/>
          <w:b/>
          <w:color w:val="000000"/>
        </w:rPr>
        <w:t>REFERENCES</w:t>
      </w:r>
    </w:p>
    <w:p w14:paraId="02809F3C" w14:textId="77777777" w:rsidR="00411356" w:rsidRPr="00B01787" w:rsidRDefault="008D1FB5">
      <w:pPr>
        <w:spacing w:line="360" w:lineRule="auto"/>
        <w:jc w:val="both"/>
      </w:pPr>
      <w:r w:rsidRPr="00B01787">
        <w:rPr>
          <w:rFonts w:ascii="Book Antiqua" w:eastAsia="Book Antiqua" w:hAnsi="Book Antiqua" w:cs="Book Antiqua"/>
          <w:color w:val="000000"/>
        </w:rPr>
        <w:t xml:space="preserve">1 </w:t>
      </w:r>
      <w:r w:rsidRPr="00B01787">
        <w:rPr>
          <w:rFonts w:ascii="Book Antiqua" w:eastAsia="Book Antiqua" w:hAnsi="Book Antiqua" w:cs="Book Antiqua"/>
          <w:b/>
          <w:bCs/>
          <w:color w:val="000000"/>
        </w:rPr>
        <w:t>Adams RD</w:t>
      </w:r>
      <w:r w:rsidRPr="00B01787">
        <w:rPr>
          <w:rFonts w:ascii="Book Antiqua" w:eastAsia="Book Antiqua" w:hAnsi="Book Antiqua" w:cs="Book Antiqua"/>
          <w:color w:val="000000"/>
        </w:rPr>
        <w:t xml:space="preserve">, Victor M, Mancall EL. Central pontine myelinolysis: a hitherto undescribed disease occurring in alcoholic and malnourished patients. </w:t>
      </w:r>
      <w:r w:rsidRPr="00B01787">
        <w:rPr>
          <w:rFonts w:ascii="Book Antiqua" w:eastAsia="Book Antiqua" w:hAnsi="Book Antiqua" w:cs="Book Antiqua"/>
          <w:i/>
          <w:iCs/>
          <w:color w:val="000000"/>
        </w:rPr>
        <w:t>AMA Arch Neurol Psychiatry</w:t>
      </w:r>
      <w:r w:rsidRPr="00B01787">
        <w:rPr>
          <w:rFonts w:ascii="Book Antiqua" w:eastAsia="Book Antiqua" w:hAnsi="Book Antiqua" w:cs="Book Antiqua"/>
          <w:color w:val="000000"/>
        </w:rPr>
        <w:t xml:space="preserve"> 1959; </w:t>
      </w:r>
      <w:r w:rsidRPr="00B01787">
        <w:rPr>
          <w:rFonts w:ascii="Book Antiqua" w:eastAsia="Book Antiqua" w:hAnsi="Book Antiqua" w:cs="Book Antiqua"/>
          <w:b/>
          <w:bCs/>
          <w:color w:val="000000"/>
        </w:rPr>
        <w:t>81</w:t>
      </w:r>
      <w:r w:rsidRPr="00B01787">
        <w:rPr>
          <w:rFonts w:ascii="Book Antiqua" w:eastAsia="Book Antiqua" w:hAnsi="Book Antiqua" w:cs="Book Antiqua"/>
          <w:color w:val="000000"/>
        </w:rPr>
        <w:t>: 154-172 [PMID: 13616772]</w:t>
      </w:r>
    </w:p>
    <w:p w14:paraId="1B6977A6" w14:textId="77777777" w:rsidR="00411356" w:rsidRPr="00B01787" w:rsidRDefault="008D1FB5">
      <w:pPr>
        <w:spacing w:line="360" w:lineRule="auto"/>
        <w:jc w:val="both"/>
      </w:pPr>
      <w:r w:rsidRPr="00B01787">
        <w:rPr>
          <w:rFonts w:ascii="Book Antiqua" w:eastAsia="Book Antiqua" w:hAnsi="Book Antiqua" w:cs="Book Antiqua"/>
          <w:color w:val="000000"/>
        </w:rPr>
        <w:t xml:space="preserve">2 </w:t>
      </w:r>
      <w:r w:rsidRPr="00B01787">
        <w:rPr>
          <w:rFonts w:ascii="Book Antiqua" w:eastAsia="Book Antiqua" w:hAnsi="Book Antiqua" w:cs="Book Antiqua"/>
          <w:b/>
          <w:bCs/>
          <w:color w:val="000000"/>
        </w:rPr>
        <w:t>Alleman AM</w:t>
      </w:r>
      <w:r w:rsidRPr="00B01787">
        <w:rPr>
          <w:rFonts w:ascii="Book Antiqua" w:eastAsia="Book Antiqua" w:hAnsi="Book Antiqua" w:cs="Book Antiqua"/>
          <w:color w:val="000000"/>
        </w:rPr>
        <w:t xml:space="preserve">. Osmotic demyelination syndrome: central pontine myelinolysis and extrapontine myelinolysis. </w:t>
      </w:r>
      <w:r w:rsidRPr="00B01787">
        <w:rPr>
          <w:rFonts w:ascii="Book Antiqua" w:eastAsia="Book Antiqua" w:hAnsi="Book Antiqua" w:cs="Book Antiqua"/>
          <w:i/>
          <w:iCs/>
          <w:color w:val="000000"/>
        </w:rPr>
        <w:t>Semin Ultrasound CT MR</w:t>
      </w:r>
      <w:r w:rsidRPr="00B01787">
        <w:rPr>
          <w:rFonts w:ascii="Book Antiqua" w:eastAsia="Book Antiqua" w:hAnsi="Book Antiqua" w:cs="Book Antiqua"/>
          <w:color w:val="000000"/>
        </w:rPr>
        <w:t xml:space="preserve"> 2014; </w:t>
      </w:r>
      <w:r w:rsidRPr="00B01787">
        <w:rPr>
          <w:rFonts w:ascii="Book Antiqua" w:eastAsia="Book Antiqua" w:hAnsi="Book Antiqua" w:cs="Book Antiqua"/>
          <w:b/>
          <w:bCs/>
          <w:color w:val="000000"/>
        </w:rPr>
        <w:t>35</w:t>
      </w:r>
      <w:r w:rsidRPr="00B01787">
        <w:rPr>
          <w:rFonts w:ascii="Book Antiqua" w:eastAsia="Book Antiqua" w:hAnsi="Book Antiqua" w:cs="Book Antiqua"/>
          <w:color w:val="000000"/>
        </w:rPr>
        <w:t>: 153-159 [PMID: 24745890 DOI: 10.1053/j.sult.2013.09.009]</w:t>
      </w:r>
    </w:p>
    <w:p w14:paraId="381FE448" w14:textId="77777777" w:rsidR="00411356" w:rsidRPr="00B01787" w:rsidRDefault="008D1FB5">
      <w:pPr>
        <w:spacing w:line="360" w:lineRule="auto"/>
        <w:jc w:val="both"/>
      </w:pPr>
      <w:r w:rsidRPr="00B01787">
        <w:rPr>
          <w:rFonts w:ascii="Book Antiqua" w:eastAsia="Book Antiqua" w:hAnsi="Book Antiqua" w:cs="Book Antiqua"/>
          <w:color w:val="000000"/>
        </w:rPr>
        <w:t xml:space="preserve">3 </w:t>
      </w:r>
      <w:r w:rsidRPr="00B01787">
        <w:rPr>
          <w:rFonts w:ascii="Book Antiqua" w:eastAsia="Book Antiqua" w:hAnsi="Book Antiqua" w:cs="Book Antiqua"/>
          <w:b/>
          <w:bCs/>
          <w:color w:val="000000"/>
        </w:rPr>
        <w:t>Wang YF</w:t>
      </w:r>
      <w:r w:rsidRPr="00B01787">
        <w:rPr>
          <w:rFonts w:ascii="Book Antiqua" w:eastAsia="Book Antiqua" w:hAnsi="Book Antiqua" w:cs="Book Antiqua"/>
          <w:color w:val="000000"/>
        </w:rPr>
        <w:t xml:space="preserve">, Parpura V. Astroglial Modulation of Hydromineral Balance and Cerebral Edema. </w:t>
      </w:r>
      <w:r w:rsidRPr="00B01787">
        <w:rPr>
          <w:rFonts w:ascii="Book Antiqua" w:eastAsia="Book Antiqua" w:hAnsi="Book Antiqua" w:cs="Book Antiqua"/>
          <w:i/>
          <w:iCs/>
          <w:color w:val="000000"/>
        </w:rPr>
        <w:t>Front Mol Neurosci</w:t>
      </w:r>
      <w:r w:rsidRPr="00B01787">
        <w:rPr>
          <w:rFonts w:ascii="Book Antiqua" w:eastAsia="Book Antiqua" w:hAnsi="Book Antiqua" w:cs="Book Antiqua"/>
          <w:color w:val="000000"/>
        </w:rPr>
        <w:t xml:space="preserve"> 2018; </w:t>
      </w:r>
      <w:r w:rsidRPr="00B01787">
        <w:rPr>
          <w:rFonts w:ascii="Book Antiqua" w:eastAsia="Book Antiqua" w:hAnsi="Book Antiqua" w:cs="Book Antiqua"/>
          <w:b/>
          <w:bCs/>
          <w:color w:val="000000"/>
        </w:rPr>
        <w:t>11</w:t>
      </w:r>
      <w:r w:rsidRPr="00B01787">
        <w:rPr>
          <w:rFonts w:ascii="Book Antiqua" w:eastAsia="Book Antiqua" w:hAnsi="Book Antiqua" w:cs="Book Antiqua"/>
          <w:color w:val="000000"/>
        </w:rPr>
        <w:t>: 204 [PMID: 29946238 DOI: 10.3389/fnmol.2018.00204]</w:t>
      </w:r>
    </w:p>
    <w:p w14:paraId="3A856D35" w14:textId="77777777" w:rsidR="00411356" w:rsidRPr="00B01787" w:rsidRDefault="008D1FB5">
      <w:pPr>
        <w:spacing w:line="360" w:lineRule="auto"/>
        <w:jc w:val="both"/>
      </w:pPr>
      <w:r w:rsidRPr="00B01787">
        <w:rPr>
          <w:rFonts w:ascii="Book Antiqua" w:eastAsia="Book Antiqua" w:hAnsi="Book Antiqua" w:cs="Book Antiqua"/>
          <w:color w:val="000000"/>
        </w:rPr>
        <w:t xml:space="preserve">4 </w:t>
      </w:r>
      <w:r w:rsidRPr="00B01787">
        <w:rPr>
          <w:rFonts w:ascii="Book Antiqua" w:eastAsia="Book Antiqua" w:hAnsi="Book Antiqua" w:cs="Book Antiqua"/>
          <w:b/>
          <w:bCs/>
          <w:color w:val="000000"/>
        </w:rPr>
        <w:t>Shah MK</w:t>
      </w:r>
      <w:r w:rsidRPr="00B01787">
        <w:rPr>
          <w:rFonts w:ascii="Book Antiqua" w:eastAsia="Book Antiqua" w:hAnsi="Book Antiqua" w:cs="Book Antiqua"/>
          <w:color w:val="000000"/>
        </w:rPr>
        <w:t xml:space="preserve">, Mandayam S, Adrogué HJ. Osmotic Demyelination Unrelated to Hyponatremia. </w:t>
      </w:r>
      <w:r w:rsidRPr="00B01787">
        <w:rPr>
          <w:rFonts w:ascii="Book Antiqua" w:eastAsia="Book Antiqua" w:hAnsi="Book Antiqua" w:cs="Book Antiqua"/>
          <w:i/>
          <w:iCs/>
          <w:color w:val="000000"/>
        </w:rPr>
        <w:t>Am J Kidney Dis</w:t>
      </w:r>
      <w:r w:rsidRPr="00B01787">
        <w:rPr>
          <w:rFonts w:ascii="Book Antiqua" w:eastAsia="Book Antiqua" w:hAnsi="Book Antiqua" w:cs="Book Antiqua"/>
          <w:color w:val="000000"/>
        </w:rPr>
        <w:t xml:space="preserve"> 2018; </w:t>
      </w:r>
      <w:r w:rsidRPr="00B01787">
        <w:rPr>
          <w:rFonts w:ascii="Book Antiqua" w:eastAsia="Book Antiqua" w:hAnsi="Book Antiqua" w:cs="Book Antiqua"/>
          <w:b/>
          <w:bCs/>
          <w:color w:val="000000"/>
        </w:rPr>
        <w:t>71</w:t>
      </w:r>
      <w:r w:rsidRPr="00B01787">
        <w:rPr>
          <w:rFonts w:ascii="Book Antiqua" w:eastAsia="Book Antiqua" w:hAnsi="Book Antiqua" w:cs="Book Antiqua"/>
          <w:color w:val="000000"/>
        </w:rPr>
        <w:t>: 436-440 [PMID: 29277507 DOI: 10.1053/j.ajkd.2017.10.010]</w:t>
      </w:r>
    </w:p>
    <w:p w14:paraId="2BBB55EF" w14:textId="77777777" w:rsidR="00411356" w:rsidRPr="00B01787" w:rsidRDefault="008D1FB5">
      <w:pPr>
        <w:spacing w:line="360" w:lineRule="auto"/>
        <w:jc w:val="both"/>
      </w:pPr>
      <w:r w:rsidRPr="00B01787">
        <w:rPr>
          <w:rFonts w:ascii="Book Antiqua" w:eastAsia="Book Antiqua" w:hAnsi="Book Antiqua" w:cs="Book Antiqua"/>
          <w:color w:val="000000"/>
        </w:rPr>
        <w:t xml:space="preserve">5 </w:t>
      </w:r>
      <w:r w:rsidRPr="00B01787">
        <w:rPr>
          <w:rFonts w:ascii="Book Antiqua" w:eastAsia="Book Antiqua" w:hAnsi="Book Antiqua" w:cs="Book Antiqua"/>
          <w:b/>
          <w:bCs/>
          <w:color w:val="000000"/>
        </w:rPr>
        <w:t>Shimizu Y</w:t>
      </w:r>
      <w:r w:rsidRPr="00B01787">
        <w:rPr>
          <w:rFonts w:ascii="Book Antiqua" w:eastAsia="Book Antiqua" w:hAnsi="Book Antiqua" w:cs="Book Antiqua"/>
          <w:color w:val="000000"/>
        </w:rPr>
        <w:t xml:space="preserve">, Kozawa J, Hayakawa T, Sakai Y, Kimura T, Kitamura T, Murase S, Tanaka H, Maeda N, Otsuki M, Matsuoka T, Mochizuki H, Iwahashi H, Shimomura I. Asymptomatic Pontine Lesion and Diabetic Amyotrophy after Rapid Improvement of Poor Glycemic Control in a Patient with Type 1 Diabetes. </w:t>
      </w:r>
      <w:r w:rsidRPr="00B01787">
        <w:rPr>
          <w:rFonts w:ascii="Book Antiqua" w:eastAsia="Book Antiqua" w:hAnsi="Book Antiqua" w:cs="Book Antiqua"/>
          <w:i/>
          <w:iCs/>
          <w:color w:val="000000"/>
        </w:rPr>
        <w:t>Intern Med</w:t>
      </w:r>
      <w:r w:rsidRPr="00B01787">
        <w:rPr>
          <w:rFonts w:ascii="Book Antiqua" w:eastAsia="Book Antiqua" w:hAnsi="Book Antiqua" w:cs="Book Antiqua"/>
          <w:color w:val="000000"/>
        </w:rPr>
        <w:t xml:space="preserve"> 2019; </w:t>
      </w:r>
      <w:r w:rsidRPr="00B01787">
        <w:rPr>
          <w:rFonts w:ascii="Book Antiqua" w:eastAsia="Book Antiqua" w:hAnsi="Book Antiqua" w:cs="Book Antiqua"/>
          <w:b/>
          <w:bCs/>
          <w:color w:val="000000"/>
        </w:rPr>
        <w:t>58</w:t>
      </w:r>
      <w:r w:rsidRPr="00B01787">
        <w:rPr>
          <w:rFonts w:ascii="Book Antiqua" w:eastAsia="Book Antiqua" w:hAnsi="Book Antiqua" w:cs="Book Antiqua"/>
          <w:color w:val="000000"/>
        </w:rPr>
        <w:t>: 3433-3439 [PMID: 31391398 DOI: 10.2169/internalmedicine.2835-19]</w:t>
      </w:r>
    </w:p>
    <w:p w14:paraId="4CDC76D5" w14:textId="77777777" w:rsidR="00411356" w:rsidRPr="00B01787" w:rsidRDefault="008D1FB5">
      <w:pPr>
        <w:spacing w:line="360" w:lineRule="auto"/>
        <w:jc w:val="both"/>
      </w:pPr>
      <w:r w:rsidRPr="00B01787">
        <w:rPr>
          <w:rFonts w:ascii="Book Antiqua" w:eastAsia="Book Antiqua" w:hAnsi="Book Antiqua" w:cs="Book Antiqua"/>
          <w:color w:val="000000"/>
        </w:rPr>
        <w:t xml:space="preserve">6 </w:t>
      </w:r>
      <w:r w:rsidRPr="00B01787">
        <w:rPr>
          <w:rFonts w:ascii="Book Antiqua" w:eastAsia="Book Antiqua" w:hAnsi="Book Antiqua" w:cs="Book Antiqua"/>
          <w:b/>
          <w:bCs/>
          <w:color w:val="000000"/>
        </w:rPr>
        <w:t>Sharma C</w:t>
      </w:r>
      <w:r w:rsidRPr="00B01787">
        <w:rPr>
          <w:rFonts w:ascii="Book Antiqua" w:eastAsia="Book Antiqua" w:hAnsi="Book Antiqua" w:cs="Book Antiqua"/>
          <w:color w:val="000000"/>
        </w:rPr>
        <w:t xml:space="preserve">, Kumawat BL, Panchal M, Shah M. Osmotic demyelination syndrome in type 1 diabetes in the absence of dyselectrolytaemia: an overlooked complication? </w:t>
      </w:r>
      <w:r w:rsidRPr="00B01787">
        <w:rPr>
          <w:rFonts w:ascii="Book Antiqua" w:eastAsia="Book Antiqua" w:hAnsi="Book Antiqua" w:cs="Book Antiqua"/>
          <w:i/>
          <w:iCs/>
          <w:color w:val="000000"/>
        </w:rPr>
        <w:t>BMJ Case Rep</w:t>
      </w:r>
      <w:r w:rsidRPr="00B01787">
        <w:rPr>
          <w:rFonts w:ascii="Book Antiqua" w:eastAsia="Book Antiqua" w:hAnsi="Book Antiqua" w:cs="Book Antiqua"/>
          <w:color w:val="000000"/>
        </w:rPr>
        <w:t xml:space="preserve"> 2017; </w:t>
      </w:r>
      <w:r w:rsidRPr="00B01787">
        <w:rPr>
          <w:rFonts w:ascii="Book Antiqua" w:eastAsia="Book Antiqua" w:hAnsi="Book Antiqua" w:cs="Book Antiqua"/>
          <w:b/>
          <w:bCs/>
          <w:color w:val="000000"/>
        </w:rPr>
        <w:t>2017</w:t>
      </w:r>
      <w:r w:rsidRPr="00B01787">
        <w:rPr>
          <w:rFonts w:ascii="Book Antiqua" w:eastAsia="Book Antiqua" w:hAnsi="Book Antiqua" w:cs="Book Antiqua"/>
          <w:color w:val="000000"/>
        </w:rPr>
        <w:t xml:space="preserve"> [PMID: 28500261 DOI: 10.1136/bcr-2016-219148]</w:t>
      </w:r>
    </w:p>
    <w:p w14:paraId="40C7AE62" w14:textId="77777777" w:rsidR="00411356" w:rsidRPr="00B01787" w:rsidRDefault="008D1FB5">
      <w:pPr>
        <w:spacing w:line="360" w:lineRule="auto"/>
        <w:jc w:val="both"/>
      </w:pPr>
      <w:r w:rsidRPr="00B01787">
        <w:rPr>
          <w:rFonts w:ascii="Book Antiqua" w:eastAsia="Book Antiqua" w:hAnsi="Book Antiqua" w:cs="Book Antiqua"/>
          <w:color w:val="000000"/>
        </w:rPr>
        <w:t xml:space="preserve">7 </w:t>
      </w:r>
      <w:r w:rsidRPr="00B01787">
        <w:rPr>
          <w:rFonts w:ascii="Book Antiqua" w:eastAsia="Book Antiqua" w:hAnsi="Book Antiqua" w:cs="Book Antiqua"/>
          <w:b/>
          <w:bCs/>
          <w:color w:val="000000"/>
        </w:rPr>
        <w:t>Saini M</w:t>
      </w:r>
      <w:r w:rsidRPr="00B01787">
        <w:rPr>
          <w:rFonts w:ascii="Book Antiqua" w:eastAsia="Book Antiqua" w:hAnsi="Book Antiqua" w:cs="Book Antiqua"/>
          <w:color w:val="000000"/>
        </w:rPr>
        <w:t xml:space="preserve">, Mamauag MJ, Singh R. Central pontine myelinolysis: a rare presentation secondary to hyperglycaemia. </w:t>
      </w:r>
      <w:r w:rsidRPr="00B01787">
        <w:rPr>
          <w:rFonts w:ascii="Book Antiqua" w:eastAsia="Book Antiqua" w:hAnsi="Book Antiqua" w:cs="Book Antiqua"/>
          <w:i/>
          <w:iCs/>
          <w:color w:val="000000"/>
        </w:rPr>
        <w:t>Singapore Med J</w:t>
      </w:r>
      <w:r w:rsidRPr="00B01787">
        <w:rPr>
          <w:rFonts w:ascii="Book Antiqua" w:eastAsia="Book Antiqua" w:hAnsi="Book Antiqua" w:cs="Book Antiqua"/>
          <w:color w:val="000000"/>
        </w:rPr>
        <w:t xml:space="preserve"> 2015; </w:t>
      </w:r>
      <w:r w:rsidRPr="00B01787">
        <w:rPr>
          <w:rFonts w:ascii="Book Antiqua" w:eastAsia="Book Antiqua" w:hAnsi="Book Antiqua" w:cs="Book Antiqua"/>
          <w:b/>
          <w:bCs/>
          <w:color w:val="000000"/>
        </w:rPr>
        <w:t>56</w:t>
      </w:r>
      <w:r w:rsidRPr="00B01787">
        <w:rPr>
          <w:rFonts w:ascii="Book Antiqua" w:eastAsia="Book Antiqua" w:hAnsi="Book Antiqua" w:cs="Book Antiqua"/>
          <w:color w:val="000000"/>
        </w:rPr>
        <w:t>: e71-e73 [PMID: 25917480 DOI: 10.11622/smedj.2015065]</w:t>
      </w:r>
    </w:p>
    <w:p w14:paraId="4779B9BF" w14:textId="77777777" w:rsidR="00411356" w:rsidRPr="00B01787" w:rsidRDefault="008D1FB5">
      <w:pPr>
        <w:spacing w:line="360" w:lineRule="auto"/>
        <w:jc w:val="both"/>
      </w:pPr>
      <w:r w:rsidRPr="00B01787">
        <w:rPr>
          <w:rFonts w:ascii="Book Antiqua" w:eastAsia="Book Antiqua" w:hAnsi="Book Antiqua" w:cs="Book Antiqua"/>
          <w:color w:val="000000"/>
        </w:rPr>
        <w:t xml:space="preserve">8 </w:t>
      </w:r>
      <w:r w:rsidRPr="00B01787">
        <w:rPr>
          <w:rFonts w:ascii="Book Antiqua" w:eastAsia="Book Antiqua" w:hAnsi="Book Antiqua" w:cs="Book Antiqua"/>
          <w:b/>
          <w:bCs/>
          <w:color w:val="000000"/>
        </w:rPr>
        <w:t>Talluri S</w:t>
      </w:r>
      <w:r w:rsidRPr="00B01787">
        <w:rPr>
          <w:rFonts w:ascii="Book Antiqua" w:eastAsia="Book Antiqua" w:hAnsi="Book Antiqua" w:cs="Book Antiqua"/>
          <w:color w:val="000000"/>
        </w:rPr>
        <w:t xml:space="preserve">, Charumathi R, Khan M, Kissell K. Atypical presentation of central pontine myelinolysis in hyperglycemia. </w:t>
      </w:r>
      <w:r w:rsidRPr="00B01787">
        <w:rPr>
          <w:rFonts w:ascii="Book Antiqua" w:eastAsia="Book Antiqua" w:hAnsi="Book Antiqua" w:cs="Book Antiqua"/>
          <w:i/>
          <w:iCs/>
          <w:color w:val="000000"/>
        </w:rPr>
        <w:t>Endocrinol Diabetes Metab Case Rep</w:t>
      </w:r>
      <w:r w:rsidRPr="00B01787">
        <w:rPr>
          <w:rFonts w:ascii="Book Antiqua" w:eastAsia="Book Antiqua" w:hAnsi="Book Antiqua" w:cs="Book Antiqua"/>
          <w:color w:val="000000"/>
        </w:rPr>
        <w:t xml:space="preserve"> 2017; </w:t>
      </w:r>
      <w:r w:rsidRPr="00B01787">
        <w:rPr>
          <w:rFonts w:ascii="Book Antiqua" w:eastAsia="Book Antiqua" w:hAnsi="Book Antiqua" w:cs="Book Antiqua"/>
          <w:b/>
          <w:bCs/>
          <w:color w:val="000000"/>
        </w:rPr>
        <w:t>2017</w:t>
      </w:r>
      <w:r w:rsidRPr="00B01787">
        <w:rPr>
          <w:rFonts w:ascii="Book Antiqua" w:eastAsia="Book Antiqua" w:hAnsi="Book Antiqua" w:cs="Book Antiqua"/>
          <w:color w:val="000000"/>
        </w:rPr>
        <w:t xml:space="preserve"> [PMID: 28924482 DOI: 10.1530/EDM-17-0064]</w:t>
      </w:r>
    </w:p>
    <w:p w14:paraId="23D7AD8E" w14:textId="77777777" w:rsidR="00411356" w:rsidRPr="00B01787" w:rsidRDefault="008D1FB5">
      <w:pPr>
        <w:spacing w:line="360" w:lineRule="auto"/>
        <w:jc w:val="both"/>
      </w:pPr>
      <w:r w:rsidRPr="00B01787">
        <w:rPr>
          <w:rFonts w:ascii="Book Antiqua" w:eastAsia="Book Antiqua" w:hAnsi="Book Antiqua" w:cs="Book Antiqua"/>
          <w:color w:val="000000"/>
        </w:rPr>
        <w:t xml:space="preserve">9 </w:t>
      </w:r>
      <w:r w:rsidRPr="00B01787">
        <w:rPr>
          <w:rFonts w:ascii="Book Antiqua" w:eastAsia="Book Antiqua" w:hAnsi="Book Antiqua" w:cs="Book Antiqua"/>
          <w:b/>
          <w:bCs/>
          <w:color w:val="000000"/>
        </w:rPr>
        <w:t>Hsieh HC</w:t>
      </w:r>
      <w:r w:rsidRPr="00B01787">
        <w:rPr>
          <w:rFonts w:ascii="Book Antiqua" w:eastAsia="Book Antiqua" w:hAnsi="Book Antiqua" w:cs="Book Antiqua"/>
          <w:color w:val="000000"/>
        </w:rPr>
        <w:t xml:space="preserve">, Wu SH, Chiu CC, Ko KC. Excessive Sodium Bicarbonate Infusion May Result in Osmotic Demyelination Syndrome During Treatment of Diabetic Ketoacidosis: A Case Report. </w:t>
      </w:r>
      <w:r w:rsidRPr="00B01787">
        <w:rPr>
          <w:rFonts w:ascii="Book Antiqua" w:eastAsia="Book Antiqua" w:hAnsi="Book Antiqua" w:cs="Book Antiqua"/>
          <w:i/>
          <w:iCs/>
          <w:color w:val="000000"/>
        </w:rPr>
        <w:t>Diabetes Ther</w:t>
      </w:r>
      <w:r w:rsidRPr="00B01787">
        <w:rPr>
          <w:rFonts w:ascii="Book Antiqua" w:eastAsia="Book Antiqua" w:hAnsi="Book Antiqua" w:cs="Book Antiqua"/>
          <w:color w:val="000000"/>
        </w:rPr>
        <w:t xml:space="preserve"> 2019; </w:t>
      </w:r>
      <w:r w:rsidRPr="00B01787">
        <w:rPr>
          <w:rFonts w:ascii="Book Antiqua" w:eastAsia="Book Antiqua" w:hAnsi="Book Antiqua" w:cs="Book Antiqua"/>
          <w:b/>
          <w:bCs/>
          <w:color w:val="000000"/>
        </w:rPr>
        <w:t>10</w:t>
      </w:r>
      <w:r w:rsidRPr="00B01787">
        <w:rPr>
          <w:rFonts w:ascii="Book Antiqua" w:eastAsia="Book Antiqua" w:hAnsi="Book Antiqua" w:cs="Book Antiqua"/>
          <w:color w:val="000000"/>
        </w:rPr>
        <w:t>: 765-771 [PMID: 30843157 DOI: 10.1007/s13300-019-0592-8]</w:t>
      </w:r>
    </w:p>
    <w:p w14:paraId="2429D9E8" w14:textId="77777777" w:rsidR="00411356" w:rsidRPr="00B01787" w:rsidRDefault="008D1FB5">
      <w:pPr>
        <w:spacing w:line="360" w:lineRule="auto"/>
        <w:jc w:val="both"/>
      </w:pPr>
      <w:r w:rsidRPr="00B01787">
        <w:rPr>
          <w:rFonts w:ascii="Book Antiqua" w:eastAsia="Book Antiqua" w:hAnsi="Book Antiqua" w:cs="Book Antiqua"/>
          <w:color w:val="000000"/>
        </w:rPr>
        <w:t xml:space="preserve">10 </w:t>
      </w:r>
      <w:r w:rsidRPr="00B01787">
        <w:rPr>
          <w:rFonts w:ascii="Book Antiqua" w:eastAsia="Book Antiqua" w:hAnsi="Book Antiqua" w:cs="Book Antiqua"/>
          <w:b/>
          <w:bCs/>
          <w:color w:val="000000"/>
        </w:rPr>
        <w:t>Reijnders TDY</w:t>
      </w:r>
      <w:r w:rsidRPr="00B01787">
        <w:rPr>
          <w:rFonts w:ascii="Book Antiqua" w:eastAsia="Book Antiqua" w:hAnsi="Book Antiqua" w:cs="Book Antiqua"/>
          <w:color w:val="000000"/>
        </w:rPr>
        <w:t xml:space="preserve">, Janssen WMT, Niamut SML, Kramer AB. Role of Risk Factors in Developing Osmotic Demyelination Syndrome During Correction of Hyponatremia: A Case Study. </w:t>
      </w:r>
      <w:r w:rsidRPr="00B01787">
        <w:rPr>
          <w:rFonts w:ascii="Book Antiqua" w:eastAsia="Book Antiqua" w:hAnsi="Book Antiqua" w:cs="Book Antiqua"/>
          <w:i/>
          <w:iCs/>
          <w:color w:val="000000"/>
        </w:rPr>
        <w:t>Cureus</w:t>
      </w:r>
      <w:r w:rsidRPr="00B01787">
        <w:rPr>
          <w:rFonts w:ascii="Book Antiqua" w:eastAsia="Book Antiqua" w:hAnsi="Book Antiqua" w:cs="Book Antiqua"/>
          <w:color w:val="000000"/>
        </w:rPr>
        <w:t xml:space="preserve"> 2020; </w:t>
      </w:r>
      <w:r w:rsidRPr="00B01787">
        <w:rPr>
          <w:rFonts w:ascii="Book Antiqua" w:eastAsia="Book Antiqua" w:hAnsi="Book Antiqua" w:cs="Book Antiqua"/>
          <w:b/>
          <w:bCs/>
          <w:color w:val="000000"/>
        </w:rPr>
        <w:t>12</w:t>
      </w:r>
      <w:r w:rsidRPr="00B01787">
        <w:rPr>
          <w:rFonts w:ascii="Book Antiqua" w:eastAsia="Book Antiqua" w:hAnsi="Book Antiqua" w:cs="Book Antiqua"/>
          <w:color w:val="000000"/>
        </w:rPr>
        <w:t>: e6547 [PMID: 32042522 DOI: 10.7759/cureus.6547]</w:t>
      </w:r>
    </w:p>
    <w:p w14:paraId="74997165" w14:textId="77777777" w:rsidR="00411356" w:rsidRPr="00B01787" w:rsidRDefault="008D1FB5">
      <w:pPr>
        <w:spacing w:line="360" w:lineRule="auto"/>
        <w:jc w:val="both"/>
      </w:pPr>
      <w:r w:rsidRPr="00B01787">
        <w:rPr>
          <w:rFonts w:ascii="Book Antiqua" w:eastAsia="Book Antiqua" w:hAnsi="Book Antiqua" w:cs="Book Antiqua"/>
          <w:color w:val="000000"/>
        </w:rPr>
        <w:t xml:space="preserve">11 </w:t>
      </w:r>
      <w:r w:rsidRPr="00B01787">
        <w:rPr>
          <w:rFonts w:ascii="Book Antiqua" w:eastAsia="Book Antiqua" w:hAnsi="Book Antiqua" w:cs="Book Antiqua"/>
          <w:b/>
          <w:bCs/>
          <w:color w:val="000000"/>
        </w:rPr>
        <w:t>Andereggen L</w:t>
      </w:r>
      <w:r w:rsidRPr="00B01787">
        <w:rPr>
          <w:rFonts w:ascii="Book Antiqua" w:eastAsia="Book Antiqua" w:hAnsi="Book Antiqua" w:cs="Book Antiqua"/>
          <w:color w:val="000000"/>
        </w:rPr>
        <w:t xml:space="preserve">, Remonda L. Pontine Neoplasm or Myelinolysis Despite Normal Sodium Levels. </w:t>
      </w:r>
      <w:r w:rsidRPr="00B01787">
        <w:rPr>
          <w:rFonts w:ascii="Book Antiqua" w:eastAsia="Book Antiqua" w:hAnsi="Book Antiqua" w:cs="Book Antiqua"/>
          <w:i/>
          <w:iCs/>
          <w:color w:val="000000"/>
        </w:rPr>
        <w:t>World Neurosurg</w:t>
      </w:r>
      <w:r w:rsidRPr="00B01787">
        <w:rPr>
          <w:rFonts w:ascii="Book Antiqua" w:eastAsia="Book Antiqua" w:hAnsi="Book Antiqua" w:cs="Book Antiqua"/>
          <w:color w:val="000000"/>
        </w:rPr>
        <w:t xml:space="preserve"> 2020; </w:t>
      </w:r>
      <w:r w:rsidRPr="00B01787">
        <w:rPr>
          <w:rFonts w:ascii="Book Antiqua" w:eastAsia="Book Antiqua" w:hAnsi="Book Antiqua" w:cs="Book Antiqua"/>
          <w:b/>
          <w:bCs/>
          <w:color w:val="000000"/>
        </w:rPr>
        <w:t>140</w:t>
      </w:r>
      <w:r w:rsidRPr="00B01787">
        <w:rPr>
          <w:rFonts w:ascii="Book Antiqua" w:eastAsia="Book Antiqua" w:hAnsi="Book Antiqua" w:cs="Book Antiqua"/>
          <w:color w:val="000000"/>
        </w:rPr>
        <w:t>: 63-64 [PMID: 32416240 DOI: 10.1016/j.wneu.2020.05.061]</w:t>
      </w:r>
    </w:p>
    <w:p w14:paraId="3DA020E9" w14:textId="77777777" w:rsidR="00411356" w:rsidRPr="00B01787" w:rsidRDefault="008D1FB5">
      <w:pPr>
        <w:spacing w:line="360" w:lineRule="auto"/>
        <w:jc w:val="both"/>
      </w:pPr>
      <w:r w:rsidRPr="00B01787">
        <w:rPr>
          <w:rFonts w:ascii="Book Antiqua" w:eastAsia="Book Antiqua" w:hAnsi="Book Antiqua" w:cs="Book Antiqua"/>
          <w:color w:val="000000"/>
        </w:rPr>
        <w:t xml:space="preserve">12 </w:t>
      </w:r>
      <w:r w:rsidRPr="00B01787">
        <w:rPr>
          <w:rFonts w:ascii="Book Antiqua" w:eastAsia="Book Antiqua" w:hAnsi="Book Antiqua" w:cs="Book Antiqua"/>
          <w:b/>
          <w:bCs/>
          <w:color w:val="000000"/>
        </w:rPr>
        <w:t>Hardy TA</w:t>
      </w:r>
      <w:r w:rsidRPr="00B01787">
        <w:rPr>
          <w:rFonts w:ascii="Book Antiqua" w:eastAsia="Book Antiqua" w:hAnsi="Book Antiqua" w:cs="Book Antiqua"/>
          <w:color w:val="000000"/>
        </w:rPr>
        <w:t xml:space="preserve">. Pseudotumoral demyelinating lesions: diagnostic approach and long-term outcome. </w:t>
      </w:r>
      <w:r w:rsidRPr="00B01787">
        <w:rPr>
          <w:rFonts w:ascii="Book Antiqua" w:eastAsia="Book Antiqua" w:hAnsi="Book Antiqua" w:cs="Book Antiqua"/>
          <w:i/>
          <w:iCs/>
          <w:color w:val="000000"/>
        </w:rPr>
        <w:t>Curr Opin Neurol</w:t>
      </w:r>
      <w:r w:rsidRPr="00B01787">
        <w:rPr>
          <w:rFonts w:ascii="Book Antiqua" w:eastAsia="Book Antiqua" w:hAnsi="Book Antiqua" w:cs="Book Antiqua"/>
          <w:color w:val="000000"/>
        </w:rPr>
        <w:t xml:space="preserve"> 2019; </w:t>
      </w:r>
      <w:r w:rsidRPr="00B01787">
        <w:rPr>
          <w:rFonts w:ascii="Book Antiqua" w:eastAsia="Book Antiqua" w:hAnsi="Book Antiqua" w:cs="Book Antiqua"/>
          <w:b/>
          <w:bCs/>
          <w:color w:val="000000"/>
        </w:rPr>
        <w:t>32</w:t>
      </w:r>
      <w:r w:rsidRPr="00B01787">
        <w:rPr>
          <w:rFonts w:ascii="Book Antiqua" w:eastAsia="Book Antiqua" w:hAnsi="Book Antiqua" w:cs="Book Antiqua"/>
          <w:color w:val="000000"/>
        </w:rPr>
        <w:t>: 467-474 [PMID: 30844860 DOI: 10.1097/WCO.0000000000000683]</w:t>
      </w:r>
    </w:p>
    <w:p w14:paraId="431B4FCE" w14:textId="77777777" w:rsidR="00411356" w:rsidRPr="00B01787" w:rsidRDefault="008D1FB5">
      <w:pPr>
        <w:spacing w:line="360" w:lineRule="auto"/>
        <w:jc w:val="both"/>
      </w:pPr>
      <w:r w:rsidRPr="00B01787">
        <w:rPr>
          <w:rFonts w:ascii="Book Antiqua" w:eastAsia="Book Antiqua" w:hAnsi="Book Antiqua" w:cs="Book Antiqua"/>
          <w:color w:val="000000"/>
        </w:rPr>
        <w:t xml:space="preserve">13 </w:t>
      </w:r>
      <w:r w:rsidRPr="00B01787">
        <w:rPr>
          <w:rFonts w:ascii="Book Antiqua" w:eastAsia="Book Antiqua" w:hAnsi="Book Antiqua" w:cs="Book Antiqua"/>
          <w:b/>
          <w:bCs/>
          <w:color w:val="000000"/>
        </w:rPr>
        <w:t>Wei J</w:t>
      </w:r>
      <w:r w:rsidRPr="00B01787">
        <w:rPr>
          <w:rFonts w:ascii="Book Antiqua" w:eastAsia="Book Antiqua" w:hAnsi="Book Antiqua" w:cs="Book Antiqua"/>
          <w:color w:val="000000"/>
        </w:rPr>
        <w:t xml:space="preserve">, Li XY, Zhang Y. Central nervous system Cryptococcoma mimicking demyelinating disease: a case report. </w:t>
      </w:r>
      <w:r w:rsidRPr="00B01787">
        <w:rPr>
          <w:rFonts w:ascii="Book Antiqua" w:eastAsia="Book Antiqua" w:hAnsi="Book Antiqua" w:cs="Book Antiqua"/>
          <w:i/>
          <w:iCs/>
          <w:color w:val="000000"/>
        </w:rPr>
        <w:t>BMC Neurol</w:t>
      </w:r>
      <w:r w:rsidRPr="00B01787">
        <w:rPr>
          <w:rFonts w:ascii="Book Antiqua" w:eastAsia="Book Antiqua" w:hAnsi="Book Antiqua" w:cs="Book Antiqua"/>
          <w:color w:val="000000"/>
        </w:rPr>
        <w:t xml:space="preserve"> 2020; </w:t>
      </w:r>
      <w:r w:rsidRPr="00B01787">
        <w:rPr>
          <w:rFonts w:ascii="Book Antiqua" w:eastAsia="Book Antiqua" w:hAnsi="Book Antiqua" w:cs="Book Antiqua"/>
          <w:b/>
          <w:bCs/>
          <w:color w:val="000000"/>
        </w:rPr>
        <w:t>20</w:t>
      </w:r>
      <w:r w:rsidRPr="00B01787">
        <w:rPr>
          <w:rFonts w:ascii="Book Antiqua" w:eastAsia="Book Antiqua" w:hAnsi="Book Antiqua" w:cs="Book Antiqua"/>
          <w:color w:val="000000"/>
        </w:rPr>
        <w:t>: 297 [PMID: 32787794 DOI: 10.1186/s12883-020-01880-4]</w:t>
      </w:r>
    </w:p>
    <w:p w14:paraId="09D15E6B" w14:textId="77777777" w:rsidR="00411356" w:rsidRPr="00B01787" w:rsidRDefault="008D1FB5">
      <w:pPr>
        <w:spacing w:line="360" w:lineRule="auto"/>
        <w:jc w:val="both"/>
      </w:pPr>
      <w:r w:rsidRPr="00B01787">
        <w:rPr>
          <w:rFonts w:ascii="Book Antiqua" w:eastAsia="Book Antiqua" w:hAnsi="Book Antiqua" w:cs="Book Antiqua"/>
          <w:color w:val="000000"/>
        </w:rPr>
        <w:t xml:space="preserve">14 </w:t>
      </w:r>
      <w:r w:rsidRPr="00B01787">
        <w:rPr>
          <w:rFonts w:ascii="Book Antiqua" w:eastAsia="Book Antiqua" w:hAnsi="Book Antiqua" w:cs="Book Antiqua"/>
          <w:b/>
          <w:bCs/>
          <w:color w:val="000000"/>
        </w:rPr>
        <w:t>Vandewalle J</w:t>
      </w:r>
      <w:r w:rsidRPr="00B01787">
        <w:rPr>
          <w:rFonts w:ascii="Book Antiqua" w:eastAsia="Book Antiqua" w:hAnsi="Book Antiqua" w:cs="Book Antiqua"/>
          <w:color w:val="000000"/>
        </w:rPr>
        <w:t xml:space="preserve">, Luypaert A, De Bosscher K, Libert C. Therapeutic Mechanisms of Glucocorticoids. </w:t>
      </w:r>
      <w:r w:rsidRPr="00B01787">
        <w:rPr>
          <w:rFonts w:ascii="Book Antiqua" w:eastAsia="Book Antiqua" w:hAnsi="Book Antiqua" w:cs="Book Antiqua"/>
          <w:i/>
          <w:iCs/>
          <w:color w:val="000000"/>
        </w:rPr>
        <w:t>Trends Endocrinol Metab</w:t>
      </w:r>
      <w:r w:rsidRPr="00B01787">
        <w:rPr>
          <w:rFonts w:ascii="Book Antiqua" w:eastAsia="Book Antiqua" w:hAnsi="Book Antiqua" w:cs="Book Antiqua"/>
          <w:color w:val="000000"/>
        </w:rPr>
        <w:t xml:space="preserve"> 2018; </w:t>
      </w:r>
      <w:r w:rsidRPr="00B01787">
        <w:rPr>
          <w:rFonts w:ascii="Book Antiqua" w:eastAsia="Book Antiqua" w:hAnsi="Book Antiqua" w:cs="Book Antiqua"/>
          <w:b/>
          <w:bCs/>
          <w:color w:val="000000"/>
        </w:rPr>
        <w:t>29</w:t>
      </w:r>
      <w:r w:rsidRPr="00B01787">
        <w:rPr>
          <w:rFonts w:ascii="Book Antiqua" w:eastAsia="Book Antiqua" w:hAnsi="Book Antiqua" w:cs="Book Antiqua"/>
          <w:color w:val="000000"/>
        </w:rPr>
        <w:t>: 42-54 [PMID: 29162310 DOI: 10.1016/j.tem.2017.10.010]</w:t>
      </w:r>
    </w:p>
    <w:p w14:paraId="401FD469" w14:textId="77777777" w:rsidR="00411356" w:rsidRPr="00B01787" w:rsidRDefault="008D1FB5">
      <w:pPr>
        <w:spacing w:line="360" w:lineRule="auto"/>
        <w:jc w:val="both"/>
      </w:pPr>
      <w:r w:rsidRPr="00B01787">
        <w:rPr>
          <w:rFonts w:ascii="Book Antiqua" w:eastAsia="Book Antiqua" w:hAnsi="Book Antiqua" w:cs="Book Antiqua"/>
          <w:color w:val="000000"/>
        </w:rPr>
        <w:t xml:space="preserve">15 </w:t>
      </w:r>
      <w:r w:rsidRPr="00B01787">
        <w:rPr>
          <w:rFonts w:ascii="Book Antiqua" w:eastAsia="Book Antiqua" w:hAnsi="Book Antiqua" w:cs="Book Antiqua"/>
          <w:b/>
          <w:bCs/>
          <w:color w:val="000000"/>
        </w:rPr>
        <w:t>Siffrin V</w:t>
      </w:r>
      <w:r w:rsidRPr="00B01787">
        <w:rPr>
          <w:rFonts w:ascii="Book Antiqua" w:eastAsia="Book Antiqua" w:hAnsi="Book Antiqua" w:cs="Book Antiqua"/>
          <w:color w:val="000000"/>
        </w:rPr>
        <w:t xml:space="preserve">, Müller-Forell W, von Pein H, Zipp F. How to treat tumefactive demyelinating disease? </w:t>
      </w:r>
      <w:r w:rsidRPr="00B01787">
        <w:rPr>
          <w:rFonts w:ascii="Book Antiqua" w:eastAsia="Book Antiqua" w:hAnsi="Book Antiqua" w:cs="Book Antiqua"/>
          <w:i/>
          <w:iCs/>
          <w:color w:val="000000"/>
        </w:rPr>
        <w:t>Mult Scler</w:t>
      </w:r>
      <w:r w:rsidRPr="00B01787">
        <w:rPr>
          <w:rFonts w:ascii="Book Antiqua" w:eastAsia="Book Antiqua" w:hAnsi="Book Antiqua" w:cs="Book Antiqua"/>
          <w:color w:val="000000"/>
        </w:rPr>
        <w:t xml:space="preserve"> 2014; </w:t>
      </w:r>
      <w:r w:rsidRPr="00B01787">
        <w:rPr>
          <w:rFonts w:ascii="Book Antiqua" w:eastAsia="Book Antiqua" w:hAnsi="Book Antiqua" w:cs="Book Antiqua"/>
          <w:b/>
          <w:bCs/>
          <w:color w:val="000000"/>
        </w:rPr>
        <w:t>20</w:t>
      </w:r>
      <w:r w:rsidRPr="00B01787">
        <w:rPr>
          <w:rFonts w:ascii="Book Antiqua" w:eastAsia="Book Antiqua" w:hAnsi="Book Antiqua" w:cs="Book Antiqua"/>
          <w:color w:val="000000"/>
        </w:rPr>
        <w:t>: 631-633 [PMID: 24347182 DOI: 10.1177/1352458513516891]</w:t>
      </w:r>
    </w:p>
    <w:p w14:paraId="20249A10" w14:textId="77777777" w:rsidR="00411356" w:rsidRPr="00B01787" w:rsidRDefault="00411356">
      <w:pPr>
        <w:spacing w:line="360" w:lineRule="auto"/>
        <w:jc w:val="both"/>
      </w:pPr>
    </w:p>
    <w:p w14:paraId="37370A17" w14:textId="77777777" w:rsidR="00411356" w:rsidRPr="00B01787" w:rsidRDefault="00411356">
      <w:pPr>
        <w:spacing w:line="360" w:lineRule="auto"/>
        <w:jc w:val="both"/>
      </w:pPr>
    </w:p>
    <w:p w14:paraId="558AE99F" w14:textId="77777777" w:rsidR="00411356" w:rsidRPr="00B01787" w:rsidRDefault="00411356">
      <w:pPr>
        <w:spacing w:line="360" w:lineRule="auto"/>
        <w:jc w:val="both"/>
        <w:sectPr w:rsidR="00411356" w:rsidRPr="00B01787">
          <w:pgSz w:w="12240" w:h="15840"/>
          <w:pgMar w:top="1440" w:right="1440" w:bottom="1440" w:left="1440" w:header="720" w:footer="720" w:gutter="0"/>
          <w:cols w:space="720"/>
          <w:docGrid w:linePitch="360"/>
        </w:sectPr>
      </w:pPr>
    </w:p>
    <w:p w14:paraId="4D316DB9" w14:textId="77777777" w:rsidR="00411356" w:rsidRPr="00B01787" w:rsidRDefault="008D1FB5">
      <w:pPr>
        <w:spacing w:line="360" w:lineRule="auto"/>
        <w:jc w:val="both"/>
      </w:pPr>
      <w:r w:rsidRPr="00B01787">
        <w:rPr>
          <w:rFonts w:ascii="Book Antiqua" w:eastAsia="Book Antiqua" w:hAnsi="Book Antiqua" w:cs="Book Antiqua"/>
          <w:b/>
          <w:color w:val="000000"/>
        </w:rPr>
        <w:t>Footnotes</w:t>
      </w:r>
    </w:p>
    <w:p w14:paraId="7C4B40CC" w14:textId="77777777" w:rsidR="00411356" w:rsidRPr="00B01787" w:rsidRDefault="008D1FB5">
      <w:pPr>
        <w:spacing w:line="360" w:lineRule="auto"/>
        <w:jc w:val="both"/>
      </w:pPr>
      <w:r w:rsidRPr="00B01787">
        <w:rPr>
          <w:rFonts w:ascii="Book Antiqua" w:eastAsia="Book Antiqua" w:hAnsi="Book Antiqua" w:cs="Book Antiqua"/>
          <w:b/>
          <w:bCs/>
          <w:color w:val="000000"/>
        </w:rPr>
        <w:t xml:space="preserve">Informed consent statement: </w:t>
      </w:r>
      <w:r w:rsidRPr="00B01787">
        <w:rPr>
          <w:rFonts w:ascii="Book Antiqua" w:eastAsia="Book Antiqua" w:hAnsi="Book Antiqua" w:cs="Book Antiqua"/>
          <w:bCs/>
          <w:color w:val="000000"/>
        </w:rPr>
        <w:t>The patient</w:t>
      </w:r>
      <w:r w:rsidRPr="00B01787">
        <w:rPr>
          <w:rFonts w:ascii="Book Antiqua" w:eastAsia="Book Antiqua" w:hAnsi="Book Antiqua" w:cs="Book Antiqua"/>
          <w:color w:val="000000"/>
        </w:rPr>
        <w:t xml:space="preserve"> provided informed written consent prior to study enrollment.</w:t>
      </w:r>
    </w:p>
    <w:p w14:paraId="6E01D635" w14:textId="77777777" w:rsidR="00411356" w:rsidRPr="00B01787" w:rsidRDefault="00411356">
      <w:pPr>
        <w:spacing w:line="360" w:lineRule="auto"/>
        <w:jc w:val="both"/>
      </w:pPr>
    </w:p>
    <w:p w14:paraId="57839215" w14:textId="77777777" w:rsidR="00411356" w:rsidRPr="00B01787" w:rsidRDefault="008D1FB5">
      <w:pPr>
        <w:spacing w:line="360" w:lineRule="auto"/>
        <w:jc w:val="both"/>
      </w:pPr>
      <w:r w:rsidRPr="00B01787">
        <w:rPr>
          <w:rFonts w:ascii="Book Antiqua" w:eastAsia="Book Antiqua" w:hAnsi="Book Antiqua" w:cs="Book Antiqua"/>
          <w:b/>
          <w:bCs/>
          <w:color w:val="000000"/>
        </w:rPr>
        <w:t xml:space="preserve">Conflict-of-interest statement: </w:t>
      </w:r>
      <w:r w:rsidRPr="00B01787">
        <w:rPr>
          <w:rFonts w:ascii="Book Antiqua" w:eastAsia="Book Antiqua" w:hAnsi="Book Antiqua" w:cs="Book Antiqua"/>
          <w:color w:val="000000"/>
        </w:rPr>
        <w:t>The authors declare that they have no competing interests.</w:t>
      </w:r>
    </w:p>
    <w:p w14:paraId="6D881FF2" w14:textId="77777777" w:rsidR="00411356" w:rsidRPr="00B01787" w:rsidRDefault="00411356">
      <w:pPr>
        <w:spacing w:line="360" w:lineRule="auto"/>
        <w:jc w:val="both"/>
      </w:pPr>
    </w:p>
    <w:p w14:paraId="1A3E6B78" w14:textId="77777777" w:rsidR="00411356" w:rsidRPr="00B01787" w:rsidRDefault="008D1FB5">
      <w:pPr>
        <w:spacing w:line="360" w:lineRule="auto"/>
        <w:jc w:val="both"/>
      </w:pPr>
      <w:r w:rsidRPr="00B01787">
        <w:rPr>
          <w:rFonts w:ascii="Book Antiqua" w:eastAsia="Book Antiqua" w:hAnsi="Book Antiqua" w:cs="Book Antiqua"/>
          <w:b/>
          <w:bCs/>
          <w:color w:val="000000"/>
          <w:szCs w:val="21"/>
        </w:rPr>
        <w:t xml:space="preserve">CARE Checklist (2016) statement: </w:t>
      </w:r>
      <w:r w:rsidRPr="00B01787">
        <w:rPr>
          <w:rFonts w:ascii="Book Antiqua" w:eastAsia="Book Antiqua" w:hAnsi="Book Antiqua" w:cs="Book Antiqua"/>
          <w:color w:val="000000"/>
        </w:rPr>
        <w:t>The authors have read the CARE Checklist (2016), and the manuscript was prepared and revised according to the CARE Checklist (2016).</w:t>
      </w:r>
    </w:p>
    <w:p w14:paraId="67ADAB70" w14:textId="77777777" w:rsidR="00411356" w:rsidRPr="00B01787" w:rsidRDefault="00411356">
      <w:pPr>
        <w:spacing w:line="360" w:lineRule="auto"/>
        <w:jc w:val="both"/>
      </w:pPr>
    </w:p>
    <w:p w14:paraId="0C96E785" w14:textId="77777777" w:rsidR="00411356" w:rsidRPr="00B01787" w:rsidRDefault="008D1FB5">
      <w:pPr>
        <w:spacing w:line="360" w:lineRule="auto"/>
        <w:jc w:val="both"/>
      </w:pPr>
      <w:r w:rsidRPr="00B01787">
        <w:rPr>
          <w:rFonts w:ascii="Book Antiqua" w:eastAsia="Book Antiqua" w:hAnsi="Book Antiqua" w:cs="Book Antiqua"/>
          <w:b/>
          <w:bCs/>
          <w:color w:val="000000"/>
        </w:rPr>
        <w:t xml:space="preserve">Open-Access: </w:t>
      </w:r>
      <w:r w:rsidRPr="00B01787">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43C8826" w14:textId="77777777" w:rsidR="00411356" w:rsidRPr="00B01787" w:rsidRDefault="00411356">
      <w:pPr>
        <w:spacing w:line="360" w:lineRule="auto"/>
        <w:jc w:val="both"/>
      </w:pPr>
    </w:p>
    <w:p w14:paraId="713FE16F" w14:textId="77777777" w:rsidR="00411356" w:rsidRPr="00B01787" w:rsidRDefault="008D1FB5">
      <w:pPr>
        <w:spacing w:line="360" w:lineRule="auto"/>
        <w:jc w:val="both"/>
      </w:pPr>
      <w:r w:rsidRPr="00B01787">
        <w:rPr>
          <w:rFonts w:ascii="Book Antiqua" w:eastAsia="Book Antiqua" w:hAnsi="Book Antiqua" w:cs="Book Antiqua"/>
          <w:b/>
          <w:color w:val="000000"/>
        </w:rPr>
        <w:t xml:space="preserve">Manuscript source: </w:t>
      </w:r>
      <w:r w:rsidRPr="00B01787">
        <w:rPr>
          <w:rFonts w:ascii="Book Antiqua" w:eastAsia="Book Antiqua" w:hAnsi="Book Antiqua" w:cs="Book Antiqua"/>
          <w:color w:val="000000"/>
        </w:rPr>
        <w:t>Unsolicited manuscript</w:t>
      </w:r>
    </w:p>
    <w:p w14:paraId="3AB8520A" w14:textId="77777777" w:rsidR="00411356" w:rsidRPr="00B01787" w:rsidRDefault="00411356">
      <w:pPr>
        <w:spacing w:line="360" w:lineRule="auto"/>
        <w:jc w:val="both"/>
      </w:pPr>
    </w:p>
    <w:p w14:paraId="4C302711" w14:textId="77777777" w:rsidR="00411356" w:rsidRPr="00B01787" w:rsidRDefault="008D1FB5">
      <w:pPr>
        <w:spacing w:line="360" w:lineRule="auto"/>
        <w:jc w:val="both"/>
      </w:pPr>
      <w:r w:rsidRPr="00B01787">
        <w:rPr>
          <w:rFonts w:ascii="Book Antiqua" w:eastAsia="Book Antiqua" w:hAnsi="Book Antiqua" w:cs="Book Antiqua"/>
          <w:b/>
          <w:color w:val="000000"/>
        </w:rPr>
        <w:t xml:space="preserve">Peer-review started: </w:t>
      </w:r>
      <w:r w:rsidRPr="00B01787">
        <w:rPr>
          <w:rFonts w:ascii="Book Antiqua" w:eastAsia="Book Antiqua" w:hAnsi="Book Antiqua" w:cs="Book Antiqua"/>
          <w:color w:val="000000"/>
        </w:rPr>
        <w:t>February 5, 2021</w:t>
      </w:r>
    </w:p>
    <w:p w14:paraId="6E57A46B" w14:textId="77777777" w:rsidR="00411356" w:rsidRPr="00B01787" w:rsidRDefault="008D1FB5">
      <w:pPr>
        <w:spacing w:line="360" w:lineRule="auto"/>
        <w:jc w:val="both"/>
      </w:pPr>
      <w:r w:rsidRPr="00B01787">
        <w:rPr>
          <w:rFonts w:ascii="Book Antiqua" w:eastAsia="Book Antiqua" w:hAnsi="Book Antiqua" w:cs="Book Antiqua"/>
          <w:b/>
          <w:color w:val="000000"/>
        </w:rPr>
        <w:t xml:space="preserve">First decision: </w:t>
      </w:r>
      <w:r w:rsidRPr="00B01787">
        <w:rPr>
          <w:rFonts w:ascii="Book Antiqua" w:eastAsia="Book Antiqua" w:hAnsi="Book Antiqua" w:cs="Book Antiqua"/>
          <w:color w:val="000000"/>
        </w:rPr>
        <w:t>March 7, 2021</w:t>
      </w:r>
    </w:p>
    <w:p w14:paraId="334B96A1" w14:textId="77777777" w:rsidR="00411356" w:rsidRPr="00B01787" w:rsidRDefault="008D1FB5">
      <w:pPr>
        <w:spacing w:line="360" w:lineRule="auto"/>
        <w:jc w:val="both"/>
      </w:pPr>
      <w:r w:rsidRPr="00B01787">
        <w:rPr>
          <w:rFonts w:ascii="Book Antiqua" w:eastAsia="Book Antiqua" w:hAnsi="Book Antiqua" w:cs="Book Antiqua"/>
          <w:b/>
          <w:color w:val="000000"/>
        </w:rPr>
        <w:t xml:space="preserve">Article in press: </w:t>
      </w:r>
      <w:r w:rsidRPr="00B01787">
        <w:rPr>
          <w:rFonts w:ascii="Book Antiqua" w:eastAsia="Book Antiqua" w:hAnsi="Book Antiqua" w:cs="Book Antiqua"/>
          <w:color w:val="000000"/>
        </w:rPr>
        <w:t>March 31, 2021</w:t>
      </w:r>
    </w:p>
    <w:p w14:paraId="75DE7EC5" w14:textId="77777777" w:rsidR="00411356" w:rsidRPr="00B01787" w:rsidRDefault="00411356">
      <w:pPr>
        <w:spacing w:line="360" w:lineRule="auto"/>
        <w:jc w:val="both"/>
      </w:pPr>
    </w:p>
    <w:p w14:paraId="73B23510" w14:textId="77777777" w:rsidR="00411356" w:rsidRPr="00B01787" w:rsidRDefault="008D1FB5">
      <w:pPr>
        <w:spacing w:line="360" w:lineRule="auto"/>
        <w:jc w:val="both"/>
      </w:pPr>
      <w:r w:rsidRPr="00B01787">
        <w:rPr>
          <w:rFonts w:ascii="Book Antiqua" w:eastAsia="Book Antiqua" w:hAnsi="Book Antiqua" w:cs="Book Antiqua"/>
          <w:b/>
          <w:color w:val="000000"/>
        </w:rPr>
        <w:t xml:space="preserve">Specialty type: </w:t>
      </w:r>
      <w:r w:rsidRPr="00B01787">
        <w:rPr>
          <w:rFonts w:ascii="Book Antiqua" w:eastAsia="微软雅黑" w:hAnsi="Book Antiqua" w:cs="宋体"/>
        </w:rPr>
        <w:t>Medicine, research and experimental</w:t>
      </w:r>
    </w:p>
    <w:p w14:paraId="16AA9D6D" w14:textId="77777777" w:rsidR="00411356" w:rsidRPr="00B01787" w:rsidRDefault="008D1FB5">
      <w:pPr>
        <w:spacing w:line="360" w:lineRule="auto"/>
        <w:jc w:val="both"/>
      </w:pPr>
      <w:r w:rsidRPr="00B01787">
        <w:rPr>
          <w:rFonts w:ascii="Book Antiqua" w:eastAsia="Book Antiqua" w:hAnsi="Book Antiqua" w:cs="Book Antiqua"/>
          <w:b/>
          <w:color w:val="000000"/>
        </w:rPr>
        <w:t xml:space="preserve">Country/Territory of origin: </w:t>
      </w:r>
      <w:r w:rsidRPr="00B01787">
        <w:rPr>
          <w:rFonts w:ascii="Book Antiqua" w:eastAsia="Book Antiqua" w:hAnsi="Book Antiqua" w:cs="Book Antiqua"/>
          <w:color w:val="000000"/>
        </w:rPr>
        <w:t>China</w:t>
      </w:r>
    </w:p>
    <w:p w14:paraId="2A6626C1" w14:textId="77777777" w:rsidR="00411356" w:rsidRPr="00B01787" w:rsidRDefault="008D1FB5">
      <w:pPr>
        <w:spacing w:line="360" w:lineRule="auto"/>
        <w:jc w:val="both"/>
      </w:pPr>
      <w:r w:rsidRPr="00B01787">
        <w:rPr>
          <w:rFonts w:ascii="Book Antiqua" w:eastAsia="Book Antiqua" w:hAnsi="Book Antiqua" w:cs="Book Antiqua"/>
          <w:b/>
          <w:color w:val="000000"/>
        </w:rPr>
        <w:t>Peer-review report’s scientific quality classification</w:t>
      </w:r>
    </w:p>
    <w:p w14:paraId="2BE990E2" w14:textId="77777777" w:rsidR="00411356" w:rsidRPr="00B01787" w:rsidRDefault="008D1FB5">
      <w:pPr>
        <w:spacing w:line="360" w:lineRule="auto"/>
        <w:jc w:val="both"/>
      </w:pPr>
      <w:r w:rsidRPr="00B01787">
        <w:rPr>
          <w:rFonts w:ascii="Book Antiqua" w:eastAsia="Book Antiqua" w:hAnsi="Book Antiqua" w:cs="Book Antiqua"/>
          <w:color w:val="000000"/>
        </w:rPr>
        <w:t>Grade A (Excellent): 0</w:t>
      </w:r>
    </w:p>
    <w:p w14:paraId="3A67EE9E" w14:textId="77777777" w:rsidR="00411356" w:rsidRPr="00B01787" w:rsidRDefault="008D1FB5">
      <w:pPr>
        <w:spacing w:line="360" w:lineRule="auto"/>
        <w:jc w:val="both"/>
      </w:pPr>
      <w:r w:rsidRPr="00B01787">
        <w:rPr>
          <w:rFonts w:ascii="Book Antiqua" w:eastAsia="Book Antiqua" w:hAnsi="Book Antiqua" w:cs="Book Antiqua"/>
          <w:color w:val="000000"/>
        </w:rPr>
        <w:t>Grade B (Very good): B, B, B</w:t>
      </w:r>
    </w:p>
    <w:p w14:paraId="4039E5EF" w14:textId="77777777" w:rsidR="00411356" w:rsidRPr="00B01787" w:rsidRDefault="008D1FB5">
      <w:pPr>
        <w:spacing w:line="360" w:lineRule="auto"/>
        <w:jc w:val="both"/>
      </w:pPr>
      <w:r w:rsidRPr="00B01787">
        <w:rPr>
          <w:rFonts w:ascii="Book Antiqua" w:eastAsia="Book Antiqua" w:hAnsi="Book Antiqua" w:cs="Book Antiqua"/>
          <w:color w:val="000000"/>
        </w:rPr>
        <w:t>Grade C (Good): C</w:t>
      </w:r>
    </w:p>
    <w:p w14:paraId="0836E70E" w14:textId="77777777" w:rsidR="00411356" w:rsidRPr="00B01787" w:rsidRDefault="008D1FB5">
      <w:pPr>
        <w:spacing w:line="360" w:lineRule="auto"/>
        <w:jc w:val="both"/>
      </w:pPr>
      <w:r w:rsidRPr="00B01787">
        <w:rPr>
          <w:rFonts w:ascii="Book Antiqua" w:eastAsia="Book Antiqua" w:hAnsi="Book Antiqua" w:cs="Book Antiqua"/>
          <w:color w:val="000000"/>
        </w:rPr>
        <w:t>Grade D (Fair): 0</w:t>
      </w:r>
    </w:p>
    <w:p w14:paraId="3D4AC6C6" w14:textId="77777777" w:rsidR="00411356" w:rsidRPr="00B01787" w:rsidRDefault="008D1FB5">
      <w:pPr>
        <w:spacing w:line="360" w:lineRule="auto"/>
        <w:jc w:val="both"/>
      </w:pPr>
      <w:r w:rsidRPr="00B01787">
        <w:rPr>
          <w:rFonts w:ascii="Book Antiqua" w:eastAsia="Book Antiqua" w:hAnsi="Book Antiqua" w:cs="Book Antiqua"/>
          <w:color w:val="000000"/>
        </w:rPr>
        <w:t>Grade E (Poor): 0</w:t>
      </w:r>
    </w:p>
    <w:p w14:paraId="78B866BA" w14:textId="77777777" w:rsidR="00411356" w:rsidRPr="00B01787" w:rsidRDefault="00411356">
      <w:pPr>
        <w:spacing w:line="360" w:lineRule="auto"/>
        <w:jc w:val="both"/>
      </w:pPr>
    </w:p>
    <w:p w14:paraId="5549F4BD" w14:textId="77777777" w:rsidR="00411356" w:rsidRPr="00B01787" w:rsidRDefault="008D1FB5">
      <w:pPr>
        <w:spacing w:line="360" w:lineRule="auto"/>
        <w:jc w:val="both"/>
        <w:rPr>
          <w:rFonts w:ascii="Book Antiqua" w:eastAsia="Book Antiqua" w:hAnsi="Book Antiqua" w:cs="Book Antiqua"/>
          <w:b/>
          <w:color w:val="000000"/>
        </w:rPr>
      </w:pPr>
      <w:r w:rsidRPr="00B01787">
        <w:rPr>
          <w:rFonts w:ascii="Book Antiqua" w:eastAsia="Book Antiqua" w:hAnsi="Book Antiqua" w:cs="Book Antiqua"/>
          <w:b/>
          <w:color w:val="000000"/>
        </w:rPr>
        <w:t xml:space="preserve">P-Reviewer: </w:t>
      </w:r>
      <w:r w:rsidRPr="00B01787">
        <w:rPr>
          <w:rFonts w:ascii="Book Antiqua" w:eastAsia="Book Antiqua" w:hAnsi="Book Antiqua" w:cs="Book Antiqua"/>
          <w:color w:val="000000"/>
        </w:rPr>
        <w:t>Momčilović S, Moreira TMM</w:t>
      </w:r>
      <w:r w:rsidRPr="00B01787">
        <w:rPr>
          <w:rFonts w:ascii="Book Antiqua" w:eastAsia="Book Antiqua" w:hAnsi="Book Antiqua" w:cs="Book Antiqua"/>
          <w:b/>
          <w:color w:val="000000"/>
        </w:rPr>
        <w:t xml:space="preserve"> S-Editor: </w:t>
      </w:r>
      <w:r w:rsidRPr="00B01787">
        <w:rPr>
          <w:rFonts w:ascii="Book Antiqua" w:eastAsia="Book Antiqua" w:hAnsi="Book Antiqua" w:cs="Book Antiqua"/>
          <w:color w:val="000000"/>
        </w:rPr>
        <w:t>Gao CC</w:t>
      </w:r>
      <w:r w:rsidRPr="00B01787">
        <w:rPr>
          <w:rFonts w:ascii="Book Antiqua" w:eastAsia="Book Antiqua" w:hAnsi="Book Antiqua" w:cs="Book Antiqua"/>
          <w:b/>
          <w:color w:val="000000"/>
        </w:rPr>
        <w:t xml:space="preserve"> L-Editor: </w:t>
      </w:r>
      <w:r w:rsidRPr="00B01787">
        <w:rPr>
          <w:rFonts w:ascii="Book Antiqua" w:eastAsia="Book Antiqua" w:hAnsi="Book Antiqua" w:cs="Book Antiqua"/>
          <w:color w:val="000000"/>
        </w:rPr>
        <w:t>Webster JR</w:t>
      </w:r>
      <w:r w:rsidRPr="00B01787">
        <w:rPr>
          <w:rFonts w:ascii="Book Antiqua" w:eastAsia="Book Antiqua" w:hAnsi="Book Antiqua" w:cs="Book Antiqua"/>
          <w:b/>
          <w:color w:val="000000"/>
        </w:rPr>
        <w:t xml:space="preserve"> P-Editor: </w:t>
      </w:r>
      <w:r w:rsidRPr="00B01787">
        <w:rPr>
          <w:rFonts w:ascii="Book Antiqua" w:eastAsia="Book Antiqua" w:hAnsi="Book Antiqua" w:cs="Book Antiqua"/>
          <w:bCs/>
          <w:color w:val="000000"/>
        </w:rPr>
        <w:t>Li X</w:t>
      </w:r>
    </w:p>
    <w:p w14:paraId="113EEA94" w14:textId="77777777" w:rsidR="00411356" w:rsidRPr="00B01787" w:rsidRDefault="00411356">
      <w:pPr>
        <w:spacing w:line="360" w:lineRule="auto"/>
        <w:jc w:val="both"/>
        <w:rPr>
          <w:rFonts w:ascii="Book Antiqua" w:eastAsia="Book Antiqua" w:hAnsi="Book Antiqua" w:cs="Book Antiqua"/>
          <w:b/>
          <w:color w:val="000000"/>
        </w:rPr>
      </w:pPr>
    </w:p>
    <w:p w14:paraId="35B9E32B" w14:textId="77777777" w:rsidR="00411356" w:rsidRPr="00B01787" w:rsidRDefault="00411356">
      <w:pPr>
        <w:spacing w:line="360" w:lineRule="auto"/>
        <w:jc w:val="both"/>
        <w:rPr>
          <w:rFonts w:ascii="Book Antiqua" w:eastAsia="Book Antiqua" w:hAnsi="Book Antiqua" w:cs="Book Antiqua"/>
          <w:b/>
          <w:color w:val="000000"/>
        </w:rPr>
      </w:pPr>
    </w:p>
    <w:p w14:paraId="374CB353" w14:textId="77777777" w:rsidR="00411356" w:rsidRPr="00B01787" w:rsidRDefault="00411356">
      <w:pPr>
        <w:spacing w:line="360" w:lineRule="auto"/>
        <w:jc w:val="both"/>
        <w:sectPr w:rsidR="00411356" w:rsidRPr="00B01787">
          <w:pgSz w:w="12240" w:h="15840"/>
          <w:pgMar w:top="1440" w:right="1440" w:bottom="1440" w:left="1440" w:header="720" w:footer="720" w:gutter="0"/>
          <w:cols w:space="720"/>
          <w:docGrid w:linePitch="360"/>
        </w:sectPr>
      </w:pPr>
    </w:p>
    <w:p w14:paraId="148854AA" w14:textId="77777777" w:rsidR="00411356" w:rsidRPr="00B01787" w:rsidRDefault="008D1FB5">
      <w:pPr>
        <w:spacing w:line="360" w:lineRule="auto"/>
        <w:jc w:val="both"/>
        <w:rPr>
          <w:rFonts w:ascii="Book Antiqua" w:eastAsia="Book Antiqua" w:hAnsi="Book Antiqua" w:cs="Book Antiqua"/>
          <w:b/>
          <w:color w:val="000000"/>
        </w:rPr>
      </w:pPr>
      <w:r w:rsidRPr="00B01787">
        <w:rPr>
          <w:rFonts w:ascii="Book Antiqua" w:eastAsia="Book Antiqua" w:hAnsi="Book Antiqua" w:cs="Book Antiqua"/>
          <w:b/>
          <w:color w:val="000000"/>
        </w:rPr>
        <w:t>Figure Legends</w:t>
      </w:r>
    </w:p>
    <w:p w14:paraId="4D24CB9C" w14:textId="77777777" w:rsidR="00411356" w:rsidRPr="00B01787" w:rsidRDefault="008D1FB5">
      <w:pPr>
        <w:spacing w:line="360" w:lineRule="auto"/>
        <w:jc w:val="both"/>
      </w:pPr>
      <w:r w:rsidRPr="00B01787">
        <w:rPr>
          <w:noProof/>
          <w:lang w:eastAsia="zh-CN"/>
        </w:rPr>
        <w:drawing>
          <wp:inline distT="0" distB="0" distL="0" distR="0" wp14:anchorId="61404691" wp14:editId="79E018B1">
            <wp:extent cx="5943600" cy="39782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943600" cy="3978275"/>
                    </a:xfrm>
                    <a:prstGeom prst="rect">
                      <a:avLst/>
                    </a:prstGeom>
                  </pic:spPr>
                </pic:pic>
              </a:graphicData>
            </a:graphic>
          </wp:inline>
        </w:drawing>
      </w:r>
    </w:p>
    <w:p w14:paraId="17A3EEF3" w14:textId="783BD5C7" w:rsidR="00411356" w:rsidRPr="00B01787" w:rsidRDefault="008D1FB5">
      <w:pPr>
        <w:spacing w:line="360" w:lineRule="auto"/>
        <w:jc w:val="both"/>
        <w:rPr>
          <w:rFonts w:ascii="Book Antiqua" w:eastAsia="Book Antiqua" w:hAnsi="Book Antiqua" w:cs="Book Antiqua"/>
          <w:color w:val="000000"/>
        </w:rPr>
      </w:pPr>
      <w:r w:rsidRPr="00B01787">
        <w:rPr>
          <w:rFonts w:ascii="Book Antiqua" w:eastAsia="Book Antiqua" w:hAnsi="Book Antiqua" w:cs="Book Antiqua"/>
          <w:b/>
          <w:bCs/>
          <w:color w:val="000000"/>
        </w:rPr>
        <w:t xml:space="preserve">Figure 1 </w:t>
      </w:r>
      <w:bookmarkStart w:id="2" w:name="_Hlk67657040"/>
      <w:r w:rsidRPr="00B01787">
        <w:rPr>
          <w:rFonts w:ascii="Book Antiqua" w:eastAsia="Book Antiqua" w:hAnsi="Book Antiqua" w:cs="Book Antiqua"/>
          <w:b/>
          <w:bCs/>
          <w:color w:val="000000"/>
        </w:rPr>
        <w:t>Magnetic resonance imaging</w:t>
      </w:r>
      <w:bookmarkEnd w:id="2"/>
      <w:r w:rsidRPr="00B01787">
        <w:rPr>
          <w:rFonts w:ascii="Book Antiqua" w:eastAsia="Book Antiqua" w:hAnsi="Book Antiqua" w:cs="Book Antiqua"/>
          <w:b/>
          <w:bCs/>
          <w:color w:val="000000"/>
        </w:rPr>
        <w:t xml:space="preserve"> manifestations on admission. </w:t>
      </w:r>
      <w:r w:rsidRPr="00B01787">
        <w:rPr>
          <w:rFonts w:ascii="Book Antiqua" w:eastAsia="Book Antiqua" w:hAnsi="Book Antiqua" w:cs="Book Antiqua"/>
          <w:color w:val="000000"/>
        </w:rPr>
        <w:t>Each column shows the imaging features in a different cross-section of the corresponding sequence. The lesions on admission were distributed diffusely in the brainstem, especially in the lower pons. Magnetic resonance imaging on admission showed hyperintensity on fluid-attenuated inversion recovery, relative hypointensity on T1-weighted image, slight hyperintensity on diffusion weighted imaging, heterogeneous intensity on apparent diffusion coefficient, with apparent corresponding hyperintensity on contrast-enhanced T1-weighted image. Magnetic resonance spectroscopy showed the elevated choline peak and lactate/lipid peak. ADC: Apparent diffusion coefficient; DWI: Diffusion weighted imaging; FLAIR: Fluid-attenuated inversion recovery; MRS: Magnetic resonance spectroscopy; T1WI: T1-weighted image; T1+C: Contrast-enhanced T1-weighted image.</w:t>
      </w:r>
    </w:p>
    <w:p w14:paraId="07129A80" w14:textId="77777777" w:rsidR="00411356" w:rsidRPr="00B01787" w:rsidRDefault="008D1FB5">
      <w:pPr>
        <w:spacing w:line="360" w:lineRule="auto"/>
        <w:jc w:val="both"/>
      </w:pPr>
      <w:r w:rsidRPr="00B01787">
        <w:rPr>
          <w:rFonts w:ascii="Book Antiqua" w:eastAsia="Book Antiqua" w:hAnsi="Book Antiqua" w:cs="Book Antiqua"/>
          <w:color w:val="000000"/>
        </w:rPr>
        <w:br w:type="page"/>
      </w:r>
      <w:r w:rsidRPr="00B01787">
        <w:rPr>
          <w:rFonts w:ascii="Book Antiqua" w:eastAsia="Book Antiqua" w:hAnsi="Book Antiqua" w:cs="Book Antiqua"/>
          <w:noProof/>
          <w:color w:val="000000"/>
          <w:lang w:eastAsia="zh-CN"/>
        </w:rPr>
        <w:drawing>
          <wp:inline distT="0" distB="0" distL="0" distR="0" wp14:anchorId="25202D59" wp14:editId="5E786A4D">
            <wp:extent cx="6439535" cy="512826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6463206" cy="5147318"/>
                    </a:xfrm>
                    <a:prstGeom prst="rect">
                      <a:avLst/>
                    </a:prstGeom>
                    <a:noFill/>
                  </pic:spPr>
                </pic:pic>
              </a:graphicData>
            </a:graphic>
          </wp:inline>
        </w:drawing>
      </w:r>
    </w:p>
    <w:p w14:paraId="6FBDD925" w14:textId="54A7E7CE" w:rsidR="00B01787" w:rsidRDefault="008D1FB5">
      <w:pPr>
        <w:spacing w:line="360" w:lineRule="auto"/>
        <w:jc w:val="both"/>
        <w:rPr>
          <w:rFonts w:ascii="Book Antiqua" w:eastAsia="Book Antiqua" w:hAnsi="Book Antiqua" w:cs="Book Antiqua"/>
          <w:color w:val="000000"/>
        </w:rPr>
      </w:pPr>
      <w:r w:rsidRPr="00B01787">
        <w:rPr>
          <w:rFonts w:ascii="Book Antiqua" w:eastAsia="Book Antiqua" w:hAnsi="Book Antiqua" w:cs="Book Antiqua"/>
          <w:b/>
          <w:bCs/>
          <w:color w:val="000000"/>
        </w:rPr>
        <w:t>Figure 2 Imaging changes during follow-up.</w:t>
      </w:r>
      <w:r w:rsidRPr="00B01787">
        <w:rPr>
          <w:rFonts w:ascii="Book Antiqua" w:eastAsia="Book Antiqua" w:hAnsi="Book Antiqua" w:cs="Book Antiqua"/>
          <w:color w:val="000000"/>
        </w:rPr>
        <w:t xml:space="preserve"> Each row shows the imaging features in the same cross-section from different sequences at different times. The first row demonstrated the initial appearance of lesion</w:t>
      </w:r>
      <w:r w:rsidRPr="00B01787">
        <w:rPr>
          <w:rFonts w:ascii="Book Antiqua" w:eastAsia="Book Antiqua" w:hAnsi="Book Antiqua" w:cs="Book Antiqua"/>
        </w:rPr>
        <w:t xml:space="preserve">s </w:t>
      </w:r>
      <w:r w:rsidRPr="00B01787">
        <w:rPr>
          <w:rFonts w:ascii="Book Antiqua" w:eastAsia="Book Antiqua" w:hAnsi="Book Antiqua" w:cs="Book Antiqua" w:hint="eastAsia"/>
          <w:lang w:eastAsia="zh-Hans"/>
        </w:rPr>
        <w:t>after</w:t>
      </w:r>
      <w:r w:rsidRPr="00B01787">
        <w:rPr>
          <w:rFonts w:ascii="Book Antiqua" w:eastAsia="Book Antiqua" w:hAnsi="Book Antiqua" w:cs="Book Antiqua"/>
        </w:rPr>
        <w:t xml:space="preserve"> admission (6-10). After 8-d of treatment with corticosteroids (6-24), his lesions have shrunk with decreasing signal intensity. During follow-up (7-20 and 9-16), imaging showed furth</w:t>
      </w:r>
      <w:r w:rsidRPr="00B01787">
        <w:rPr>
          <w:rFonts w:ascii="Book Antiqua" w:eastAsia="Book Antiqua" w:hAnsi="Book Antiqua" w:cs="Book Antiqua"/>
          <w:color w:val="000000"/>
        </w:rPr>
        <w:t>er improvement, without apparent enhanced signals. ADC: Apparent diffusion coefficient; DWI: Diffusion weighted imaging; FLAIR: Fluid-attenuated inversion recovery; T1WI: T1-weighted image; T1+C: Contrast-enhanced T1-weighted image.</w:t>
      </w:r>
    </w:p>
    <w:p w14:paraId="4874AA7E" w14:textId="77777777" w:rsidR="00B01787" w:rsidRDefault="00B01787">
      <w:pPr>
        <w:rPr>
          <w:rFonts w:ascii="Book Antiqua" w:eastAsia="Book Antiqua" w:hAnsi="Book Antiqua" w:cs="Book Antiqua"/>
          <w:color w:val="000000"/>
        </w:rPr>
      </w:pPr>
      <w:r>
        <w:rPr>
          <w:rFonts w:ascii="Book Antiqua" w:eastAsia="Book Antiqua" w:hAnsi="Book Antiqua" w:cs="Book Antiqua"/>
          <w:color w:val="000000"/>
        </w:rPr>
        <w:br w:type="page"/>
      </w:r>
    </w:p>
    <w:p w14:paraId="774BFA28" w14:textId="77777777" w:rsidR="00B01787" w:rsidRDefault="00B01787" w:rsidP="00B01787">
      <w:pPr>
        <w:jc w:val="center"/>
        <w:rPr>
          <w:rFonts w:ascii="Book Antiqua" w:hAnsi="Book Antiqua"/>
          <w:lang w:eastAsia="zh-CN"/>
        </w:rPr>
      </w:pPr>
      <w:bookmarkStart w:id="3" w:name="OLE_LINK1"/>
      <w:bookmarkStart w:id="4" w:name="OLE_LINK2"/>
    </w:p>
    <w:p w14:paraId="38C8C844" w14:textId="77777777" w:rsidR="00B01787" w:rsidRDefault="00B01787" w:rsidP="00B01787">
      <w:pPr>
        <w:jc w:val="center"/>
        <w:rPr>
          <w:rFonts w:ascii="Book Antiqua" w:hAnsi="Book Antiqua"/>
          <w:lang w:eastAsia="zh-CN"/>
        </w:rPr>
      </w:pPr>
    </w:p>
    <w:p w14:paraId="09B7BC96" w14:textId="77777777" w:rsidR="00B01787" w:rsidRDefault="00B01787" w:rsidP="00B01787">
      <w:pPr>
        <w:jc w:val="center"/>
        <w:rPr>
          <w:rFonts w:ascii="Book Antiqua" w:hAnsi="Book Antiqua"/>
          <w:lang w:eastAsia="zh-CN"/>
        </w:rPr>
      </w:pPr>
    </w:p>
    <w:p w14:paraId="68CA7ED6" w14:textId="77777777" w:rsidR="00B01787" w:rsidRDefault="00B01787" w:rsidP="00B01787">
      <w:pPr>
        <w:jc w:val="center"/>
        <w:rPr>
          <w:rFonts w:ascii="Book Antiqua" w:hAnsi="Book Antiqua"/>
          <w:lang w:eastAsia="zh-CN"/>
        </w:rPr>
      </w:pPr>
    </w:p>
    <w:p w14:paraId="3B70C85C" w14:textId="77777777" w:rsidR="00B01787" w:rsidRDefault="00B01787" w:rsidP="00B01787">
      <w:pPr>
        <w:jc w:val="center"/>
        <w:rPr>
          <w:rFonts w:ascii="Book Antiqua" w:hAnsi="Book Antiqua"/>
          <w:lang w:eastAsia="zh-CN"/>
        </w:rPr>
      </w:pPr>
    </w:p>
    <w:p w14:paraId="70C34B7C" w14:textId="77777777" w:rsidR="00B01787" w:rsidRDefault="00B01787" w:rsidP="00B01787">
      <w:pPr>
        <w:jc w:val="center"/>
        <w:rPr>
          <w:rFonts w:ascii="Book Antiqua" w:hAnsi="Book Antiqua"/>
          <w:lang w:eastAsia="zh-CN"/>
        </w:rPr>
      </w:pPr>
      <w:r>
        <w:rPr>
          <w:rFonts w:ascii="Book Antiqua" w:hAnsi="Book Antiqua"/>
          <w:noProof/>
          <w:lang w:eastAsia="zh-CN"/>
        </w:rPr>
        <w:drawing>
          <wp:inline distT="0" distB="0" distL="0" distR="0" wp14:anchorId="4964513B" wp14:editId="288D2312">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F33BAA1" w14:textId="77777777" w:rsidR="00B01787" w:rsidRDefault="00B01787" w:rsidP="00B01787">
      <w:pPr>
        <w:jc w:val="center"/>
        <w:rPr>
          <w:rFonts w:ascii="Book Antiqua" w:hAnsi="Book Antiqua"/>
          <w:lang w:eastAsia="zh-CN"/>
        </w:rPr>
      </w:pPr>
    </w:p>
    <w:p w14:paraId="4E8B593A" w14:textId="77777777" w:rsidR="00B01787" w:rsidRPr="00763D22" w:rsidRDefault="00B01787" w:rsidP="00B01787">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52EADC63" w14:textId="77777777" w:rsidR="00B01787" w:rsidRPr="00763D22" w:rsidRDefault="00B01787" w:rsidP="00B01787">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1715A566" w14:textId="77777777" w:rsidR="00B01787" w:rsidRPr="00763D22" w:rsidRDefault="00B01787" w:rsidP="00B01787">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3476EEF5" w14:textId="77777777" w:rsidR="00B01787" w:rsidRPr="00763D22" w:rsidRDefault="00B01787" w:rsidP="00B01787">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51B9E99F" w14:textId="77777777" w:rsidR="00B01787" w:rsidRPr="00763D22" w:rsidRDefault="00B01787" w:rsidP="00B01787">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64445093" w14:textId="77777777" w:rsidR="00B01787" w:rsidRPr="00763D22" w:rsidRDefault="00B01787" w:rsidP="00B01787">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2BD4131C" w14:textId="77777777" w:rsidR="00B01787" w:rsidRDefault="00B01787" w:rsidP="00B01787">
      <w:pPr>
        <w:jc w:val="center"/>
        <w:rPr>
          <w:rFonts w:ascii="Book Antiqua" w:hAnsi="Book Antiqua"/>
          <w:lang w:eastAsia="zh-CN"/>
        </w:rPr>
      </w:pPr>
    </w:p>
    <w:p w14:paraId="01EDEEBE" w14:textId="77777777" w:rsidR="00B01787" w:rsidRDefault="00B01787" w:rsidP="00B01787">
      <w:pPr>
        <w:jc w:val="center"/>
        <w:rPr>
          <w:rFonts w:ascii="Book Antiqua" w:hAnsi="Book Antiqua"/>
          <w:lang w:eastAsia="zh-CN"/>
        </w:rPr>
      </w:pPr>
    </w:p>
    <w:p w14:paraId="1FECB323" w14:textId="77777777" w:rsidR="00B01787" w:rsidRDefault="00B01787" w:rsidP="00B01787">
      <w:pPr>
        <w:jc w:val="center"/>
        <w:rPr>
          <w:rFonts w:ascii="Book Antiqua" w:hAnsi="Book Antiqua"/>
          <w:lang w:eastAsia="zh-CN"/>
        </w:rPr>
      </w:pPr>
    </w:p>
    <w:p w14:paraId="56A0FD76" w14:textId="77777777" w:rsidR="00B01787" w:rsidRDefault="00B01787" w:rsidP="00B01787">
      <w:pPr>
        <w:jc w:val="center"/>
        <w:rPr>
          <w:rFonts w:ascii="Book Antiqua" w:hAnsi="Book Antiqua"/>
          <w:lang w:eastAsia="zh-CN"/>
        </w:rPr>
      </w:pPr>
      <w:r>
        <w:rPr>
          <w:rFonts w:ascii="Book Antiqua" w:hAnsi="Book Antiqua"/>
          <w:noProof/>
          <w:lang w:eastAsia="zh-CN"/>
        </w:rPr>
        <w:drawing>
          <wp:inline distT="0" distB="0" distL="0" distR="0" wp14:anchorId="49872CD3" wp14:editId="61CF78D6">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9288E1A" w14:textId="77777777" w:rsidR="00B01787" w:rsidRDefault="00B01787" w:rsidP="00B01787">
      <w:pPr>
        <w:jc w:val="center"/>
        <w:rPr>
          <w:rFonts w:ascii="Book Antiqua" w:hAnsi="Book Antiqua"/>
          <w:lang w:eastAsia="zh-CN"/>
        </w:rPr>
      </w:pPr>
    </w:p>
    <w:p w14:paraId="23E06D6A" w14:textId="77777777" w:rsidR="00B01787" w:rsidRDefault="00B01787" w:rsidP="00B01787">
      <w:pPr>
        <w:jc w:val="center"/>
        <w:rPr>
          <w:rFonts w:ascii="Book Antiqua" w:hAnsi="Book Antiqua"/>
          <w:lang w:eastAsia="zh-CN"/>
        </w:rPr>
      </w:pPr>
    </w:p>
    <w:p w14:paraId="73D2399F" w14:textId="77777777" w:rsidR="00B01787" w:rsidRDefault="00B01787" w:rsidP="00B01787">
      <w:pPr>
        <w:jc w:val="center"/>
        <w:rPr>
          <w:rFonts w:ascii="Book Antiqua" w:hAnsi="Book Antiqua"/>
          <w:lang w:eastAsia="zh-CN"/>
        </w:rPr>
      </w:pPr>
    </w:p>
    <w:p w14:paraId="62F978DA" w14:textId="77777777" w:rsidR="00B01787" w:rsidRDefault="00B01787" w:rsidP="00B01787">
      <w:pPr>
        <w:jc w:val="center"/>
        <w:rPr>
          <w:rFonts w:ascii="Book Antiqua" w:hAnsi="Book Antiqua"/>
          <w:lang w:eastAsia="zh-CN"/>
        </w:rPr>
      </w:pPr>
    </w:p>
    <w:p w14:paraId="179E3936" w14:textId="77777777" w:rsidR="00B01787" w:rsidRDefault="00B01787" w:rsidP="00B01787">
      <w:pPr>
        <w:jc w:val="center"/>
        <w:rPr>
          <w:rFonts w:ascii="Book Antiqua" w:hAnsi="Book Antiqua"/>
          <w:lang w:eastAsia="zh-CN"/>
        </w:rPr>
      </w:pPr>
    </w:p>
    <w:p w14:paraId="2C058351" w14:textId="77777777" w:rsidR="00B01787" w:rsidRDefault="00B01787" w:rsidP="00B01787">
      <w:pPr>
        <w:jc w:val="center"/>
        <w:rPr>
          <w:rFonts w:ascii="Book Antiqua" w:hAnsi="Book Antiqua"/>
          <w:lang w:eastAsia="zh-CN"/>
        </w:rPr>
      </w:pPr>
    </w:p>
    <w:p w14:paraId="6A8B84D4" w14:textId="77777777" w:rsidR="00B01787" w:rsidRDefault="00B01787" w:rsidP="00B01787">
      <w:pPr>
        <w:jc w:val="center"/>
        <w:rPr>
          <w:rFonts w:ascii="Book Antiqua" w:hAnsi="Book Antiqua"/>
          <w:lang w:eastAsia="zh-CN"/>
        </w:rPr>
      </w:pPr>
    </w:p>
    <w:p w14:paraId="0573A105" w14:textId="77777777" w:rsidR="00B01787" w:rsidRDefault="00B01787" w:rsidP="00B01787">
      <w:pPr>
        <w:jc w:val="center"/>
        <w:rPr>
          <w:rFonts w:ascii="Book Antiqua" w:hAnsi="Book Antiqua"/>
          <w:lang w:eastAsia="zh-CN"/>
        </w:rPr>
      </w:pPr>
    </w:p>
    <w:p w14:paraId="3FF4F4CA" w14:textId="77777777" w:rsidR="00B01787" w:rsidRDefault="00B01787" w:rsidP="00B01787">
      <w:pPr>
        <w:jc w:val="center"/>
        <w:rPr>
          <w:rFonts w:ascii="Book Antiqua" w:hAnsi="Book Antiqua"/>
          <w:lang w:eastAsia="zh-CN"/>
        </w:rPr>
      </w:pPr>
    </w:p>
    <w:p w14:paraId="335FB729" w14:textId="77777777" w:rsidR="00B01787" w:rsidRPr="00763D22" w:rsidRDefault="00B01787" w:rsidP="00B01787">
      <w:pPr>
        <w:jc w:val="right"/>
        <w:rPr>
          <w:rFonts w:ascii="Book Antiqua" w:hAnsi="Book Antiqua"/>
          <w:color w:val="000000" w:themeColor="text1"/>
          <w:lang w:eastAsia="zh-CN"/>
        </w:rPr>
      </w:pPr>
    </w:p>
    <w:p w14:paraId="7A026832" w14:textId="77777777" w:rsidR="00B01787" w:rsidRPr="00763D22" w:rsidRDefault="00B01787" w:rsidP="00B01787">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3"/>
      <w:bookmarkEnd w:id="4"/>
    </w:p>
    <w:p w14:paraId="504DD317" w14:textId="77777777" w:rsidR="00411356" w:rsidRDefault="00411356">
      <w:pPr>
        <w:spacing w:line="360" w:lineRule="auto"/>
        <w:jc w:val="both"/>
      </w:pPr>
      <w:bookmarkStart w:id="5" w:name="_GoBack"/>
      <w:bookmarkEnd w:id="5"/>
    </w:p>
    <w:sectPr w:rsidR="0041135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FFF5C2" w14:textId="77777777" w:rsidR="000C1B31" w:rsidRDefault="000C1B31">
      <w:r>
        <w:separator/>
      </w:r>
    </w:p>
  </w:endnote>
  <w:endnote w:type="continuationSeparator" w:id="0">
    <w:p w14:paraId="58E877E9" w14:textId="77777777" w:rsidR="000C1B31" w:rsidRDefault="000C1B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4571992"/>
    </w:sdtPr>
    <w:sdtEndPr>
      <w:rPr>
        <w:rFonts w:ascii="Book Antiqua" w:hAnsi="Book Antiqua"/>
        <w:sz w:val="24"/>
        <w:szCs w:val="24"/>
      </w:rPr>
    </w:sdtEndPr>
    <w:sdtContent>
      <w:sdt>
        <w:sdtPr>
          <w:id w:val="568311295"/>
        </w:sdtPr>
        <w:sdtEndPr>
          <w:rPr>
            <w:rFonts w:ascii="Book Antiqua" w:hAnsi="Book Antiqua"/>
            <w:sz w:val="24"/>
            <w:szCs w:val="24"/>
          </w:rPr>
        </w:sdtEndPr>
        <w:sdtContent>
          <w:p w14:paraId="432AFBB2" w14:textId="77777777" w:rsidR="00411356" w:rsidRDefault="008D1FB5">
            <w:pPr>
              <w:pStyle w:val="a6"/>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sidR="000C1B31">
              <w:rPr>
                <w:rFonts w:ascii="Book Antiqua" w:hAnsi="Book Antiqua"/>
                <w:noProof/>
                <w:sz w:val="24"/>
                <w:szCs w:val="24"/>
              </w:rPr>
              <w:t>1</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sidR="000C1B31">
              <w:rPr>
                <w:rFonts w:ascii="Book Antiqua" w:hAnsi="Book Antiqua"/>
                <w:noProof/>
                <w:sz w:val="24"/>
                <w:szCs w:val="24"/>
              </w:rPr>
              <w:t>1</w:t>
            </w:r>
            <w:r>
              <w:rPr>
                <w:rFonts w:ascii="Book Antiqua" w:hAnsi="Book Antiqua"/>
                <w:sz w:val="24"/>
                <w:szCs w:val="24"/>
              </w:rPr>
              <w:fldChar w:fldCharType="end"/>
            </w:r>
          </w:p>
        </w:sdtContent>
      </w:sdt>
    </w:sdtContent>
  </w:sdt>
  <w:p w14:paraId="6306C217" w14:textId="77777777" w:rsidR="00411356" w:rsidRDefault="00411356">
    <w:pPr>
      <w:pStyle w:val="a6"/>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15A2A6" w14:textId="77777777" w:rsidR="000C1B31" w:rsidRDefault="000C1B31">
      <w:r>
        <w:separator/>
      </w:r>
    </w:p>
  </w:footnote>
  <w:footnote w:type="continuationSeparator" w:id="0">
    <w:p w14:paraId="266019EE" w14:textId="77777777" w:rsidR="000C1B31" w:rsidRDefault="000C1B3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DFAE2272"/>
    <w:rsid w:val="FDE642B5"/>
    <w:rsid w:val="000242C7"/>
    <w:rsid w:val="00024DC9"/>
    <w:rsid w:val="00025217"/>
    <w:rsid w:val="000817C2"/>
    <w:rsid w:val="00083B0A"/>
    <w:rsid w:val="000A6650"/>
    <w:rsid w:val="000B1ABC"/>
    <w:rsid w:val="000C1B31"/>
    <w:rsid w:val="00107535"/>
    <w:rsid w:val="00132C73"/>
    <w:rsid w:val="00136383"/>
    <w:rsid w:val="0014334C"/>
    <w:rsid w:val="00185E11"/>
    <w:rsid w:val="001B6B47"/>
    <w:rsid w:val="001D0F2E"/>
    <w:rsid w:val="00201F84"/>
    <w:rsid w:val="00253F90"/>
    <w:rsid w:val="002A7497"/>
    <w:rsid w:val="002C2F56"/>
    <w:rsid w:val="00303ADD"/>
    <w:rsid w:val="00330028"/>
    <w:rsid w:val="0033364E"/>
    <w:rsid w:val="003E03B7"/>
    <w:rsid w:val="003F627D"/>
    <w:rsid w:val="00411356"/>
    <w:rsid w:val="004201E8"/>
    <w:rsid w:val="004261AA"/>
    <w:rsid w:val="004A5907"/>
    <w:rsid w:val="005B6E40"/>
    <w:rsid w:val="005C69DC"/>
    <w:rsid w:val="005D0CCA"/>
    <w:rsid w:val="005F6B2B"/>
    <w:rsid w:val="006041CB"/>
    <w:rsid w:val="006502EB"/>
    <w:rsid w:val="006944F1"/>
    <w:rsid w:val="006A775B"/>
    <w:rsid w:val="0071094C"/>
    <w:rsid w:val="007337EF"/>
    <w:rsid w:val="007D0F27"/>
    <w:rsid w:val="007D6D66"/>
    <w:rsid w:val="007E0465"/>
    <w:rsid w:val="008662D2"/>
    <w:rsid w:val="00876B53"/>
    <w:rsid w:val="008C04AD"/>
    <w:rsid w:val="008D1FB5"/>
    <w:rsid w:val="00913D03"/>
    <w:rsid w:val="009824D9"/>
    <w:rsid w:val="009F28ED"/>
    <w:rsid w:val="00A369AA"/>
    <w:rsid w:val="00A41A56"/>
    <w:rsid w:val="00A77B3E"/>
    <w:rsid w:val="00AE7D97"/>
    <w:rsid w:val="00B01787"/>
    <w:rsid w:val="00B556DC"/>
    <w:rsid w:val="00B64B85"/>
    <w:rsid w:val="00B919F3"/>
    <w:rsid w:val="00C414F7"/>
    <w:rsid w:val="00C756BB"/>
    <w:rsid w:val="00C75BB5"/>
    <w:rsid w:val="00C91C4E"/>
    <w:rsid w:val="00CA2A55"/>
    <w:rsid w:val="00D0778F"/>
    <w:rsid w:val="00D25339"/>
    <w:rsid w:val="00D32275"/>
    <w:rsid w:val="00D56A83"/>
    <w:rsid w:val="00D648B3"/>
    <w:rsid w:val="00D71528"/>
    <w:rsid w:val="00DB1DA5"/>
    <w:rsid w:val="00E15F85"/>
    <w:rsid w:val="00E91C83"/>
    <w:rsid w:val="00EF4A7C"/>
    <w:rsid w:val="00F742B6"/>
    <w:rsid w:val="00FC25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E02B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qFormat="1"/>
    <w:lsdException w:name="header" w:semiHidden="0" w:qFormat="1"/>
    <w:lsdException w:name="footer" w:semiHidden="0" w:uiPriority="99" w:qFormat="1"/>
    <w:lsdException w:name="caption" w:qFormat="1"/>
    <w:lsdException w:name="annotation reference" w:semiHidden="0"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annotation subject" w:semiHidden="0"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nhideWhenUsed/>
    <w:qFormat/>
    <w:rPr>
      <w:b/>
      <w:bCs/>
    </w:rPr>
  </w:style>
  <w:style w:type="paragraph" w:styleId="a4">
    <w:name w:val="annotation text"/>
    <w:basedOn w:val="a"/>
    <w:link w:val="Char0"/>
    <w:unhideWhenUsed/>
    <w:qFormat/>
  </w:style>
  <w:style w:type="paragraph" w:styleId="a5">
    <w:name w:val="Balloon Text"/>
    <w:basedOn w:val="a"/>
    <w:link w:val="Char1"/>
    <w:unhideWhenUsed/>
    <w:qFormat/>
    <w:rPr>
      <w:rFonts w:ascii="Tahoma" w:hAnsi="Tahoma" w:cs="Tahoma"/>
      <w:sz w:val="16"/>
      <w:szCs w:val="16"/>
    </w:rPr>
  </w:style>
  <w:style w:type="paragraph" w:styleId="a6">
    <w:name w:val="footer"/>
    <w:basedOn w:val="a"/>
    <w:link w:val="Char2"/>
    <w:uiPriority w:val="99"/>
    <w:unhideWhenUsed/>
    <w:qFormat/>
    <w:pPr>
      <w:tabs>
        <w:tab w:val="center" w:pos="4153"/>
        <w:tab w:val="right" w:pos="8306"/>
      </w:tabs>
      <w:snapToGrid w:val="0"/>
    </w:pPr>
    <w:rPr>
      <w:sz w:val="18"/>
      <w:szCs w:val="18"/>
    </w:rPr>
  </w:style>
  <w:style w:type="paragraph" w:styleId="a7">
    <w:name w:val="header"/>
    <w:basedOn w:val="a"/>
    <w:link w:val="Char3"/>
    <w:unhideWhenUsed/>
    <w:qFormat/>
    <w:pPr>
      <w:pBdr>
        <w:bottom w:val="single" w:sz="6" w:space="1" w:color="auto"/>
      </w:pBdr>
      <w:tabs>
        <w:tab w:val="center" w:pos="4153"/>
        <w:tab w:val="right" w:pos="8306"/>
      </w:tabs>
      <w:snapToGrid w:val="0"/>
      <w:jc w:val="center"/>
    </w:pPr>
    <w:rPr>
      <w:sz w:val="18"/>
      <w:szCs w:val="18"/>
    </w:rPr>
  </w:style>
  <w:style w:type="character" w:styleId="a8">
    <w:name w:val="annotation reference"/>
    <w:basedOn w:val="a0"/>
    <w:unhideWhenUsed/>
    <w:qFormat/>
    <w:rPr>
      <w:sz w:val="21"/>
      <w:szCs w:val="21"/>
    </w:rPr>
  </w:style>
  <w:style w:type="character" w:customStyle="1" w:styleId="Char3">
    <w:name w:val="页眉 Char"/>
    <w:basedOn w:val="a0"/>
    <w:link w:val="a7"/>
    <w:qFormat/>
    <w:rPr>
      <w:sz w:val="18"/>
      <w:szCs w:val="18"/>
    </w:rPr>
  </w:style>
  <w:style w:type="character" w:customStyle="1" w:styleId="Char2">
    <w:name w:val="页脚 Char"/>
    <w:basedOn w:val="a0"/>
    <w:link w:val="a6"/>
    <w:uiPriority w:val="99"/>
    <w:qFormat/>
    <w:rPr>
      <w:sz w:val="18"/>
      <w:szCs w:val="18"/>
    </w:rPr>
  </w:style>
  <w:style w:type="character" w:customStyle="1" w:styleId="Char0">
    <w:name w:val="批注文字 Char"/>
    <w:basedOn w:val="a0"/>
    <w:link w:val="a4"/>
    <w:semiHidden/>
    <w:qFormat/>
    <w:rPr>
      <w:sz w:val="24"/>
      <w:szCs w:val="24"/>
    </w:rPr>
  </w:style>
  <w:style w:type="character" w:customStyle="1" w:styleId="Char">
    <w:name w:val="批注主题 Char"/>
    <w:basedOn w:val="Char0"/>
    <w:link w:val="a3"/>
    <w:semiHidden/>
    <w:qFormat/>
    <w:rPr>
      <w:b/>
      <w:bCs/>
      <w:sz w:val="24"/>
      <w:szCs w:val="24"/>
    </w:rPr>
  </w:style>
  <w:style w:type="character" w:customStyle="1" w:styleId="Char1">
    <w:name w:val="批注框文本 Char"/>
    <w:basedOn w:val="a0"/>
    <w:link w:val="a5"/>
    <w:semiHidden/>
    <w:qFormat/>
    <w:rPr>
      <w:rFonts w:ascii="Tahoma" w:hAnsi="Tahoma" w:cs="Tahoma"/>
      <w:sz w:val="16"/>
      <w:szCs w:val="16"/>
      <w:lang w:eastAsia="en-US"/>
    </w:rPr>
  </w:style>
  <w:style w:type="character" w:styleId="a9">
    <w:name w:val="Hyperlink"/>
    <w:basedOn w:val="a0"/>
    <w:unhideWhenUsed/>
    <w:rsid w:val="00C756B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qFormat="1"/>
    <w:lsdException w:name="header" w:semiHidden="0" w:qFormat="1"/>
    <w:lsdException w:name="footer" w:semiHidden="0" w:uiPriority="99" w:qFormat="1"/>
    <w:lsdException w:name="caption" w:qFormat="1"/>
    <w:lsdException w:name="annotation reference" w:semiHidden="0"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annotation subject" w:semiHidden="0"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nhideWhenUsed/>
    <w:qFormat/>
    <w:rPr>
      <w:b/>
      <w:bCs/>
    </w:rPr>
  </w:style>
  <w:style w:type="paragraph" w:styleId="a4">
    <w:name w:val="annotation text"/>
    <w:basedOn w:val="a"/>
    <w:link w:val="Char0"/>
    <w:unhideWhenUsed/>
    <w:qFormat/>
  </w:style>
  <w:style w:type="paragraph" w:styleId="a5">
    <w:name w:val="Balloon Text"/>
    <w:basedOn w:val="a"/>
    <w:link w:val="Char1"/>
    <w:unhideWhenUsed/>
    <w:qFormat/>
    <w:rPr>
      <w:rFonts w:ascii="Tahoma" w:hAnsi="Tahoma" w:cs="Tahoma"/>
      <w:sz w:val="16"/>
      <w:szCs w:val="16"/>
    </w:rPr>
  </w:style>
  <w:style w:type="paragraph" w:styleId="a6">
    <w:name w:val="footer"/>
    <w:basedOn w:val="a"/>
    <w:link w:val="Char2"/>
    <w:uiPriority w:val="99"/>
    <w:unhideWhenUsed/>
    <w:qFormat/>
    <w:pPr>
      <w:tabs>
        <w:tab w:val="center" w:pos="4153"/>
        <w:tab w:val="right" w:pos="8306"/>
      </w:tabs>
      <w:snapToGrid w:val="0"/>
    </w:pPr>
    <w:rPr>
      <w:sz w:val="18"/>
      <w:szCs w:val="18"/>
    </w:rPr>
  </w:style>
  <w:style w:type="paragraph" w:styleId="a7">
    <w:name w:val="header"/>
    <w:basedOn w:val="a"/>
    <w:link w:val="Char3"/>
    <w:unhideWhenUsed/>
    <w:qFormat/>
    <w:pPr>
      <w:pBdr>
        <w:bottom w:val="single" w:sz="6" w:space="1" w:color="auto"/>
      </w:pBdr>
      <w:tabs>
        <w:tab w:val="center" w:pos="4153"/>
        <w:tab w:val="right" w:pos="8306"/>
      </w:tabs>
      <w:snapToGrid w:val="0"/>
      <w:jc w:val="center"/>
    </w:pPr>
    <w:rPr>
      <w:sz w:val="18"/>
      <w:szCs w:val="18"/>
    </w:rPr>
  </w:style>
  <w:style w:type="character" w:styleId="a8">
    <w:name w:val="annotation reference"/>
    <w:basedOn w:val="a0"/>
    <w:unhideWhenUsed/>
    <w:qFormat/>
    <w:rPr>
      <w:sz w:val="21"/>
      <w:szCs w:val="21"/>
    </w:rPr>
  </w:style>
  <w:style w:type="character" w:customStyle="1" w:styleId="Char3">
    <w:name w:val="页眉 Char"/>
    <w:basedOn w:val="a0"/>
    <w:link w:val="a7"/>
    <w:qFormat/>
    <w:rPr>
      <w:sz w:val="18"/>
      <w:szCs w:val="18"/>
    </w:rPr>
  </w:style>
  <w:style w:type="character" w:customStyle="1" w:styleId="Char2">
    <w:name w:val="页脚 Char"/>
    <w:basedOn w:val="a0"/>
    <w:link w:val="a6"/>
    <w:uiPriority w:val="99"/>
    <w:qFormat/>
    <w:rPr>
      <w:sz w:val="18"/>
      <w:szCs w:val="18"/>
    </w:rPr>
  </w:style>
  <w:style w:type="character" w:customStyle="1" w:styleId="Char0">
    <w:name w:val="批注文字 Char"/>
    <w:basedOn w:val="a0"/>
    <w:link w:val="a4"/>
    <w:semiHidden/>
    <w:qFormat/>
    <w:rPr>
      <w:sz w:val="24"/>
      <w:szCs w:val="24"/>
    </w:rPr>
  </w:style>
  <w:style w:type="character" w:customStyle="1" w:styleId="Char">
    <w:name w:val="批注主题 Char"/>
    <w:basedOn w:val="Char0"/>
    <w:link w:val="a3"/>
    <w:semiHidden/>
    <w:qFormat/>
    <w:rPr>
      <w:b/>
      <w:bCs/>
      <w:sz w:val="24"/>
      <w:szCs w:val="24"/>
    </w:rPr>
  </w:style>
  <w:style w:type="character" w:customStyle="1" w:styleId="Char1">
    <w:name w:val="批注框文本 Char"/>
    <w:basedOn w:val="a0"/>
    <w:link w:val="a5"/>
    <w:semiHidden/>
    <w:qFormat/>
    <w:rPr>
      <w:rFonts w:ascii="Tahoma" w:hAnsi="Tahoma" w:cs="Tahoma"/>
      <w:sz w:val="16"/>
      <w:szCs w:val="16"/>
      <w:lang w:eastAsia="en-US"/>
    </w:rPr>
  </w:style>
  <w:style w:type="character" w:styleId="a9">
    <w:name w:val="Hyperlink"/>
    <w:basedOn w:val="a0"/>
    <w:unhideWhenUsed/>
    <w:rsid w:val="00C756B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17</Pages>
  <Words>3314</Words>
  <Characters>18893</Characters>
  <Application>Microsoft Office Word</Application>
  <DocSecurity>0</DocSecurity>
  <Lines>157</Lines>
  <Paragraphs>44</Paragraphs>
  <ScaleCrop>false</ScaleCrop>
  <Company>Hewlett-Packard Company</Company>
  <LinksUpToDate>false</LinksUpToDate>
  <CharactersWithSpaces>22163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liujihong2008@qq.con</cp:lastModifiedBy>
  <cp:revision>6</cp:revision>
  <dcterms:created xsi:type="dcterms:W3CDTF">2021-06-03T10:11:00Z</dcterms:created>
  <dcterms:modified xsi:type="dcterms:W3CDTF">2021-06-08T10:21:00Z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2052-3.0.1.4848</vt:lpwstr>
  </property>
</Properties>
</file>