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3AA9" w14:textId="40AE90E0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60CB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60CB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60CB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960CB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70D435B7" w14:textId="116F9AF1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64088</w:t>
      </w:r>
    </w:p>
    <w:p w14:paraId="181DA2E5" w14:textId="33FFB10F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525"/>
      <w:bookmarkStart w:id="1" w:name="OLE_LINK526"/>
      <w:r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43FEF6F2" w14:textId="77777777" w:rsidR="00A77B3E" w:rsidRDefault="00A77B3E">
      <w:pPr>
        <w:spacing w:line="360" w:lineRule="auto"/>
        <w:jc w:val="both"/>
      </w:pPr>
    </w:p>
    <w:p w14:paraId="27546DE5" w14:textId="67B3EDCA" w:rsidR="00A77B3E" w:rsidRDefault="00A76A1C">
      <w:pPr>
        <w:spacing w:line="360" w:lineRule="auto"/>
        <w:jc w:val="both"/>
      </w:pPr>
      <w:bookmarkStart w:id="2" w:name="OLE_LINK512"/>
      <w:bookmarkStart w:id="3" w:name="OLE_LINK513"/>
      <w:bookmarkStart w:id="4" w:name="OLE_LINK537"/>
      <w:r>
        <w:rPr>
          <w:rFonts w:ascii="Book Antiqua" w:eastAsia="Book Antiqua" w:hAnsi="Book Antiqua" w:cs="Book Antiqua"/>
          <w:b/>
          <w:color w:val="000000"/>
        </w:rPr>
        <w:t>Robotic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7C0B">
        <w:rPr>
          <w:rFonts w:ascii="Book Antiqua" w:eastAsia="Book Antiqua" w:hAnsi="Book Antiqua" w:cs="Book Antiqua"/>
          <w:b/>
          <w:color w:val="000000"/>
        </w:rPr>
        <w:t>donor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7C0B">
        <w:rPr>
          <w:rFonts w:ascii="Book Antiqua" w:eastAsia="Book Antiqua" w:hAnsi="Book Antiqua" w:cs="Book Antiqua"/>
          <w:b/>
          <w:color w:val="000000"/>
        </w:rPr>
        <w:t>hepate</w:t>
      </w:r>
      <w:r>
        <w:rPr>
          <w:rFonts w:ascii="Book Antiqua" w:eastAsia="Book Antiqua" w:hAnsi="Book Antiqua" w:cs="Book Antiqua"/>
          <w:b/>
          <w:color w:val="000000"/>
        </w:rPr>
        <w:t>ctomy: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Are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7C0B">
        <w:rPr>
          <w:rFonts w:ascii="Book Antiqua" w:eastAsia="Book Antiqua" w:hAnsi="Book Antiqua" w:cs="Book Antiqua"/>
          <w:b/>
          <w:color w:val="000000"/>
        </w:rPr>
        <w:t>we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7C0B">
        <w:rPr>
          <w:rFonts w:ascii="Book Antiqua" w:eastAsia="Book Antiqua" w:hAnsi="Book Antiqua" w:cs="Book Antiqua"/>
          <w:b/>
          <w:color w:val="000000"/>
        </w:rPr>
        <w:t>there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7C0B">
        <w:rPr>
          <w:rFonts w:ascii="Book Antiqua" w:eastAsia="Book Antiqua" w:hAnsi="Book Antiqua" w:cs="Book Antiqua"/>
          <w:b/>
          <w:color w:val="000000"/>
        </w:rPr>
        <w:t>ye</w:t>
      </w:r>
      <w:r>
        <w:rPr>
          <w:rFonts w:ascii="Book Antiqua" w:eastAsia="Book Antiqua" w:hAnsi="Book Antiqua" w:cs="Book Antiqua"/>
          <w:b/>
          <w:color w:val="000000"/>
        </w:rPr>
        <w:t>t?</w:t>
      </w:r>
    </w:p>
    <w:bookmarkEnd w:id="2"/>
    <w:bookmarkEnd w:id="3"/>
    <w:bookmarkEnd w:id="4"/>
    <w:p w14:paraId="6D08A4B5" w14:textId="77777777" w:rsidR="00A77B3E" w:rsidRDefault="00A77B3E">
      <w:pPr>
        <w:spacing w:line="360" w:lineRule="auto"/>
        <w:jc w:val="both"/>
      </w:pPr>
    </w:p>
    <w:p w14:paraId="7FA3AEA2" w14:textId="7B11D4BE" w:rsidR="00A77B3E" w:rsidRDefault="00826D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Rammohan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26D86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60CB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26D86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514"/>
      <w:bookmarkStart w:id="6" w:name="OLE_LINK515"/>
      <w:bookmarkStart w:id="7" w:name="OLE_LINK536"/>
      <w:r w:rsidR="00A76A1C"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</w:t>
      </w:r>
      <w:r w:rsidR="00A76A1C">
        <w:rPr>
          <w:rFonts w:ascii="Book Antiqua" w:eastAsia="Book Antiqua" w:hAnsi="Book Antiqua" w:cs="Book Antiqua"/>
          <w:color w:val="000000"/>
        </w:rPr>
        <w:t>tectomy</w:t>
      </w:r>
      <w:bookmarkEnd w:id="5"/>
      <w:bookmarkEnd w:id="6"/>
      <w:bookmarkEnd w:id="7"/>
    </w:p>
    <w:p w14:paraId="456F78DC" w14:textId="77777777" w:rsidR="00A77B3E" w:rsidRDefault="00A77B3E">
      <w:pPr>
        <w:spacing w:line="360" w:lineRule="auto"/>
        <w:jc w:val="both"/>
      </w:pPr>
    </w:p>
    <w:p w14:paraId="607C5B13" w14:textId="0318E9F7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Ashwin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6"/>
      <w:bookmarkStart w:id="9" w:name="OLE_LINK37"/>
      <w:r>
        <w:rPr>
          <w:rFonts w:ascii="Book Antiqua" w:eastAsia="Book Antiqua" w:hAnsi="Book Antiqua" w:cs="Book Antiqua"/>
          <w:color w:val="000000"/>
        </w:rPr>
        <w:t>Rammohan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</w:t>
      </w:r>
    </w:p>
    <w:p w14:paraId="1DBEC8DD" w14:textId="77777777" w:rsidR="00A77B3E" w:rsidRDefault="00A77B3E">
      <w:pPr>
        <w:spacing w:line="360" w:lineRule="auto"/>
        <w:jc w:val="both"/>
      </w:pPr>
    </w:p>
    <w:p w14:paraId="3B2C7B69" w14:textId="6A6C5920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Ashwin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Rammohan,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Rela,</w:t>
      </w:r>
      <w:bookmarkStart w:id="10" w:name="OLE_LINK518"/>
      <w:bookmarkStart w:id="11" w:name="OLE_LINK519"/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520"/>
      <w:bookmarkStart w:id="13" w:name="OLE_LINK521"/>
      <w:bookmarkStart w:id="14" w:name="OLE_LINK524"/>
      <w:r>
        <w:rPr>
          <w:rFonts w:ascii="Book Antiqua" w:eastAsia="Book Antiqua" w:hAnsi="Book Antiqua" w:cs="Book Antiqua"/>
          <w:color w:val="000000"/>
        </w:rPr>
        <w:t>Dr.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bookmarkEnd w:id="10"/>
      <w:bookmarkEnd w:id="11"/>
      <w:r>
        <w:rPr>
          <w:rFonts w:ascii="Book Antiqua" w:eastAsia="Book Antiqua" w:hAnsi="Book Antiqua" w:cs="Book Antiqua"/>
          <w:color w:val="000000"/>
        </w:rPr>
        <w:t>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Bharath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bookmarkEnd w:id="12"/>
      <w:bookmarkEnd w:id="13"/>
      <w:bookmarkEnd w:id="14"/>
      <w:r>
        <w:rPr>
          <w:rFonts w:ascii="Book Antiqua" w:eastAsia="Book Antiqua" w:hAnsi="Book Antiqua" w:cs="Book Antiqua"/>
          <w:color w:val="000000"/>
        </w:rPr>
        <w:t>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Chennai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600044,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516"/>
      <w:bookmarkStart w:id="16" w:name="OLE_LINK517"/>
      <w:r>
        <w:rPr>
          <w:rFonts w:ascii="Book Antiqua" w:eastAsia="Book Antiqua" w:hAnsi="Book Antiqua" w:cs="Book Antiqua"/>
          <w:color w:val="000000"/>
        </w:rPr>
        <w:t>India</w:t>
      </w:r>
      <w:bookmarkEnd w:id="15"/>
      <w:bookmarkEnd w:id="16"/>
    </w:p>
    <w:p w14:paraId="34873CAB" w14:textId="77777777" w:rsidR="00A77B3E" w:rsidRDefault="00A77B3E">
      <w:pPr>
        <w:spacing w:line="360" w:lineRule="auto"/>
        <w:jc w:val="both"/>
      </w:pPr>
    </w:p>
    <w:p w14:paraId="432F3793" w14:textId="2B37CCF9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960CB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960CB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17" w:name="OLE_LINK534"/>
      <w:bookmarkStart w:id="18" w:name="OLE_LINK535"/>
      <w:r>
        <w:rPr>
          <w:rFonts w:ascii="Book Antiqua" w:eastAsia="Book Antiqua" w:hAnsi="Book Antiqua" w:cs="Book Antiqua"/>
          <w:color w:val="000000"/>
        </w:rPr>
        <w:t>Rammohan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60FA">
        <w:rPr>
          <w:rFonts w:ascii="Book Antiqua" w:hAnsi="Book Antiqua" w:cs="Book Antiqua" w:hint="eastAsia"/>
          <w:color w:val="000000"/>
          <w:lang w:eastAsia="zh-CN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0A60FA">
        <w:rPr>
          <w:rFonts w:ascii="Book Antiqua" w:hAnsi="Book Antiqua" w:cs="Book Antiqua" w:hint="eastAsia"/>
          <w:color w:val="000000"/>
          <w:lang w:eastAsia="zh-CN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8"/>
      <w:bookmarkStart w:id="20" w:name="OLE_LINK39"/>
      <w:r>
        <w:rPr>
          <w:rFonts w:ascii="Book Antiqua" w:eastAsia="Book Antiqua" w:hAnsi="Book Antiqua" w:cs="Book Antiqua"/>
          <w:color w:val="000000"/>
        </w:rPr>
        <w:t>Rela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0A60FA">
        <w:rPr>
          <w:rFonts w:ascii="Book Antiqua" w:hAnsi="Book Antiqua" w:cs="Book Antiqua" w:hint="eastAsia"/>
          <w:color w:val="000000"/>
          <w:lang w:eastAsia="zh-CN"/>
        </w:rPr>
        <w:t>M</w:t>
      </w:r>
      <w:bookmarkEnd w:id="19"/>
      <w:bookmarkEnd w:id="20"/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0A60FA">
        <w:rPr>
          <w:rFonts w:ascii="Book Antiqua" w:eastAsia="Book Antiqua" w:hAnsi="Book Antiqua" w:cs="Book Antiqua"/>
          <w:color w:val="000000"/>
        </w:rPr>
        <w:t>important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0A60FA">
        <w:rPr>
          <w:rFonts w:ascii="Book Antiqua" w:eastAsia="Book Antiqua" w:hAnsi="Book Antiqua" w:cs="Book Antiqua"/>
          <w:color w:val="000000"/>
        </w:rPr>
        <w:t>intellectual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0A60FA">
        <w:rPr>
          <w:rFonts w:ascii="Book Antiqua" w:eastAsia="Book Antiqua" w:hAnsi="Book Antiqua" w:cs="Book Antiqua"/>
          <w:color w:val="000000"/>
        </w:rPr>
        <w:t>content</w:t>
      </w:r>
      <w:r w:rsidR="000A60FA">
        <w:rPr>
          <w:rFonts w:ascii="Book Antiqua" w:hAnsi="Book Antiqua" w:cs="Book Antiqua" w:hint="eastAsia"/>
          <w:color w:val="000000"/>
          <w:lang w:eastAsia="zh-CN"/>
        </w:rPr>
        <w:t>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0A60FA">
        <w:rPr>
          <w:rFonts w:ascii="Book Antiqua" w:eastAsia="Book Antiqua" w:hAnsi="Book Antiqua" w:cs="Book Antiqua"/>
          <w:color w:val="000000"/>
        </w:rPr>
        <w:t>Rela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0A60FA">
        <w:rPr>
          <w:rFonts w:ascii="Book Antiqua" w:hAnsi="Book Antiqua" w:cs="Book Antiqua"/>
          <w:color w:val="000000"/>
          <w:lang w:eastAsia="zh-CN"/>
        </w:rPr>
        <w:t>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published.</w:t>
      </w:r>
    </w:p>
    <w:bookmarkEnd w:id="17"/>
    <w:bookmarkEnd w:id="18"/>
    <w:p w14:paraId="0573D8E0" w14:textId="77777777" w:rsidR="00A77B3E" w:rsidRDefault="00A77B3E">
      <w:pPr>
        <w:spacing w:line="360" w:lineRule="auto"/>
        <w:jc w:val="both"/>
      </w:pPr>
    </w:p>
    <w:p w14:paraId="4853AE04" w14:textId="09527591" w:rsidR="00A77B3E" w:rsidRDefault="000B1B03">
      <w:pPr>
        <w:spacing w:line="360" w:lineRule="auto"/>
        <w:jc w:val="both"/>
      </w:pPr>
      <w:r w:rsidRPr="000B1B03">
        <w:rPr>
          <w:rFonts w:ascii="Book Antiqua" w:eastAsia="Book Antiqua" w:hAnsi="Book Antiqua" w:cs="Book Antiqua"/>
          <w:b/>
          <w:bCs/>
          <w:color w:val="000000"/>
        </w:rPr>
        <w:t>Corresponding author</w:t>
      </w:r>
      <w:r w:rsidR="00A76A1C">
        <w:rPr>
          <w:rFonts w:ascii="Book Antiqua" w:eastAsia="Book Antiqua" w:hAnsi="Book Antiqua" w:cs="Book Antiqua"/>
          <w:b/>
          <w:bCs/>
          <w:color w:val="000000"/>
        </w:rPr>
        <w:t>: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b/>
          <w:bCs/>
          <w:color w:val="000000"/>
        </w:rPr>
        <w:t>Ashwin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b/>
          <w:bCs/>
          <w:color w:val="000000"/>
        </w:rPr>
        <w:t>Rammohan,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b/>
          <w:bCs/>
          <w:color w:val="000000"/>
        </w:rPr>
        <w:t>FRCS,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b/>
          <w:bCs/>
          <w:color w:val="000000"/>
        </w:rPr>
        <w:t>MCh,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Institute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Disease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&amp;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Transplantation,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Dr.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Rela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Institute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&amp;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Medical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Centre,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Bharath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Institute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Education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&amp;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Research,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522"/>
      <w:bookmarkStart w:id="22" w:name="OLE_LINK523"/>
      <w:r w:rsidR="00A76A1C">
        <w:rPr>
          <w:rFonts w:ascii="Book Antiqua" w:eastAsia="Book Antiqua" w:hAnsi="Book Antiqua" w:cs="Book Antiqua"/>
          <w:color w:val="000000"/>
        </w:rPr>
        <w:t>CLC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Works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Road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Chromepet</w:t>
      </w:r>
      <w:bookmarkEnd w:id="21"/>
      <w:bookmarkEnd w:id="22"/>
      <w:r w:rsidR="00A76A1C">
        <w:rPr>
          <w:rFonts w:ascii="Book Antiqua" w:eastAsia="Book Antiqua" w:hAnsi="Book Antiqua" w:cs="Book Antiqua"/>
          <w:color w:val="000000"/>
        </w:rPr>
        <w:t>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Chennai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600044,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India.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ashwinrammohan@gmail.com</w:t>
      </w:r>
    </w:p>
    <w:p w14:paraId="4D47A279" w14:textId="77777777" w:rsidR="00A77B3E" w:rsidRDefault="00A77B3E">
      <w:pPr>
        <w:spacing w:line="360" w:lineRule="auto"/>
        <w:jc w:val="both"/>
      </w:pPr>
    </w:p>
    <w:p w14:paraId="5030DFB0" w14:textId="67EAAD51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E0233B5" w14:textId="723B387A" w:rsidR="00A77B3E" w:rsidRPr="00725367" w:rsidRDefault="00A76A1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5367" w:rsidRPr="00725367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960CB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25367" w:rsidRPr="00725367">
        <w:rPr>
          <w:rFonts w:ascii="Book Antiqua" w:hAnsi="Book Antiqua" w:cs="Book Antiqua" w:hint="eastAsia"/>
          <w:bCs/>
          <w:color w:val="000000"/>
          <w:lang w:eastAsia="zh-CN"/>
        </w:rPr>
        <w:t>9,</w:t>
      </w:r>
      <w:r w:rsidR="00960CB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25367" w:rsidRPr="00725367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35869F9D" w14:textId="51E5514D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15"/>
      <w:bookmarkStart w:id="24" w:name="OLE_LINK33"/>
      <w:r w:rsidR="00022882">
        <w:rPr>
          <w:rFonts w:ascii="Book Antiqua" w:eastAsia="宋体" w:hAnsi="Book Antiqua"/>
          <w:color w:val="000000" w:themeColor="text1"/>
        </w:rPr>
        <w:t>J</w:t>
      </w:r>
      <w:r w:rsidR="00022882">
        <w:rPr>
          <w:rFonts w:ascii="Book Antiqua" w:eastAsia="宋体" w:hAnsi="Book Antiqua" w:hint="eastAsia"/>
          <w:color w:val="000000" w:themeColor="text1"/>
        </w:rPr>
        <w:t>une</w:t>
      </w:r>
      <w:r w:rsidR="00022882" w:rsidRPr="00F06907">
        <w:rPr>
          <w:rFonts w:ascii="Book Antiqua" w:eastAsia="宋体" w:hAnsi="Book Antiqua"/>
          <w:color w:val="000000" w:themeColor="text1"/>
        </w:rPr>
        <w:t xml:space="preserve"> </w:t>
      </w:r>
      <w:r w:rsidR="00022882">
        <w:rPr>
          <w:rFonts w:ascii="Book Antiqua" w:eastAsia="宋体" w:hAnsi="Book Antiqua"/>
          <w:color w:val="000000" w:themeColor="text1"/>
        </w:rPr>
        <w:t>16</w:t>
      </w:r>
      <w:r w:rsidR="00022882" w:rsidRPr="00F06907">
        <w:rPr>
          <w:rFonts w:ascii="Book Antiqua" w:eastAsia="宋体" w:hAnsi="Book Antiqua"/>
          <w:color w:val="000000" w:themeColor="text1"/>
        </w:rPr>
        <w:t>, 2021</w:t>
      </w:r>
      <w:bookmarkEnd w:id="23"/>
      <w:bookmarkEnd w:id="24"/>
    </w:p>
    <w:p w14:paraId="08A6236E" w14:textId="755CEBE0" w:rsidR="00A77B3E" w:rsidRDefault="00A76A1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73AE">
        <w:rPr>
          <w:rFonts w:ascii="Book Antiqua" w:hAnsi="Book Antiqua"/>
          <w:color w:val="000000"/>
          <w:shd w:val="clear" w:color="auto" w:fill="FFFFFF"/>
        </w:rPr>
        <w:t>July</w:t>
      </w:r>
      <w:r w:rsidR="00C173AE">
        <w:rPr>
          <w:rFonts w:ascii="Book Antiqua" w:hAnsi="Book Antiqua" w:hint="eastAsia"/>
          <w:color w:val="000000"/>
          <w:shd w:val="clear" w:color="auto" w:fill="FFFFFF"/>
          <w:lang w:eastAsia="zh-CN"/>
        </w:rPr>
        <w:t xml:space="preserve"> </w:t>
      </w:r>
      <w:r w:rsidR="00C173AE">
        <w:rPr>
          <w:rFonts w:ascii="Book Antiqua" w:hAnsi="Book Antiqua"/>
          <w:color w:val="000000"/>
          <w:shd w:val="clear" w:color="auto" w:fill="FFFFFF"/>
        </w:rPr>
        <w:t>27</w:t>
      </w:r>
      <w:r w:rsidR="00C173AE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68A9DAD2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3C9C67" w14:textId="77777777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490DC2" w14:textId="06944E84" w:rsidR="00A77B3E" w:rsidRDefault="00A76A1C" w:rsidP="00C00C7B">
      <w:pPr>
        <w:spacing w:line="360" w:lineRule="auto"/>
        <w:jc w:val="both"/>
      </w:pPr>
      <w:bookmarkStart w:id="25" w:name="OLE_LINK538"/>
      <w:bookmarkStart w:id="26" w:name="OLE_LINK539"/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27" w:name="OLE_LINK42"/>
      <w:bookmarkStart w:id="28" w:name="OLE_LINK43"/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27"/>
      <w:bookmarkEnd w:id="28"/>
      <w:r>
        <w:rPr>
          <w:rFonts w:ascii="Book Antiqua" w:eastAsia="Book Antiqua" w:hAnsi="Book Antiqua" w:cs="Book Antiqua"/>
          <w:color w:val="000000"/>
          <w:shd w:val="clear" w:color="auto" w:fill="FFFFFF"/>
        </w:rPr>
        <w:t>(LDLT)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(LD)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paramount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importance.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efforts,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25</w:t>
      </w:r>
      <w:r w:rsidR="00C00C7B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-40%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donor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hepatectomy</w:t>
      </w:r>
      <w:r w:rsidR="00960CB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11461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(DH)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operations.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operative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wound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esteem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grievance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114616">
        <w:rPr>
          <w:rFonts w:ascii="Book Antiqua" w:hAnsi="Book Antiqua" w:cs="Book Antiqua" w:hint="eastAsia"/>
          <w:color w:val="000000"/>
          <w:lang w:eastAsia="zh-CN"/>
        </w:rPr>
        <w:t>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formidable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ramifications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114616">
        <w:rPr>
          <w:rFonts w:ascii="Book Antiqua" w:hAnsi="Book Antiqua" w:cs="Book Antiqua" w:hint="eastAsia"/>
          <w:color w:val="000000"/>
          <w:lang w:eastAsia="zh-CN"/>
        </w:rPr>
        <w:t>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(MIDH)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comparatively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easier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transition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feasibility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reproducibility.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unanswered.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114616">
        <w:rPr>
          <w:rFonts w:ascii="Book Antiqua" w:hAnsi="Book Antiqua" w:cs="Book Antiqua" w:hint="eastAsia"/>
          <w:color w:val="000000"/>
          <w:lang w:eastAsia="zh-CN"/>
        </w:rPr>
        <w:t>DH</w:t>
      </w:r>
      <w:r>
        <w:rPr>
          <w:rFonts w:ascii="Book Antiqua" w:eastAsia="Book Antiqua" w:hAnsi="Book Antiqua" w:cs="Book Antiqua"/>
          <w:color w:val="000000"/>
        </w:rPr>
        <w:t>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role.</w:t>
      </w:r>
    </w:p>
    <w:bookmarkEnd w:id="25"/>
    <w:bookmarkEnd w:id="26"/>
    <w:p w14:paraId="4CA1AC5C" w14:textId="77777777" w:rsidR="00A77B3E" w:rsidRDefault="00A77B3E">
      <w:pPr>
        <w:spacing w:line="360" w:lineRule="auto"/>
        <w:jc w:val="both"/>
      </w:pPr>
    </w:p>
    <w:p w14:paraId="715E19F0" w14:textId="6167F819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527"/>
      <w:bookmarkStart w:id="30" w:name="OLE_LINK528"/>
      <w:bookmarkStart w:id="31" w:name="OLE_LINK533"/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>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</w:rPr>
        <w:t>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invasive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surge</w:t>
      </w:r>
      <w:r>
        <w:rPr>
          <w:rFonts w:ascii="Book Antiqua" w:eastAsia="Book Antiqua" w:hAnsi="Book Antiqua" w:cs="Book Antiqua"/>
          <w:color w:val="000000"/>
        </w:rPr>
        <w:t>ry;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bookmarkEnd w:id="29"/>
      <w:bookmarkEnd w:id="30"/>
      <w:bookmarkEnd w:id="31"/>
    </w:p>
    <w:p w14:paraId="6DD140A8" w14:textId="77777777" w:rsidR="00423F4A" w:rsidRDefault="00423F4A" w:rsidP="00423F4A">
      <w:pPr>
        <w:spacing w:line="360" w:lineRule="auto"/>
        <w:jc w:val="both"/>
        <w:rPr>
          <w:lang w:eastAsia="zh-CN"/>
        </w:rPr>
      </w:pPr>
      <w:bookmarkStart w:id="32" w:name="OLE_LINK529"/>
      <w:bookmarkStart w:id="33" w:name="OLE_LINK530"/>
    </w:p>
    <w:p w14:paraId="0FAA6C43" w14:textId="77777777" w:rsidR="00423F4A" w:rsidRDefault="00423F4A" w:rsidP="00423F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8080A4D" w14:textId="77777777" w:rsidR="00423F4A" w:rsidRDefault="00423F4A" w:rsidP="00423F4A">
      <w:pPr>
        <w:spacing w:line="360" w:lineRule="auto"/>
        <w:jc w:val="both"/>
        <w:rPr>
          <w:lang w:eastAsia="zh-CN"/>
        </w:rPr>
      </w:pPr>
    </w:p>
    <w:p w14:paraId="6B0FC60D" w14:textId="39C0CB86" w:rsidR="00B970C3" w:rsidRDefault="00423F4A" w:rsidP="00423F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Rammohan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A,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Rela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M.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hepat</w:t>
      </w:r>
      <w:r w:rsidR="00A76A1C">
        <w:rPr>
          <w:rFonts w:ascii="Book Antiqua" w:eastAsia="Book Antiqua" w:hAnsi="Book Antiqua" w:cs="Book Antiqua"/>
          <w:color w:val="000000"/>
        </w:rPr>
        <w:t>ectomy: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we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there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02F06">
        <w:rPr>
          <w:rFonts w:ascii="Book Antiqua" w:eastAsia="Book Antiqua" w:hAnsi="Book Antiqua" w:cs="Book Antiqua"/>
          <w:color w:val="000000"/>
        </w:rPr>
        <w:t>yet</w:t>
      </w:r>
      <w:r w:rsidR="00A76A1C">
        <w:rPr>
          <w:rFonts w:ascii="Book Antiqua" w:eastAsia="Book Antiqua" w:hAnsi="Book Antiqua" w:cs="Book Antiqua"/>
          <w:color w:val="000000"/>
        </w:rPr>
        <w:t>?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76A1C">
        <w:rPr>
          <w:rFonts w:ascii="Book Antiqua" w:eastAsia="Book Antiqua" w:hAnsi="Book Antiqua" w:cs="Book Antiqua"/>
          <w:color w:val="000000"/>
        </w:rPr>
        <w:t>2021;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C173AE" w:rsidRPr="00C173AE">
        <w:rPr>
          <w:rFonts w:ascii="Book Antiqua" w:eastAsia="Book Antiqua" w:hAnsi="Book Antiqua" w:cs="Book Antiqua"/>
          <w:color w:val="000000"/>
        </w:rPr>
        <w:t>13(</w:t>
      </w:r>
      <w:r w:rsidR="00C173AE">
        <w:rPr>
          <w:rFonts w:ascii="Book Antiqua" w:hAnsi="Book Antiqua" w:cs="Book Antiqua" w:hint="eastAsia"/>
          <w:color w:val="000000"/>
          <w:lang w:eastAsia="zh-CN"/>
        </w:rPr>
        <w:t>7</w:t>
      </w:r>
      <w:r w:rsidR="00C173AE" w:rsidRPr="00C173AE">
        <w:rPr>
          <w:rFonts w:ascii="Book Antiqua" w:eastAsia="Book Antiqua" w:hAnsi="Book Antiqua" w:cs="Book Antiqua"/>
          <w:color w:val="000000"/>
        </w:rPr>
        <w:t xml:space="preserve">): </w:t>
      </w:r>
      <w:r w:rsidR="00B970C3" w:rsidRPr="00B970C3">
        <w:rPr>
          <w:rFonts w:ascii="Book Antiqua" w:eastAsia="Book Antiqua" w:hAnsi="Book Antiqua" w:cs="Book Antiqua"/>
          <w:color w:val="000000"/>
        </w:rPr>
        <w:t>668-677</w:t>
      </w:r>
      <w:r w:rsidR="00C173AE" w:rsidRPr="00C173AE">
        <w:rPr>
          <w:rFonts w:ascii="Book Antiqua" w:eastAsia="Book Antiqua" w:hAnsi="Book Antiqua" w:cs="Book Antiqua"/>
          <w:color w:val="000000"/>
        </w:rPr>
        <w:t xml:space="preserve"> </w:t>
      </w:r>
    </w:p>
    <w:p w14:paraId="1468A94D" w14:textId="50822C82" w:rsidR="00B970C3" w:rsidRDefault="00C173AE" w:rsidP="00423F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173AE">
        <w:rPr>
          <w:rFonts w:ascii="Book Antiqua" w:eastAsia="Book Antiqua" w:hAnsi="Book Antiqua" w:cs="Book Antiqua"/>
          <w:color w:val="000000"/>
        </w:rPr>
        <w:t>URL: https://www.wjgnet.com/1948-9366/full/v13/i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C173AE">
        <w:rPr>
          <w:rFonts w:ascii="Book Antiqua" w:eastAsia="Book Antiqua" w:hAnsi="Book Antiqua" w:cs="Book Antiqua"/>
          <w:color w:val="000000"/>
        </w:rPr>
        <w:t>/</w:t>
      </w:r>
      <w:r w:rsidR="00B970C3" w:rsidRPr="00B970C3">
        <w:rPr>
          <w:rFonts w:ascii="Book Antiqua" w:eastAsia="Book Antiqua" w:hAnsi="Book Antiqua" w:cs="Book Antiqua"/>
          <w:color w:val="000000"/>
        </w:rPr>
        <w:t>668</w:t>
      </w:r>
      <w:r w:rsidRPr="00C173AE">
        <w:rPr>
          <w:rFonts w:ascii="Book Antiqua" w:eastAsia="Book Antiqua" w:hAnsi="Book Antiqua" w:cs="Book Antiqua"/>
          <w:color w:val="000000"/>
        </w:rPr>
        <w:t xml:space="preserve">.htm  </w:t>
      </w:r>
    </w:p>
    <w:p w14:paraId="62453151" w14:textId="2FD221D6" w:rsidR="00A77B3E" w:rsidRDefault="00C173AE" w:rsidP="00423F4A">
      <w:pPr>
        <w:spacing w:line="360" w:lineRule="auto"/>
        <w:jc w:val="both"/>
      </w:pPr>
      <w:r w:rsidRPr="00C173AE">
        <w:rPr>
          <w:rFonts w:ascii="Book Antiqua" w:eastAsia="Book Antiqua" w:hAnsi="Book Antiqua" w:cs="Book Antiqua"/>
          <w:color w:val="000000"/>
        </w:rPr>
        <w:t>DOI: https://dx.doi.org/10.4240/wjgs.v13.i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C173AE">
        <w:rPr>
          <w:rFonts w:ascii="Book Antiqua" w:eastAsia="Book Antiqua" w:hAnsi="Book Antiqua" w:cs="Book Antiqua"/>
          <w:color w:val="000000"/>
        </w:rPr>
        <w:t>.</w:t>
      </w:r>
      <w:r w:rsidR="00B970C3" w:rsidRPr="00B970C3">
        <w:rPr>
          <w:rFonts w:ascii="Book Antiqua" w:eastAsia="Book Antiqua" w:hAnsi="Book Antiqua" w:cs="Book Antiqua"/>
          <w:color w:val="000000"/>
        </w:rPr>
        <w:t>668</w:t>
      </w:r>
    </w:p>
    <w:bookmarkEnd w:id="32"/>
    <w:bookmarkEnd w:id="33"/>
    <w:p w14:paraId="1381D163" w14:textId="77777777" w:rsidR="00A77B3E" w:rsidRDefault="00A77B3E">
      <w:pPr>
        <w:spacing w:line="360" w:lineRule="auto"/>
        <w:jc w:val="both"/>
      </w:pPr>
    </w:p>
    <w:p w14:paraId="764A7816" w14:textId="662C378C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4" w:name="OLE_LINK531"/>
      <w:bookmarkStart w:id="35" w:name="OLE_LINK532"/>
      <w:r>
        <w:rPr>
          <w:rFonts w:ascii="Book Antiqua" w:eastAsia="Book Antiqua" w:hAnsi="Book Antiqua" w:cs="Book Antiqua"/>
          <w:color w:val="000000"/>
        </w:rPr>
        <w:t>While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pioneering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untoward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progress.</w:t>
      </w:r>
    </w:p>
    <w:bookmarkEnd w:id="34"/>
    <w:bookmarkEnd w:id="35"/>
    <w:p w14:paraId="21EDDBE1" w14:textId="77777777" w:rsidR="00A77B3E" w:rsidRDefault="007E14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76A1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D191231" w14:textId="7054A035" w:rsidR="00A77B3E" w:rsidRDefault="00A76A1C">
      <w:pPr>
        <w:spacing w:line="360" w:lineRule="auto"/>
        <w:jc w:val="both"/>
      </w:pPr>
      <w:bookmarkStart w:id="36" w:name="OLE_LINK540"/>
      <w:bookmarkStart w:id="37" w:name="OLE_LINK541"/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(MIS).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undeniable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specialties,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surgeon’s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armamentarium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(MIH)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unequivocally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,6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DBB846" w14:textId="0B9D2A9F" w:rsidR="00A77B3E" w:rsidRPr="00871DEE" w:rsidRDefault="00A76A1C" w:rsidP="0011461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(LDLT),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paramount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114616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-40%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(ODH)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(hernia,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60CB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esteem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(LD),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grievance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MIH,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intuitive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purported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(DH)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realms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14616">
        <w:rPr>
          <w:rFonts w:ascii="Book Antiqua" w:hAnsi="Book Antiqua" w:cs="Book Antiqua" w:hint="eastAsia"/>
          <w:color w:val="000000"/>
          <w:lang w:eastAsia="zh-CN"/>
        </w:rPr>
        <w:t>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(MIDH)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formidable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[5,6,1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ramifications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slow.</w:t>
      </w:r>
    </w:p>
    <w:p w14:paraId="5938FA12" w14:textId="5FE33D48" w:rsidR="00A77B3E" w:rsidRDefault="00A76A1C" w:rsidP="00C25C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purported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>.,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unanswered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5777E">
        <w:rPr>
          <w:rFonts w:ascii="Book Antiqua" w:hAnsi="Book Antiqua" w:cs="Book Antiqua" w:hint="eastAsia"/>
          <w:color w:val="000000"/>
          <w:lang w:eastAsia="zh-CN"/>
        </w:rPr>
        <w:t>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(RDH),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role.</w:t>
      </w:r>
    </w:p>
    <w:bookmarkEnd w:id="36"/>
    <w:bookmarkEnd w:id="37"/>
    <w:p w14:paraId="79DE578E" w14:textId="77777777" w:rsidR="00A77B3E" w:rsidRDefault="00A77B3E">
      <w:pPr>
        <w:spacing w:line="360" w:lineRule="auto"/>
        <w:jc w:val="both"/>
      </w:pPr>
    </w:p>
    <w:p w14:paraId="61D1ECAD" w14:textId="23BCD08E" w:rsidR="00A77B3E" w:rsidRPr="00A5777E" w:rsidRDefault="00A76A1C">
      <w:pPr>
        <w:spacing w:line="360" w:lineRule="auto"/>
        <w:jc w:val="both"/>
        <w:rPr>
          <w:lang w:eastAsia="zh-CN"/>
        </w:rPr>
      </w:pPr>
      <w:bookmarkStart w:id="38" w:name="OLE_LINK542"/>
      <w:bookmarkStart w:id="39" w:name="OLE_LINK543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EVOLUTION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MIDH</w:t>
      </w:r>
    </w:p>
    <w:bookmarkEnd w:id="38"/>
    <w:bookmarkEnd w:id="39"/>
    <w:p w14:paraId="4D71A00F" w14:textId="05B42135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Ratner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12F47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712F4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Buoyed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unequivocal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(Cherqui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Soubrane)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(CLDH)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Notwithstanding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proponents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(laparoscopy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paediatric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712F47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12F47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960C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12F4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LT</w:t>
      </w:r>
      <w:r w:rsidR="00712F47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,2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,2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,2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flatten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Illinois-Chicago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pioneered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nephrectomy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378A8"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378A8"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proficiency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C32503" w:rsidRPr="00C32503">
        <w:rPr>
          <w:rFonts w:ascii="Book Antiqua" w:eastAsia="Book Antiqua" w:hAnsi="Book Antiqua" w:cs="Book Antiqua"/>
          <w:color w:val="000000"/>
        </w:rPr>
        <w:t>Giulianotti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07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4A0709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29</w:t>
      </w:r>
      <w:r w:rsidR="004A0709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Saudi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Arabia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,2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1638EB" w14:textId="77777777" w:rsidR="00A77B3E" w:rsidRDefault="00A77B3E">
      <w:pPr>
        <w:spacing w:line="360" w:lineRule="auto"/>
        <w:jc w:val="both"/>
      </w:pPr>
    </w:p>
    <w:p w14:paraId="3E923E34" w14:textId="6FF1B88B" w:rsidR="00A77B3E" w:rsidRDefault="00A76A1C">
      <w:pPr>
        <w:spacing w:line="360" w:lineRule="auto"/>
        <w:jc w:val="both"/>
      </w:pPr>
      <w:bookmarkStart w:id="40" w:name="OLE_LINK544"/>
      <w:bookmarkStart w:id="41" w:name="OLE_LINK545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MIDH</w:t>
      </w:r>
    </w:p>
    <w:bookmarkEnd w:id="40"/>
    <w:bookmarkEnd w:id="41"/>
    <w:p w14:paraId="0B691887" w14:textId="2B6B9E92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intraoperative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magnified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378A8">
        <w:rPr>
          <w:rFonts w:ascii="Book Antiqua" w:eastAsia="Book Antiqua" w:hAnsi="Book Antiqua" w:cs="Book Antiqua"/>
          <w:color w:val="000000"/>
        </w:rPr>
        <w:t>which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pneumoperitoneum,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intraabdominal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C32503"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</w:p>
    <w:p w14:paraId="59DE9908" w14:textId="5AAF16FC" w:rsidR="00A77B3E" w:rsidRPr="00C32503" w:rsidRDefault="00A76A1C" w:rsidP="00C3250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Post-operative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morphine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[1,6,3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liver-specific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</w:t>
      </w:r>
      <w:r w:rsidR="00960CB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C32503" w:rsidRPr="00C32503">
        <w:rPr>
          <w:rFonts w:ascii="Book Antiqua" w:eastAsia="Book Antiqua" w:hAnsi="Book Antiqua" w:cs="Book Antiqua"/>
          <w:i/>
          <w:color w:val="000000"/>
        </w:rPr>
        <w:t>vs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MIDH).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Cosmesis,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absenteeism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(keloid</w:t>
      </w:r>
      <w:r w:rsidR="00960CB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>.</w:t>
      </w:r>
      <w:r w:rsidR="00C32503">
        <w:rPr>
          <w:rFonts w:ascii="Book Antiqua" w:eastAsia="Book Antiqua" w:hAnsi="Book Antiqua" w:cs="Book Antiqua"/>
          <w:color w:val="000000"/>
        </w:rPr>
        <w:t>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favored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[1,6,3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midline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C3250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BA1A544" w14:textId="0A11BA7C" w:rsidR="00A77B3E" w:rsidRDefault="00A76A1C" w:rsidP="008B5A8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(LLS)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nephrectomy,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mindset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</w:t>
      </w:r>
      <w:r w:rsidR="00D932D6">
        <w:rPr>
          <w:rFonts w:ascii="Book Antiqua" w:eastAsia="Book Antiqua" w:hAnsi="Book Antiqua" w:cs="Book Antiqua"/>
          <w:color w:val="000000"/>
        </w:rPr>
        <w:t>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morbidity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90</w:t>
      </w:r>
      <w:r w:rsidR="00592EA3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[1,6,3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non-function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</w:p>
    <w:p w14:paraId="134E07FC" w14:textId="652BE0F7" w:rsidR="00A77B3E" w:rsidRDefault="00A76A1C" w:rsidP="00D932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When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Clavien-Dindo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3b-5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92E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stapler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(early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4%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39%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21%,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fulltext-it"/>
          <w:rFonts w:ascii="Book Antiqua" w:eastAsia="Book Antiqua" w:hAnsi="Book Antiqua" w:cs="Book Antiqua"/>
          <w:i/>
          <w:iCs/>
          <w:color w:val="000000"/>
        </w:rPr>
        <w:t>P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[2,6,3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proctored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MIDH.</w:t>
      </w:r>
    </w:p>
    <w:p w14:paraId="3394FFB3" w14:textId="5939A0AE" w:rsidR="00A77B3E" w:rsidRDefault="00A76A1C" w:rsidP="00D932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conceded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anecdotal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fallacy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“ideal”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Idiosyncrasies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378A8"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multicenter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randomized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realistic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</w:p>
    <w:p w14:paraId="762255DC" w14:textId="77777777" w:rsidR="00A77B3E" w:rsidRDefault="00A77B3E">
      <w:pPr>
        <w:spacing w:line="360" w:lineRule="auto"/>
        <w:jc w:val="both"/>
      </w:pPr>
    </w:p>
    <w:p w14:paraId="1E44BEFA" w14:textId="05CB856E" w:rsidR="00A77B3E" w:rsidRDefault="00A76A1C">
      <w:pPr>
        <w:spacing w:line="360" w:lineRule="auto"/>
        <w:jc w:val="both"/>
      </w:pPr>
      <w:bookmarkStart w:id="42" w:name="OLE_LINK546"/>
      <w:bookmarkStart w:id="43" w:name="OLE_LINK547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CHALLENGES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MIDH</w:t>
      </w:r>
    </w:p>
    <w:bookmarkEnd w:id="42"/>
    <w:bookmarkEnd w:id="43"/>
    <w:p w14:paraId="4E5F3F95" w14:textId="1DA32468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tackling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myriad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variations,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minimize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congestion/</w:t>
      </w:r>
      <w:r w:rsidR="0092215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hemostasis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amalgamating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propagation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handful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specialized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globe.</w:t>
      </w:r>
    </w:p>
    <w:p w14:paraId="37170AE6" w14:textId="70E89210" w:rsidR="00A77B3E" w:rsidRDefault="00A76A1C" w:rsidP="00D932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precipitous.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transplant-laparoscopic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allied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09F63F" w14:textId="70CB754F" w:rsidR="00A77B3E" w:rsidRDefault="00A76A1C" w:rsidP="00D932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realized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remembered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tenet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rationalized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5777E">
        <w:rPr>
          <w:rFonts w:ascii="Book Antiqua" w:hAnsi="Book Antiqua" w:cs="Book Antiqua" w:hint="eastAsia"/>
          <w:color w:val="000000"/>
          <w:lang w:eastAsia="zh-CN"/>
        </w:rPr>
        <w:t>DH</w:t>
      </w:r>
      <w:r>
        <w:rPr>
          <w:rFonts w:ascii="Book Antiqua" w:eastAsia="Book Antiqua" w:hAnsi="Book Antiqua" w:cs="Book Antiqua"/>
          <w:color w:val="000000"/>
        </w:rPr>
        <w:t>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well-defined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</w:p>
    <w:p w14:paraId="3B387673" w14:textId="29FBCC01" w:rsidR="00A77B3E" w:rsidRDefault="00A76A1C" w:rsidP="00D932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unit’s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program.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592EA3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embarking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invariably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favorable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unanimously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ill-defined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</w:t>
      </w:r>
      <w:r w:rsidR="00D932D6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-40%).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A5777E">
        <w:rPr>
          <w:rFonts w:ascii="Book Antiqua" w:hAnsi="Book Antiqua" w:cs="Book Antiqua" w:hint="eastAsia"/>
          <w:color w:val="000000"/>
          <w:lang w:eastAsia="zh-CN"/>
        </w:rPr>
        <w:t>DH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 w:rsidRPr="00D932D6">
        <w:rPr>
          <w:rFonts w:ascii="Book Antiqua" w:eastAsia="Book Antiqua" w:hAnsi="Book Antiqua" w:cs="Book Antiqua"/>
          <w:color w:val="000000"/>
        </w:rPr>
        <w:t>hepatocellular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 w:rsidRPr="00D932D6">
        <w:rPr>
          <w:rFonts w:ascii="Book Antiqua" w:eastAsia="Book Antiqua" w:hAnsi="Book Antiqua" w:cs="Book Antiqua"/>
          <w:color w:val="000000"/>
        </w:rPr>
        <w:t>carcinoma</w:t>
      </w:r>
      <w:r w:rsidR="00960CB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intuitively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D932D6"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accruing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centers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</w:p>
    <w:p w14:paraId="0024F006" w14:textId="77777777" w:rsidR="00A77B3E" w:rsidRDefault="00A77B3E">
      <w:pPr>
        <w:spacing w:line="360" w:lineRule="auto"/>
        <w:jc w:val="both"/>
      </w:pPr>
    </w:p>
    <w:p w14:paraId="2418CC48" w14:textId="02A848C2" w:rsidR="00A77B3E" w:rsidRPr="00A5777E" w:rsidRDefault="00A76A1C">
      <w:pPr>
        <w:spacing w:line="360" w:lineRule="auto"/>
        <w:jc w:val="both"/>
        <w:rPr>
          <w:lang w:eastAsia="zh-CN"/>
        </w:rPr>
      </w:pPr>
      <w:bookmarkStart w:id="44" w:name="OLE_LINK548"/>
      <w:bookmarkStart w:id="45" w:name="OLE_LINK54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ADVANTAGES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RDH</w:t>
      </w:r>
    </w:p>
    <w:bookmarkEnd w:id="44"/>
    <w:bookmarkEnd w:id="45"/>
    <w:p w14:paraId="66619F2D" w14:textId="1688EF25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“open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surgeon”.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handling,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pre-requisites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stump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Obviating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clipping,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millimeters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sides;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intraoperative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4C1B69">
        <w:rPr>
          <w:rFonts w:ascii="Book Antiqua" w:eastAsia="Book Antiqua" w:hAnsi="Book Antiqua" w:cs="Book Antiqua"/>
          <w:color w:val="000000"/>
        </w:rPr>
        <w:t>indocyanine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hAnsi="Book Antiqua" w:cs="Book Antiqua" w:hint="eastAsia"/>
          <w:color w:val="000000"/>
          <w:lang w:eastAsia="zh-CN"/>
        </w:rPr>
        <w:t>I</w:t>
      </w:r>
      <w:r w:rsidR="00D932D6" w:rsidRPr="00D932D6">
        <w:rPr>
          <w:rFonts w:ascii="Book Antiqua" w:eastAsia="Book Antiqua" w:hAnsi="Book Antiqua" w:cs="Book Antiqua"/>
          <w:color w:val="000000"/>
        </w:rPr>
        <w:t>ndocyanine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 w:rsidRPr="00D932D6">
        <w:rPr>
          <w:rFonts w:ascii="Book Antiqua" w:eastAsia="Book Antiqua" w:hAnsi="Book Antiqua" w:cs="Book Antiqua"/>
          <w:color w:val="000000"/>
        </w:rPr>
        <w:t>green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ischemic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demarcation,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ischemic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247257" w14:textId="007C8DD9" w:rsidR="00A77B3E" w:rsidRDefault="00A76A1C" w:rsidP="00D932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Surgeons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recognize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dexterity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</w:t>
      </w:r>
      <w:r w:rsidR="00D932D6">
        <w:rPr>
          <w:rFonts w:ascii="Book Antiqua" w:eastAsia="Book Antiqua" w:hAnsi="Book Antiqua" w:cs="Book Antiqua"/>
          <w:color w:val="000000"/>
        </w:rPr>
        <w:t>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932D6">
        <w:rPr>
          <w:rFonts w:ascii="Book Antiqua" w:eastAsia="Book Antiqua" w:hAnsi="Book Antiqua" w:cs="Book Antiqua"/>
          <w:color w:val="000000"/>
        </w:rPr>
        <w:t>CLDH.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,3</w:t>
      </w:r>
      <w:r w:rsidR="00D81FF3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enormous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acquainted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reinventing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circumvent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steep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</w:p>
    <w:p w14:paraId="73434A25" w14:textId="1E4B2088" w:rsidR="00A77B3E" w:rsidRPr="005F67EF" w:rsidRDefault="00A76A1C" w:rsidP="00D932D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Literature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D932D6">
        <w:rPr>
          <w:rFonts w:ascii="Book Antiqua" w:hAnsi="Book Antiqua" w:cs="Book Antiqua" w:hint="eastAsia"/>
          <w:color w:val="000000"/>
          <w:lang w:eastAsia="zh-CN"/>
        </w:rPr>
        <w:t>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Saudi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Arabia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recipient’s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2668A">
        <w:rPr>
          <w:rFonts w:ascii="Book Antiqua" w:eastAsia="Book Antiqua" w:hAnsi="Book Antiqua" w:cs="Book Antiqua"/>
          <w:color w:val="000000"/>
        </w:rPr>
        <w:t>vascular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2668A">
        <w:rPr>
          <w:rFonts w:ascii="Book Antiqua" w:eastAsia="Book Antiqua" w:hAnsi="Book Antiqua" w:cs="Book Antiqua"/>
          <w:color w:val="000000"/>
        </w:rPr>
        <w:t>complications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92668A">
        <w:rPr>
          <w:rFonts w:ascii="Book Antiqua" w:eastAsia="Book Antiqua" w:hAnsi="Book Antiqua" w:cs="Book Antiqua"/>
          <w:color w:val="000000"/>
        </w:rPr>
        <w:t>rates.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Troisi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0C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2668A"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92668A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efficacious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specialized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ignored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8065C6" w14:textId="77777777" w:rsidR="00A77B3E" w:rsidRDefault="00A77B3E">
      <w:pPr>
        <w:spacing w:line="360" w:lineRule="auto"/>
        <w:jc w:val="both"/>
      </w:pPr>
    </w:p>
    <w:p w14:paraId="13CD5258" w14:textId="0BEFFF3A" w:rsidR="00A77B3E" w:rsidRDefault="00A76A1C">
      <w:pPr>
        <w:spacing w:line="360" w:lineRule="auto"/>
        <w:jc w:val="both"/>
      </w:pPr>
      <w:bookmarkStart w:id="46" w:name="OLE_LINK550"/>
      <w:bookmarkStart w:id="47" w:name="OLE_LINK55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LIMITATIONS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AND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60CB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RDH</w:t>
      </w:r>
    </w:p>
    <w:p w14:paraId="46DCC5B9" w14:textId="52696754" w:rsidR="00A77B3E" w:rsidRPr="00DF2958" w:rsidRDefault="00A76A1C">
      <w:pPr>
        <w:spacing w:line="360" w:lineRule="auto"/>
        <w:jc w:val="both"/>
        <w:rPr>
          <w:lang w:eastAsia="zh-CN"/>
        </w:rPr>
      </w:pPr>
      <w:bookmarkStart w:id="48" w:name="OLE_LINK552"/>
      <w:bookmarkStart w:id="49" w:name="OLE_LINK553"/>
      <w:bookmarkEnd w:id="46"/>
      <w:bookmarkEnd w:id="47"/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</w:t>
      </w:r>
      <w:r w:rsidR="00960CB4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Morioka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Southampton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consumables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,3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three-fold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($13436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$5019,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escalated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hindered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</w:p>
    <w:p w14:paraId="1E9A1630" w14:textId="5948D2C2" w:rsidR="00A77B3E" w:rsidRDefault="00A76A1C" w:rsidP="005F67E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Both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infancy.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seemingly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trivial,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vexing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novice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cumbersome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undock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MIDH,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CLDH,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inexperienced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fraught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F2958">
        <w:rPr>
          <w:rFonts w:ascii="Book Antiqua" w:eastAsia="Book Antiqua" w:hAnsi="Book Antiqua" w:cs="Book Antiqua"/>
          <w:color w:val="000000"/>
        </w:rPr>
        <w:t>cavitron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F2958">
        <w:rPr>
          <w:rFonts w:ascii="Book Antiqua" w:eastAsia="Book Antiqua" w:hAnsi="Book Antiqua" w:cs="Book Antiqua"/>
          <w:color w:val="000000"/>
        </w:rPr>
        <w:t>ultrasonic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F2958">
        <w:rPr>
          <w:rFonts w:ascii="Book Antiqua" w:eastAsia="Book Antiqua" w:hAnsi="Book Antiqua" w:cs="Book Antiqua"/>
          <w:color w:val="000000"/>
        </w:rPr>
        <w:t>suction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F2958">
        <w:rPr>
          <w:rFonts w:ascii="Book Antiqua" w:eastAsia="Book Antiqua" w:hAnsi="Book Antiqua" w:cs="Book Antiqua"/>
          <w:color w:val="000000"/>
        </w:rPr>
        <w:t>aspirator.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event,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1851E9F6" w14:textId="08A5F632" w:rsidR="00A77B3E" w:rsidRDefault="00A76A1C" w:rsidP="00DF29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Vinci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(Intuitive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21FB6"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21FB6">
        <w:rPr>
          <w:rFonts w:ascii="Book Antiqua" w:eastAsia="Book Antiqua" w:hAnsi="Book Antiqua" w:cs="Book Antiqua"/>
          <w:color w:val="000000"/>
        </w:rPr>
        <w:t>Inc.,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21FB6">
        <w:rPr>
          <w:rFonts w:ascii="Book Antiqua" w:eastAsia="Book Antiqua" w:hAnsi="Book Antiqua" w:cs="Book Antiqua"/>
          <w:color w:val="000000"/>
        </w:rPr>
        <w:t>Milford,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21FB6">
        <w:rPr>
          <w:rFonts w:ascii="Book Antiqua" w:eastAsia="Book Antiqua" w:hAnsi="Book Antiqua" w:cs="Book Antiqua"/>
          <w:color w:val="000000"/>
        </w:rPr>
        <w:t>CT,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21FB6">
        <w:rPr>
          <w:rFonts w:ascii="Book Antiqua" w:eastAsia="Book Antiqua" w:hAnsi="Book Antiqua" w:cs="Book Antiqua"/>
          <w:color w:val="000000"/>
        </w:rPr>
        <w:t>U</w:t>
      </w:r>
      <w:r w:rsidR="00521FB6">
        <w:rPr>
          <w:rFonts w:ascii="Book Antiqua" w:hAnsi="Book Antiqua" w:cs="Book Antiqua" w:hint="eastAsia"/>
          <w:color w:val="000000"/>
          <w:lang w:eastAsia="zh-CN"/>
        </w:rPr>
        <w:t>nited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21FB6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polarization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company.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arena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960CB4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CB3CC5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centers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specialized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center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generalizability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</w:p>
    <w:bookmarkEnd w:id="48"/>
    <w:bookmarkEnd w:id="49"/>
    <w:p w14:paraId="19893087" w14:textId="77777777" w:rsidR="00A77B3E" w:rsidRDefault="00A77B3E">
      <w:pPr>
        <w:spacing w:line="360" w:lineRule="auto"/>
        <w:jc w:val="both"/>
      </w:pPr>
    </w:p>
    <w:p w14:paraId="3F175A53" w14:textId="77777777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F0ED3A" w14:textId="60C5891B" w:rsidR="00A77B3E" w:rsidRDefault="00A76A1C">
      <w:pPr>
        <w:spacing w:line="360" w:lineRule="auto"/>
        <w:jc w:val="both"/>
      </w:pPr>
      <w:bookmarkStart w:id="50" w:name="OLE_LINK554"/>
      <w:bookmarkStart w:id="51" w:name="OLE_LINK555"/>
      <w:r>
        <w:rPr>
          <w:rFonts w:ascii="Book Antiqua" w:eastAsia="Book Antiqua" w:hAnsi="Book Antiqua" w:cs="Book Antiqua"/>
          <w:color w:val="000000"/>
        </w:rPr>
        <w:t>While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pioneering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592EA3">
        <w:rPr>
          <w:rFonts w:ascii="Book Antiqua" w:eastAsia="Book Antiqua" w:hAnsi="Book Antiqua" w:cs="Book Antiqua"/>
          <w:color w:val="000000"/>
        </w:rPr>
        <w:t>centers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tremendous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arduous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fraught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transection.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cautious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untoward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</w:p>
    <w:bookmarkEnd w:id="50"/>
    <w:bookmarkEnd w:id="51"/>
    <w:p w14:paraId="1EC9CA6D" w14:textId="77777777" w:rsidR="00A77B3E" w:rsidRDefault="00A77B3E">
      <w:pPr>
        <w:spacing w:line="360" w:lineRule="auto"/>
        <w:jc w:val="both"/>
      </w:pPr>
    </w:p>
    <w:p w14:paraId="3E6770EB" w14:textId="77777777" w:rsidR="00A77B3E" w:rsidRPr="0065414A" w:rsidRDefault="00A76A1C" w:rsidP="006541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414A">
        <w:rPr>
          <w:rFonts w:ascii="Book Antiqua" w:eastAsia="Book Antiqua" w:hAnsi="Book Antiqua" w:cs="Book Antiqua"/>
          <w:b/>
        </w:rPr>
        <w:t>REFERENCES</w:t>
      </w:r>
    </w:p>
    <w:p w14:paraId="2163BF7D" w14:textId="4CB720A7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52" w:name="OLE_LINK556"/>
      <w:bookmarkStart w:id="53" w:name="OLE_LINK557"/>
      <w:r w:rsidRPr="0065414A">
        <w:rPr>
          <w:rFonts w:ascii="Book Antiqua" w:hAnsi="Book Antiqua"/>
        </w:rPr>
        <w:lastRenderedPageBreak/>
        <w:t>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Zhang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B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Maher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Zhu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Zhu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YB,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Dai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Cai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XJ.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Laparoscopy-Assisted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versus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Open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Systematic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Review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Meta-Analysis.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Can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Gastroenterol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Hepatol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2017;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2017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2956749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29238704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10.1155/2017/2956749]</w:t>
      </w:r>
    </w:p>
    <w:p w14:paraId="0AB5E944" w14:textId="4C581A7E" w:rsidR="0065414A" w:rsidRPr="005D687F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65414A">
        <w:rPr>
          <w:rFonts w:ascii="Book Antiqua" w:hAnsi="Book Antiqua"/>
        </w:rPr>
        <w:t>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Suh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KS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Hong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KW,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Ahn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SW,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Yoon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KC,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Choi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Pure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Focus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55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undergoing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hepatectomy.</w:t>
      </w:r>
      <w:r w:rsidR="00960CB4">
        <w:rPr>
          <w:rFonts w:ascii="Book Antiqua" w:hAnsi="Book Antiqua"/>
        </w:rPr>
        <w:t xml:space="preserve"> </w:t>
      </w:r>
      <w:r w:rsidRPr="005D687F">
        <w:rPr>
          <w:rFonts w:ascii="Book Antiqua" w:hAnsi="Book Antiqua"/>
          <w:i/>
          <w:iCs/>
          <w:lang w:val="fr-FR"/>
        </w:rPr>
        <w:t>Am</w:t>
      </w:r>
      <w:r w:rsidR="00960CB4" w:rsidRPr="005D687F">
        <w:rPr>
          <w:rFonts w:ascii="Book Antiqua" w:hAnsi="Book Antiqua"/>
          <w:i/>
          <w:iCs/>
          <w:lang w:val="fr-FR"/>
        </w:rPr>
        <w:t xml:space="preserve"> </w:t>
      </w:r>
      <w:r w:rsidRPr="005D687F">
        <w:rPr>
          <w:rFonts w:ascii="Book Antiqua" w:hAnsi="Book Antiqua"/>
          <w:i/>
          <w:iCs/>
          <w:lang w:val="fr-FR"/>
        </w:rPr>
        <w:t>J</w:t>
      </w:r>
      <w:r w:rsidR="00960CB4" w:rsidRPr="005D687F">
        <w:rPr>
          <w:rFonts w:ascii="Book Antiqua" w:hAnsi="Book Antiqua"/>
          <w:i/>
          <w:iCs/>
          <w:lang w:val="fr-FR"/>
        </w:rPr>
        <w:t xml:space="preserve"> </w:t>
      </w:r>
      <w:r w:rsidRPr="005D687F">
        <w:rPr>
          <w:rFonts w:ascii="Book Antiqua" w:hAnsi="Book Antiqua"/>
          <w:i/>
          <w:iCs/>
          <w:lang w:val="fr-FR"/>
        </w:rPr>
        <w:t>Transplant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2018;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b/>
          <w:bCs/>
          <w:lang w:val="fr-FR"/>
        </w:rPr>
        <w:t>18</w:t>
      </w:r>
      <w:r w:rsidRPr="005D687F">
        <w:rPr>
          <w:rFonts w:ascii="Book Antiqua" w:hAnsi="Book Antiqua"/>
          <w:lang w:val="fr-FR"/>
        </w:rPr>
        <w:t>: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434-443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[PMID: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28787763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DOI: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10.1111/ajt.14455]</w:t>
      </w:r>
    </w:p>
    <w:p w14:paraId="7FC29AC9" w14:textId="33D84F6B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D687F">
        <w:rPr>
          <w:rFonts w:ascii="Book Antiqua" w:hAnsi="Book Antiqua"/>
          <w:lang w:val="fr-FR"/>
        </w:rPr>
        <w:t>3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b/>
          <w:bCs/>
          <w:lang w:val="fr-FR"/>
        </w:rPr>
        <w:t>Cheah</w:t>
      </w:r>
      <w:r w:rsidR="00960CB4" w:rsidRPr="005D687F">
        <w:rPr>
          <w:rFonts w:ascii="Book Antiqua" w:hAnsi="Book Antiqua"/>
          <w:b/>
          <w:bCs/>
          <w:lang w:val="fr-FR"/>
        </w:rPr>
        <w:t xml:space="preserve"> </w:t>
      </w:r>
      <w:r w:rsidRPr="005D687F">
        <w:rPr>
          <w:rFonts w:ascii="Book Antiqua" w:hAnsi="Book Antiqua"/>
          <w:b/>
          <w:bCs/>
          <w:lang w:val="fr-FR"/>
        </w:rPr>
        <w:t>YL</w:t>
      </w:r>
      <w:r w:rsidRPr="005D687F">
        <w:rPr>
          <w:rFonts w:ascii="Book Antiqua" w:hAnsi="Book Antiqua"/>
          <w:lang w:val="fr-FR"/>
        </w:rPr>
        <w:t>,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Simpson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MA,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Pomposelli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JJ,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Pomfret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EA.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65414A">
        <w:rPr>
          <w:rFonts w:ascii="Book Antiqua" w:hAnsi="Book Antiqua"/>
        </w:rPr>
        <w:t>Incidence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death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potentially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life-threatening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near-miss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events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lobectomy: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world-wide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survey.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Liver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2013;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19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499-50</w:t>
      </w:r>
      <w:r w:rsidR="00363EAA">
        <w:rPr>
          <w:rFonts w:ascii="Book Antiqua" w:hAnsi="Book Antiqua"/>
        </w:rPr>
        <w:t>6</w:t>
      </w:r>
      <w:r w:rsidR="00960CB4">
        <w:rPr>
          <w:rFonts w:ascii="Book Antiqua" w:hAnsi="Book Antiqua"/>
        </w:rPr>
        <w:t xml:space="preserve"> </w:t>
      </w:r>
      <w:r w:rsidR="00363EA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="00363EAA">
        <w:rPr>
          <w:rFonts w:ascii="Book Antiqua" w:hAnsi="Book Antiqua"/>
        </w:rPr>
        <w:t>23172840</w:t>
      </w:r>
      <w:r w:rsidR="00960CB4">
        <w:rPr>
          <w:rFonts w:ascii="Book Antiqua" w:hAnsi="Book Antiqua"/>
        </w:rPr>
        <w:t xml:space="preserve"> </w:t>
      </w:r>
      <w:r w:rsidR="00363EA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="00363EAA">
        <w:rPr>
          <w:rFonts w:ascii="Book Antiqua" w:hAnsi="Book Antiqua"/>
        </w:rPr>
        <w:t>10.1002/</w:t>
      </w:r>
      <w:r w:rsidR="00363EAA">
        <w:rPr>
          <w:rFonts w:ascii="Book Antiqua" w:hAnsi="Book Antiqua" w:hint="eastAsia"/>
        </w:rPr>
        <w:t>l</w:t>
      </w:r>
      <w:r w:rsidRPr="0065414A">
        <w:rPr>
          <w:rFonts w:ascii="Book Antiqua" w:hAnsi="Book Antiqua"/>
        </w:rPr>
        <w:t>t.23575]</w:t>
      </w:r>
    </w:p>
    <w:p w14:paraId="67B8FCFD" w14:textId="02818E82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Rotellar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F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Ciria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Wakabayashi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Shu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Cherqui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WS-MIDH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collaborative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group.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World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Survey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Minimally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Invasive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Global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Snapshot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Current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Practices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2370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Cases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association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with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Expert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Consensus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Clinical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Guidelines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Conference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MIDH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held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Seoul,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South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Korea,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September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7,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2019.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Transplantation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33586922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10.1097/TP.0000000000003680]</w:t>
      </w:r>
    </w:p>
    <w:p w14:paraId="3ECE6C5F" w14:textId="334700E5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Abu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Hilal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M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Aldrighetti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Dagher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Edwin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Troisi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Alikhanov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Aroori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Belli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Besselink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Briceno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Gayet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D'Hondt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Lesurtel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Menon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Lodge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Rotellar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Santoyo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Scatton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Soubrane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Sutcliffe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Dam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White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Halls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MC,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Cipriani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Poel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Ciria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Barkhatov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Gomez-Luque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Ocana-Garcia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Cook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Buell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Clavien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Dervenis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Fusai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Geller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Primrose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Taylor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Gulik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Wakabayashi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Asbun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Cherqui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Southampton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Consensus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Guidelines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Surgery: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From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Indication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Implementation.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Ann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2018;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268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11-18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29064908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10.1097/SLA.0000000000002524]</w:t>
      </w:r>
    </w:p>
    <w:p w14:paraId="10205906" w14:textId="05C7E9FC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Cherqui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D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Ciria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Kwon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CHD,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Broering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Wakabayashi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Samstein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Troisi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Rotellar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Soubrane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Briceño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Alconchel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Ayllón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MD,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Berardi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Cauchy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Luque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Hong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Yoon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Egawa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Lerut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Rela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Sapisochin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Expert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Consensus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Guidelines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Minimally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Invasive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Transplantation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From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Innovation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Implementation: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Joint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lastRenderedPageBreak/>
        <w:t>Initiative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From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International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Society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(ILLS)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Asian-Pacific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Hepato-Pancreato-Biliary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Association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(A-PHPBA).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Ann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2021;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273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96-108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33332874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10.1097/SLA.0000000000004475]</w:t>
      </w:r>
    </w:p>
    <w:p w14:paraId="4403ECDB" w14:textId="29A51890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Narasimhan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G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Safwan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Kota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Reddy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Bharathan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Dabora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Kaliamoorthy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Kanagavelu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Srinivasan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Rela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Outcomes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Transplantation-Analysis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275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From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Single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Centre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India.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Transplantation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2016;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100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1251-1256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27203592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10.1097/TP.0000000000001246]</w:t>
      </w:r>
    </w:p>
    <w:p w14:paraId="65A277CE" w14:textId="7A5A22B1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Rammohan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A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Reddy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Narasimhan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Rajalingam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Kaliamoorthy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Krishnan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Kanagavelu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Kota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Rela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Donors: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Still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Right?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World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2020;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44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2385-2393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32140761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10.1007/s00268-020-05446-w]</w:t>
      </w:r>
    </w:p>
    <w:p w14:paraId="24DB0968" w14:textId="0D5A6A28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Brige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P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Hery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Chopinet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Palen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Azoulay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Gregoire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Morbidity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mortality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lobe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donors: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systematic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review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perspectives.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Gastrointestin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Liver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Dis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2018;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27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169-178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29922762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10.15403/jgld.2014.1121.272.mor]</w:t>
      </w:r>
    </w:p>
    <w:p w14:paraId="0204A005" w14:textId="3955F580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10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Li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H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Zhang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JB,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XL,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Zheng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QL,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XM,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Different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techniques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harvesting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grafts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transplantation: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systematic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review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meta-analysis.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World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Gastroenterol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2017;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23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3730-3743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28611526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10.3748/wjg.v23.i20.3730]</w:t>
      </w:r>
    </w:p>
    <w:p w14:paraId="067B8D01" w14:textId="0CF8E43B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11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Au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KP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Chok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KSH.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Minimally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invasive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ready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prime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time?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World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Gastroenterol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2018;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24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2698-2709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29991875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10.3748/wjg.v24.i25.2698]</w:t>
      </w:r>
    </w:p>
    <w:p w14:paraId="4CDD00C8" w14:textId="28EBBB50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12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Sturdevant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ML</w:t>
      </w:r>
      <w:r w:rsidRPr="00960CB4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Zidan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Broering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Minimally-invasive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dawn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decade: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pick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up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pace?</w:t>
      </w:r>
      <w:r w:rsidR="00960CB4">
        <w:rPr>
          <w:rFonts w:ascii="Book Antiqua" w:hAnsi="Book Antiqua"/>
        </w:rPr>
        <w:t xml:space="preserve"> </w:t>
      </w:r>
      <w:r w:rsidRPr="00363EAA">
        <w:rPr>
          <w:rFonts w:ascii="Book Antiqua" w:hAnsi="Book Antiqua"/>
          <w:i/>
        </w:rPr>
        <w:t>Dig</w:t>
      </w:r>
      <w:r w:rsidR="00960CB4">
        <w:rPr>
          <w:rFonts w:ascii="Book Antiqua" w:hAnsi="Book Antiqua"/>
          <w:i/>
        </w:rPr>
        <w:t xml:space="preserve"> </w:t>
      </w:r>
      <w:r w:rsidRPr="00363EAA">
        <w:rPr>
          <w:rFonts w:ascii="Book Antiqua" w:hAnsi="Book Antiqua"/>
          <w:i/>
        </w:rPr>
        <w:t>Med</w:t>
      </w:r>
      <w:r w:rsidR="00960CB4">
        <w:rPr>
          <w:rFonts w:ascii="Book Antiqua" w:hAnsi="Book Antiqua"/>
          <w:i/>
        </w:rPr>
        <w:t xml:space="preserve"> </w:t>
      </w:r>
      <w:r w:rsidRPr="00363EAA">
        <w:rPr>
          <w:rFonts w:ascii="Book Antiqua" w:hAnsi="Book Antiqua"/>
          <w:i/>
        </w:rPr>
        <w:t>Res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2020;</w:t>
      </w:r>
      <w:r w:rsidR="00960CB4">
        <w:rPr>
          <w:rFonts w:ascii="Book Antiqua" w:hAnsi="Book Antiqua" w:hint="eastAsia"/>
        </w:rPr>
        <w:t xml:space="preserve"> </w:t>
      </w:r>
      <w:r w:rsidRPr="00363EAA">
        <w:rPr>
          <w:rFonts w:ascii="Book Antiqua" w:hAnsi="Book Antiqua"/>
          <w:b/>
        </w:rPr>
        <w:t>3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 w:hint="eastAsia"/>
        </w:rPr>
        <w:t xml:space="preserve"> </w:t>
      </w:r>
      <w:r w:rsidRPr="0065414A">
        <w:rPr>
          <w:rFonts w:ascii="Book Antiqua" w:hAnsi="Book Antiqua"/>
        </w:rPr>
        <w:t>58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</w:t>
      </w:r>
      <w:bookmarkStart w:id="54" w:name="OLE_LINK48"/>
      <w:bookmarkStart w:id="55" w:name="OLE_LINK49"/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10.21037/dmr-20-92</w:t>
      </w:r>
      <w:bookmarkEnd w:id="54"/>
      <w:bookmarkEnd w:id="55"/>
      <w:r w:rsidRPr="0065414A">
        <w:rPr>
          <w:rFonts w:ascii="Book Antiqua" w:hAnsi="Book Antiqua"/>
        </w:rPr>
        <w:t>]</w:t>
      </w:r>
    </w:p>
    <w:p w14:paraId="5573E9F0" w14:textId="07490BD0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13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Levi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Sandri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GB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Werra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Mascianà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Guerra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Spoletini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Q.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use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surgery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abdominal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organ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transplantation: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literature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review.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Clin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Transplant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2017;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31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27726195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10.1111/ctr.12856]</w:t>
      </w:r>
    </w:p>
    <w:p w14:paraId="5AE27F51" w14:textId="39093D5F" w:rsidR="0065414A" w:rsidRPr="00B764C7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lastRenderedPageBreak/>
        <w:t>14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  <w:b/>
          <w:bCs/>
        </w:rPr>
        <w:t>Stiegler</w:t>
      </w:r>
      <w:r w:rsidR="00960CB4">
        <w:rPr>
          <w:rFonts w:ascii="Book Antiqua" w:hAnsi="Book Antiqua"/>
          <w:b/>
          <w:bCs/>
        </w:rPr>
        <w:t xml:space="preserve"> </w:t>
      </w:r>
      <w:r w:rsidR="00B764C7" w:rsidRPr="00B764C7">
        <w:rPr>
          <w:rFonts w:ascii="Book Antiqua" w:hAnsi="Book Antiqua"/>
          <w:b/>
          <w:bCs/>
        </w:rPr>
        <w:t>P</w:t>
      </w:r>
      <w:r w:rsidR="00B764C7" w:rsidRPr="00B764C7">
        <w:rPr>
          <w:rFonts w:ascii="Book Antiqua" w:hAnsi="Book Antiqua"/>
          <w:bCs/>
        </w:rPr>
        <w:t>,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Schemmer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P.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Robot-Assisted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Transplant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Surgery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-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Vision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or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Reality?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A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Comprehensive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Review.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  <w:i/>
        </w:rPr>
        <w:t>Visc</w:t>
      </w:r>
      <w:r w:rsidR="00960CB4">
        <w:rPr>
          <w:rFonts w:ascii="Book Antiqua" w:hAnsi="Book Antiqua"/>
          <w:bCs/>
          <w:i/>
        </w:rPr>
        <w:t xml:space="preserve"> </w:t>
      </w:r>
      <w:r w:rsidR="00B764C7" w:rsidRPr="00B764C7">
        <w:rPr>
          <w:rFonts w:ascii="Book Antiqua" w:hAnsi="Book Antiqua"/>
          <w:bCs/>
          <w:i/>
        </w:rPr>
        <w:t>Med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2018;</w:t>
      </w:r>
      <w:r w:rsidR="00960CB4">
        <w:rPr>
          <w:rFonts w:ascii="Book Antiqua" w:hAnsi="Book Antiqua" w:hint="eastAsia"/>
          <w:bCs/>
        </w:rPr>
        <w:t xml:space="preserve"> </w:t>
      </w:r>
      <w:r w:rsidR="00B764C7" w:rsidRPr="00B764C7">
        <w:rPr>
          <w:rFonts w:ascii="Book Antiqua" w:hAnsi="Book Antiqua"/>
          <w:b/>
          <w:bCs/>
        </w:rPr>
        <w:t>34</w:t>
      </w:r>
      <w:r w:rsidR="00B764C7" w:rsidRPr="00B764C7">
        <w:rPr>
          <w:rFonts w:ascii="Book Antiqua" w:hAnsi="Book Antiqua"/>
          <w:bCs/>
        </w:rPr>
        <w:t>:</w:t>
      </w:r>
      <w:r w:rsidR="00960CB4">
        <w:rPr>
          <w:rFonts w:ascii="Book Antiqua" w:hAnsi="Book Antiqua" w:hint="eastAsia"/>
          <w:bCs/>
        </w:rPr>
        <w:t xml:space="preserve"> </w:t>
      </w:r>
      <w:r w:rsidR="00B764C7">
        <w:rPr>
          <w:rFonts w:ascii="Book Antiqua" w:hAnsi="Book Antiqua"/>
          <w:bCs/>
        </w:rPr>
        <w:t>24-30</w:t>
      </w:r>
      <w:r w:rsidR="00960CB4">
        <w:rPr>
          <w:rFonts w:ascii="Book Antiqua" w:hAnsi="Book Antiqua"/>
          <w:bCs/>
        </w:rPr>
        <w:t xml:space="preserve"> </w:t>
      </w:r>
      <w:r w:rsidR="00B764C7">
        <w:rPr>
          <w:rFonts w:ascii="Book Antiqua" w:hAnsi="Book Antiqua" w:hint="eastAsia"/>
          <w:bCs/>
        </w:rPr>
        <w:t>[</w:t>
      </w:r>
      <w:r w:rsidR="00B764C7" w:rsidRPr="00B764C7">
        <w:rPr>
          <w:rFonts w:ascii="Book Antiqua" w:hAnsi="Book Antiqua"/>
          <w:bCs/>
        </w:rPr>
        <w:t>PMID: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29594166</w:t>
      </w:r>
      <w:r w:rsidR="00960CB4">
        <w:rPr>
          <w:rFonts w:ascii="Book Antiqua" w:hAnsi="Book Antiqua" w:hint="eastAsia"/>
          <w:bCs/>
        </w:rPr>
        <w:t xml:space="preserve"> </w:t>
      </w:r>
      <w:r w:rsidR="00B764C7">
        <w:rPr>
          <w:rFonts w:ascii="Book Antiqua" w:hAnsi="Book Antiqua" w:hint="eastAsia"/>
          <w:bCs/>
        </w:rPr>
        <w:t>DOI</w:t>
      </w:r>
      <w:r w:rsidR="00B764C7" w:rsidRPr="00B764C7">
        <w:rPr>
          <w:rFonts w:ascii="Book Antiqua" w:hAnsi="Book Antiqua"/>
          <w:bCs/>
        </w:rPr>
        <w:t>:</w:t>
      </w:r>
      <w:r w:rsidR="00960CB4">
        <w:rPr>
          <w:rFonts w:ascii="Book Antiqua" w:hAnsi="Book Antiqua"/>
          <w:bCs/>
        </w:rPr>
        <w:t xml:space="preserve"> </w:t>
      </w:r>
      <w:r w:rsidR="00B764C7" w:rsidRPr="00B764C7">
        <w:rPr>
          <w:rFonts w:ascii="Book Antiqua" w:hAnsi="Book Antiqua"/>
          <w:bCs/>
        </w:rPr>
        <w:t>10.1159/000485686</w:t>
      </w:r>
      <w:r w:rsidR="00B764C7">
        <w:rPr>
          <w:rFonts w:ascii="Book Antiqua" w:hAnsi="Book Antiqua" w:hint="eastAsia"/>
          <w:bCs/>
        </w:rPr>
        <w:t>]</w:t>
      </w:r>
    </w:p>
    <w:p w14:paraId="3E3B2C2E" w14:textId="61BCDAF6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15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Broering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DC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Elsheikh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Alnemary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Zidan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Elsarawy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Saleh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Alabbad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Sturdevant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Troisi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Versus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Open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Lobe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Adult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Transplantation: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Propensity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Score-Matched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Analysis.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Liver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2020;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26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1455-146</w:t>
      </w:r>
      <w:r w:rsidR="00B764C7">
        <w:rPr>
          <w:rFonts w:ascii="Book Antiqua" w:hAnsi="Book Antiqua"/>
        </w:rPr>
        <w:t>4</w:t>
      </w:r>
      <w:r w:rsidR="00960CB4">
        <w:rPr>
          <w:rFonts w:ascii="Book Antiqua" w:hAnsi="Book Antiqua"/>
        </w:rPr>
        <w:t xml:space="preserve"> </w:t>
      </w:r>
      <w:r w:rsidR="00B764C7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="00B764C7">
        <w:rPr>
          <w:rFonts w:ascii="Book Antiqua" w:hAnsi="Book Antiqua"/>
        </w:rPr>
        <w:t>32542956</w:t>
      </w:r>
      <w:r w:rsidR="00960CB4">
        <w:rPr>
          <w:rFonts w:ascii="Book Antiqua" w:hAnsi="Book Antiqua"/>
        </w:rPr>
        <w:t xml:space="preserve"> </w:t>
      </w:r>
      <w:r w:rsidR="00B764C7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="00B764C7">
        <w:rPr>
          <w:rFonts w:ascii="Book Antiqua" w:hAnsi="Book Antiqua"/>
        </w:rPr>
        <w:t>10.1002/</w:t>
      </w:r>
      <w:r w:rsidR="00B764C7">
        <w:rPr>
          <w:rFonts w:ascii="Book Antiqua" w:hAnsi="Book Antiqua" w:hint="eastAsia"/>
        </w:rPr>
        <w:t>l</w:t>
      </w:r>
      <w:r w:rsidRPr="0065414A">
        <w:rPr>
          <w:rFonts w:ascii="Book Antiqua" w:hAnsi="Book Antiqua"/>
        </w:rPr>
        <w:t>t.25820]</w:t>
      </w:r>
    </w:p>
    <w:p w14:paraId="7F1AADCF" w14:textId="51A54605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16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Broering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DC</w:t>
      </w:r>
      <w:r w:rsidRPr="00960CB4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Zidan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A.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Advancements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Hepatectomy,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Review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Literature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Single-Center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</w:rPr>
        <w:t>Experience</w:t>
      </w:r>
      <w:r w:rsidRPr="0065414A">
        <w:rPr>
          <w:rFonts w:ascii="Book Antiqua" w:hAnsi="Book Antiqua"/>
        </w:rPr>
        <w:t>.</w:t>
      </w:r>
      <w:r w:rsidR="00960CB4">
        <w:rPr>
          <w:rFonts w:ascii="Book Antiqua" w:hAnsi="Book Antiqua"/>
        </w:rPr>
        <w:t xml:space="preserve"> </w:t>
      </w:r>
      <w:r w:rsidR="00B764C7" w:rsidRPr="00B764C7">
        <w:rPr>
          <w:rFonts w:ascii="Book Antiqua" w:hAnsi="Book Antiqua"/>
          <w:i/>
        </w:rPr>
        <w:t>Curr</w:t>
      </w:r>
      <w:r w:rsidR="00960CB4">
        <w:rPr>
          <w:rFonts w:ascii="Book Antiqua" w:hAnsi="Book Antiqua"/>
          <w:i/>
        </w:rPr>
        <w:t xml:space="preserve"> </w:t>
      </w:r>
      <w:r w:rsidR="00B764C7" w:rsidRPr="00B764C7">
        <w:rPr>
          <w:rFonts w:ascii="Book Antiqua" w:hAnsi="Book Antiqua"/>
          <w:i/>
        </w:rPr>
        <w:t>Transplant</w:t>
      </w:r>
      <w:r w:rsidR="00960CB4">
        <w:rPr>
          <w:rFonts w:ascii="Book Antiqua" w:hAnsi="Book Antiqua"/>
          <w:i/>
        </w:rPr>
        <w:t xml:space="preserve"> </w:t>
      </w:r>
      <w:r w:rsidR="00B764C7" w:rsidRPr="00B764C7">
        <w:rPr>
          <w:rFonts w:ascii="Book Antiqua" w:hAnsi="Book Antiqua"/>
          <w:i/>
        </w:rPr>
        <w:t>Rep</w:t>
      </w:r>
      <w:r w:rsidR="00960CB4">
        <w:rPr>
          <w:rFonts w:ascii="Book Antiqua" w:hAnsi="Book Antiqua"/>
          <w:i/>
        </w:rPr>
        <w:t xml:space="preserve"> </w:t>
      </w:r>
      <w:r w:rsidRPr="0065414A">
        <w:rPr>
          <w:rFonts w:ascii="Book Antiqua" w:hAnsi="Book Antiqua"/>
        </w:rPr>
        <w:t>2020;</w:t>
      </w:r>
      <w:r w:rsidR="00960CB4">
        <w:rPr>
          <w:rFonts w:ascii="Book Antiqua" w:hAnsi="Book Antiqua" w:hint="eastAsia"/>
        </w:rPr>
        <w:t xml:space="preserve"> </w:t>
      </w:r>
      <w:r w:rsidRPr="00B764C7">
        <w:rPr>
          <w:rFonts w:ascii="Book Antiqua" w:hAnsi="Book Antiqua"/>
          <w:b/>
        </w:rPr>
        <w:t>7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 w:hint="eastAsia"/>
        </w:rPr>
        <w:t xml:space="preserve"> </w:t>
      </w:r>
      <w:r w:rsidRPr="0065414A">
        <w:rPr>
          <w:rFonts w:ascii="Book Antiqua" w:hAnsi="Book Antiqua"/>
        </w:rPr>
        <w:t>324</w:t>
      </w:r>
      <w:r w:rsidR="00960CB4">
        <w:rPr>
          <w:rFonts w:ascii="Book Antiqua" w:hAnsi="Book Antiqua"/>
        </w:rPr>
        <w:t>-</w:t>
      </w:r>
      <w:r w:rsidR="00B764C7">
        <w:rPr>
          <w:rFonts w:ascii="Book Antiqua" w:hAnsi="Book Antiqua" w:hint="eastAsia"/>
        </w:rPr>
        <w:t>3</w:t>
      </w:r>
      <w:r w:rsidRPr="0065414A">
        <w:rPr>
          <w:rFonts w:ascii="Book Antiqua" w:hAnsi="Book Antiqua"/>
        </w:rPr>
        <w:t>31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</w:t>
      </w:r>
      <w:r w:rsidR="00B764C7">
        <w:rPr>
          <w:rFonts w:ascii="Book Antiqua" w:hAnsi="Book Antiqua" w:hint="eastAsia"/>
        </w:rPr>
        <w:t>DOI:</w:t>
      </w:r>
      <w:r w:rsidR="00960CB4">
        <w:rPr>
          <w:rFonts w:ascii="Book Antiqua" w:hAnsi="Book Antiqua" w:hint="eastAsia"/>
        </w:rPr>
        <w:t xml:space="preserve"> </w:t>
      </w:r>
      <w:r w:rsidR="00B764C7" w:rsidRPr="00B764C7">
        <w:rPr>
          <w:rFonts w:ascii="Book Antiqua" w:hAnsi="Book Antiqua"/>
        </w:rPr>
        <w:t>10.1007/s40472-020-00311-0</w:t>
      </w:r>
      <w:r w:rsidRPr="0065414A">
        <w:rPr>
          <w:rFonts w:ascii="Book Antiqua" w:hAnsi="Book Antiqua"/>
        </w:rPr>
        <w:t>]</w:t>
      </w:r>
    </w:p>
    <w:p w14:paraId="3D8ADAE1" w14:textId="5E6CD05B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17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Ratner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LE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Ciseck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Moore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Cigarroa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Kaufman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Kavoussi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LR.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nephrectomy.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Transplantation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1995;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60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1047-1049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</w:t>
      </w:r>
      <w:bookmarkStart w:id="56" w:name="OLE_LINK53"/>
      <w:bookmarkStart w:id="57" w:name="OLE_LINK54"/>
      <w:r w:rsidRPr="0065414A">
        <w:rPr>
          <w:rFonts w:ascii="Book Antiqua" w:hAnsi="Book Antiqua"/>
        </w:rPr>
        <w:t>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7491680</w:t>
      </w:r>
      <w:bookmarkEnd w:id="56"/>
      <w:bookmarkEnd w:id="57"/>
      <w:r w:rsidRPr="0065414A">
        <w:rPr>
          <w:rFonts w:ascii="Book Antiqua" w:hAnsi="Book Antiqua"/>
        </w:rPr>
        <w:t>]</w:t>
      </w:r>
    </w:p>
    <w:p w14:paraId="12FBCD2C" w14:textId="0E4BFD11" w:rsidR="0065414A" w:rsidRPr="002B6EAC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18</w:t>
      </w:r>
      <w:r w:rsidR="00960CB4">
        <w:rPr>
          <w:rFonts w:ascii="Book Antiqua" w:hAnsi="Book Antiqua"/>
        </w:rPr>
        <w:t xml:space="preserve"> </w:t>
      </w:r>
      <w:r w:rsidR="002B6EAC" w:rsidRPr="002B6EAC">
        <w:rPr>
          <w:rFonts w:ascii="Book Antiqua" w:hAnsi="Book Antiqua"/>
          <w:b/>
          <w:bCs/>
        </w:rPr>
        <w:t>Cherqui</w:t>
      </w:r>
      <w:r w:rsidR="00960CB4">
        <w:rPr>
          <w:rFonts w:ascii="Book Antiqua" w:hAnsi="Book Antiqua"/>
          <w:b/>
          <w:bCs/>
        </w:rPr>
        <w:t xml:space="preserve"> </w:t>
      </w:r>
      <w:r w:rsidR="002B6EAC" w:rsidRPr="002B6EAC">
        <w:rPr>
          <w:rFonts w:ascii="Book Antiqua" w:hAnsi="Book Antiqua"/>
          <w:b/>
          <w:bCs/>
        </w:rPr>
        <w:t>D</w:t>
      </w:r>
      <w:r w:rsidR="002B6EAC" w:rsidRPr="002B6EAC">
        <w:rPr>
          <w:rFonts w:ascii="Book Antiqua" w:hAnsi="Book Antiqua"/>
          <w:bCs/>
        </w:rPr>
        <w:t>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Soubrane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O,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Husson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E,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Barshasz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E,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Vignaux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O,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Ghimouz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M,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Branchereau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S,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Chardot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C,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Gauthier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F,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Fagniez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PL,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Houssin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D.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Laparoscopic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living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donor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hepatectomy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for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liver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transplantation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in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children.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  <w:i/>
        </w:rPr>
        <w:t>Lancet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2002;</w:t>
      </w:r>
      <w:r w:rsidR="00960CB4">
        <w:rPr>
          <w:rFonts w:ascii="Book Antiqua" w:hAnsi="Book Antiqua" w:hint="eastAsia"/>
          <w:bCs/>
        </w:rPr>
        <w:t xml:space="preserve"> </w:t>
      </w:r>
      <w:r w:rsidR="002B6EAC" w:rsidRPr="002B6EAC">
        <w:rPr>
          <w:rFonts w:ascii="Book Antiqua" w:hAnsi="Book Antiqua"/>
          <w:b/>
          <w:bCs/>
        </w:rPr>
        <w:t>359</w:t>
      </w:r>
      <w:r w:rsidR="002B6EAC" w:rsidRPr="002B6EAC">
        <w:rPr>
          <w:rFonts w:ascii="Book Antiqua" w:hAnsi="Book Antiqua"/>
          <w:bCs/>
        </w:rPr>
        <w:t>:</w:t>
      </w:r>
      <w:r w:rsidR="00960CB4">
        <w:rPr>
          <w:rFonts w:ascii="Book Antiqua" w:hAnsi="Book Antiqua" w:hint="eastAsi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392-</w:t>
      </w:r>
      <w:r w:rsidR="002B6EAC">
        <w:rPr>
          <w:rFonts w:ascii="Book Antiqua" w:hAnsi="Book Antiqua" w:hint="eastAsia"/>
          <w:bCs/>
        </w:rPr>
        <w:t>39</w:t>
      </w:r>
      <w:r w:rsidR="002B6EAC">
        <w:rPr>
          <w:rFonts w:ascii="Book Antiqua" w:hAnsi="Book Antiqua"/>
          <w:bCs/>
        </w:rPr>
        <w:t>6</w:t>
      </w:r>
      <w:r w:rsidR="00960CB4">
        <w:rPr>
          <w:rFonts w:ascii="Book Antiqua" w:hAnsi="Book Antiqua"/>
          <w:bCs/>
        </w:rPr>
        <w:t xml:space="preserve"> </w:t>
      </w:r>
      <w:r w:rsidR="002B6EAC">
        <w:rPr>
          <w:rFonts w:ascii="Book Antiqua" w:hAnsi="Book Antiqua" w:hint="eastAsia"/>
          <w:bCs/>
        </w:rPr>
        <w:t>[</w:t>
      </w:r>
      <w:r w:rsidR="002B6EAC" w:rsidRPr="002B6EAC">
        <w:rPr>
          <w:rFonts w:ascii="Book Antiqua" w:hAnsi="Book Antiqua"/>
          <w:bCs/>
        </w:rPr>
        <w:t>PMID:</w:t>
      </w:r>
      <w:r w:rsidR="00960CB4">
        <w:rPr>
          <w:rFonts w:ascii="Book Antiqua" w:hAnsi="Book Antiqua"/>
          <w:bCs/>
        </w:rPr>
        <w:t xml:space="preserve"> </w:t>
      </w:r>
      <w:r w:rsidR="002B6EAC" w:rsidRPr="002B6EAC">
        <w:rPr>
          <w:rFonts w:ascii="Book Antiqua" w:hAnsi="Book Antiqua"/>
          <w:bCs/>
        </w:rPr>
        <w:t>11844509</w:t>
      </w:r>
      <w:r w:rsidR="00960CB4">
        <w:rPr>
          <w:rFonts w:ascii="Book Antiqua" w:hAnsi="Book Antiqua" w:hint="eastAsia"/>
          <w:bCs/>
        </w:rPr>
        <w:t xml:space="preserve"> </w:t>
      </w:r>
      <w:r w:rsidR="002B6EAC">
        <w:rPr>
          <w:rFonts w:ascii="Book Antiqua" w:hAnsi="Book Antiqua" w:hint="eastAsia"/>
          <w:bCs/>
        </w:rPr>
        <w:t>DOI</w:t>
      </w:r>
      <w:r w:rsidR="002B6EAC">
        <w:rPr>
          <w:rFonts w:ascii="Book Antiqua" w:hAnsi="Book Antiqua"/>
          <w:bCs/>
        </w:rPr>
        <w:t>:</w:t>
      </w:r>
      <w:r w:rsidR="00960CB4">
        <w:rPr>
          <w:rFonts w:ascii="Book Antiqua" w:hAnsi="Book Antiqua"/>
          <w:bCs/>
        </w:rPr>
        <w:t xml:space="preserve"> </w:t>
      </w:r>
      <w:r w:rsidR="002B6EAC">
        <w:rPr>
          <w:rFonts w:ascii="Book Antiqua" w:hAnsi="Book Antiqua"/>
          <w:bCs/>
        </w:rPr>
        <w:t>10.1016/S0140-6736(02)07598-0</w:t>
      </w:r>
      <w:r w:rsidR="002B6EAC">
        <w:rPr>
          <w:rFonts w:ascii="Book Antiqua" w:hAnsi="Book Antiqua" w:hint="eastAsia"/>
          <w:bCs/>
        </w:rPr>
        <w:t>]</w:t>
      </w:r>
    </w:p>
    <w:p w14:paraId="60FAC5E2" w14:textId="368B8AEE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19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Koffron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AJ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Kung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Baker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Fryer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Clark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Abecassis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Laparoscopic-assisted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lobe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Am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Transplant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2006;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6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2522-2525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16889605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10.1111/j.1600-6143.2006.01498.x]</w:t>
      </w:r>
    </w:p>
    <w:p w14:paraId="0F865216" w14:textId="2E4DB505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20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Marubashi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S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Wada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Kawamoto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Kobayashi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Eguchi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Doki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Mori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Nagano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Laparoscopy-assisted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hybrid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left-side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World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2013;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37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2202-2210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23736986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10.1007/s00268-013-2117-3]</w:t>
      </w:r>
    </w:p>
    <w:p w14:paraId="2F07C772" w14:textId="5BAEE81F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21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Yu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YD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Jung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Hwang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left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lateral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sectionectomy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safe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feasible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pediatric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transplantation.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Hepatogastroenterology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2012;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59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2445-2449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22466713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10.5754/hge12134]</w:t>
      </w:r>
    </w:p>
    <w:p w14:paraId="587B35C2" w14:textId="4E5DCC9B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22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Soubrane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O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Perdigao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Cotta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Scatton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Pure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Am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Transplant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2013;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13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2467-2471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23865716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10.1111/ajt.12361]</w:t>
      </w:r>
    </w:p>
    <w:p w14:paraId="09CA290C" w14:textId="218F610E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lastRenderedPageBreak/>
        <w:t>23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Troisi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RI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Wojcicki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Tomassini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Houtmeyers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Vanlander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Berrevoet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Smeets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Vlierberghe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Rogiers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X.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Pure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full-left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calculated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small-for-size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LDLT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adults: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proof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concept.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Am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Transplant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2013;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13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2472-2478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23914734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10.1111/ajt.12362]</w:t>
      </w:r>
    </w:p>
    <w:p w14:paraId="2B957579" w14:textId="2D3A18DA" w:rsidR="0065414A" w:rsidRPr="00AF207F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24</w:t>
      </w:r>
      <w:r w:rsidR="00960CB4">
        <w:rPr>
          <w:rFonts w:ascii="Book Antiqua" w:hAnsi="Book Antiqua"/>
        </w:rPr>
        <w:t xml:space="preserve"> </w:t>
      </w:r>
      <w:r w:rsidR="00AF207F" w:rsidRPr="00AF207F">
        <w:rPr>
          <w:rFonts w:ascii="Book Antiqua" w:hAnsi="Book Antiqua"/>
          <w:b/>
          <w:bCs/>
        </w:rPr>
        <w:t>Wakabayashi</w:t>
      </w:r>
      <w:r w:rsidR="00960CB4">
        <w:rPr>
          <w:rFonts w:ascii="Book Antiqua" w:hAnsi="Book Antiqua"/>
          <w:b/>
          <w:bCs/>
        </w:rPr>
        <w:t xml:space="preserve"> </w:t>
      </w:r>
      <w:r w:rsidR="00AF207F" w:rsidRPr="00AF207F">
        <w:rPr>
          <w:rFonts w:ascii="Book Antiqua" w:hAnsi="Book Antiqua"/>
          <w:b/>
          <w:bCs/>
        </w:rPr>
        <w:t>G</w:t>
      </w:r>
      <w:r w:rsidR="00AF207F" w:rsidRPr="00AF207F">
        <w:rPr>
          <w:rFonts w:ascii="Book Antiqua" w:hAnsi="Book Antiqua"/>
          <w:bCs/>
        </w:rPr>
        <w:t>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Cherqui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D,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Geller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DA,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Buell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JF,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Kaneko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H,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Han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HS,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Asbun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H,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O</w:t>
      </w:r>
      <w:r w:rsidR="00AF207F" w:rsidRPr="00AF207F">
        <w:rPr>
          <w:rFonts w:ascii="Times New Roman" w:hAnsi="Times New Roman" w:cs="Times New Roman"/>
          <w:bCs/>
        </w:rPr>
        <w:t>ʼ</w:t>
      </w:r>
      <w:r w:rsidR="00AF207F" w:rsidRPr="00AF207F">
        <w:rPr>
          <w:rFonts w:ascii="Book Antiqua" w:hAnsi="Book Antiqua"/>
          <w:bCs/>
        </w:rPr>
        <w:t>Rourke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N,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Tanabe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M,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Koffron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AJ,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Tsung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A,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Soubrane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O,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Machado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MA,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Gayet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B,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Troisi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RI,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Pessaux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P,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Van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Dam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RM,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Scatton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O,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Abu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Hilal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M,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Belli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G,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Kwon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CH,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Edwin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B,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Choi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GH,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Aldrighetti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LA,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Cai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X,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Cleary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S,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Chen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KH,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Schön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MR,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Sugioka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A,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Tang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CN,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Herman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P,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Pekolj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J,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Chen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XP,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Dagher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I,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Jarnagin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W,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Yamamoto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M,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Strong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R,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Jagannath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P,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Lo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CM,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Clavien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PA,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Kokudo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N,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Barkun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J,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Strasberg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SM.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Recommendations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for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laparoscopic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liver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resection: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a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report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from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the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second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international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consensus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conference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held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in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Morioka.</w:t>
      </w:r>
      <w:r w:rsidR="00960CB4">
        <w:rPr>
          <w:rFonts w:ascii="Book Antiqua" w:hAnsi="Book Antiqua"/>
          <w:bCs/>
          <w:i/>
        </w:rPr>
        <w:t xml:space="preserve"> </w:t>
      </w:r>
      <w:r w:rsidR="00AF207F" w:rsidRPr="00AF207F">
        <w:rPr>
          <w:rFonts w:ascii="Book Antiqua" w:hAnsi="Book Antiqua"/>
          <w:bCs/>
          <w:i/>
        </w:rPr>
        <w:t>Ann</w:t>
      </w:r>
      <w:r w:rsidR="00960CB4">
        <w:rPr>
          <w:rFonts w:ascii="Book Antiqua" w:hAnsi="Book Antiqua"/>
          <w:bCs/>
          <w:i/>
        </w:rPr>
        <w:t xml:space="preserve"> </w:t>
      </w:r>
      <w:r w:rsidR="00AF207F" w:rsidRPr="00AF207F">
        <w:rPr>
          <w:rFonts w:ascii="Book Antiqua" w:hAnsi="Book Antiqua"/>
          <w:bCs/>
          <w:i/>
        </w:rPr>
        <w:t>Surg</w:t>
      </w:r>
      <w:r w:rsidR="00960CB4">
        <w:rPr>
          <w:rFonts w:ascii="Book Antiqua" w:hAnsi="Book Antiqu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2015;</w:t>
      </w:r>
      <w:r w:rsidR="00960CB4">
        <w:rPr>
          <w:rFonts w:ascii="Book Antiqua" w:hAnsi="Book Antiqua" w:hint="eastAsia"/>
          <w:bCs/>
        </w:rPr>
        <w:t xml:space="preserve"> </w:t>
      </w:r>
      <w:r w:rsidR="00AF207F" w:rsidRPr="00AF207F">
        <w:rPr>
          <w:rFonts w:ascii="Book Antiqua" w:hAnsi="Book Antiqua"/>
          <w:b/>
          <w:bCs/>
        </w:rPr>
        <w:t>261</w:t>
      </w:r>
      <w:r w:rsidR="00AF207F" w:rsidRPr="00AF207F">
        <w:rPr>
          <w:rFonts w:ascii="Book Antiqua" w:hAnsi="Book Antiqua"/>
          <w:bCs/>
        </w:rPr>
        <w:t>:</w:t>
      </w:r>
      <w:r w:rsidR="00960CB4">
        <w:rPr>
          <w:rFonts w:ascii="Book Antiqua" w:hAnsi="Book Antiqua" w:hint="eastAsia"/>
          <w:bCs/>
        </w:rPr>
        <w:t xml:space="preserve"> </w:t>
      </w:r>
      <w:r w:rsidR="00AF207F" w:rsidRPr="00AF207F">
        <w:rPr>
          <w:rFonts w:ascii="Book Antiqua" w:hAnsi="Book Antiqua"/>
          <w:bCs/>
        </w:rPr>
        <w:t>619-</w:t>
      </w:r>
      <w:r w:rsidR="00AF207F">
        <w:rPr>
          <w:rFonts w:ascii="Book Antiqua" w:hAnsi="Book Antiqua" w:hint="eastAsia"/>
          <w:bCs/>
        </w:rPr>
        <w:t>6</w:t>
      </w:r>
      <w:r w:rsidR="00AF207F">
        <w:rPr>
          <w:rFonts w:ascii="Book Antiqua" w:hAnsi="Book Antiqua"/>
          <w:bCs/>
        </w:rPr>
        <w:t>29</w:t>
      </w:r>
      <w:r w:rsidR="00960CB4">
        <w:rPr>
          <w:rFonts w:ascii="Book Antiqua" w:hAnsi="Book Antiqua"/>
          <w:bCs/>
        </w:rPr>
        <w:t xml:space="preserve"> </w:t>
      </w:r>
      <w:r w:rsidR="00AF207F">
        <w:rPr>
          <w:rFonts w:ascii="Book Antiqua" w:hAnsi="Book Antiqua" w:hint="eastAsia"/>
          <w:bCs/>
        </w:rPr>
        <w:t>[</w:t>
      </w:r>
      <w:r w:rsidR="00AF207F" w:rsidRPr="00AF207F">
        <w:rPr>
          <w:rFonts w:ascii="Book Antiqua" w:hAnsi="Book Antiqua"/>
          <w:bCs/>
        </w:rPr>
        <w:t>PMID:</w:t>
      </w:r>
      <w:r w:rsidR="00960CB4">
        <w:rPr>
          <w:rFonts w:ascii="Book Antiqua" w:hAnsi="Book Antiqua"/>
          <w:bCs/>
        </w:rPr>
        <w:t xml:space="preserve"> </w:t>
      </w:r>
      <w:bookmarkStart w:id="58" w:name="OLE_LINK23"/>
      <w:r w:rsidR="00AF207F" w:rsidRPr="00AF207F">
        <w:rPr>
          <w:rFonts w:ascii="Book Antiqua" w:hAnsi="Book Antiqua"/>
          <w:bCs/>
        </w:rPr>
        <w:t>25742461</w:t>
      </w:r>
      <w:bookmarkEnd w:id="58"/>
      <w:r w:rsidR="00960CB4">
        <w:rPr>
          <w:rFonts w:ascii="Book Antiqua" w:hAnsi="Book Antiqua" w:hint="eastAsia"/>
          <w:bCs/>
        </w:rPr>
        <w:t xml:space="preserve"> </w:t>
      </w:r>
      <w:r w:rsidR="00AF207F">
        <w:rPr>
          <w:rFonts w:ascii="Book Antiqua" w:hAnsi="Book Antiqua" w:hint="eastAsia"/>
          <w:bCs/>
        </w:rPr>
        <w:t>DOI</w:t>
      </w:r>
      <w:r w:rsidR="00AF207F">
        <w:rPr>
          <w:rFonts w:ascii="Book Antiqua" w:hAnsi="Book Antiqua"/>
          <w:bCs/>
        </w:rPr>
        <w:t>:</w:t>
      </w:r>
      <w:r w:rsidR="00960CB4">
        <w:rPr>
          <w:rFonts w:ascii="Book Antiqua" w:hAnsi="Book Antiqua"/>
          <w:bCs/>
        </w:rPr>
        <w:t xml:space="preserve"> </w:t>
      </w:r>
      <w:r w:rsidR="00AF207F">
        <w:rPr>
          <w:rFonts w:ascii="Book Antiqua" w:hAnsi="Book Antiqua"/>
          <w:bCs/>
        </w:rPr>
        <w:t>10.1097/SLA.0000000000001184</w:t>
      </w:r>
      <w:r w:rsidR="00AF207F">
        <w:rPr>
          <w:rFonts w:ascii="Book Antiqua" w:hAnsi="Book Antiqua" w:hint="eastAsia"/>
          <w:bCs/>
        </w:rPr>
        <w:t>]</w:t>
      </w:r>
    </w:p>
    <w:p w14:paraId="1FC85AB5" w14:textId="1BD18BDA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25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Akoad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ME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Pomfret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EA.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random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mutation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stepwise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evolution?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Am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Transplant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2013;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13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2243-2244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24034706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10.1111/ajt.12363]</w:t>
      </w:r>
    </w:p>
    <w:p w14:paraId="644C8A9F" w14:textId="390EF03D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26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Pravisani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R</w:t>
      </w:r>
      <w:r w:rsidRPr="00960CB4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Takatsuki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Baccarani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U,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Eguchi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S.</w:t>
      </w:r>
      <w:r w:rsidR="00960CB4">
        <w:rPr>
          <w:rFonts w:ascii="Book Antiqua" w:hAnsi="Book Antiqua"/>
        </w:rPr>
        <w:t xml:space="preserve"> </w:t>
      </w:r>
      <w:bookmarkStart w:id="59" w:name="OLE_LINK55"/>
      <w:r w:rsidRPr="0065414A">
        <w:rPr>
          <w:rFonts w:ascii="Book Antiqua" w:hAnsi="Book Antiqua"/>
        </w:rPr>
        <w:t>Pure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exploring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dark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side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moon</w:t>
      </w:r>
      <w:bookmarkEnd w:id="59"/>
      <w:r w:rsidRPr="0065414A">
        <w:rPr>
          <w:rFonts w:ascii="Book Antiqua" w:hAnsi="Book Antiqua"/>
        </w:rPr>
        <w:t>.</w:t>
      </w:r>
      <w:r w:rsidR="00960CB4">
        <w:rPr>
          <w:rFonts w:ascii="Book Antiqua" w:hAnsi="Book Antiqua"/>
        </w:rPr>
        <w:t xml:space="preserve"> </w:t>
      </w:r>
      <w:r w:rsidRPr="00B24F46">
        <w:rPr>
          <w:rFonts w:ascii="Book Antiqua" w:hAnsi="Book Antiqua"/>
          <w:i/>
        </w:rPr>
        <w:t>Laparosc</w:t>
      </w:r>
      <w:r w:rsidR="00960CB4">
        <w:rPr>
          <w:rFonts w:ascii="Book Antiqua" w:hAnsi="Book Antiqua"/>
          <w:i/>
        </w:rPr>
        <w:t xml:space="preserve"> </w:t>
      </w:r>
      <w:r w:rsidRPr="00B24F46">
        <w:rPr>
          <w:rFonts w:ascii="Book Antiqua" w:hAnsi="Book Antiqua"/>
          <w:i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2018;</w:t>
      </w:r>
      <w:r w:rsidR="00960CB4">
        <w:rPr>
          <w:rFonts w:ascii="Book Antiqua" w:hAnsi="Book Antiqua" w:hint="eastAsia"/>
        </w:rPr>
        <w:t xml:space="preserve"> </w:t>
      </w:r>
      <w:r w:rsidRPr="00B24F46">
        <w:rPr>
          <w:rFonts w:ascii="Book Antiqua" w:hAnsi="Book Antiqua"/>
          <w:b/>
        </w:rPr>
        <w:t>2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 w:hint="eastAsia"/>
        </w:rPr>
        <w:t xml:space="preserve"> </w:t>
      </w:r>
      <w:r w:rsidRPr="0065414A">
        <w:rPr>
          <w:rFonts w:ascii="Book Antiqua" w:hAnsi="Book Antiqua"/>
        </w:rPr>
        <w:t>37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</w:t>
      </w:r>
      <w:r w:rsidR="00B24F46">
        <w:rPr>
          <w:rFonts w:ascii="Book Antiqua" w:hAnsi="Book Antiqua" w:hint="eastAsia"/>
        </w:rPr>
        <w:t>DOI</w:t>
      </w:r>
      <w:r w:rsidR="00B24F46" w:rsidRPr="00B24F46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="00B24F46" w:rsidRPr="00B24F46">
        <w:rPr>
          <w:rFonts w:ascii="Book Antiqua" w:hAnsi="Book Antiqua"/>
        </w:rPr>
        <w:t>10.21037/ls.2018.08.02</w:t>
      </w:r>
      <w:r w:rsidRPr="0065414A">
        <w:rPr>
          <w:rFonts w:ascii="Book Antiqua" w:hAnsi="Book Antiqua"/>
        </w:rPr>
        <w:t>]</w:t>
      </w:r>
    </w:p>
    <w:p w14:paraId="676EF0CB" w14:textId="1A039CA2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27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Giffen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ZC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Cairl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Ortiz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Sindhwani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Ekwenna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Robotic-assisted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Nephrectomy: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Safe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Nephrectomy.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Technol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Int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2020;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37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171-174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</w:t>
      </w:r>
      <w:bookmarkStart w:id="60" w:name="OLE_LINK56"/>
      <w:bookmarkStart w:id="61" w:name="OLE_LINK57"/>
      <w:r w:rsidRPr="0065414A">
        <w:rPr>
          <w:rFonts w:ascii="Book Antiqua" w:hAnsi="Book Antiqua"/>
        </w:rPr>
        <w:t>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32520390</w:t>
      </w:r>
      <w:bookmarkEnd w:id="60"/>
      <w:bookmarkEnd w:id="61"/>
      <w:r w:rsidRPr="0065414A">
        <w:rPr>
          <w:rFonts w:ascii="Book Antiqua" w:hAnsi="Book Antiqua"/>
        </w:rPr>
        <w:t>]</w:t>
      </w:r>
    </w:p>
    <w:p w14:paraId="26187F54" w14:textId="2104CA6B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28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Giacomoni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A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Sandro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Lauterio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Concone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Buscemi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Rossetti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Carlis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nephrectomy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donation: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surgical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technique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literature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systematic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review.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Am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2016;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211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1135-1142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26499052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10.1016/j.amjsurg.2015.08.019]</w:t>
      </w:r>
    </w:p>
    <w:p w14:paraId="14D97C5B" w14:textId="2BA492D4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29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Giulianotti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PC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Tzvetanov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Jeon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Bianco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Spaggiari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Oberholzer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Benedetti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Robot-assisted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lobe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Transpl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Int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2012;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25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e5-e9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22029717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10.1111/j.1432-2277.2011.01373.x]</w:t>
      </w:r>
    </w:p>
    <w:p w14:paraId="7684636E" w14:textId="2348F939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lastRenderedPageBreak/>
        <w:t>30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Chen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PD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MT,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YM.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pure,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minimally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invasive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approach.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Liver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2016;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22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1509-1518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</w:t>
      </w:r>
      <w:bookmarkStart w:id="62" w:name="OLE_LINK58"/>
      <w:r w:rsidRPr="0065414A">
        <w:rPr>
          <w:rFonts w:ascii="Book Antiqua" w:hAnsi="Book Antiqua"/>
        </w:rPr>
        <w:t>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27509325</w:t>
      </w:r>
      <w:bookmarkEnd w:id="62"/>
      <w:r w:rsidR="00960CB4">
        <w:rPr>
          <w:rFonts w:ascii="Book Antiqua" w:hAnsi="Book Antiqua"/>
        </w:rPr>
        <w:t xml:space="preserve"> </w:t>
      </w:r>
      <w:r w:rsidR="00B24F46" w:rsidRPr="00B24F46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="00B24F46" w:rsidRPr="00B24F46">
        <w:rPr>
          <w:rFonts w:ascii="Book Antiqua" w:hAnsi="Book Antiqua"/>
        </w:rPr>
        <w:t>10.1002/lt.24522</w:t>
      </w:r>
      <w:r w:rsidRPr="0065414A">
        <w:rPr>
          <w:rFonts w:ascii="Book Antiqua" w:hAnsi="Book Antiqua"/>
        </w:rPr>
        <w:t>]</w:t>
      </w:r>
    </w:p>
    <w:p w14:paraId="4FE771E4" w14:textId="6330695D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31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Coelho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FF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Bernardo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Kruger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JAP,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Jeismann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VB,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Fonseca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Macacari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Cesconetto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D'Albuquerque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LAC,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Cecconello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Herman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Laparoscopy-assisted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versus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open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pure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approach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resection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systematic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review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meta-analysis.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HPB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(Oxford)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2018;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20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687-694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29571616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10.1016/j.hpb.2018.02.379]</w:t>
      </w:r>
    </w:p>
    <w:p w14:paraId="7D090646" w14:textId="73ACBD9A" w:rsidR="0065414A" w:rsidRPr="005D687F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65414A">
        <w:rPr>
          <w:rFonts w:ascii="Book Antiqua" w:hAnsi="Book Antiqua"/>
        </w:rPr>
        <w:t>32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Bekheit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M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Khafagy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Bucur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Katri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Elgendi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Abdel-Salam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WN,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Vibert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El-Kayal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el-S.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safety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procurement: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systematic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review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meta-analysis.</w:t>
      </w:r>
      <w:r w:rsidR="00960CB4">
        <w:rPr>
          <w:rFonts w:ascii="Book Antiqua" w:hAnsi="Book Antiqua"/>
        </w:rPr>
        <w:t xml:space="preserve"> </w:t>
      </w:r>
      <w:r w:rsidRPr="005D687F">
        <w:rPr>
          <w:rFonts w:ascii="Book Antiqua" w:hAnsi="Book Antiqua"/>
          <w:i/>
          <w:iCs/>
          <w:lang w:val="fr-FR"/>
        </w:rPr>
        <w:t>Surg</w:t>
      </w:r>
      <w:r w:rsidR="00960CB4" w:rsidRPr="005D687F">
        <w:rPr>
          <w:rFonts w:ascii="Book Antiqua" w:hAnsi="Book Antiqua"/>
          <w:i/>
          <w:iCs/>
          <w:lang w:val="fr-FR"/>
        </w:rPr>
        <w:t xml:space="preserve"> </w:t>
      </w:r>
      <w:r w:rsidRPr="005D687F">
        <w:rPr>
          <w:rFonts w:ascii="Book Antiqua" w:hAnsi="Book Antiqua"/>
          <w:i/>
          <w:iCs/>
          <w:lang w:val="fr-FR"/>
        </w:rPr>
        <w:t>Endosc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2015;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b/>
          <w:bCs/>
          <w:lang w:val="fr-FR"/>
        </w:rPr>
        <w:t>29</w:t>
      </w:r>
      <w:r w:rsidRPr="005D687F">
        <w:rPr>
          <w:rFonts w:ascii="Book Antiqua" w:hAnsi="Book Antiqua"/>
          <w:lang w:val="fr-FR"/>
        </w:rPr>
        <w:t>: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3047-3064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[PMID: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25552233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DOI: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10.1007/s00464-014-4045-1]</w:t>
      </w:r>
    </w:p>
    <w:p w14:paraId="5E42B273" w14:textId="48F9B084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D687F">
        <w:rPr>
          <w:rFonts w:ascii="Book Antiqua" w:hAnsi="Book Antiqua"/>
          <w:lang w:val="fr-FR"/>
        </w:rPr>
        <w:t>33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b/>
          <w:bCs/>
          <w:lang w:val="fr-FR"/>
        </w:rPr>
        <w:t>Berardi</w:t>
      </w:r>
      <w:r w:rsidR="00960CB4" w:rsidRPr="005D687F">
        <w:rPr>
          <w:rFonts w:ascii="Book Antiqua" w:hAnsi="Book Antiqua"/>
          <w:b/>
          <w:bCs/>
          <w:lang w:val="fr-FR"/>
        </w:rPr>
        <w:t xml:space="preserve"> </w:t>
      </w:r>
      <w:r w:rsidRPr="005D687F">
        <w:rPr>
          <w:rFonts w:ascii="Book Antiqua" w:hAnsi="Book Antiqua"/>
          <w:b/>
          <w:bCs/>
          <w:lang w:val="fr-FR"/>
        </w:rPr>
        <w:t>G</w:t>
      </w:r>
      <w:r w:rsidRPr="005D687F">
        <w:rPr>
          <w:rFonts w:ascii="Book Antiqua" w:hAnsi="Book Antiqua"/>
          <w:lang w:val="fr-FR"/>
        </w:rPr>
        <w:t>,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Tomassini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F,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Troisi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5D687F">
        <w:rPr>
          <w:rFonts w:ascii="Book Antiqua" w:hAnsi="Book Antiqua"/>
          <w:lang w:val="fr-FR"/>
        </w:rPr>
        <w:t>RI.</w:t>
      </w:r>
      <w:r w:rsidR="00960CB4" w:rsidRPr="005D687F">
        <w:rPr>
          <w:rFonts w:ascii="Book Antiqua" w:hAnsi="Book Antiqua"/>
          <w:lang w:val="fr-FR"/>
        </w:rPr>
        <w:t xml:space="preserve"> </w:t>
      </w:r>
      <w:r w:rsidRPr="0065414A">
        <w:rPr>
          <w:rFonts w:ascii="Book Antiqua" w:hAnsi="Book Antiqua"/>
        </w:rPr>
        <w:t>Comparison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between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minimally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invasive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open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systematic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review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meta-analysis.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Liver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2015;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21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738-752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25821097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</w:t>
      </w:r>
      <w:r w:rsidR="00B24F46">
        <w:rPr>
          <w:rFonts w:ascii="Book Antiqua" w:hAnsi="Book Antiqua"/>
        </w:rPr>
        <w:t>002/</w:t>
      </w:r>
      <w:r w:rsidR="00B24F46">
        <w:rPr>
          <w:rFonts w:ascii="Book Antiqua" w:hAnsi="Book Antiqua" w:hint="eastAsia"/>
        </w:rPr>
        <w:t>l</w:t>
      </w:r>
      <w:r w:rsidRPr="0065414A">
        <w:rPr>
          <w:rFonts w:ascii="Book Antiqua" w:hAnsi="Book Antiqua"/>
        </w:rPr>
        <w:t>t.24119]</w:t>
      </w:r>
    </w:p>
    <w:p w14:paraId="3FC4CBE8" w14:textId="7AF972CB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34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Xu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J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Cao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Zhang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Zheng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WL.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Meta-Analysis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versus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Open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PLoS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One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2016;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11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e0165319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27788201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10.1371/journal.pone.0165319]</w:t>
      </w:r>
    </w:p>
    <w:p w14:paraId="7BCF4CDC" w14:textId="6883469B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35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Hong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SK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KW,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Choi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Ahn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SW,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Yoon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KC,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Initial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experience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with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purely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living-donor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Br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2018;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105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751-759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29579333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10.1002/bjs.10777]</w:t>
      </w:r>
    </w:p>
    <w:p w14:paraId="5AC47BFF" w14:textId="04529FF5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36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Soubrane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O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Rougemont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Samstein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Mamode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Boillot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Troisi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Scatton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Cauchy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SG,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Griesemer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Ahmed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Clavien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Cherqui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Left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Lateral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Sectionectomy: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New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Standard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Practice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Ann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2015;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262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757-61;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discussion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761-3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26583663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10.1097/SLA.0000000000001485]</w:t>
      </w:r>
    </w:p>
    <w:p w14:paraId="3ED5CB04" w14:textId="11DD6486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37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Kim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KH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Jung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Park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SG.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Comparison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open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left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lateral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sectionectomy.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Br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2011;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98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1302-1308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21717424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10.1002/bjs.7601]</w:t>
      </w:r>
    </w:p>
    <w:p w14:paraId="2ADA2914" w14:textId="0E0C3196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lastRenderedPageBreak/>
        <w:t>38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Gautier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S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Monakhov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Gallyamov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Tsirulnikova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Zagaynov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Dzhanbekov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Semash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Khizroev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Oleshkevich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Chekletsova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left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lateral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section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procurement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donors: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single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center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propensity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score-matched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study.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Clin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Transplant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2018;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32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e13374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30080281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10.1111/ctr.13374]</w:t>
      </w:r>
    </w:p>
    <w:p w14:paraId="0E66A8D4" w14:textId="72D7414A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39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Brown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KM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Geller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DA.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What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Learning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Curve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Major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Hepatectomy?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Gastrointest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2016;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20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1065-1071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26956007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10.1007/s11605-016-3100-8]</w:t>
      </w:r>
    </w:p>
    <w:p w14:paraId="13678836" w14:textId="60C7EEE4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Duarte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VC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Coelho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Valverde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Danoussou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Kruger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JAP,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Zuber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Fonseca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Jeismann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VB,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Herman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Lupinacci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RM.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Minimally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invasive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versus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open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comparative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study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with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propensity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score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matching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analysis.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BMC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2020;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20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260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33126885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10.1186/s12893-020-00919-0]</w:t>
      </w:r>
    </w:p>
    <w:p w14:paraId="05E14621" w14:textId="1E5AFDA9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Lin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CW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Tsai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Wei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Hung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CM.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learning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curve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resection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after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Louisville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statement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2008: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Will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more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effective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smooth?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Endosc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2016;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30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2895-2903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26487203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10.1007/s00464-015-4575-1]</w:t>
      </w:r>
    </w:p>
    <w:p w14:paraId="2E4C108B" w14:textId="65BEA8D0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Lee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W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Woo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JW,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Park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Kwag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Park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Jeong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Ju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YT,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Jeong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Choi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SK,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Hong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SC,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Jeong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Comparison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Learning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Curves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Major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Minor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Resection.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Laparoendosc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Adv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Tech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2016;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26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457-464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</w:t>
      </w:r>
      <w:bookmarkStart w:id="63" w:name="OLE_LINK59"/>
      <w:bookmarkStart w:id="64" w:name="OLE_LINK60"/>
      <w:r w:rsidRPr="0065414A">
        <w:rPr>
          <w:rFonts w:ascii="Book Antiqua" w:hAnsi="Book Antiqua"/>
        </w:rPr>
        <w:t>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27120254</w:t>
      </w:r>
      <w:bookmarkEnd w:id="63"/>
      <w:bookmarkEnd w:id="64"/>
      <w:r w:rsidR="00960CB4">
        <w:rPr>
          <w:rFonts w:ascii="Book Antiqua" w:hAnsi="Book Antiqua"/>
        </w:rPr>
        <w:t xml:space="preserve"> </w:t>
      </w:r>
      <w:r w:rsidR="00B24F46" w:rsidRPr="00B24F46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="00B24F46" w:rsidRPr="00B24F46">
        <w:rPr>
          <w:rFonts w:ascii="Book Antiqua" w:hAnsi="Book Antiqua"/>
        </w:rPr>
        <w:t>10.1089/lap.2016.0063</w:t>
      </w:r>
      <w:r w:rsidRPr="0065414A">
        <w:rPr>
          <w:rFonts w:ascii="Book Antiqua" w:hAnsi="Book Antiqua"/>
        </w:rPr>
        <w:t>]</w:t>
      </w:r>
    </w:p>
    <w:p w14:paraId="372372F2" w14:textId="6FA7278D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Hong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SK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Worakitti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KW,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Pure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Versus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Open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Right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Hepatectomy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Donors: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Propensity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Score-matched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Analysis.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Ann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32324692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10.1097/SLA.0000000000003914]</w:t>
      </w:r>
    </w:p>
    <w:p w14:paraId="65FD8E92" w14:textId="140951D8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44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Tzvetanov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I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Bejarano-Pineda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Giulianotti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PC,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Jeon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Garcia-Roca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Bianco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Oberholzer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Benedetti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State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art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surgery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organ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transplantation.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World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J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2013;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37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2791-2799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24101021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10.1007/s00268-013-2244-x]</w:t>
      </w:r>
    </w:p>
    <w:p w14:paraId="4B535D04" w14:textId="7831C92C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Troisi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RI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Elsheikh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Alnemary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Zidan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Sturdevant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Alabbad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Algoufi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Shagrani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Broering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DC.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Safety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Feasibility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Report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Robotic-assisted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Left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Lateral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Sectionectomy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Pediatric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Donor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Liver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Transplantation: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Comparative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lastRenderedPageBreak/>
        <w:t>Analysis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Learning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Curves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Mastery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Achieved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With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Approach.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Transplantation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2021;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105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1044-1051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32467479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10.1097/TP.0000000000003332]</w:t>
      </w:r>
    </w:p>
    <w:p w14:paraId="58244475" w14:textId="09153B2D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Chang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KD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Abdel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Raheem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Choi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YD,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Chung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Rha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KH.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Retzius-sparing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robot-assisted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radical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prostatectomy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using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Revo-i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surgical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surgical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technique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and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results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of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first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human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trial.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BJU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Int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2018;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122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441-448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29645348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10.1111/bju.14245]</w:t>
      </w:r>
    </w:p>
    <w:p w14:paraId="02632CD3" w14:textId="5E6304F2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Lim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JH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WJ,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Park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DW,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Yea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HJ,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Kim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SH,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Kang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CM.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cholecystectomy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using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Revo-i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Model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MSR-5000,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newly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developed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Korean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surgical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preclinical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study.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Endosc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2017;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31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3391-3397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27873012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10.1007/s00464-016-5357-0]</w:t>
      </w:r>
    </w:p>
    <w:p w14:paraId="31BB58D8" w14:textId="6ECC7C5E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48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Seeliger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B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Diana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Ruurda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JP,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Konstantinidis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KM,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Marescaux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J,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Swanström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LL.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Enabling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single-site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laparoscopy: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the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SPORT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platform.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Surg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Endosc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2019;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33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3696-3703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30623255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10.1007/s00464-018-06658-x]</w:t>
      </w:r>
    </w:p>
    <w:p w14:paraId="7B4C272A" w14:textId="405C84F3" w:rsidR="0065414A" w:rsidRPr="00B24F46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49</w:t>
      </w:r>
      <w:r w:rsidR="00960CB4">
        <w:rPr>
          <w:rFonts w:ascii="Book Antiqua" w:hAnsi="Book Antiqua"/>
        </w:rPr>
        <w:t xml:space="preserve"> </w:t>
      </w:r>
      <w:r w:rsidR="00B24F46" w:rsidRPr="00B24F46">
        <w:rPr>
          <w:rFonts w:ascii="Book Antiqua" w:hAnsi="Book Antiqua"/>
          <w:b/>
          <w:bCs/>
        </w:rPr>
        <w:t>Stephan</w:t>
      </w:r>
      <w:r w:rsidR="00960CB4">
        <w:rPr>
          <w:rFonts w:ascii="Book Antiqua" w:hAnsi="Book Antiqua"/>
          <w:b/>
          <w:bCs/>
        </w:rPr>
        <w:t xml:space="preserve"> </w:t>
      </w:r>
      <w:r w:rsidR="00B24F46" w:rsidRPr="00B24F46">
        <w:rPr>
          <w:rFonts w:ascii="Book Antiqua" w:hAnsi="Book Antiqua"/>
          <w:b/>
          <w:bCs/>
        </w:rPr>
        <w:t>D</w:t>
      </w:r>
      <w:r w:rsidR="00B24F46" w:rsidRPr="00B24F46">
        <w:rPr>
          <w:rFonts w:ascii="Book Antiqua" w:hAnsi="Book Antiqua"/>
          <w:bCs/>
        </w:rPr>
        <w:t>,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Darwich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I,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Willeke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F.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The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TransEnterix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European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Patient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Registry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for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Robotic-Assisted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Laparoscopic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Procedures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in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Urology,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Abdominal,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Thoracic,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and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Gynecologic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Surgery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("TRUST").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  <w:i/>
        </w:rPr>
        <w:t>Surg</w:t>
      </w:r>
      <w:r w:rsidR="00960CB4">
        <w:rPr>
          <w:rFonts w:ascii="Book Antiqua" w:hAnsi="Book Antiqua"/>
          <w:bCs/>
          <w:i/>
        </w:rPr>
        <w:t xml:space="preserve"> </w:t>
      </w:r>
      <w:r w:rsidR="00B24F46" w:rsidRPr="00B24F46">
        <w:rPr>
          <w:rFonts w:ascii="Book Antiqua" w:hAnsi="Book Antiqua"/>
          <w:bCs/>
          <w:i/>
        </w:rPr>
        <w:t>Technol</w:t>
      </w:r>
      <w:r w:rsidR="00960CB4">
        <w:rPr>
          <w:rFonts w:ascii="Book Antiqua" w:hAnsi="Book Antiqua"/>
          <w:bCs/>
          <w:i/>
        </w:rPr>
        <w:t xml:space="preserve"> </w:t>
      </w:r>
      <w:r w:rsidR="00B24F46" w:rsidRPr="00B24F46">
        <w:rPr>
          <w:rFonts w:ascii="Book Antiqua" w:hAnsi="Book Antiqua"/>
          <w:bCs/>
          <w:i/>
        </w:rPr>
        <w:t>Int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2021;</w:t>
      </w:r>
      <w:r w:rsidR="00960CB4">
        <w:rPr>
          <w:rFonts w:ascii="Book Antiqua" w:hAnsi="Book Antiqua" w:hint="eastAsia"/>
          <w:bCs/>
        </w:rPr>
        <w:t xml:space="preserve"> </w:t>
      </w:r>
      <w:r w:rsidR="00B24F46" w:rsidRPr="00B24F46">
        <w:rPr>
          <w:rFonts w:ascii="Book Antiqua" w:hAnsi="Book Antiqua"/>
          <w:b/>
          <w:bCs/>
        </w:rPr>
        <w:t>38</w:t>
      </w:r>
      <w:r w:rsidR="00B24F46" w:rsidRPr="00B24F46">
        <w:rPr>
          <w:rFonts w:ascii="Book Antiqua" w:hAnsi="Book Antiqua"/>
          <w:bCs/>
        </w:rPr>
        <w:t>:</w:t>
      </w:r>
      <w:r w:rsidR="00960CB4">
        <w:rPr>
          <w:rFonts w:ascii="Book Antiqua" w:hAnsi="Book Antiqua" w:hint="eastAsia"/>
          <w:bCs/>
        </w:rPr>
        <w:t xml:space="preserve"> </w:t>
      </w:r>
      <w:r w:rsidR="00B24F46">
        <w:rPr>
          <w:rFonts w:ascii="Book Antiqua" w:hAnsi="Book Antiqua"/>
          <w:bCs/>
        </w:rPr>
        <w:t>sti38/1394</w:t>
      </w:r>
      <w:r w:rsidR="00960CB4">
        <w:rPr>
          <w:rFonts w:ascii="Book Antiqua" w:hAnsi="Book Antiqua"/>
          <w:bCs/>
        </w:rPr>
        <w:t xml:space="preserve"> </w:t>
      </w:r>
      <w:r w:rsidR="00B24F46">
        <w:rPr>
          <w:rFonts w:ascii="Book Antiqua" w:hAnsi="Book Antiqua" w:hint="eastAsia"/>
          <w:bCs/>
        </w:rPr>
        <w:t>[</w:t>
      </w:r>
      <w:r w:rsidR="00B24F46" w:rsidRPr="00B24F46">
        <w:rPr>
          <w:rFonts w:ascii="Book Antiqua" w:hAnsi="Book Antiqua"/>
          <w:bCs/>
        </w:rPr>
        <w:t>PMID: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33513657</w:t>
      </w:r>
      <w:r w:rsidR="00960CB4">
        <w:rPr>
          <w:rFonts w:ascii="Book Antiqua" w:hAnsi="Book Antiqua" w:hint="eastAsia"/>
          <w:bCs/>
        </w:rPr>
        <w:t xml:space="preserve"> </w:t>
      </w:r>
      <w:r w:rsidR="00B24F46">
        <w:rPr>
          <w:rFonts w:ascii="Book Antiqua" w:hAnsi="Book Antiqua" w:hint="eastAsia"/>
          <w:bCs/>
        </w:rPr>
        <w:t>DOI</w:t>
      </w:r>
      <w:r w:rsidR="00B24F46" w:rsidRPr="00B24F46">
        <w:rPr>
          <w:rFonts w:ascii="Book Antiqua" w:hAnsi="Book Antiqua"/>
          <w:bCs/>
        </w:rPr>
        <w:t>:</w:t>
      </w:r>
      <w:r w:rsidR="00960CB4">
        <w:rPr>
          <w:rFonts w:ascii="Book Antiqua" w:hAnsi="Book Antiqua"/>
          <w:bCs/>
        </w:rPr>
        <w:t xml:space="preserve"> </w:t>
      </w:r>
      <w:r w:rsidR="00B24F46" w:rsidRPr="00B24F46">
        <w:rPr>
          <w:rFonts w:ascii="Book Antiqua" w:hAnsi="Book Antiqua"/>
          <w:bCs/>
        </w:rPr>
        <w:t>10.52198/21.STI.38.GS1394</w:t>
      </w:r>
      <w:r w:rsidR="00B24F46">
        <w:rPr>
          <w:rFonts w:ascii="Book Antiqua" w:hAnsi="Book Antiqua" w:hint="eastAsia"/>
          <w:bCs/>
        </w:rPr>
        <w:t>]</w:t>
      </w:r>
    </w:p>
    <w:p w14:paraId="33877F27" w14:textId="199FEAD6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50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Wedmid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A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Llukani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E,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Lee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DI.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Future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perspectives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in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surgery.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BJU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Int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2011;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108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1028-1036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21917107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10.1111/j.1464-410X.2011.10458.x]</w:t>
      </w:r>
    </w:p>
    <w:p w14:paraId="7025CF9C" w14:textId="03E922C1" w:rsidR="00A77B3E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5414A">
        <w:rPr>
          <w:rFonts w:ascii="Book Antiqua" w:hAnsi="Book Antiqua"/>
        </w:rPr>
        <w:t>51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Wilson</w:t>
      </w:r>
      <w:r w:rsidR="00960CB4">
        <w:rPr>
          <w:rFonts w:ascii="Book Antiqua" w:hAnsi="Book Antiqua"/>
          <w:b/>
          <w:bCs/>
        </w:rPr>
        <w:t xml:space="preserve"> </w:t>
      </w:r>
      <w:r w:rsidRPr="0065414A">
        <w:rPr>
          <w:rFonts w:ascii="Book Antiqua" w:hAnsi="Book Antiqua"/>
          <w:b/>
          <w:bCs/>
        </w:rPr>
        <w:t>M</w:t>
      </w:r>
      <w:r w:rsidRPr="0065414A">
        <w:rPr>
          <w:rFonts w:ascii="Book Antiqua" w:hAnsi="Book Antiqua"/>
        </w:rPr>
        <w:t>,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Badani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K.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Competing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Robotic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Systems: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A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Preview.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i/>
          <w:iCs/>
        </w:rPr>
        <w:t>Urol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Clin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North</w:t>
      </w:r>
      <w:r w:rsidR="00960CB4">
        <w:rPr>
          <w:rFonts w:ascii="Book Antiqua" w:hAnsi="Book Antiqua"/>
          <w:i/>
          <w:iCs/>
        </w:rPr>
        <w:t xml:space="preserve"> </w:t>
      </w:r>
      <w:r w:rsidRPr="0065414A">
        <w:rPr>
          <w:rFonts w:ascii="Book Antiqua" w:hAnsi="Book Antiqua"/>
          <w:i/>
          <w:iCs/>
        </w:rPr>
        <w:t>Am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2021;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  <w:b/>
          <w:bCs/>
        </w:rPr>
        <w:t>48</w:t>
      </w:r>
      <w:r w:rsidRPr="0065414A">
        <w:rPr>
          <w:rFonts w:ascii="Book Antiqua" w:hAnsi="Book Antiqua"/>
        </w:rPr>
        <w:t>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147-150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[PMID: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33218589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DOI:</w:t>
      </w:r>
      <w:r w:rsidR="00960CB4">
        <w:rPr>
          <w:rFonts w:ascii="Book Antiqua" w:hAnsi="Book Antiqua"/>
        </w:rPr>
        <w:t xml:space="preserve"> </w:t>
      </w:r>
      <w:r w:rsidRPr="0065414A">
        <w:rPr>
          <w:rFonts w:ascii="Book Antiqua" w:hAnsi="Book Antiqua"/>
        </w:rPr>
        <w:t>10.1016/j.ucl.2020.09.007]</w:t>
      </w:r>
    </w:p>
    <w:bookmarkEnd w:id="52"/>
    <w:bookmarkEnd w:id="53"/>
    <w:p w14:paraId="759A88B5" w14:textId="77777777" w:rsidR="0065414A" w:rsidRPr="0065414A" w:rsidRDefault="0065414A" w:rsidP="0065414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  <w:sectPr w:rsidR="0065414A" w:rsidRPr="006541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7B7D77" w14:textId="77777777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08925DB" w14:textId="104A2AED" w:rsidR="00A77B3E" w:rsidRPr="007E11AD" w:rsidRDefault="00A76A1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960CB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960CB4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DD0BE5">
        <w:rPr>
          <w:rFonts w:ascii="Book Antiqua" w:eastAsia="Book Antiqua" w:hAnsi="Book Antiqua" w:cs="Book Antiqua"/>
          <w:color w:val="000000"/>
        </w:rPr>
        <w:t>authors declare no conflicts of interest.</w:t>
      </w:r>
    </w:p>
    <w:p w14:paraId="387E246A" w14:textId="77777777" w:rsidR="00A77B3E" w:rsidRDefault="00A77B3E">
      <w:pPr>
        <w:spacing w:line="360" w:lineRule="auto"/>
        <w:jc w:val="both"/>
      </w:pPr>
    </w:p>
    <w:p w14:paraId="5A47D8E3" w14:textId="3E61A27A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60C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1586944" w14:textId="77777777" w:rsidR="00A77B3E" w:rsidRDefault="00A77B3E">
      <w:pPr>
        <w:spacing w:line="360" w:lineRule="auto"/>
        <w:jc w:val="both"/>
      </w:pPr>
    </w:p>
    <w:p w14:paraId="07CAFF4B" w14:textId="2E209053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 w:rsidR="007E11AD">
        <w:rPr>
          <w:rFonts w:ascii="Book Antiqua" w:eastAsia="Book Antiqua" w:hAnsi="Book Antiqua" w:cs="Book Antiqua"/>
          <w:color w:val="000000"/>
        </w:rPr>
        <w:t>manuscript</w:t>
      </w:r>
    </w:p>
    <w:p w14:paraId="11B08C75" w14:textId="77777777" w:rsidR="00A77B3E" w:rsidRDefault="00A77B3E">
      <w:pPr>
        <w:spacing w:line="360" w:lineRule="auto"/>
        <w:jc w:val="both"/>
      </w:pPr>
    </w:p>
    <w:p w14:paraId="3D091E6D" w14:textId="22996316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1E0FEBC" w14:textId="6E4D0E50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F99428B" w14:textId="767894BF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0F73">
        <w:rPr>
          <w:rFonts w:ascii="Book Antiqua" w:eastAsia="宋体" w:hAnsi="Book Antiqua"/>
          <w:color w:val="000000" w:themeColor="text1"/>
        </w:rPr>
        <w:t>J</w:t>
      </w:r>
      <w:r w:rsidR="00130F73">
        <w:rPr>
          <w:rFonts w:ascii="Book Antiqua" w:eastAsia="宋体" w:hAnsi="Book Antiqua" w:hint="eastAsia"/>
          <w:color w:val="000000" w:themeColor="text1"/>
        </w:rPr>
        <w:t>une</w:t>
      </w:r>
      <w:r w:rsidR="00130F7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130F73">
        <w:rPr>
          <w:rFonts w:ascii="Book Antiqua" w:eastAsia="宋体" w:hAnsi="Book Antiqua"/>
          <w:color w:val="000000" w:themeColor="text1"/>
        </w:rPr>
        <w:t>16</w:t>
      </w:r>
      <w:r w:rsidR="00130F73" w:rsidRPr="00F06907">
        <w:rPr>
          <w:rFonts w:ascii="Book Antiqua" w:eastAsia="宋体" w:hAnsi="Book Antiqua"/>
          <w:color w:val="000000" w:themeColor="text1"/>
        </w:rPr>
        <w:t>, 2021</w:t>
      </w:r>
    </w:p>
    <w:p w14:paraId="459ABCF1" w14:textId="77777777" w:rsidR="00A77B3E" w:rsidRDefault="00A77B3E">
      <w:pPr>
        <w:spacing w:line="360" w:lineRule="auto"/>
        <w:jc w:val="both"/>
      </w:pPr>
    </w:p>
    <w:p w14:paraId="5C4F3959" w14:textId="65BE4059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</w:p>
    <w:p w14:paraId="6657F654" w14:textId="3BEFD6F4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5791DD0A" w14:textId="0606A942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D9B163" w14:textId="7C083CEF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776D3E4" w14:textId="6538183C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60CB4">
        <w:rPr>
          <w:rFonts w:ascii="Book Antiqua" w:eastAsia="Book Antiqua" w:hAnsi="Book Antiqua" w:cs="Book Antiqua"/>
          <w:color w:val="000000"/>
        </w:rPr>
        <w:t>, B</w:t>
      </w:r>
    </w:p>
    <w:p w14:paraId="54ABC31E" w14:textId="57230917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694850" w14:textId="2892CA0F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E080CEA" w14:textId="3E4BA042" w:rsidR="00A77B3E" w:rsidRDefault="00A76A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E43D68" w14:textId="77777777" w:rsidR="00A77B3E" w:rsidRDefault="00A77B3E">
      <w:pPr>
        <w:spacing w:line="360" w:lineRule="auto"/>
        <w:jc w:val="both"/>
      </w:pPr>
    </w:p>
    <w:p w14:paraId="401494CD" w14:textId="202C37BA" w:rsidR="00130A18" w:rsidRPr="00C173AE" w:rsidRDefault="00A76A1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Ferrarese</w:t>
      </w:r>
      <w:r w:rsidR="00960CB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0A18">
        <w:rPr>
          <w:rFonts w:ascii="Book Antiqua" w:hAnsi="Book Antiqua" w:cs="Book Antiqua" w:hint="eastAsia"/>
          <w:color w:val="000000"/>
          <w:lang w:eastAsia="zh-CN"/>
        </w:rPr>
        <w:t>Zhang</w:t>
      </w:r>
      <w:r w:rsidR="00960CB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30A18">
        <w:rPr>
          <w:rFonts w:ascii="Book Antiqua" w:hAnsi="Book Antiqua" w:cs="Book Antiqua" w:hint="eastAsia"/>
          <w:color w:val="000000"/>
          <w:lang w:eastAsia="zh-CN"/>
        </w:rPr>
        <w:t>H</w:t>
      </w:r>
      <w:r w:rsidR="00960CB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0A18">
        <w:rPr>
          <w:rFonts w:ascii="Book Antiqua" w:eastAsia="Book Antiqua" w:hAnsi="Book Antiqua" w:cs="Book Antiqua"/>
          <w:b/>
          <w:color w:val="000000"/>
        </w:rPr>
        <w:t>L-Editor:</w:t>
      </w:r>
      <w:r w:rsidR="00F9083B">
        <w:rPr>
          <w:rFonts w:ascii="Book Antiqua" w:eastAsia="Book Antiqua" w:hAnsi="Book Antiqua" w:cs="Book Antiqua"/>
          <w:bCs/>
          <w:color w:val="000000"/>
        </w:rPr>
        <w:t xml:space="preserve"> 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60CB4" w:rsidRPr="00C173AE">
        <w:rPr>
          <w:rFonts w:ascii="Book Antiqua" w:eastAsia="Book Antiqua" w:hAnsi="Book Antiqua" w:cs="Book Antiqua"/>
          <w:color w:val="000000"/>
        </w:rPr>
        <w:t xml:space="preserve"> </w:t>
      </w:r>
      <w:r w:rsidR="00C173AE" w:rsidRPr="00C173AE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709D4407" w14:textId="256E7B1E" w:rsidR="00D87CE6" w:rsidRPr="005166DE" w:rsidRDefault="00130A18" w:rsidP="00D87CE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bookmarkStart w:id="65" w:name="OLE_LINK61"/>
      <w:bookmarkStart w:id="66" w:name="OLE_LINK62"/>
      <w:bookmarkStart w:id="67" w:name="OLE_LINK63"/>
      <w:bookmarkStart w:id="68" w:name="OLE_LINK64"/>
      <w:bookmarkStart w:id="69" w:name="OLE_LINK65"/>
      <w:bookmarkStart w:id="70" w:name="OLE_LINK66"/>
      <w:bookmarkStart w:id="71" w:name="OLE_LINK67"/>
      <w:r w:rsidR="00D87CE6">
        <w:rPr>
          <w:rFonts w:ascii="Book Antiqua" w:hAnsi="Book Antiqua"/>
          <w:b/>
          <w:color w:val="000000"/>
        </w:rPr>
        <w:lastRenderedPageBreak/>
        <w:t>Table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>
        <w:rPr>
          <w:rFonts w:ascii="Book Antiqua" w:hAnsi="Book Antiqua"/>
          <w:b/>
          <w:color w:val="000000"/>
        </w:rPr>
        <w:t>1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Evidence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based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comparison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between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open,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conventional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laparoscopic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and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robotic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donor</w:t>
      </w:r>
      <w:r w:rsidR="00960CB4">
        <w:rPr>
          <w:rFonts w:ascii="Book Antiqua" w:hAnsi="Book Antiqua"/>
          <w:b/>
          <w:color w:val="000000"/>
        </w:rPr>
        <w:t xml:space="preserve"> </w:t>
      </w:r>
      <w:r w:rsidR="00D87CE6" w:rsidRPr="005166DE">
        <w:rPr>
          <w:rFonts w:ascii="Book Antiqua" w:hAnsi="Book Antiqua"/>
          <w:b/>
          <w:color w:val="000000"/>
        </w:rPr>
        <w:t>hepatectomy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98"/>
        <w:gridCol w:w="1724"/>
        <w:gridCol w:w="3073"/>
        <w:gridCol w:w="2781"/>
      </w:tblGrid>
      <w:tr w:rsidR="00D87CE6" w:rsidRPr="005166DE" w14:paraId="29E8784E" w14:textId="77777777" w:rsidTr="00C173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47AC4A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A97484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131413"/>
              </w:rPr>
            </w:pPr>
            <w:r w:rsidRPr="005166DE">
              <w:rPr>
                <w:rFonts w:ascii="Book Antiqua" w:hAnsi="Book Antiqua" w:cs="Times New Roman"/>
                <w:b/>
                <w:color w:val="131413"/>
              </w:rPr>
              <w:t>ODH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E7B96E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131413"/>
              </w:rPr>
            </w:pPr>
            <w:r w:rsidRPr="005166DE">
              <w:rPr>
                <w:rFonts w:ascii="Book Antiqua" w:hAnsi="Book Antiqua" w:cs="Times New Roman"/>
                <w:b/>
                <w:color w:val="131413"/>
              </w:rPr>
              <w:t>CLDH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C183C1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131413"/>
              </w:rPr>
            </w:pPr>
            <w:r w:rsidRPr="005166DE">
              <w:rPr>
                <w:rFonts w:ascii="Book Antiqua" w:hAnsi="Book Antiqua" w:cs="Times New Roman"/>
                <w:b/>
                <w:color w:val="131413"/>
              </w:rPr>
              <w:t>RDH</w:t>
            </w:r>
          </w:p>
        </w:tc>
      </w:tr>
      <w:tr w:rsidR="00D87CE6" w:rsidRPr="00DB2F1F" w14:paraId="2256A68C" w14:textId="77777777" w:rsidTr="00C173AE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565BFF1C" w14:textId="3C787651" w:rsidR="00D87CE6" w:rsidRPr="00DB2F1F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DB2F1F">
              <w:rPr>
                <w:rFonts w:ascii="Book Antiqua" w:hAnsi="Book Antiqua" w:cs="Times New Roman"/>
                <w:color w:val="131413"/>
              </w:rPr>
              <w:t>Pre-operative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DB2F1F">
              <w:rPr>
                <w:rFonts w:ascii="Book Antiqua" w:hAnsi="Book Antiqua" w:cs="Times New Roman"/>
                <w:color w:val="131413"/>
              </w:rPr>
              <w:t>aspects</w:t>
            </w:r>
          </w:p>
        </w:tc>
      </w:tr>
      <w:tr w:rsidR="00D87CE6" w:rsidRPr="005166DE" w14:paraId="1208A65B" w14:textId="77777777" w:rsidTr="00C173AE">
        <w:tc>
          <w:tcPr>
            <w:tcW w:w="0" w:type="auto"/>
          </w:tcPr>
          <w:p w14:paraId="7140065F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Selection</w:t>
            </w:r>
          </w:p>
        </w:tc>
        <w:tc>
          <w:tcPr>
            <w:tcW w:w="0" w:type="auto"/>
          </w:tcPr>
          <w:p w14:paraId="40416F96" w14:textId="636DDB61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Favourable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anatomy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during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the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learning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curve</w:t>
            </w:r>
          </w:p>
        </w:tc>
        <w:tc>
          <w:tcPr>
            <w:tcW w:w="0" w:type="auto"/>
          </w:tcPr>
          <w:p w14:paraId="296297BF" w14:textId="2142A45C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Favourable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anatomy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&amp;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body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habitus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during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the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learning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curve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[6,1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,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39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,4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0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,4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2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46645473" w14:textId="71AC1C03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Favourable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anatomy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during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the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learning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curve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5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,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29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,4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</w:tr>
      <w:tr w:rsidR="00D87CE6" w:rsidRPr="00DB2F1F" w14:paraId="45A32157" w14:textId="77777777" w:rsidTr="00C173AE">
        <w:tc>
          <w:tcPr>
            <w:tcW w:w="0" w:type="auto"/>
            <w:gridSpan w:val="4"/>
          </w:tcPr>
          <w:p w14:paraId="70E2BE15" w14:textId="333AFBFA" w:rsidR="00D87CE6" w:rsidRPr="00DB2F1F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DB2F1F">
              <w:rPr>
                <w:rFonts w:ascii="Book Antiqua" w:hAnsi="Book Antiqua" w:cs="Times New Roman"/>
                <w:color w:val="131413"/>
              </w:rPr>
              <w:t>Intra-</w:t>
            </w:r>
            <w:r w:rsidR="00F91102" w:rsidRPr="00DB2F1F">
              <w:rPr>
                <w:rFonts w:ascii="Book Antiqua" w:hAnsi="Book Antiqua" w:cs="Times New Roman"/>
                <w:color w:val="131413"/>
              </w:rPr>
              <w:t>operative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DB2F1F">
              <w:rPr>
                <w:rFonts w:ascii="Book Antiqua" w:hAnsi="Book Antiqua" w:cs="Times New Roman"/>
                <w:color w:val="131413"/>
              </w:rPr>
              <w:t>aspect</w:t>
            </w:r>
            <w:r w:rsidRPr="00DB2F1F">
              <w:rPr>
                <w:rFonts w:ascii="Book Antiqua" w:hAnsi="Book Antiqua" w:cs="Times New Roman"/>
                <w:color w:val="131413"/>
              </w:rPr>
              <w:t>s</w:t>
            </w:r>
          </w:p>
        </w:tc>
      </w:tr>
      <w:tr w:rsidR="00D87CE6" w:rsidRPr="005166DE" w14:paraId="781635A9" w14:textId="77777777" w:rsidTr="00C173AE">
        <w:tc>
          <w:tcPr>
            <w:tcW w:w="0" w:type="auto"/>
          </w:tcPr>
          <w:p w14:paraId="1E42EE3C" w14:textId="7AB80CEC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Operative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5166DE">
              <w:rPr>
                <w:rFonts w:ascii="Book Antiqua" w:hAnsi="Book Antiqua" w:cs="Times New Roman"/>
                <w:color w:val="131413"/>
              </w:rPr>
              <w:t>time</w:t>
            </w:r>
          </w:p>
        </w:tc>
        <w:tc>
          <w:tcPr>
            <w:tcW w:w="0" w:type="auto"/>
          </w:tcPr>
          <w:p w14:paraId="08BA2F4B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Comparable</w:t>
            </w:r>
          </w:p>
        </w:tc>
        <w:tc>
          <w:tcPr>
            <w:tcW w:w="0" w:type="auto"/>
          </w:tcPr>
          <w:p w14:paraId="69B50C43" w14:textId="0B2A7990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Comparable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61A45322" w14:textId="5FCD3329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Comparable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[17,18,33,47,48]</w:t>
            </w:r>
          </w:p>
        </w:tc>
      </w:tr>
      <w:tr w:rsidR="00D87CE6" w:rsidRPr="005166DE" w14:paraId="73179204" w14:textId="77777777" w:rsidTr="00C173AE">
        <w:trPr>
          <w:trHeight w:val="771"/>
        </w:trPr>
        <w:tc>
          <w:tcPr>
            <w:tcW w:w="0" w:type="auto"/>
          </w:tcPr>
          <w:p w14:paraId="07158D55" w14:textId="56A9580F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Blood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loss</w:t>
            </w:r>
          </w:p>
          <w:p w14:paraId="60DBAFF2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</w:p>
        </w:tc>
        <w:tc>
          <w:tcPr>
            <w:tcW w:w="0" w:type="auto"/>
          </w:tcPr>
          <w:p w14:paraId="66F9CE59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</w:p>
        </w:tc>
        <w:tc>
          <w:tcPr>
            <w:tcW w:w="0" w:type="auto"/>
          </w:tcPr>
          <w:p w14:paraId="186E1AB4" w14:textId="2F1DC2D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than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ODH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  <w:p w14:paraId="53033438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</w:p>
        </w:tc>
        <w:tc>
          <w:tcPr>
            <w:tcW w:w="0" w:type="auto"/>
          </w:tcPr>
          <w:p w14:paraId="3CF73777" w14:textId="7DFDF069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than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ODH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</w:tr>
      <w:tr w:rsidR="00D87CE6" w:rsidRPr="005166DE" w14:paraId="30780AFB" w14:textId="77777777" w:rsidTr="00C173AE">
        <w:trPr>
          <w:trHeight w:val="1269"/>
        </w:trPr>
        <w:tc>
          <w:tcPr>
            <w:tcW w:w="0" w:type="auto"/>
          </w:tcPr>
          <w:p w14:paraId="6A498FB9" w14:textId="766FE5AC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Warm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5166DE">
              <w:rPr>
                <w:rFonts w:ascii="Book Antiqua" w:hAnsi="Book Antiqua" w:cs="Times New Roman"/>
                <w:color w:val="131413"/>
              </w:rPr>
              <w:t>ischemia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5166DE">
              <w:rPr>
                <w:rFonts w:ascii="Book Antiqua" w:hAnsi="Book Antiqua" w:cs="Times New Roman"/>
                <w:color w:val="131413"/>
              </w:rPr>
              <w:t>tim</w:t>
            </w:r>
            <w:r w:rsidRPr="005166DE">
              <w:rPr>
                <w:rFonts w:ascii="Book Antiqua" w:hAnsi="Book Antiqua" w:cs="Times New Roman"/>
                <w:color w:val="131413"/>
              </w:rPr>
              <w:t>e</w:t>
            </w:r>
          </w:p>
        </w:tc>
        <w:tc>
          <w:tcPr>
            <w:tcW w:w="0" w:type="auto"/>
          </w:tcPr>
          <w:p w14:paraId="231B982E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Shorter</w:t>
            </w:r>
          </w:p>
        </w:tc>
        <w:tc>
          <w:tcPr>
            <w:tcW w:w="0" w:type="auto"/>
          </w:tcPr>
          <w:p w14:paraId="74A9ECBB" w14:textId="251DE3F9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Longer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35EBC1D6" w14:textId="6F2A1CCA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Longer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</w:tr>
      <w:tr w:rsidR="00D87CE6" w:rsidRPr="00DB2F1F" w14:paraId="1B61875E" w14:textId="77777777" w:rsidTr="00C173AE">
        <w:trPr>
          <w:trHeight w:val="359"/>
        </w:trPr>
        <w:tc>
          <w:tcPr>
            <w:tcW w:w="0" w:type="auto"/>
            <w:gridSpan w:val="4"/>
          </w:tcPr>
          <w:p w14:paraId="084A09AB" w14:textId="2CAA026A" w:rsidR="00D87CE6" w:rsidRPr="00DB2F1F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DB2F1F">
              <w:rPr>
                <w:rFonts w:ascii="Book Antiqua" w:hAnsi="Book Antiqua" w:cs="Times New Roman"/>
                <w:color w:val="131413"/>
              </w:rPr>
              <w:t>Post-</w:t>
            </w:r>
            <w:r w:rsidR="00F91102" w:rsidRPr="00DB2F1F">
              <w:rPr>
                <w:rFonts w:ascii="Book Antiqua" w:hAnsi="Book Antiqua" w:cs="Times New Roman"/>
                <w:color w:val="131413"/>
              </w:rPr>
              <w:t>operative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DB2F1F">
              <w:rPr>
                <w:rFonts w:ascii="Book Antiqua" w:hAnsi="Book Antiqua" w:cs="Times New Roman"/>
                <w:color w:val="131413"/>
              </w:rPr>
              <w:t>aspe</w:t>
            </w:r>
            <w:r w:rsidRPr="00DB2F1F">
              <w:rPr>
                <w:rFonts w:ascii="Book Antiqua" w:hAnsi="Book Antiqua" w:cs="Times New Roman"/>
                <w:color w:val="131413"/>
              </w:rPr>
              <w:t>cts</w:t>
            </w:r>
          </w:p>
        </w:tc>
      </w:tr>
      <w:tr w:rsidR="00D87CE6" w:rsidRPr="005166DE" w14:paraId="67E47A2A" w14:textId="77777777" w:rsidTr="00C173AE">
        <w:trPr>
          <w:trHeight w:val="323"/>
        </w:trPr>
        <w:tc>
          <w:tcPr>
            <w:tcW w:w="0" w:type="auto"/>
          </w:tcPr>
          <w:p w14:paraId="0792D501" w14:textId="46E759DD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Pain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5166DE">
              <w:rPr>
                <w:rFonts w:ascii="Book Antiqua" w:hAnsi="Book Antiqua" w:cs="Times New Roman"/>
                <w:color w:val="131413"/>
              </w:rPr>
              <w:t>scores</w:t>
            </w:r>
          </w:p>
        </w:tc>
        <w:tc>
          <w:tcPr>
            <w:tcW w:w="0" w:type="auto"/>
          </w:tcPr>
          <w:p w14:paraId="27022F27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</w:p>
        </w:tc>
        <w:tc>
          <w:tcPr>
            <w:tcW w:w="0" w:type="auto"/>
          </w:tcPr>
          <w:p w14:paraId="19D7AFF4" w14:textId="608A68C9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0285F3BE" w14:textId="5E201870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CLDH)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</w:tr>
      <w:tr w:rsidR="00D87CE6" w:rsidRPr="005166DE" w14:paraId="71BE536D" w14:textId="77777777" w:rsidTr="00C173AE">
        <w:trPr>
          <w:trHeight w:val="429"/>
        </w:trPr>
        <w:tc>
          <w:tcPr>
            <w:tcW w:w="0" w:type="auto"/>
          </w:tcPr>
          <w:p w14:paraId="432F9BAA" w14:textId="45F758FD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Analgesic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5166DE">
              <w:rPr>
                <w:rFonts w:ascii="Book Antiqua" w:hAnsi="Book Antiqua" w:cs="Times New Roman"/>
                <w:color w:val="131413"/>
              </w:rPr>
              <w:t>use</w:t>
            </w:r>
          </w:p>
        </w:tc>
        <w:tc>
          <w:tcPr>
            <w:tcW w:w="0" w:type="auto"/>
          </w:tcPr>
          <w:p w14:paraId="1473A3A6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</w:p>
        </w:tc>
        <w:tc>
          <w:tcPr>
            <w:tcW w:w="0" w:type="auto"/>
          </w:tcPr>
          <w:p w14:paraId="3359D772" w14:textId="2B6DCB3F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18AAF67A" w14:textId="0F3E50A4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CLDH)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</w:tr>
      <w:tr w:rsidR="00D87CE6" w:rsidRPr="005166DE" w14:paraId="42870005" w14:textId="77777777" w:rsidTr="00C173AE">
        <w:trPr>
          <w:trHeight w:val="394"/>
        </w:trPr>
        <w:tc>
          <w:tcPr>
            <w:tcW w:w="0" w:type="auto"/>
          </w:tcPr>
          <w:p w14:paraId="2D9363C6" w14:textId="03FA54DD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Peak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AST</w:t>
            </w:r>
          </w:p>
        </w:tc>
        <w:tc>
          <w:tcPr>
            <w:tcW w:w="0" w:type="auto"/>
          </w:tcPr>
          <w:p w14:paraId="0A67816B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</w:p>
        </w:tc>
        <w:tc>
          <w:tcPr>
            <w:tcW w:w="0" w:type="auto"/>
          </w:tcPr>
          <w:p w14:paraId="3FDC9B38" w14:textId="6642396F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0D3B99C6" w14:textId="06FCD5C9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CLDH)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[17,18,33,47,48]</w:t>
            </w:r>
          </w:p>
        </w:tc>
      </w:tr>
      <w:tr w:rsidR="00D87CE6" w:rsidRPr="00DB2F1F" w14:paraId="5A755795" w14:textId="77777777" w:rsidTr="00C173AE">
        <w:trPr>
          <w:trHeight w:val="372"/>
        </w:trPr>
        <w:tc>
          <w:tcPr>
            <w:tcW w:w="0" w:type="auto"/>
            <w:gridSpan w:val="4"/>
          </w:tcPr>
          <w:p w14:paraId="50189768" w14:textId="521D6D6B" w:rsidR="00D87CE6" w:rsidRPr="00DB2F1F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DB2F1F">
              <w:rPr>
                <w:rFonts w:ascii="Book Antiqua" w:hAnsi="Book Antiqua" w:cs="Times New Roman"/>
                <w:color w:val="131413"/>
              </w:rPr>
              <w:t>Donor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DB2F1F">
              <w:rPr>
                <w:rFonts w:ascii="Book Antiqua" w:hAnsi="Book Antiqua" w:cs="Times New Roman"/>
                <w:color w:val="131413"/>
              </w:rPr>
              <w:t>morbidity</w:t>
            </w:r>
          </w:p>
        </w:tc>
      </w:tr>
      <w:tr w:rsidR="00D87CE6" w:rsidRPr="005166DE" w14:paraId="42EC0505" w14:textId="77777777" w:rsidTr="00C173AE">
        <w:trPr>
          <w:trHeight w:val="1060"/>
        </w:trPr>
        <w:tc>
          <w:tcPr>
            <w:tcW w:w="0" w:type="auto"/>
          </w:tcPr>
          <w:p w14:paraId="62ADD10F" w14:textId="1827A49E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Overall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5166DE">
              <w:rPr>
                <w:rFonts w:ascii="Book Antiqua" w:hAnsi="Book Antiqua" w:cs="Times New Roman"/>
                <w:color w:val="131413"/>
              </w:rPr>
              <w:t>donor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5166DE">
              <w:rPr>
                <w:rFonts w:ascii="Book Antiqua" w:hAnsi="Book Antiqua" w:cs="Times New Roman"/>
                <w:color w:val="131413"/>
              </w:rPr>
              <w:t>complication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F91102" w:rsidRPr="005166DE">
              <w:rPr>
                <w:rFonts w:ascii="Book Antiqua" w:hAnsi="Book Antiqua" w:cs="Times New Roman"/>
                <w:color w:val="131413"/>
              </w:rPr>
              <w:t>ra</w:t>
            </w:r>
            <w:r w:rsidRPr="005166DE">
              <w:rPr>
                <w:rFonts w:ascii="Book Antiqua" w:hAnsi="Book Antiqua" w:cs="Times New Roman"/>
                <w:color w:val="131413"/>
              </w:rPr>
              <w:t>tes</w:t>
            </w:r>
          </w:p>
        </w:tc>
        <w:tc>
          <w:tcPr>
            <w:tcW w:w="0" w:type="auto"/>
          </w:tcPr>
          <w:p w14:paraId="413A15CC" w14:textId="51417B92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Standard</w:t>
            </w:r>
            <w:r w:rsidRPr="005166DE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[</w:t>
            </w:r>
            <w:r w:rsidR="009F31E3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3,7</w:t>
            </w:r>
            <w:r w:rsidRPr="005166DE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–</w:t>
            </w:r>
            <w:r w:rsidR="009F31E3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9</w:t>
            </w:r>
            <w:r w:rsidRPr="005166DE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6C631BC8" w14:textId="34B91165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CB3CC5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</w:p>
        </w:tc>
        <w:tc>
          <w:tcPr>
            <w:tcW w:w="0" w:type="auto"/>
          </w:tcPr>
          <w:p w14:paraId="312DBE58" w14:textId="6B4C090B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CLDH)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[17,18,33,47,48]</w:t>
            </w:r>
          </w:p>
        </w:tc>
      </w:tr>
      <w:tr w:rsidR="00D87CE6" w:rsidRPr="005166DE" w14:paraId="2FF842F4" w14:textId="77777777" w:rsidTr="00C173AE">
        <w:trPr>
          <w:trHeight w:val="1060"/>
        </w:trPr>
        <w:tc>
          <w:tcPr>
            <w:tcW w:w="0" w:type="auto"/>
          </w:tcPr>
          <w:p w14:paraId="73895C7E" w14:textId="237E06C4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lastRenderedPageBreak/>
              <w:t>Biliary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37678D" w:rsidRPr="005166DE">
              <w:rPr>
                <w:rFonts w:ascii="Book Antiqua" w:hAnsi="Book Antiqua" w:cs="Times New Roman"/>
                <w:color w:val="131413"/>
              </w:rPr>
              <w:t>complications</w:t>
            </w:r>
          </w:p>
        </w:tc>
        <w:tc>
          <w:tcPr>
            <w:tcW w:w="0" w:type="auto"/>
          </w:tcPr>
          <w:p w14:paraId="77AE3925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</w:p>
        </w:tc>
        <w:tc>
          <w:tcPr>
            <w:tcW w:w="0" w:type="auto"/>
          </w:tcPr>
          <w:p w14:paraId="71D32584" w14:textId="23F7EDC8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[6,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10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,3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2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–3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4C533A81" w14:textId="76D836F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[17,18,33,48]</w:t>
            </w:r>
          </w:p>
        </w:tc>
      </w:tr>
      <w:tr w:rsidR="00D87CE6" w:rsidRPr="005166DE" w14:paraId="400DA295" w14:textId="77777777" w:rsidTr="00C173AE">
        <w:trPr>
          <w:trHeight w:val="1060"/>
        </w:trPr>
        <w:tc>
          <w:tcPr>
            <w:tcW w:w="0" w:type="auto"/>
          </w:tcPr>
          <w:p w14:paraId="622D472E" w14:textId="1BD7F53D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Wound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37678D" w:rsidRPr="005166DE">
              <w:rPr>
                <w:rFonts w:ascii="Book Antiqua" w:hAnsi="Book Antiqua" w:cs="Times New Roman"/>
                <w:color w:val="131413"/>
              </w:rPr>
              <w:t>complications</w:t>
            </w:r>
          </w:p>
        </w:tc>
        <w:tc>
          <w:tcPr>
            <w:tcW w:w="0" w:type="auto"/>
          </w:tcPr>
          <w:p w14:paraId="7E10A6EB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</w:p>
        </w:tc>
        <w:tc>
          <w:tcPr>
            <w:tcW w:w="0" w:type="auto"/>
          </w:tcPr>
          <w:p w14:paraId="5FE08532" w14:textId="3B86E035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4362CADF" w14:textId="432F6045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CLDH)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[17,18,33,47,48]</w:t>
            </w:r>
          </w:p>
        </w:tc>
      </w:tr>
      <w:tr w:rsidR="00D87CE6" w:rsidRPr="005166DE" w14:paraId="53EE9F28" w14:textId="77777777" w:rsidTr="00C173AE">
        <w:tc>
          <w:tcPr>
            <w:tcW w:w="0" w:type="auto"/>
          </w:tcPr>
          <w:p w14:paraId="6622F23D" w14:textId="40B87F6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Return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37678D" w:rsidRPr="005166DE">
              <w:rPr>
                <w:rFonts w:ascii="Book Antiqua" w:hAnsi="Book Antiqua" w:cs="Times New Roman"/>
                <w:color w:val="131413"/>
              </w:rPr>
              <w:t>work</w:t>
            </w:r>
          </w:p>
        </w:tc>
        <w:tc>
          <w:tcPr>
            <w:tcW w:w="0" w:type="auto"/>
          </w:tcPr>
          <w:p w14:paraId="65B3EC45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Later</w:t>
            </w:r>
          </w:p>
        </w:tc>
        <w:tc>
          <w:tcPr>
            <w:tcW w:w="0" w:type="auto"/>
          </w:tcPr>
          <w:p w14:paraId="427BF24D" w14:textId="53668091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Earlier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280B48A5" w14:textId="222A7118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Earlier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CLDH)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[17,18,33,47,48]</w:t>
            </w:r>
          </w:p>
        </w:tc>
      </w:tr>
      <w:tr w:rsidR="00D87CE6" w:rsidRPr="005166DE" w14:paraId="44A496A4" w14:textId="77777777" w:rsidTr="00C173AE">
        <w:tc>
          <w:tcPr>
            <w:tcW w:w="0" w:type="auto"/>
          </w:tcPr>
          <w:p w14:paraId="045CAABC" w14:textId="362E927B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  <w:lang w:eastAsia="zh-CN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Analgesic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use</w:t>
            </w:r>
          </w:p>
        </w:tc>
        <w:tc>
          <w:tcPr>
            <w:tcW w:w="0" w:type="auto"/>
          </w:tcPr>
          <w:p w14:paraId="720EA2AB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</w:p>
        </w:tc>
        <w:tc>
          <w:tcPr>
            <w:tcW w:w="0" w:type="auto"/>
          </w:tcPr>
          <w:p w14:paraId="3683790D" w14:textId="778383E3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6CC7B62C" w14:textId="4D8A81D3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CLDH)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[17,18,33,47,48]</w:t>
            </w:r>
          </w:p>
        </w:tc>
      </w:tr>
      <w:tr w:rsidR="00D87CE6" w:rsidRPr="005166DE" w14:paraId="3DE65A5A" w14:textId="77777777" w:rsidTr="00C173AE">
        <w:tc>
          <w:tcPr>
            <w:tcW w:w="0" w:type="auto"/>
          </w:tcPr>
          <w:p w14:paraId="7933F7B4" w14:textId="664FCCFC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Hospital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stay</w:t>
            </w:r>
          </w:p>
        </w:tc>
        <w:tc>
          <w:tcPr>
            <w:tcW w:w="0" w:type="auto"/>
          </w:tcPr>
          <w:p w14:paraId="59B2A455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Longer</w:t>
            </w:r>
          </w:p>
        </w:tc>
        <w:tc>
          <w:tcPr>
            <w:tcW w:w="0" w:type="auto"/>
          </w:tcPr>
          <w:p w14:paraId="3557391B" w14:textId="63403DF9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Shorter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6E368DAF" w14:textId="2B7A00C2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Shorter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CLDH)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[17,18,33,47,48]</w:t>
            </w:r>
          </w:p>
        </w:tc>
      </w:tr>
      <w:tr w:rsidR="00D87CE6" w:rsidRPr="005166DE" w14:paraId="46A7FF1B" w14:textId="77777777" w:rsidTr="00C173AE">
        <w:tc>
          <w:tcPr>
            <w:tcW w:w="0" w:type="auto"/>
          </w:tcPr>
          <w:p w14:paraId="4924F833" w14:textId="6F5DE024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QOL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scores</w:t>
            </w:r>
          </w:p>
        </w:tc>
        <w:tc>
          <w:tcPr>
            <w:tcW w:w="0" w:type="auto"/>
          </w:tcPr>
          <w:p w14:paraId="2A529DA3" w14:textId="2A520525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Pr="005166DE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[7</w:t>
            </w:r>
            <w:r w:rsidR="00960CB4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-</w:t>
            </w:r>
            <w:r w:rsidRPr="005166DE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10]</w:t>
            </w:r>
          </w:p>
        </w:tc>
        <w:tc>
          <w:tcPr>
            <w:tcW w:w="0" w:type="auto"/>
          </w:tcPr>
          <w:p w14:paraId="3E763947" w14:textId="0B68C72F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58802212" w14:textId="1B653D6D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CLDH)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[17,18,33,47,48]</w:t>
            </w:r>
          </w:p>
        </w:tc>
      </w:tr>
      <w:tr w:rsidR="00D87CE6" w:rsidRPr="005166DE" w14:paraId="1EBBB7EF" w14:textId="77777777" w:rsidTr="00C173AE">
        <w:tc>
          <w:tcPr>
            <w:tcW w:w="0" w:type="auto"/>
          </w:tcPr>
          <w:p w14:paraId="35F27E3C" w14:textId="0AF960C2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Donor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37678D" w:rsidRPr="005166DE">
              <w:rPr>
                <w:rFonts w:ascii="Book Antiqua" w:hAnsi="Book Antiqua" w:cs="Times New Roman"/>
                <w:color w:val="131413"/>
              </w:rPr>
              <w:t>mortality</w:t>
            </w:r>
          </w:p>
        </w:tc>
        <w:tc>
          <w:tcPr>
            <w:tcW w:w="0" w:type="auto"/>
          </w:tcPr>
          <w:p w14:paraId="32E18BF4" w14:textId="3B221DE0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Reported</w:t>
            </w:r>
            <w:r w:rsidRPr="005166DE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[7</w:t>
            </w:r>
            <w:r w:rsidR="00960CB4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-</w:t>
            </w:r>
            <w:r w:rsidRPr="005166DE">
              <w:rPr>
                <w:rFonts w:ascii="Book Antiqua" w:hAnsi="Book Antiqua"/>
                <w:noProof/>
                <w:color w:val="1C1D1E"/>
                <w:shd w:val="clear" w:color="auto" w:fill="FFFFFF"/>
                <w:vertAlign w:val="superscript"/>
              </w:rPr>
              <w:t>10]</w:t>
            </w:r>
          </w:p>
        </w:tc>
        <w:tc>
          <w:tcPr>
            <w:tcW w:w="0" w:type="auto"/>
          </w:tcPr>
          <w:p w14:paraId="11C2E669" w14:textId="1C00B369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None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reported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[1,6,3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1</w:t>
            </w:r>
            <w:r w:rsidR="00960CB4">
              <w:rPr>
                <w:rFonts w:ascii="Book Antiqua" w:hAnsi="Book Antiqua" w:cs="Times New Roman"/>
                <w:color w:val="131413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3</w:t>
            </w:r>
            <w:r w:rsidR="009F31E3">
              <w:rPr>
                <w:rFonts w:ascii="Book Antiqua" w:hAnsi="Book Antiqua" w:cs="Times New Roman"/>
                <w:color w:val="131413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7D0E0AA8" w14:textId="01F027C5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None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reported</w:t>
            </w:r>
          </w:p>
        </w:tc>
      </w:tr>
      <w:tr w:rsidR="00D87CE6" w:rsidRPr="00DB2F1F" w14:paraId="7182EAFC" w14:textId="77777777" w:rsidTr="00C173AE">
        <w:tc>
          <w:tcPr>
            <w:tcW w:w="0" w:type="auto"/>
            <w:gridSpan w:val="4"/>
          </w:tcPr>
          <w:p w14:paraId="228C0AB1" w14:textId="2AE28856" w:rsidR="00D87CE6" w:rsidRPr="00DB2F1F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DB2F1F">
              <w:rPr>
                <w:rFonts w:ascii="Book Antiqua" w:hAnsi="Book Antiqua" w:cs="Times New Roman"/>
                <w:color w:val="131413"/>
              </w:rPr>
              <w:t>Recipient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743C37" w:rsidRPr="00DB2F1F">
              <w:rPr>
                <w:rFonts w:ascii="Book Antiqua" w:hAnsi="Book Antiqua" w:cs="Times New Roman"/>
                <w:color w:val="131413"/>
              </w:rPr>
              <w:t>morbidity</w:t>
            </w:r>
          </w:p>
        </w:tc>
      </w:tr>
      <w:tr w:rsidR="00D87CE6" w:rsidRPr="005166DE" w14:paraId="618CEE72" w14:textId="77777777" w:rsidTr="00C173AE">
        <w:tc>
          <w:tcPr>
            <w:tcW w:w="0" w:type="auto"/>
          </w:tcPr>
          <w:p w14:paraId="467DB8B6" w14:textId="37061576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Outcomes</w:t>
            </w:r>
            <w:r w:rsidR="00960CB4">
              <w:rPr>
                <w:rFonts w:ascii="Book Antiqua" w:hAnsi="Book Antiqua" w:cs="Times New Roman" w:hint="eastAsia"/>
                <w:color w:val="131413"/>
                <w:lang w:eastAsia="zh-CN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overall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4C1B69">
              <w:rPr>
                <w:rFonts w:ascii="Book Antiqua" w:hAnsi="Book Antiqua" w:cs="Times New Roman"/>
                <w:color w:val="131413"/>
              </w:rPr>
              <w:t>C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lavien-</w:t>
            </w:r>
            <w:r w:rsidR="004C1B69">
              <w:rPr>
                <w:rFonts w:ascii="Book Antiqua" w:hAnsi="Book Antiqua" w:cs="Times New Roman"/>
                <w:color w:val="131413"/>
              </w:rPr>
              <w:t>D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in</w:t>
            </w:r>
            <w:r w:rsidRPr="005166DE">
              <w:rPr>
                <w:rFonts w:ascii="Book Antiqua" w:hAnsi="Book Antiqua" w:cs="Times New Roman"/>
                <w:color w:val="131413"/>
              </w:rPr>
              <w:t>do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3b-5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complication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rates)</w:t>
            </w:r>
          </w:p>
        </w:tc>
        <w:tc>
          <w:tcPr>
            <w:tcW w:w="0" w:type="auto"/>
          </w:tcPr>
          <w:p w14:paraId="6023FEFF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Standard</w:t>
            </w:r>
          </w:p>
        </w:tc>
        <w:tc>
          <w:tcPr>
            <w:tcW w:w="0" w:type="auto"/>
          </w:tcPr>
          <w:p w14:paraId="5FFA7784" w14:textId="6EC7F831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Higher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in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right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lobe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CLDH</w:t>
            </w:r>
            <w:r w:rsidRPr="005166DE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[6,</w:t>
            </w:r>
            <w:r w:rsidR="009F31E3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37</w:t>
            </w:r>
            <w:r w:rsidRPr="005166DE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]</w:t>
            </w:r>
            <w:r w:rsidR="00BD0814">
              <w:rPr>
                <w:rFonts w:ascii="Book Antiqua" w:hAnsi="Book Antiqua" w:cs="Times New Roman" w:hint="eastAsia"/>
                <w:color w:val="131413"/>
                <w:lang w:eastAsia="zh-CN"/>
              </w:rPr>
              <w:t>,</w:t>
            </w:r>
            <w:r w:rsidR="00960CB4">
              <w:rPr>
                <w:rFonts w:ascii="Book Antiqua" w:hAnsi="Book Antiqua" w:cs="Times New Roman" w:hint="eastAsia"/>
                <w:color w:val="131413"/>
                <w:lang w:eastAsia="zh-CN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higher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early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and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late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biliary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complications</w:t>
            </w:r>
            <w:r w:rsidRPr="005166DE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[2,6,3</w:t>
            </w:r>
            <w:r w:rsidR="009F31E3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5</w:t>
            </w:r>
            <w:r w:rsidRPr="005166DE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,</w:t>
            </w:r>
            <w:r w:rsidR="009F31E3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37</w:t>
            </w:r>
            <w:r w:rsidRPr="005166DE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]</w:t>
            </w:r>
            <w:r w:rsidR="00BD0814">
              <w:rPr>
                <w:rFonts w:ascii="Book Antiqua" w:hAnsi="Book Antiqua" w:cs="Times New Roman" w:hint="eastAsia"/>
                <w:color w:val="131413"/>
                <w:lang w:eastAsia="zh-CN"/>
              </w:rPr>
              <w:t>,</w:t>
            </w:r>
            <w:r w:rsidR="00960CB4">
              <w:rPr>
                <w:rFonts w:ascii="Book Antiqua" w:hAnsi="Book Antiqua" w:cs="Times New Roman" w:hint="eastAsia"/>
                <w:color w:val="131413"/>
                <w:lang w:eastAsia="zh-CN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higher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incidence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of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hepatic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vein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stenosis</w:t>
            </w:r>
            <w:r w:rsidRPr="005166DE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[2,3</w:t>
            </w:r>
            <w:r w:rsidR="009F31E3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5</w:t>
            </w:r>
            <w:r w:rsidRPr="005166DE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,</w:t>
            </w:r>
            <w:r w:rsidR="009F31E3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37</w:t>
            </w:r>
            <w:r w:rsidRPr="005166DE">
              <w:rPr>
                <w:rFonts w:ascii="Book Antiqua" w:hAnsi="Book Antiqua"/>
                <w:noProof/>
                <w:color w:val="2D2D2D"/>
                <w:shd w:val="clear" w:color="auto" w:fill="FFFFFF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26C7FEF6" w14:textId="53BE800D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Lower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(Similar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ODH)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</w:t>
            </w:r>
            <w:r w:rsidR="009F31E3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5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,1</w:t>
            </w:r>
            <w:r w:rsidR="009F31E3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6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,3</w:t>
            </w:r>
            <w:r w:rsidR="009F31E3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0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,4</w:t>
            </w:r>
            <w:r w:rsidR="009F31E3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]</w:t>
            </w:r>
          </w:p>
        </w:tc>
      </w:tr>
      <w:tr w:rsidR="00D87CE6" w:rsidRPr="005166DE" w14:paraId="0F29CE81" w14:textId="77777777" w:rsidTr="00C173AE">
        <w:tc>
          <w:tcPr>
            <w:tcW w:w="0" w:type="auto"/>
          </w:tcPr>
          <w:p w14:paraId="76A46566" w14:textId="5CF05665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Primary-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non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function</w:t>
            </w:r>
          </w:p>
        </w:tc>
        <w:tc>
          <w:tcPr>
            <w:tcW w:w="0" w:type="auto"/>
          </w:tcPr>
          <w:p w14:paraId="1BD30007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Similar</w:t>
            </w:r>
          </w:p>
        </w:tc>
        <w:tc>
          <w:tcPr>
            <w:tcW w:w="0" w:type="auto"/>
          </w:tcPr>
          <w:p w14:paraId="08B4DDB2" w14:textId="550AD8F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Similar</w:t>
            </w:r>
            <w:r w:rsidRPr="005166DE">
              <w:rPr>
                <w:rFonts w:ascii="Book Antiqua" w:hAnsi="Book Antiqua"/>
                <w:noProof/>
                <w:color w:val="211D1E"/>
                <w:vertAlign w:val="superscript"/>
              </w:rPr>
              <w:t>[6,3</w:t>
            </w:r>
            <w:r w:rsidR="009F31E3">
              <w:rPr>
                <w:rFonts w:ascii="Book Antiqua" w:hAnsi="Book Antiqua"/>
                <w:noProof/>
                <w:color w:val="211D1E"/>
                <w:vertAlign w:val="superscript"/>
              </w:rPr>
              <w:t>6</w:t>
            </w:r>
            <w:r w:rsidR="00960CB4">
              <w:rPr>
                <w:rFonts w:ascii="Book Antiqua" w:hAnsi="Book Antiqua"/>
                <w:noProof/>
                <w:color w:val="211D1E"/>
                <w:vertAlign w:val="superscript"/>
              </w:rPr>
              <w:t>-</w:t>
            </w:r>
            <w:r w:rsidR="009F31E3">
              <w:rPr>
                <w:rFonts w:ascii="Book Antiqua" w:hAnsi="Book Antiqua"/>
                <w:noProof/>
                <w:color w:val="211D1E"/>
                <w:vertAlign w:val="superscript"/>
              </w:rPr>
              <w:t>38</w:t>
            </w:r>
            <w:r w:rsidRPr="005166DE">
              <w:rPr>
                <w:rFonts w:ascii="Book Antiqua" w:hAnsi="Book Antiqua"/>
                <w:noProof/>
                <w:color w:val="211D1E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1DA99E47" w14:textId="0987CFAA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Similar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[17,18,33,47,48]</w:t>
            </w:r>
          </w:p>
        </w:tc>
      </w:tr>
      <w:tr w:rsidR="00D87CE6" w:rsidRPr="005166DE" w14:paraId="43C4F671" w14:textId="77777777" w:rsidTr="00C173AE">
        <w:tc>
          <w:tcPr>
            <w:tcW w:w="0" w:type="auto"/>
          </w:tcPr>
          <w:p w14:paraId="51E3F3FE" w14:textId="3D6BEACD" w:rsidR="00D87CE6" w:rsidRPr="005166DE" w:rsidRDefault="00D87CE6" w:rsidP="00BD081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90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>
              <w:rPr>
                <w:rFonts w:ascii="Book Antiqua" w:hAnsi="Book Antiqua" w:cs="Times New Roman" w:hint="eastAsia"/>
                <w:color w:val="131413"/>
                <w:lang w:eastAsia="zh-CN"/>
              </w:rPr>
              <w:t>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mortality</w:t>
            </w:r>
          </w:p>
        </w:tc>
        <w:tc>
          <w:tcPr>
            <w:tcW w:w="0" w:type="auto"/>
          </w:tcPr>
          <w:p w14:paraId="31143BE7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Similar</w:t>
            </w:r>
          </w:p>
        </w:tc>
        <w:tc>
          <w:tcPr>
            <w:tcW w:w="0" w:type="auto"/>
          </w:tcPr>
          <w:p w14:paraId="704AE495" w14:textId="10A6A9F5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Similar</w:t>
            </w:r>
            <w:r w:rsidRPr="005166DE">
              <w:rPr>
                <w:rFonts w:ascii="Book Antiqua" w:hAnsi="Book Antiqua"/>
                <w:noProof/>
                <w:color w:val="211D1E"/>
                <w:vertAlign w:val="superscript"/>
              </w:rPr>
              <w:t>[1,6,3</w:t>
            </w:r>
            <w:r w:rsidR="009F31E3">
              <w:rPr>
                <w:rFonts w:ascii="Book Antiqua" w:hAnsi="Book Antiqua"/>
                <w:noProof/>
                <w:color w:val="211D1E"/>
                <w:vertAlign w:val="superscript"/>
              </w:rPr>
              <w:t>2</w:t>
            </w:r>
            <w:r w:rsidR="00960CB4">
              <w:rPr>
                <w:rFonts w:ascii="Book Antiqua" w:hAnsi="Book Antiqua"/>
                <w:noProof/>
                <w:color w:val="211D1E"/>
                <w:vertAlign w:val="superscript"/>
              </w:rPr>
              <w:t>-</w:t>
            </w:r>
            <w:r w:rsidRPr="005166DE">
              <w:rPr>
                <w:rFonts w:ascii="Book Antiqua" w:hAnsi="Book Antiqua"/>
                <w:noProof/>
                <w:color w:val="211D1E"/>
                <w:vertAlign w:val="superscript"/>
              </w:rPr>
              <w:t>3</w:t>
            </w:r>
            <w:r w:rsidR="009F31E3">
              <w:rPr>
                <w:rFonts w:ascii="Book Antiqua" w:hAnsi="Book Antiqua"/>
                <w:noProof/>
                <w:color w:val="211D1E"/>
                <w:vertAlign w:val="superscript"/>
              </w:rPr>
              <w:t>4</w:t>
            </w:r>
            <w:r w:rsidRPr="005166DE">
              <w:rPr>
                <w:rFonts w:ascii="Book Antiqua" w:hAnsi="Book Antiqua"/>
                <w:noProof/>
                <w:color w:val="211D1E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043015E7" w14:textId="0FC15884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Similar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</w:t>
            </w:r>
            <w:r w:rsidR="009F31E3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5,16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,3</w:t>
            </w:r>
            <w:r w:rsidR="009F31E3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0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,4</w:t>
            </w:r>
            <w:r w:rsidR="009F31E3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]</w:t>
            </w:r>
          </w:p>
        </w:tc>
      </w:tr>
      <w:tr w:rsidR="00D87CE6" w:rsidRPr="00DB2F1F" w14:paraId="07A0C546" w14:textId="77777777" w:rsidTr="00C173AE">
        <w:trPr>
          <w:trHeight w:val="291"/>
        </w:trPr>
        <w:tc>
          <w:tcPr>
            <w:tcW w:w="0" w:type="auto"/>
            <w:gridSpan w:val="4"/>
          </w:tcPr>
          <w:p w14:paraId="762F1760" w14:textId="6C469C0B" w:rsidR="00D87CE6" w:rsidRPr="00DB2F1F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DB2F1F">
              <w:rPr>
                <w:rFonts w:ascii="Book Antiqua" w:hAnsi="Book Antiqua" w:cs="Times New Roman"/>
                <w:color w:val="131413"/>
              </w:rPr>
              <w:t>Surgical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DB2F1F">
              <w:rPr>
                <w:rFonts w:ascii="Book Antiqua" w:hAnsi="Book Antiqua" w:cs="Times New Roman"/>
                <w:color w:val="131413"/>
              </w:rPr>
              <w:t>expertise</w:t>
            </w:r>
          </w:p>
        </w:tc>
      </w:tr>
      <w:tr w:rsidR="00D87CE6" w:rsidRPr="005166DE" w14:paraId="6B548BE8" w14:textId="77777777" w:rsidTr="00C173AE">
        <w:tc>
          <w:tcPr>
            <w:tcW w:w="0" w:type="auto"/>
          </w:tcPr>
          <w:p w14:paraId="3DBCCA99" w14:textId="2314D262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Learning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curve</w:t>
            </w:r>
          </w:p>
        </w:tc>
        <w:tc>
          <w:tcPr>
            <w:tcW w:w="0" w:type="auto"/>
          </w:tcPr>
          <w:p w14:paraId="0EB523F4" w14:textId="1E4E1BF9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Gold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Standard</w:t>
            </w:r>
          </w:p>
        </w:tc>
        <w:tc>
          <w:tcPr>
            <w:tcW w:w="0" w:type="auto"/>
          </w:tcPr>
          <w:p w14:paraId="56310F59" w14:textId="44CF850B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Longer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[6,1</w:t>
            </w:r>
            <w:r w:rsidR="009F31E3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1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</w:t>
            </w:r>
            <w:r w:rsidR="009F31E3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39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,4</w:t>
            </w:r>
            <w:r w:rsidR="009F31E3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0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,4</w:t>
            </w:r>
            <w:r w:rsidR="009F31E3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2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33269CA7" w14:textId="07EE86FC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Shorter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(comparable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ODH)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[1</w:t>
            </w:r>
            <w:r w:rsidR="009F31E3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3</w:t>
            </w:r>
            <w:r w:rsidR="00960CB4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1</w:t>
            </w:r>
            <w:r w:rsidR="009F31E3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5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,</w:t>
            </w:r>
            <w:r w:rsidR="009F31E3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29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,4</w:t>
            </w:r>
            <w:r w:rsidR="009F31E3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]</w:t>
            </w:r>
          </w:p>
        </w:tc>
      </w:tr>
      <w:tr w:rsidR="00D87CE6" w:rsidRPr="005166DE" w14:paraId="1799CA41" w14:textId="77777777" w:rsidTr="00C173AE">
        <w:tc>
          <w:tcPr>
            <w:tcW w:w="0" w:type="auto"/>
          </w:tcPr>
          <w:p w14:paraId="258829EF" w14:textId="4BBCA841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Surgeon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ergonomics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&amp;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lastRenderedPageBreak/>
              <w:t>operative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eas</w:t>
            </w:r>
            <w:r w:rsidRPr="005166DE">
              <w:rPr>
                <w:rFonts w:ascii="Book Antiqua" w:hAnsi="Book Antiqua" w:cs="Times New Roman"/>
                <w:color w:val="131413"/>
              </w:rPr>
              <w:t>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(vision,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ease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of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suturing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BD0814">
              <w:rPr>
                <w:rFonts w:ascii="Book Antiqua" w:hAnsi="Book Antiqua" w:cs="Times New Roman"/>
                <w:i/>
                <w:color w:val="131413"/>
              </w:rPr>
              <w:t>etc</w:t>
            </w:r>
            <w:r w:rsidR="00CE296E">
              <w:rPr>
                <w:rFonts w:ascii="Book Antiqua" w:hAnsi="Book Antiqua" w:cs="Times New Roman"/>
                <w:i/>
                <w:color w:val="131413"/>
              </w:rPr>
              <w:t>.</w:t>
            </w:r>
            <w:r w:rsidRPr="005166DE">
              <w:rPr>
                <w:rFonts w:ascii="Book Antiqua" w:hAnsi="Book Antiqua" w:cs="Times New Roman"/>
                <w:color w:val="131413"/>
              </w:rPr>
              <w:t>)</w:t>
            </w:r>
          </w:p>
        </w:tc>
        <w:tc>
          <w:tcPr>
            <w:tcW w:w="0" w:type="auto"/>
          </w:tcPr>
          <w:p w14:paraId="73BD89F7" w14:textId="686B48F8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lastRenderedPageBreak/>
              <w:t>Gold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standard</w:t>
            </w:r>
          </w:p>
        </w:tc>
        <w:tc>
          <w:tcPr>
            <w:tcW w:w="0" w:type="auto"/>
          </w:tcPr>
          <w:p w14:paraId="4962C842" w14:textId="04164AAB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Poorer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[6,1</w:t>
            </w:r>
            <w:r w:rsidR="009F31E3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1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</w:t>
            </w:r>
            <w:r w:rsidR="009F31E3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39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,4</w:t>
            </w:r>
            <w:r w:rsidR="009F31E3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0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,4</w:t>
            </w:r>
            <w:r w:rsidR="009F31E3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2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6DA96BCF" w14:textId="7C374995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Better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(comparable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ODH)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[1</w:t>
            </w:r>
            <w:r w:rsidR="009F31E3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3</w:t>
            </w:r>
            <w:r w:rsidR="00960CB4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1</w:t>
            </w:r>
            <w:r w:rsidR="009F31E3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5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,</w:t>
            </w:r>
            <w:r w:rsidR="009F31E3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29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,4</w:t>
            </w:r>
            <w:r w:rsidR="009F31E3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]</w:t>
            </w:r>
          </w:p>
        </w:tc>
      </w:tr>
      <w:tr w:rsidR="00D87CE6" w:rsidRPr="005166DE" w14:paraId="7CDCFD1E" w14:textId="77777777" w:rsidTr="00C173AE">
        <w:tc>
          <w:tcPr>
            <w:tcW w:w="0" w:type="auto"/>
          </w:tcPr>
          <w:p w14:paraId="01F0E261" w14:textId="1B020A14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Haptic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feedback</w:t>
            </w:r>
          </w:p>
        </w:tc>
        <w:tc>
          <w:tcPr>
            <w:tcW w:w="0" w:type="auto"/>
          </w:tcPr>
          <w:p w14:paraId="112950A6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Present</w:t>
            </w:r>
          </w:p>
        </w:tc>
        <w:tc>
          <w:tcPr>
            <w:tcW w:w="0" w:type="auto"/>
          </w:tcPr>
          <w:p w14:paraId="7907A6A0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Present</w:t>
            </w:r>
          </w:p>
        </w:tc>
        <w:tc>
          <w:tcPr>
            <w:tcW w:w="0" w:type="auto"/>
          </w:tcPr>
          <w:p w14:paraId="3590536B" w14:textId="56023C35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Absent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[17,18,33]</w:t>
            </w:r>
          </w:p>
        </w:tc>
      </w:tr>
      <w:tr w:rsidR="00D87CE6" w:rsidRPr="005166DE" w14:paraId="1C56125D" w14:textId="77777777" w:rsidTr="00C173AE">
        <w:tc>
          <w:tcPr>
            <w:tcW w:w="0" w:type="auto"/>
          </w:tcPr>
          <w:p w14:paraId="44E77284" w14:textId="71E2BC12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Surgical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adjuncts</w:t>
            </w:r>
          </w:p>
        </w:tc>
        <w:tc>
          <w:tcPr>
            <w:tcW w:w="0" w:type="auto"/>
          </w:tcPr>
          <w:p w14:paraId="7E210D4A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Available</w:t>
            </w:r>
          </w:p>
        </w:tc>
        <w:tc>
          <w:tcPr>
            <w:tcW w:w="0" w:type="auto"/>
          </w:tcPr>
          <w:p w14:paraId="5507B9D5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Available</w:t>
            </w:r>
          </w:p>
        </w:tc>
        <w:tc>
          <w:tcPr>
            <w:tcW w:w="0" w:type="auto"/>
          </w:tcPr>
          <w:p w14:paraId="2470F43A" w14:textId="54BEB010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Limited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availability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[1</w:t>
            </w:r>
            <w:r w:rsidR="004463C4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3</w:t>
            </w:r>
            <w:r w:rsidR="00960CB4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-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1</w:t>
            </w:r>
            <w:r w:rsidR="004463C4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5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,</w:t>
            </w:r>
            <w:r w:rsidR="004463C4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29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,4</w:t>
            </w:r>
            <w:r w:rsidR="004463C4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noProof/>
                <w:color w:val="221E1F"/>
                <w:vertAlign w:val="superscript"/>
              </w:rPr>
              <w:t>]</w:t>
            </w:r>
          </w:p>
        </w:tc>
      </w:tr>
      <w:tr w:rsidR="00D87CE6" w:rsidRPr="005166DE" w14:paraId="2EC4EB5C" w14:textId="77777777" w:rsidTr="00C173AE">
        <w:tc>
          <w:tcPr>
            <w:tcW w:w="0" w:type="auto"/>
          </w:tcPr>
          <w:p w14:paraId="2D0B4397" w14:textId="258CDF4A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Surgical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expertise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required</w:t>
            </w:r>
          </w:p>
        </w:tc>
        <w:tc>
          <w:tcPr>
            <w:tcW w:w="0" w:type="auto"/>
          </w:tcPr>
          <w:p w14:paraId="242CCE79" w14:textId="7679407F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Open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donor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surgery</w:t>
            </w:r>
          </w:p>
        </w:tc>
        <w:tc>
          <w:tcPr>
            <w:tcW w:w="0" w:type="auto"/>
          </w:tcPr>
          <w:p w14:paraId="65F9D0E5" w14:textId="21C12F51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Open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and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laparoscopic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liver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su</w:t>
            </w:r>
            <w:r w:rsidRPr="005166DE">
              <w:rPr>
                <w:rFonts w:ascii="Book Antiqua" w:hAnsi="Book Antiqua" w:cs="Times New Roman"/>
                <w:color w:val="131413"/>
              </w:rPr>
              <w:t>rgery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[6,1</w:t>
            </w:r>
            <w:r w:rsidR="00F67EE9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1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</w:t>
            </w:r>
            <w:r w:rsidR="00F67EE9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39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,4</w:t>
            </w:r>
            <w:r w:rsidR="00F67EE9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0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,4</w:t>
            </w:r>
            <w:r w:rsidR="00F67EE9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2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3BCFD255" w14:textId="31DB04B1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Open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liver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surgery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[33,47,48]</w:t>
            </w:r>
          </w:p>
        </w:tc>
      </w:tr>
      <w:tr w:rsidR="00D87CE6" w:rsidRPr="00DB2F1F" w14:paraId="54A791D1" w14:textId="77777777" w:rsidTr="00C173AE">
        <w:tc>
          <w:tcPr>
            <w:tcW w:w="0" w:type="auto"/>
            <w:gridSpan w:val="4"/>
          </w:tcPr>
          <w:p w14:paraId="5385F227" w14:textId="16725DA2" w:rsidR="00D87CE6" w:rsidRPr="00DB2F1F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DB2F1F">
              <w:rPr>
                <w:rFonts w:ascii="Book Antiqua" w:hAnsi="Book Antiqua" w:cs="Times New Roman"/>
                <w:color w:val="131413"/>
              </w:rPr>
              <w:t>Logistics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DB2F1F">
              <w:rPr>
                <w:rFonts w:ascii="Book Antiqua" w:hAnsi="Book Antiqua" w:cs="Times New Roman"/>
                <w:color w:val="131413"/>
              </w:rPr>
              <w:t>&amp;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DB2F1F">
              <w:rPr>
                <w:rFonts w:ascii="Book Antiqua" w:hAnsi="Book Antiqua" w:cs="Times New Roman"/>
                <w:color w:val="131413"/>
              </w:rPr>
              <w:t>infrastructure</w:t>
            </w:r>
          </w:p>
        </w:tc>
      </w:tr>
      <w:tr w:rsidR="00D87CE6" w:rsidRPr="005166DE" w14:paraId="68214F94" w14:textId="77777777" w:rsidTr="00C173AE">
        <w:tc>
          <w:tcPr>
            <w:tcW w:w="0" w:type="auto"/>
          </w:tcPr>
          <w:p w14:paraId="3B91DBFD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Economics</w:t>
            </w:r>
          </w:p>
        </w:tc>
        <w:tc>
          <w:tcPr>
            <w:tcW w:w="0" w:type="auto"/>
          </w:tcPr>
          <w:p w14:paraId="65B14350" w14:textId="671DD36B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Standard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</w:p>
        </w:tc>
        <w:tc>
          <w:tcPr>
            <w:tcW w:w="0" w:type="auto"/>
          </w:tcPr>
          <w:p w14:paraId="5C703C10" w14:textId="499D2220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Comparable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ODH</w:t>
            </w:r>
          </w:p>
        </w:tc>
        <w:tc>
          <w:tcPr>
            <w:tcW w:w="0" w:type="auto"/>
          </w:tcPr>
          <w:p w14:paraId="58BD1025" w14:textId="362F17F0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Expensive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</w:t>
            </w:r>
            <w:r w:rsidR="00F67EE9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5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,1</w:t>
            </w:r>
            <w:r w:rsidR="00F67EE9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6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,3</w:t>
            </w:r>
            <w:r w:rsidR="00F67EE9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0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,4</w:t>
            </w:r>
            <w:r w:rsidR="00F67EE9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4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]</w:t>
            </w:r>
          </w:p>
        </w:tc>
      </w:tr>
      <w:tr w:rsidR="00D87CE6" w:rsidRPr="005166DE" w14:paraId="6A63C4B1" w14:textId="77777777" w:rsidTr="00C173AE">
        <w:tc>
          <w:tcPr>
            <w:tcW w:w="0" w:type="auto"/>
          </w:tcPr>
          <w:p w14:paraId="60F6CF6F" w14:textId="77777777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Availability</w:t>
            </w:r>
          </w:p>
        </w:tc>
        <w:tc>
          <w:tcPr>
            <w:tcW w:w="0" w:type="auto"/>
          </w:tcPr>
          <w:p w14:paraId="7780BA06" w14:textId="1B2186DD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Every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LDLT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unit</w:t>
            </w:r>
          </w:p>
        </w:tc>
        <w:tc>
          <w:tcPr>
            <w:tcW w:w="0" w:type="auto"/>
          </w:tcPr>
          <w:p w14:paraId="206D7D2E" w14:textId="1F655EBE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Centres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with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expertise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in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liver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and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laparoscopic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="00BD0814" w:rsidRPr="005166DE">
              <w:rPr>
                <w:rFonts w:ascii="Book Antiqua" w:hAnsi="Book Antiqua" w:cs="Times New Roman"/>
                <w:color w:val="131413"/>
              </w:rPr>
              <w:t>surg</w:t>
            </w:r>
            <w:r w:rsidRPr="005166DE">
              <w:rPr>
                <w:rFonts w:ascii="Book Antiqua" w:hAnsi="Book Antiqua" w:cs="Times New Roman"/>
                <w:color w:val="131413"/>
              </w:rPr>
              <w:t>ery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[6,1</w:t>
            </w:r>
            <w:r w:rsidR="00F67EE9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1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</w:t>
            </w:r>
            <w:r w:rsidR="00F67EE9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39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,4</w:t>
            </w:r>
            <w:r w:rsidR="00F67EE9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0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,4</w:t>
            </w:r>
            <w:r w:rsidR="00F67EE9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2</w:t>
            </w:r>
            <w:r w:rsidRPr="005166DE">
              <w:rPr>
                <w:rFonts w:ascii="Book Antiqua" w:hAnsi="Book Antiqua" w:cs="Times New Roman"/>
                <w:noProof/>
                <w:color w:val="131413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23681113" w14:textId="724E8D3B" w:rsidR="00D87CE6" w:rsidRPr="005166DE" w:rsidRDefault="00D87CE6" w:rsidP="00CB3CC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131413"/>
              </w:rPr>
            </w:pPr>
            <w:r w:rsidRPr="005166DE">
              <w:rPr>
                <w:rFonts w:ascii="Book Antiqua" w:hAnsi="Book Antiqua" w:cs="Times New Roman"/>
                <w:color w:val="131413"/>
              </w:rPr>
              <w:t>Limited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to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centres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with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a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robotic</w:t>
            </w:r>
            <w:r w:rsidR="00960CB4">
              <w:rPr>
                <w:rFonts w:ascii="Book Antiqua" w:hAnsi="Book Antiqua" w:cs="Times New Roman"/>
                <w:color w:val="131413"/>
              </w:rPr>
              <w:t xml:space="preserve"> </w:t>
            </w:r>
            <w:r w:rsidRPr="005166DE">
              <w:rPr>
                <w:rFonts w:ascii="Book Antiqua" w:hAnsi="Book Antiqua" w:cs="Times New Roman"/>
                <w:color w:val="131413"/>
              </w:rPr>
              <w:t>platform</w:t>
            </w:r>
            <w:r w:rsidRPr="005166DE">
              <w:rPr>
                <w:rFonts w:ascii="Book Antiqua" w:hAnsi="Book Antiqua" w:cs="Times New Roman"/>
                <w:noProof/>
                <w:color w:val="000000"/>
                <w:vertAlign w:val="superscript"/>
              </w:rPr>
              <w:t>[17,18,33,47]</w:t>
            </w:r>
          </w:p>
        </w:tc>
      </w:tr>
    </w:tbl>
    <w:p w14:paraId="107D9C63" w14:textId="111FD6EA" w:rsidR="00306883" w:rsidRDefault="00D87CE6" w:rsidP="00146EF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146EF4">
        <w:rPr>
          <w:rFonts w:ascii="Book Antiqua" w:hAnsi="Book Antiqua"/>
          <w:color w:val="000000"/>
        </w:rPr>
        <w:t>ODH:</w:t>
      </w:r>
      <w:r w:rsidR="00960CB4">
        <w:rPr>
          <w:rFonts w:ascii="Book Antiqua" w:hAnsi="Book Antiqua"/>
          <w:color w:val="000000"/>
        </w:rPr>
        <w:t xml:space="preserve"> </w:t>
      </w:r>
      <w:r w:rsidRPr="00146EF4">
        <w:rPr>
          <w:rFonts w:ascii="Book Antiqua" w:hAnsi="Book Antiqua"/>
          <w:color w:val="000000"/>
        </w:rPr>
        <w:t>Open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donor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hepate</w:t>
      </w:r>
      <w:r w:rsidRPr="00146EF4">
        <w:rPr>
          <w:rFonts w:ascii="Book Antiqua" w:hAnsi="Book Antiqua"/>
          <w:color w:val="000000"/>
        </w:rPr>
        <w:t>ctomy</w:t>
      </w:r>
      <w:r w:rsidR="00146EF4">
        <w:rPr>
          <w:rFonts w:ascii="Book Antiqua" w:hAnsi="Book Antiqua" w:hint="eastAsia"/>
          <w:color w:val="000000"/>
          <w:lang w:eastAsia="zh-CN"/>
        </w:rPr>
        <w:t>;</w:t>
      </w:r>
      <w:r w:rsidR="00960CB4">
        <w:rPr>
          <w:rFonts w:ascii="Book Antiqua" w:hAnsi="Book Antiqua" w:hint="eastAsia"/>
          <w:color w:val="000000"/>
          <w:lang w:eastAsia="zh-CN"/>
        </w:rPr>
        <w:t xml:space="preserve"> </w:t>
      </w:r>
      <w:r w:rsidRPr="00146EF4">
        <w:rPr>
          <w:rFonts w:ascii="Book Antiqua" w:hAnsi="Book Antiqua"/>
          <w:color w:val="000000"/>
        </w:rPr>
        <w:t>CLDH:</w:t>
      </w:r>
      <w:r w:rsidR="00960CB4">
        <w:rPr>
          <w:rFonts w:ascii="Book Antiqua" w:hAnsi="Book Antiqua"/>
          <w:color w:val="000000"/>
        </w:rPr>
        <w:t xml:space="preserve"> </w:t>
      </w:r>
      <w:r w:rsidRPr="00146EF4">
        <w:rPr>
          <w:rFonts w:ascii="Book Antiqua" w:hAnsi="Book Antiqua"/>
          <w:color w:val="000000"/>
        </w:rPr>
        <w:t>Conventional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laparoscopic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donor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hepatecto</w:t>
      </w:r>
      <w:r w:rsidRPr="00146EF4">
        <w:rPr>
          <w:rFonts w:ascii="Book Antiqua" w:hAnsi="Book Antiqua"/>
          <w:color w:val="000000"/>
        </w:rPr>
        <w:t>my</w:t>
      </w:r>
      <w:r w:rsidR="00146EF4">
        <w:rPr>
          <w:rFonts w:ascii="Book Antiqua" w:hAnsi="Book Antiqua" w:hint="eastAsia"/>
          <w:color w:val="000000"/>
          <w:lang w:eastAsia="zh-CN"/>
        </w:rPr>
        <w:t>;</w:t>
      </w:r>
      <w:r w:rsidR="00960CB4">
        <w:rPr>
          <w:rFonts w:ascii="Book Antiqua" w:hAnsi="Book Antiqua" w:hint="eastAsia"/>
          <w:color w:val="000000"/>
          <w:lang w:eastAsia="zh-CN"/>
        </w:rPr>
        <w:t xml:space="preserve"> </w:t>
      </w:r>
      <w:r w:rsidRPr="00146EF4">
        <w:rPr>
          <w:rFonts w:ascii="Book Antiqua" w:hAnsi="Book Antiqua"/>
          <w:color w:val="000000"/>
        </w:rPr>
        <w:t>RDH:</w:t>
      </w:r>
      <w:r w:rsidR="00960CB4">
        <w:rPr>
          <w:rFonts w:ascii="Book Antiqua" w:hAnsi="Book Antiqua"/>
          <w:color w:val="000000"/>
        </w:rPr>
        <w:t xml:space="preserve"> </w:t>
      </w:r>
      <w:r w:rsidRPr="00146EF4">
        <w:rPr>
          <w:rFonts w:ascii="Book Antiqua" w:hAnsi="Book Antiqua"/>
          <w:color w:val="000000"/>
        </w:rPr>
        <w:t>Robotic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donor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hepate</w:t>
      </w:r>
      <w:r w:rsidRPr="00146EF4">
        <w:rPr>
          <w:rFonts w:ascii="Book Antiqua" w:hAnsi="Book Antiqua"/>
          <w:color w:val="000000"/>
        </w:rPr>
        <w:t>ctomy</w:t>
      </w:r>
      <w:r w:rsidR="00146EF4">
        <w:rPr>
          <w:rFonts w:ascii="Book Antiqua" w:hAnsi="Book Antiqua" w:hint="eastAsia"/>
          <w:color w:val="000000"/>
          <w:lang w:eastAsia="zh-CN"/>
        </w:rPr>
        <w:t>;</w:t>
      </w:r>
      <w:r w:rsidR="00960CB4">
        <w:rPr>
          <w:rFonts w:ascii="Book Antiqua" w:hAnsi="Book Antiqua" w:hint="eastAsia"/>
          <w:color w:val="000000"/>
          <w:lang w:eastAsia="zh-CN"/>
        </w:rPr>
        <w:t xml:space="preserve"> </w:t>
      </w:r>
      <w:r w:rsidRPr="00146EF4">
        <w:rPr>
          <w:rFonts w:ascii="Book Antiqua" w:hAnsi="Book Antiqua"/>
          <w:color w:val="000000"/>
        </w:rPr>
        <w:t>AST:</w:t>
      </w:r>
      <w:r w:rsidR="00960CB4">
        <w:rPr>
          <w:rFonts w:ascii="Book Antiqua" w:hAnsi="Book Antiqua"/>
          <w:color w:val="000000"/>
        </w:rPr>
        <w:t xml:space="preserve"> </w:t>
      </w:r>
      <w:r w:rsidRPr="00146EF4">
        <w:rPr>
          <w:rFonts w:ascii="Book Antiqua" w:hAnsi="Book Antiqua"/>
          <w:color w:val="000000"/>
        </w:rPr>
        <w:t>Aspartate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transaminase</w:t>
      </w:r>
      <w:r w:rsidR="00146EF4">
        <w:rPr>
          <w:rFonts w:ascii="Book Antiqua" w:hAnsi="Book Antiqua" w:hint="eastAsia"/>
          <w:color w:val="000000"/>
          <w:lang w:eastAsia="zh-CN"/>
        </w:rPr>
        <w:t>;</w:t>
      </w:r>
      <w:r w:rsidR="00960CB4">
        <w:rPr>
          <w:rFonts w:ascii="Book Antiqua" w:hAnsi="Book Antiqua" w:hint="eastAsia"/>
          <w:color w:val="000000"/>
          <w:lang w:eastAsia="zh-CN"/>
        </w:rPr>
        <w:t xml:space="preserve"> </w:t>
      </w:r>
      <w:r w:rsidRPr="00146EF4">
        <w:rPr>
          <w:rFonts w:ascii="Book Antiqua" w:hAnsi="Book Antiqua"/>
          <w:color w:val="000000"/>
        </w:rPr>
        <w:t>LDLT:</w:t>
      </w:r>
      <w:r w:rsidR="00960CB4">
        <w:rPr>
          <w:rFonts w:ascii="Book Antiqua" w:hAnsi="Book Antiqua"/>
          <w:color w:val="000000"/>
        </w:rPr>
        <w:t xml:space="preserve"> </w:t>
      </w:r>
      <w:r w:rsidRPr="00146EF4">
        <w:rPr>
          <w:rFonts w:ascii="Book Antiqua" w:hAnsi="Book Antiqua"/>
          <w:color w:val="000000"/>
        </w:rPr>
        <w:t>Living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donor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liver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transpla</w:t>
      </w:r>
      <w:r w:rsidRPr="00146EF4">
        <w:rPr>
          <w:rFonts w:ascii="Book Antiqua" w:hAnsi="Book Antiqua"/>
          <w:color w:val="000000"/>
        </w:rPr>
        <w:t>ntation</w:t>
      </w:r>
      <w:r w:rsidR="00146EF4">
        <w:rPr>
          <w:rFonts w:ascii="Book Antiqua" w:hAnsi="Book Antiqua" w:hint="eastAsia"/>
          <w:color w:val="000000"/>
          <w:lang w:eastAsia="zh-CN"/>
        </w:rPr>
        <w:t>;</w:t>
      </w:r>
      <w:r w:rsidR="00960CB4">
        <w:rPr>
          <w:rFonts w:ascii="Book Antiqua" w:hAnsi="Book Antiqua" w:hint="eastAsia"/>
          <w:color w:val="000000"/>
          <w:lang w:eastAsia="zh-CN"/>
        </w:rPr>
        <w:t xml:space="preserve"> </w:t>
      </w:r>
      <w:r w:rsidRPr="00146EF4">
        <w:rPr>
          <w:rFonts w:ascii="Book Antiqua" w:hAnsi="Book Antiqua"/>
          <w:color w:val="000000"/>
        </w:rPr>
        <w:t>QOL:</w:t>
      </w:r>
      <w:r w:rsidR="00960CB4">
        <w:rPr>
          <w:rFonts w:ascii="Book Antiqua" w:hAnsi="Book Antiqua"/>
          <w:color w:val="000000"/>
        </w:rPr>
        <w:t xml:space="preserve"> </w:t>
      </w:r>
      <w:r w:rsidRPr="00146EF4">
        <w:rPr>
          <w:rFonts w:ascii="Book Antiqua" w:hAnsi="Book Antiqua"/>
          <w:color w:val="000000"/>
        </w:rPr>
        <w:t>Quality</w:t>
      </w:r>
      <w:r w:rsidR="00960CB4">
        <w:rPr>
          <w:rFonts w:ascii="Book Antiqua" w:hAnsi="Book Antiqua"/>
          <w:color w:val="000000"/>
        </w:rPr>
        <w:t xml:space="preserve"> </w:t>
      </w:r>
      <w:r w:rsidRPr="00146EF4">
        <w:rPr>
          <w:rFonts w:ascii="Book Antiqua" w:hAnsi="Book Antiqua"/>
          <w:color w:val="000000"/>
        </w:rPr>
        <w:t>of</w:t>
      </w:r>
      <w:r w:rsidR="00960CB4">
        <w:rPr>
          <w:rFonts w:ascii="Book Antiqua" w:hAnsi="Book Antiqua"/>
          <w:color w:val="000000"/>
        </w:rPr>
        <w:t xml:space="preserve"> </w:t>
      </w:r>
      <w:r w:rsidR="00146EF4" w:rsidRPr="00146EF4">
        <w:rPr>
          <w:rFonts w:ascii="Book Antiqua" w:hAnsi="Book Antiqua"/>
          <w:color w:val="000000"/>
        </w:rPr>
        <w:t>life</w:t>
      </w:r>
      <w:bookmarkEnd w:id="65"/>
      <w:bookmarkEnd w:id="66"/>
      <w:bookmarkEnd w:id="67"/>
      <w:bookmarkEnd w:id="68"/>
      <w:bookmarkEnd w:id="69"/>
      <w:bookmarkEnd w:id="70"/>
      <w:bookmarkEnd w:id="71"/>
      <w:r w:rsidR="00146EF4">
        <w:rPr>
          <w:rFonts w:ascii="Book Antiqua" w:hAnsi="Book Antiqua" w:hint="eastAsia"/>
          <w:color w:val="000000"/>
          <w:lang w:eastAsia="zh-CN"/>
        </w:rPr>
        <w:t>.</w:t>
      </w:r>
    </w:p>
    <w:p w14:paraId="0D849A17" w14:textId="77777777" w:rsidR="00306883" w:rsidRDefault="00306883">
      <w:pPr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color w:val="000000"/>
          <w:lang w:eastAsia="zh-CN"/>
        </w:rPr>
        <w:br w:type="page"/>
      </w:r>
    </w:p>
    <w:p w14:paraId="252281CE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37DA8AD0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560C1245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2825D090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4DBEE294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2F071F6F" w14:textId="3C277064" w:rsidR="00306883" w:rsidRDefault="00306883" w:rsidP="0030688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FB3B31C" wp14:editId="365D80EA">
            <wp:extent cx="2493645" cy="1438275"/>
            <wp:effectExtent l="0" t="0" r="190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DACBB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21E85FBF" w14:textId="77777777" w:rsidR="00306883" w:rsidRDefault="00306883" w:rsidP="0030688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AADE5BF" w14:textId="77777777" w:rsidR="00306883" w:rsidRDefault="00306883" w:rsidP="0030688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C53B58B" w14:textId="77777777" w:rsidR="00306883" w:rsidRDefault="00306883" w:rsidP="0030688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2685137" w14:textId="77777777" w:rsidR="00306883" w:rsidRDefault="00306883" w:rsidP="0030688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7007BE8" w14:textId="77777777" w:rsidR="00306883" w:rsidRDefault="00306883" w:rsidP="0030688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89E2D5B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73EA6C5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79909B92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3BAD1F3C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7B94098D" w14:textId="344E3119" w:rsidR="00306883" w:rsidRDefault="00306883" w:rsidP="0030688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BEB18C8" wp14:editId="5BF3D563">
            <wp:extent cx="1446530" cy="143827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4E5F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0CAE7EF0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1D486A5F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7E25864A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009DC58A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3FAFEDF7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5B48E45D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166D9B9B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05F7384B" w14:textId="77777777" w:rsidR="00306883" w:rsidRDefault="00306883" w:rsidP="00306883">
      <w:pPr>
        <w:jc w:val="center"/>
        <w:rPr>
          <w:rFonts w:ascii="Book Antiqua" w:hAnsi="Book Antiqua"/>
          <w:lang w:eastAsia="zh-CN"/>
        </w:rPr>
      </w:pPr>
    </w:p>
    <w:p w14:paraId="78374473" w14:textId="77777777" w:rsidR="00306883" w:rsidRDefault="00306883" w:rsidP="00306883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7B49DA3F" w14:textId="77777777" w:rsidR="00306883" w:rsidRDefault="00306883" w:rsidP="00306883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4EDC808" w14:textId="77777777" w:rsidR="00A77B3E" w:rsidRPr="00306883" w:rsidRDefault="00A77B3E" w:rsidP="00146EF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</w:p>
    <w:sectPr w:rsidR="00A77B3E" w:rsidRPr="0030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014F" w14:textId="77777777" w:rsidR="0011078C" w:rsidRDefault="0011078C" w:rsidP="00787C0B">
      <w:r>
        <w:separator/>
      </w:r>
    </w:p>
  </w:endnote>
  <w:endnote w:type="continuationSeparator" w:id="0">
    <w:p w14:paraId="5025930A" w14:textId="77777777" w:rsidR="0011078C" w:rsidRDefault="0011078C" w:rsidP="0078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6400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500E32" w14:textId="77777777" w:rsidR="00CB3CC5" w:rsidRDefault="00CB3CC5">
            <w:pPr>
              <w:pStyle w:val="a5"/>
              <w:jc w:val="right"/>
            </w:pPr>
            <w:r w:rsidRPr="005D68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D687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5D687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5D687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22155">
              <w:rPr>
                <w:rFonts w:ascii="Book Antiqua" w:hAnsi="Book Antiqua"/>
                <w:noProof/>
                <w:sz w:val="24"/>
                <w:szCs w:val="24"/>
              </w:rPr>
              <w:t>8</w:t>
            </w:r>
            <w:r w:rsidRPr="005D687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5D687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D687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5D687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5D687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22155">
              <w:rPr>
                <w:rFonts w:ascii="Book Antiqua" w:hAnsi="Book Antiqua"/>
                <w:noProof/>
                <w:sz w:val="24"/>
                <w:szCs w:val="24"/>
              </w:rPr>
              <w:t>23</w:t>
            </w:r>
            <w:r w:rsidRPr="005D687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2C3D726D" w14:textId="77777777" w:rsidR="00CB3CC5" w:rsidRDefault="00CB3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2300" w14:textId="77777777" w:rsidR="0011078C" w:rsidRDefault="0011078C" w:rsidP="00787C0B">
      <w:r>
        <w:separator/>
      </w:r>
    </w:p>
  </w:footnote>
  <w:footnote w:type="continuationSeparator" w:id="0">
    <w:p w14:paraId="32315DEB" w14:textId="77777777" w:rsidR="0011078C" w:rsidRDefault="0011078C" w:rsidP="0078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2882"/>
    <w:rsid w:val="000A5D08"/>
    <w:rsid w:val="000A60FA"/>
    <w:rsid w:val="000B1B03"/>
    <w:rsid w:val="0011078C"/>
    <w:rsid w:val="00114616"/>
    <w:rsid w:val="00130A18"/>
    <w:rsid w:val="00130F73"/>
    <w:rsid w:val="00146EF4"/>
    <w:rsid w:val="001D33E2"/>
    <w:rsid w:val="0028038D"/>
    <w:rsid w:val="002B6EAC"/>
    <w:rsid w:val="00306883"/>
    <w:rsid w:val="00325D35"/>
    <w:rsid w:val="00363EAA"/>
    <w:rsid w:val="0037678D"/>
    <w:rsid w:val="00417DAC"/>
    <w:rsid w:val="00423F4A"/>
    <w:rsid w:val="004463C4"/>
    <w:rsid w:val="00447CD4"/>
    <w:rsid w:val="00470E6F"/>
    <w:rsid w:val="004A0709"/>
    <w:rsid w:val="004C1B69"/>
    <w:rsid w:val="004D1509"/>
    <w:rsid w:val="00521FB6"/>
    <w:rsid w:val="00526192"/>
    <w:rsid w:val="005378A8"/>
    <w:rsid w:val="00592EA3"/>
    <w:rsid w:val="005D687F"/>
    <w:rsid w:val="005F67EF"/>
    <w:rsid w:val="0065414A"/>
    <w:rsid w:val="00655124"/>
    <w:rsid w:val="00712F47"/>
    <w:rsid w:val="00725367"/>
    <w:rsid w:val="00743C37"/>
    <w:rsid w:val="00787C0B"/>
    <w:rsid w:val="007E11AD"/>
    <w:rsid w:val="007E141C"/>
    <w:rsid w:val="00826D86"/>
    <w:rsid w:val="008650CE"/>
    <w:rsid w:val="00871DEE"/>
    <w:rsid w:val="0089261B"/>
    <w:rsid w:val="008B5A88"/>
    <w:rsid w:val="008D1F75"/>
    <w:rsid w:val="00902F06"/>
    <w:rsid w:val="009053DF"/>
    <w:rsid w:val="00922155"/>
    <w:rsid w:val="0092668A"/>
    <w:rsid w:val="00931CFD"/>
    <w:rsid w:val="00960CB4"/>
    <w:rsid w:val="009F31E3"/>
    <w:rsid w:val="00A16BAC"/>
    <w:rsid w:val="00A50D22"/>
    <w:rsid w:val="00A5777E"/>
    <w:rsid w:val="00A76A1C"/>
    <w:rsid w:val="00A77B3E"/>
    <w:rsid w:val="00AF207F"/>
    <w:rsid w:val="00B24F46"/>
    <w:rsid w:val="00B764C7"/>
    <w:rsid w:val="00B970C3"/>
    <w:rsid w:val="00BC3443"/>
    <w:rsid w:val="00BD0814"/>
    <w:rsid w:val="00C00C7B"/>
    <w:rsid w:val="00C173AE"/>
    <w:rsid w:val="00C25CE3"/>
    <w:rsid w:val="00C32503"/>
    <w:rsid w:val="00C80F1F"/>
    <w:rsid w:val="00CA2A55"/>
    <w:rsid w:val="00CB3CC5"/>
    <w:rsid w:val="00CC4617"/>
    <w:rsid w:val="00CE296E"/>
    <w:rsid w:val="00D81FF3"/>
    <w:rsid w:val="00D87CE6"/>
    <w:rsid w:val="00D932D6"/>
    <w:rsid w:val="00DB2F1F"/>
    <w:rsid w:val="00DC3E4D"/>
    <w:rsid w:val="00DD0BE5"/>
    <w:rsid w:val="00DF2958"/>
    <w:rsid w:val="00E57C5D"/>
    <w:rsid w:val="00E912EE"/>
    <w:rsid w:val="00F67EE9"/>
    <w:rsid w:val="00F9083B"/>
    <w:rsid w:val="00F91102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F275C"/>
  <w15:docId w15:val="{D27530E0-2C86-42D6-AE3F-6F61FEA9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lltext-it">
    <w:name w:val="fulltext-it"/>
    <w:basedOn w:val="a0"/>
  </w:style>
  <w:style w:type="paragraph" w:styleId="a3">
    <w:name w:val="header"/>
    <w:basedOn w:val="a"/>
    <w:link w:val="a4"/>
    <w:rsid w:val="0078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7C0B"/>
    <w:rPr>
      <w:sz w:val="18"/>
      <w:szCs w:val="18"/>
    </w:rPr>
  </w:style>
  <w:style w:type="paragraph" w:styleId="a5">
    <w:name w:val="footer"/>
    <w:basedOn w:val="a"/>
    <w:link w:val="a6"/>
    <w:uiPriority w:val="99"/>
    <w:rsid w:val="00787C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C0B"/>
    <w:rPr>
      <w:sz w:val="18"/>
      <w:szCs w:val="18"/>
    </w:rPr>
  </w:style>
  <w:style w:type="paragraph" w:styleId="a7">
    <w:name w:val="Normal (Web)"/>
    <w:basedOn w:val="a"/>
    <w:uiPriority w:val="99"/>
    <w:unhideWhenUsed/>
    <w:rsid w:val="0065414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8">
    <w:name w:val="Table Grid"/>
    <w:basedOn w:val="a1"/>
    <w:uiPriority w:val="39"/>
    <w:rsid w:val="00D87CE6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25D35"/>
    <w:rPr>
      <w:sz w:val="18"/>
      <w:szCs w:val="18"/>
    </w:rPr>
  </w:style>
  <w:style w:type="character" w:customStyle="1" w:styleId="aa">
    <w:name w:val="批注框文本 字符"/>
    <w:basedOn w:val="a0"/>
    <w:link w:val="a9"/>
    <w:rsid w:val="00325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10</cp:revision>
  <dcterms:created xsi:type="dcterms:W3CDTF">2021-06-21T00:44:00Z</dcterms:created>
  <dcterms:modified xsi:type="dcterms:W3CDTF">2021-07-22T02:07:00Z</dcterms:modified>
</cp:coreProperties>
</file>