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1BA" w:rsidRDefault="004A1A23">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2D21BA" w:rsidRDefault="004A1A23">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64116</w:t>
      </w:r>
    </w:p>
    <w:p w:rsidR="002D21BA" w:rsidRDefault="004A1A23">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i/>
          <w:color w:val="000000"/>
        </w:rPr>
        <w:t>Retrospective Study</w:t>
      </w:r>
    </w:p>
    <w:p w:rsidR="002D21BA" w:rsidRDefault="004A1A23">
      <w:pPr>
        <w:spacing w:line="360" w:lineRule="auto"/>
        <w:jc w:val="both"/>
        <w:rPr>
          <w:rFonts w:ascii="Book Antiqua" w:hAnsi="Book Antiqua"/>
        </w:rPr>
      </w:pPr>
      <w:bookmarkStart w:id="0" w:name="_Hlk80266196"/>
      <w:r>
        <w:rPr>
          <w:rFonts w:ascii="Book Antiqua" w:eastAsia="Book Antiqua" w:hAnsi="Book Antiqua" w:cs="Book Antiqua"/>
          <w:b/>
          <w:bCs/>
          <w:color w:val="000000"/>
        </w:rPr>
        <w:t xml:space="preserve">Effects of acute kidney injury on acute pancreatitis patients’ survival rate in </w:t>
      </w:r>
      <w:bookmarkStart w:id="1" w:name="_Hlk80271152"/>
      <w:r>
        <w:rPr>
          <w:rFonts w:ascii="Book Antiqua" w:eastAsia="Book Antiqua" w:hAnsi="Book Antiqua" w:cs="Book Antiqua"/>
          <w:b/>
          <w:bCs/>
          <w:color w:val="000000"/>
        </w:rPr>
        <w:t>intensive care unit</w:t>
      </w:r>
      <w:bookmarkEnd w:id="1"/>
      <w:r>
        <w:rPr>
          <w:rFonts w:ascii="Book Antiqua" w:eastAsia="Book Antiqua" w:hAnsi="Book Antiqua" w:cs="Book Antiqua"/>
          <w:b/>
          <w:bCs/>
          <w:color w:val="000000"/>
        </w:rPr>
        <w:t>: A retrospective study</w:t>
      </w:r>
    </w:p>
    <w:bookmarkEnd w:id="0"/>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Shi N </w:t>
      </w:r>
      <w:r>
        <w:rPr>
          <w:rFonts w:ascii="Book Antiqua" w:eastAsia="Book Antiqua" w:hAnsi="Book Antiqua" w:cs="Book Antiqua"/>
          <w:i/>
          <w:iCs/>
          <w:color w:val="000000"/>
        </w:rPr>
        <w:t>et al.</w:t>
      </w:r>
      <w:r>
        <w:rPr>
          <w:rFonts w:ascii="Book Antiqua" w:eastAsia="Book Antiqua" w:hAnsi="Book Antiqua" w:cs="Book Antiqua"/>
          <w:color w:val="000000"/>
        </w:rPr>
        <w:t xml:space="preserve"> AKI on mortality and relevant clinical outcomes in AP patients</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color w:val="000000"/>
        </w:rPr>
        <w:t>Ni Shi, Guo-Dong Sun, Yuan-Yuan Ji, Ying Wang, Yu-Cheng Zhu, Wan-Qiu Xie, Na-Na Li, Qiu-Yuan Han, Zhi-Dong Qi, Rui Huang, Ming Li, Zhen-Yu Yang, Jun-Bo Zheng, Xing Zhang, Qing-Qing Dai, Gui-Ying Hou, Yan-Song Liu, Hong-Liang Wang, Yang Gao</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Ni Shi, Qiu-Yuan Han, Zhi-Dong Qi, Rui Huang, Ming Li, Zhen-Yu Yang, Jun-Bo Zheng, Xing Zhang, Qing-Qing Dai, Gui-Ying Hou, Yan-Song Liu, Hong-Liang Wang, </w:t>
      </w:r>
      <w:r>
        <w:rPr>
          <w:rFonts w:ascii="Book Antiqua" w:eastAsia="Book Antiqua" w:hAnsi="Book Antiqua" w:cs="Book Antiqua"/>
          <w:color w:val="000000"/>
        </w:rPr>
        <w:t>Department of Critical Care Medicine, The Second Affiliated Hospital of Harbin Medical University, Harbin 1500</w:t>
      </w:r>
      <w:r>
        <w:rPr>
          <w:rFonts w:ascii="Book Antiqua" w:eastAsia="宋体" w:hAnsi="Book Antiqua" w:cs="Book Antiqua"/>
          <w:color w:val="000000"/>
          <w:lang w:eastAsia="zh-CN"/>
        </w:rPr>
        <w:t>86</w:t>
      </w:r>
      <w:r>
        <w:rPr>
          <w:rFonts w:ascii="Book Antiqua" w:eastAsia="Book Antiqua" w:hAnsi="Book Antiqua" w:cs="Book Antiqua"/>
          <w:color w:val="000000"/>
        </w:rPr>
        <w:t>, Heilongjiang Province, China</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Guo-Dong Sun, Yuan-Yuan Ji, Wan-Qiu Xie, Na-Na Li, </w:t>
      </w:r>
      <w:r>
        <w:rPr>
          <w:rFonts w:ascii="Book Antiqua" w:eastAsia="Book Antiqua" w:hAnsi="Book Antiqua" w:cs="Book Antiqua"/>
          <w:color w:val="000000"/>
        </w:rPr>
        <w:t>Department of Critical Care Medicine, The First Affiliated Hospital of Harbin Medical University, Harbin 15000</w:t>
      </w:r>
      <w:r>
        <w:rPr>
          <w:rFonts w:ascii="Book Antiqua" w:eastAsia="宋体" w:hAnsi="Book Antiqua" w:cs="Book Antiqua"/>
          <w:color w:val="000000"/>
          <w:lang w:eastAsia="zh-CN"/>
        </w:rPr>
        <w:t>1</w:t>
      </w:r>
      <w:r>
        <w:rPr>
          <w:rFonts w:ascii="Book Antiqua" w:eastAsia="Book Antiqua" w:hAnsi="Book Antiqua" w:cs="Book Antiqua"/>
          <w:color w:val="000000"/>
        </w:rPr>
        <w:t>, Heilongjiang Province, China</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Ying Wang, </w:t>
      </w:r>
      <w:r>
        <w:rPr>
          <w:rFonts w:ascii="Book Antiqua" w:eastAsia="Book Antiqua" w:hAnsi="Book Antiqua" w:cs="Book Antiqua"/>
          <w:color w:val="000000"/>
        </w:rPr>
        <w:t>Department of Critical Care Medicine, The First People Hospital of Mudanjiang</w:t>
      </w:r>
      <w:r>
        <w:rPr>
          <w:rFonts w:ascii="Book Antiqua" w:eastAsia="宋体" w:hAnsi="Book Antiqua" w:cs="Book Antiqua"/>
          <w:color w:val="000000"/>
          <w:lang w:eastAsia="zh-CN"/>
        </w:rPr>
        <w:t xml:space="preserve"> city</w:t>
      </w:r>
      <w:r>
        <w:rPr>
          <w:rFonts w:ascii="Book Antiqua" w:eastAsia="Book Antiqua" w:hAnsi="Book Antiqua" w:cs="Book Antiqua"/>
          <w:color w:val="000000"/>
        </w:rPr>
        <w:t>, Mudanjiang 157000, Heilongjiang Province, China</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Yu-Cheng Zhu, </w:t>
      </w:r>
      <w:r>
        <w:rPr>
          <w:rFonts w:ascii="Book Antiqua" w:eastAsia="Book Antiqua" w:hAnsi="Book Antiqua" w:cs="Book Antiqua"/>
          <w:color w:val="000000"/>
        </w:rPr>
        <w:t xml:space="preserve">Department of Critical Care Medicine, </w:t>
      </w:r>
      <w:r>
        <w:rPr>
          <w:rFonts w:ascii="Book Antiqua" w:eastAsia="宋体" w:hAnsi="Book Antiqua" w:cs="Book Antiqua"/>
          <w:color w:val="000000"/>
          <w:lang w:eastAsia="zh-CN"/>
        </w:rPr>
        <w:t>T</w:t>
      </w:r>
      <w:r>
        <w:rPr>
          <w:rFonts w:ascii="Book Antiqua" w:eastAsia="Book Antiqua" w:hAnsi="Book Antiqua" w:cs="Book Antiqua"/>
          <w:color w:val="000000"/>
        </w:rPr>
        <w:t xml:space="preserve">he Hongxinglong Hospital of </w:t>
      </w:r>
      <w:r>
        <w:rPr>
          <w:rFonts w:ascii="Book Antiqua" w:eastAsia="宋体" w:hAnsi="Book Antiqua" w:cs="Book Antiqua"/>
          <w:color w:val="000000"/>
          <w:lang w:eastAsia="zh-CN"/>
        </w:rPr>
        <w:t>Beidahuang Group</w:t>
      </w:r>
      <w:r>
        <w:rPr>
          <w:rFonts w:ascii="Book Antiqua" w:eastAsia="Book Antiqua" w:hAnsi="Book Antiqua" w:cs="Book Antiqua"/>
          <w:color w:val="000000"/>
        </w:rPr>
        <w:t>, Shuangyashan 155</w:t>
      </w:r>
      <w:r>
        <w:rPr>
          <w:rFonts w:ascii="Book Antiqua" w:eastAsia="宋体" w:hAnsi="Book Antiqua" w:cs="Book Antiqua"/>
          <w:color w:val="000000"/>
          <w:lang w:eastAsia="zh-CN"/>
        </w:rPr>
        <w:t>811</w:t>
      </w:r>
      <w:r>
        <w:rPr>
          <w:rFonts w:ascii="Book Antiqua" w:eastAsia="Book Antiqua" w:hAnsi="Book Antiqua" w:cs="Book Antiqua"/>
          <w:color w:val="000000"/>
        </w:rPr>
        <w:t>, Heilongjiang Province, China</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Yang Gao, </w:t>
      </w:r>
      <w:r>
        <w:rPr>
          <w:rFonts w:ascii="Book Antiqua" w:eastAsia="Book Antiqua" w:hAnsi="Book Antiqua" w:cs="Book Antiqua"/>
          <w:color w:val="000000"/>
        </w:rPr>
        <w:t xml:space="preserve">Department of Critical Care Medicine, The </w:t>
      </w:r>
      <w:r>
        <w:rPr>
          <w:rFonts w:ascii="Book Antiqua" w:eastAsia="宋体" w:hAnsi="Book Antiqua" w:cs="Book Antiqua"/>
          <w:color w:val="000000"/>
          <w:lang w:eastAsia="zh-CN"/>
        </w:rPr>
        <w:t>Sixth</w:t>
      </w:r>
      <w:r>
        <w:rPr>
          <w:rFonts w:ascii="Book Antiqua" w:eastAsia="Book Antiqua" w:hAnsi="Book Antiqua" w:cs="Book Antiqua"/>
          <w:color w:val="000000"/>
        </w:rPr>
        <w:t xml:space="preserve"> Affiliated Hospital of Harbin Medical University, Harbin 1500</w:t>
      </w:r>
      <w:r>
        <w:rPr>
          <w:rFonts w:ascii="Book Antiqua" w:eastAsia="宋体" w:hAnsi="Book Antiqua" w:cs="Book Antiqua"/>
          <w:color w:val="000000"/>
          <w:lang w:eastAsia="zh-CN"/>
        </w:rPr>
        <w:t>28</w:t>
      </w:r>
      <w:r>
        <w:rPr>
          <w:rFonts w:ascii="Book Antiqua" w:eastAsia="Book Antiqua" w:hAnsi="Book Antiqua" w:cs="Book Antiqua"/>
          <w:color w:val="000000"/>
        </w:rPr>
        <w:t>, Heilongjiang Province, China</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eastAsia="宋体"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Shi N and Gao Y carried out the concept</w:t>
      </w:r>
      <w:r>
        <w:rPr>
          <w:rFonts w:ascii="Book Antiqua" w:eastAsia="宋体" w:hAnsi="Book Antiqua" w:cs="Book Antiqua"/>
          <w:color w:val="000000"/>
          <w:lang w:eastAsia="zh-CN"/>
        </w:rPr>
        <w:t>ion</w:t>
      </w:r>
      <w:r>
        <w:rPr>
          <w:rFonts w:ascii="Book Antiqua" w:eastAsia="Book Antiqua" w:hAnsi="Book Antiqua" w:cs="Book Antiqua"/>
          <w:color w:val="000000"/>
        </w:rPr>
        <w:t>, design, definition of intellectual content, literature search, data acquisition, data analysis, and manuscript preparation; all authors participated in data acquisition, data analysis; Sun GD, Ji YY, Wang Y, Zhu YC, Xie WQ, Li NN, Han QY, Qi ZD, Huang R, Li M, Yang ZY, Zheng JB, Zhang X, Dai QQ, Hou GY, Liu YS, and Wang HL provided assistance for statistical analysis; Shi N, Wang HL</w:t>
      </w:r>
      <w:r>
        <w:rPr>
          <w:rFonts w:ascii="Book Antiqua" w:eastAsia="Book Antiqua" w:hAnsi="Book Antiqua" w:cs="Book Antiqua"/>
        </w:rPr>
        <w:t>,</w:t>
      </w:r>
      <w:r>
        <w:rPr>
          <w:rFonts w:ascii="Book Antiqua" w:eastAsia="Book Antiqua" w:hAnsi="Book Antiqua" w:cs="Book Antiqua"/>
          <w:color w:val="000000"/>
        </w:rPr>
        <w:t xml:space="preserve"> and Gao Y carried out literature search and manuscript editing; Wang HL</w:t>
      </w:r>
      <w:r>
        <w:rPr>
          <w:rFonts w:ascii="Book Antiqua" w:eastAsia="宋体" w:hAnsi="Book Antiqua" w:cs="Book Antiqua"/>
          <w:color w:val="000000"/>
          <w:lang w:eastAsia="zh-CN"/>
        </w:rPr>
        <w:t>, Sun GD</w:t>
      </w:r>
      <w:r>
        <w:rPr>
          <w:rFonts w:ascii="Book Antiqua" w:eastAsia="宋体" w:hAnsi="Book Antiqua" w:cs="Book Antiqua"/>
          <w:lang w:eastAsia="zh-CN"/>
        </w:rPr>
        <w:t>,</w:t>
      </w:r>
      <w:r>
        <w:rPr>
          <w:rFonts w:ascii="Book Antiqua" w:eastAsia="Book Antiqua" w:hAnsi="Book Antiqua" w:cs="Book Antiqua"/>
          <w:color w:val="000000"/>
        </w:rPr>
        <w:t xml:space="preserve"> and Gao </w:t>
      </w:r>
      <w:r>
        <w:rPr>
          <w:rFonts w:ascii="Book Antiqua" w:eastAsia="宋体" w:hAnsi="Book Antiqua" w:cs="Book Antiqua"/>
          <w:color w:val="000000"/>
          <w:lang w:eastAsia="zh-CN"/>
        </w:rPr>
        <w:t xml:space="preserve">Y </w:t>
      </w:r>
      <w:r>
        <w:rPr>
          <w:rFonts w:ascii="Book Antiqua" w:eastAsia="Book Antiqua" w:hAnsi="Book Antiqua" w:cs="Book Antiqua"/>
          <w:color w:val="000000"/>
        </w:rPr>
        <w:t xml:space="preserve">performed manuscript review; </w:t>
      </w:r>
      <w:r>
        <w:rPr>
          <w:rFonts w:ascii="Book Antiqua" w:eastAsia="Book Antiqua" w:hAnsi="Book Antiqua" w:cs="Book Antiqua"/>
        </w:rPr>
        <w:t>A</w:t>
      </w:r>
      <w:r>
        <w:rPr>
          <w:rFonts w:ascii="Book Antiqua" w:eastAsia="Book Antiqua" w:hAnsi="Book Antiqua" w:cs="Book Antiqua"/>
          <w:color w:val="000000"/>
        </w:rPr>
        <w:t>ll authors have read and approved the content of the manuscript</w:t>
      </w:r>
      <w:r>
        <w:rPr>
          <w:rFonts w:ascii="Book Antiqua" w:eastAsia="宋体" w:hAnsi="Book Antiqua" w:cs="宋体"/>
          <w:color w:val="000000"/>
          <w:lang w:eastAsia="zh-CN"/>
        </w:rPr>
        <w:t>; and</w:t>
      </w:r>
      <w:r>
        <w:rPr>
          <w:rFonts w:ascii="Book Antiqua" w:eastAsia="宋体" w:hAnsi="Book Antiqua" w:cs="Book Antiqua"/>
          <w:color w:val="000000"/>
          <w:lang w:eastAsia="zh-CN"/>
        </w:rPr>
        <w:t xml:space="preserve"> Shi N and Sun GD contributed equally to this work.</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Scientific Research Project of Heilongjiang Health and Family Planning Commission, No. 2018086 and No. 2018392.</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Corresponding author: Yang Gao, MD, </w:t>
      </w:r>
      <w:r>
        <w:rPr>
          <w:rFonts w:ascii="Book Antiqua" w:eastAsia="Book Antiqua" w:hAnsi="Book Antiqua" w:cs="Book Antiqua"/>
          <w:color w:val="000000"/>
        </w:rPr>
        <w:t xml:space="preserve">Department of Critical Care Medicine, The </w:t>
      </w:r>
      <w:r>
        <w:rPr>
          <w:rFonts w:ascii="Book Antiqua" w:eastAsia="宋体" w:hAnsi="Book Antiqua" w:cs="Book Antiqua"/>
          <w:color w:val="000000"/>
          <w:lang w:eastAsia="zh-CN"/>
        </w:rPr>
        <w:t>Sixth</w:t>
      </w:r>
      <w:r>
        <w:rPr>
          <w:rFonts w:ascii="Book Antiqua" w:eastAsia="Book Antiqua" w:hAnsi="Book Antiqua" w:cs="Book Antiqua"/>
          <w:color w:val="000000"/>
        </w:rPr>
        <w:t xml:space="preserve"> Affiliated Hospital of Harbin Medical University, </w:t>
      </w:r>
      <w:r>
        <w:rPr>
          <w:rFonts w:ascii="Book Antiqua" w:hAnsi="Book Antiqua"/>
          <w:lang w:eastAsia="zh-CN"/>
        </w:rPr>
        <w:t>Zhongyuan Avenue</w:t>
      </w:r>
      <w:r>
        <w:rPr>
          <w:rFonts w:ascii="Book Antiqua" w:eastAsia="宋体" w:hAnsi="Book Antiqua" w:cs="Book Antiqua"/>
          <w:color w:val="000000"/>
          <w:lang w:eastAsia="zh-CN"/>
        </w:rPr>
        <w:t xml:space="preserve">, </w:t>
      </w:r>
      <w:r>
        <w:rPr>
          <w:rFonts w:ascii="Book Antiqua" w:eastAsia="Book Antiqua" w:hAnsi="Book Antiqua" w:cs="Book Antiqua"/>
          <w:color w:val="000000"/>
        </w:rPr>
        <w:t>Harbin 1500</w:t>
      </w:r>
      <w:r>
        <w:rPr>
          <w:rFonts w:ascii="Book Antiqua" w:eastAsia="宋体" w:hAnsi="Book Antiqua" w:cs="Book Antiqua"/>
          <w:color w:val="000000"/>
          <w:lang w:eastAsia="zh-CN"/>
        </w:rPr>
        <w:t>28</w:t>
      </w:r>
      <w:r>
        <w:rPr>
          <w:rFonts w:ascii="Book Antiqua" w:eastAsia="Book Antiqua" w:hAnsi="Book Antiqua" w:cs="Book Antiqua"/>
          <w:color w:val="000000"/>
        </w:rPr>
        <w:t>, Heilongjiang Province, China. gaoyang0312@126.com</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4, 2021</w:t>
      </w: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15, 2021</w:t>
      </w: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2" w:name="OLE_LINK33"/>
      <w:bookmarkStart w:id="3" w:name="OLE_LINK48"/>
      <w:bookmarkStart w:id="4" w:name="OLE_LINK15"/>
      <w:r>
        <w:rPr>
          <w:rFonts w:ascii="Book Antiqua" w:eastAsia="宋体" w:hAnsi="Book Antiqua" w:hint="eastAsia"/>
          <w:color w:val="000000" w:themeColor="text1"/>
        </w:rPr>
        <w:t>Au</w:t>
      </w:r>
      <w:r>
        <w:rPr>
          <w:rFonts w:ascii="Book Antiqua" w:eastAsia="宋体" w:hAnsi="Book Antiqua"/>
          <w:color w:val="000000" w:themeColor="text1"/>
        </w:rPr>
        <w:t>gust 23, 2021</w:t>
      </w:r>
      <w:bookmarkEnd w:id="2"/>
      <w:bookmarkEnd w:id="3"/>
      <w:bookmarkEnd w:id="4"/>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Pr>
          <w:rFonts w:ascii="Book Antiqua" w:eastAsia="Book Antiqua" w:hAnsi="Book Antiqua" w:cs="Book Antiqua"/>
          <w:bCs/>
          <w:color w:val="000000" w:themeColor="text1"/>
        </w:rPr>
        <w:t>October 14, 2021</w:t>
      </w:r>
    </w:p>
    <w:p w:rsidR="002D21BA" w:rsidRDefault="002D21BA">
      <w:pPr>
        <w:spacing w:line="360" w:lineRule="auto"/>
        <w:jc w:val="both"/>
        <w:rPr>
          <w:rFonts w:ascii="Book Antiqua" w:hAnsi="Book Antiqua"/>
        </w:rPr>
        <w:sectPr w:rsidR="002D21BA">
          <w:footerReference w:type="default" r:id="rId8"/>
          <w:pgSz w:w="12240" w:h="15840"/>
          <w:pgMar w:top="1440" w:right="1440" w:bottom="1440" w:left="1440" w:header="720" w:footer="720" w:gutter="0"/>
          <w:cols w:space="720"/>
          <w:docGrid w:linePitch="360"/>
        </w:sectPr>
      </w:pPr>
    </w:p>
    <w:p w:rsidR="002D21BA" w:rsidRDefault="004A1A23">
      <w:pPr>
        <w:spacing w:line="360" w:lineRule="auto"/>
        <w:jc w:val="both"/>
        <w:rPr>
          <w:rFonts w:ascii="Book Antiqua" w:hAnsi="Book Antiqua"/>
        </w:rPr>
      </w:pPr>
      <w:r>
        <w:rPr>
          <w:rFonts w:ascii="Book Antiqua" w:eastAsia="Book Antiqua" w:hAnsi="Book Antiqua" w:cs="Book Antiqua"/>
          <w:b/>
          <w:color w:val="000000"/>
        </w:rPr>
        <w:t>Abstract</w:t>
      </w:r>
    </w:p>
    <w:p w:rsidR="002D21BA" w:rsidRDefault="004A1A23">
      <w:pPr>
        <w:spacing w:line="360" w:lineRule="auto"/>
        <w:jc w:val="both"/>
        <w:rPr>
          <w:rFonts w:ascii="Book Antiqua" w:hAnsi="Book Antiqua"/>
        </w:rPr>
      </w:pPr>
      <w:r>
        <w:rPr>
          <w:rFonts w:ascii="Book Antiqua" w:eastAsia="Book Antiqua" w:hAnsi="Book Antiqua" w:cs="Book Antiqua"/>
          <w:color w:val="000000"/>
        </w:rPr>
        <w:t>BACKGROUND</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Acute kidney injury (AKI) is one of the most common </w:t>
      </w:r>
      <w:bookmarkStart w:id="5" w:name="_Hlk80600382"/>
      <w:r>
        <w:rPr>
          <w:rFonts w:ascii="Book Antiqua" w:eastAsia="Book Antiqua" w:hAnsi="Book Antiqua" w:cs="Book Antiqua"/>
          <w:color w:val="000000"/>
        </w:rPr>
        <w:t>acute pancreatitis</w:t>
      </w:r>
      <w:bookmarkEnd w:id="5"/>
      <w:r>
        <w:rPr>
          <w:rFonts w:ascii="Book Antiqua" w:eastAsia="Book Antiqua" w:hAnsi="Book Antiqua" w:cs="Book Antiqua"/>
          <w:color w:val="000000"/>
        </w:rPr>
        <w:t xml:space="preserve"> (AP)-associated complications that has a significant effect on AP, but the factors affecting the AP patients’ survival rate remains unclear.</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color w:val="000000"/>
        </w:rPr>
        <w:t>AIM</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To assess the influences of AKI on the survival rate in AP patients. </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color w:val="000000"/>
        </w:rPr>
        <w:t>METHODS</w:t>
      </w:r>
    </w:p>
    <w:p w:rsidR="002D21BA" w:rsidRDefault="004A1A23">
      <w:pPr>
        <w:spacing w:line="360" w:lineRule="auto"/>
        <w:jc w:val="both"/>
        <w:rPr>
          <w:rFonts w:ascii="Book Antiqua" w:hAnsi="Book Antiqua"/>
        </w:rPr>
      </w:pPr>
      <w:r>
        <w:rPr>
          <w:rFonts w:ascii="Book Antiqua" w:eastAsia="Book Antiqua" w:hAnsi="Book Antiqua" w:cs="Book Antiqua"/>
          <w:color w:val="000000"/>
        </w:rPr>
        <w:t>A total of 139 AP patients were included in this retrospective study. Patients were divided into AKI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72) and non-AKI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67) according to the occurrence of AKI. Data were collected from medical records of hospitalized patients. Then, these data were compared between the two groups and further analysis was performed.</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color w:val="000000"/>
        </w:rPr>
        <w:t>RESULTS</w:t>
      </w:r>
    </w:p>
    <w:p w:rsidR="002D21BA" w:rsidRDefault="004A1A23">
      <w:pPr>
        <w:spacing w:line="360" w:lineRule="auto"/>
        <w:jc w:val="both"/>
        <w:rPr>
          <w:rFonts w:ascii="Book Antiqua" w:hAnsi="Book Antiqua"/>
        </w:rPr>
      </w:pPr>
      <w:r>
        <w:rPr>
          <w:rFonts w:ascii="Book Antiqua" w:eastAsia="Book Antiqua" w:hAnsi="Book Antiqua" w:cs="Book Antiqua"/>
          <w:color w:val="000000"/>
        </w:rPr>
        <w:t>AKI is more likely to occur in male AP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AP patients in AKI group exhibited a significantly higher acute physiologic assessment and chronic health evaluation II</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score, </w:t>
      </w:r>
      <w:r>
        <w:rPr>
          <w:rFonts w:ascii="Book Antiqua" w:eastAsia="宋体" w:hAnsi="Book Antiqua" w:cs="Book Antiqua" w:hint="eastAsia"/>
          <w:color w:val="000000"/>
          <w:lang w:eastAsia="zh-CN"/>
        </w:rPr>
        <w:t xml:space="preserve">higher </w:t>
      </w:r>
      <w:r>
        <w:rPr>
          <w:rFonts w:ascii="Book Antiqua" w:eastAsia="Book Antiqua" w:hAnsi="Book Antiqua" w:cs="Book Antiqua"/>
          <w:color w:val="000000"/>
        </w:rPr>
        <w:t>Sequential Organ Failure Assessment score, lower Glasgow Coma Scale</w:t>
      </w:r>
      <w:r>
        <w:rPr>
          <w:rFonts w:ascii="Book Antiqua" w:eastAsia="宋体" w:hAnsi="Book Antiqua" w:cs="Book Antiqua"/>
          <w:color w:val="000000"/>
          <w:lang w:eastAsia="zh-CN"/>
        </w:rPr>
        <w:t xml:space="preserve"> </w:t>
      </w:r>
      <w:r>
        <w:rPr>
          <w:rFonts w:ascii="Book Antiqua" w:eastAsia="Book Antiqua" w:hAnsi="Book Antiqua" w:cs="Book Antiqua"/>
          <w:color w:val="000000"/>
        </w:rPr>
        <w:t>score, and higher demand for mechanical ventilation, infusion of vasopressors, and renal replacement therapy than AP patients in non-AKI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respectively). Significant differences were noted in dose of norepinephrine and adrenaline, duration of mechanical ventilation, maximum and mean values of intra-peritoneal pressure (IPP), maximum and mean values of procalcitonin, maximum and mean serum levels of creatinine, minimum platelet count, and length of hospitalization. </w:t>
      </w:r>
      <w:r>
        <w:rPr>
          <w:rFonts w:ascii="Book Antiqua" w:eastAsia="Book Antiqua" w:hAnsi="Book Antiqua" w:cs="Book Antiqua" w:hint="eastAsia"/>
          <w:color w:val="000000"/>
        </w:rPr>
        <w:t>Among AP patients with AKI, the survival rate of surgical intensive care unit and in-hospital were only 23% and 21% of the corresponding rates in AP patients without AKI, respectively.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factors that influenced the AP patients’ survival rate included </w:t>
      </w:r>
      <w:bookmarkStart w:id="6" w:name="_Hlk80266287"/>
      <w:r>
        <w:rPr>
          <w:rFonts w:ascii="Book Antiqua" w:eastAsia="Book Antiqua" w:hAnsi="Book Antiqua" w:cs="Book Antiqua"/>
          <w:color w:val="000000"/>
        </w:rPr>
        <w:t>body mass index</w:t>
      </w:r>
      <w:bookmarkEnd w:id="6"/>
      <w:r>
        <w:rPr>
          <w:rFonts w:ascii="Book Antiqua" w:eastAsia="宋体" w:hAnsi="Book Antiqua" w:cs="Book Antiqua" w:hint="eastAsia"/>
          <w:color w:val="000000"/>
          <w:lang w:eastAsia="zh-CN"/>
        </w:rPr>
        <w:t xml:space="preserve"> </w:t>
      </w:r>
      <w:r w:rsidR="007B49F6">
        <w:rPr>
          <w:rFonts w:ascii="Book Antiqua" w:eastAsia="Book Antiqua" w:hAnsi="Book Antiqua" w:cs="Book Antiqua"/>
          <w:color w:val="000000"/>
        </w:rPr>
        <w:t>(</w:t>
      </w:r>
      <w:r>
        <w:rPr>
          <w:rFonts w:ascii="Book Antiqua" w:eastAsia="宋体" w:hAnsi="Book Antiqua" w:cs="Book Antiqua" w:hint="eastAsia"/>
          <w:color w:val="000000"/>
          <w:lang w:eastAsia="zh-CN"/>
        </w:rPr>
        <w:t>BMI</w:t>
      </w:r>
      <w:r w:rsidR="007B49F6">
        <w:rPr>
          <w:rFonts w:ascii="Book Antiqua" w:eastAsia="Book Antiqua" w:hAnsi="Book Antiqua" w:cs="Book Antiqua"/>
          <w:color w:val="000000"/>
        </w:rPr>
        <w:t>)</w:t>
      </w:r>
      <w:r>
        <w:rPr>
          <w:rFonts w:ascii="Book Antiqua" w:eastAsia="Book Antiqua" w:hAnsi="Book Antiqua" w:cs="Book Antiqua"/>
          <w:color w:val="000000"/>
        </w:rPr>
        <w:t>, mean values of IPP, minimum platelet count, and hospital day, of which mean values of IPP showed the greatest impact.</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color w:val="000000"/>
        </w:rPr>
        <w:t>CONCLUSION</w:t>
      </w:r>
    </w:p>
    <w:p w:rsidR="002D21BA" w:rsidRDefault="004A1A23">
      <w:pPr>
        <w:spacing w:line="360" w:lineRule="auto"/>
        <w:jc w:val="both"/>
        <w:rPr>
          <w:rFonts w:ascii="Book Antiqua" w:hAnsi="Book Antiqua"/>
        </w:rPr>
      </w:pPr>
      <w:r>
        <w:rPr>
          <w:rFonts w:ascii="Book Antiqua" w:eastAsia="Book Antiqua" w:hAnsi="Book Antiqua" w:cs="Book Antiqua"/>
          <w:color w:val="000000"/>
        </w:rPr>
        <w:t>AP patients with AKI had a lower survival rate and worse relevant clinical outcomes than AP patients without AKI, which necessitates further attention to AP patients with AKI in surgical intensive care unit.</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Acute kidney injury; Acute pancreatitis; Surgical intensive care unit; Survival rate; Risk factors; Intra-peritoneal pressure</w:t>
      </w:r>
    </w:p>
    <w:p w:rsidR="00ED6DF5" w:rsidRDefault="00ED6DF5" w:rsidP="00ED6DF5">
      <w:pPr>
        <w:spacing w:line="360" w:lineRule="auto"/>
        <w:jc w:val="both"/>
        <w:rPr>
          <w:lang w:eastAsia="zh-CN"/>
        </w:rPr>
      </w:pPr>
    </w:p>
    <w:p w:rsidR="00ED6DF5" w:rsidRPr="00026CB8" w:rsidRDefault="00ED6DF5" w:rsidP="00ED6DF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2D21BA" w:rsidRDefault="002D21BA">
      <w:pPr>
        <w:spacing w:line="360" w:lineRule="auto"/>
        <w:jc w:val="both"/>
        <w:rPr>
          <w:rFonts w:ascii="Book Antiqua" w:hAnsi="Book Antiqua"/>
        </w:rPr>
      </w:pPr>
    </w:p>
    <w:p w:rsidR="004E0B30" w:rsidRDefault="004E0B30">
      <w:pPr>
        <w:spacing w:line="360" w:lineRule="auto"/>
        <w:jc w:val="both"/>
        <w:rPr>
          <w:rFonts w:ascii="Book Antiqua" w:hAnsi="Book Antiqua" w:cs="Book Antiqua" w:hint="eastAsia"/>
          <w:color w:val="000000"/>
          <w:lang w:eastAsia="zh-CN"/>
        </w:rPr>
      </w:pPr>
      <w:r w:rsidRPr="004E0B30">
        <w:rPr>
          <w:rFonts w:ascii="Book Antiqua" w:hAnsi="Book Antiqua" w:cs="Book Antiqua" w:hint="eastAsia"/>
          <w:b/>
          <w:color w:val="000000"/>
          <w:lang w:eastAsia="zh-CN"/>
        </w:rPr>
        <w:t xml:space="preserve">Citation: </w:t>
      </w:r>
      <w:r w:rsidR="004A1A23">
        <w:rPr>
          <w:rFonts w:ascii="Book Antiqua" w:eastAsia="Book Antiqua" w:hAnsi="Book Antiqua" w:cs="Book Antiqua"/>
          <w:color w:val="000000"/>
        </w:rPr>
        <w:t xml:space="preserve">Shi N, Sun GD, Ji YY, Wang Y, Zhu YC, Xie WQ, Li NN, Han QY, Qi ZD, Huang R, Li M, Yang ZY, Zheng JB, Zhang X, Dai QQ, Hou GY, Liu YS, Wang HL, Gao Y. Effects of acute kidney injury on acute pancreatitis patients’ survival rate in intensive care unit: A retrospective study. </w:t>
      </w:r>
      <w:r w:rsidR="004A1A23">
        <w:rPr>
          <w:rFonts w:ascii="Book Antiqua" w:eastAsia="Book Antiqua" w:hAnsi="Book Antiqua" w:cs="Book Antiqua"/>
          <w:i/>
          <w:iCs/>
          <w:color w:val="000000"/>
        </w:rPr>
        <w:t>World J Gastroenterol</w:t>
      </w:r>
      <w:r w:rsidR="004A1A23">
        <w:rPr>
          <w:rFonts w:ascii="Book Antiqua" w:eastAsia="Book Antiqua" w:hAnsi="Book Antiqua" w:cs="Book Antiqua"/>
          <w:color w:val="000000"/>
        </w:rPr>
        <w:t xml:space="preserve"> 2021; 27(38): </w:t>
      </w:r>
      <w:r w:rsidRPr="004E0B30">
        <w:rPr>
          <w:rFonts w:ascii="Book Antiqua" w:eastAsia="Book Antiqua" w:hAnsi="Book Antiqua" w:cs="Book Antiqua"/>
          <w:color w:val="000000"/>
        </w:rPr>
        <w:t>6453-6464</w:t>
      </w:r>
      <w:r w:rsidR="004A1A23">
        <w:rPr>
          <w:rFonts w:ascii="Book Antiqua" w:eastAsia="Book Antiqua" w:hAnsi="Book Antiqua" w:cs="Book Antiqua"/>
          <w:color w:val="000000"/>
        </w:rPr>
        <w:t xml:space="preserve"> </w:t>
      </w:r>
    </w:p>
    <w:p w:rsidR="004E0B30" w:rsidRDefault="004A1A23">
      <w:pPr>
        <w:spacing w:line="360" w:lineRule="auto"/>
        <w:jc w:val="both"/>
        <w:rPr>
          <w:rFonts w:ascii="Book Antiqua" w:hAnsi="Book Antiqua" w:cs="Book Antiqua" w:hint="eastAsia"/>
          <w:color w:val="000000"/>
          <w:lang w:eastAsia="zh-CN"/>
        </w:rPr>
      </w:pPr>
      <w:r w:rsidRPr="004E0B30">
        <w:rPr>
          <w:rFonts w:ascii="Book Antiqua" w:eastAsia="Book Antiqua" w:hAnsi="Book Antiqua" w:cs="Book Antiqua"/>
          <w:b/>
          <w:color w:val="000000"/>
        </w:rPr>
        <w:t>URL:</w:t>
      </w:r>
      <w:r>
        <w:rPr>
          <w:rFonts w:ascii="Book Antiqua" w:eastAsia="Book Antiqua" w:hAnsi="Book Antiqua" w:cs="Book Antiqua"/>
          <w:color w:val="000000"/>
        </w:rPr>
        <w:t xml:space="preserve"> https://www.wjgnet.com/1007-9327/full/v27/i38/</w:t>
      </w:r>
      <w:r w:rsidR="004E0B30" w:rsidRPr="004E0B30">
        <w:rPr>
          <w:rFonts w:ascii="Book Antiqua" w:eastAsia="Book Antiqua" w:hAnsi="Book Antiqua" w:cs="Book Antiqua"/>
          <w:color w:val="000000"/>
        </w:rPr>
        <w:t>6453</w:t>
      </w:r>
      <w:r>
        <w:rPr>
          <w:rFonts w:ascii="Book Antiqua" w:eastAsia="Book Antiqua" w:hAnsi="Book Antiqua" w:cs="Book Antiqua"/>
          <w:color w:val="000000"/>
        </w:rPr>
        <w:t xml:space="preserve">.htm </w:t>
      </w:r>
    </w:p>
    <w:p w:rsidR="002D21BA" w:rsidRDefault="004A1A23">
      <w:pPr>
        <w:spacing w:line="360" w:lineRule="auto"/>
        <w:jc w:val="both"/>
        <w:rPr>
          <w:rFonts w:ascii="Book Antiqua" w:hAnsi="Book Antiqua"/>
        </w:rPr>
      </w:pPr>
      <w:r w:rsidRPr="004E0B30">
        <w:rPr>
          <w:rFonts w:ascii="Book Antiqua" w:eastAsia="Book Antiqua" w:hAnsi="Book Antiqua" w:cs="Book Antiqua"/>
          <w:b/>
          <w:color w:val="000000"/>
        </w:rPr>
        <w:t>DOI:</w:t>
      </w:r>
      <w:r>
        <w:rPr>
          <w:rFonts w:ascii="Book Antiqua" w:eastAsia="Book Antiqua" w:hAnsi="Book Antiqua" w:cs="Book Antiqua"/>
          <w:color w:val="000000"/>
        </w:rPr>
        <w:t xml:space="preserve"> https://dx.doi.org/10.3748/wjg.v27.i38.</w:t>
      </w:r>
      <w:r w:rsidR="004E0B30" w:rsidRPr="004E0B30">
        <w:rPr>
          <w:rFonts w:ascii="Book Antiqua" w:eastAsia="Book Antiqua" w:hAnsi="Book Antiqua" w:cs="Book Antiqua"/>
          <w:color w:val="000000"/>
        </w:rPr>
        <w:t>6453</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Acute pancreatitis</w:t>
      </w:r>
      <w:r>
        <w:rPr>
          <w:rFonts w:ascii="Book Antiqua" w:eastAsia="Book Antiqua" w:hAnsi="Book Antiqua" w:cs="Book Antiqua"/>
          <w:b/>
          <w:bCs/>
          <w:color w:val="000000"/>
        </w:rPr>
        <w:t xml:space="preserve"> </w:t>
      </w:r>
      <w:r>
        <w:rPr>
          <w:rFonts w:ascii="Book Antiqua" w:eastAsia="Book Antiqua" w:hAnsi="Book Antiqua" w:cs="Book Antiqua"/>
          <w:color w:val="000000"/>
        </w:rPr>
        <w:t>(AP)</w:t>
      </w:r>
      <w:r>
        <w:rPr>
          <w:rFonts w:ascii="Book Antiqua" w:eastAsia="Book Antiqua" w:hAnsi="Book Antiqua" w:cs="Book Antiqua"/>
          <w:b/>
          <w:bCs/>
          <w:color w:val="000000"/>
        </w:rPr>
        <w:t xml:space="preserve"> </w:t>
      </w:r>
      <w:r>
        <w:rPr>
          <w:rFonts w:ascii="Book Antiqua" w:eastAsia="Book Antiqua" w:hAnsi="Book Antiqua" w:cs="Book Antiqua"/>
          <w:color w:val="000000"/>
        </w:rPr>
        <w:t>has become a common gastrointestinal disorder in surgical intensive care unit, and excessive secretion and/or poor drainage of pancreatic juice are the essence of AP onset. Acute kidney injury (AKI) is a common complication of AP, which is ordinarily associated with adverse outcomes. Among AP patients with AKI, the survival rate of surgical intensive care unit and in-hospital were only 23% and 21% of the corresponding rates in AP patients without AKI, respectively. The factors that influenced the AP patients’ survival rate included body mass index</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BMI</w:t>
      </w:r>
      <w:r>
        <w:rPr>
          <w:rFonts w:ascii="Book Antiqua" w:eastAsia="宋体" w:hAnsi="Book Antiqua" w:cs="Book Antiqua" w:hint="eastAsia"/>
          <w:color w:val="000000"/>
          <w:lang w:eastAsia="zh-CN"/>
        </w:rPr>
        <w:t>)</w:t>
      </w:r>
      <w:r>
        <w:rPr>
          <w:rFonts w:ascii="Book Antiqua" w:eastAsia="Book Antiqua" w:hAnsi="Book Antiqua" w:cs="Book Antiqua"/>
          <w:color w:val="000000"/>
        </w:rPr>
        <w:t>, mean values of intra-peritoneal pressure, minimum platelet count, and hospital day, of which mean values of intra-peritoneal pressure showed the greatest impact.</w:t>
      </w:r>
    </w:p>
    <w:p w:rsidR="002D21BA" w:rsidRDefault="004A1A2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rFonts w:ascii="Book Antiqua" w:eastAsia="Book Antiqua" w:hAnsi="Book Antiqua" w:cs="Book Antiqua"/>
          <w:b/>
          <w:caps/>
          <w:color w:val="000000"/>
          <w:u w:val="single"/>
        </w:rPr>
        <w:t>INTRODUCTION</w:t>
      </w:r>
    </w:p>
    <w:p w:rsidR="002D21BA" w:rsidRDefault="004A1A23">
      <w:pPr>
        <w:spacing w:line="360" w:lineRule="auto"/>
        <w:jc w:val="both"/>
        <w:rPr>
          <w:rFonts w:ascii="Book Antiqua" w:hAnsi="Book Antiqua"/>
        </w:rPr>
      </w:pPr>
      <w:r>
        <w:rPr>
          <w:rFonts w:ascii="Book Antiqua" w:eastAsia="Book Antiqua" w:hAnsi="Book Antiqua" w:cs="Book Antiqua"/>
          <w:color w:val="000000"/>
        </w:rPr>
        <w:t>Acute pancreatitis (AP) is an excessive inflammatory response caused by digestion of the pancreas itself, which can further lead to local and distant organ damage, or even single or multiple organ failure. In the wake of continuous in-depth understanding of pathophysiological mechanism of AP and improvement of treatment measures, AP-related mortality rate is annually declining, whereas AP-associated hospitalization rises year-by-year worldwide</w:t>
      </w:r>
      <w:r>
        <w:rPr>
          <w:rFonts w:ascii="Book Antiqua" w:eastAsia="Book Antiqua" w:hAnsi="Book Antiqua" w:cs="Book Antiqua"/>
          <w:color w:val="000000"/>
          <w:vertAlign w:val="superscript"/>
        </w:rPr>
        <w:t>[</w:t>
      </w:r>
      <w:r>
        <w:rPr>
          <w:rFonts w:ascii="Book Antiqua" w:hAnsi="Book Antiqua"/>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In clinical practice, about 80% of the common etiologies are attributed to gallstones and alcohol consumption</w:t>
      </w:r>
      <w:r>
        <w:rPr>
          <w:rFonts w:ascii="Book Antiqua" w:eastAsia="Book Antiqua" w:hAnsi="Book Antiqua" w:cs="Book Antiqua"/>
          <w:color w:val="000000"/>
          <w:vertAlign w:val="superscript"/>
        </w:rPr>
        <w:t>[3]</w:t>
      </w:r>
      <w:r>
        <w:rPr>
          <w:rFonts w:ascii="Book Antiqua" w:eastAsia="Book Antiqua" w:hAnsi="Book Antiqua" w:cs="Book Antiqua"/>
          <w:color w:val="000000"/>
        </w:rPr>
        <w:t>, however, the proportion of different etiologies significantly varies among different countries. In addition, hypertriglyceridemia is a high-risk factor for AP, and may lead to direct damage to pancreas and pancreatic exocrine function</w:t>
      </w:r>
      <w:r>
        <w:rPr>
          <w:rFonts w:ascii="Book Antiqua" w:eastAsia="Book Antiqua" w:hAnsi="Book Antiqua" w:cs="Book Antiqua"/>
          <w:color w:val="000000"/>
          <w:vertAlign w:val="superscript"/>
        </w:rPr>
        <w:t>[</w:t>
      </w:r>
      <w:r>
        <w:rPr>
          <w:rFonts w:ascii="Book Antiqua" w:hAnsi="Book Antiqua"/>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Thus, identification of etiologies is highly essential to manage better AP patients. AP can be categorized into mild acute pancreatitis (MAP), moderately severe acute pancreatitis</w:t>
      </w:r>
      <w:r>
        <w:rPr>
          <w:rFonts w:ascii="Book Antiqua" w:eastAsia="宋体" w:hAnsi="Book Antiqua" w:cs="Book Antiqua" w:hint="eastAsia"/>
          <w:color w:val="000000"/>
          <w:lang w:eastAsia="zh-CN"/>
        </w:rPr>
        <w:t xml:space="preserve"> (MSAP)</w:t>
      </w:r>
      <w:r>
        <w:rPr>
          <w:rFonts w:ascii="Book Antiqua" w:eastAsia="Book Antiqua" w:hAnsi="Book Antiqua" w:cs="Book Antiqua"/>
          <w:color w:val="000000"/>
        </w:rPr>
        <w:t>, and severe acute pancreatitis (SAP) according to the presence and duration of organ failure presented in the revised Atlanta classification (2013)</w:t>
      </w:r>
      <w:r>
        <w:rPr>
          <w:rFonts w:ascii="Book Antiqua" w:eastAsia="Book Antiqua" w:hAnsi="Book Antiqua" w:cs="Book Antiqua"/>
          <w:color w:val="000000"/>
          <w:vertAlign w:val="superscript"/>
        </w:rPr>
        <w:t>[6]</w:t>
      </w:r>
      <w:r>
        <w:rPr>
          <w:rFonts w:ascii="Book Antiqua" w:eastAsia="Book Antiqua" w:hAnsi="Book Antiqua" w:cs="Book Antiqua"/>
          <w:color w:val="000000"/>
        </w:rPr>
        <w:t>. The mortality rate is high among SAP patients, reaching 15%-30% or even higher</w:t>
      </w:r>
      <w:r>
        <w:rPr>
          <w:rFonts w:ascii="Book Antiqua" w:eastAsia="Book Antiqua" w:hAnsi="Book Antiqua" w:cs="Book Antiqua"/>
          <w:color w:val="000000"/>
          <w:vertAlign w:val="superscript"/>
        </w:rPr>
        <w:t>[7]</w:t>
      </w:r>
      <w:r>
        <w:rPr>
          <w:rFonts w:ascii="Book Antiqua" w:eastAsia="Book Antiqua" w:hAnsi="Book Antiqua" w:cs="Book Antiqua"/>
          <w:color w:val="000000"/>
        </w:rPr>
        <w:t>, due to persistent organ failure. Therefore, earlier identification and appropriate use of intensive care support can be conducive to prevent further disease progression, thereby improving AP patients’ prognosis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rsidR="002D21BA" w:rsidRDefault="004A1A23">
      <w:pPr>
        <w:spacing w:line="360" w:lineRule="auto"/>
        <w:ind w:firstLineChars="100" w:firstLine="240"/>
        <w:jc w:val="both"/>
        <w:rPr>
          <w:rFonts w:ascii="Book Antiqua" w:hAnsi="Book Antiqua"/>
        </w:rPr>
      </w:pPr>
      <w:r>
        <w:rPr>
          <w:rFonts w:ascii="Book Antiqua" w:eastAsia="Book Antiqua" w:hAnsi="Book Antiqua" w:cs="Book Antiqua"/>
          <w:color w:val="000000"/>
        </w:rPr>
        <w:t>Acute kidney injury (AKI) is one of the most common AP-associated complications, resulting from uncontrolled inflammatory response, release of pancreatic amylase, hypovolemia, insufficient renal perfusion, micro-circulatory disturbance, intra-abdominal hypertension, and reactive oxygen species</w:t>
      </w:r>
      <w:r>
        <w:rPr>
          <w:rFonts w:ascii="Book Antiqua" w:eastAsia="Book Antiqua" w:hAnsi="Book Antiqua" w:cs="Book Antiqua"/>
          <w:color w:val="000000"/>
          <w:vertAlign w:val="superscript"/>
        </w:rPr>
        <w:t>[</w:t>
      </w:r>
      <w:r>
        <w:rPr>
          <w:rFonts w:ascii="Book Antiqua" w:hAnsi="Book Antiqua"/>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At present, AKI is mainly diagnosed based on the criteria presented by the Kidney Disease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Improving Global Outcomes (KIDGO) guidelines</w:t>
      </w:r>
      <w:r>
        <w:rPr>
          <w:rFonts w:ascii="Book Antiqua" w:eastAsia="Book Antiqua" w:hAnsi="Book Antiqua" w:cs="Book Antiqua"/>
          <w:color w:val="000000"/>
          <w:vertAlign w:val="superscript"/>
        </w:rPr>
        <w:t>[</w:t>
      </w:r>
      <w:r>
        <w:rPr>
          <w:rFonts w:ascii="Book Antiqua" w:hAnsi="Book Antiqua"/>
          <w:vertAlign w:val="superscript"/>
        </w:rPr>
        <w:t>10,11</w:t>
      </w:r>
      <w:r>
        <w:rPr>
          <w:rFonts w:ascii="Book Antiqua" w:eastAsia="Book Antiqua" w:hAnsi="Book Antiqua" w:cs="Book Antiqua"/>
          <w:color w:val="000000"/>
          <w:vertAlign w:val="superscript"/>
        </w:rPr>
        <w:t>]</w:t>
      </w:r>
      <w:r>
        <w:rPr>
          <w:rFonts w:ascii="Book Antiqua" w:eastAsia="Book Antiqua" w:hAnsi="Book Antiqua" w:cs="Book Antiqua"/>
          <w:color w:val="000000"/>
        </w:rPr>
        <w:t>. The incidence of AKI has gradually, while steadily, increased year-by-year worldwide</w:t>
      </w:r>
      <w:r>
        <w:rPr>
          <w:rFonts w:ascii="Book Antiqua" w:eastAsia="Book Antiqua" w:hAnsi="Book Antiqua" w:cs="Book Antiqua"/>
          <w:color w:val="000000"/>
          <w:vertAlign w:val="superscript"/>
        </w:rPr>
        <w:t>[</w:t>
      </w:r>
      <w:r>
        <w:rPr>
          <w:rFonts w:ascii="Book Antiqua" w:hAnsi="Book Antiqua"/>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AKI can deteriorate AP patient’s medical status and is an independent risk factor for increased mortality and development of chronic kidney disease (CKD). When AKI and AP occur simultaneously, a worse clinical prognosis is expected</w:t>
      </w:r>
      <w:r>
        <w:rPr>
          <w:rFonts w:ascii="Book Antiqua" w:eastAsia="Book Antiqua" w:hAnsi="Book Antiqua" w:cs="Book Antiqua"/>
          <w:color w:val="000000"/>
          <w:vertAlign w:val="superscript"/>
        </w:rPr>
        <w:t>[</w:t>
      </w:r>
      <w:r>
        <w:rPr>
          <w:rFonts w:ascii="Book Antiqua" w:hAnsi="Book Antiqua"/>
          <w:vertAlign w:val="superscript"/>
        </w:rPr>
        <w:t>13,14</w:t>
      </w:r>
      <w:r>
        <w:rPr>
          <w:rFonts w:ascii="Book Antiqua" w:eastAsia="Book Antiqua" w:hAnsi="Book Antiqua" w:cs="Book Antiqua"/>
          <w:color w:val="000000"/>
          <w:vertAlign w:val="superscript"/>
        </w:rPr>
        <w:t>]</w:t>
      </w:r>
      <w:r>
        <w:rPr>
          <w:rFonts w:ascii="Book Antiqua" w:eastAsia="Book Antiqua" w:hAnsi="Book Antiqua" w:cs="Book Antiqua"/>
          <w:color w:val="000000"/>
        </w:rPr>
        <w:t>, involving longer period of hospitalization and higher mortality rate. However, in clinical practice, there is no an effective therapeutic approach for AKI except for renal replacement therapy (RRT)</w:t>
      </w:r>
      <w:r>
        <w:rPr>
          <w:rFonts w:ascii="Book Antiqua" w:eastAsia="Book Antiqua" w:hAnsi="Book Antiqua" w:cs="Book Antiqua"/>
          <w:color w:val="000000"/>
          <w:vertAlign w:val="superscript"/>
        </w:rPr>
        <w:t>[</w:t>
      </w:r>
      <w:r>
        <w:rPr>
          <w:rFonts w:ascii="Book Antiqua" w:hAnsi="Book Antiqua"/>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AKI has imposed a huge medical burden in China as well as in the world. Therefore, development of early detection and prevention measures is highly significant to avoid adverse outcomes associated with AKI</w:t>
      </w:r>
      <w:r>
        <w:rPr>
          <w:rFonts w:ascii="Book Antiqua" w:eastAsia="Book Antiqua" w:hAnsi="Book Antiqua" w:cs="Book Antiqua"/>
          <w:color w:val="000000"/>
          <w:vertAlign w:val="superscript"/>
        </w:rPr>
        <w:t>[</w:t>
      </w:r>
      <w:r>
        <w:rPr>
          <w:rFonts w:ascii="Book Antiqua" w:hAnsi="Book Antiqua"/>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2D21BA" w:rsidRDefault="004A1A23">
      <w:pPr>
        <w:spacing w:line="360" w:lineRule="auto"/>
        <w:ind w:firstLineChars="100" w:firstLine="240"/>
        <w:jc w:val="both"/>
        <w:rPr>
          <w:rFonts w:ascii="Book Antiqua" w:hAnsi="Book Antiqua"/>
        </w:rPr>
      </w:pPr>
      <w:r>
        <w:rPr>
          <w:rFonts w:ascii="Book Antiqua" w:eastAsia="Book Antiqua" w:hAnsi="Book Antiqua" w:cs="Book Antiqua"/>
          <w:color w:val="000000"/>
        </w:rPr>
        <w:t>Although previous studies have confirmed that concurrent AKI is associated with a poor prognosis</w:t>
      </w:r>
      <w:r>
        <w:rPr>
          <w:rFonts w:ascii="Book Antiqua" w:eastAsia="Book Antiqua" w:hAnsi="Book Antiqua" w:cs="Book Antiqua"/>
          <w:color w:val="000000"/>
          <w:vertAlign w:val="superscript"/>
        </w:rPr>
        <w:t>[</w:t>
      </w:r>
      <w:r>
        <w:rPr>
          <w:rFonts w:ascii="Book Antiqua" w:hAnsi="Book Antiqua"/>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there is no reliable research assessing the influences of AKI on Chinese AP patients’ survival rate who were hospitalized at surgical intensive care unit (SICU). Hence, to address this scientific gap, the current retrospective study was conducted.</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2D21BA" w:rsidRDefault="004A1A23">
      <w:pPr>
        <w:adjustRightInd w:val="0"/>
        <w:snapToGrid w:val="0"/>
        <w:spacing w:line="360" w:lineRule="auto"/>
        <w:rPr>
          <w:rFonts w:ascii="Book Antiqua" w:hAnsi="Book Antiqua"/>
          <w:b/>
          <w:i/>
          <w:iCs/>
        </w:rPr>
      </w:pPr>
      <w:r>
        <w:rPr>
          <w:rFonts w:ascii="Book Antiqua" w:hAnsi="Book Antiqua"/>
          <w:b/>
          <w:i/>
          <w:iCs/>
        </w:rPr>
        <w:t>Study design</w:t>
      </w:r>
    </w:p>
    <w:p w:rsidR="002D21BA" w:rsidRDefault="004A1A23">
      <w:pPr>
        <w:adjustRightInd w:val="0"/>
        <w:snapToGrid w:val="0"/>
        <w:spacing w:line="360" w:lineRule="auto"/>
        <w:jc w:val="both"/>
        <w:rPr>
          <w:rFonts w:ascii="Book Antiqua" w:hAnsi="Book Antiqua"/>
        </w:rPr>
      </w:pPr>
      <w:r>
        <w:rPr>
          <w:rFonts w:ascii="Book Antiqua" w:hAnsi="Book Antiqua"/>
        </w:rPr>
        <w:t xml:space="preserve">This retrospective study enrolled 139 AP patients who were admitted to the SICU of The Second Affiliated Hospital of Harbin Medical University (Harbin, </w:t>
      </w:r>
      <w:r>
        <w:rPr>
          <w:rFonts w:ascii="Book Antiqua" w:eastAsia="Book Antiqua" w:hAnsi="Book Antiqua" w:cs="Book Antiqua"/>
          <w:color w:val="000000"/>
        </w:rPr>
        <w:t xml:space="preserve">Heilongjiang Province, </w:t>
      </w:r>
      <w:r>
        <w:rPr>
          <w:rFonts w:ascii="Book Antiqua" w:hAnsi="Book Antiqua"/>
        </w:rPr>
        <w:t>China) between January 2014 and March 2019. Baseline and clinical data were collected during hospitalization. The enrolled AP patients were divided into AKI group (</w:t>
      </w:r>
      <w:r>
        <w:rPr>
          <w:rFonts w:ascii="Book Antiqua" w:hAnsi="Book Antiqua"/>
          <w:i/>
          <w:iCs/>
        </w:rPr>
        <w:t>n</w:t>
      </w:r>
      <w:r>
        <w:rPr>
          <w:rFonts w:ascii="Book Antiqua" w:hAnsi="Book Antiqua"/>
        </w:rPr>
        <w:t xml:space="preserve"> = 72) and </w:t>
      </w:r>
      <w:bookmarkStart w:id="7" w:name="OLE_LINK4"/>
      <w:r>
        <w:rPr>
          <w:rFonts w:ascii="Book Antiqua" w:hAnsi="Book Antiqua"/>
        </w:rPr>
        <w:t>non-AKI</w:t>
      </w:r>
      <w:bookmarkEnd w:id="7"/>
      <w:r>
        <w:rPr>
          <w:rFonts w:ascii="Book Antiqua" w:hAnsi="Book Antiqua"/>
        </w:rPr>
        <w:t xml:space="preserve"> group (</w:t>
      </w:r>
      <w:r>
        <w:rPr>
          <w:rFonts w:ascii="Book Antiqua" w:hAnsi="Book Antiqua"/>
          <w:i/>
          <w:iCs/>
        </w:rPr>
        <w:t>n</w:t>
      </w:r>
      <w:r>
        <w:rPr>
          <w:rFonts w:ascii="Book Antiqua" w:hAnsi="Book Antiqua"/>
        </w:rPr>
        <w:t xml:space="preserve"> = 67) according to occurrence of AKI. This study was approved by the Ethics Committee of </w:t>
      </w:r>
      <w:r>
        <w:rPr>
          <w:rFonts w:ascii="Book Antiqua" w:hAnsi="Book Antiqua"/>
          <w:lang w:eastAsia="zh-CN"/>
        </w:rPr>
        <w:t>T</w:t>
      </w:r>
      <w:r>
        <w:rPr>
          <w:rFonts w:ascii="Book Antiqua" w:hAnsi="Book Antiqua"/>
        </w:rPr>
        <w:t>he Second Affiliated Hospital of Harbin Medical University.</w:t>
      </w:r>
    </w:p>
    <w:p w:rsidR="002D21BA" w:rsidRDefault="002D21BA">
      <w:pPr>
        <w:adjustRightInd w:val="0"/>
        <w:snapToGrid w:val="0"/>
        <w:spacing w:line="360" w:lineRule="auto"/>
        <w:rPr>
          <w:rFonts w:ascii="Book Antiqua" w:hAnsi="Book Antiqua"/>
        </w:rPr>
      </w:pPr>
    </w:p>
    <w:p w:rsidR="002D21BA" w:rsidRDefault="004A1A23">
      <w:pPr>
        <w:adjustRightInd w:val="0"/>
        <w:snapToGrid w:val="0"/>
        <w:spacing w:line="360" w:lineRule="auto"/>
        <w:rPr>
          <w:rFonts w:ascii="Book Antiqua" w:hAnsi="Book Antiqua"/>
          <w:b/>
          <w:i/>
          <w:iCs/>
        </w:rPr>
      </w:pPr>
      <w:r>
        <w:rPr>
          <w:rFonts w:ascii="Book Antiqua" w:hAnsi="Book Antiqua"/>
          <w:b/>
          <w:i/>
          <w:iCs/>
        </w:rPr>
        <w:t>Study population</w:t>
      </w:r>
    </w:p>
    <w:p w:rsidR="002D21BA" w:rsidRDefault="004A1A23">
      <w:pPr>
        <w:tabs>
          <w:tab w:val="left" w:pos="3494"/>
        </w:tabs>
        <w:adjustRightInd w:val="0"/>
        <w:snapToGrid w:val="0"/>
        <w:spacing w:line="360" w:lineRule="auto"/>
        <w:jc w:val="both"/>
        <w:rPr>
          <w:rFonts w:ascii="Book Antiqua" w:hAnsi="Book Antiqua"/>
        </w:rPr>
      </w:pPr>
      <w:r>
        <w:rPr>
          <w:rFonts w:ascii="Book Antiqua" w:hAnsi="Book Antiqua"/>
        </w:rPr>
        <w:t>The inclusion criteria for this retrospective study were as follows: Patients who were admitted to the SICU of The Second Affiliated Hospital of Harbin Medical University; patients who were diagnosed with AP; patients’ age &gt; 18-years-old. The exclusion criteria were as follows: Pregnant or breastfeeding women; patients with CKD; patients with recurrent pancreatitis; patients who received renal transplantation; incomplete medical data.</w:t>
      </w:r>
    </w:p>
    <w:p w:rsidR="002D21BA" w:rsidRDefault="002D21BA">
      <w:pPr>
        <w:tabs>
          <w:tab w:val="left" w:pos="3494"/>
        </w:tabs>
        <w:adjustRightInd w:val="0"/>
        <w:snapToGrid w:val="0"/>
        <w:spacing w:line="360" w:lineRule="auto"/>
        <w:jc w:val="both"/>
        <w:rPr>
          <w:rFonts w:ascii="Book Antiqua" w:hAnsi="Book Antiqua"/>
        </w:rPr>
      </w:pPr>
    </w:p>
    <w:p w:rsidR="002D21BA" w:rsidRDefault="004A1A23">
      <w:pPr>
        <w:spacing w:line="360" w:lineRule="auto"/>
        <w:jc w:val="both"/>
        <w:rPr>
          <w:rFonts w:ascii="Book Antiqua" w:hAnsi="Book Antiqua"/>
          <w:i/>
          <w:iCs/>
        </w:rPr>
      </w:pPr>
      <w:r>
        <w:rPr>
          <w:rFonts w:ascii="Book Antiqua" w:eastAsia="Book Antiqua" w:hAnsi="Book Antiqua" w:cs="Book Antiqua"/>
          <w:b/>
          <w:bCs/>
          <w:i/>
          <w:iCs/>
          <w:color w:val="000000"/>
        </w:rPr>
        <w:t xml:space="preserve">Diagnosis of AP </w:t>
      </w:r>
    </w:p>
    <w:p w:rsidR="002D21BA" w:rsidRDefault="004A1A23">
      <w:pPr>
        <w:spacing w:line="360" w:lineRule="auto"/>
        <w:jc w:val="both"/>
        <w:rPr>
          <w:rFonts w:ascii="Book Antiqua" w:hAnsi="Book Antiqua"/>
        </w:rPr>
      </w:pPr>
      <w:r>
        <w:rPr>
          <w:rFonts w:ascii="Book Antiqua" w:eastAsia="Book Antiqua" w:hAnsi="Book Antiqua" w:cs="Book Antiqua"/>
          <w:color w:val="000000"/>
        </w:rPr>
        <w:t>A combination of medical history, symptoms and physical examinations, laboratory tests, and radiographic examinations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abdominal ultrasound, contrast-enhanced computed tomography, or magnetic resonance imaging) was applied to confirm the diagnosis of AP. A limited number of diagnosed AP patients were eventually confirmed by undergoing exploratory laparotomy. </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i/>
          <w:iCs/>
        </w:rPr>
      </w:pPr>
      <w:r>
        <w:rPr>
          <w:rFonts w:ascii="Book Antiqua" w:eastAsia="Book Antiqua" w:hAnsi="Book Antiqua" w:cs="Book Antiqua"/>
          <w:b/>
          <w:bCs/>
          <w:i/>
          <w:iCs/>
          <w:color w:val="000000"/>
        </w:rPr>
        <w:t>Diagnosis and classification of AKI</w:t>
      </w:r>
    </w:p>
    <w:p w:rsidR="002D21BA" w:rsidRDefault="004A1A23">
      <w:pPr>
        <w:spacing w:line="360" w:lineRule="auto"/>
        <w:jc w:val="both"/>
        <w:rPr>
          <w:rFonts w:ascii="Book Antiqua" w:hAnsi="Book Antiqua"/>
        </w:rPr>
      </w:pPr>
      <w:r>
        <w:rPr>
          <w:rFonts w:ascii="Book Antiqua" w:eastAsia="Book Antiqua" w:hAnsi="Book Antiqua" w:cs="Book Antiqua"/>
          <w:color w:val="000000"/>
        </w:rPr>
        <w:t>Diagnosis and classification of AKI were conducted based on the criteria presented by the KIDGO guidelines (2012)</w:t>
      </w:r>
      <w:r>
        <w:rPr>
          <w:rFonts w:ascii="Book Antiqua" w:eastAsia="Book Antiqua" w:hAnsi="Book Antiqua" w:cs="Book Antiqua"/>
          <w:color w:val="000000"/>
          <w:vertAlign w:val="superscript"/>
        </w:rPr>
        <w:t>[</w:t>
      </w:r>
      <w:r>
        <w:rPr>
          <w:rFonts w:ascii="Book Antiqua" w:hAnsi="Book Antiqua"/>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in which serum creatinine criteria was defined as an increased absolute value in serum creatinine level of ≥ 0.3 mg/dL (≥ 26.4 μmol/L) or a percentage increase in serum creatinine level of ≥ 50% within 48 h. Baseline serum creatinine level was defined as the lowest serum creatinine level measured within 2 d prior to admission to SICU. If no serum creatinine level was measured, the serum creatinine level recorded in the first measurement within 2 d after admission to SICU was considered as baseline serum creatinine level.</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i/>
          <w:iCs/>
        </w:rPr>
      </w:pPr>
      <w:r>
        <w:rPr>
          <w:rFonts w:ascii="Book Antiqua" w:eastAsia="Book Antiqua" w:hAnsi="Book Antiqua" w:cs="Book Antiqua"/>
          <w:b/>
          <w:bCs/>
          <w:i/>
          <w:iCs/>
          <w:color w:val="000000"/>
        </w:rPr>
        <w:t>RRT</w:t>
      </w:r>
    </w:p>
    <w:p w:rsidR="002D21BA" w:rsidRDefault="004A1A23">
      <w:pPr>
        <w:spacing w:line="360" w:lineRule="auto"/>
        <w:jc w:val="both"/>
        <w:rPr>
          <w:rFonts w:ascii="Book Antiqua" w:hAnsi="Book Antiqua"/>
        </w:rPr>
      </w:pPr>
      <w:r>
        <w:rPr>
          <w:rFonts w:ascii="Book Antiqua" w:eastAsia="Book Antiqua" w:hAnsi="Book Antiqua" w:cs="Book Antiqua"/>
          <w:color w:val="000000"/>
        </w:rPr>
        <w:t>In the present study, all AP patients who needed to undergo RRT were managed with continuous veno-venous hemofiltration (CVVH), anti-coagulation with heparin, and fixed pre- and post-dilution strategies. Blood flow rates, amount of substitute fluid, and dehydration volume were individually adjusted according to each patient’s medical status.</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i/>
          <w:iCs/>
        </w:rPr>
      </w:pPr>
      <w:r>
        <w:rPr>
          <w:rFonts w:ascii="Book Antiqua" w:eastAsia="Book Antiqua" w:hAnsi="Book Antiqua" w:cs="Book Antiqua"/>
          <w:b/>
          <w:bCs/>
          <w:i/>
          <w:iCs/>
          <w:color w:val="000000"/>
        </w:rPr>
        <w:t xml:space="preserve">Measurement of serum </w:t>
      </w:r>
      <w:bookmarkStart w:id="8" w:name="_Hlk80266066"/>
      <w:r>
        <w:rPr>
          <w:rFonts w:ascii="Book Antiqua" w:eastAsia="Book Antiqua" w:hAnsi="Book Antiqua" w:cs="Book Antiqua"/>
          <w:b/>
          <w:bCs/>
          <w:i/>
          <w:iCs/>
          <w:color w:val="000000"/>
        </w:rPr>
        <w:t>procalcitonin</w:t>
      </w:r>
      <w:bookmarkEnd w:id="8"/>
      <w:r>
        <w:rPr>
          <w:rFonts w:ascii="Book Antiqua" w:eastAsia="Book Antiqua" w:hAnsi="Book Antiqua" w:cs="Book Antiqua"/>
          <w:b/>
          <w:bCs/>
          <w:i/>
          <w:iCs/>
          <w:color w:val="000000"/>
        </w:rPr>
        <w:t xml:space="preserve"> level and </w:t>
      </w:r>
      <w:bookmarkStart w:id="9" w:name="_Hlk80268285"/>
      <w:r>
        <w:rPr>
          <w:rFonts w:ascii="Book Antiqua" w:eastAsia="Book Antiqua" w:hAnsi="Book Antiqua" w:cs="Book Antiqua"/>
          <w:b/>
          <w:bCs/>
          <w:i/>
          <w:iCs/>
          <w:color w:val="000000"/>
        </w:rPr>
        <w:t>intra-peritoneal pressure</w:t>
      </w:r>
      <w:bookmarkEnd w:id="9"/>
      <w:r>
        <w:rPr>
          <w:rFonts w:ascii="Book Antiqua" w:eastAsia="Book Antiqua" w:hAnsi="Book Antiqua" w:cs="Book Antiqua"/>
          <w:b/>
          <w:bCs/>
          <w:i/>
          <w:iCs/>
          <w:color w:val="000000"/>
        </w:rPr>
        <w:t xml:space="preserve"> </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Serum procalcitonin (PCT) level was intermittently measured after AP patients’ admission to SICU through Mini-VIDAS (Hain Lifescience GmbH; Nehren, Germany). </w:t>
      </w:r>
      <w:r>
        <w:rPr>
          <w:rFonts w:ascii="Book Antiqua" w:eastAsia="宋体" w:hAnsi="Book Antiqua" w:cs="Book Antiqua"/>
          <w:color w:val="000000"/>
          <w:lang w:eastAsia="zh-CN"/>
        </w:rPr>
        <w:t>I</w:t>
      </w:r>
      <w:r>
        <w:rPr>
          <w:rFonts w:ascii="Book Antiqua" w:eastAsia="Book Antiqua" w:hAnsi="Book Antiqua" w:cs="Book Antiqua"/>
          <w:color w:val="000000"/>
        </w:rPr>
        <w:t xml:space="preserve">ntra-peritoneal pressure (IPP) was indirectly reflected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measuring intravesical pressure with Freund's catheter.</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i/>
          <w:iCs/>
        </w:rPr>
      </w:pPr>
      <w:r>
        <w:rPr>
          <w:rFonts w:ascii="Book Antiqua" w:eastAsia="Book Antiqua" w:hAnsi="Book Antiqua" w:cs="Book Antiqua"/>
          <w:b/>
          <w:bCs/>
          <w:i/>
          <w:iCs/>
          <w:color w:val="000000"/>
        </w:rPr>
        <w:t>Data collection</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Baseline </w:t>
      </w:r>
      <w:r>
        <w:rPr>
          <w:rFonts w:ascii="Book Antiqua" w:eastAsia="宋体" w:hAnsi="Book Antiqua" w:cs="Book Antiqua"/>
          <w:color w:val="000000"/>
          <w:lang w:eastAsia="zh-CN"/>
        </w:rPr>
        <w:t xml:space="preserve">and clinical </w:t>
      </w:r>
      <w:r>
        <w:rPr>
          <w:rFonts w:ascii="Book Antiqua" w:eastAsia="Book Antiqua" w:hAnsi="Book Antiqua" w:cs="Book Antiqua"/>
          <w:color w:val="000000"/>
        </w:rPr>
        <w:t xml:space="preserve">data, including patients’ age, gender, body mass index (BMI), Acute Physiologic Assessment and Chronic Health Evaluation II (APACHE II) score, Sequential Organ Failure Assessment (SOFA) score, Glasgow Coma Scale (GCS) score, duration of mechanical ventilation (MV), abdominal </w:t>
      </w:r>
      <w:r>
        <w:rPr>
          <w:rFonts w:ascii="Book Antiqua" w:eastAsia="宋体" w:hAnsi="Book Antiqua" w:cs="Book Antiqua" w:hint="eastAsia"/>
          <w:color w:val="000000"/>
          <w:lang w:eastAsia="zh-CN"/>
        </w:rPr>
        <w:t>puncture</w:t>
      </w:r>
      <w:r>
        <w:rPr>
          <w:rFonts w:ascii="Book Antiqua" w:eastAsia="Book Antiqua" w:hAnsi="Book Antiqua" w:cs="Book Antiqua"/>
          <w:color w:val="000000"/>
        </w:rPr>
        <w:t xml:space="preserve"> drainage, gallbladder puncture</w:t>
      </w:r>
      <w:r>
        <w:rPr>
          <w:rFonts w:ascii="Book Antiqua" w:eastAsia="宋体" w:hAnsi="Book Antiqua" w:cs="Book Antiqua" w:hint="eastAsia"/>
          <w:color w:val="000000"/>
          <w:lang w:eastAsia="zh-CN"/>
        </w:rPr>
        <w:t xml:space="preserve"> drainage</w:t>
      </w:r>
      <w:r>
        <w:rPr>
          <w:rFonts w:ascii="Book Antiqua" w:eastAsia="Book Antiqua" w:hAnsi="Book Antiqua" w:cs="Book Antiqua"/>
          <w:color w:val="000000"/>
        </w:rPr>
        <w:t>, infusion of vasopressors, demand of RRT, IPP, body temperature, PCT, creatinine, platelet count, hospital day, and prognosis were collected from medical records of hospitalized patients. APACHE II score and SOFA score were calculated by the first 24 h clinical data after SICU admission.</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Variables conforming to normal distribution were described as mean ± </w:t>
      </w:r>
      <w:r>
        <w:rPr>
          <w:rFonts w:ascii="Book Antiqua" w:hAnsi="Book Antiqua" w:cs="Book Antiqua" w:hint="eastAsia"/>
          <w:color w:val="000000"/>
          <w:lang w:eastAsia="zh-CN"/>
        </w:rPr>
        <w:t>SD</w:t>
      </w:r>
      <w:r>
        <w:rPr>
          <w:rFonts w:ascii="Book Antiqua" w:eastAsia="Book Antiqua" w:hAnsi="Book Antiqua" w:cs="Book Antiqua"/>
          <w:color w:val="000000"/>
        </w:rPr>
        <w:t xml:space="preserve">, while those abnormally distributed variables were expressed as median (range). Normality analysis was applied to continuous data. SPSS 22.0 software (IBM, Armonk, NY, United Sates) was used to carry out statistical analyses. Independent-samples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to perform inter-group comparison for normally distributed data, while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was employed for inter-group comparison for abnormally distributed data. Classification data were expressed by the number of samples, and</w:t>
      </w:r>
      <w:r>
        <w:rPr>
          <w:rFonts w:ascii="Book Antiqua" w:eastAsia="Book Antiqua" w:hAnsi="Book Antiqua" w:cs="Book Antiqua"/>
          <w:i/>
          <w:iCs/>
          <w:color w:val="000000"/>
        </w:rPr>
        <w:t xml:space="preserve"> χ</w:t>
      </w:r>
      <w:r>
        <w:rPr>
          <w:rFonts w:ascii="Book Antiqua" w:eastAsia="Book Antiqua" w:hAnsi="Book Antiqua" w:cs="Book Antiqua"/>
          <w:i/>
          <w:iCs/>
          <w:color w:val="00000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test was adopted. The prognosis of AP patients who were admitted to SICU was analyzed by binary logistic regression analysis, while the remaining indicators were analyzed by the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0.05 was considered statistically significant.</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caps/>
          <w:color w:val="000000"/>
          <w:u w:val="single"/>
        </w:rPr>
        <w:t>RESULTS</w:t>
      </w:r>
    </w:p>
    <w:p w:rsidR="002D21BA" w:rsidRDefault="004A1A23">
      <w:pPr>
        <w:spacing w:line="360" w:lineRule="auto"/>
        <w:jc w:val="both"/>
        <w:rPr>
          <w:rFonts w:ascii="Book Antiqua" w:hAnsi="Book Antiqua"/>
          <w:i/>
          <w:iCs/>
        </w:rPr>
      </w:pPr>
      <w:r>
        <w:rPr>
          <w:rFonts w:ascii="Book Antiqua" w:eastAsia="Book Antiqua" w:hAnsi="Book Antiqua" w:cs="Book Antiqua"/>
          <w:b/>
          <w:bCs/>
          <w:i/>
          <w:iCs/>
          <w:color w:val="000000"/>
        </w:rPr>
        <w:t xml:space="preserve">Patients’ baseline </w:t>
      </w:r>
      <w:r>
        <w:rPr>
          <w:rFonts w:ascii="Book Antiqua" w:eastAsia="宋体" w:hAnsi="Book Antiqua" w:cs="Book Antiqua"/>
          <w:b/>
          <w:bCs/>
          <w:i/>
          <w:iCs/>
          <w:color w:val="000000"/>
          <w:lang w:eastAsia="zh-CN"/>
        </w:rPr>
        <w:t xml:space="preserve">and clinical </w:t>
      </w:r>
      <w:r>
        <w:rPr>
          <w:rFonts w:ascii="Book Antiqua" w:eastAsia="Book Antiqua" w:hAnsi="Book Antiqua" w:cs="Book Antiqua"/>
          <w:b/>
          <w:bCs/>
          <w:i/>
          <w:iCs/>
          <w:color w:val="000000"/>
        </w:rPr>
        <w:t>data</w:t>
      </w:r>
    </w:p>
    <w:p w:rsidR="002D21BA" w:rsidRDefault="004A1A23">
      <w:pPr>
        <w:spacing w:line="360" w:lineRule="auto"/>
        <w:jc w:val="both"/>
        <w:rPr>
          <w:rFonts w:ascii="Book Antiqua" w:hAnsi="Book Antiqua"/>
        </w:rPr>
      </w:pPr>
      <w:r>
        <w:rPr>
          <w:rFonts w:ascii="Book Antiqua" w:eastAsia="Book Antiqua" w:hAnsi="Book Antiqua" w:cs="Book Antiqua"/>
          <w:color w:val="000000"/>
        </w:rPr>
        <w:t>A total of 139 AP patients were enrolled in this retrospective study. The enrolled AP patients were divided into AKI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72) and non-AKI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67) according to occurrence of AKI. As shown in Table 1, AKI was more likely to occur in male AP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AP patients with AKI exhibited a significantly higher APACHE II score, higher SOFA score, lower GCS score, and higher demand for MV, infusion of vasopressors, and RRT than non-AKI AP patients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0.01, respectively). No significant difference was observed in the remaining baseline </w:t>
      </w:r>
      <w:r>
        <w:rPr>
          <w:rFonts w:ascii="Book Antiqua" w:eastAsia="宋体" w:hAnsi="Book Antiqua" w:cs="Book Antiqua"/>
          <w:color w:val="000000"/>
          <w:lang w:eastAsia="zh-CN"/>
        </w:rPr>
        <w:t xml:space="preserve">and clinical </w:t>
      </w:r>
      <w:r>
        <w:rPr>
          <w:rFonts w:ascii="Book Antiqua" w:eastAsia="Book Antiqua" w:hAnsi="Book Antiqua" w:cs="Book Antiqua"/>
          <w:color w:val="000000"/>
        </w:rPr>
        <w:t>data, including patients’ age, BMI, proportion of abdominal p</w:t>
      </w:r>
      <w:r>
        <w:rPr>
          <w:rFonts w:ascii="Book Antiqua" w:eastAsia="宋体" w:hAnsi="Book Antiqua" w:cs="Book Antiqua"/>
          <w:color w:val="000000"/>
          <w:lang w:eastAsia="zh-CN"/>
        </w:rPr>
        <w:t>uncture</w:t>
      </w:r>
      <w:r>
        <w:rPr>
          <w:rFonts w:ascii="Book Antiqua" w:eastAsia="Book Antiqua" w:hAnsi="Book Antiqua" w:cs="Book Antiqua"/>
          <w:color w:val="000000"/>
        </w:rPr>
        <w:t xml:space="preserve"> drainage, and gallbladder puncture</w:t>
      </w:r>
      <w:r>
        <w:rPr>
          <w:rFonts w:ascii="Book Antiqua" w:eastAsia="宋体" w:hAnsi="Book Antiqua" w:cs="Book Antiqua"/>
          <w:color w:val="000000"/>
          <w:lang w:eastAsia="zh-CN"/>
        </w:rPr>
        <w:t xml:space="preserve"> drainage</w:t>
      </w:r>
      <w:r>
        <w:rPr>
          <w:rFonts w:ascii="Book Antiqua" w:eastAsia="Book Antiqua" w:hAnsi="Book Antiqua" w:cs="Book Antiqua"/>
          <w:color w:val="000000"/>
        </w:rPr>
        <w:t>.</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i/>
          <w:iCs/>
        </w:rPr>
      </w:pPr>
      <w:r>
        <w:rPr>
          <w:rFonts w:ascii="Book Antiqua" w:eastAsia="宋体" w:hAnsi="Book Antiqua" w:cs="Book Antiqua"/>
          <w:b/>
          <w:bCs/>
          <w:i/>
          <w:iCs/>
          <w:color w:val="000000"/>
          <w:lang w:eastAsia="zh-CN"/>
        </w:rPr>
        <w:t>V</w:t>
      </w:r>
      <w:r>
        <w:rPr>
          <w:rFonts w:ascii="Book Antiqua" w:eastAsia="Book Antiqua" w:hAnsi="Book Antiqua" w:cs="Book Antiqua"/>
          <w:b/>
          <w:bCs/>
          <w:i/>
          <w:iCs/>
          <w:color w:val="000000"/>
        </w:rPr>
        <w:t>asopressor</w:t>
      </w:r>
      <w:r>
        <w:rPr>
          <w:rFonts w:ascii="Book Antiqua" w:eastAsia="宋体" w:hAnsi="Book Antiqua" w:cs="Book Antiqua"/>
          <w:b/>
          <w:bCs/>
          <w:i/>
          <w:iCs/>
          <w:color w:val="000000"/>
          <w:lang w:eastAsia="zh-CN"/>
        </w:rPr>
        <w:t xml:space="preserve"> i</w:t>
      </w:r>
      <w:r>
        <w:rPr>
          <w:rFonts w:ascii="Book Antiqua" w:eastAsia="Book Antiqua" w:hAnsi="Book Antiqua" w:cs="Book Antiqua"/>
          <w:b/>
          <w:bCs/>
          <w:i/>
          <w:iCs/>
          <w:color w:val="000000"/>
        </w:rPr>
        <w:t>nfusion</w:t>
      </w:r>
    </w:p>
    <w:p w:rsidR="002D21BA" w:rsidRDefault="004A1A23">
      <w:pPr>
        <w:spacing w:line="360" w:lineRule="auto"/>
        <w:jc w:val="both"/>
        <w:rPr>
          <w:rFonts w:ascii="Book Antiqua" w:hAnsi="Book Antiqua"/>
        </w:rPr>
      </w:pPr>
      <w:r>
        <w:rPr>
          <w:rFonts w:ascii="Book Antiqua" w:eastAsia="Book Antiqua" w:hAnsi="Book Antiqua" w:cs="Book Antiqua"/>
          <w:color w:val="000000"/>
        </w:rPr>
        <w:t>There were significant differences in type</w:t>
      </w:r>
      <w:r>
        <w:rPr>
          <w:rFonts w:ascii="Book Antiqua" w:eastAsia="宋体" w:hAnsi="Book Antiqua" w:cs="Book Antiqua"/>
          <w:color w:val="000000"/>
          <w:lang w:eastAsia="zh-CN"/>
        </w:rPr>
        <w:t>s</w:t>
      </w:r>
      <w:r>
        <w:rPr>
          <w:rFonts w:ascii="Book Antiqua" w:eastAsia="Book Antiqua" w:hAnsi="Book Antiqua" w:cs="Book Antiqua"/>
          <w:color w:val="000000"/>
        </w:rPr>
        <w:t xml:space="preserve"> of vasopressors and proportion of norepinephrine, adrenaline, and vasopressor infusion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between the two groups (Table 2).</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i/>
          <w:iCs/>
        </w:rPr>
      </w:pPr>
      <w:r>
        <w:rPr>
          <w:rFonts w:ascii="Book Antiqua" w:eastAsia="Book Antiqua" w:hAnsi="Book Antiqua" w:cs="Book Antiqua"/>
          <w:b/>
          <w:bCs/>
          <w:i/>
          <w:iCs/>
          <w:color w:val="000000"/>
        </w:rPr>
        <w:t>Analysis of prognostic indicators</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Significant differences were noted in dose of norepinephrine and adrenaline, duration of MV, maximum and mean values of IPP, maximum and mean values of PCT, maximum and mean serum levels of creatinine, minimum platelet count, prognosis of AP patients admitted to SICU, and </w:t>
      </w:r>
      <w:r>
        <w:rPr>
          <w:rFonts w:ascii="Book Antiqua" w:eastAsia="宋体" w:hAnsi="Book Antiqua" w:cs="Book Antiqua"/>
          <w:color w:val="000000"/>
          <w:lang w:eastAsia="zh-CN"/>
        </w:rPr>
        <w:t xml:space="preserve">hospital day </w:t>
      </w:r>
      <w:r>
        <w:rPr>
          <w:rFonts w:ascii="Book Antiqua" w:eastAsia="Book Antiqua" w:hAnsi="Book Antiqua" w:cs="Book Antiqua"/>
          <w:color w:val="000000"/>
        </w:rPr>
        <w:t>between the two groups (Table 3). Among AP patients with AKI, the survival rate</w:t>
      </w:r>
      <w:r>
        <w:rPr>
          <w:rFonts w:ascii="Book Antiqua" w:eastAsia="宋体" w:hAnsi="Book Antiqua" w:cs="Book Antiqua"/>
          <w:color w:val="000000"/>
          <w:lang w:eastAsia="zh-CN"/>
        </w:rPr>
        <w:t>s</w:t>
      </w:r>
      <w:r>
        <w:rPr>
          <w:rFonts w:ascii="Book Antiqua" w:eastAsia="Book Antiqua" w:hAnsi="Book Antiqua" w:cs="Book Antiqua"/>
          <w:color w:val="000000"/>
        </w:rPr>
        <w:t xml:space="preserve"> of SICU and in-hospital were only 23% and 21% of the corresponding rates in AP patients without AKI, respectively.</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i/>
          <w:iCs/>
        </w:rPr>
      </w:pPr>
      <w:r>
        <w:rPr>
          <w:rFonts w:ascii="Book Antiqua" w:eastAsia="Book Antiqua" w:hAnsi="Book Antiqua" w:cs="Book Antiqua"/>
          <w:b/>
          <w:bCs/>
          <w:i/>
          <w:iCs/>
          <w:color w:val="000000"/>
        </w:rPr>
        <w:t xml:space="preserve">Analysis of the </w:t>
      </w:r>
      <w:r>
        <w:rPr>
          <w:rFonts w:ascii="Book Antiqua" w:eastAsia="宋体" w:hAnsi="Book Antiqua" w:cs="Book Antiqua"/>
          <w:b/>
          <w:bCs/>
          <w:i/>
          <w:iCs/>
          <w:color w:val="000000"/>
          <w:lang w:eastAsia="zh-CN"/>
        </w:rPr>
        <w:t xml:space="preserve">related </w:t>
      </w:r>
      <w:r>
        <w:rPr>
          <w:rFonts w:ascii="Book Antiqua" w:eastAsia="Book Antiqua" w:hAnsi="Book Antiqua" w:cs="Book Antiqua"/>
          <w:b/>
          <w:bCs/>
          <w:i/>
          <w:iCs/>
          <w:color w:val="000000"/>
        </w:rPr>
        <w:t xml:space="preserve">factors influencing </w:t>
      </w:r>
      <w:r>
        <w:rPr>
          <w:rFonts w:ascii="Book Antiqua" w:eastAsia="宋体" w:hAnsi="Book Antiqua" w:cs="Book Antiqua"/>
          <w:b/>
          <w:bCs/>
          <w:i/>
          <w:iCs/>
          <w:color w:val="000000"/>
          <w:lang w:eastAsia="zh-CN"/>
        </w:rPr>
        <w:t>AP</w:t>
      </w:r>
      <w:r>
        <w:rPr>
          <w:rFonts w:ascii="Book Antiqua" w:eastAsia="Book Antiqua" w:hAnsi="Book Antiqua" w:cs="Book Antiqua"/>
          <w:b/>
          <w:bCs/>
          <w:i/>
          <w:iCs/>
          <w:color w:val="000000"/>
        </w:rPr>
        <w:t xml:space="preserve"> patients’ survival rate </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The factors influencing the AP patients’ survival rate who were hospitalized at SICU included BMI, mean values of IPP, minimum platelet count, and hospital day. Among these factors, mean values of IPP showed the greatest effect (Table 4). The values of area under the receiver operating characteristic (ROC) curve for the four factors related to patients with or without AKI were calculated to predict the </w:t>
      </w:r>
      <w:r>
        <w:rPr>
          <w:rFonts w:ascii="Book Antiqua" w:eastAsia="宋体" w:hAnsi="Book Antiqua" w:cs="Book Antiqua"/>
          <w:color w:val="000000"/>
          <w:lang w:eastAsia="zh-CN"/>
        </w:rPr>
        <w:t>AP</w:t>
      </w:r>
      <w:r>
        <w:rPr>
          <w:rFonts w:ascii="Book Antiqua" w:eastAsia="Book Antiqua" w:hAnsi="Book Antiqua" w:cs="Book Antiqua"/>
          <w:color w:val="000000"/>
        </w:rPr>
        <w:t xml:space="preserve"> patients’ survival rate</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 xml:space="preserve">were 0.896 and 0.891, respectively (Figure 1 and Table 5; </w:t>
      </w:r>
      <w:r>
        <w:rPr>
          <w:rFonts w:ascii="Book Antiqua" w:eastAsia="Book Antiqua" w:hAnsi="Book Antiqua" w:cs="Book Antiqua"/>
          <w:i/>
          <w:iCs/>
          <w:color w:val="000000"/>
        </w:rPr>
        <w:t>P</w:t>
      </w:r>
      <w:r>
        <w:rPr>
          <w:rFonts w:ascii="Book Antiqua" w:eastAsia="Book Antiqua" w:hAnsi="Book Antiqua" w:cs="Book Antiqua"/>
          <w:color w:val="000000"/>
        </w:rPr>
        <w:t xml:space="preserve"> &gt; 0.5). However, there was no significant different in values of the area under the two ROC curves. The sensitivity and specificity of the two ROC curves were approximately the same [sensitivity (80.6%) </w:t>
      </w:r>
      <w:r>
        <w:rPr>
          <w:rFonts w:ascii="Book Antiqua" w:eastAsia="Book Antiqua" w:hAnsi="Book Antiqua" w:cs="Book Antiqua"/>
          <w:i/>
          <w:iCs/>
          <w:color w:val="000000"/>
        </w:rPr>
        <w:t>vs</w:t>
      </w:r>
      <w:r>
        <w:rPr>
          <w:rFonts w:ascii="Book Antiqua" w:eastAsia="Book Antiqua" w:hAnsi="Book Antiqua" w:cs="Book Antiqua"/>
          <w:color w:val="000000"/>
        </w:rPr>
        <w:t xml:space="preserve"> specificity (88.0%)].</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i/>
          <w:iCs/>
        </w:rPr>
      </w:pPr>
      <w:r>
        <w:rPr>
          <w:rFonts w:ascii="Book Antiqua" w:eastAsia="Book Antiqua" w:hAnsi="Book Antiqua" w:cs="Book Antiqua"/>
          <w:b/>
          <w:bCs/>
          <w:i/>
          <w:iCs/>
          <w:color w:val="000000"/>
        </w:rPr>
        <w:t>Risk thresholds of the related factors</w:t>
      </w:r>
    </w:p>
    <w:p w:rsidR="002D21BA" w:rsidRDefault="004A1A23">
      <w:pPr>
        <w:spacing w:line="360" w:lineRule="auto"/>
        <w:jc w:val="both"/>
        <w:rPr>
          <w:rFonts w:ascii="Book Antiqua" w:hAnsi="Book Antiqua"/>
        </w:rPr>
      </w:pPr>
      <w:r>
        <w:rPr>
          <w:rFonts w:ascii="Book Antiqua" w:eastAsia="Book Antiqua" w:hAnsi="Book Antiqua" w:cs="Book Antiqua"/>
          <w:color w:val="000000"/>
        </w:rPr>
        <w:t>Risk thresholds of BMI, mean values of IPP, minimum platelet count, and hospital day were ≥ 24, ≥ 23, ≤ 77, and ≤ 4, respectively, which indicated that BMI ≥ 24, mean values of IPP ≥ 23, minimum platelet count ≤ 77, and hospital day ≤ 4 were risk factors for AP patients’ survival rate who were hospitalized at SICU.</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2D21BA" w:rsidRDefault="004A1A23">
      <w:pPr>
        <w:spacing w:line="360" w:lineRule="auto"/>
        <w:jc w:val="both"/>
        <w:rPr>
          <w:rFonts w:ascii="Book Antiqua" w:hAnsi="Book Antiqua"/>
        </w:rPr>
      </w:pPr>
      <w:r>
        <w:rPr>
          <w:rFonts w:ascii="Book Antiqua" w:eastAsia="Book Antiqua" w:hAnsi="Book Antiqua" w:cs="Book Antiqua"/>
          <w:color w:val="000000"/>
        </w:rPr>
        <w:t>Excessive secretion and/or poor drainage of pancreatic juice are the essence of AP onset. With the increasing incidence of gallstones and alcohol abuse, AP had become a common gastrointestinal disorder. The majority of cases with AP are MAP characterized by no new onset of organ dysfunction, whereas SAP not only leads to new onset of organ dysfunction, but also lasts for more than 48 h</w:t>
      </w:r>
      <w:r>
        <w:rPr>
          <w:rFonts w:ascii="Book Antiqua" w:eastAsia="Book Antiqua" w:hAnsi="Book Antiqua" w:cs="Book Antiqua"/>
          <w:color w:val="000000"/>
          <w:vertAlign w:val="superscript"/>
        </w:rPr>
        <w:t>[</w:t>
      </w:r>
      <w:r>
        <w:rPr>
          <w:rFonts w:ascii="Book Antiqua" w:hAnsi="Book Antiqua"/>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With aggravation of the condition from MAP to SAP, the length of stay at SICU and mortality rate significantly increased. Hence, SAP patients should be managed in SICU for multiple organ support therapy and surgical interventions to avoid further disease progression</w:t>
      </w:r>
      <w:r>
        <w:rPr>
          <w:rFonts w:ascii="Book Antiqua" w:eastAsia="Book Antiqua" w:hAnsi="Book Antiqua" w:cs="Book Antiqua"/>
          <w:color w:val="000000"/>
          <w:vertAlign w:val="superscript"/>
        </w:rPr>
        <w:t>[</w:t>
      </w:r>
      <w:r>
        <w:rPr>
          <w:rFonts w:ascii="Book Antiqua" w:hAnsi="Book Antiqua"/>
          <w:vertAlign w:val="superscript"/>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When AP happens, hemodynamic status should be assessed immediately to avoid hypovolemia or volume overload caused by excessive fluid resuscitation</w:t>
      </w:r>
      <w:r>
        <w:rPr>
          <w:rFonts w:ascii="Book Antiqua" w:eastAsia="Book Antiqua" w:hAnsi="Book Antiqua" w:cs="Book Antiqua"/>
          <w:color w:val="000000"/>
          <w:vertAlign w:val="superscript"/>
        </w:rPr>
        <w:t>[</w:t>
      </w:r>
      <w:r>
        <w:rPr>
          <w:rFonts w:ascii="Book Antiqua" w:hAnsi="Book Antiqua"/>
          <w:vertAlign w:val="superscript"/>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might cause detrimental influences</w:t>
      </w:r>
      <w:r>
        <w:rPr>
          <w:rFonts w:ascii="Book Antiqua" w:eastAsia="Book Antiqua" w:hAnsi="Book Antiqua" w:cs="Book Antiqua"/>
          <w:color w:val="000000"/>
          <w:vertAlign w:val="superscript"/>
        </w:rPr>
        <w:t>[</w:t>
      </w:r>
      <w:r>
        <w:rPr>
          <w:rFonts w:ascii="Book Antiqua" w:hAnsi="Book Antiqua"/>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Routine use of prophylactic antibiotics in SAP or necrotizing pancreatitis was not clinically recommended in the guidelines</w:t>
      </w:r>
      <w:r>
        <w:rPr>
          <w:rFonts w:ascii="Book Antiqua" w:eastAsia="Book Antiqua" w:hAnsi="Book Antiqua" w:cs="Book Antiqua"/>
          <w:color w:val="000000"/>
          <w:vertAlign w:val="superscript"/>
        </w:rPr>
        <w:t>[</w:t>
      </w:r>
      <w:r>
        <w:rPr>
          <w:rFonts w:ascii="Book Antiqua" w:hAnsi="Book Antiqua"/>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because of no mortality benefit or reduction in the incidence of infected necrosis</w:t>
      </w:r>
      <w:r>
        <w:rPr>
          <w:rFonts w:ascii="Book Antiqua" w:eastAsia="Book Antiqua" w:hAnsi="Book Antiqua" w:cs="Book Antiqua"/>
          <w:color w:val="000000"/>
          <w:vertAlign w:val="superscript"/>
        </w:rPr>
        <w:t>[</w:t>
      </w:r>
      <w:r>
        <w:rPr>
          <w:rFonts w:ascii="Book Antiqua" w:hAnsi="Book Antiqua"/>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The ability to penetrate pancreatic necrotic tissue is of great significance in the selection of antibiotics. Less than 50% of necrotizing pancreatitis patients need surgical interventions, in which step-up approach and minimally invasive strategies were advocated</w:t>
      </w:r>
      <w:r>
        <w:rPr>
          <w:rFonts w:ascii="Book Antiqua" w:eastAsia="Book Antiqua" w:hAnsi="Book Antiqua" w:cs="Book Antiqua"/>
          <w:color w:val="000000"/>
          <w:vertAlign w:val="superscript"/>
        </w:rPr>
        <w:t>[</w:t>
      </w:r>
      <w:r>
        <w:rPr>
          <w:rFonts w:ascii="Book Antiqua" w:hAnsi="Book Antiqua"/>
          <w:vertAlign w:val="superscript"/>
        </w:rPr>
        <w:t>24-27</w:t>
      </w:r>
      <w:r>
        <w:rPr>
          <w:rFonts w:ascii="Book Antiqua" w:eastAsia="Book Antiqua" w:hAnsi="Book Antiqua" w:cs="Book Antiqua"/>
          <w:color w:val="000000"/>
          <w:vertAlign w:val="superscript"/>
        </w:rPr>
        <w:t>]</w:t>
      </w:r>
      <w:r>
        <w:rPr>
          <w:rFonts w:ascii="Book Antiqua" w:eastAsia="Book Antiqua" w:hAnsi="Book Antiqua" w:cs="Book Antiqua"/>
          <w:color w:val="000000"/>
        </w:rPr>
        <w:t>, involving endoscopic nasobiliary drainage, percutaneous transhepatic gallbladder drainage, percutaneous transhepatic biliary drainage, endoscopic retrograde cholangiopancreatography, endoscopic transgastric/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transduodenal drainage, and video-assisted retroperitoneal debridement. </w:t>
      </w:r>
    </w:p>
    <w:p w:rsidR="002D21BA" w:rsidRDefault="004A1A23">
      <w:pPr>
        <w:spacing w:line="360" w:lineRule="auto"/>
        <w:ind w:firstLineChars="100" w:firstLine="240"/>
        <w:jc w:val="both"/>
        <w:rPr>
          <w:rFonts w:ascii="Book Antiqua" w:hAnsi="Book Antiqua"/>
        </w:rPr>
      </w:pPr>
      <w:r>
        <w:rPr>
          <w:rFonts w:ascii="Book Antiqua" w:eastAsia="Book Antiqua" w:hAnsi="Book Antiqua" w:cs="Book Antiqua"/>
          <w:color w:val="000000"/>
        </w:rPr>
        <w:t>During AP, kidney is the most vulnerable organ and is typically sacrificed to protect other important organs, such as heart, lung, brain, and liver. As a consequence, AKI is a common complication of AP, which is ordinarily associated with adverse outcomes, including risk of subsequent CKD, end-stage renal disease, RRT dependence, in-hospital and post-discharge mortality, and even healthcare cost-containment concerns</w:t>
      </w:r>
      <w:r>
        <w:rPr>
          <w:rFonts w:ascii="Book Antiqua" w:eastAsia="Book Antiqua" w:hAnsi="Book Antiqua" w:cs="Book Antiqua"/>
          <w:color w:val="000000"/>
          <w:vertAlign w:val="superscript"/>
        </w:rPr>
        <w:t>[</w:t>
      </w:r>
      <w:r>
        <w:rPr>
          <w:rFonts w:ascii="Book Antiqua" w:hAnsi="Book Antiqua"/>
          <w:vertAlign w:val="superscript"/>
        </w:rPr>
        <w:t>28-30</w:t>
      </w:r>
      <w:r>
        <w:rPr>
          <w:rFonts w:ascii="Book Antiqua" w:eastAsia="Book Antiqua" w:hAnsi="Book Antiqua" w:cs="Book Antiqua"/>
          <w:color w:val="000000"/>
          <w:vertAlign w:val="superscript"/>
        </w:rPr>
        <w:t>]</w:t>
      </w:r>
      <w:r>
        <w:rPr>
          <w:rFonts w:ascii="Book Antiqua" w:eastAsia="Book Antiqua" w:hAnsi="Book Antiqua" w:cs="Book Antiqua"/>
          <w:color w:val="000000"/>
        </w:rPr>
        <w:t>. It was generally believed that the incidence of AKI was about 20% in critically ill adult patients</w:t>
      </w:r>
      <w:r>
        <w:rPr>
          <w:rFonts w:ascii="Book Antiqua" w:eastAsia="Book Antiqua" w:hAnsi="Book Antiqua" w:cs="Book Antiqua"/>
          <w:color w:val="000000"/>
          <w:vertAlign w:val="superscript"/>
        </w:rPr>
        <w:t>[</w:t>
      </w:r>
      <w:r>
        <w:rPr>
          <w:rFonts w:ascii="Book Antiqua" w:hAnsi="Book Antiqua"/>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More than 50% of SAP patients would develop into AKI according to previous literature</w:t>
      </w:r>
      <w:r>
        <w:rPr>
          <w:rFonts w:ascii="Book Antiqua" w:eastAsia="Book Antiqua" w:hAnsi="Book Antiqua" w:cs="Book Antiqua"/>
          <w:color w:val="000000"/>
          <w:vertAlign w:val="superscript"/>
        </w:rPr>
        <w:t>[3,17,32]</w:t>
      </w:r>
      <w:r>
        <w:rPr>
          <w:rFonts w:ascii="Book Antiqua" w:eastAsia="Book Antiqua" w:hAnsi="Book Antiqua" w:cs="Book Antiqua"/>
          <w:color w:val="000000"/>
        </w:rPr>
        <w:t>. Different organs interact with each other in the whole body, and the deteriorated kidney function can inevitably cause or aggravate damage to other organs without early intervention. Diuretics had been demonstrated to be an independent risk factor for AKI</w:t>
      </w:r>
      <w:r>
        <w:rPr>
          <w:rFonts w:ascii="Book Antiqua" w:eastAsia="Book Antiqua" w:hAnsi="Book Antiqua" w:cs="Book Antiqua"/>
          <w:color w:val="000000"/>
          <w:vertAlign w:val="superscript"/>
        </w:rPr>
        <w:t>[33]</w:t>
      </w:r>
      <w:r>
        <w:rPr>
          <w:rFonts w:ascii="Book Antiqua" w:eastAsia="Book Antiqua" w:hAnsi="Book Antiqua" w:cs="Book Antiqua"/>
          <w:color w:val="000000"/>
        </w:rPr>
        <w:t>, and thus, were no longer recommended for routine use in clinical practice. When RRT is required, the mortality rate may even exceed 75%</w:t>
      </w:r>
      <w:r>
        <w:rPr>
          <w:rFonts w:ascii="Book Antiqua" w:eastAsia="Book Antiqua" w:hAnsi="Book Antiqua" w:cs="Book Antiqua"/>
          <w:color w:val="000000"/>
          <w:vertAlign w:val="superscript"/>
        </w:rPr>
        <w:t>[34]</w:t>
      </w:r>
      <w:r>
        <w:rPr>
          <w:rFonts w:ascii="Book Antiqua" w:eastAsia="Book Antiqua" w:hAnsi="Book Antiqua" w:cs="Book Antiqua"/>
          <w:color w:val="000000"/>
        </w:rPr>
        <w:t>. Compared with developed countries, AKI is typically substantial underdiagnoses and undertreatment in developing countries</w:t>
      </w:r>
      <w:r>
        <w:rPr>
          <w:rFonts w:ascii="Book Antiqua" w:eastAsia="Book Antiqua" w:hAnsi="Book Antiqua" w:cs="Book Antiqua"/>
          <w:color w:val="000000"/>
          <w:vertAlign w:val="superscript"/>
        </w:rPr>
        <w:t>[35]</w:t>
      </w:r>
      <w:r>
        <w:rPr>
          <w:rFonts w:ascii="Book Antiqua" w:eastAsia="Book Antiqua" w:hAnsi="Book Antiqua" w:cs="Book Antiqua"/>
          <w:color w:val="000000"/>
        </w:rPr>
        <w:t>, especially in African countries, which may be partially explained as seriously inadequate repeated serum creatinine assay</w:t>
      </w:r>
      <w:r>
        <w:rPr>
          <w:rFonts w:ascii="Book Antiqua" w:eastAsia="Book Antiqua" w:hAnsi="Book Antiqua" w:cs="Book Antiqua"/>
          <w:color w:val="000000"/>
          <w:vertAlign w:val="superscript"/>
        </w:rPr>
        <w:t>[</w:t>
      </w:r>
      <w:r>
        <w:rPr>
          <w:rFonts w:ascii="Book Antiqua" w:hAnsi="Book Antiqua"/>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2D21BA" w:rsidRDefault="004A1A23">
      <w:pPr>
        <w:spacing w:line="360" w:lineRule="auto"/>
        <w:ind w:firstLineChars="100" w:firstLine="240"/>
        <w:jc w:val="both"/>
        <w:rPr>
          <w:rFonts w:ascii="Book Antiqua" w:hAnsi="Book Antiqua"/>
        </w:rPr>
      </w:pPr>
      <w:r>
        <w:rPr>
          <w:rFonts w:ascii="Book Antiqua" w:eastAsia="Book Antiqua" w:hAnsi="Book Antiqua" w:cs="Book Antiqua"/>
          <w:color w:val="000000"/>
        </w:rPr>
        <w:t>At present, about 20% of AKI patients require to undergo RRT</w:t>
      </w:r>
      <w:r>
        <w:rPr>
          <w:rFonts w:ascii="Book Antiqua" w:eastAsia="Book Antiqua" w:hAnsi="Book Antiqua" w:cs="Book Antiqua"/>
          <w:color w:val="000000"/>
          <w:vertAlign w:val="superscript"/>
        </w:rPr>
        <w:t>[</w:t>
      </w:r>
      <w:r>
        <w:rPr>
          <w:rFonts w:ascii="Book Antiqua" w:hAnsi="Book Antiqua"/>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this rate continues to increase worldwide. Some eligible patients for RRT may decline to undergo this intervention because of resource constraints, high costs of therapy, or severe comorbidities</w:t>
      </w:r>
      <w:r>
        <w:rPr>
          <w:rFonts w:ascii="Book Antiqua" w:eastAsia="Book Antiqua" w:hAnsi="Book Antiqua" w:cs="Book Antiqua"/>
          <w:color w:val="000000"/>
          <w:vertAlign w:val="superscript"/>
        </w:rPr>
        <w:t>[</w:t>
      </w:r>
      <w:r>
        <w:rPr>
          <w:rFonts w:ascii="Book Antiqua" w:hAnsi="Book Antiqua"/>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which significantly increase mortality rate compared with those cases who received it</w:t>
      </w:r>
      <w:r>
        <w:rPr>
          <w:rFonts w:ascii="Book Antiqua" w:eastAsia="Book Antiqua" w:hAnsi="Book Antiqua" w:cs="Book Antiqua"/>
          <w:color w:val="000000"/>
          <w:vertAlign w:val="superscript"/>
        </w:rPr>
        <w:t>[</w:t>
      </w:r>
      <w:r>
        <w:rPr>
          <w:rFonts w:ascii="Book Antiqua" w:hAnsi="Book Antiqua"/>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RRT involves different treatment modalities, such as hemodialysis, hemofiltration, hemodiafiltration, and peritoneal dialysis. It has been suggested that continuous RRT has several advantages over intermittent RRT, including better hemodynamic stability (blood pressure control and blood circulation), improved survival, and greater likelihood of renal recovery</w:t>
      </w:r>
      <w:r>
        <w:rPr>
          <w:rFonts w:ascii="Book Antiqua" w:eastAsia="Book Antiqua" w:hAnsi="Book Antiqua" w:cs="Book Antiqua"/>
          <w:color w:val="000000"/>
          <w:vertAlign w:val="superscript"/>
        </w:rPr>
        <w:t>[38,40,41]</w:t>
      </w:r>
      <w:r>
        <w:rPr>
          <w:rFonts w:ascii="Book Antiqua" w:eastAsia="Book Antiqua" w:hAnsi="Book Antiqua" w:cs="Book Antiqua"/>
          <w:color w:val="000000"/>
        </w:rPr>
        <w:t xml:space="preserve">. Thus, CVVH had occupied the mainstream of RRT, particularly for </w:t>
      </w:r>
      <w:r>
        <w:rPr>
          <w:rFonts w:ascii="Book Antiqua" w:eastAsia="宋体" w:hAnsi="Book Antiqua" w:cs="Book Antiqua"/>
          <w:color w:val="000000"/>
          <w:lang w:eastAsia="zh-CN"/>
        </w:rPr>
        <w:t xml:space="preserve">AP </w:t>
      </w:r>
      <w:r>
        <w:rPr>
          <w:rFonts w:ascii="Book Antiqua" w:eastAsia="Book Antiqua" w:hAnsi="Book Antiqua" w:cs="Book Antiqua"/>
          <w:color w:val="000000"/>
        </w:rPr>
        <w:t>patients who were hospitalized at SICU, because of its outstanding effectiveness and safety. Although it has been suggested that early application of RRT in patients with severe sepsis, irrespective of the presence of renal failure, might be beneficial, CVVH did not limit further organ damage and even prolonged the need for organ support. RRT is a non-selective method, which can simultaneously remove detrimental and beneficial substances. In clinical practice, in spite of great advances in RRT development, there is still a lack of uniform standards for RRT-associated strategies, such as optimal timing for initiation of RRT, anti-coagulation, and optimal dosage</w:t>
      </w:r>
      <w:r>
        <w:rPr>
          <w:rFonts w:ascii="Book Antiqua" w:eastAsia="Book Antiqua" w:hAnsi="Book Antiqua" w:cs="Book Antiqua"/>
          <w:color w:val="000000"/>
          <w:vertAlign w:val="superscript"/>
        </w:rPr>
        <w:t>[42,43]</w:t>
      </w:r>
      <w:r>
        <w:rPr>
          <w:rFonts w:ascii="Book Antiqua" w:eastAsia="Book Antiqua" w:hAnsi="Book Antiqua" w:cs="Book Antiqua"/>
          <w:color w:val="000000"/>
        </w:rPr>
        <w:t xml:space="preserve">. </w:t>
      </w:r>
    </w:p>
    <w:p w:rsidR="002D21BA" w:rsidRDefault="004A1A23">
      <w:pPr>
        <w:spacing w:line="360" w:lineRule="auto"/>
        <w:ind w:firstLineChars="100" w:firstLine="240"/>
        <w:jc w:val="both"/>
        <w:rPr>
          <w:rFonts w:ascii="Book Antiqua" w:hAnsi="Book Antiqua"/>
        </w:rPr>
      </w:pPr>
      <w:r>
        <w:rPr>
          <w:rFonts w:ascii="Book Antiqua" w:eastAsia="Book Antiqua" w:hAnsi="Book Antiqua" w:cs="Book Antiqua"/>
          <w:color w:val="000000"/>
        </w:rPr>
        <w:t>Among several scoring systems, APACHE II score and SOFA score are commonly used to reflect timely and accurately illness severity and predict prognosis of AP patients</w:t>
      </w:r>
      <w:r>
        <w:rPr>
          <w:rFonts w:ascii="Book Antiqua" w:eastAsia="Book Antiqua" w:hAnsi="Book Antiqua" w:cs="Book Antiqua"/>
          <w:color w:val="000000"/>
          <w:vertAlign w:val="superscript"/>
        </w:rPr>
        <w:t>[44]</w:t>
      </w:r>
      <w:r>
        <w:rPr>
          <w:rFonts w:ascii="Book Antiqua" w:eastAsia="Book Antiqua" w:hAnsi="Book Antiqua" w:cs="Book Antiqua"/>
          <w:color w:val="000000"/>
        </w:rPr>
        <w:t>. It is well known that GCS score is a simple and valuable tool for indication of nervous system function and prediction of short- and long-term mortality</w:t>
      </w:r>
      <w:r>
        <w:rPr>
          <w:rFonts w:ascii="Book Antiqua" w:eastAsia="Book Antiqua" w:hAnsi="Book Antiqua" w:cs="Book Antiqua"/>
          <w:color w:val="000000"/>
          <w:vertAlign w:val="superscript"/>
        </w:rPr>
        <w:t>[45]</w:t>
      </w:r>
      <w:r>
        <w:rPr>
          <w:rFonts w:ascii="Book Antiqua" w:eastAsia="Book Antiqua" w:hAnsi="Book Antiqua" w:cs="Book Antiqua"/>
          <w:color w:val="000000"/>
        </w:rPr>
        <w:t>, in which its discriminative power is similar to other more complex scoring systems</w:t>
      </w:r>
      <w:r>
        <w:rPr>
          <w:rFonts w:ascii="Book Antiqua" w:eastAsia="Book Antiqua" w:hAnsi="Book Antiqua" w:cs="Book Antiqua"/>
          <w:color w:val="000000"/>
          <w:vertAlign w:val="superscript"/>
        </w:rPr>
        <w:t>[46]</w:t>
      </w:r>
      <w:r>
        <w:rPr>
          <w:rFonts w:ascii="Book Antiqua" w:eastAsia="Book Antiqua" w:hAnsi="Book Antiqua" w:cs="Book Antiqua"/>
          <w:color w:val="000000"/>
        </w:rPr>
        <w:t>. Therefore, these three scoring systems were selected to assess the severity of AP in the present research. A number of scholars pointed out that demand for MV, infusion of vasopressors, and RRT could be risk factors for increased mortality in AP patients</w:t>
      </w:r>
      <w:r>
        <w:rPr>
          <w:rFonts w:ascii="Book Antiqua" w:eastAsia="Book Antiqua" w:hAnsi="Book Antiqua" w:cs="Book Antiqua"/>
          <w:color w:val="000000"/>
          <w:vertAlign w:val="superscript"/>
        </w:rPr>
        <w:t>[47]</w:t>
      </w:r>
      <w:r>
        <w:rPr>
          <w:rFonts w:ascii="Book Antiqua" w:eastAsia="Book Antiqua" w:hAnsi="Book Antiqua" w:cs="Book Antiqua"/>
          <w:color w:val="000000"/>
        </w:rPr>
        <w:t>. PCT level may contribute to earlier and better stratification of septic patients who are at risk of death and admitted to SICU</w:t>
      </w:r>
      <w:r>
        <w:rPr>
          <w:rFonts w:ascii="Book Antiqua" w:eastAsia="Book Antiqua" w:hAnsi="Book Antiqua" w:cs="Book Antiqua"/>
          <w:color w:val="000000"/>
          <w:vertAlign w:val="superscript"/>
        </w:rPr>
        <w:t>[48]</w:t>
      </w:r>
      <w:r>
        <w:rPr>
          <w:rFonts w:ascii="Book Antiqua" w:eastAsia="Book Antiqua" w:hAnsi="Book Antiqua" w:cs="Book Antiqua"/>
          <w:color w:val="000000"/>
        </w:rPr>
        <w:t>. To our knowledge, the increased IPP and decreased platelet count are closely associated with the severity and prognosis of AP in clinical practice</w:t>
      </w:r>
      <w:r>
        <w:rPr>
          <w:rFonts w:ascii="Book Antiqua" w:eastAsia="Book Antiqua" w:hAnsi="Book Antiqua" w:cs="Book Antiqua"/>
          <w:color w:val="000000"/>
          <w:vertAlign w:val="superscript"/>
        </w:rPr>
        <w:t>[49]</w:t>
      </w:r>
      <w:r>
        <w:rPr>
          <w:rFonts w:ascii="Book Antiqua" w:eastAsia="Book Antiqua" w:hAnsi="Book Antiqua" w:cs="Book Antiqua"/>
          <w:color w:val="000000"/>
        </w:rPr>
        <w:t>. Hence, the above-mentioned indicators were employed in the current study.</w:t>
      </w:r>
    </w:p>
    <w:p w:rsidR="002D21BA" w:rsidRDefault="004A1A2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present retrospective study provided a comprehensive description </w:t>
      </w:r>
      <w:r>
        <w:rPr>
          <w:rFonts w:ascii="Book Antiqua" w:eastAsia="宋体" w:hAnsi="Book Antiqua" w:cs="Book Antiqua"/>
          <w:color w:val="000000"/>
          <w:lang w:eastAsia="zh-CN"/>
        </w:rPr>
        <w:t>about</w:t>
      </w:r>
      <w:r>
        <w:rPr>
          <w:rFonts w:ascii="Book Antiqua" w:eastAsia="Book Antiqua" w:hAnsi="Book Antiqua" w:cs="Book Antiqua"/>
          <w:color w:val="000000"/>
        </w:rPr>
        <w:t xml:space="preserve"> the influences</w:t>
      </w:r>
      <w:r>
        <w:rPr>
          <w:rFonts w:ascii="Book Antiqua" w:eastAsia="宋体" w:hAnsi="Book Antiqua" w:cs="Book Antiqua"/>
          <w:color w:val="000000"/>
          <w:lang w:eastAsia="zh-CN"/>
        </w:rPr>
        <w:t xml:space="preserve"> of AKI</w:t>
      </w:r>
      <w:r>
        <w:rPr>
          <w:rFonts w:ascii="Book Antiqua" w:eastAsia="Book Antiqua" w:hAnsi="Book Antiqua" w:cs="Book Antiqua"/>
          <w:color w:val="000000"/>
        </w:rPr>
        <w:t xml:space="preserve"> </w:t>
      </w:r>
      <w:r>
        <w:rPr>
          <w:rFonts w:ascii="Book Antiqua" w:eastAsia="宋体" w:hAnsi="Book Antiqua" w:cs="Book Antiqua"/>
          <w:color w:val="000000"/>
          <w:lang w:eastAsia="zh-CN"/>
        </w:rPr>
        <w:t>on</w:t>
      </w:r>
      <w:r>
        <w:rPr>
          <w:rFonts w:ascii="Book Antiqua" w:eastAsia="Book Antiqua" w:hAnsi="Book Antiqua" w:cs="Book Antiqua"/>
          <w:color w:val="000000"/>
        </w:rPr>
        <w:t xml:space="preserve"> AP patients’ survival rate who were hospitalized at SICU in accordance with the criteria presented by the KIDGO guidelines. Our findings revealed that AP patients with AKI had more severe degree of illness than AP patients without AKI, as evidenced by higher APACHE II score, higher SOFA score, and lower GCS score, and the survival rate</w:t>
      </w:r>
      <w:r>
        <w:rPr>
          <w:rFonts w:ascii="Book Antiqua" w:eastAsia="宋体" w:hAnsi="Book Antiqua" w:cs="Book Antiqua"/>
          <w:color w:val="000000"/>
          <w:lang w:eastAsia="zh-CN"/>
        </w:rPr>
        <w:t>s</w:t>
      </w:r>
      <w:r>
        <w:rPr>
          <w:rFonts w:ascii="Book Antiqua" w:eastAsia="Book Antiqua" w:hAnsi="Book Antiqua" w:cs="Book Antiqua"/>
          <w:color w:val="000000"/>
        </w:rPr>
        <w:t xml:space="preserve"> of SICU and in-hospital were only 23% and 21% of the corresponding rates in AP patients without AKI, respectively, which were roughly consistent with previously reported rates</w:t>
      </w:r>
      <w:r>
        <w:rPr>
          <w:rFonts w:ascii="Book Antiqua" w:eastAsia="Book Antiqua" w:hAnsi="Book Antiqua" w:cs="Book Antiqua"/>
          <w:color w:val="000000"/>
          <w:vertAlign w:val="superscript"/>
        </w:rPr>
        <w:t>[10,31]</w:t>
      </w:r>
      <w:r>
        <w:rPr>
          <w:rFonts w:ascii="Book Antiqua" w:eastAsia="Book Antiqua" w:hAnsi="Book Antiqua" w:cs="Book Antiqua"/>
          <w:color w:val="000000"/>
        </w:rPr>
        <w:t xml:space="preserve">. These gaps can be partially explained by the increased emphasis placed on AP and improvement of diagnostic methods and standardized therapeutic bundles. For AP patients with AKI, other influences were found to be associated with demand for MV, infusion of vasopressors and RRT, dosages of norepinephrine and adrenaline, duration of MV, maximum and mean values of IPP, maximum and mean values of PCT, maximum and mean serum levels of creatinine, and minimum platelet count. It was revealed that AKI negatively and seriously affected AP patients who were hospitalized at SICU. </w:t>
      </w:r>
    </w:p>
    <w:p w:rsidR="002D21BA" w:rsidRDefault="004A1A23">
      <w:pPr>
        <w:spacing w:line="360" w:lineRule="auto"/>
        <w:ind w:firstLineChars="100" w:firstLine="240"/>
        <w:jc w:val="both"/>
        <w:rPr>
          <w:rFonts w:ascii="Book Antiqua" w:hAnsi="Book Antiqua"/>
        </w:rPr>
      </w:pPr>
      <w:r>
        <w:rPr>
          <w:rFonts w:ascii="Book Antiqua" w:eastAsia="Book Antiqua" w:hAnsi="Book Antiqua" w:cs="Book Antiqua"/>
          <w:color w:val="000000"/>
        </w:rPr>
        <w:t>The factors that influenced AP patients’ survival rate who were hospitalized at SICU included BMI, mean values of IPP, minimum platelet count, and hospital day. With every unit change in BMI, mean values of IPP, minimum platelet count, and hospital day, the AP patients’ survival rate was 4.4387, 14.1211, 0.1561, and 0.3730 of the original rates, respectively. Therefore, mean values of IPP had the greatest influence on the AP patients’ survival rate who were hospitalized at SICU. Risk thresholds of BMI, mean values of IPP, minimum platelet count, and hospital day were ≥ 24, ≥ 23, ≤ 77, and ≤ 4, respectively, which indicated that BMI ≥ 24, mean values of IPP ≥ 23, minimum platelet count ≤ 77, and hospital day ≤ 4 were risk factors for the AP patients’ survival rate who were hospitalized at SICU.</w:t>
      </w:r>
    </w:p>
    <w:p w:rsidR="002D21BA" w:rsidRDefault="004A1A23">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present study contains a number of limitations. First, although significant differences were detected, this was only a </w:t>
      </w:r>
      <w:r>
        <w:rPr>
          <w:rFonts w:ascii="Book Antiqua" w:eastAsia="宋体" w:hAnsi="Book Antiqua" w:cs="Book Antiqua" w:hint="eastAsia"/>
          <w:color w:val="000000"/>
          <w:lang w:eastAsia="zh-CN"/>
        </w:rPr>
        <w:t xml:space="preserve">small </w:t>
      </w:r>
      <w:r>
        <w:rPr>
          <w:rFonts w:ascii="Book Antiqua" w:eastAsia="Book Antiqua" w:hAnsi="Book Antiqua" w:cs="Book Antiqua"/>
          <w:color w:val="000000"/>
        </w:rPr>
        <w:t xml:space="preserve">sample-size, single-center, retrospective study, which might reduce the reliability of our conclusion and its application to AP patients in clinical practice. Second, clinical data were obtained only on the basis of the medical records during hospitalization, which might lead to research bias. Last but not least, the etiology of AP had not been further differentiated. It is noteworthy that different etiologies may induce different clinical manifestations and prognosis, necessitating conducting further studies in the future. </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2D21BA" w:rsidRDefault="004A1A23">
      <w:pPr>
        <w:spacing w:line="360" w:lineRule="auto"/>
        <w:jc w:val="both"/>
        <w:rPr>
          <w:rFonts w:ascii="Book Antiqua" w:hAnsi="Book Antiqua"/>
        </w:rPr>
      </w:pPr>
      <w:r>
        <w:rPr>
          <w:rFonts w:ascii="Book Antiqua" w:eastAsia="Book Antiqua" w:hAnsi="Book Antiqua" w:cs="Book Antiqua"/>
          <w:color w:val="000000"/>
        </w:rPr>
        <w:t>In conclusion, this study attempted to clarify the influence of AKI on AP patients’ survival rate who were hospitalized at SICU. Results showed that AP patients with AKI exhibited lower survival rate and worse relevant clinical outcomes than AP patients without AKI. Besides, BMI, mean values of IPP, minimum platelet count, and hospital day may play significant roles in predicting the AP patients’ survival rate who were hospitalized at SICU. Our findings suggest that prevention of AKI is clinically important.</w:t>
      </w:r>
    </w:p>
    <w:p w:rsidR="002D21BA" w:rsidRDefault="002D21BA">
      <w:pPr>
        <w:spacing w:line="360" w:lineRule="auto"/>
        <w:jc w:val="both"/>
        <w:rPr>
          <w:rFonts w:ascii="Book Antiqua" w:eastAsia="Book Antiqua" w:hAnsi="Book Antiqua" w:cs="Book Antiqua"/>
          <w:b/>
          <w:caps/>
          <w:color w:val="000000"/>
          <w:u w:val="single"/>
        </w:rPr>
      </w:pPr>
    </w:p>
    <w:p w:rsidR="002D21BA" w:rsidRDefault="004A1A23">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2D21BA" w:rsidRDefault="004A1A23">
      <w:pPr>
        <w:spacing w:line="360" w:lineRule="auto"/>
        <w:jc w:val="both"/>
        <w:rPr>
          <w:rFonts w:ascii="Book Antiqua" w:hAnsi="Book Antiqua"/>
        </w:rPr>
      </w:pPr>
      <w:r>
        <w:rPr>
          <w:rFonts w:ascii="Book Antiqua" w:eastAsia="Book Antiqua" w:hAnsi="Book Antiqua" w:cs="Book Antiqua"/>
          <w:b/>
          <w:i/>
          <w:color w:val="000000"/>
        </w:rPr>
        <w:t>Research background</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Acute kidney injury (AKI) is common in acute pancreatitis (AP) </w:t>
      </w:r>
      <w:r>
        <w:rPr>
          <w:rFonts w:ascii="Book Antiqua" w:eastAsia="宋体" w:hAnsi="Book Antiqua" w:cs="Book Antiqua"/>
          <w:color w:val="000000"/>
          <w:lang w:eastAsia="zh-CN"/>
        </w:rPr>
        <w:t xml:space="preserve">patients, </w:t>
      </w:r>
      <w:r>
        <w:rPr>
          <w:rFonts w:ascii="Book Antiqua" w:eastAsia="Book Antiqua" w:hAnsi="Book Antiqua" w:cs="Book Antiqua"/>
          <w:color w:val="000000"/>
        </w:rPr>
        <w:t>but the risk factors are not clear.</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i/>
          <w:color w:val="000000"/>
        </w:rPr>
        <w:t>Research motivation</w:t>
      </w:r>
    </w:p>
    <w:p w:rsidR="002D21BA" w:rsidRDefault="004A1A23">
      <w:pPr>
        <w:spacing w:line="360" w:lineRule="auto"/>
        <w:jc w:val="both"/>
        <w:rPr>
          <w:rFonts w:ascii="Book Antiqua" w:hAnsi="Book Antiqua"/>
        </w:rPr>
      </w:pPr>
      <w:r>
        <w:rPr>
          <w:rFonts w:ascii="Book Antiqua" w:eastAsia="Book Antiqua" w:hAnsi="Book Antiqua" w:cs="Book Antiqua"/>
          <w:color w:val="000000"/>
        </w:rPr>
        <w:t>This study tried to explore the associated risk factors of AKI in AP patients.</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i/>
          <w:color w:val="000000"/>
        </w:rPr>
        <w:t>Research objectives</w:t>
      </w:r>
    </w:p>
    <w:p w:rsidR="002D21BA" w:rsidRDefault="004A1A23">
      <w:pPr>
        <w:spacing w:line="360" w:lineRule="auto"/>
        <w:jc w:val="both"/>
        <w:rPr>
          <w:rFonts w:ascii="Book Antiqua" w:hAnsi="Book Antiqua"/>
        </w:rPr>
      </w:pPr>
      <w:r>
        <w:rPr>
          <w:rFonts w:ascii="Book Antiqua" w:eastAsia="Book Antiqua" w:hAnsi="Book Antiqua" w:cs="Book Antiqua"/>
          <w:color w:val="000000"/>
        </w:rPr>
        <w:t>This study aimed to assess the influences of AKI on the survival rate in AP patients.</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i/>
          <w:color w:val="000000"/>
        </w:rPr>
        <w:t>Research methods</w:t>
      </w:r>
    </w:p>
    <w:p w:rsidR="002D21BA" w:rsidRDefault="004A1A23">
      <w:pPr>
        <w:spacing w:line="360" w:lineRule="auto"/>
        <w:jc w:val="both"/>
        <w:rPr>
          <w:rFonts w:ascii="Book Antiqua" w:hAnsi="Book Antiqua"/>
        </w:rPr>
      </w:pPr>
      <w:r>
        <w:rPr>
          <w:rFonts w:ascii="Book Antiqua" w:eastAsia="Book Antiqua" w:hAnsi="Book Antiqua" w:cs="Book Antiqua"/>
          <w:color w:val="000000"/>
        </w:rPr>
        <w:t>Patients were divided into two groups based on AKI status, and comparisons between the groups were calculated for diverse variables.</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i/>
          <w:color w:val="000000"/>
        </w:rPr>
        <w:t>Research results</w:t>
      </w:r>
    </w:p>
    <w:p w:rsidR="002D21BA" w:rsidRDefault="004A1A23">
      <w:pPr>
        <w:spacing w:line="360" w:lineRule="auto"/>
        <w:jc w:val="both"/>
        <w:rPr>
          <w:rFonts w:ascii="Book Antiqua" w:hAnsi="Book Antiqua"/>
        </w:rPr>
      </w:pPr>
      <w:r>
        <w:rPr>
          <w:rFonts w:ascii="Book Antiqua" w:eastAsia="Book Antiqua" w:hAnsi="Book Antiqua" w:cs="Book Antiqua"/>
          <w:color w:val="000000"/>
        </w:rPr>
        <w:t>AKI is more likely to occur in male AP patients.</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i/>
          <w:color w:val="000000"/>
        </w:rPr>
        <w:t>Research conclusions</w:t>
      </w:r>
    </w:p>
    <w:p w:rsidR="002D21BA" w:rsidRDefault="004A1A23">
      <w:pPr>
        <w:spacing w:line="360" w:lineRule="auto"/>
        <w:jc w:val="both"/>
        <w:rPr>
          <w:rFonts w:ascii="Book Antiqua" w:hAnsi="Book Antiqua"/>
        </w:rPr>
      </w:pPr>
      <w:r>
        <w:rPr>
          <w:rFonts w:ascii="Book Antiqua" w:eastAsia="Book Antiqua" w:hAnsi="Book Antiqua" w:cs="Book Antiqua"/>
          <w:color w:val="000000"/>
        </w:rPr>
        <w:t>AP patients with AKI exhibited lower survival rate and worse relevant</w:t>
      </w:r>
      <w:r>
        <w:rPr>
          <w:rFonts w:ascii="Book Antiqua" w:eastAsia="宋体" w:hAnsi="Book Antiqua" w:cs="Book Antiqua"/>
          <w:color w:val="000000"/>
          <w:lang w:eastAsia="zh-CN"/>
        </w:rPr>
        <w:t xml:space="preserve"> </w:t>
      </w:r>
      <w:r>
        <w:rPr>
          <w:rFonts w:ascii="Book Antiqua" w:eastAsia="Book Antiqua" w:hAnsi="Book Antiqua" w:cs="Book Antiqua"/>
          <w:color w:val="000000"/>
        </w:rPr>
        <w:t>clinical outcomes than AP patients without AKI</w:t>
      </w:r>
      <w:r>
        <w:rPr>
          <w:rFonts w:ascii="Book Antiqua" w:eastAsia="宋体" w:hAnsi="Book Antiqua" w:cs="Book Antiqua"/>
          <w:color w:val="000000"/>
          <w:lang w:eastAsia="zh-CN"/>
        </w:rPr>
        <w:t xml:space="preserve"> in SICU</w:t>
      </w:r>
      <w:r>
        <w:rPr>
          <w:rFonts w:ascii="Book Antiqua" w:eastAsia="Book Antiqua" w:hAnsi="Book Antiqua" w:cs="Book Antiqua"/>
          <w:color w:val="000000"/>
        </w:rPr>
        <w:t>.</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i/>
          <w:color w:val="000000"/>
        </w:rPr>
        <w:t>Research perspectives</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This study provided clinical evidence for </w:t>
      </w:r>
      <w:r>
        <w:rPr>
          <w:rFonts w:ascii="Book Antiqua" w:eastAsia="宋体" w:hAnsi="Book Antiqua" w:cs="Book Antiqua"/>
          <w:color w:val="000000"/>
          <w:lang w:eastAsia="zh-CN"/>
        </w:rPr>
        <w:t>prevention of AKI in AP patients</w:t>
      </w:r>
      <w:r>
        <w:rPr>
          <w:rFonts w:ascii="Book Antiqua" w:eastAsia="Book Antiqua" w:hAnsi="Book Antiqua" w:cs="Book Antiqua"/>
          <w:color w:val="000000"/>
        </w:rPr>
        <w:t>.</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2D21BA" w:rsidRDefault="004A1A2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highly appreciate the contribution of participants and co-workers from surgical intensive care unit of The Second </w:t>
      </w:r>
      <w:r>
        <w:rPr>
          <w:rFonts w:ascii="Book Antiqua" w:eastAsia="宋体" w:hAnsi="Book Antiqua" w:cs="Book Antiqua"/>
          <w:color w:val="000000"/>
          <w:lang w:eastAsia="zh-CN"/>
        </w:rPr>
        <w:t xml:space="preserve">and First </w:t>
      </w:r>
      <w:r>
        <w:rPr>
          <w:rFonts w:ascii="Book Antiqua" w:eastAsia="Book Antiqua" w:hAnsi="Book Antiqua" w:cs="Book Antiqua"/>
          <w:color w:val="000000"/>
        </w:rPr>
        <w:t>Affiliated Hospital of Harbin Medical University to this research.</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color w:val="000000"/>
        </w:rPr>
        <w:t>REFERENCES</w:t>
      </w:r>
    </w:p>
    <w:p w:rsidR="002D21BA" w:rsidRDefault="004A1A23">
      <w:pPr>
        <w:spacing w:line="360" w:lineRule="auto"/>
        <w:jc w:val="both"/>
        <w:rPr>
          <w:rFonts w:ascii="Book Antiqua" w:hAnsi="Book Antiqua"/>
        </w:rPr>
      </w:pPr>
      <w:bookmarkStart w:id="10" w:name="OLE_LINK1"/>
      <w:r>
        <w:rPr>
          <w:rFonts w:ascii="Book Antiqua" w:eastAsia="Book Antiqua" w:hAnsi="Book Antiqua" w:cs="Book Antiqua"/>
          <w:color w:val="000000"/>
        </w:rPr>
        <w:t xml:space="preserve">1 </w:t>
      </w:r>
      <w:r>
        <w:rPr>
          <w:rFonts w:ascii="Book Antiqua" w:eastAsia="Book Antiqua" w:hAnsi="Book Antiqua" w:cs="Book Antiqua"/>
          <w:b/>
          <w:bCs/>
          <w:color w:val="000000"/>
        </w:rPr>
        <w:t>Krishna SG</w:t>
      </w:r>
      <w:r>
        <w:rPr>
          <w:rFonts w:ascii="Book Antiqua" w:eastAsia="Book Antiqua" w:hAnsi="Book Antiqua" w:cs="Book Antiqua"/>
          <w:color w:val="000000"/>
        </w:rPr>
        <w:t xml:space="preserve">, Kamboj AK, Hart PA, Hinton A, Conwell DL. The Changing Epidemiology of Acute Pancreatitis Hospitalizations: A Decade of Trends and the Impact of Chronic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xml:space="preserve">: 482-488 [PMID: </w:t>
      </w:r>
      <w:bookmarkStart w:id="11" w:name="OLE_LINK2"/>
      <w:r>
        <w:rPr>
          <w:rFonts w:ascii="Book Antiqua" w:eastAsia="Book Antiqua" w:hAnsi="Book Antiqua" w:cs="Book Antiqua"/>
          <w:color w:val="000000"/>
        </w:rPr>
        <w:t>28196021</w:t>
      </w:r>
      <w:bookmarkEnd w:id="11"/>
      <w:r>
        <w:rPr>
          <w:rFonts w:ascii="Book Antiqua" w:eastAsia="Book Antiqua" w:hAnsi="Book Antiqua" w:cs="Book Antiqua"/>
          <w:color w:val="000000"/>
        </w:rPr>
        <w:t xml:space="preserve"> DOI: 10.1097/MPA.0000000000000783]</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Russell PS</w:t>
      </w:r>
      <w:r>
        <w:rPr>
          <w:rFonts w:ascii="Book Antiqua" w:eastAsia="Book Antiqua" w:hAnsi="Book Antiqua" w:cs="Book Antiqua"/>
          <w:color w:val="000000"/>
        </w:rPr>
        <w:t xml:space="preserve">, Mittal A, Brown L, McArthur C, Phillips AJR, Petrov M, Windsor JA. Admission, management and outcomes of acute pancreatitis in intensive care.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87</w:t>
      </w:r>
      <w:r>
        <w:rPr>
          <w:rFonts w:ascii="Book Antiqua" w:eastAsia="Book Antiqua" w:hAnsi="Book Antiqua" w:cs="Book Antiqua"/>
          <w:color w:val="000000"/>
        </w:rPr>
        <w:t>: E266-E270 [PMID: 27018076 DOI: 10.1111/ans.13498]</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Pavlidis P</w:t>
      </w:r>
      <w:r>
        <w:rPr>
          <w:rFonts w:ascii="Book Antiqua" w:eastAsia="Book Antiqua" w:hAnsi="Book Antiqua" w:cs="Book Antiqua"/>
          <w:color w:val="000000"/>
        </w:rPr>
        <w:t xml:space="preserve">, Crichton S, Lemmich Smith J, Morrison D, Atkinson S, Wyncoll D, Ostermann M. Improved outcome of severe acute pancreatitis in the intensive care unit. </w:t>
      </w:r>
      <w:r>
        <w:rPr>
          <w:rFonts w:ascii="Book Antiqua" w:eastAsia="Book Antiqua" w:hAnsi="Book Antiqua" w:cs="Book Antiqua"/>
          <w:i/>
          <w:iCs/>
          <w:color w:val="000000"/>
        </w:rPr>
        <w:t>Crit Care Res Pract</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897107 [PMID: 23662207 DOI: 10.1155/2013/897107]</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Weiss FU</w:t>
      </w:r>
      <w:r>
        <w:rPr>
          <w:rFonts w:ascii="Book Antiqua" w:eastAsia="Book Antiqua" w:hAnsi="Book Antiqua" w:cs="Book Antiqua"/>
          <w:color w:val="000000"/>
        </w:rPr>
        <w:t xml:space="preserve">, Laemmerhirt F, Lerch MM. Etiology and Risk Factors of Acute and Chronic Pancreatitis. </w:t>
      </w:r>
      <w:r>
        <w:rPr>
          <w:rFonts w:ascii="Book Antiqua" w:eastAsia="Book Antiqua" w:hAnsi="Book Antiqua" w:cs="Book Antiqua"/>
          <w:i/>
          <w:iCs/>
          <w:color w:val="000000"/>
        </w:rPr>
        <w:t>Visc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73-81 [PMID: 31192240 DOI: 10.1159/000499138]</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Kopecky K</w:t>
      </w:r>
      <w:r>
        <w:rPr>
          <w:rFonts w:ascii="Book Antiqua" w:eastAsia="Book Antiqua" w:hAnsi="Book Antiqua" w:cs="Book Antiqua"/>
          <w:color w:val="000000"/>
        </w:rPr>
        <w:t xml:space="preserve">, Moreland A, Hebert C, Colbert GB. Plasmapheresis for recurrent acute pancreatitis from hypertriglyceridemia. </w:t>
      </w:r>
      <w:r>
        <w:rPr>
          <w:rFonts w:ascii="Book Antiqua" w:eastAsia="Book Antiqua" w:hAnsi="Book Antiqua" w:cs="Book Antiqua"/>
          <w:i/>
          <w:iCs/>
          <w:color w:val="000000"/>
        </w:rPr>
        <w:t>Proc (Bayl Univ Med Cent)</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358-359 [PMID: 28670087 DOI: 10.1080/08998280.2017.11929648]</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Banks PA</w:t>
      </w:r>
      <w:r>
        <w:rPr>
          <w:rFonts w:ascii="Book Antiqua" w:eastAsia="Book Antiqua" w:hAnsi="Book Antiqua" w:cs="Book Antiqua"/>
          <w:color w:val="000000"/>
        </w:rPr>
        <w:t xml:space="preserve">, Bollen TL, Dervenis C, Gooszen HG, Johnson CD, Sarr MG, Tsiotos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102-111 [PMID: 23100216 DOI: 10.1136/gutjnl-2012-302779]</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Karakayali FY</w:t>
      </w:r>
      <w:r>
        <w:rPr>
          <w:rFonts w:ascii="Book Antiqua" w:eastAsia="Book Antiqua" w:hAnsi="Book Antiqua" w:cs="Book Antiqua"/>
          <w:color w:val="000000"/>
        </w:rPr>
        <w:t xml:space="preserve">. Surgical and interventional management of complications caused by acute pancreatitis.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13412-13423 [PMID: 25309073 DOI: 10.3748/wjg.v20.i37.13412]</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Jacob AO</w:t>
      </w:r>
      <w:r>
        <w:rPr>
          <w:rFonts w:ascii="Book Antiqua" w:eastAsia="Book Antiqua" w:hAnsi="Book Antiqua" w:cs="Book Antiqua"/>
          <w:color w:val="000000"/>
        </w:rPr>
        <w:t xml:space="preserve">, Stewart P, Jacob O. Early surgical intervention in severe acute pancreatitis: Central Australian experience.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86</w:t>
      </w:r>
      <w:r>
        <w:rPr>
          <w:rFonts w:ascii="Book Antiqua" w:eastAsia="Book Antiqua" w:hAnsi="Book Antiqua" w:cs="Book Antiqua"/>
          <w:color w:val="000000"/>
        </w:rPr>
        <w:t>: 805-810 [PMID: 24890051 DOI: 10.1111/ans.12707]</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Petejova N</w:t>
      </w:r>
      <w:r>
        <w:rPr>
          <w:rFonts w:ascii="Book Antiqua" w:eastAsia="Book Antiqua" w:hAnsi="Book Antiqua" w:cs="Book Antiqua"/>
          <w:color w:val="000000"/>
        </w:rPr>
        <w:t xml:space="preserve">, Martinek A. Acute kidney injury following acute pancreatitis: A review. </w:t>
      </w:r>
      <w:r>
        <w:rPr>
          <w:rFonts w:ascii="Book Antiqua" w:eastAsia="Book Antiqua" w:hAnsi="Book Antiqua" w:cs="Book Antiqua"/>
          <w:i/>
          <w:iCs/>
          <w:color w:val="000000"/>
        </w:rPr>
        <w:t>Biomed Pap Med Fac Univ Palacky Olomouc Czech Repub</w:t>
      </w:r>
      <w:r>
        <w:rPr>
          <w:rFonts w:ascii="Book Antiqua" w:eastAsia="Book Antiqua" w:hAnsi="Book Antiqua" w:cs="Book Antiqua"/>
          <w:color w:val="000000"/>
        </w:rPr>
        <w:t xml:space="preserve"> 2013; </w:t>
      </w:r>
      <w:r>
        <w:rPr>
          <w:rFonts w:ascii="Book Antiqua" w:eastAsia="Book Antiqua" w:hAnsi="Book Antiqua" w:cs="Book Antiqua"/>
          <w:b/>
          <w:bCs/>
          <w:color w:val="000000"/>
        </w:rPr>
        <w:t>157</w:t>
      </w:r>
      <w:r>
        <w:rPr>
          <w:rFonts w:ascii="Book Antiqua" w:eastAsia="Book Antiqua" w:hAnsi="Book Antiqua" w:cs="Book Antiqua"/>
          <w:color w:val="000000"/>
        </w:rPr>
        <w:t>: 105-113 [PMID: 23774848 DOI: 10.5507/bp.2013.048]</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Luo X</w:t>
      </w:r>
      <w:r>
        <w:rPr>
          <w:rFonts w:ascii="Book Antiqua" w:eastAsia="Book Antiqua" w:hAnsi="Book Antiqua" w:cs="Book Antiqua"/>
          <w:color w:val="000000"/>
        </w:rPr>
        <w:t xml:space="preserve">, Jiang L, Du B, Wen Y, Wang M, Xi X; Beijing Acute Kidney Injury Trial (BAKIT) workgroup. A comparison of different diagnostic criteria of acute kidney injury in critically ill patients.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R144 [PMID: 25005361 DOI: 10.1186/cc13977]</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Pan HC</w:t>
      </w:r>
      <w:r>
        <w:rPr>
          <w:rFonts w:ascii="Book Antiqua" w:eastAsia="Book Antiqua" w:hAnsi="Book Antiqua" w:cs="Book Antiqua"/>
          <w:color w:val="000000"/>
        </w:rPr>
        <w:t xml:space="preserve">, Chien YS, Jenq CC, Tsai MH, Fan PC, Chang CH, Chang MY, Tian YC, Fang JT, Yang CW, Chen YC. Acute Kidney Injury Classification for Critically Ill Cirrhotic Patients: A Comparison of the KDIGO, AKIN, and RIFLE Classifications.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23022 [PMID: 26983372 DOI: 10.1038/srep23022]</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Rhee C</w:t>
      </w:r>
      <w:r>
        <w:rPr>
          <w:rFonts w:ascii="Book Antiqua" w:eastAsia="Book Antiqua" w:hAnsi="Book Antiqua" w:cs="Book Antiqua"/>
          <w:color w:val="000000"/>
        </w:rPr>
        <w:t xml:space="preserve">, Dantes R, Epstein L, Murphy DJ, Seymour CW, Iwashyna TJ, Kadri SS, Angus DC, Danner RL, Fiore AE, Jernigan JA, Martin GS, Septimus E, Warren DK, Karcz A, Chan C, Menchaca JT, Wang R, Gruber S, Klompas M; CDC Prevention Epicenter Program. Incidence and Trends of Sepsis in US Hospitals Using Clinical </w:t>
      </w:r>
      <w:r>
        <w:rPr>
          <w:rFonts w:ascii="Book Antiqua" w:eastAsia="Book Antiqua" w:hAnsi="Book Antiqua" w:cs="Book Antiqua"/>
          <w:i/>
          <w:iCs/>
          <w:color w:val="000000"/>
        </w:rPr>
        <w:t>vs</w:t>
      </w:r>
      <w:r>
        <w:rPr>
          <w:rFonts w:ascii="Book Antiqua" w:eastAsia="Book Antiqua" w:hAnsi="Book Antiqua" w:cs="Book Antiqua"/>
          <w:color w:val="000000"/>
        </w:rPr>
        <w:t xml:space="preserve"> Claims Data, 2009-2014.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2017; </w:t>
      </w:r>
      <w:r>
        <w:rPr>
          <w:rFonts w:ascii="Book Antiqua" w:eastAsia="Book Antiqua" w:hAnsi="Book Antiqua" w:cs="Book Antiqua"/>
          <w:b/>
          <w:bCs/>
          <w:color w:val="000000"/>
        </w:rPr>
        <w:t>318</w:t>
      </w:r>
      <w:r>
        <w:rPr>
          <w:rFonts w:ascii="Book Antiqua" w:eastAsia="Book Antiqua" w:hAnsi="Book Antiqua" w:cs="Book Antiqua"/>
          <w:color w:val="000000"/>
        </w:rPr>
        <w:t>: 1241-1249 [PMID: 28903154 DOI: 10.1001/jama.2017.13836]</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Lin HY</w:t>
      </w:r>
      <w:r>
        <w:rPr>
          <w:rFonts w:ascii="Book Antiqua" w:eastAsia="Book Antiqua" w:hAnsi="Book Antiqua" w:cs="Book Antiqua"/>
          <w:color w:val="000000"/>
        </w:rPr>
        <w:t xml:space="preserve">, Lai JI, Lai YC, Lin PC, Chang SC, Tang GJ. Acute renal failure in severe pancreatitis: A population-based study. </w:t>
      </w:r>
      <w:r>
        <w:rPr>
          <w:rFonts w:ascii="Book Antiqua" w:eastAsia="Book Antiqua" w:hAnsi="Book Antiqua" w:cs="Book Antiqua"/>
          <w:i/>
          <w:iCs/>
          <w:color w:val="000000"/>
        </w:rPr>
        <w:t>Ups J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116</w:t>
      </w:r>
      <w:r>
        <w:rPr>
          <w:rFonts w:ascii="Book Antiqua" w:eastAsia="Book Antiqua" w:hAnsi="Book Antiqua" w:cs="Book Antiqua"/>
          <w:color w:val="000000"/>
        </w:rPr>
        <w:t>: 155-159 [PMID: 21250932 DOI: 10.3109/03009734.2010.547636]</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Li H</w:t>
      </w:r>
      <w:r>
        <w:rPr>
          <w:rFonts w:ascii="Book Antiqua" w:eastAsia="Book Antiqua" w:hAnsi="Book Antiqua" w:cs="Book Antiqua"/>
          <w:color w:val="000000"/>
        </w:rPr>
        <w:t xml:space="preserve">, Qian Z, Liu Z, Liu X, Han X, Kang H. Risk factors and outcome of acute renal failure in patients with severe acute pancreatitis.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225-229 [PMID: 19781906 DOI: 10.1016/j.jcrc.2009.07.009]</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Gao Y</w:t>
      </w:r>
      <w:r>
        <w:rPr>
          <w:rFonts w:ascii="Book Antiqua" w:eastAsia="Book Antiqua" w:hAnsi="Book Antiqua" w:cs="Book Antiqua"/>
          <w:color w:val="000000"/>
        </w:rPr>
        <w:t xml:space="preserve">, Kang K, Liu H, Kong W, Han Q, Zhang X, Huang R, Qu J, Wang H, Wang S, Liu R, Liu Y, Yu K. GTS-21 attenuates LPS-induced renal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cholinergic anti-inflammatory pathway in mice. </w:t>
      </w:r>
      <w:r>
        <w:rPr>
          <w:rFonts w:ascii="Book Antiqua" w:eastAsia="Book Antiqua" w:hAnsi="Book Antiqua" w:cs="Book Antiqua"/>
          <w:i/>
          <w:iCs/>
          <w:color w:val="000000"/>
        </w:rPr>
        <w:t>Am J Transl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4673-4681 [PMID: 29118926]</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Li PK</w:t>
      </w:r>
      <w:r>
        <w:rPr>
          <w:rFonts w:ascii="Book Antiqua" w:eastAsia="Book Antiqua" w:hAnsi="Book Antiqua" w:cs="Book Antiqua"/>
          <w:color w:val="000000"/>
        </w:rPr>
        <w:t xml:space="preserve">, Burdmann EA, Mehta RL; World Kidney Day Steering Committee 2013. Acute kidney injury: global health alert.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372-376 [PMID: 23302721 DOI: 10.1038/ki.2012.427]</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Zhou J</w:t>
      </w:r>
      <w:r>
        <w:rPr>
          <w:rFonts w:ascii="Book Antiqua" w:eastAsia="Book Antiqua" w:hAnsi="Book Antiqua" w:cs="Book Antiqua"/>
          <w:color w:val="000000"/>
        </w:rPr>
        <w:t xml:space="preserve">, Li Y, Tang Y, Liu F, Yu S, Zhang L, Zeng X, Zhao Y, Fu P. Effect of acute kidney injury on mortality and hospital stay in patient with severe acute pancreatitis. </w:t>
      </w:r>
      <w:r>
        <w:rPr>
          <w:rFonts w:ascii="Book Antiqua" w:eastAsia="Book Antiqua" w:hAnsi="Book Antiqua" w:cs="Book Antiqua"/>
          <w:i/>
          <w:iCs/>
          <w:color w:val="000000"/>
        </w:rPr>
        <w:t>Nephrology (Carlton)</w:t>
      </w:r>
      <w:r>
        <w:rPr>
          <w:rFonts w:ascii="Book Antiqua" w:eastAsia="Book Antiqua" w:hAnsi="Book Antiqua" w:cs="Book Antiqua"/>
          <w:color w:val="000000"/>
        </w:rPr>
        <w:t xml:space="preserve"> 2015; </w:t>
      </w:r>
      <w:r>
        <w:rPr>
          <w:rFonts w:ascii="Book Antiqua" w:eastAsia="Book Antiqua" w:hAnsi="Book Antiqua" w:cs="Book Antiqua"/>
          <w:b/>
          <w:bCs/>
          <w:color w:val="000000"/>
        </w:rPr>
        <w:t>20</w:t>
      </w:r>
      <w:r>
        <w:rPr>
          <w:rFonts w:ascii="Book Antiqua" w:eastAsia="Book Antiqua" w:hAnsi="Book Antiqua" w:cs="Book Antiqua"/>
          <w:color w:val="000000"/>
        </w:rPr>
        <w:t>: 485-491 [PMID: 25726708 DOI: 10.1111/nep.12439]</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Kellum JA</w:t>
      </w:r>
      <w:r>
        <w:rPr>
          <w:rFonts w:ascii="Book Antiqua" w:eastAsia="Book Antiqua" w:hAnsi="Book Antiqua" w:cs="Book Antiqua"/>
          <w:color w:val="000000"/>
        </w:rPr>
        <w:t xml:space="preserve">, Lameire N; KDIGO AKI Guideline Work Group. Diagnosis, evaluation, and management of acute kidney injury: a KDIGO summary (Part 1).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2013; </w:t>
      </w:r>
      <w:r>
        <w:rPr>
          <w:rFonts w:ascii="Book Antiqua" w:eastAsia="Book Antiqua" w:hAnsi="Book Antiqua" w:cs="Book Antiqua"/>
          <w:b/>
          <w:bCs/>
          <w:color w:val="000000"/>
        </w:rPr>
        <w:t>17</w:t>
      </w:r>
      <w:r>
        <w:rPr>
          <w:rFonts w:ascii="Book Antiqua" w:eastAsia="Book Antiqua" w:hAnsi="Book Antiqua" w:cs="Book Antiqua"/>
          <w:color w:val="000000"/>
        </w:rPr>
        <w:t>: 204 [PMID: 23394211 DOI: 10.1186/cc11454]</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Tenner S</w:t>
      </w:r>
      <w:r>
        <w:rPr>
          <w:rFonts w:ascii="Book Antiqua" w:eastAsia="Book Antiqua" w:hAnsi="Book Antiqua" w:cs="Book Antiqua"/>
          <w:color w:val="000000"/>
        </w:rPr>
        <w:t xml:space="preserve">, Baillie J, DeWitt J, Vege SS; American College of Gastroenterology. American College of Gastroenterology guideline: management of acute pancreatitis.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108</w:t>
      </w:r>
      <w:r>
        <w:rPr>
          <w:rFonts w:ascii="Book Antiqua" w:eastAsia="Book Antiqua" w:hAnsi="Book Antiqua" w:cs="Book Antiqua"/>
          <w:color w:val="000000"/>
        </w:rPr>
        <w:t>: 1400-15; 1416 [PMID: 23896955 DOI: 10.1038/ajg.2013.218]</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Ekinci C</w:t>
      </w:r>
      <w:r>
        <w:rPr>
          <w:rFonts w:ascii="Book Antiqua" w:eastAsia="Book Antiqua" w:hAnsi="Book Antiqua" w:cs="Book Antiqua"/>
          <w:color w:val="000000"/>
        </w:rPr>
        <w:t xml:space="preserve">, Karabork M, Siriopol D, Dincer N, Covic A, Kanbay M. Effects of Volume Overload and Current Techniques for the Assessment of Fluid Status in Patients with Renal Disease. </w:t>
      </w:r>
      <w:r>
        <w:rPr>
          <w:rFonts w:ascii="Book Antiqua" w:eastAsia="Book Antiqua" w:hAnsi="Book Antiqua" w:cs="Book Antiqua"/>
          <w:i/>
          <w:iCs/>
          <w:color w:val="000000"/>
        </w:rPr>
        <w:t>Blood Purif</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34-47 [PMID: 29649794 DOI: 10.1159/000487702]</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de-Madaria E</w:t>
      </w:r>
      <w:r>
        <w:rPr>
          <w:rFonts w:ascii="Book Antiqua" w:eastAsia="Book Antiqua" w:hAnsi="Book Antiqua" w:cs="Book Antiqua"/>
          <w:color w:val="000000"/>
        </w:rPr>
        <w:t xml:space="preserve">, Soler-Sala G, Sánchez-Payá J, Lopez-Font I, Martínez J, Gómez-Escolar L, Sempere L, Sánchez-Fortún C, Pérez-Mateo M. Influence of fluid therapy on the prognosis of acute pancreatitis: a prospective cohort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1843-1850 [PMID: 21876561 DOI: 10.1038/ajg.2011.236]</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Crockett SD</w:t>
      </w:r>
      <w:r>
        <w:rPr>
          <w:rFonts w:ascii="Book Antiqua" w:eastAsia="Book Antiqua" w:hAnsi="Book Antiqua" w:cs="Book Antiqua"/>
          <w:color w:val="000000"/>
        </w:rPr>
        <w:t xml:space="preserve">, Wani S, Gardner TB, Falck-Ytter Y, Barkun AN; American Gastroenterological Association Institute Clinical Guidelines Committee. American Gastroenterological Association Institute Guideline on Initial Management of Acute Pancreatitis.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1096-1101 [PMID: 29409760 DOI: 10.1053/j.gastro.2018.01.032]</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Bai Y</w:t>
      </w:r>
      <w:r>
        <w:rPr>
          <w:rFonts w:ascii="Book Antiqua" w:eastAsia="Book Antiqua" w:hAnsi="Book Antiqua" w:cs="Book Antiqua"/>
          <w:color w:val="000000"/>
        </w:rPr>
        <w:t xml:space="preserve">, Gao J, Zou DW, Li ZS. Prophylactic antibiotics cannot reduce infected pancreatic necrosis and mortality in acute necrotizing pancreatitis: evidence from a meta-analysis of randomized controlled trials.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104-110 [PMID: 17925000 DOI: 10.1111/j.1572-0241.2007.01575.x]</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Hollemans RA</w:t>
      </w:r>
      <w:r>
        <w:rPr>
          <w:rFonts w:ascii="Book Antiqua" w:eastAsia="Book Antiqua" w:hAnsi="Book Antiqua" w:cs="Book Antiqua"/>
          <w:color w:val="000000"/>
        </w:rPr>
        <w:t xml:space="preserve">, Bakker OJ, Boermeester MA, Bollen TL, Bosscha K, Bruno MJ, Buskens E, Dejong CH, van Duijvendijk P, van Eijck CH, Fockens P, van Goor H, van Grevenstein WM, van der Harst E, Heisterkamp J, Hesselink EJ, Hofker S, Houdijk AP, Karsten T, Kruyt PM, van Laarhoven CJ, Laméris JS, van Leeuwen MS, Manusama ER, Molenaar IQ, Nieuwenhuijs VB, van Ramshorst B, Roos D, Rosman C, Schaapherder AF, van der Schelling GP, Timmer R, Verdonk RC, de Wit RJ, Gooszen HG, Besselink MG, van Santvoort HC; Dutch Pancreatitis Study Group. Superiority of Step-up Approach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Necrosectomy in Long-term Follow-up of Patients With Necrotizing Pancreatitis.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1016-1026 [PMID: 30391468 DOI: 10.1053/j.gastro.2018.10.045]</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Rashid MU</w:t>
      </w:r>
      <w:r>
        <w:rPr>
          <w:rFonts w:ascii="Book Antiqua" w:eastAsia="Book Antiqua" w:hAnsi="Book Antiqua" w:cs="Book Antiqua"/>
          <w:color w:val="000000"/>
        </w:rPr>
        <w:t xml:space="preserve">, Hussain I, Jehanzeb S, Ullah W, Ali S, Jain AG, Khetpal N, Ahmad S. Pancreatic necrosis: Complications and changing trend of treatment.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198-217 [PMID: 31123558 DOI: 10.4240/wjgs.v11.i4.198]</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Jones JD</w:t>
      </w:r>
      <w:r>
        <w:rPr>
          <w:rFonts w:ascii="Book Antiqua" w:eastAsia="Book Antiqua" w:hAnsi="Book Antiqua" w:cs="Book Antiqua"/>
          <w:color w:val="000000"/>
        </w:rPr>
        <w:t xml:space="preserve">, Clark CJ, Dyer R, Case LD, Mishra G, Pawa R. Analysis of a Step-Up Approach Versus Primary Open Surgical Necrosectomy in the Management of Necrotizing Pancreatitis: Experience in a Cohort of Patients at a US Academic Medical Center.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1317-1321 [PMID: 30211807 DOI: 10.1097/MPA.0000000000001154]</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Koutroumpakis E</w:t>
      </w:r>
      <w:r>
        <w:rPr>
          <w:rFonts w:ascii="Book Antiqua" w:eastAsia="Book Antiqua" w:hAnsi="Book Antiqua" w:cs="Book Antiqua"/>
          <w:color w:val="000000"/>
        </w:rPr>
        <w:t xml:space="preserve">, Slivka A, Furlan A, Dasyam AK, Dudekula A, Greer JB, Whitcomb DC, Yadav D, Papachristou GI. Management and outcomes of acute pancreatitis patients over the last decade: A US tertiary-center experience.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32-40 [PMID: 28341116 DOI: 10.1016/j.pan.2016.10.011]</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Zeng X</w:t>
      </w:r>
      <w:r>
        <w:rPr>
          <w:rFonts w:ascii="Book Antiqua" w:eastAsia="Book Antiqua" w:hAnsi="Book Antiqua" w:cs="Book Antiqua"/>
          <w:color w:val="000000"/>
        </w:rPr>
        <w:t xml:space="preserve">, McMahon GM, Brunelli SM, Bates DW, Waikar SS. Incidence, outcomes, and comparisons across definitions of AKI in hospitalized individuals.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12-20 [PMID: 24178971 DOI: 10.2215/CJN.02730313]</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Lewington AJ</w:t>
      </w:r>
      <w:r>
        <w:rPr>
          <w:rFonts w:ascii="Book Antiqua" w:eastAsia="Book Antiqua" w:hAnsi="Book Antiqua" w:cs="Book Antiqua"/>
          <w:color w:val="000000"/>
        </w:rPr>
        <w:t xml:space="preserve">, Cerdá J, Mehta RL. Raising awareness of acute kidney injury: a global perspective of a silent killer.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84</w:t>
      </w:r>
      <w:r>
        <w:rPr>
          <w:rFonts w:ascii="Book Antiqua" w:eastAsia="Book Antiqua" w:hAnsi="Book Antiqua" w:cs="Book Antiqua"/>
          <w:color w:val="000000"/>
        </w:rPr>
        <w:t>: 457-467 [PMID: 23636171 DOI: 10.1038/ki.2013.153]</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30 </w:t>
      </w:r>
      <w:r>
        <w:rPr>
          <w:rFonts w:ascii="Book Antiqua" w:eastAsia="Book Antiqua" w:hAnsi="Book Antiqua" w:cs="Book Antiqua"/>
          <w:b/>
          <w:bCs/>
          <w:color w:val="000000"/>
        </w:rPr>
        <w:t>Horkan CM</w:t>
      </w:r>
      <w:r>
        <w:rPr>
          <w:rFonts w:ascii="Book Antiqua" w:eastAsia="Book Antiqua" w:hAnsi="Book Antiqua" w:cs="Book Antiqua"/>
          <w:color w:val="000000"/>
        </w:rPr>
        <w:t xml:space="preserve">, Purtle SW, Mendu ML, Moromizato T, Gibbons FK, Christopher KB. The association of acute kidney injury in the critically ill and postdischarge outcomes: a cohort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43</w:t>
      </w:r>
      <w:r>
        <w:rPr>
          <w:rFonts w:ascii="Book Antiqua" w:eastAsia="Book Antiqua" w:hAnsi="Book Antiqua" w:cs="Book Antiqua"/>
          <w:color w:val="000000"/>
        </w:rPr>
        <w:t xml:space="preserve">: 354-364 [PMID: </w:t>
      </w:r>
      <w:bookmarkStart w:id="12" w:name="OLE_LINK3"/>
      <w:r>
        <w:rPr>
          <w:rFonts w:ascii="Book Antiqua" w:eastAsia="Book Antiqua" w:hAnsi="Book Antiqua" w:cs="Book Antiqua"/>
          <w:color w:val="000000"/>
        </w:rPr>
        <w:t>25474534</w:t>
      </w:r>
      <w:bookmarkEnd w:id="12"/>
      <w:r>
        <w:rPr>
          <w:rFonts w:ascii="Book Antiqua" w:eastAsia="Book Antiqua" w:hAnsi="Book Antiqua" w:cs="Book Antiqua"/>
          <w:color w:val="000000"/>
        </w:rPr>
        <w:t xml:space="preserve"> DOI: 10.1097/CCM.0000000000000706]</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Susantitaphong P</w:t>
      </w:r>
      <w:r>
        <w:rPr>
          <w:rFonts w:ascii="Book Antiqua" w:eastAsia="Book Antiqua" w:hAnsi="Book Antiqua" w:cs="Book Antiqua"/>
          <w:color w:val="000000"/>
        </w:rPr>
        <w:t xml:space="preserve">, Cruz DN, Cerda J, Abulfaraj M, Alqahtani F, Koulouridis I, Jaber BL; Acute Kidney Injury Advisory Group of the American Society of Nephrology. World incidence of AKI: a meta-analysis.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1482-1493 [PMID: 23744003 DOI: 10.2215/CJN.00710113]</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32 </w:t>
      </w:r>
      <w:r>
        <w:rPr>
          <w:rFonts w:ascii="Book Antiqua" w:eastAsia="Book Antiqua" w:hAnsi="Book Antiqua" w:cs="Book Antiqua"/>
          <w:b/>
          <w:bCs/>
          <w:color w:val="000000"/>
        </w:rPr>
        <w:t>Wajda J</w:t>
      </w:r>
      <w:r>
        <w:rPr>
          <w:rFonts w:ascii="Book Antiqua" w:eastAsia="Book Antiqua" w:hAnsi="Book Antiqua" w:cs="Book Antiqua"/>
          <w:color w:val="000000"/>
        </w:rPr>
        <w:t xml:space="preserve">, Dumnicka P, Maraj M, Ceranowicz P, Kuźniewski M, Kuśnierz-Cabala B. Potential Prognostic Markers of Acute Kidney Injury in the Early Phase of Acute Pancreatitis.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31366007 DOI: 10.3390/ijms20153714]</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33 </w:t>
      </w:r>
      <w:r>
        <w:rPr>
          <w:rFonts w:ascii="Book Antiqua" w:eastAsia="Book Antiqua" w:hAnsi="Book Antiqua" w:cs="Book Antiqua"/>
          <w:b/>
          <w:bCs/>
          <w:color w:val="000000"/>
        </w:rPr>
        <w:t>Nisula S</w:t>
      </w:r>
      <w:r>
        <w:rPr>
          <w:rFonts w:ascii="Book Antiqua" w:eastAsia="Book Antiqua" w:hAnsi="Book Antiqua" w:cs="Book Antiqua"/>
          <w:color w:val="000000"/>
        </w:rPr>
        <w:t xml:space="preserve">, Kaukonen KM, Vaara ST, Korhonen AM, Poukkanen M, Karlsson S, Haapio M, Inkinen O, Parviainen I, Suojaranta-Ylinen R, Laurila JJ, Tenhunen J, Reinikainen M, Ala-Kokko T, Ruokonen E, Kuitunen A, Pettilä V; FINNAKI Study Group. Incidence, risk factors and 90-day mortality of patients with acute kidney injury in Finnish intensive care units: the FINNAKI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420-428 [PMID: 23291734 DOI: 10.1007/s00134-012-2796-5]</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34 </w:t>
      </w:r>
      <w:r>
        <w:rPr>
          <w:rFonts w:ascii="Book Antiqua" w:eastAsia="Book Antiqua" w:hAnsi="Book Antiqua" w:cs="Book Antiqua"/>
          <w:b/>
          <w:bCs/>
          <w:color w:val="000000"/>
        </w:rPr>
        <w:t>Nassar TI</w:t>
      </w:r>
      <w:r>
        <w:rPr>
          <w:rFonts w:ascii="Book Antiqua" w:eastAsia="Book Antiqua" w:hAnsi="Book Antiqua" w:cs="Book Antiqua"/>
          <w:color w:val="000000"/>
        </w:rPr>
        <w:t xml:space="preserve">, Qunibi WY. AKI Associated with Acute Pancreatitis.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1106-1115 [PMID: 31118209 DOI: 10.2215/CJN.13191118]</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Singh TB</w:t>
      </w:r>
      <w:r>
        <w:rPr>
          <w:rFonts w:ascii="Book Antiqua" w:eastAsia="Book Antiqua" w:hAnsi="Book Antiqua" w:cs="Book Antiqua"/>
          <w:color w:val="000000"/>
        </w:rPr>
        <w:t xml:space="preserve">, Rathore SS, Choudhury TA, Shukla VK, Singh DK, Prakash J. Hospital-acquired acute kidney injury in medical, surgical, and intensive care unit: A comparative study. </w:t>
      </w:r>
      <w:r>
        <w:rPr>
          <w:rFonts w:ascii="Book Antiqua" w:eastAsia="Book Antiqua" w:hAnsi="Book Antiqua" w:cs="Book Antiqua"/>
          <w:i/>
          <w:iCs/>
          <w:color w:val="000000"/>
        </w:rPr>
        <w:t>Indian J Nephrol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24-29 [PMID: 23580801 DOI: 10.4103/0971-4065.107192]</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36 </w:t>
      </w:r>
      <w:r>
        <w:rPr>
          <w:rFonts w:ascii="Book Antiqua" w:eastAsia="Book Antiqua" w:hAnsi="Book Antiqua" w:cs="Book Antiqua"/>
          <w:b/>
          <w:bCs/>
          <w:color w:val="000000"/>
        </w:rPr>
        <w:t>Yang L</w:t>
      </w:r>
      <w:r>
        <w:rPr>
          <w:rFonts w:ascii="Book Antiqua" w:eastAsia="Book Antiqua" w:hAnsi="Book Antiqua" w:cs="Book Antiqua"/>
          <w:color w:val="000000"/>
        </w:rPr>
        <w:t xml:space="preserve">, Xing G, Wang L, Wu Y, Li S, Xu G, He Q, Chen J, Chen M, Liu X, Zhu Z, Yang L, Lian X, Ding F, Li Y, Wang H, Wang J, Wang R, Mei C, Xu J, Li R, Cao J, Zhang L, Wang Y, Xu J, Bao B, Liu B, Chen H, Li S, Zha Y, Luo Q, Chen D, Shen Y, Liao Y, Zhang Z, Wang X, Zhang K, Liu L, Mao P, Guo C, Li J, Wang Z, Bai S, Shi S, Wang Y, Wang J, Liu Z, Wang F, Huang D, Wang S, Ge S, Shen Q, Zhang P, Wu L, Pan M, Zou X, Zhu P, Zhao J, Zhou M, Yang L, Hu W, Wang J, Liu B, Zhang T, Han J, Wen T, Zhao M, Wang H; ISN AKF 0by25 China Consortiums. Acute kidney injury in China: a cross-sectional survey.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1465-1471 [PMID: 26466051 DOI: 10.1016/S0140-6736(15)00344-X]</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37 </w:t>
      </w:r>
      <w:r>
        <w:rPr>
          <w:rFonts w:ascii="Book Antiqua" w:eastAsia="Book Antiqua" w:hAnsi="Book Antiqua" w:cs="Book Antiqua"/>
          <w:b/>
          <w:bCs/>
          <w:color w:val="000000"/>
        </w:rPr>
        <w:t>Hoste EA</w:t>
      </w:r>
      <w:r>
        <w:rPr>
          <w:rFonts w:ascii="Book Antiqua" w:eastAsia="Book Antiqua" w:hAnsi="Book Antiqua" w:cs="Book Antiqua"/>
          <w:color w:val="000000"/>
        </w:rPr>
        <w:t xml:space="preserve">, Bagshaw SM, Bellomo R, Cely CM, Colman R, Cruz DN, Edipidis K, Forni LG, Gomersall CD, Govil D, Honoré PM, Joannes-Boyau O, Joannidis M, Korhonen AM, Lavrentieva A, Mehta RL, Palevsky P, Roessler E, Ronco C, Uchino S, Vazquez JA, Vidal Andrade E, Webb S, Kellum JA. Epidemiology of acute kidney injury in critically ill patients: the multinational AKI-EPI study.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41</w:t>
      </w:r>
      <w:r>
        <w:rPr>
          <w:rFonts w:ascii="Book Antiqua" w:eastAsia="Book Antiqua" w:hAnsi="Book Antiqua" w:cs="Book Antiqua"/>
          <w:color w:val="000000"/>
        </w:rPr>
        <w:t>: 1411-1423 [PMID: 26162677 DOI: 10.1007/s00134-015-3934-7]</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Clark WR</w:t>
      </w:r>
      <w:r>
        <w:rPr>
          <w:rFonts w:ascii="Book Antiqua" w:eastAsia="Book Antiqua" w:hAnsi="Book Antiqua" w:cs="Book Antiqua"/>
          <w:color w:val="000000"/>
        </w:rPr>
        <w:t xml:space="preserve">, Ding X, Qiu H, Ni Z, Chang P, Fu P, Xu J, Wang M, Yang L, Wang J, Ronco C. Renal replacement therapy practices for patients with acute kidney injury in China.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e0178509 [PMID: 28692694 DOI: 10.1371/journal.pone.0178509]</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39 </w:t>
      </w:r>
      <w:r>
        <w:rPr>
          <w:rFonts w:ascii="Book Antiqua" w:eastAsia="Book Antiqua" w:hAnsi="Book Antiqua" w:cs="Book Antiqua"/>
          <w:b/>
          <w:bCs/>
          <w:color w:val="000000"/>
        </w:rPr>
        <w:t>Wang F</w:t>
      </w:r>
      <w:r>
        <w:rPr>
          <w:rFonts w:ascii="Book Antiqua" w:eastAsia="Book Antiqua" w:hAnsi="Book Antiqua" w:cs="Book Antiqua"/>
          <w:color w:val="000000"/>
        </w:rPr>
        <w:t xml:space="preserve">, Hong D, Wang Y, Feng Y, Wang L, Yang L; ISN AKF 0 by 25 China Consortium. Renal replacement therapy in acute kidney injury from a Chinese cross-sectional study: patient, clinical, socioeconomic and health service predictors of treatment.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152 [PMID: 28472927 DOI: 10.1186/s12882-017-0567-9]</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40 </w:t>
      </w:r>
      <w:r>
        <w:rPr>
          <w:rFonts w:ascii="Book Antiqua" w:eastAsia="Book Antiqua" w:hAnsi="Book Antiqua" w:cs="Book Antiqua"/>
          <w:b/>
          <w:bCs/>
          <w:color w:val="000000"/>
        </w:rPr>
        <w:t>Schneider AG</w:t>
      </w:r>
      <w:r>
        <w:rPr>
          <w:rFonts w:ascii="Book Antiqua" w:eastAsia="Book Antiqua" w:hAnsi="Book Antiqua" w:cs="Book Antiqua"/>
          <w:color w:val="000000"/>
        </w:rPr>
        <w:t xml:space="preserve">, Bellomo R, Bagshaw SM, Glassford NJ, Lo S, Jun M, Cass A, Gallagher M. Choice of renal replacement therapy modality and dialysis dependence after acute kidney injury: a systematic review and meta-analysis.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39</w:t>
      </w:r>
      <w:r>
        <w:rPr>
          <w:rFonts w:ascii="Book Antiqua" w:eastAsia="Book Antiqua" w:hAnsi="Book Antiqua" w:cs="Book Antiqua"/>
          <w:color w:val="000000"/>
        </w:rPr>
        <w:t>: 987-997 [PMID: 23443311 DOI: 10.1007/s00134-013-2864-5]</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Heung M</w:t>
      </w:r>
      <w:r>
        <w:rPr>
          <w:rFonts w:ascii="Book Antiqua" w:eastAsia="Book Antiqua" w:hAnsi="Book Antiqua" w:cs="Book Antiqua"/>
          <w:color w:val="000000"/>
        </w:rPr>
        <w:t xml:space="preserve">, Yessayan L. Renal Replacement Therapy in Acute Kidney Injury: Controversies and Consensus. </w:t>
      </w:r>
      <w:r>
        <w:rPr>
          <w:rFonts w:ascii="Book Antiqua" w:eastAsia="Book Antiqua" w:hAnsi="Book Antiqua" w:cs="Book Antiqua"/>
          <w:i/>
          <w:iCs/>
          <w:color w:val="000000"/>
        </w:rPr>
        <w:t>Crit Care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365-378 [PMID: 28284300 DOI: 10.1016/j.ccc.2016.12.003]</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42 </w:t>
      </w:r>
      <w:r>
        <w:rPr>
          <w:rFonts w:ascii="Book Antiqua" w:eastAsia="Book Antiqua" w:hAnsi="Book Antiqua" w:cs="Book Antiqua"/>
          <w:b/>
          <w:bCs/>
          <w:color w:val="000000"/>
        </w:rPr>
        <w:t>Gao Y</w:t>
      </w:r>
      <w:r>
        <w:rPr>
          <w:rFonts w:ascii="Book Antiqua" w:eastAsia="Book Antiqua" w:hAnsi="Book Antiqua" w:cs="Book Antiqua"/>
          <w:color w:val="000000"/>
        </w:rPr>
        <w:t xml:space="preserve">, Qi ZD, Liu RJ, Liu HT, Han QY, Zhang X, Huang R, Li M, Yang ZY, Zheng JB, Qu JD, Wang SC, Liu YS, Wang HL, Yu KJ. A multi-center cross-sectional study on blood purification among adult patients in intensive care unit in China: a study protocol.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132</w:t>
      </w:r>
      <w:r>
        <w:rPr>
          <w:rFonts w:ascii="Book Antiqua" w:eastAsia="Book Antiqua" w:hAnsi="Book Antiqua" w:cs="Book Antiqua"/>
          <w:color w:val="000000"/>
        </w:rPr>
        <w:t>: 1208-1211 [PMID: 30882465 DOI: 10.1097/CM9.0000000000000180]</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Cao Y, Pan CK, Han QY, Guo YQ, Song T, Qi ZD, Huang R, Li M, Yang ZY, Zheng JB, Hou GY, Li JY, Wang SC, Liu YS, Liu RJ, Gao Y, Wang HL. Effect of initiation of renal replacement therapy on mortality in acute pancreatitis patients.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e23413 [PMID: 33217887 DOI: 10.1097/MD.0000000000023413]</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Mikó A</w:t>
      </w:r>
      <w:r>
        <w:rPr>
          <w:rFonts w:ascii="Book Antiqua" w:eastAsia="Book Antiqua" w:hAnsi="Book Antiqua" w:cs="Book Antiqua"/>
          <w:color w:val="000000"/>
        </w:rPr>
        <w:t xml:space="preserve">, Vigh É, Mátrai P, Soós A, Garami A, Balaskó M, Czakó L, Mosdósi B, Sarlós P, Erőss B, Tenk J, Rostás I, Hegyi P. Computed Tomography Severity Index vs. Other Indices in the Prediction of Severity and Mortality in Acute Pancreatitis: A Predictive Accuracy Meta-analysis.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1002 [PMID: 31507427 DOI: 10.3389/fphys.2019.01002]</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45 </w:t>
      </w:r>
      <w:r>
        <w:rPr>
          <w:rFonts w:ascii="Book Antiqua" w:eastAsia="Book Antiqua" w:hAnsi="Book Antiqua" w:cs="Book Antiqua"/>
          <w:b/>
          <w:bCs/>
          <w:color w:val="000000"/>
        </w:rPr>
        <w:t>Handschu R</w:t>
      </w:r>
      <w:r>
        <w:rPr>
          <w:rFonts w:ascii="Book Antiqua" w:eastAsia="Book Antiqua" w:hAnsi="Book Antiqua" w:cs="Book Antiqua"/>
          <w:color w:val="000000"/>
        </w:rPr>
        <w:t xml:space="preserve">, Haslbeck M, Hartmann A, Fellgiebel A, Kolominsky-Rabas P, Schneider D, Berrouschot J, Erbguth F, Reulbach U. Mortality prediction in critical care for acute stroke: Severity of illness-score or coma-scale?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252</w:t>
      </w:r>
      <w:r>
        <w:rPr>
          <w:rFonts w:ascii="Book Antiqua" w:eastAsia="Book Antiqua" w:hAnsi="Book Antiqua" w:cs="Book Antiqua"/>
          <w:color w:val="000000"/>
        </w:rPr>
        <w:t>: 1249-1254 [PMID: 15917980 DOI: 10.1007/s00415-005-0853-5]</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46 </w:t>
      </w:r>
      <w:r>
        <w:rPr>
          <w:rFonts w:ascii="Book Antiqua" w:eastAsia="Book Antiqua" w:hAnsi="Book Antiqua" w:cs="Book Antiqua"/>
          <w:b/>
          <w:bCs/>
          <w:color w:val="000000"/>
        </w:rPr>
        <w:t>Huang KB</w:t>
      </w:r>
      <w:r>
        <w:rPr>
          <w:rFonts w:ascii="Book Antiqua" w:eastAsia="Book Antiqua" w:hAnsi="Book Antiqua" w:cs="Book Antiqua"/>
          <w:color w:val="000000"/>
        </w:rPr>
        <w:t xml:space="preserve">, Ji Z, Wu YM, Wang SN, Lin ZZ, Pan SY. The prediction of 30-day mortality in patients with primary pontine hemorrhage: a scoring system comparison. </w:t>
      </w:r>
      <w:r>
        <w:rPr>
          <w:rFonts w:ascii="Book Antiqua" w:eastAsia="Book Antiqua" w:hAnsi="Book Antiqua" w:cs="Book Antiqua"/>
          <w:i/>
          <w:iCs/>
          <w:color w:val="000000"/>
        </w:rPr>
        <w:t>Eur J Neurol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w:t>
      </w:r>
      <w:r>
        <w:rPr>
          <w:rFonts w:ascii="Book Antiqua" w:eastAsia="Book Antiqua" w:hAnsi="Book Antiqua" w:cs="Book Antiqua"/>
          <w:color w:val="000000"/>
        </w:rPr>
        <w:t>: 1245-1250 [PMID: 22524995 DOI: 10.1111/j.1468-1331.2012.03724.x]</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47 </w:t>
      </w:r>
      <w:r>
        <w:rPr>
          <w:rFonts w:ascii="Book Antiqua" w:eastAsia="Book Antiqua" w:hAnsi="Book Antiqua" w:cs="Book Antiqua"/>
          <w:b/>
          <w:bCs/>
          <w:color w:val="000000"/>
        </w:rPr>
        <w:t>Fischer AJ</w:t>
      </w:r>
      <w:r>
        <w:rPr>
          <w:rFonts w:ascii="Book Antiqua" w:eastAsia="Book Antiqua" w:hAnsi="Book Antiqua" w:cs="Book Antiqua"/>
          <w:color w:val="000000"/>
        </w:rPr>
        <w:t xml:space="preserve">, Andreottola F, Lenz P, Lebiedz P. [Acute pancreatitis in intensive care medicine: Which risk score is useful?]. </w:t>
      </w:r>
      <w:r>
        <w:rPr>
          <w:rFonts w:ascii="Book Antiqua" w:eastAsia="Book Antiqua" w:hAnsi="Book Antiqua" w:cs="Book Antiqua"/>
          <w:i/>
          <w:iCs/>
          <w:color w:val="000000"/>
        </w:rPr>
        <w:t>Med Klin Intensivmed Notfmed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717-723 [PMID: 28144728 DOI: 10.1007/s00063-017-0260-6]</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48 </w:t>
      </w:r>
      <w:r>
        <w:rPr>
          <w:rFonts w:ascii="Book Antiqua" w:eastAsia="Book Antiqua" w:hAnsi="Book Antiqua" w:cs="Book Antiqua"/>
          <w:b/>
          <w:bCs/>
          <w:color w:val="000000"/>
        </w:rPr>
        <w:t>Jain S</w:t>
      </w:r>
      <w:r>
        <w:rPr>
          <w:rFonts w:ascii="Book Antiqua" w:eastAsia="Book Antiqua" w:hAnsi="Book Antiqua" w:cs="Book Antiqua"/>
          <w:color w:val="000000"/>
        </w:rPr>
        <w:t xml:space="preserve">, Sinha S, Sharma SK, Samantaray JC, Aggrawal P, Vikram NK, Biswas A, Sood S, Goel M, Das M, Vishnubhatla S, Khan N. Procalcitonin as a prognostic marker for sepsis: a prospective observational study.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458 [PMID: 25034373 DOI: 10.1186/1756-0500-7-458]</w:t>
      </w:r>
    </w:p>
    <w:p w:rsidR="002D21BA" w:rsidRDefault="004A1A23">
      <w:pPr>
        <w:spacing w:line="360" w:lineRule="auto"/>
        <w:jc w:val="both"/>
        <w:rPr>
          <w:rFonts w:ascii="Book Antiqua" w:hAnsi="Book Antiqua"/>
        </w:rPr>
      </w:pPr>
      <w:r>
        <w:rPr>
          <w:rFonts w:ascii="Book Antiqua" w:eastAsia="Book Antiqua" w:hAnsi="Book Antiqua" w:cs="Book Antiqua"/>
          <w:color w:val="000000"/>
        </w:rPr>
        <w:t xml:space="preserve">49 </w:t>
      </w:r>
      <w:r>
        <w:rPr>
          <w:rFonts w:ascii="Book Antiqua" w:eastAsia="Book Antiqua" w:hAnsi="Book Antiqua" w:cs="Book Antiqua"/>
          <w:b/>
          <w:bCs/>
          <w:color w:val="000000"/>
        </w:rPr>
        <w:t>Kefeli A</w:t>
      </w:r>
      <w:r>
        <w:rPr>
          <w:rFonts w:ascii="Book Antiqua" w:eastAsia="Book Antiqua" w:hAnsi="Book Antiqua" w:cs="Book Antiqua"/>
          <w:color w:val="000000"/>
        </w:rPr>
        <w:t xml:space="preserve">, Basyigit S, Özgür Yeniova A, Küçükazman M, Nazligül Y, Aktas B. Platelet Number and Indexes during Acute Pancreatitis. </w:t>
      </w:r>
      <w:r>
        <w:rPr>
          <w:rFonts w:ascii="Book Antiqua" w:eastAsia="Book Antiqua" w:hAnsi="Book Antiqua" w:cs="Book Antiqua"/>
          <w:i/>
          <w:iCs/>
          <w:color w:val="000000"/>
        </w:rPr>
        <w:t>Euroasian J Hepatogastroenterol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67-69 [PMID: 29699350 DOI: 10.5005/ip-journals-10018-1104]</w:t>
      </w:r>
    </w:p>
    <w:bookmarkEnd w:id="10"/>
    <w:p w:rsidR="002D21BA" w:rsidRDefault="002D21BA">
      <w:pPr>
        <w:spacing w:line="360" w:lineRule="auto"/>
        <w:jc w:val="both"/>
        <w:rPr>
          <w:rFonts w:ascii="Book Antiqua" w:hAnsi="Book Antiqua"/>
        </w:rPr>
        <w:sectPr w:rsidR="002D21BA">
          <w:pgSz w:w="12240" w:h="15840"/>
          <w:pgMar w:top="1440" w:right="1440" w:bottom="1440" w:left="1440" w:header="720" w:footer="720" w:gutter="0"/>
          <w:cols w:space="720"/>
          <w:docGrid w:linePitch="360"/>
        </w:sectPr>
      </w:pPr>
    </w:p>
    <w:p w:rsidR="002D21BA" w:rsidRDefault="004A1A23">
      <w:pPr>
        <w:spacing w:line="360" w:lineRule="auto"/>
        <w:jc w:val="both"/>
        <w:rPr>
          <w:rFonts w:ascii="Book Antiqua" w:hAnsi="Book Antiqua"/>
        </w:rPr>
      </w:pPr>
      <w:r>
        <w:rPr>
          <w:rFonts w:ascii="Book Antiqua" w:eastAsia="Book Antiqua" w:hAnsi="Book Antiqua" w:cs="Book Antiqua"/>
          <w:b/>
          <w:color w:val="000000"/>
        </w:rPr>
        <w:t>Footnotes</w:t>
      </w:r>
    </w:p>
    <w:p w:rsidR="002D21BA" w:rsidRDefault="004A1A23">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hAnsi="Book Antiqua"/>
        </w:rPr>
        <w:t xml:space="preserve">This study was approved by the Ethics Committee of </w:t>
      </w:r>
      <w:r>
        <w:rPr>
          <w:rFonts w:ascii="Book Antiqua" w:hAnsi="Book Antiqua"/>
          <w:lang w:eastAsia="zh-CN"/>
        </w:rPr>
        <w:t>T</w:t>
      </w:r>
      <w:r>
        <w:rPr>
          <w:rFonts w:ascii="Book Antiqua" w:hAnsi="Book Antiqua"/>
        </w:rPr>
        <w:t>he Second Affiliated Hospital of Harbin Medical University.</w:t>
      </w:r>
    </w:p>
    <w:p w:rsidR="002D21BA" w:rsidRDefault="002D21BA">
      <w:pPr>
        <w:spacing w:line="360" w:lineRule="auto"/>
        <w:jc w:val="both"/>
        <w:rPr>
          <w:rFonts w:ascii="Book Antiqua" w:eastAsia="Book Antiqua" w:hAnsi="Book Antiqua" w:cs="Book Antiqua"/>
          <w:b/>
          <w:bCs/>
          <w:color w:val="000000"/>
        </w:rPr>
      </w:pPr>
    </w:p>
    <w:p w:rsidR="002D21BA" w:rsidRDefault="004A1A23">
      <w:pPr>
        <w:spacing w:line="360" w:lineRule="auto"/>
        <w:jc w:val="both"/>
        <w:rPr>
          <w:rFonts w:ascii="Book Antiqua" w:eastAsia="Book Antiqua" w:hAnsi="Book Antiqua" w:cs="Book Antiqua"/>
          <w:b/>
          <w:bCs/>
          <w:color w:val="000000"/>
        </w:rPr>
      </w:pPr>
      <w:r>
        <w:rPr>
          <w:rFonts w:ascii="Book Antiqua" w:hAnsi="Book Antiqua"/>
          <w:b/>
        </w:rPr>
        <w:t>Informed consent statement</w:t>
      </w:r>
      <w:r>
        <w:rPr>
          <w:rFonts w:ascii="Book Antiqua" w:hAnsi="Book Antiqua"/>
          <w:b/>
          <w:iCs/>
          <w:color w:val="000000"/>
        </w:rPr>
        <w:t>:</w:t>
      </w:r>
      <w:r>
        <w:rPr>
          <w:rFonts w:ascii="Book Antiqua" w:hAnsi="Book Antiqua" w:cs="Book Antiqua"/>
          <w:b/>
          <w:bCs/>
          <w:color w:val="000000"/>
          <w:lang w:eastAsia="zh-CN"/>
        </w:rPr>
        <w:t xml:space="preserve"> </w:t>
      </w:r>
      <w:r>
        <w:rPr>
          <w:rFonts w:ascii="Book Antiqua" w:eastAsia="Book Antiqua" w:hAnsi="Book Antiqua" w:cs="Book Antiqua"/>
          <w:color w:val="000000"/>
        </w:rPr>
        <w:t>Due to the nature of retrospective study, the written informed consent of this study was waived.</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4, 2021</w:t>
      </w:r>
    </w:p>
    <w:p w:rsidR="002D21BA" w:rsidRDefault="004A1A23">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5, 2021</w:t>
      </w:r>
    </w:p>
    <w:p w:rsidR="002D21BA" w:rsidRDefault="004A1A23">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宋体" w:hAnsi="Book Antiqua" w:hint="eastAsia"/>
          <w:color w:val="000000" w:themeColor="text1"/>
        </w:rPr>
        <w:t>Au</w:t>
      </w:r>
      <w:r>
        <w:rPr>
          <w:rFonts w:ascii="Book Antiqua" w:eastAsia="宋体" w:hAnsi="Book Antiqua"/>
          <w:color w:val="000000" w:themeColor="text1"/>
        </w:rPr>
        <w:t>gust 23, 2021</w:t>
      </w:r>
    </w:p>
    <w:p w:rsidR="002D21BA" w:rsidRDefault="002D21BA">
      <w:pPr>
        <w:spacing w:line="360" w:lineRule="auto"/>
        <w:jc w:val="both"/>
        <w:rPr>
          <w:rFonts w:ascii="Book Antiqua" w:hAnsi="Book Antiqua"/>
        </w:rPr>
      </w:pPr>
    </w:p>
    <w:p w:rsidR="002D21BA" w:rsidRDefault="004A1A23">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rsidR="002D21BA" w:rsidRDefault="004A1A23">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2D21BA" w:rsidRDefault="004A1A23">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2D21BA" w:rsidRDefault="004A1A23">
      <w:pPr>
        <w:spacing w:line="360" w:lineRule="auto"/>
        <w:jc w:val="both"/>
        <w:rPr>
          <w:rFonts w:ascii="Book Antiqua" w:hAnsi="Book Antiqua"/>
        </w:rPr>
      </w:pPr>
      <w:r>
        <w:rPr>
          <w:rFonts w:ascii="Book Antiqua" w:eastAsia="Book Antiqua" w:hAnsi="Book Antiqua" w:cs="Book Antiqua"/>
          <w:color w:val="000000"/>
        </w:rPr>
        <w:t>Grade A (Excellent): A</w:t>
      </w:r>
    </w:p>
    <w:p w:rsidR="002D21BA" w:rsidRDefault="004A1A23">
      <w:pPr>
        <w:spacing w:line="360" w:lineRule="auto"/>
        <w:jc w:val="both"/>
        <w:rPr>
          <w:rFonts w:ascii="Book Antiqua" w:hAnsi="Book Antiqua"/>
        </w:rPr>
      </w:pPr>
      <w:r>
        <w:rPr>
          <w:rFonts w:ascii="Book Antiqua" w:eastAsia="Book Antiqua" w:hAnsi="Book Antiqua" w:cs="Book Antiqua"/>
          <w:color w:val="000000"/>
        </w:rPr>
        <w:t>Grade B (Very good): B</w:t>
      </w:r>
    </w:p>
    <w:p w:rsidR="002D21BA" w:rsidRDefault="004A1A23">
      <w:pPr>
        <w:spacing w:line="360" w:lineRule="auto"/>
        <w:jc w:val="both"/>
        <w:rPr>
          <w:rFonts w:ascii="Book Antiqua" w:hAnsi="Book Antiqua"/>
        </w:rPr>
      </w:pPr>
      <w:r>
        <w:rPr>
          <w:rFonts w:ascii="Book Antiqua" w:eastAsia="Book Antiqua" w:hAnsi="Book Antiqua" w:cs="Book Antiqua"/>
          <w:color w:val="000000"/>
        </w:rPr>
        <w:t>Grade C (Good): 0</w:t>
      </w:r>
    </w:p>
    <w:p w:rsidR="002D21BA" w:rsidRDefault="004A1A23">
      <w:pPr>
        <w:spacing w:line="360" w:lineRule="auto"/>
        <w:jc w:val="both"/>
        <w:rPr>
          <w:rFonts w:ascii="Book Antiqua" w:hAnsi="Book Antiqua"/>
        </w:rPr>
      </w:pPr>
      <w:r>
        <w:rPr>
          <w:rFonts w:ascii="Book Antiqua" w:eastAsia="Book Antiqua" w:hAnsi="Book Antiqua" w:cs="Book Antiqua"/>
          <w:color w:val="000000"/>
        </w:rPr>
        <w:t>Grade D (Fair): 0</w:t>
      </w:r>
    </w:p>
    <w:p w:rsidR="002D21BA" w:rsidRDefault="004A1A23">
      <w:pPr>
        <w:spacing w:line="360" w:lineRule="auto"/>
        <w:jc w:val="both"/>
        <w:rPr>
          <w:rFonts w:ascii="Book Antiqua" w:hAnsi="Book Antiqua"/>
        </w:rPr>
      </w:pPr>
      <w:r>
        <w:rPr>
          <w:rFonts w:ascii="Book Antiqua" w:eastAsia="Book Antiqua" w:hAnsi="Book Antiqua" w:cs="Book Antiqua"/>
          <w:color w:val="000000"/>
        </w:rPr>
        <w:t>Grade E (Poor): 0</w:t>
      </w:r>
    </w:p>
    <w:p w:rsidR="002D21BA" w:rsidRDefault="002D21BA">
      <w:pPr>
        <w:spacing w:line="360" w:lineRule="auto"/>
        <w:jc w:val="both"/>
        <w:rPr>
          <w:rFonts w:ascii="Book Antiqua" w:hAnsi="Book Antiqua"/>
        </w:rPr>
      </w:pPr>
    </w:p>
    <w:p w:rsidR="002D21BA" w:rsidRDefault="004A1A23">
      <w:pPr>
        <w:spacing w:line="360" w:lineRule="auto"/>
        <w:rPr>
          <w:rFonts w:ascii="Book Antiqua" w:hAnsi="Book Antiqua"/>
        </w:rPr>
        <w:sectPr w:rsidR="002D21BA">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Deepak P, Zimmerman M</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Book Antiqua" w:hAnsi="Book Antiqua" w:cs="Book Antiqua"/>
          <w:color w:val="000000"/>
        </w:rPr>
        <w:t>Xing YX</w:t>
      </w:r>
    </w:p>
    <w:p w:rsidR="002D21BA" w:rsidRDefault="004A1A23">
      <w:pPr>
        <w:spacing w:line="360" w:lineRule="auto"/>
        <w:jc w:val="both"/>
        <w:rPr>
          <w:rFonts w:ascii="Book Antiqua" w:hAnsi="Book Antiqua"/>
        </w:rPr>
      </w:pPr>
      <w:r>
        <w:rPr>
          <w:rFonts w:ascii="Book Antiqua" w:eastAsia="Book Antiqua" w:hAnsi="Book Antiqua" w:cs="Book Antiqua"/>
          <w:b/>
          <w:color w:val="000000"/>
        </w:rPr>
        <w:t>Figure Legends</w:t>
      </w:r>
    </w:p>
    <w:p w:rsidR="002D21BA" w:rsidRDefault="004A1A23">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7FD2CAFE" wp14:editId="54C265F6">
            <wp:extent cx="4305300" cy="3771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305673" cy="3772227"/>
                    </a:xfrm>
                    <a:prstGeom prst="rect">
                      <a:avLst/>
                    </a:prstGeom>
                  </pic:spPr>
                </pic:pic>
              </a:graphicData>
            </a:graphic>
          </wp:inline>
        </w:drawing>
      </w:r>
    </w:p>
    <w:p w:rsidR="002D21BA" w:rsidRDefault="004A1A2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The receiver operating characteristic curve of these four factors </w:t>
      </w:r>
      <w:r>
        <w:rPr>
          <w:rFonts w:ascii="Book Antiqua" w:eastAsia="宋体" w:hAnsi="Book Antiqua" w:cs="Book Antiqua"/>
          <w:b/>
          <w:bCs/>
          <w:color w:val="000000"/>
          <w:lang w:eastAsia="zh-CN"/>
        </w:rPr>
        <w:t xml:space="preserve">related to acute pancreatitis patients </w:t>
      </w:r>
      <w:r>
        <w:rPr>
          <w:rFonts w:ascii="Book Antiqua" w:eastAsia="Book Antiqua" w:hAnsi="Book Antiqua" w:cs="Book Antiqua"/>
          <w:b/>
          <w:bCs/>
          <w:color w:val="000000"/>
        </w:rPr>
        <w:t xml:space="preserve">without or with acute kidney injury. </w:t>
      </w:r>
      <w:r>
        <w:rPr>
          <w:rFonts w:ascii="Book Antiqua" w:eastAsia="Book Antiqua" w:hAnsi="Book Antiqua" w:cs="Book Antiqua"/>
          <w:color w:val="000000"/>
        </w:rPr>
        <w:t xml:space="preserve">AKI: Acute kidney injury; ROC: Receiver operating characteristic. </w:t>
      </w:r>
    </w:p>
    <w:p w:rsidR="002D21BA" w:rsidRDefault="004A1A23">
      <w:pPr>
        <w:tabs>
          <w:tab w:val="left" w:pos="3494"/>
        </w:tabs>
        <w:adjustRightInd w:val="0"/>
        <w:snapToGrid w:val="0"/>
        <w:spacing w:line="360" w:lineRule="auto"/>
        <w:rPr>
          <w:rFonts w:ascii="Book Antiqua" w:hAnsi="Book Antiqua"/>
          <w:b/>
          <w:bCs/>
        </w:rPr>
      </w:pPr>
      <w:r>
        <w:rPr>
          <w:rFonts w:ascii="Book Antiqua" w:eastAsia="Book Antiqua" w:hAnsi="Book Antiqua" w:cs="Book Antiqua"/>
          <w:color w:val="000000"/>
        </w:rPr>
        <w:br w:type="page"/>
      </w:r>
      <w:r>
        <w:rPr>
          <w:rFonts w:ascii="Book Antiqua" w:hAnsi="Book Antiqua"/>
          <w:b/>
          <w:bCs/>
        </w:rPr>
        <w:t xml:space="preserve">Table 1 Baseline </w:t>
      </w:r>
      <w:r>
        <w:rPr>
          <w:rFonts w:ascii="Book Antiqua" w:hAnsi="Book Antiqua"/>
          <w:b/>
          <w:bCs/>
          <w:lang w:eastAsia="zh-CN"/>
        </w:rPr>
        <w:t xml:space="preserve">and clinical </w:t>
      </w:r>
      <w:r>
        <w:rPr>
          <w:rFonts w:ascii="Book Antiqua" w:hAnsi="Book Antiqua"/>
          <w:b/>
          <w:bCs/>
        </w:rPr>
        <w:t>data of patients</w:t>
      </w:r>
    </w:p>
    <w:tbl>
      <w:tblPr>
        <w:tblW w:w="12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1820"/>
        <w:gridCol w:w="2449"/>
        <w:gridCol w:w="1235"/>
        <w:gridCol w:w="3056"/>
      </w:tblGrid>
      <w:tr w:rsidR="002D21BA" w:rsidTr="007B49F6">
        <w:trPr>
          <w:trHeight w:val="400"/>
        </w:trPr>
        <w:tc>
          <w:tcPr>
            <w:tcW w:w="4082" w:type="dxa"/>
            <w:shd w:val="clear" w:color="auto" w:fill="auto"/>
            <w:noWrap/>
            <w:vAlign w:val="center"/>
          </w:tcPr>
          <w:p w:rsidR="002D21BA" w:rsidRDefault="002D21BA">
            <w:pPr>
              <w:adjustRightInd w:val="0"/>
              <w:snapToGrid w:val="0"/>
              <w:spacing w:line="360" w:lineRule="auto"/>
              <w:ind w:firstLine="550"/>
              <w:jc w:val="both"/>
              <w:rPr>
                <w:rFonts w:ascii="Book Antiqua" w:hAnsi="Book Antiqua"/>
                <w:color w:val="000000"/>
              </w:rPr>
            </w:pPr>
          </w:p>
        </w:tc>
        <w:tc>
          <w:tcPr>
            <w:tcW w:w="1820" w:type="dxa"/>
            <w:shd w:val="clear" w:color="auto" w:fill="auto"/>
            <w:noWrap/>
            <w:vAlign w:val="center"/>
          </w:tcPr>
          <w:p w:rsidR="002D21BA" w:rsidRDefault="004A1A23">
            <w:pPr>
              <w:adjustRightInd w:val="0"/>
              <w:snapToGrid w:val="0"/>
              <w:spacing w:line="360" w:lineRule="auto"/>
              <w:jc w:val="both"/>
              <w:rPr>
                <w:rFonts w:ascii="Book Antiqua" w:hAnsi="Book Antiqua"/>
                <w:b/>
                <w:bCs/>
                <w:color w:val="000000"/>
              </w:rPr>
            </w:pPr>
            <w:r>
              <w:rPr>
                <w:rFonts w:ascii="Book Antiqua" w:hAnsi="Book Antiqua"/>
                <w:b/>
                <w:bCs/>
                <w:color w:val="000000" w:themeColor="text1"/>
                <w:lang w:eastAsia="zh-CN"/>
              </w:rPr>
              <w:t>AKI</w:t>
            </w:r>
            <w:r>
              <w:rPr>
                <w:rFonts w:ascii="Book Antiqua" w:hAnsi="Book Antiqua"/>
                <w:b/>
                <w:bCs/>
                <w:color w:val="000000" w:themeColor="text1"/>
              </w:rPr>
              <w:t xml:space="preserve"> </w:t>
            </w:r>
            <w:r>
              <w:rPr>
                <w:rFonts w:ascii="Book Antiqua" w:hAnsi="Book Antiqua"/>
                <w:b/>
                <w:bCs/>
                <w:color w:val="000000"/>
              </w:rPr>
              <w:t>(</w:t>
            </w:r>
            <w:r>
              <w:rPr>
                <w:rFonts w:ascii="Book Antiqua" w:hAnsi="Book Antiqua"/>
                <w:b/>
                <w:bCs/>
                <w:i/>
                <w:iCs/>
                <w:color w:val="000000"/>
              </w:rPr>
              <w:t>n</w:t>
            </w:r>
            <w:r>
              <w:rPr>
                <w:rFonts w:ascii="Book Antiqua" w:hAnsi="Book Antiqua"/>
                <w:b/>
                <w:bCs/>
                <w:color w:val="000000"/>
              </w:rPr>
              <w:t xml:space="preserve"> = 72)</w:t>
            </w:r>
          </w:p>
        </w:tc>
        <w:tc>
          <w:tcPr>
            <w:tcW w:w="2449" w:type="dxa"/>
            <w:shd w:val="clear" w:color="auto" w:fill="auto"/>
            <w:noWrap/>
            <w:vAlign w:val="center"/>
          </w:tcPr>
          <w:p w:rsidR="002D21BA" w:rsidRDefault="004A1A23">
            <w:pPr>
              <w:adjustRightInd w:val="0"/>
              <w:snapToGrid w:val="0"/>
              <w:spacing w:line="360" w:lineRule="auto"/>
              <w:jc w:val="both"/>
              <w:rPr>
                <w:rFonts w:ascii="Book Antiqua" w:hAnsi="Book Antiqua"/>
                <w:b/>
                <w:bCs/>
                <w:color w:val="000000"/>
              </w:rPr>
            </w:pPr>
            <w:r>
              <w:rPr>
                <w:rFonts w:ascii="Book Antiqua" w:hAnsi="Book Antiqua"/>
                <w:b/>
                <w:bCs/>
                <w:color w:val="000000" w:themeColor="text1"/>
              </w:rPr>
              <w:t>N</w:t>
            </w:r>
            <w:r>
              <w:rPr>
                <w:rFonts w:ascii="Book Antiqua" w:hAnsi="Book Antiqua"/>
                <w:b/>
                <w:bCs/>
                <w:color w:val="000000" w:themeColor="text1"/>
                <w:lang w:eastAsia="zh-CN"/>
              </w:rPr>
              <w:t>on</w:t>
            </w:r>
            <w:r>
              <w:rPr>
                <w:rFonts w:ascii="Book Antiqua" w:hAnsi="Book Antiqua"/>
                <w:b/>
                <w:bCs/>
                <w:color w:val="000000" w:themeColor="text1"/>
              </w:rPr>
              <w:t>-A</w:t>
            </w:r>
            <w:r>
              <w:rPr>
                <w:rFonts w:ascii="Book Antiqua" w:hAnsi="Book Antiqua"/>
                <w:b/>
                <w:bCs/>
                <w:color w:val="000000" w:themeColor="text1"/>
                <w:lang w:eastAsia="zh-CN"/>
              </w:rPr>
              <w:t>KI</w:t>
            </w:r>
            <w:r>
              <w:rPr>
                <w:rFonts w:ascii="Book Antiqua" w:hAnsi="Book Antiqua"/>
                <w:b/>
                <w:bCs/>
                <w:color w:val="FF0000"/>
              </w:rPr>
              <w:t xml:space="preserve"> </w:t>
            </w:r>
            <w:r>
              <w:rPr>
                <w:rFonts w:ascii="Book Antiqua" w:hAnsi="Book Antiqua"/>
                <w:b/>
                <w:bCs/>
                <w:color w:val="000000"/>
              </w:rPr>
              <w:t>(</w:t>
            </w:r>
            <w:r>
              <w:rPr>
                <w:rFonts w:ascii="Book Antiqua" w:hAnsi="Book Antiqua"/>
                <w:b/>
                <w:bCs/>
                <w:i/>
                <w:iCs/>
                <w:color w:val="000000"/>
              </w:rPr>
              <w:t>n</w:t>
            </w:r>
            <w:r>
              <w:rPr>
                <w:rFonts w:ascii="Book Antiqua" w:hAnsi="Book Antiqua"/>
                <w:b/>
                <w:bCs/>
                <w:color w:val="000000"/>
              </w:rPr>
              <w:t xml:space="preserve"> = 67)</w:t>
            </w:r>
          </w:p>
        </w:tc>
        <w:tc>
          <w:tcPr>
            <w:tcW w:w="1235" w:type="dxa"/>
            <w:vAlign w:val="center"/>
          </w:tcPr>
          <w:p w:rsidR="002D21BA" w:rsidRDefault="004A1A23">
            <w:pPr>
              <w:adjustRightInd w:val="0"/>
              <w:snapToGrid w:val="0"/>
              <w:spacing w:line="360" w:lineRule="auto"/>
              <w:jc w:val="both"/>
              <w:rPr>
                <w:rFonts w:ascii="Book Antiqua" w:hAnsi="Book Antiqua"/>
                <w:b/>
                <w:bCs/>
                <w:i/>
                <w:color w:val="000000"/>
              </w:rPr>
            </w:pPr>
            <w:r>
              <w:rPr>
                <w:rFonts w:ascii="Book Antiqua" w:hAnsi="Book Antiqua"/>
                <w:b/>
                <w:bCs/>
                <w:i/>
                <w:color w:val="000000"/>
              </w:rPr>
              <w:t>Z/χ</w:t>
            </w:r>
            <w:r>
              <w:rPr>
                <w:rFonts w:ascii="Book Antiqua" w:hAnsi="Book Antiqua"/>
                <w:b/>
                <w:bCs/>
                <w:color w:val="000000"/>
                <w:vertAlign w:val="superscript"/>
              </w:rPr>
              <w:t>2</w:t>
            </w:r>
          </w:p>
        </w:tc>
        <w:tc>
          <w:tcPr>
            <w:tcW w:w="3056" w:type="dxa"/>
            <w:vAlign w:val="center"/>
          </w:tcPr>
          <w:p w:rsidR="002D21BA" w:rsidRDefault="004A1A23">
            <w:pPr>
              <w:adjustRightInd w:val="0"/>
              <w:snapToGrid w:val="0"/>
              <w:spacing w:line="360" w:lineRule="auto"/>
              <w:jc w:val="both"/>
              <w:rPr>
                <w:rFonts w:ascii="Book Antiqua" w:hAnsi="Book Antiqua"/>
                <w:b/>
                <w:bCs/>
                <w:i/>
                <w:color w:val="000000"/>
              </w:rPr>
            </w:pPr>
            <w:r>
              <w:rPr>
                <w:rFonts w:ascii="Book Antiqua" w:hAnsi="Book Antiqua"/>
                <w:b/>
                <w:bCs/>
                <w:i/>
                <w:color w:val="000000"/>
              </w:rPr>
              <w:t xml:space="preserve">P </w:t>
            </w:r>
            <w:r>
              <w:rPr>
                <w:rFonts w:ascii="Book Antiqua" w:hAnsi="Book Antiqua"/>
                <w:b/>
                <w:bCs/>
                <w:iCs/>
                <w:color w:val="000000"/>
              </w:rPr>
              <w:t>value</w:t>
            </w: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Age</w:t>
            </w:r>
          </w:p>
        </w:tc>
        <w:tc>
          <w:tcPr>
            <w:tcW w:w="1820"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45.00 (17.50)</w:t>
            </w:r>
          </w:p>
        </w:tc>
        <w:tc>
          <w:tcPr>
            <w:tcW w:w="2449"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44.00 (21.00)</w:t>
            </w:r>
          </w:p>
        </w:tc>
        <w:tc>
          <w:tcPr>
            <w:tcW w:w="1235"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-0.07</w:t>
            </w:r>
          </w:p>
        </w:tc>
        <w:tc>
          <w:tcPr>
            <w:tcW w:w="3056"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0.94</w:t>
            </w:r>
          </w:p>
        </w:tc>
      </w:tr>
      <w:tr w:rsidR="002D21BA" w:rsidTr="007B49F6">
        <w:trPr>
          <w:trHeight w:val="382"/>
        </w:trPr>
        <w:tc>
          <w:tcPr>
            <w:tcW w:w="4082" w:type="dxa"/>
            <w:shd w:val="clear" w:color="auto" w:fill="auto"/>
            <w:vAlign w:val="center"/>
          </w:tcPr>
          <w:p w:rsidR="002D21BA" w:rsidRDefault="004A1A23" w:rsidP="007B49F6">
            <w:pPr>
              <w:adjustRightInd w:val="0"/>
              <w:snapToGrid w:val="0"/>
              <w:spacing w:line="360" w:lineRule="auto"/>
              <w:jc w:val="both"/>
              <w:rPr>
                <w:rFonts w:ascii="Book Antiqua" w:hAnsi="Book Antiqua"/>
                <w:color w:val="000000"/>
              </w:rPr>
            </w:pPr>
            <w:r>
              <w:rPr>
                <w:rFonts w:ascii="Book Antiqua" w:hAnsi="Book Antiqua"/>
                <w:color w:val="000000"/>
              </w:rPr>
              <w:t>Gender</w:t>
            </w:r>
          </w:p>
        </w:tc>
        <w:tc>
          <w:tcPr>
            <w:tcW w:w="1820" w:type="dxa"/>
            <w:shd w:val="clear" w:color="auto" w:fill="auto"/>
            <w:noWrap/>
            <w:vAlign w:val="center"/>
          </w:tcPr>
          <w:p w:rsidR="002D21BA" w:rsidRDefault="002D21BA">
            <w:pPr>
              <w:adjustRightInd w:val="0"/>
              <w:snapToGrid w:val="0"/>
              <w:spacing w:line="360" w:lineRule="auto"/>
              <w:jc w:val="both"/>
              <w:rPr>
                <w:rFonts w:ascii="Book Antiqua" w:hAnsi="Book Antiqua"/>
                <w:color w:val="000000"/>
              </w:rPr>
            </w:pPr>
          </w:p>
        </w:tc>
        <w:tc>
          <w:tcPr>
            <w:tcW w:w="2449"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1235" w:type="dxa"/>
            <w:vAlign w:val="center"/>
          </w:tcPr>
          <w:p w:rsidR="002D21BA" w:rsidRDefault="004A1A23" w:rsidP="007B49F6">
            <w:pPr>
              <w:adjustRightInd w:val="0"/>
              <w:snapToGrid w:val="0"/>
              <w:spacing w:line="360" w:lineRule="auto"/>
              <w:jc w:val="both"/>
              <w:rPr>
                <w:rFonts w:ascii="Book Antiqua" w:eastAsia="MingLiU" w:hAnsi="Book Antiqua"/>
                <w:color w:val="000000"/>
              </w:rPr>
            </w:pPr>
            <w:r>
              <w:rPr>
                <w:rFonts w:ascii="Book Antiqua" w:hAnsi="Book Antiqua"/>
                <w:color w:val="000000"/>
              </w:rPr>
              <w:t>6.745</w:t>
            </w:r>
          </w:p>
        </w:tc>
        <w:tc>
          <w:tcPr>
            <w:tcW w:w="3056" w:type="dxa"/>
            <w:vAlign w:val="center"/>
          </w:tcPr>
          <w:p w:rsidR="002D21BA" w:rsidRDefault="004A1A23" w:rsidP="007B49F6">
            <w:pPr>
              <w:adjustRightInd w:val="0"/>
              <w:snapToGrid w:val="0"/>
              <w:spacing w:line="360" w:lineRule="auto"/>
              <w:jc w:val="both"/>
              <w:rPr>
                <w:rFonts w:ascii="Book Antiqua" w:eastAsia="MingLiU" w:hAnsi="Book Antiqua"/>
                <w:color w:val="000000"/>
              </w:rPr>
            </w:pPr>
            <w:r>
              <w:rPr>
                <w:rFonts w:ascii="Book Antiqua" w:hAnsi="Book Antiqua"/>
                <w:color w:val="000000"/>
              </w:rPr>
              <w:t>0.009</w:t>
            </w:r>
          </w:p>
        </w:tc>
      </w:tr>
      <w:tr w:rsidR="007B49F6" w:rsidTr="007B49F6">
        <w:trPr>
          <w:trHeight w:val="414"/>
        </w:trPr>
        <w:tc>
          <w:tcPr>
            <w:tcW w:w="4082" w:type="dxa"/>
            <w:shd w:val="clear" w:color="auto" w:fill="auto"/>
            <w:vAlign w:val="center"/>
          </w:tcPr>
          <w:p w:rsidR="007B49F6" w:rsidRDefault="007B49F6" w:rsidP="007B49F6">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Male</w:t>
            </w:r>
          </w:p>
        </w:tc>
        <w:tc>
          <w:tcPr>
            <w:tcW w:w="1820" w:type="dxa"/>
            <w:shd w:val="clear" w:color="auto" w:fill="auto"/>
            <w:noWrap/>
            <w:vAlign w:val="center"/>
          </w:tcPr>
          <w:p w:rsidR="007B49F6" w:rsidRDefault="007B49F6" w:rsidP="007B49F6">
            <w:pPr>
              <w:adjustRightInd w:val="0"/>
              <w:snapToGrid w:val="0"/>
              <w:spacing w:line="360" w:lineRule="auto"/>
              <w:jc w:val="both"/>
              <w:rPr>
                <w:rFonts w:ascii="Book Antiqua" w:hAnsi="Book Antiqua"/>
                <w:color w:val="000000"/>
              </w:rPr>
            </w:pPr>
            <w:r>
              <w:rPr>
                <w:rFonts w:ascii="Book Antiqua" w:hAnsi="Book Antiqua"/>
                <w:color w:val="000000"/>
              </w:rPr>
              <w:t>50</w:t>
            </w:r>
          </w:p>
        </w:tc>
        <w:tc>
          <w:tcPr>
            <w:tcW w:w="2449" w:type="dxa"/>
            <w:shd w:val="clear" w:color="auto" w:fill="auto"/>
            <w:noWrap/>
            <w:vAlign w:val="center"/>
          </w:tcPr>
          <w:p w:rsidR="007B49F6" w:rsidRDefault="007B49F6" w:rsidP="007B49F6">
            <w:pPr>
              <w:adjustRightInd w:val="0"/>
              <w:snapToGrid w:val="0"/>
              <w:spacing w:line="360" w:lineRule="auto"/>
              <w:jc w:val="both"/>
              <w:rPr>
                <w:rFonts w:ascii="Book Antiqua" w:hAnsi="Book Antiqua"/>
                <w:color w:val="000000"/>
              </w:rPr>
            </w:pPr>
            <w:r>
              <w:rPr>
                <w:rFonts w:ascii="Book Antiqua" w:hAnsi="Book Antiqua"/>
                <w:color w:val="000000"/>
              </w:rPr>
              <w:t>32</w:t>
            </w:r>
          </w:p>
        </w:tc>
        <w:tc>
          <w:tcPr>
            <w:tcW w:w="1235" w:type="dxa"/>
            <w:vAlign w:val="center"/>
          </w:tcPr>
          <w:p w:rsidR="007B49F6" w:rsidRDefault="007B49F6" w:rsidP="007B49F6">
            <w:pPr>
              <w:adjustRightInd w:val="0"/>
              <w:snapToGrid w:val="0"/>
              <w:spacing w:line="360" w:lineRule="auto"/>
              <w:jc w:val="both"/>
              <w:rPr>
                <w:rFonts w:ascii="Book Antiqua" w:hAnsi="Book Antiqua"/>
                <w:color w:val="000000"/>
              </w:rPr>
            </w:pPr>
          </w:p>
        </w:tc>
        <w:tc>
          <w:tcPr>
            <w:tcW w:w="3056" w:type="dxa"/>
            <w:vAlign w:val="center"/>
          </w:tcPr>
          <w:p w:rsidR="007B49F6" w:rsidRDefault="007B49F6" w:rsidP="007B49F6">
            <w:pPr>
              <w:adjustRightInd w:val="0"/>
              <w:snapToGrid w:val="0"/>
              <w:spacing w:line="360" w:lineRule="auto"/>
              <w:jc w:val="both"/>
              <w:rPr>
                <w:rFonts w:ascii="Book Antiqua" w:hAnsi="Book Antiqua"/>
                <w:color w:val="000000"/>
              </w:rPr>
            </w:pPr>
          </w:p>
        </w:tc>
      </w:tr>
      <w:tr w:rsidR="007B49F6" w:rsidTr="007B49F6">
        <w:trPr>
          <w:trHeight w:val="371"/>
        </w:trPr>
        <w:tc>
          <w:tcPr>
            <w:tcW w:w="4082" w:type="dxa"/>
            <w:shd w:val="clear" w:color="auto" w:fill="auto"/>
            <w:vAlign w:val="center"/>
          </w:tcPr>
          <w:p w:rsidR="007B49F6" w:rsidRDefault="007B49F6" w:rsidP="007B49F6">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Female</w:t>
            </w:r>
          </w:p>
        </w:tc>
        <w:tc>
          <w:tcPr>
            <w:tcW w:w="1820" w:type="dxa"/>
            <w:shd w:val="clear" w:color="auto" w:fill="auto"/>
            <w:noWrap/>
            <w:vAlign w:val="center"/>
          </w:tcPr>
          <w:p w:rsidR="007B49F6" w:rsidRDefault="007B49F6" w:rsidP="007B49F6">
            <w:pPr>
              <w:adjustRightInd w:val="0"/>
              <w:snapToGrid w:val="0"/>
              <w:spacing w:line="360" w:lineRule="auto"/>
              <w:jc w:val="both"/>
              <w:rPr>
                <w:rFonts w:ascii="Book Antiqua" w:hAnsi="Book Antiqua"/>
                <w:color w:val="000000"/>
              </w:rPr>
            </w:pPr>
            <w:r>
              <w:rPr>
                <w:rFonts w:ascii="Book Antiqua" w:hAnsi="Book Antiqua"/>
                <w:color w:val="000000"/>
              </w:rPr>
              <w:t>22</w:t>
            </w:r>
          </w:p>
        </w:tc>
        <w:tc>
          <w:tcPr>
            <w:tcW w:w="2449" w:type="dxa"/>
            <w:shd w:val="clear" w:color="auto" w:fill="auto"/>
            <w:noWrap/>
            <w:vAlign w:val="center"/>
          </w:tcPr>
          <w:p w:rsidR="007B49F6" w:rsidRDefault="007B49F6" w:rsidP="007B49F6">
            <w:pPr>
              <w:adjustRightInd w:val="0"/>
              <w:snapToGrid w:val="0"/>
              <w:spacing w:line="360" w:lineRule="auto"/>
              <w:jc w:val="both"/>
              <w:rPr>
                <w:rFonts w:ascii="Book Antiqua" w:hAnsi="Book Antiqua"/>
                <w:color w:val="000000"/>
              </w:rPr>
            </w:pPr>
            <w:r>
              <w:rPr>
                <w:rFonts w:ascii="Book Antiqua" w:hAnsi="Book Antiqua"/>
                <w:color w:val="000000"/>
              </w:rPr>
              <w:t>35</w:t>
            </w:r>
          </w:p>
        </w:tc>
        <w:tc>
          <w:tcPr>
            <w:tcW w:w="1235" w:type="dxa"/>
            <w:vAlign w:val="center"/>
          </w:tcPr>
          <w:p w:rsidR="007B49F6" w:rsidRDefault="007B49F6" w:rsidP="007B49F6">
            <w:pPr>
              <w:adjustRightInd w:val="0"/>
              <w:snapToGrid w:val="0"/>
              <w:spacing w:line="360" w:lineRule="auto"/>
              <w:jc w:val="both"/>
              <w:rPr>
                <w:rFonts w:ascii="Book Antiqua" w:hAnsi="Book Antiqua"/>
                <w:color w:val="000000"/>
              </w:rPr>
            </w:pPr>
          </w:p>
        </w:tc>
        <w:tc>
          <w:tcPr>
            <w:tcW w:w="3056" w:type="dxa"/>
            <w:vAlign w:val="center"/>
          </w:tcPr>
          <w:p w:rsidR="007B49F6" w:rsidRDefault="007B49F6" w:rsidP="007B49F6">
            <w:pPr>
              <w:adjustRightInd w:val="0"/>
              <w:snapToGrid w:val="0"/>
              <w:spacing w:line="360" w:lineRule="auto"/>
              <w:jc w:val="both"/>
              <w:rPr>
                <w:rFonts w:ascii="Book Antiqua" w:hAnsi="Book Antiqua"/>
                <w:color w:val="000000"/>
              </w:rPr>
            </w:pPr>
          </w:p>
        </w:tc>
      </w:tr>
      <w:tr w:rsidR="007B49F6" w:rsidTr="007B49F6">
        <w:trPr>
          <w:trHeight w:val="589"/>
        </w:trPr>
        <w:tc>
          <w:tcPr>
            <w:tcW w:w="4082" w:type="dxa"/>
            <w:shd w:val="clear" w:color="auto" w:fill="auto"/>
            <w:vAlign w:val="center"/>
          </w:tcPr>
          <w:p w:rsidR="007B49F6" w:rsidRDefault="007B49F6" w:rsidP="007B49F6">
            <w:pPr>
              <w:adjustRightInd w:val="0"/>
              <w:snapToGrid w:val="0"/>
              <w:spacing w:line="360" w:lineRule="auto"/>
              <w:jc w:val="both"/>
              <w:rPr>
                <w:rFonts w:ascii="Book Antiqua" w:hAnsi="Book Antiqua"/>
                <w:color w:val="000000"/>
              </w:rPr>
            </w:pPr>
            <w:r>
              <w:rPr>
                <w:rFonts w:ascii="Book Antiqua" w:hAnsi="Book Antiqua"/>
                <w:color w:val="000000"/>
              </w:rPr>
              <w:t>BMI</w:t>
            </w:r>
          </w:p>
        </w:tc>
        <w:tc>
          <w:tcPr>
            <w:tcW w:w="1820" w:type="dxa"/>
            <w:shd w:val="clear" w:color="auto" w:fill="auto"/>
            <w:noWrap/>
            <w:vAlign w:val="center"/>
          </w:tcPr>
          <w:p w:rsidR="007B49F6" w:rsidRDefault="007B49F6" w:rsidP="007B49F6">
            <w:pPr>
              <w:adjustRightInd w:val="0"/>
              <w:snapToGrid w:val="0"/>
              <w:spacing w:line="360" w:lineRule="auto"/>
              <w:jc w:val="both"/>
              <w:rPr>
                <w:rFonts w:ascii="Book Antiqua" w:hAnsi="Book Antiqua"/>
                <w:color w:val="000000"/>
              </w:rPr>
            </w:pPr>
            <w:r>
              <w:rPr>
                <w:rFonts w:ascii="Book Antiqua" w:eastAsia="MingLiU" w:hAnsi="Book Antiqua"/>
                <w:color w:val="000000"/>
              </w:rPr>
              <w:t>24.45 (2.38)</w:t>
            </w:r>
          </w:p>
        </w:tc>
        <w:tc>
          <w:tcPr>
            <w:tcW w:w="2449" w:type="dxa"/>
            <w:shd w:val="clear" w:color="auto" w:fill="auto"/>
            <w:noWrap/>
            <w:vAlign w:val="center"/>
          </w:tcPr>
          <w:p w:rsidR="007B49F6" w:rsidRDefault="007B49F6" w:rsidP="007B49F6">
            <w:pPr>
              <w:adjustRightInd w:val="0"/>
              <w:snapToGrid w:val="0"/>
              <w:spacing w:line="360" w:lineRule="auto"/>
              <w:jc w:val="both"/>
              <w:rPr>
                <w:rFonts w:ascii="Book Antiqua" w:hAnsi="Book Antiqua"/>
                <w:color w:val="000000"/>
              </w:rPr>
            </w:pPr>
            <w:r>
              <w:rPr>
                <w:rFonts w:ascii="Book Antiqua" w:eastAsia="MingLiU" w:hAnsi="Book Antiqua"/>
                <w:color w:val="000000"/>
              </w:rPr>
              <w:t>23.80 (2.60)</w:t>
            </w:r>
          </w:p>
        </w:tc>
        <w:tc>
          <w:tcPr>
            <w:tcW w:w="1235" w:type="dxa"/>
            <w:vAlign w:val="center"/>
          </w:tcPr>
          <w:p w:rsidR="007B49F6" w:rsidRDefault="007B49F6" w:rsidP="007B49F6">
            <w:pPr>
              <w:adjustRightInd w:val="0"/>
              <w:snapToGrid w:val="0"/>
              <w:spacing w:line="360" w:lineRule="auto"/>
              <w:jc w:val="both"/>
              <w:rPr>
                <w:rFonts w:ascii="Book Antiqua" w:hAnsi="Book Antiqua"/>
                <w:color w:val="000000"/>
              </w:rPr>
            </w:pPr>
            <w:r>
              <w:rPr>
                <w:rFonts w:ascii="Book Antiqua" w:eastAsia="MingLiU" w:hAnsi="Book Antiqua"/>
                <w:color w:val="000000"/>
              </w:rPr>
              <w:t>-1.20</w:t>
            </w:r>
          </w:p>
        </w:tc>
        <w:tc>
          <w:tcPr>
            <w:tcW w:w="3056" w:type="dxa"/>
            <w:vAlign w:val="center"/>
          </w:tcPr>
          <w:p w:rsidR="007B49F6" w:rsidRDefault="007B49F6" w:rsidP="007B49F6">
            <w:pPr>
              <w:adjustRightInd w:val="0"/>
              <w:snapToGrid w:val="0"/>
              <w:spacing w:line="360" w:lineRule="auto"/>
              <w:jc w:val="both"/>
              <w:rPr>
                <w:rFonts w:ascii="Book Antiqua" w:hAnsi="Book Antiqua"/>
                <w:color w:val="000000"/>
              </w:rPr>
            </w:pPr>
            <w:r>
              <w:rPr>
                <w:rFonts w:ascii="Book Antiqua" w:eastAsia="MingLiU" w:hAnsi="Book Antiqua"/>
                <w:color w:val="000000"/>
              </w:rPr>
              <w:t>0.23</w:t>
            </w: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APACHE II Score</w:t>
            </w:r>
          </w:p>
        </w:tc>
        <w:tc>
          <w:tcPr>
            <w:tcW w:w="1820"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18.00 (7.75)</w:t>
            </w:r>
          </w:p>
        </w:tc>
        <w:tc>
          <w:tcPr>
            <w:tcW w:w="2449"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9.00 (7.00)</w:t>
            </w:r>
          </w:p>
        </w:tc>
        <w:tc>
          <w:tcPr>
            <w:tcW w:w="1235"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-7.47</w:t>
            </w:r>
          </w:p>
        </w:tc>
        <w:tc>
          <w:tcPr>
            <w:tcW w:w="3056"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SOFA Score</w:t>
            </w:r>
          </w:p>
        </w:tc>
        <w:tc>
          <w:tcPr>
            <w:tcW w:w="1820"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9.00 (6.00)</w:t>
            </w:r>
          </w:p>
        </w:tc>
        <w:tc>
          <w:tcPr>
            <w:tcW w:w="2449"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4.00 (4.00)</w:t>
            </w:r>
          </w:p>
        </w:tc>
        <w:tc>
          <w:tcPr>
            <w:tcW w:w="1235"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-6.50</w:t>
            </w:r>
          </w:p>
        </w:tc>
        <w:tc>
          <w:tcPr>
            <w:tcW w:w="3056"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GCS Score</w:t>
            </w:r>
          </w:p>
        </w:tc>
        <w:tc>
          <w:tcPr>
            <w:tcW w:w="1820"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15.00 (3.00)</w:t>
            </w:r>
          </w:p>
        </w:tc>
        <w:tc>
          <w:tcPr>
            <w:tcW w:w="2449"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15.00 (0.00)</w:t>
            </w:r>
          </w:p>
        </w:tc>
        <w:tc>
          <w:tcPr>
            <w:tcW w:w="1235"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-2.71</w:t>
            </w:r>
          </w:p>
        </w:tc>
        <w:tc>
          <w:tcPr>
            <w:tcW w:w="3056"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0.01</w:t>
            </w: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jc w:val="both"/>
              <w:rPr>
                <w:rFonts w:ascii="Book Antiqua" w:hAnsi="Book Antiqua"/>
                <w:color w:val="000000"/>
                <w:lang w:eastAsia="zh-CN"/>
              </w:rPr>
            </w:pPr>
            <w:r>
              <w:rPr>
                <w:rFonts w:ascii="Book Antiqua" w:hAnsi="Book Antiqua"/>
                <w:color w:val="000000"/>
                <w:lang w:eastAsia="zh-CN"/>
              </w:rPr>
              <w:t>MV</w:t>
            </w:r>
          </w:p>
        </w:tc>
        <w:tc>
          <w:tcPr>
            <w:tcW w:w="1820"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2449"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1235" w:type="dxa"/>
            <w:vAlign w:val="center"/>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10.</w:t>
            </w:r>
            <w:r>
              <w:rPr>
                <w:rFonts w:ascii="Book Antiqua" w:hAnsi="Book Antiqua"/>
                <w:color w:val="000000"/>
              </w:rPr>
              <w:t>94</w:t>
            </w:r>
          </w:p>
        </w:tc>
        <w:tc>
          <w:tcPr>
            <w:tcW w:w="3056"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0.001</w:t>
            </w: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1820"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46</w:t>
            </w:r>
          </w:p>
        </w:tc>
        <w:tc>
          <w:tcPr>
            <w:tcW w:w="2449"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24</w:t>
            </w:r>
          </w:p>
        </w:tc>
        <w:tc>
          <w:tcPr>
            <w:tcW w:w="1235"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3056"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1820"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26</w:t>
            </w:r>
          </w:p>
        </w:tc>
        <w:tc>
          <w:tcPr>
            <w:tcW w:w="2449"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43</w:t>
            </w:r>
          </w:p>
        </w:tc>
        <w:tc>
          <w:tcPr>
            <w:tcW w:w="1235"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3056"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Abdominal puncture drainage</w:t>
            </w:r>
          </w:p>
        </w:tc>
        <w:tc>
          <w:tcPr>
            <w:tcW w:w="1820"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2449"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1235"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0.19</w:t>
            </w:r>
          </w:p>
        </w:tc>
        <w:tc>
          <w:tcPr>
            <w:tcW w:w="3056"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0.66</w:t>
            </w: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1820"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36</w:t>
            </w:r>
          </w:p>
        </w:tc>
        <w:tc>
          <w:tcPr>
            <w:tcW w:w="2449"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36</w:t>
            </w:r>
          </w:p>
        </w:tc>
        <w:tc>
          <w:tcPr>
            <w:tcW w:w="1235"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3056"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1820"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36</w:t>
            </w:r>
          </w:p>
        </w:tc>
        <w:tc>
          <w:tcPr>
            <w:tcW w:w="2449"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31</w:t>
            </w:r>
          </w:p>
        </w:tc>
        <w:tc>
          <w:tcPr>
            <w:tcW w:w="1235"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3056"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hAnsi="Book Antiqua"/>
                <w:color w:val="000000"/>
              </w:rPr>
              <w:t>Gallbladder puncture drainage</w:t>
            </w:r>
          </w:p>
        </w:tc>
        <w:tc>
          <w:tcPr>
            <w:tcW w:w="1820"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2449"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1235" w:type="dxa"/>
            <w:vAlign w:val="center"/>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2.3</w:t>
            </w:r>
            <w:r>
              <w:rPr>
                <w:rFonts w:ascii="Book Antiqua" w:hAnsi="Book Antiqua"/>
                <w:color w:val="000000"/>
              </w:rPr>
              <w:t>6</w:t>
            </w:r>
          </w:p>
        </w:tc>
        <w:tc>
          <w:tcPr>
            <w:tcW w:w="3056" w:type="dxa"/>
            <w:vAlign w:val="center"/>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0.1</w:t>
            </w:r>
            <w:r>
              <w:rPr>
                <w:rFonts w:ascii="Book Antiqua" w:hAnsi="Book Antiqua"/>
                <w:color w:val="000000"/>
              </w:rPr>
              <w:t>2</w:t>
            </w:r>
          </w:p>
        </w:tc>
      </w:tr>
      <w:tr w:rsidR="002D21BA" w:rsidTr="007B49F6">
        <w:trPr>
          <w:trHeight w:val="400"/>
        </w:trPr>
        <w:tc>
          <w:tcPr>
            <w:tcW w:w="408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1820"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17</w:t>
            </w:r>
          </w:p>
        </w:tc>
        <w:tc>
          <w:tcPr>
            <w:tcW w:w="2449"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9</w:t>
            </w:r>
          </w:p>
        </w:tc>
        <w:tc>
          <w:tcPr>
            <w:tcW w:w="1235"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3056"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1820"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55</w:t>
            </w:r>
          </w:p>
        </w:tc>
        <w:tc>
          <w:tcPr>
            <w:tcW w:w="2449"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58</w:t>
            </w:r>
          </w:p>
        </w:tc>
        <w:tc>
          <w:tcPr>
            <w:tcW w:w="1235"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3056"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Vasopressor infusion</w:t>
            </w:r>
          </w:p>
        </w:tc>
        <w:tc>
          <w:tcPr>
            <w:tcW w:w="1820"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2449"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1235" w:type="dxa"/>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26.84</w:t>
            </w:r>
          </w:p>
        </w:tc>
        <w:tc>
          <w:tcPr>
            <w:tcW w:w="3056"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1820"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21</w:t>
            </w:r>
          </w:p>
        </w:tc>
        <w:tc>
          <w:tcPr>
            <w:tcW w:w="2449"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18</w:t>
            </w:r>
          </w:p>
        </w:tc>
        <w:tc>
          <w:tcPr>
            <w:tcW w:w="1235"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3056"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1820"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51</w:t>
            </w:r>
          </w:p>
        </w:tc>
        <w:tc>
          <w:tcPr>
            <w:tcW w:w="2449"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49</w:t>
            </w:r>
          </w:p>
        </w:tc>
        <w:tc>
          <w:tcPr>
            <w:tcW w:w="1235"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3056"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jc w:val="both"/>
              <w:rPr>
                <w:rFonts w:ascii="Book Antiqua" w:hAnsi="Book Antiqua"/>
              </w:rPr>
            </w:pPr>
            <w:r>
              <w:rPr>
                <w:rFonts w:ascii="Book Antiqua" w:hAnsi="Book Antiqua"/>
              </w:rPr>
              <w:t>R</w:t>
            </w:r>
            <w:r>
              <w:rPr>
                <w:rFonts w:ascii="Book Antiqua" w:hAnsi="Book Antiqua"/>
                <w:lang w:eastAsia="zh-CN"/>
              </w:rPr>
              <w:t>RT</w:t>
            </w:r>
          </w:p>
        </w:tc>
        <w:tc>
          <w:tcPr>
            <w:tcW w:w="1820"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2449"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1235" w:type="dxa"/>
            <w:vAlign w:val="center"/>
          </w:tcPr>
          <w:p w:rsidR="002D21BA" w:rsidRDefault="002D21BA">
            <w:pPr>
              <w:adjustRightInd w:val="0"/>
              <w:snapToGrid w:val="0"/>
              <w:spacing w:line="360" w:lineRule="auto"/>
              <w:jc w:val="both"/>
              <w:rPr>
                <w:rFonts w:ascii="Book Antiqua" w:hAnsi="Book Antiqua"/>
                <w:color w:val="000000"/>
              </w:rPr>
            </w:pPr>
          </w:p>
        </w:tc>
        <w:tc>
          <w:tcPr>
            <w:tcW w:w="3056" w:type="dxa"/>
            <w:vAlign w:val="center"/>
          </w:tcPr>
          <w:p w:rsidR="002D21BA" w:rsidRDefault="002D21BA">
            <w:pPr>
              <w:adjustRightInd w:val="0"/>
              <w:snapToGrid w:val="0"/>
              <w:spacing w:line="360" w:lineRule="auto"/>
              <w:jc w:val="both"/>
              <w:rPr>
                <w:rFonts w:ascii="Book Antiqua" w:hAnsi="Book Antiqua"/>
                <w:color w:val="000000"/>
              </w:rPr>
            </w:pPr>
          </w:p>
        </w:tc>
      </w:tr>
      <w:tr w:rsidR="002D21BA" w:rsidTr="007B49F6">
        <w:trPr>
          <w:trHeight w:val="392"/>
        </w:trPr>
        <w:tc>
          <w:tcPr>
            <w:tcW w:w="408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rPr>
            </w:pPr>
            <w:r>
              <w:rPr>
                <w:rFonts w:ascii="Book Antiqua" w:hAnsi="Book Antiqua"/>
              </w:rPr>
              <w:t>Yes</w:t>
            </w:r>
          </w:p>
        </w:tc>
        <w:tc>
          <w:tcPr>
            <w:tcW w:w="1820" w:type="dxa"/>
            <w:shd w:val="clear" w:color="auto" w:fill="auto"/>
            <w:noWrap/>
            <w:vAlign w:val="center"/>
          </w:tcPr>
          <w:p w:rsidR="002D21BA" w:rsidRDefault="004A1A23">
            <w:pPr>
              <w:adjustRightInd w:val="0"/>
              <w:snapToGrid w:val="0"/>
              <w:spacing w:line="360" w:lineRule="auto"/>
              <w:jc w:val="both"/>
              <w:rPr>
                <w:rFonts w:ascii="Book Antiqua" w:hAnsi="Book Antiqua"/>
              </w:rPr>
            </w:pPr>
            <w:r>
              <w:rPr>
                <w:rFonts w:ascii="Book Antiqua" w:hAnsi="Book Antiqua"/>
              </w:rPr>
              <w:t>44</w:t>
            </w:r>
          </w:p>
        </w:tc>
        <w:tc>
          <w:tcPr>
            <w:tcW w:w="2449" w:type="dxa"/>
            <w:shd w:val="clear" w:color="auto" w:fill="auto"/>
            <w:noWrap/>
            <w:vAlign w:val="center"/>
          </w:tcPr>
          <w:p w:rsidR="002D21BA" w:rsidRDefault="004A1A23">
            <w:pPr>
              <w:adjustRightInd w:val="0"/>
              <w:snapToGrid w:val="0"/>
              <w:spacing w:line="360" w:lineRule="auto"/>
              <w:jc w:val="both"/>
              <w:rPr>
                <w:rFonts w:ascii="Book Antiqua" w:hAnsi="Book Antiqua"/>
              </w:rPr>
            </w:pPr>
            <w:r>
              <w:rPr>
                <w:rFonts w:ascii="Book Antiqua" w:hAnsi="Book Antiqua"/>
              </w:rPr>
              <w:t>20</w:t>
            </w:r>
          </w:p>
        </w:tc>
        <w:tc>
          <w:tcPr>
            <w:tcW w:w="1235" w:type="dxa"/>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13.651</w:t>
            </w:r>
          </w:p>
        </w:tc>
        <w:tc>
          <w:tcPr>
            <w:tcW w:w="3056" w:type="dxa"/>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&lt; 0.01</w:t>
            </w:r>
          </w:p>
        </w:tc>
      </w:tr>
      <w:tr w:rsidR="002D21BA" w:rsidTr="007B49F6">
        <w:trPr>
          <w:trHeight w:val="400"/>
        </w:trPr>
        <w:tc>
          <w:tcPr>
            <w:tcW w:w="408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rPr>
            </w:pPr>
            <w:r>
              <w:rPr>
                <w:rFonts w:ascii="Book Antiqua" w:hAnsi="Book Antiqua"/>
              </w:rPr>
              <w:t>No</w:t>
            </w:r>
          </w:p>
        </w:tc>
        <w:tc>
          <w:tcPr>
            <w:tcW w:w="1820" w:type="dxa"/>
            <w:shd w:val="clear" w:color="auto" w:fill="auto"/>
            <w:noWrap/>
            <w:vAlign w:val="center"/>
          </w:tcPr>
          <w:p w:rsidR="002D21BA" w:rsidRDefault="004A1A23">
            <w:pPr>
              <w:adjustRightInd w:val="0"/>
              <w:snapToGrid w:val="0"/>
              <w:spacing w:line="360" w:lineRule="auto"/>
              <w:jc w:val="both"/>
              <w:rPr>
                <w:rFonts w:ascii="Book Antiqua" w:hAnsi="Book Antiqua"/>
              </w:rPr>
            </w:pPr>
            <w:r>
              <w:rPr>
                <w:rFonts w:ascii="Book Antiqua" w:hAnsi="Book Antiqua"/>
              </w:rPr>
              <w:t>28</w:t>
            </w:r>
          </w:p>
        </w:tc>
        <w:tc>
          <w:tcPr>
            <w:tcW w:w="2449" w:type="dxa"/>
            <w:shd w:val="clear" w:color="auto" w:fill="auto"/>
            <w:noWrap/>
            <w:vAlign w:val="center"/>
          </w:tcPr>
          <w:p w:rsidR="002D21BA" w:rsidRDefault="004A1A23">
            <w:pPr>
              <w:adjustRightInd w:val="0"/>
              <w:snapToGrid w:val="0"/>
              <w:spacing w:line="360" w:lineRule="auto"/>
              <w:jc w:val="both"/>
              <w:rPr>
                <w:rFonts w:ascii="Book Antiqua" w:hAnsi="Book Antiqua"/>
              </w:rPr>
            </w:pPr>
            <w:r>
              <w:rPr>
                <w:rFonts w:ascii="Book Antiqua" w:hAnsi="Book Antiqua"/>
              </w:rPr>
              <w:t>47</w:t>
            </w:r>
          </w:p>
        </w:tc>
        <w:tc>
          <w:tcPr>
            <w:tcW w:w="1235"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3056" w:type="dxa"/>
            <w:vAlign w:val="center"/>
          </w:tcPr>
          <w:p w:rsidR="002D21BA" w:rsidRDefault="002D21BA">
            <w:pPr>
              <w:adjustRightInd w:val="0"/>
              <w:snapToGrid w:val="0"/>
              <w:spacing w:line="360" w:lineRule="auto"/>
              <w:jc w:val="both"/>
              <w:rPr>
                <w:rFonts w:ascii="Book Antiqua" w:eastAsia="MingLiU" w:hAnsi="Book Antiqua"/>
                <w:color w:val="000000"/>
              </w:rPr>
            </w:pPr>
          </w:p>
        </w:tc>
      </w:tr>
    </w:tbl>
    <w:p w:rsidR="002D21BA" w:rsidRDefault="004A1A23">
      <w:pPr>
        <w:tabs>
          <w:tab w:val="left" w:pos="3494"/>
        </w:tabs>
        <w:adjustRightInd w:val="0"/>
        <w:snapToGrid w:val="0"/>
        <w:spacing w:line="360" w:lineRule="auto"/>
        <w:jc w:val="both"/>
        <w:rPr>
          <w:rFonts w:ascii="Book Antiqua" w:hAnsi="Book Antiqua"/>
        </w:rPr>
      </w:pPr>
      <w:r>
        <w:rPr>
          <w:rFonts w:ascii="Book Antiqua" w:hAnsi="Book Antiqua"/>
          <w:color w:val="000000"/>
        </w:rPr>
        <w:t xml:space="preserve">AKI: </w:t>
      </w:r>
      <w:r>
        <w:rPr>
          <w:rFonts w:ascii="Book Antiqua" w:eastAsia="Book Antiqua" w:hAnsi="Book Antiqua" w:cs="Book Antiqua"/>
          <w:color w:val="000000"/>
        </w:rPr>
        <w:t>Acute kidney injury;</w:t>
      </w:r>
      <w:r>
        <w:rPr>
          <w:rFonts w:ascii="Book Antiqua" w:hAnsi="Book Antiqua"/>
          <w:color w:val="000000"/>
        </w:rPr>
        <w:t xml:space="preserve"> </w:t>
      </w:r>
      <w:r>
        <w:rPr>
          <w:rFonts w:ascii="Book Antiqua" w:hAnsi="Book Antiqua"/>
        </w:rPr>
        <w:t xml:space="preserve">APACHE II: Acute Physiology and Chronic Health Evaluation II; </w:t>
      </w:r>
      <w:r>
        <w:rPr>
          <w:rFonts w:ascii="Book Antiqua" w:hAnsi="Book Antiqua"/>
          <w:color w:val="000000"/>
        </w:rPr>
        <w:t>BMI</w:t>
      </w:r>
      <w:r>
        <w:rPr>
          <w:rFonts w:ascii="Book Antiqua" w:hAnsi="Book Antiqua"/>
        </w:rPr>
        <w:t xml:space="preserve">: </w:t>
      </w:r>
      <w:r>
        <w:rPr>
          <w:rFonts w:ascii="Book Antiqua" w:eastAsia="Book Antiqua" w:hAnsi="Book Antiqua" w:cs="Book Antiqua"/>
          <w:color w:val="000000"/>
        </w:rPr>
        <w:t>Body mass index;</w:t>
      </w:r>
      <w:r>
        <w:rPr>
          <w:rFonts w:ascii="Book Antiqua" w:hAnsi="Book Antiqua"/>
        </w:rPr>
        <w:t xml:space="preserve"> GCS: </w:t>
      </w:r>
      <w:r>
        <w:rPr>
          <w:rFonts w:ascii="Book Antiqua" w:eastAsia="Book Antiqua" w:hAnsi="Book Antiqua" w:cs="Book Antiqua"/>
          <w:color w:val="000000"/>
        </w:rPr>
        <w:t>Glasgow Coma Scale</w:t>
      </w:r>
      <w:r>
        <w:rPr>
          <w:rFonts w:ascii="Book Antiqua" w:eastAsia="宋体" w:hAnsi="Book Antiqua" w:cs="Book Antiqua"/>
          <w:color w:val="000000"/>
          <w:lang w:eastAsia="zh-CN"/>
        </w:rPr>
        <w:t xml:space="preserve">; MV: </w:t>
      </w:r>
      <w:r>
        <w:rPr>
          <w:rFonts w:ascii="Book Antiqua" w:hAnsi="Book Antiqua"/>
          <w:color w:val="000000"/>
        </w:rPr>
        <w:t>Mechanical ventilation</w:t>
      </w:r>
      <w:r>
        <w:rPr>
          <w:rFonts w:ascii="Book Antiqua" w:hAnsi="Book Antiqua"/>
          <w:color w:val="000000"/>
          <w:lang w:eastAsia="zh-CN"/>
        </w:rPr>
        <w:t xml:space="preserve">; RRT: </w:t>
      </w:r>
      <w:r>
        <w:rPr>
          <w:rFonts w:ascii="Book Antiqua" w:hAnsi="Book Antiqua"/>
        </w:rPr>
        <w:t xml:space="preserve">Renal </w:t>
      </w:r>
      <w:r>
        <w:rPr>
          <w:rFonts w:ascii="Book Antiqua" w:hAnsi="Book Antiqua"/>
          <w:lang w:eastAsia="zh-CN"/>
        </w:rPr>
        <w:t>r</w:t>
      </w:r>
      <w:r>
        <w:rPr>
          <w:rFonts w:ascii="Book Antiqua" w:hAnsi="Book Antiqua"/>
        </w:rPr>
        <w:t xml:space="preserve">eplacement </w:t>
      </w:r>
      <w:r>
        <w:rPr>
          <w:rFonts w:ascii="Book Antiqua" w:hAnsi="Book Antiqua"/>
          <w:lang w:eastAsia="zh-CN"/>
        </w:rPr>
        <w:t>t</w:t>
      </w:r>
      <w:r>
        <w:rPr>
          <w:rFonts w:ascii="Book Antiqua" w:hAnsi="Book Antiqua"/>
        </w:rPr>
        <w:t xml:space="preserve">herapy; SOFA: Sequential Organ Failure </w:t>
      </w:r>
      <w:r>
        <w:rPr>
          <w:rFonts w:ascii="Book Antiqua" w:hAnsi="Book Antiqua"/>
          <w:lang w:eastAsia="zh-CN"/>
        </w:rPr>
        <w:t>A</w:t>
      </w:r>
      <w:r>
        <w:rPr>
          <w:rFonts w:ascii="Book Antiqua" w:hAnsi="Book Antiqua"/>
        </w:rPr>
        <w:t>ssessment</w:t>
      </w:r>
      <w:r>
        <w:rPr>
          <w:rFonts w:ascii="Book Antiqua" w:eastAsia="Book Antiqua" w:hAnsi="Book Antiqua" w:cs="Book Antiqua"/>
          <w:color w:val="000000"/>
        </w:rPr>
        <w:t>.</w:t>
      </w:r>
    </w:p>
    <w:p w:rsidR="002D21BA" w:rsidRDefault="004A1A23">
      <w:pPr>
        <w:tabs>
          <w:tab w:val="left" w:pos="3494"/>
        </w:tabs>
        <w:adjustRightInd w:val="0"/>
        <w:snapToGrid w:val="0"/>
        <w:spacing w:line="360" w:lineRule="auto"/>
        <w:jc w:val="both"/>
        <w:rPr>
          <w:rFonts w:ascii="Book Antiqua" w:hAnsi="Book Antiqua"/>
          <w:b/>
          <w:bCs/>
        </w:rPr>
      </w:pPr>
      <w:r>
        <w:rPr>
          <w:rFonts w:ascii="Book Antiqua" w:hAnsi="Book Antiqua"/>
        </w:rPr>
        <w:br w:type="page"/>
      </w:r>
      <w:r>
        <w:rPr>
          <w:rFonts w:ascii="Book Antiqua" w:hAnsi="Book Antiqua"/>
          <w:b/>
          <w:bCs/>
        </w:rPr>
        <w:t>Table 2 Vasopressor infusion</w:t>
      </w:r>
    </w:p>
    <w:tbl>
      <w:tblPr>
        <w:tblW w:w="10879" w:type="dxa"/>
        <w:tblBorders>
          <w:top w:val="single" w:sz="12" w:space="0" w:color="auto"/>
          <w:bottom w:val="single" w:sz="12" w:space="0" w:color="auto"/>
        </w:tblBorders>
        <w:tblLook w:val="04A0" w:firstRow="1" w:lastRow="0" w:firstColumn="1" w:lastColumn="0" w:noHBand="0" w:noVBand="1"/>
      </w:tblPr>
      <w:tblGrid>
        <w:gridCol w:w="3952"/>
        <w:gridCol w:w="2077"/>
        <w:gridCol w:w="2645"/>
        <w:gridCol w:w="1163"/>
        <w:gridCol w:w="1042"/>
      </w:tblGrid>
      <w:tr w:rsidR="002D21BA">
        <w:trPr>
          <w:trHeight w:val="456"/>
        </w:trPr>
        <w:tc>
          <w:tcPr>
            <w:tcW w:w="3952" w:type="dxa"/>
            <w:tcBorders>
              <w:top w:val="single" w:sz="4" w:space="0" w:color="auto"/>
              <w:bottom w:val="single" w:sz="4" w:space="0" w:color="auto"/>
            </w:tcBorders>
            <w:shd w:val="clear" w:color="auto" w:fill="auto"/>
            <w:noWrap/>
            <w:vAlign w:val="center"/>
          </w:tcPr>
          <w:p w:rsidR="002D21BA" w:rsidRDefault="002D21BA">
            <w:pPr>
              <w:adjustRightInd w:val="0"/>
              <w:snapToGrid w:val="0"/>
              <w:spacing w:line="360" w:lineRule="auto"/>
              <w:ind w:firstLine="550"/>
              <w:jc w:val="both"/>
              <w:rPr>
                <w:rFonts w:ascii="Book Antiqua" w:hAnsi="Book Antiqua"/>
                <w:color w:val="000000"/>
              </w:rPr>
            </w:pPr>
          </w:p>
        </w:tc>
        <w:tc>
          <w:tcPr>
            <w:tcW w:w="2077" w:type="dxa"/>
            <w:tcBorders>
              <w:top w:val="single" w:sz="4" w:space="0" w:color="auto"/>
              <w:bottom w:val="single" w:sz="4" w:space="0" w:color="auto"/>
            </w:tcBorders>
            <w:shd w:val="clear" w:color="auto" w:fill="auto"/>
            <w:noWrap/>
            <w:vAlign w:val="center"/>
          </w:tcPr>
          <w:p w:rsidR="002D21BA" w:rsidRDefault="004A1A23">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lang w:eastAsia="zh-CN"/>
              </w:rPr>
              <w:t xml:space="preserve">AKI, </w:t>
            </w:r>
            <w:r>
              <w:rPr>
                <w:rFonts w:ascii="Book Antiqua" w:hAnsi="Book Antiqua"/>
                <w:b/>
                <w:bCs/>
                <w:i/>
                <w:iCs/>
                <w:color w:val="000000" w:themeColor="text1"/>
              </w:rPr>
              <w:t xml:space="preserve">n </w:t>
            </w:r>
            <w:r>
              <w:rPr>
                <w:rFonts w:ascii="Book Antiqua" w:hAnsi="Book Antiqua"/>
                <w:b/>
                <w:bCs/>
                <w:color w:val="000000" w:themeColor="text1"/>
              </w:rPr>
              <w:t>= 72</w:t>
            </w:r>
          </w:p>
        </w:tc>
        <w:tc>
          <w:tcPr>
            <w:tcW w:w="2645" w:type="dxa"/>
            <w:tcBorders>
              <w:top w:val="single" w:sz="4" w:space="0" w:color="auto"/>
              <w:bottom w:val="single" w:sz="4" w:space="0" w:color="auto"/>
            </w:tcBorders>
            <w:shd w:val="clear" w:color="auto" w:fill="auto"/>
            <w:noWrap/>
            <w:vAlign w:val="center"/>
          </w:tcPr>
          <w:p w:rsidR="002D21BA" w:rsidRDefault="004A1A23">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lang w:eastAsia="zh-CN"/>
              </w:rPr>
              <w:t>N</w:t>
            </w:r>
            <w:r>
              <w:rPr>
                <w:rFonts w:ascii="Book Antiqua" w:hAnsi="Book Antiqua"/>
                <w:b/>
                <w:bCs/>
                <w:color w:val="000000" w:themeColor="text1"/>
              </w:rPr>
              <w:t xml:space="preserve">on-AKI, </w:t>
            </w:r>
            <w:r>
              <w:rPr>
                <w:rFonts w:ascii="Book Antiqua" w:hAnsi="Book Antiqua"/>
                <w:b/>
                <w:bCs/>
                <w:i/>
                <w:iCs/>
                <w:color w:val="000000" w:themeColor="text1"/>
              </w:rPr>
              <w:t xml:space="preserve">n </w:t>
            </w:r>
            <w:r>
              <w:rPr>
                <w:rFonts w:ascii="Book Antiqua" w:hAnsi="Book Antiqua"/>
                <w:b/>
                <w:bCs/>
                <w:color w:val="000000" w:themeColor="text1"/>
              </w:rPr>
              <w:t>= 67</w:t>
            </w:r>
          </w:p>
        </w:tc>
        <w:tc>
          <w:tcPr>
            <w:tcW w:w="1163" w:type="dxa"/>
            <w:tcBorders>
              <w:top w:val="single" w:sz="4" w:space="0" w:color="auto"/>
              <w:bottom w:val="single" w:sz="4" w:space="0" w:color="auto"/>
            </w:tcBorders>
            <w:vAlign w:val="center"/>
          </w:tcPr>
          <w:p w:rsidR="002D21BA" w:rsidRDefault="004A1A23">
            <w:pPr>
              <w:adjustRightInd w:val="0"/>
              <w:snapToGrid w:val="0"/>
              <w:spacing w:line="360" w:lineRule="auto"/>
              <w:ind w:firstLineChars="50" w:firstLine="120"/>
              <w:jc w:val="both"/>
              <w:rPr>
                <w:rFonts w:ascii="Book Antiqua" w:hAnsi="Book Antiqua"/>
                <w:b/>
                <w:bCs/>
                <w:i/>
                <w:color w:val="000000" w:themeColor="text1"/>
              </w:rPr>
            </w:pPr>
            <w:r>
              <w:rPr>
                <w:rFonts w:ascii="Book Antiqua" w:hAnsi="Book Antiqua"/>
                <w:b/>
                <w:bCs/>
                <w:i/>
                <w:color w:val="000000" w:themeColor="text1"/>
              </w:rPr>
              <w:t>χ</w:t>
            </w:r>
            <w:r>
              <w:rPr>
                <w:rFonts w:ascii="Book Antiqua" w:hAnsi="Book Antiqua"/>
                <w:b/>
                <w:bCs/>
                <w:color w:val="000000" w:themeColor="text1"/>
                <w:vertAlign w:val="superscript"/>
              </w:rPr>
              <w:t>2</w:t>
            </w:r>
          </w:p>
        </w:tc>
        <w:tc>
          <w:tcPr>
            <w:tcW w:w="1042" w:type="dxa"/>
            <w:tcBorders>
              <w:top w:val="single" w:sz="4" w:space="0" w:color="auto"/>
              <w:bottom w:val="single" w:sz="4" w:space="0" w:color="auto"/>
            </w:tcBorders>
            <w:vAlign w:val="center"/>
          </w:tcPr>
          <w:p w:rsidR="002D21BA" w:rsidRDefault="004A1A23">
            <w:pPr>
              <w:adjustRightInd w:val="0"/>
              <w:snapToGrid w:val="0"/>
              <w:spacing w:line="360" w:lineRule="auto"/>
              <w:jc w:val="both"/>
              <w:rPr>
                <w:rFonts w:ascii="Book Antiqua" w:hAnsi="Book Antiqua"/>
                <w:b/>
                <w:bCs/>
                <w:i/>
                <w:color w:val="000000" w:themeColor="text1"/>
              </w:rPr>
            </w:pPr>
            <w:r>
              <w:rPr>
                <w:rFonts w:ascii="Book Antiqua" w:hAnsi="Book Antiqua"/>
                <w:b/>
                <w:bCs/>
                <w:i/>
                <w:color w:val="000000" w:themeColor="text1"/>
              </w:rPr>
              <w:t xml:space="preserve">P </w:t>
            </w:r>
            <w:r>
              <w:rPr>
                <w:rFonts w:ascii="Book Antiqua" w:hAnsi="Book Antiqua"/>
                <w:b/>
                <w:bCs/>
                <w:iCs/>
                <w:color w:val="000000" w:themeColor="text1"/>
              </w:rPr>
              <w:t>value</w:t>
            </w:r>
          </w:p>
        </w:tc>
      </w:tr>
      <w:tr w:rsidR="002D21BA">
        <w:trPr>
          <w:trHeight w:val="456"/>
        </w:trPr>
        <w:tc>
          <w:tcPr>
            <w:tcW w:w="3952" w:type="dxa"/>
            <w:tcBorders>
              <w:top w:val="single" w:sz="4" w:space="0" w:color="auto"/>
            </w:tcBorders>
            <w:shd w:val="clear" w:color="auto" w:fill="auto"/>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Types of vasopressors</w:t>
            </w:r>
          </w:p>
        </w:tc>
        <w:tc>
          <w:tcPr>
            <w:tcW w:w="2077" w:type="dxa"/>
            <w:tcBorders>
              <w:top w:val="single" w:sz="4" w:space="0" w:color="auto"/>
            </w:tcBorders>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2645" w:type="dxa"/>
            <w:tcBorders>
              <w:top w:val="single" w:sz="4" w:space="0" w:color="auto"/>
            </w:tcBorders>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1163" w:type="dxa"/>
            <w:tcBorders>
              <w:top w:val="single" w:sz="4" w:space="0" w:color="auto"/>
            </w:tcBorders>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27.44</w:t>
            </w:r>
          </w:p>
        </w:tc>
        <w:tc>
          <w:tcPr>
            <w:tcW w:w="1042" w:type="dxa"/>
            <w:tcBorders>
              <w:top w:val="single" w:sz="4" w:space="0" w:color="auto"/>
            </w:tcBorders>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r>
      <w:tr w:rsidR="002D21BA">
        <w:trPr>
          <w:trHeight w:val="446"/>
        </w:trPr>
        <w:tc>
          <w:tcPr>
            <w:tcW w:w="395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2077"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21</w:t>
            </w:r>
          </w:p>
        </w:tc>
        <w:tc>
          <w:tcPr>
            <w:tcW w:w="2645"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49</w:t>
            </w:r>
          </w:p>
        </w:tc>
        <w:tc>
          <w:tcPr>
            <w:tcW w:w="1163"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1042"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46"/>
        </w:trPr>
        <w:tc>
          <w:tcPr>
            <w:tcW w:w="395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1</w:t>
            </w:r>
          </w:p>
        </w:tc>
        <w:tc>
          <w:tcPr>
            <w:tcW w:w="2077"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34</w:t>
            </w:r>
          </w:p>
        </w:tc>
        <w:tc>
          <w:tcPr>
            <w:tcW w:w="2645"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14</w:t>
            </w:r>
          </w:p>
        </w:tc>
        <w:tc>
          <w:tcPr>
            <w:tcW w:w="1163" w:type="dxa"/>
            <w:vAlign w:val="center"/>
          </w:tcPr>
          <w:p w:rsidR="002D21BA" w:rsidRDefault="002D21BA">
            <w:pPr>
              <w:adjustRightInd w:val="0"/>
              <w:snapToGrid w:val="0"/>
              <w:spacing w:line="360" w:lineRule="auto"/>
              <w:jc w:val="both"/>
              <w:rPr>
                <w:rFonts w:ascii="Book Antiqua" w:hAnsi="Book Antiqua"/>
                <w:color w:val="000000"/>
              </w:rPr>
            </w:pPr>
          </w:p>
        </w:tc>
        <w:tc>
          <w:tcPr>
            <w:tcW w:w="1042"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46"/>
        </w:trPr>
        <w:tc>
          <w:tcPr>
            <w:tcW w:w="395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 2</w:t>
            </w:r>
          </w:p>
        </w:tc>
        <w:tc>
          <w:tcPr>
            <w:tcW w:w="2077"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17</w:t>
            </w:r>
          </w:p>
        </w:tc>
        <w:tc>
          <w:tcPr>
            <w:tcW w:w="2645"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4</w:t>
            </w:r>
          </w:p>
        </w:tc>
        <w:tc>
          <w:tcPr>
            <w:tcW w:w="1163" w:type="dxa"/>
            <w:vAlign w:val="center"/>
          </w:tcPr>
          <w:p w:rsidR="002D21BA" w:rsidRDefault="002D21BA">
            <w:pPr>
              <w:adjustRightInd w:val="0"/>
              <w:snapToGrid w:val="0"/>
              <w:spacing w:line="360" w:lineRule="auto"/>
              <w:jc w:val="both"/>
              <w:rPr>
                <w:rFonts w:ascii="Book Antiqua" w:hAnsi="Book Antiqua"/>
                <w:color w:val="000000"/>
              </w:rPr>
            </w:pPr>
          </w:p>
        </w:tc>
        <w:tc>
          <w:tcPr>
            <w:tcW w:w="1042"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46"/>
        </w:trPr>
        <w:tc>
          <w:tcPr>
            <w:tcW w:w="3952" w:type="dxa"/>
            <w:shd w:val="clear" w:color="auto" w:fill="auto"/>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Norepinephrine infusion</w:t>
            </w:r>
          </w:p>
        </w:tc>
        <w:tc>
          <w:tcPr>
            <w:tcW w:w="2077"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2645"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1163" w:type="dxa"/>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35.35</w:t>
            </w:r>
          </w:p>
        </w:tc>
        <w:tc>
          <w:tcPr>
            <w:tcW w:w="1042"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r>
      <w:tr w:rsidR="002D21BA">
        <w:trPr>
          <w:trHeight w:val="446"/>
        </w:trPr>
        <w:tc>
          <w:tcPr>
            <w:tcW w:w="395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2077"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49</w:t>
            </w:r>
          </w:p>
        </w:tc>
        <w:tc>
          <w:tcPr>
            <w:tcW w:w="2645"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17</w:t>
            </w:r>
          </w:p>
        </w:tc>
        <w:tc>
          <w:tcPr>
            <w:tcW w:w="1163"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1042"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46"/>
        </w:trPr>
        <w:tc>
          <w:tcPr>
            <w:tcW w:w="395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2077"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23</w:t>
            </w:r>
          </w:p>
        </w:tc>
        <w:tc>
          <w:tcPr>
            <w:tcW w:w="2645"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50</w:t>
            </w:r>
          </w:p>
        </w:tc>
        <w:tc>
          <w:tcPr>
            <w:tcW w:w="1163"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1042"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46"/>
        </w:trPr>
        <w:tc>
          <w:tcPr>
            <w:tcW w:w="3952" w:type="dxa"/>
            <w:shd w:val="clear" w:color="auto" w:fill="auto"/>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Adrenaline infusion</w:t>
            </w:r>
          </w:p>
        </w:tc>
        <w:tc>
          <w:tcPr>
            <w:tcW w:w="2077"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2645"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1163" w:type="dxa"/>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12.75</w:t>
            </w:r>
          </w:p>
        </w:tc>
        <w:tc>
          <w:tcPr>
            <w:tcW w:w="1042" w:type="dxa"/>
            <w:vAlign w:val="center"/>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&lt; 0.01</w:t>
            </w:r>
          </w:p>
        </w:tc>
      </w:tr>
      <w:tr w:rsidR="002D21BA">
        <w:trPr>
          <w:trHeight w:val="446"/>
        </w:trPr>
        <w:tc>
          <w:tcPr>
            <w:tcW w:w="395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2077"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15</w:t>
            </w:r>
          </w:p>
        </w:tc>
        <w:tc>
          <w:tcPr>
            <w:tcW w:w="2645"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1</w:t>
            </w:r>
          </w:p>
        </w:tc>
        <w:tc>
          <w:tcPr>
            <w:tcW w:w="1163"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1042"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46"/>
        </w:trPr>
        <w:tc>
          <w:tcPr>
            <w:tcW w:w="395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2077"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57</w:t>
            </w:r>
          </w:p>
        </w:tc>
        <w:tc>
          <w:tcPr>
            <w:tcW w:w="2645"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66</w:t>
            </w:r>
          </w:p>
        </w:tc>
        <w:tc>
          <w:tcPr>
            <w:tcW w:w="1163"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1042"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46"/>
        </w:trPr>
        <w:tc>
          <w:tcPr>
            <w:tcW w:w="3952" w:type="dxa"/>
            <w:shd w:val="clear" w:color="auto" w:fill="auto"/>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Vasopressor infusion</w:t>
            </w:r>
          </w:p>
        </w:tc>
        <w:tc>
          <w:tcPr>
            <w:tcW w:w="2077"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2645" w:type="dxa"/>
            <w:shd w:val="clear" w:color="auto" w:fill="auto"/>
            <w:noWrap/>
            <w:vAlign w:val="center"/>
          </w:tcPr>
          <w:p w:rsidR="002D21BA" w:rsidRDefault="002D21BA">
            <w:pPr>
              <w:adjustRightInd w:val="0"/>
              <w:snapToGrid w:val="0"/>
              <w:spacing w:line="360" w:lineRule="auto"/>
              <w:jc w:val="both"/>
              <w:rPr>
                <w:rFonts w:ascii="Book Antiqua" w:eastAsia="MingLiU" w:hAnsi="Book Antiqua"/>
                <w:color w:val="000000"/>
              </w:rPr>
            </w:pPr>
          </w:p>
        </w:tc>
        <w:tc>
          <w:tcPr>
            <w:tcW w:w="1163" w:type="dxa"/>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26.84</w:t>
            </w:r>
          </w:p>
        </w:tc>
        <w:tc>
          <w:tcPr>
            <w:tcW w:w="1042" w:type="dxa"/>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r>
      <w:tr w:rsidR="002D21BA">
        <w:trPr>
          <w:trHeight w:val="446"/>
        </w:trPr>
        <w:tc>
          <w:tcPr>
            <w:tcW w:w="3952" w:type="dxa"/>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Yes</w:t>
            </w:r>
          </w:p>
        </w:tc>
        <w:tc>
          <w:tcPr>
            <w:tcW w:w="2077"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51</w:t>
            </w:r>
          </w:p>
        </w:tc>
        <w:tc>
          <w:tcPr>
            <w:tcW w:w="2645" w:type="dxa"/>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18</w:t>
            </w:r>
          </w:p>
        </w:tc>
        <w:tc>
          <w:tcPr>
            <w:tcW w:w="1163" w:type="dxa"/>
            <w:vAlign w:val="center"/>
          </w:tcPr>
          <w:p w:rsidR="002D21BA" w:rsidRDefault="002D21BA">
            <w:pPr>
              <w:adjustRightInd w:val="0"/>
              <w:snapToGrid w:val="0"/>
              <w:spacing w:line="360" w:lineRule="auto"/>
              <w:jc w:val="both"/>
              <w:rPr>
                <w:rFonts w:ascii="Book Antiqua" w:eastAsia="MingLiU" w:hAnsi="Book Antiqua"/>
                <w:color w:val="000000"/>
              </w:rPr>
            </w:pPr>
          </w:p>
        </w:tc>
        <w:tc>
          <w:tcPr>
            <w:tcW w:w="1042" w:type="dxa"/>
            <w:vAlign w:val="center"/>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56"/>
        </w:trPr>
        <w:tc>
          <w:tcPr>
            <w:tcW w:w="3952" w:type="dxa"/>
            <w:tcBorders>
              <w:bottom w:val="single" w:sz="4" w:space="0" w:color="auto"/>
            </w:tcBorders>
            <w:shd w:val="clear" w:color="auto" w:fill="auto"/>
            <w:vAlign w:val="center"/>
          </w:tcPr>
          <w:p w:rsidR="002D21BA" w:rsidRDefault="004A1A23">
            <w:pPr>
              <w:adjustRightInd w:val="0"/>
              <w:snapToGrid w:val="0"/>
              <w:spacing w:line="360" w:lineRule="auto"/>
              <w:ind w:firstLineChars="100" w:firstLine="240"/>
              <w:jc w:val="both"/>
              <w:rPr>
                <w:rFonts w:ascii="Book Antiqua" w:hAnsi="Book Antiqua"/>
                <w:color w:val="000000"/>
              </w:rPr>
            </w:pPr>
            <w:r>
              <w:rPr>
                <w:rFonts w:ascii="Book Antiqua" w:hAnsi="Book Antiqua"/>
                <w:color w:val="000000"/>
              </w:rPr>
              <w:t>No</w:t>
            </w:r>
          </w:p>
        </w:tc>
        <w:tc>
          <w:tcPr>
            <w:tcW w:w="2077" w:type="dxa"/>
            <w:tcBorders>
              <w:bottom w:val="single" w:sz="4" w:space="0" w:color="auto"/>
            </w:tcBorders>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21</w:t>
            </w:r>
          </w:p>
        </w:tc>
        <w:tc>
          <w:tcPr>
            <w:tcW w:w="2645" w:type="dxa"/>
            <w:tcBorders>
              <w:bottom w:val="single" w:sz="4" w:space="0" w:color="auto"/>
            </w:tcBorders>
            <w:shd w:val="clear" w:color="auto" w:fill="auto"/>
            <w:noWrap/>
            <w:vAlign w:val="center"/>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49</w:t>
            </w:r>
          </w:p>
        </w:tc>
        <w:tc>
          <w:tcPr>
            <w:tcW w:w="1163" w:type="dxa"/>
            <w:tcBorders>
              <w:bottom w:val="single" w:sz="4" w:space="0" w:color="auto"/>
            </w:tcBorders>
            <w:vAlign w:val="center"/>
          </w:tcPr>
          <w:p w:rsidR="002D21BA" w:rsidRDefault="002D21BA">
            <w:pPr>
              <w:adjustRightInd w:val="0"/>
              <w:snapToGrid w:val="0"/>
              <w:spacing w:line="360" w:lineRule="auto"/>
              <w:jc w:val="both"/>
              <w:rPr>
                <w:rFonts w:ascii="Book Antiqua" w:eastAsia="MingLiU" w:hAnsi="Book Antiqua"/>
                <w:color w:val="000000"/>
              </w:rPr>
            </w:pPr>
          </w:p>
        </w:tc>
        <w:tc>
          <w:tcPr>
            <w:tcW w:w="1042" w:type="dxa"/>
            <w:tcBorders>
              <w:bottom w:val="single" w:sz="4" w:space="0" w:color="auto"/>
            </w:tcBorders>
            <w:vAlign w:val="center"/>
          </w:tcPr>
          <w:p w:rsidR="002D21BA" w:rsidRDefault="002D21BA">
            <w:pPr>
              <w:adjustRightInd w:val="0"/>
              <w:snapToGrid w:val="0"/>
              <w:spacing w:line="360" w:lineRule="auto"/>
              <w:jc w:val="both"/>
              <w:rPr>
                <w:rFonts w:ascii="Book Antiqua" w:eastAsia="MingLiU" w:hAnsi="Book Antiqua"/>
                <w:color w:val="000000"/>
              </w:rPr>
            </w:pPr>
          </w:p>
        </w:tc>
      </w:tr>
    </w:tbl>
    <w:p w:rsidR="002D21BA" w:rsidRDefault="004A1A23">
      <w:pPr>
        <w:tabs>
          <w:tab w:val="left" w:pos="3494"/>
        </w:tabs>
        <w:adjustRightInd w:val="0"/>
        <w:snapToGrid w:val="0"/>
        <w:spacing w:line="360" w:lineRule="auto"/>
        <w:jc w:val="both"/>
        <w:rPr>
          <w:rFonts w:ascii="Book Antiqua" w:eastAsia="Book Antiqua" w:hAnsi="Book Antiqua" w:cs="Book Antiqua"/>
          <w:color w:val="000000"/>
        </w:rPr>
      </w:pPr>
      <w:r>
        <w:rPr>
          <w:rFonts w:ascii="Book Antiqua" w:hAnsi="Book Antiqua"/>
          <w:lang w:eastAsia="zh-CN"/>
        </w:rPr>
        <w:t xml:space="preserve">AKI: </w:t>
      </w:r>
      <w:r>
        <w:rPr>
          <w:rFonts w:ascii="Book Antiqua" w:eastAsia="Book Antiqua" w:hAnsi="Book Antiqua" w:cs="Book Antiqua"/>
          <w:color w:val="000000"/>
        </w:rPr>
        <w:t>Acute kidney injury.</w:t>
      </w:r>
    </w:p>
    <w:p w:rsidR="002D21BA" w:rsidRDefault="004A1A23">
      <w:pPr>
        <w:tabs>
          <w:tab w:val="left" w:pos="3494"/>
        </w:tabs>
        <w:adjustRightInd w:val="0"/>
        <w:snapToGrid w:val="0"/>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bCs/>
        </w:rPr>
        <w:t>Table 3 Analysis of prognostic indicators</w:t>
      </w:r>
    </w:p>
    <w:tbl>
      <w:tblPr>
        <w:tblW w:w="11018" w:type="dxa"/>
        <w:tblBorders>
          <w:top w:val="single" w:sz="4" w:space="0" w:color="auto"/>
          <w:bottom w:val="single" w:sz="4" w:space="0" w:color="auto"/>
        </w:tblBorders>
        <w:tblLook w:val="04A0" w:firstRow="1" w:lastRow="0" w:firstColumn="1" w:lastColumn="0" w:noHBand="0" w:noVBand="1"/>
      </w:tblPr>
      <w:tblGrid>
        <w:gridCol w:w="2802"/>
        <w:gridCol w:w="1984"/>
        <w:gridCol w:w="2268"/>
        <w:gridCol w:w="1208"/>
        <w:gridCol w:w="1251"/>
        <w:gridCol w:w="1505"/>
      </w:tblGrid>
      <w:tr w:rsidR="002D21BA">
        <w:trPr>
          <w:trHeight w:val="438"/>
        </w:trPr>
        <w:tc>
          <w:tcPr>
            <w:tcW w:w="2802" w:type="dxa"/>
            <w:tcBorders>
              <w:top w:val="single" w:sz="4" w:space="0" w:color="auto"/>
              <w:bottom w:val="single" w:sz="4" w:space="0" w:color="auto"/>
            </w:tcBorders>
            <w:shd w:val="clear" w:color="auto" w:fill="auto"/>
            <w:noWrap/>
          </w:tcPr>
          <w:p w:rsidR="002D21BA" w:rsidRDefault="002D21BA">
            <w:pPr>
              <w:adjustRightInd w:val="0"/>
              <w:snapToGrid w:val="0"/>
              <w:spacing w:line="360" w:lineRule="auto"/>
              <w:jc w:val="both"/>
              <w:rPr>
                <w:rFonts w:ascii="Book Antiqua" w:hAnsi="Book Antiqua"/>
                <w:color w:val="000000"/>
              </w:rPr>
            </w:pPr>
          </w:p>
        </w:tc>
        <w:tc>
          <w:tcPr>
            <w:tcW w:w="1984" w:type="dxa"/>
            <w:tcBorders>
              <w:top w:val="single" w:sz="4" w:space="0" w:color="auto"/>
              <w:bottom w:val="single" w:sz="4" w:space="0" w:color="auto"/>
            </w:tcBorders>
            <w:shd w:val="clear" w:color="auto" w:fill="auto"/>
            <w:noWrap/>
          </w:tcPr>
          <w:p w:rsidR="002D21BA" w:rsidRDefault="004A1A23">
            <w:pPr>
              <w:adjustRightInd w:val="0"/>
              <w:snapToGrid w:val="0"/>
              <w:spacing w:line="360" w:lineRule="auto"/>
              <w:jc w:val="both"/>
              <w:rPr>
                <w:rFonts w:ascii="Book Antiqua" w:hAnsi="Book Antiqua"/>
                <w:b/>
                <w:bCs/>
                <w:color w:val="000000"/>
              </w:rPr>
            </w:pPr>
            <w:r>
              <w:rPr>
                <w:rFonts w:ascii="Book Antiqua" w:hAnsi="Book Antiqua"/>
                <w:b/>
                <w:bCs/>
                <w:color w:val="000000" w:themeColor="text1"/>
                <w:lang w:eastAsia="zh-CN"/>
              </w:rPr>
              <w:t>AKI,</w:t>
            </w:r>
            <w:r>
              <w:rPr>
                <w:rFonts w:ascii="Book Antiqua" w:hAnsi="Book Antiqua"/>
                <w:b/>
                <w:bCs/>
                <w:color w:val="000000" w:themeColor="text1"/>
              </w:rPr>
              <w:t xml:space="preserve"> </w:t>
            </w:r>
            <w:r>
              <w:rPr>
                <w:rFonts w:ascii="Book Antiqua" w:hAnsi="Book Antiqua"/>
                <w:b/>
                <w:bCs/>
                <w:i/>
                <w:iCs/>
                <w:color w:val="000000"/>
              </w:rPr>
              <w:t xml:space="preserve">n </w:t>
            </w:r>
            <w:r>
              <w:rPr>
                <w:rFonts w:ascii="Book Antiqua" w:hAnsi="Book Antiqua"/>
                <w:b/>
                <w:bCs/>
                <w:color w:val="000000"/>
              </w:rPr>
              <w:t>= 72</w:t>
            </w:r>
          </w:p>
        </w:tc>
        <w:tc>
          <w:tcPr>
            <w:tcW w:w="2268" w:type="dxa"/>
            <w:tcBorders>
              <w:top w:val="single" w:sz="4" w:space="0" w:color="auto"/>
              <w:bottom w:val="single" w:sz="4" w:space="0" w:color="auto"/>
            </w:tcBorders>
            <w:shd w:val="clear" w:color="auto" w:fill="auto"/>
            <w:noWrap/>
          </w:tcPr>
          <w:p w:rsidR="002D21BA" w:rsidRDefault="004A1A23">
            <w:pPr>
              <w:adjustRightInd w:val="0"/>
              <w:snapToGrid w:val="0"/>
              <w:spacing w:line="360" w:lineRule="auto"/>
              <w:jc w:val="both"/>
              <w:rPr>
                <w:rFonts w:ascii="Book Antiqua" w:hAnsi="Book Antiqua"/>
                <w:b/>
                <w:bCs/>
                <w:color w:val="000000"/>
              </w:rPr>
            </w:pPr>
            <w:r>
              <w:rPr>
                <w:rFonts w:ascii="Book Antiqua" w:hAnsi="Book Antiqua"/>
                <w:b/>
                <w:bCs/>
                <w:color w:val="000000" w:themeColor="text1"/>
                <w:lang w:eastAsia="zh-CN"/>
              </w:rPr>
              <w:t>N</w:t>
            </w:r>
            <w:r>
              <w:rPr>
                <w:rFonts w:ascii="Book Antiqua" w:hAnsi="Book Antiqua"/>
                <w:b/>
                <w:bCs/>
                <w:color w:val="000000" w:themeColor="text1"/>
              </w:rPr>
              <w:t>on-AKI,</w:t>
            </w:r>
            <w:r>
              <w:rPr>
                <w:rFonts w:ascii="Book Antiqua" w:hAnsi="Book Antiqua"/>
                <w:b/>
                <w:bCs/>
                <w:color w:val="000000"/>
              </w:rPr>
              <w:t xml:space="preserve"> </w:t>
            </w:r>
            <w:r>
              <w:rPr>
                <w:rFonts w:ascii="Book Antiqua" w:hAnsi="Book Antiqua"/>
                <w:b/>
                <w:bCs/>
                <w:i/>
                <w:iCs/>
                <w:color w:val="000000"/>
              </w:rPr>
              <w:t>n</w:t>
            </w:r>
            <w:r>
              <w:rPr>
                <w:rFonts w:ascii="Book Antiqua" w:hAnsi="Book Antiqua"/>
                <w:b/>
                <w:bCs/>
                <w:color w:val="000000"/>
              </w:rPr>
              <w:t xml:space="preserve"> = 67</w:t>
            </w:r>
          </w:p>
        </w:tc>
        <w:tc>
          <w:tcPr>
            <w:tcW w:w="1168" w:type="dxa"/>
            <w:tcBorders>
              <w:top w:val="single" w:sz="4" w:space="0" w:color="auto"/>
              <w:bottom w:val="single" w:sz="4" w:space="0" w:color="auto"/>
            </w:tcBorders>
          </w:tcPr>
          <w:p w:rsidR="002D21BA" w:rsidRDefault="004A1A23">
            <w:pPr>
              <w:adjustRightInd w:val="0"/>
              <w:snapToGrid w:val="0"/>
              <w:spacing w:line="360" w:lineRule="auto"/>
              <w:jc w:val="both"/>
              <w:rPr>
                <w:rFonts w:ascii="Book Antiqua" w:hAnsi="Book Antiqua"/>
                <w:b/>
                <w:bCs/>
                <w:i/>
                <w:color w:val="000000"/>
              </w:rPr>
            </w:pPr>
            <w:r>
              <w:rPr>
                <w:rFonts w:ascii="Book Antiqua" w:hAnsi="Book Antiqua"/>
                <w:b/>
                <w:bCs/>
                <w:i/>
                <w:color w:val="000000"/>
              </w:rPr>
              <w:t>Z/t/Wald</w:t>
            </w:r>
          </w:p>
        </w:tc>
        <w:tc>
          <w:tcPr>
            <w:tcW w:w="1264" w:type="dxa"/>
            <w:tcBorders>
              <w:top w:val="single" w:sz="4" w:space="0" w:color="auto"/>
              <w:bottom w:val="single" w:sz="4" w:space="0" w:color="auto"/>
            </w:tcBorders>
          </w:tcPr>
          <w:p w:rsidR="002D21BA" w:rsidRDefault="004A1A23">
            <w:pPr>
              <w:adjustRightInd w:val="0"/>
              <w:snapToGrid w:val="0"/>
              <w:spacing w:line="360" w:lineRule="auto"/>
              <w:jc w:val="both"/>
              <w:rPr>
                <w:rFonts w:ascii="Book Antiqua" w:hAnsi="Book Antiqua"/>
                <w:b/>
                <w:bCs/>
                <w:i/>
                <w:color w:val="000000"/>
              </w:rPr>
            </w:pPr>
            <w:r>
              <w:rPr>
                <w:rFonts w:ascii="Book Antiqua" w:hAnsi="Book Antiqua"/>
                <w:b/>
                <w:bCs/>
                <w:i/>
                <w:color w:val="000000"/>
              </w:rPr>
              <w:t xml:space="preserve">P </w:t>
            </w:r>
            <w:r>
              <w:rPr>
                <w:rFonts w:ascii="Book Antiqua" w:hAnsi="Book Antiqua"/>
                <w:b/>
                <w:bCs/>
                <w:iCs/>
                <w:color w:val="000000"/>
              </w:rPr>
              <w:t>value</w:t>
            </w:r>
          </w:p>
        </w:tc>
        <w:tc>
          <w:tcPr>
            <w:tcW w:w="1532" w:type="dxa"/>
            <w:tcBorders>
              <w:top w:val="single" w:sz="4" w:space="0" w:color="auto"/>
              <w:bottom w:val="single" w:sz="4" w:space="0" w:color="auto"/>
            </w:tcBorders>
          </w:tcPr>
          <w:p w:rsidR="002D21BA" w:rsidRDefault="004A1A23">
            <w:pPr>
              <w:adjustRightInd w:val="0"/>
              <w:snapToGrid w:val="0"/>
              <w:spacing w:line="360" w:lineRule="auto"/>
              <w:jc w:val="both"/>
              <w:rPr>
                <w:rFonts w:ascii="Book Antiqua" w:hAnsi="Book Antiqua"/>
                <w:b/>
                <w:bCs/>
                <w:iCs/>
                <w:color w:val="000000"/>
              </w:rPr>
            </w:pPr>
            <w:r>
              <w:rPr>
                <w:rFonts w:ascii="Book Antiqua" w:hAnsi="Book Antiqua"/>
                <w:b/>
                <w:bCs/>
                <w:iCs/>
                <w:color w:val="000000"/>
              </w:rPr>
              <w:t>OR</w:t>
            </w:r>
          </w:p>
        </w:tc>
      </w:tr>
      <w:tr w:rsidR="002D21BA">
        <w:trPr>
          <w:trHeight w:val="438"/>
        </w:trPr>
        <w:tc>
          <w:tcPr>
            <w:tcW w:w="2802" w:type="dxa"/>
            <w:tcBorders>
              <w:top w:val="single" w:sz="4" w:space="0" w:color="auto"/>
            </w:tcBorders>
            <w:shd w:val="clear" w:color="auto" w:fill="auto"/>
          </w:tcPr>
          <w:p w:rsidR="002D21BA" w:rsidRDefault="004A1A23">
            <w:pPr>
              <w:adjustRightInd w:val="0"/>
              <w:snapToGrid w:val="0"/>
              <w:spacing w:line="360" w:lineRule="auto"/>
              <w:jc w:val="both"/>
              <w:rPr>
                <w:rFonts w:ascii="Book Antiqua" w:hAnsi="Book Antiqua"/>
              </w:rPr>
            </w:pPr>
            <w:r>
              <w:rPr>
                <w:rFonts w:ascii="Book Antiqua" w:hAnsi="Book Antiqua"/>
              </w:rPr>
              <w:t>Prognosis of SICU</w:t>
            </w:r>
          </w:p>
        </w:tc>
        <w:tc>
          <w:tcPr>
            <w:tcW w:w="1984" w:type="dxa"/>
            <w:tcBorders>
              <w:top w:val="single" w:sz="4" w:space="0" w:color="auto"/>
            </w:tcBorders>
            <w:shd w:val="clear" w:color="auto" w:fill="auto"/>
            <w:noWrap/>
          </w:tcPr>
          <w:p w:rsidR="002D21BA" w:rsidRDefault="002D21BA">
            <w:pPr>
              <w:adjustRightInd w:val="0"/>
              <w:snapToGrid w:val="0"/>
              <w:spacing w:line="360" w:lineRule="auto"/>
              <w:jc w:val="both"/>
              <w:rPr>
                <w:rFonts w:ascii="Book Antiqua" w:eastAsia="MingLiU" w:hAnsi="Book Antiqua"/>
                <w:color w:val="000000"/>
              </w:rPr>
            </w:pPr>
          </w:p>
        </w:tc>
        <w:tc>
          <w:tcPr>
            <w:tcW w:w="2268" w:type="dxa"/>
            <w:tcBorders>
              <w:top w:val="single" w:sz="4" w:space="0" w:color="auto"/>
            </w:tcBorders>
            <w:shd w:val="clear" w:color="auto" w:fill="auto"/>
            <w:noWrap/>
          </w:tcPr>
          <w:p w:rsidR="002D21BA" w:rsidRDefault="002D21BA">
            <w:pPr>
              <w:adjustRightInd w:val="0"/>
              <w:snapToGrid w:val="0"/>
              <w:spacing w:line="360" w:lineRule="auto"/>
              <w:jc w:val="both"/>
              <w:rPr>
                <w:rFonts w:ascii="Book Antiqua" w:eastAsia="MingLiU" w:hAnsi="Book Antiqua"/>
                <w:color w:val="000000"/>
              </w:rPr>
            </w:pPr>
          </w:p>
        </w:tc>
        <w:tc>
          <w:tcPr>
            <w:tcW w:w="1168" w:type="dxa"/>
            <w:tcBorders>
              <w:top w:val="single" w:sz="4" w:space="0" w:color="auto"/>
            </w:tcBorders>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9.54</w:t>
            </w:r>
          </w:p>
        </w:tc>
        <w:tc>
          <w:tcPr>
            <w:tcW w:w="1264" w:type="dxa"/>
            <w:tcBorders>
              <w:top w:val="single" w:sz="4" w:space="0" w:color="auto"/>
            </w:tcBorders>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0.002</w:t>
            </w:r>
          </w:p>
        </w:tc>
        <w:tc>
          <w:tcPr>
            <w:tcW w:w="1532" w:type="dxa"/>
            <w:tcBorders>
              <w:top w:val="single" w:sz="4" w:space="0" w:color="auto"/>
            </w:tcBorders>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0.23</w:t>
            </w:r>
          </w:p>
        </w:tc>
      </w:tr>
      <w:tr w:rsidR="002D21BA">
        <w:trPr>
          <w:trHeight w:val="428"/>
        </w:trPr>
        <w:tc>
          <w:tcPr>
            <w:tcW w:w="2802" w:type="dxa"/>
            <w:shd w:val="clear" w:color="auto" w:fill="auto"/>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cure</w:t>
            </w:r>
          </w:p>
        </w:tc>
        <w:tc>
          <w:tcPr>
            <w:tcW w:w="1984"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48</w:t>
            </w:r>
          </w:p>
        </w:tc>
        <w:tc>
          <w:tcPr>
            <w:tcW w:w="2268"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1168" w:type="dxa"/>
          </w:tcPr>
          <w:p w:rsidR="002D21BA" w:rsidRDefault="002D21BA">
            <w:pPr>
              <w:adjustRightInd w:val="0"/>
              <w:snapToGrid w:val="0"/>
              <w:spacing w:line="360" w:lineRule="auto"/>
              <w:jc w:val="both"/>
              <w:rPr>
                <w:rFonts w:ascii="Book Antiqua" w:eastAsia="MingLiU" w:hAnsi="Book Antiqua"/>
                <w:color w:val="000000"/>
              </w:rPr>
            </w:pPr>
          </w:p>
        </w:tc>
        <w:tc>
          <w:tcPr>
            <w:tcW w:w="1264" w:type="dxa"/>
          </w:tcPr>
          <w:p w:rsidR="002D21BA" w:rsidRDefault="002D21BA">
            <w:pPr>
              <w:adjustRightInd w:val="0"/>
              <w:snapToGrid w:val="0"/>
              <w:spacing w:line="360" w:lineRule="auto"/>
              <w:jc w:val="both"/>
              <w:rPr>
                <w:rFonts w:ascii="Book Antiqua" w:eastAsia="MingLiU" w:hAnsi="Book Antiqua"/>
                <w:color w:val="000000"/>
              </w:rPr>
            </w:pPr>
          </w:p>
        </w:tc>
        <w:tc>
          <w:tcPr>
            <w:tcW w:w="1532" w:type="dxa"/>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28"/>
        </w:trPr>
        <w:tc>
          <w:tcPr>
            <w:tcW w:w="2802" w:type="dxa"/>
            <w:shd w:val="clear" w:color="auto" w:fill="auto"/>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other</w:t>
            </w:r>
          </w:p>
        </w:tc>
        <w:tc>
          <w:tcPr>
            <w:tcW w:w="1984"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24</w:t>
            </w:r>
          </w:p>
        </w:tc>
        <w:tc>
          <w:tcPr>
            <w:tcW w:w="2268"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7</w:t>
            </w:r>
          </w:p>
        </w:tc>
        <w:tc>
          <w:tcPr>
            <w:tcW w:w="1168" w:type="dxa"/>
          </w:tcPr>
          <w:p w:rsidR="002D21BA" w:rsidRDefault="002D21BA">
            <w:pPr>
              <w:adjustRightInd w:val="0"/>
              <w:snapToGrid w:val="0"/>
              <w:spacing w:line="360" w:lineRule="auto"/>
              <w:jc w:val="both"/>
              <w:rPr>
                <w:rFonts w:ascii="Book Antiqua" w:eastAsia="MingLiU" w:hAnsi="Book Antiqua"/>
                <w:color w:val="000000"/>
              </w:rPr>
            </w:pPr>
          </w:p>
        </w:tc>
        <w:tc>
          <w:tcPr>
            <w:tcW w:w="1264" w:type="dxa"/>
          </w:tcPr>
          <w:p w:rsidR="002D21BA" w:rsidRDefault="002D21BA">
            <w:pPr>
              <w:adjustRightInd w:val="0"/>
              <w:snapToGrid w:val="0"/>
              <w:spacing w:line="360" w:lineRule="auto"/>
              <w:jc w:val="both"/>
              <w:rPr>
                <w:rFonts w:ascii="Book Antiqua" w:eastAsia="MingLiU" w:hAnsi="Book Antiqua"/>
                <w:color w:val="000000"/>
              </w:rPr>
            </w:pPr>
          </w:p>
        </w:tc>
        <w:tc>
          <w:tcPr>
            <w:tcW w:w="1532" w:type="dxa"/>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28"/>
        </w:trPr>
        <w:tc>
          <w:tcPr>
            <w:tcW w:w="2802" w:type="dxa"/>
            <w:shd w:val="clear" w:color="auto" w:fill="auto"/>
          </w:tcPr>
          <w:p w:rsidR="002D21BA" w:rsidRDefault="004A1A23">
            <w:pPr>
              <w:adjustRightInd w:val="0"/>
              <w:snapToGrid w:val="0"/>
              <w:spacing w:line="360" w:lineRule="auto"/>
              <w:jc w:val="both"/>
              <w:rPr>
                <w:rFonts w:ascii="Book Antiqua" w:hAnsi="Book Antiqua"/>
              </w:rPr>
            </w:pPr>
            <w:r>
              <w:rPr>
                <w:rFonts w:ascii="Book Antiqua" w:hAnsi="Book Antiqua"/>
              </w:rPr>
              <w:t>Prognosis of in-hospital</w:t>
            </w:r>
          </w:p>
        </w:tc>
        <w:tc>
          <w:tcPr>
            <w:tcW w:w="1984" w:type="dxa"/>
            <w:shd w:val="clear" w:color="auto" w:fill="auto"/>
            <w:noWrap/>
          </w:tcPr>
          <w:p w:rsidR="002D21BA" w:rsidRDefault="002D21BA">
            <w:pPr>
              <w:adjustRightInd w:val="0"/>
              <w:snapToGrid w:val="0"/>
              <w:spacing w:line="360" w:lineRule="auto"/>
              <w:jc w:val="both"/>
              <w:rPr>
                <w:rFonts w:ascii="Book Antiqua" w:eastAsia="MingLiU" w:hAnsi="Book Antiqua"/>
                <w:color w:val="000000"/>
              </w:rPr>
            </w:pPr>
          </w:p>
        </w:tc>
        <w:tc>
          <w:tcPr>
            <w:tcW w:w="2268" w:type="dxa"/>
            <w:shd w:val="clear" w:color="auto" w:fill="auto"/>
            <w:noWrap/>
          </w:tcPr>
          <w:p w:rsidR="002D21BA" w:rsidRDefault="002D21BA">
            <w:pPr>
              <w:adjustRightInd w:val="0"/>
              <w:snapToGrid w:val="0"/>
              <w:spacing w:line="360" w:lineRule="auto"/>
              <w:jc w:val="both"/>
              <w:rPr>
                <w:rFonts w:ascii="Book Antiqua" w:eastAsia="MingLiU" w:hAnsi="Book Antiqua"/>
                <w:color w:val="000000"/>
              </w:rPr>
            </w:pPr>
          </w:p>
        </w:tc>
        <w:tc>
          <w:tcPr>
            <w:tcW w:w="1168" w:type="dxa"/>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11.33</w:t>
            </w:r>
          </w:p>
        </w:tc>
        <w:tc>
          <w:tcPr>
            <w:tcW w:w="1264" w:type="dxa"/>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0.001</w:t>
            </w:r>
          </w:p>
        </w:tc>
        <w:tc>
          <w:tcPr>
            <w:tcW w:w="1532" w:type="dxa"/>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0.21</w:t>
            </w:r>
          </w:p>
        </w:tc>
      </w:tr>
      <w:tr w:rsidR="002D21BA">
        <w:trPr>
          <w:trHeight w:val="428"/>
        </w:trPr>
        <w:tc>
          <w:tcPr>
            <w:tcW w:w="2802" w:type="dxa"/>
            <w:shd w:val="clear" w:color="auto" w:fill="auto"/>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cure</w:t>
            </w:r>
          </w:p>
        </w:tc>
        <w:tc>
          <w:tcPr>
            <w:tcW w:w="1984"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46</w:t>
            </w:r>
          </w:p>
        </w:tc>
        <w:tc>
          <w:tcPr>
            <w:tcW w:w="2268"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60</w:t>
            </w:r>
          </w:p>
        </w:tc>
        <w:tc>
          <w:tcPr>
            <w:tcW w:w="1168" w:type="dxa"/>
          </w:tcPr>
          <w:p w:rsidR="002D21BA" w:rsidRDefault="002D21BA">
            <w:pPr>
              <w:adjustRightInd w:val="0"/>
              <w:snapToGrid w:val="0"/>
              <w:spacing w:line="360" w:lineRule="auto"/>
              <w:jc w:val="both"/>
              <w:rPr>
                <w:rFonts w:ascii="Book Antiqua" w:eastAsia="MingLiU" w:hAnsi="Book Antiqua"/>
                <w:color w:val="000000"/>
              </w:rPr>
            </w:pPr>
          </w:p>
        </w:tc>
        <w:tc>
          <w:tcPr>
            <w:tcW w:w="1264" w:type="dxa"/>
          </w:tcPr>
          <w:p w:rsidR="002D21BA" w:rsidRDefault="002D21BA">
            <w:pPr>
              <w:adjustRightInd w:val="0"/>
              <w:snapToGrid w:val="0"/>
              <w:spacing w:line="360" w:lineRule="auto"/>
              <w:jc w:val="both"/>
              <w:rPr>
                <w:rFonts w:ascii="Book Antiqua" w:eastAsia="MingLiU" w:hAnsi="Book Antiqua"/>
                <w:color w:val="000000"/>
              </w:rPr>
            </w:pPr>
          </w:p>
        </w:tc>
        <w:tc>
          <w:tcPr>
            <w:tcW w:w="1532" w:type="dxa"/>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28"/>
        </w:trPr>
        <w:tc>
          <w:tcPr>
            <w:tcW w:w="2802" w:type="dxa"/>
            <w:shd w:val="clear" w:color="auto" w:fill="auto"/>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other</w:t>
            </w:r>
          </w:p>
        </w:tc>
        <w:tc>
          <w:tcPr>
            <w:tcW w:w="1984"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26</w:t>
            </w:r>
          </w:p>
        </w:tc>
        <w:tc>
          <w:tcPr>
            <w:tcW w:w="2268"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7</w:t>
            </w:r>
          </w:p>
        </w:tc>
        <w:tc>
          <w:tcPr>
            <w:tcW w:w="1168" w:type="dxa"/>
          </w:tcPr>
          <w:p w:rsidR="002D21BA" w:rsidRDefault="002D21BA">
            <w:pPr>
              <w:adjustRightInd w:val="0"/>
              <w:snapToGrid w:val="0"/>
              <w:spacing w:line="360" w:lineRule="auto"/>
              <w:jc w:val="both"/>
              <w:rPr>
                <w:rFonts w:ascii="Book Antiqua" w:eastAsia="MingLiU" w:hAnsi="Book Antiqua"/>
                <w:color w:val="000000"/>
              </w:rPr>
            </w:pPr>
          </w:p>
        </w:tc>
        <w:tc>
          <w:tcPr>
            <w:tcW w:w="1264" w:type="dxa"/>
          </w:tcPr>
          <w:p w:rsidR="002D21BA" w:rsidRDefault="002D21BA">
            <w:pPr>
              <w:adjustRightInd w:val="0"/>
              <w:snapToGrid w:val="0"/>
              <w:spacing w:line="360" w:lineRule="auto"/>
              <w:jc w:val="both"/>
              <w:rPr>
                <w:rFonts w:ascii="Book Antiqua" w:eastAsia="MingLiU" w:hAnsi="Book Antiqua"/>
                <w:color w:val="000000"/>
              </w:rPr>
            </w:pPr>
          </w:p>
        </w:tc>
        <w:tc>
          <w:tcPr>
            <w:tcW w:w="1532" w:type="dxa"/>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28"/>
        </w:trPr>
        <w:tc>
          <w:tcPr>
            <w:tcW w:w="2802" w:type="dxa"/>
            <w:shd w:val="clear" w:color="auto" w:fill="auto"/>
          </w:tcPr>
          <w:p w:rsidR="002D21BA" w:rsidRDefault="004A1A23">
            <w:pPr>
              <w:adjustRightInd w:val="0"/>
              <w:snapToGrid w:val="0"/>
              <w:spacing w:line="360" w:lineRule="auto"/>
              <w:jc w:val="both"/>
              <w:rPr>
                <w:rFonts w:ascii="Book Antiqua" w:hAnsi="Book Antiqua"/>
              </w:rPr>
            </w:pPr>
            <w:r>
              <w:rPr>
                <w:rFonts w:ascii="Book Antiqua" w:hAnsi="Book Antiqua"/>
              </w:rPr>
              <w:t>Duration of MV</w:t>
            </w:r>
          </w:p>
        </w:tc>
        <w:tc>
          <w:tcPr>
            <w:tcW w:w="1984"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34.00 </w:t>
            </w:r>
            <w:r>
              <w:rPr>
                <w:rFonts w:ascii="Book Antiqua" w:hAnsi="Book Antiqua"/>
                <w:color w:val="000000"/>
              </w:rPr>
              <w:t>(</w:t>
            </w:r>
            <w:r>
              <w:rPr>
                <w:rFonts w:ascii="Book Antiqua" w:eastAsia="MingLiU" w:hAnsi="Book Antiqua"/>
                <w:color w:val="000000"/>
              </w:rPr>
              <w:t>87.75</w:t>
            </w:r>
            <w:r>
              <w:rPr>
                <w:rFonts w:ascii="Book Antiqua" w:hAnsi="Book Antiqua"/>
                <w:color w:val="000000"/>
              </w:rPr>
              <w:t>)</w:t>
            </w:r>
          </w:p>
        </w:tc>
        <w:tc>
          <w:tcPr>
            <w:tcW w:w="2268"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0.00 </w:t>
            </w:r>
            <w:r>
              <w:rPr>
                <w:rFonts w:ascii="Book Antiqua" w:hAnsi="Book Antiqua"/>
                <w:color w:val="000000"/>
              </w:rPr>
              <w:t>(</w:t>
            </w:r>
            <w:r>
              <w:rPr>
                <w:rFonts w:ascii="Book Antiqua" w:eastAsia="MingLiU" w:hAnsi="Book Antiqua"/>
                <w:color w:val="000000"/>
              </w:rPr>
              <w:t>18.00</w:t>
            </w:r>
            <w:r>
              <w:rPr>
                <w:rFonts w:ascii="Book Antiqua" w:hAnsi="Book Antiqua"/>
                <w:color w:val="000000"/>
              </w:rPr>
              <w:t>)</w:t>
            </w:r>
          </w:p>
        </w:tc>
        <w:tc>
          <w:tcPr>
            <w:tcW w:w="1168" w:type="dxa"/>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-3.92</w:t>
            </w:r>
          </w:p>
        </w:tc>
        <w:tc>
          <w:tcPr>
            <w:tcW w:w="1264" w:type="dxa"/>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856"/>
        </w:trPr>
        <w:tc>
          <w:tcPr>
            <w:tcW w:w="2802" w:type="dxa"/>
            <w:shd w:val="clear" w:color="auto" w:fill="auto"/>
          </w:tcPr>
          <w:p w:rsidR="002D21BA" w:rsidRDefault="004A1A23">
            <w:pPr>
              <w:adjustRightInd w:val="0"/>
              <w:snapToGrid w:val="0"/>
              <w:spacing w:line="360" w:lineRule="auto"/>
              <w:jc w:val="both"/>
              <w:rPr>
                <w:rFonts w:ascii="Book Antiqua" w:hAnsi="Book Antiqua"/>
                <w:lang w:eastAsia="zh-CN"/>
              </w:rPr>
            </w:pPr>
            <w:r>
              <w:rPr>
                <w:rFonts w:ascii="Book Antiqua" w:hAnsi="Book Antiqua"/>
              </w:rPr>
              <w:t xml:space="preserve">Maximum values of </w:t>
            </w:r>
            <w:r>
              <w:rPr>
                <w:rFonts w:ascii="Book Antiqua" w:hAnsi="Book Antiqua"/>
                <w:lang w:eastAsia="zh-CN"/>
              </w:rPr>
              <w:t>IPP</w:t>
            </w:r>
          </w:p>
        </w:tc>
        <w:tc>
          <w:tcPr>
            <w:tcW w:w="1984"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24.50 </w:t>
            </w:r>
            <w:r>
              <w:rPr>
                <w:rFonts w:ascii="Book Antiqua" w:hAnsi="Book Antiqua"/>
                <w:color w:val="000000"/>
              </w:rPr>
              <w:t>(</w:t>
            </w:r>
            <w:r>
              <w:rPr>
                <w:rFonts w:ascii="Book Antiqua" w:eastAsia="MingLiU" w:hAnsi="Book Antiqua"/>
                <w:color w:val="000000"/>
              </w:rPr>
              <w:t>10.00</w:t>
            </w:r>
            <w:r>
              <w:rPr>
                <w:rFonts w:ascii="Book Antiqua" w:hAnsi="Book Antiqua"/>
                <w:color w:val="000000"/>
              </w:rPr>
              <w:t>)</w:t>
            </w:r>
          </w:p>
        </w:tc>
        <w:tc>
          <w:tcPr>
            <w:tcW w:w="2268"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18.00 </w:t>
            </w:r>
            <w:r>
              <w:rPr>
                <w:rFonts w:ascii="Book Antiqua" w:hAnsi="Book Antiqua"/>
                <w:color w:val="000000"/>
              </w:rPr>
              <w:t>(</w:t>
            </w:r>
            <w:r>
              <w:rPr>
                <w:rFonts w:ascii="Book Antiqua" w:eastAsia="MingLiU" w:hAnsi="Book Antiqua"/>
                <w:color w:val="000000"/>
              </w:rPr>
              <w:t>10.00</w:t>
            </w:r>
            <w:r>
              <w:rPr>
                <w:rFonts w:ascii="Book Antiqua" w:hAnsi="Book Antiqua"/>
                <w:color w:val="000000"/>
              </w:rPr>
              <w:t>)</w:t>
            </w:r>
          </w:p>
        </w:tc>
        <w:tc>
          <w:tcPr>
            <w:tcW w:w="1168" w:type="dxa"/>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-5.39</w:t>
            </w:r>
          </w:p>
        </w:tc>
        <w:tc>
          <w:tcPr>
            <w:tcW w:w="1264" w:type="dxa"/>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856"/>
        </w:trPr>
        <w:tc>
          <w:tcPr>
            <w:tcW w:w="2802" w:type="dxa"/>
            <w:tcBorders>
              <w:bottom w:val="nil"/>
            </w:tcBorders>
            <w:shd w:val="clear" w:color="auto" w:fill="auto"/>
          </w:tcPr>
          <w:p w:rsidR="002D21BA" w:rsidRDefault="004A1A23">
            <w:pPr>
              <w:adjustRightInd w:val="0"/>
              <w:snapToGrid w:val="0"/>
              <w:spacing w:line="360" w:lineRule="auto"/>
              <w:jc w:val="both"/>
              <w:rPr>
                <w:rFonts w:ascii="Book Antiqua" w:hAnsi="Book Antiqua"/>
                <w:lang w:eastAsia="zh-CN"/>
              </w:rPr>
            </w:pPr>
            <w:r>
              <w:rPr>
                <w:rFonts w:ascii="Book Antiqua" w:hAnsi="Book Antiqua"/>
              </w:rPr>
              <w:t xml:space="preserve">Mean values of </w:t>
            </w:r>
            <w:r>
              <w:rPr>
                <w:rFonts w:ascii="Book Antiqua" w:hAnsi="Book Antiqua"/>
                <w:lang w:eastAsia="zh-CN"/>
              </w:rPr>
              <w:t>IPP</w:t>
            </w:r>
          </w:p>
        </w:tc>
        <w:tc>
          <w:tcPr>
            <w:tcW w:w="1984" w:type="dxa"/>
            <w:tcBorders>
              <w:bottom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21.40 (6.82)</w:t>
            </w:r>
          </w:p>
        </w:tc>
        <w:tc>
          <w:tcPr>
            <w:tcW w:w="2268" w:type="dxa"/>
            <w:tcBorders>
              <w:bottom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15.2</w:t>
            </w:r>
            <w:r>
              <w:rPr>
                <w:rFonts w:ascii="Book Antiqua" w:hAnsi="Book Antiqua"/>
                <w:color w:val="000000"/>
              </w:rPr>
              <w:t>9 (4.73)</w:t>
            </w:r>
          </w:p>
        </w:tc>
        <w:tc>
          <w:tcPr>
            <w:tcW w:w="1168" w:type="dxa"/>
            <w:tcBorders>
              <w:bottom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6.175</w:t>
            </w:r>
          </w:p>
        </w:tc>
        <w:tc>
          <w:tcPr>
            <w:tcW w:w="1264" w:type="dxa"/>
            <w:tcBorders>
              <w:bottom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Borders>
              <w:bottom w:val="nil"/>
            </w:tcBorders>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856"/>
        </w:trPr>
        <w:tc>
          <w:tcPr>
            <w:tcW w:w="2802" w:type="dxa"/>
            <w:tcBorders>
              <w:top w:val="nil"/>
              <w:bottom w:val="nil"/>
            </w:tcBorders>
            <w:shd w:val="clear" w:color="auto" w:fill="auto"/>
          </w:tcPr>
          <w:p w:rsidR="002D21BA" w:rsidRDefault="004A1A23">
            <w:pPr>
              <w:adjustRightInd w:val="0"/>
              <w:snapToGrid w:val="0"/>
              <w:spacing w:line="360" w:lineRule="auto"/>
              <w:jc w:val="both"/>
              <w:rPr>
                <w:rFonts w:ascii="Book Antiqua" w:hAnsi="Book Antiqua"/>
              </w:rPr>
            </w:pPr>
            <w:r>
              <w:rPr>
                <w:rFonts w:ascii="Book Antiqua" w:hAnsi="Book Antiqua"/>
              </w:rPr>
              <w:t>Maximum values of body temperature</w:t>
            </w:r>
          </w:p>
        </w:tc>
        <w:tc>
          <w:tcPr>
            <w:tcW w:w="1984" w:type="dxa"/>
            <w:tcBorders>
              <w:top w:val="nil"/>
              <w:bottom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37.80 </w:t>
            </w:r>
            <w:r>
              <w:rPr>
                <w:rFonts w:ascii="Book Antiqua" w:hAnsi="Book Antiqua"/>
                <w:color w:val="000000"/>
              </w:rPr>
              <w:t>(</w:t>
            </w:r>
            <w:r>
              <w:rPr>
                <w:rFonts w:ascii="Book Antiqua" w:eastAsia="MingLiU" w:hAnsi="Book Antiqua"/>
                <w:color w:val="000000"/>
              </w:rPr>
              <w:t>1.20</w:t>
            </w:r>
            <w:r>
              <w:rPr>
                <w:rFonts w:ascii="Book Antiqua" w:hAnsi="Book Antiqua"/>
                <w:color w:val="000000"/>
              </w:rPr>
              <w:t>)</w:t>
            </w:r>
          </w:p>
        </w:tc>
        <w:tc>
          <w:tcPr>
            <w:tcW w:w="2268" w:type="dxa"/>
            <w:tcBorders>
              <w:top w:val="nil"/>
              <w:bottom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37.50 </w:t>
            </w:r>
            <w:r>
              <w:rPr>
                <w:rFonts w:ascii="Book Antiqua" w:hAnsi="Book Antiqua"/>
                <w:color w:val="000000"/>
              </w:rPr>
              <w:t>(</w:t>
            </w:r>
            <w:r>
              <w:rPr>
                <w:rFonts w:ascii="Book Antiqua" w:eastAsia="MingLiU" w:hAnsi="Book Antiqua"/>
                <w:color w:val="000000"/>
              </w:rPr>
              <w:t>1.00</w:t>
            </w:r>
            <w:r>
              <w:rPr>
                <w:rFonts w:ascii="Book Antiqua" w:hAnsi="Book Antiqua"/>
                <w:color w:val="000000"/>
              </w:rPr>
              <w:t>)</w:t>
            </w:r>
          </w:p>
        </w:tc>
        <w:tc>
          <w:tcPr>
            <w:tcW w:w="1168" w:type="dxa"/>
            <w:tcBorders>
              <w:top w:val="nil"/>
              <w:bottom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-2.00</w:t>
            </w:r>
          </w:p>
        </w:tc>
        <w:tc>
          <w:tcPr>
            <w:tcW w:w="1264" w:type="dxa"/>
            <w:tcBorders>
              <w:top w:val="nil"/>
              <w:bottom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0.05</w:t>
            </w:r>
          </w:p>
        </w:tc>
        <w:tc>
          <w:tcPr>
            <w:tcW w:w="1532" w:type="dxa"/>
            <w:tcBorders>
              <w:top w:val="nil"/>
              <w:bottom w:val="nil"/>
            </w:tcBorders>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856"/>
        </w:trPr>
        <w:tc>
          <w:tcPr>
            <w:tcW w:w="2802" w:type="dxa"/>
            <w:tcBorders>
              <w:top w:val="nil"/>
              <w:bottom w:val="nil"/>
            </w:tcBorders>
            <w:shd w:val="clear" w:color="auto" w:fill="auto"/>
          </w:tcPr>
          <w:p w:rsidR="002D21BA" w:rsidRDefault="004A1A23">
            <w:pPr>
              <w:adjustRightInd w:val="0"/>
              <w:snapToGrid w:val="0"/>
              <w:spacing w:line="360" w:lineRule="auto"/>
              <w:jc w:val="both"/>
              <w:rPr>
                <w:rFonts w:ascii="Book Antiqua" w:hAnsi="Book Antiqua"/>
              </w:rPr>
            </w:pPr>
            <w:r>
              <w:rPr>
                <w:rFonts w:ascii="Book Antiqua" w:hAnsi="Book Antiqua"/>
              </w:rPr>
              <w:t>Mean values of body temperature</w:t>
            </w:r>
          </w:p>
        </w:tc>
        <w:tc>
          <w:tcPr>
            <w:tcW w:w="1984" w:type="dxa"/>
            <w:tcBorders>
              <w:top w:val="nil"/>
              <w:bottom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37.00 </w:t>
            </w:r>
            <w:r>
              <w:rPr>
                <w:rFonts w:ascii="Book Antiqua" w:hAnsi="Book Antiqua"/>
                <w:color w:val="000000"/>
              </w:rPr>
              <w:t>(</w:t>
            </w:r>
            <w:r>
              <w:rPr>
                <w:rFonts w:ascii="Book Antiqua" w:eastAsia="MingLiU" w:hAnsi="Book Antiqua"/>
                <w:color w:val="000000"/>
              </w:rPr>
              <w:t>0.50</w:t>
            </w:r>
            <w:r>
              <w:rPr>
                <w:rFonts w:ascii="Book Antiqua" w:hAnsi="Book Antiqua"/>
                <w:color w:val="000000"/>
              </w:rPr>
              <w:t>)</w:t>
            </w:r>
          </w:p>
        </w:tc>
        <w:tc>
          <w:tcPr>
            <w:tcW w:w="2268" w:type="dxa"/>
            <w:tcBorders>
              <w:top w:val="nil"/>
              <w:bottom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37.00 </w:t>
            </w:r>
            <w:r>
              <w:rPr>
                <w:rFonts w:ascii="Book Antiqua" w:hAnsi="Book Antiqua"/>
                <w:color w:val="000000"/>
              </w:rPr>
              <w:t>(</w:t>
            </w:r>
            <w:r>
              <w:rPr>
                <w:rFonts w:ascii="Book Antiqua" w:eastAsia="MingLiU" w:hAnsi="Book Antiqua"/>
                <w:color w:val="000000"/>
              </w:rPr>
              <w:t>0.30</w:t>
            </w:r>
            <w:r>
              <w:rPr>
                <w:rFonts w:ascii="Book Antiqua" w:hAnsi="Book Antiqua"/>
                <w:color w:val="000000"/>
              </w:rPr>
              <w:t>)</w:t>
            </w:r>
          </w:p>
        </w:tc>
        <w:tc>
          <w:tcPr>
            <w:tcW w:w="1168" w:type="dxa"/>
            <w:tcBorders>
              <w:top w:val="nil"/>
              <w:bottom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-0.59</w:t>
            </w:r>
          </w:p>
        </w:tc>
        <w:tc>
          <w:tcPr>
            <w:tcW w:w="1264" w:type="dxa"/>
            <w:tcBorders>
              <w:top w:val="nil"/>
              <w:bottom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0.56</w:t>
            </w:r>
          </w:p>
        </w:tc>
        <w:tc>
          <w:tcPr>
            <w:tcW w:w="1532" w:type="dxa"/>
            <w:tcBorders>
              <w:top w:val="nil"/>
              <w:bottom w:val="nil"/>
            </w:tcBorders>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28"/>
        </w:trPr>
        <w:tc>
          <w:tcPr>
            <w:tcW w:w="2802" w:type="dxa"/>
            <w:tcBorders>
              <w:top w:val="nil"/>
              <w:bottom w:val="nil"/>
            </w:tcBorders>
            <w:shd w:val="clear" w:color="auto" w:fill="auto"/>
          </w:tcPr>
          <w:p w:rsidR="002D21BA" w:rsidRDefault="004A1A23">
            <w:pPr>
              <w:adjustRightInd w:val="0"/>
              <w:snapToGrid w:val="0"/>
              <w:spacing w:line="360" w:lineRule="auto"/>
              <w:jc w:val="both"/>
              <w:rPr>
                <w:rFonts w:ascii="Book Antiqua" w:hAnsi="Book Antiqua"/>
              </w:rPr>
            </w:pPr>
            <w:r>
              <w:rPr>
                <w:rFonts w:ascii="Book Antiqua" w:hAnsi="Book Antiqua"/>
              </w:rPr>
              <w:t>Maximum values of PCT</w:t>
            </w:r>
          </w:p>
        </w:tc>
        <w:tc>
          <w:tcPr>
            <w:tcW w:w="1984" w:type="dxa"/>
            <w:tcBorders>
              <w:top w:val="nil"/>
              <w:bottom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16.28 </w:t>
            </w:r>
            <w:r>
              <w:rPr>
                <w:rFonts w:ascii="Book Antiqua" w:hAnsi="Book Antiqua"/>
                <w:color w:val="000000"/>
              </w:rPr>
              <w:t>(</w:t>
            </w:r>
            <w:r>
              <w:rPr>
                <w:rFonts w:ascii="Book Antiqua" w:eastAsia="MingLiU" w:hAnsi="Book Antiqua"/>
                <w:color w:val="000000"/>
              </w:rPr>
              <w:t>21.12</w:t>
            </w:r>
            <w:r>
              <w:rPr>
                <w:rFonts w:ascii="Book Antiqua" w:hAnsi="Book Antiqua"/>
                <w:color w:val="000000"/>
              </w:rPr>
              <w:t>)</w:t>
            </w:r>
          </w:p>
        </w:tc>
        <w:tc>
          <w:tcPr>
            <w:tcW w:w="2268" w:type="dxa"/>
            <w:tcBorders>
              <w:top w:val="nil"/>
              <w:bottom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2.87 </w:t>
            </w:r>
            <w:r>
              <w:rPr>
                <w:rFonts w:ascii="Book Antiqua" w:hAnsi="Book Antiqua"/>
                <w:color w:val="000000"/>
              </w:rPr>
              <w:t>(</w:t>
            </w:r>
            <w:r>
              <w:rPr>
                <w:rFonts w:ascii="Book Antiqua" w:eastAsia="MingLiU" w:hAnsi="Book Antiqua"/>
                <w:color w:val="000000"/>
              </w:rPr>
              <w:t>9.28</w:t>
            </w:r>
            <w:r>
              <w:rPr>
                <w:rFonts w:ascii="Book Antiqua" w:hAnsi="Book Antiqua"/>
                <w:color w:val="000000"/>
              </w:rPr>
              <w:t>)</w:t>
            </w:r>
          </w:p>
        </w:tc>
        <w:tc>
          <w:tcPr>
            <w:tcW w:w="1168" w:type="dxa"/>
            <w:tcBorders>
              <w:top w:val="nil"/>
              <w:bottom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-5.96</w:t>
            </w:r>
          </w:p>
        </w:tc>
        <w:tc>
          <w:tcPr>
            <w:tcW w:w="1264" w:type="dxa"/>
            <w:tcBorders>
              <w:top w:val="nil"/>
              <w:bottom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Borders>
              <w:top w:val="nil"/>
              <w:bottom w:val="nil"/>
            </w:tcBorders>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38"/>
        </w:trPr>
        <w:tc>
          <w:tcPr>
            <w:tcW w:w="2802" w:type="dxa"/>
            <w:tcBorders>
              <w:top w:val="nil"/>
            </w:tcBorders>
            <w:shd w:val="clear" w:color="auto" w:fill="auto"/>
          </w:tcPr>
          <w:p w:rsidR="002D21BA" w:rsidRDefault="004A1A23">
            <w:pPr>
              <w:adjustRightInd w:val="0"/>
              <w:snapToGrid w:val="0"/>
              <w:spacing w:line="360" w:lineRule="auto"/>
              <w:jc w:val="both"/>
              <w:rPr>
                <w:rFonts w:ascii="Book Antiqua" w:hAnsi="Book Antiqua"/>
              </w:rPr>
            </w:pPr>
            <w:r>
              <w:rPr>
                <w:rFonts w:ascii="Book Antiqua" w:hAnsi="Book Antiqua"/>
              </w:rPr>
              <w:t>Mean values of PCT</w:t>
            </w:r>
          </w:p>
        </w:tc>
        <w:tc>
          <w:tcPr>
            <w:tcW w:w="1984" w:type="dxa"/>
            <w:tcBorders>
              <w:top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8.52 </w:t>
            </w:r>
            <w:r>
              <w:rPr>
                <w:rFonts w:ascii="Book Antiqua" w:hAnsi="Book Antiqua"/>
                <w:color w:val="000000"/>
              </w:rPr>
              <w:t>(</w:t>
            </w:r>
            <w:r>
              <w:rPr>
                <w:rFonts w:ascii="Book Antiqua" w:eastAsia="MingLiU" w:hAnsi="Book Antiqua"/>
                <w:color w:val="000000"/>
              </w:rPr>
              <w:t>11.52</w:t>
            </w:r>
            <w:r>
              <w:rPr>
                <w:rFonts w:ascii="Book Antiqua" w:hAnsi="Book Antiqua"/>
                <w:color w:val="000000"/>
              </w:rPr>
              <w:t>)</w:t>
            </w:r>
          </w:p>
        </w:tc>
        <w:tc>
          <w:tcPr>
            <w:tcW w:w="2268" w:type="dxa"/>
            <w:tcBorders>
              <w:top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1.58 </w:t>
            </w:r>
            <w:r>
              <w:rPr>
                <w:rFonts w:ascii="Book Antiqua" w:hAnsi="Book Antiqua"/>
                <w:color w:val="000000"/>
              </w:rPr>
              <w:t>(</w:t>
            </w:r>
            <w:r>
              <w:rPr>
                <w:rFonts w:ascii="Book Antiqua" w:eastAsia="MingLiU" w:hAnsi="Book Antiqua"/>
                <w:color w:val="000000"/>
              </w:rPr>
              <w:t>4.20</w:t>
            </w:r>
            <w:r>
              <w:rPr>
                <w:rFonts w:ascii="Book Antiqua" w:hAnsi="Book Antiqua"/>
                <w:color w:val="000000"/>
              </w:rPr>
              <w:t>)</w:t>
            </w:r>
          </w:p>
        </w:tc>
        <w:tc>
          <w:tcPr>
            <w:tcW w:w="1168" w:type="dxa"/>
            <w:tcBorders>
              <w:top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-6.42</w:t>
            </w:r>
          </w:p>
        </w:tc>
        <w:tc>
          <w:tcPr>
            <w:tcW w:w="1264" w:type="dxa"/>
            <w:tcBorders>
              <w:top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Borders>
              <w:top w:val="nil"/>
            </w:tcBorders>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856"/>
        </w:trPr>
        <w:tc>
          <w:tcPr>
            <w:tcW w:w="2802" w:type="dxa"/>
            <w:shd w:val="clear" w:color="auto" w:fill="auto"/>
          </w:tcPr>
          <w:p w:rsidR="002D21BA" w:rsidRDefault="004A1A23">
            <w:pPr>
              <w:adjustRightInd w:val="0"/>
              <w:snapToGrid w:val="0"/>
              <w:spacing w:line="360" w:lineRule="auto"/>
              <w:jc w:val="both"/>
              <w:rPr>
                <w:rFonts w:ascii="Book Antiqua" w:hAnsi="Book Antiqua"/>
              </w:rPr>
            </w:pPr>
            <w:r>
              <w:rPr>
                <w:rFonts w:ascii="Book Antiqua" w:hAnsi="Book Antiqua"/>
              </w:rPr>
              <w:t>Maximum serum levels of creatinine</w:t>
            </w:r>
          </w:p>
        </w:tc>
        <w:tc>
          <w:tcPr>
            <w:tcW w:w="1984"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284.35 </w:t>
            </w:r>
            <w:r>
              <w:rPr>
                <w:rFonts w:ascii="Book Antiqua" w:hAnsi="Book Antiqua"/>
                <w:color w:val="000000"/>
              </w:rPr>
              <w:t>(</w:t>
            </w:r>
            <w:r>
              <w:rPr>
                <w:rFonts w:ascii="Book Antiqua" w:eastAsia="MingLiU" w:hAnsi="Book Antiqua"/>
                <w:color w:val="000000"/>
              </w:rPr>
              <w:t>215.73</w:t>
            </w:r>
            <w:r>
              <w:rPr>
                <w:rFonts w:ascii="Book Antiqua" w:hAnsi="Book Antiqua"/>
                <w:color w:val="000000"/>
              </w:rPr>
              <w:t>)</w:t>
            </w:r>
          </w:p>
        </w:tc>
        <w:tc>
          <w:tcPr>
            <w:tcW w:w="2268"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87.60 </w:t>
            </w:r>
            <w:r>
              <w:rPr>
                <w:rFonts w:ascii="Book Antiqua" w:hAnsi="Book Antiqua"/>
                <w:color w:val="000000"/>
              </w:rPr>
              <w:t>(</w:t>
            </w:r>
            <w:r>
              <w:rPr>
                <w:rFonts w:ascii="Book Antiqua" w:eastAsia="MingLiU" w:hAnsi="Book Antiqua"/>
                <w:color w:val="000000"/>
              </w:rPr>
              <w:t>47.80</w:t>
            </w:r>
            <w:r>
              <w:rPr>
                <w:rFonts w:ascii="Book Antiqua" w:hAnsi="Book Antiqua"/>
                <w:color w:val="000000"/>
              </w:rPr>
              <w:t>)</w:t>
            </w:r>
          </w:p>
        </w:tc>
        <w:tc>
          <w:tcPr>
            <w:tcW w:w="1168" w:type="dxa"/>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-9.94</w:t>
            </w:r>
          </w:p>
        </w:tc>
        <w:tc>
          <w:tcPr>
            <w:tcW w:w="1264" w:type="dxa"/>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856"/>
        </w:trPr>
        <w:tc>
          <w:tcPr>
            <w:tcW w:w="2802" w:type="dxa"/>
            <w:shd w:val="clear" w:color="auto" w:fill="auto"/>
          </w:tcPr>
          <w:p w:rsidR="002D21BA" w:rsidRDefault="004A1A23">
            <w:pPr>
              <w:adjustRightInd w:val="0"/>
              <w:snapToGrid w:val="0"/>
              <w:spacing w:line="360" w:lineRule="auto"/>
              <w:jc w:val="both"/>
              <w:rPr>
                <w:rFonts w:ascii="Book Antiqua" w:hAnsi="Book Antiqua"/>
              </w:rPr>
            </w:pPr>
            <w:r>
              <w:rPr>
                <w:rFonts w:ascii="Book Antiqua" w:hAnsi="Book Antiqua"/>
              </w:rPr>
              <w:t>Mean serum levels of creatinine</w:t>
            </w:r>
          </w:p>
        </w:tc>
        <w:tc>
          <w:tcPr>
            <w:tcW w:w="1984"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197.45 </w:t>
            </w:r>
            <w:r>
              <w:rPr>
                <w:rFonts w:ascii="Book Antiqua" w:hAnsi="Book Antiqua"/>
                <w:color w:val="000000"/>
              </w:rPr>
              <w:t>(</w:t>
            </w:r>
            <w:r>
              <w:rPr>
                <w:rFonts w:ascii="Book Antiqua" w:eastAsia="MingLiU" w:hAnsi="Book Antiqua"/>
                <w:color w:val="000000"/>
              </w:rPr>
              <w:t>172.10</w:t>
            </w:r>
            <w:r>
              <w:rPr>
                <w:rFonts w:ascii="Book Antiqua" w:hAnsi="Book Antiqua"/>
                <w:color w:val="000000"/>
              </w:rPr>
              <w:t>)</w:t>
            </w:r>
          </w:p>
        </w:tc>
        <w:tc>
          <w:tcPr>
            <w:tcW w:w="2268"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65.60 </w:t>
            </w:r>
            <w:r>
              <w:rPr>
                <w:rFonts w:ascii="Book Antiqua" w:hAnsi="Book Antiqua"/>
                <w:color w:val="000000"/>
              </w:rPr>
              <w:t>(</w:t>
            </w:r>
            <w:r>
              <w:rPr>
                <w:rFonts w:ascii="Book Antiqua" w:eastAsia="MingLiU" w:hAnsi="Book Antiqua"/>
                <w:color w:val="000000"/>
              </w:rPr>
              <w:t>29.60</w:t>
            </w:r>
            <w:r>
              <w:rPr>
                <w:rFonts w:ascii="Book Antiqua" w:hAnsi="Book Antiqua"/>
                <w:color w:val="000000"/>
              </w:rPr>
              <w:t>)</w:t>
            </w:r>
          </w:p>
        </w:tc>
        <w:tc>
          <w:tcPr>
            <w:tcW w:w="1168" w:type="dxa"/>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-9.48</w:t>
            </w:r>
          </w:p>
        </w:tc>
        <w:tc>
          <w:tcPr>
            <w:tcW w:w="1264" w:type="dxa"/>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28"/>
        </w:trPr>
        <w:tc>
          <w:tcPr>
            <w:tcW w:w="2802" w:type="dxa"/>
            <w:tcBorders>
              <w:bottom w:val="nil"/>
            </w:tcBorders>
            <w:shd w:val="clear" w:color="auto" w:fill="auto"/>
          </w:tcPr>
          <w:p w:rsidR="002D21BA" w:rsidRDefault="004A1A23">
            <w:pPr>
              <w:adjustRightInd w:val="0"/>
              <w:snapToGrid w:val="0"/>
              <w:spacing w:line="360" w:lineRule="auto"/>
              <w:jc w:val="both"/>
              <w:rPr>
                <w:rFonts w:ascii="Book Antiqua" w:hAnsi="Book Antiqua"/>
              </w:rPr>
            </w:pPr>
            <w:r>
              <w:rPr>
                <w:rFonts w:ascii="Book Antiqua" w:hAnsi="Book Antiqua"/>
              </w:rPr>
              <w:t>Minimum platelet count</w:t>
            </w:r>
          </w:p>
        </w:tc>
        <w:tc>
          <w:tcPr>
            <w:tcW w:w="1984" w:type="dxa"/>
            <w:tcBorders>
              <w:bottom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93.00 </w:t>
            </w:r>
            <w:r>
              <w:rPr>
                <w:rFonts w:ascii="Book Antiqua" w:hAnsi="Book Antiqua"/>
                <w:color w:val="000000"/>
              </w:rPr>
              <w:t>(</w:t>
            </w:r>
            <w:r>
              <w:rPr>
                <w:rFonts w:ascii="Book Antiqua" w:eastAsia="MingLiU" w:hAnsi="Book Antiqua"/>
                <w:color w:val="000000"/>
              </w:rPr>
              <w:t>87.75</w:t>
            </w:r>
            <w:r>
              <w:rPr>
                <w:rFonts w:ascii="Book Antiqua" w:hAnsi="Book Antiqua"/>
                <w:color w:val="000000"/>
              </w:rPr>
              <w:t>)</w:t>
            </w:r>
          </w:p>
        </w:tc>
        <w:tc>
          <w:tcPr>
            <w:tcW w:w="2268" w:type="dxa"/>
            <w:tcBorders>
              <w:bottom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137.00 </w:t>
            </w:r>
            <w:r>
              <w:rPr>
                <w:rFonts w:ascii="Book Antiqua" w:hAnsi="Book Antiqua"/>
                <w:color w:val="000000"/>
              </w:rPr>
              <w:t>(</w:t>
            </w:r>
            <w:r>
              <w:rPr>
                <w:rFonts w:ascii="Book Antiqua" w:eastAsia="MingLiU" w:hAnsi="Book Antiqua"/>
                <w:color w:val="000000"/>
              </w:rPr>
              <w:t>73.00</w:t>
            </w:r>
            <w:r>
              <w:rPr>
                <w:rFonts w:ascii="Book Antiqua" w:hAnsi="Book Antiqua"/>
                <w:color w:val="000000"/>
              </w:rPr>
              <w:t>)</w:t>
            </w:r>
          </w:p>
        </w:tc>
        <w:tc>
          <w:tcPr>
            <w:tcW w:w="1168" w:type="dxa"/>
            <w:tcBorders>
              <w:bottom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-3.18</w:t>
            </w:r>
          </w:p>
        </w:tc>
        <w:tc>
          <w:tcPr>
            <w:tcW w:w="1264" w:type="dxa"/>
            <w:tcBorders>
              <w:bottom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Borders>
              <w:bottom w:val="nil"/>
            </w:tcBorders>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28"/>
        </w:trPr>
        <w:tc>
          <w:tcPr>
            <w:tcW w:w="2802" w:type="dxa"/>
            <w:tcBorders>
              <w:top w:val="nil"/>
              <w:bottom w:val="nil"/>
            </w:tcBorders>
            <w:shd w:val="clear" w:color="auto" w:fill="auto"/>
          </w:tcPr>
          <w:p w:rsidR="002D21BA" w:rsidRDefault="004A1A23">
            <w:pPr>
              <w:adjustRightInd w:val="0"/>
              <w:snapToGrid w:val="0"/>
              <w:spacing w:line="360" w:lineRule="auto"/>
              <w:jc w:val="both"/>
              <w:rPr>
                <w:rFonts w:ascii="Book Antiqua" w:hAnsi="Book Antiqua"/>
              </w:rPr>
            </w:pPr>
            <w:r>
              <w:rPr>
                <w:rFonts w:ascii="Book Antiqua" w:hAnsi="Book Antiqua"/>
              </w:rPr>
              <w:t>Mean platelet count</w:t>
            </w:r>
          </w:p>
        </w:tc>
        <w:tc>
          <w:tcPr>
            <w:tcW w:w="1984" w:type="dxa"/>
            <w:tcBorders>
              <w:top w:val="nil"/>
              <w:bottom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174.40 </w:t>
            </w:r>
            <w:r>
              <w:rPr>
                <w:rFonts w:ascii="Book Antiqua" w:hAnsi="Book Antiqua"/>
                <w:color w:val="000000"/>
              </w:rPr>
              <w:t>(</w:t>
            </w:r>
            <w:r>
              <w:rPr>
                <w:rFonts w:ascii="Book Antiqua" w:eastAsia="MingLiU" w:hAnsi="Book Antiqua"/>
                <w:color w:val="000000"/>
              </w:rPr>
              <w:t>112.15</w:t>
            </w:r>
            <w:r>
              <w:rPr>
                <w:rFonts w:ascii="Book Antiqua" w:hAnsi="Book Antiqua"/>
                <w:color w:val="000000"/>
              </w:rPr>
              <w:t>)</w:t>
            </w:r>
          </w:p>
        </w:tc>
        <w:tc>
          <w:tcPr>
            <w:tcW w:w="2268" w:type="dxa"/>
            <w:tcBorders>
              <w:top w:val="nil"/>
              <w:bottom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198.00 </w:t>
            </w:r>
            <w:r>
              <w:rPr>
                <w:rFonts w:ascii="Book Antiqua" w:hAnsi="Book Antiqua"/>
                <w:color w:val="000000"/>
              </w:rPr>
              <w:t>(</w:t>
            </w:r>
            <w:r>
              <w:rPr>
                <w:rFonts w:ascii="Book Antiqua" w:eastAsia="MingLiU" w:hAnsi="Book Antiqua"/>
                <w:color w:val="000000"/>
              </w:rPr>
              <w:t>103.60</w:t>
            </w:r>
            <w:r>
              <w:rPr>
                <w:rFonts w:ascii="Book Antiqua" w:hAnsi="Book Antiqua"/>
                <w:color w:val="000000"/>
              </w:rPr>
              <w:t>)</w:t>
            </w:r>
          </w:p>
        </w:tc>
        <w:tc>
          <w:tcPr>
            <w:tcW w:w="1168" w:type="dxa"/>
            <w:tcBorders>
              <w:top w:val="nil"/>
              <w:bottom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-1.64</w:t>
            </w:r>
          </w:p>
        </w:tc>
        <w:tc>
          <w:tcPr>
            <w:tcW w:w="1264" w:type="dxa"/>
            <w:tcBorders>
              <w:top w:val="nil"/>
              <w:bottom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0.10</w:t>
            </w:r>
          </w:p>
        </w:tc>
        <w:tc>
          <w:tcPr>
            <w:tcW w:w="1532" w:type="dxa"/>
            <w:tcBorders>
              <w:top w:val="nil"/>
              <w:bottom w:val="nil"/>
            </w:tcBorders>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28"/>
        </w:trPr>
        <w:tc>
          <w:tcPr>
            <w:tcW w:w="2802" w:type="dxa"/>
            <w:tcBorders>
              <w:top w:val="nil"/>
            </w:tcBorders>
            <w:shd w:val="clear" w:color="auto" w:fill="auto"/>
          </w:tcPr>
          <w:p w:rsidR="002D21BA" w:rsidRDefault="004A1A23">
            <w:pPr>
              <w:adjustRightInd w:val="0"/>
              <w:snapToGrid w:val="0"/>
              <w:spacing w:line="360" w:lineRule="auto"/>
              <w:jc w:val="both"/>
              <w:rPr>
                <w:rFonts w:ascii="Book Antiqua" w:hAnsi="Book Antiqua"/>
              </w:rPr>
            </w:pPr>
            <w:r>
              <w:rPr>
                <w:rFonts w:ascii="Book Antiqua" w:hAnsi="Book Antiqua"/>
              </w:rPr>
              <w:t>Hospital day</w:t>
            </w:r>
          </w:p>
        </w:tc>
        <w:tc>
          <w:tcPr>
            <w:tcW w:w="1984" w:type="dxa"/>
            <w:tcBorders>
              <w:top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9.00 </w:t>
            </w:r>
            <w:r>
              <w:rPr>
                <w:rFonts w:ascii="Book Antiqua" w:hAnsi="Book Antiqua"/>
                <w:color w:val="000000"/>
              </w:rPr>
              <w:t>(</w:t>
            </w:r>
            <w:r>
              <w:rPr>
                <w:rFonts w:ascii="Book Antiqua" w:eastAsia="MingLiU" w:hAnsi="Book Antiqua"/>
                <w:color w:val="000000"/>
              </w:rPr>
              <w:t>12.75</w:t>
            </w:r>
            <w:r>
              <w:rPr>
                <w:rFonts w:ascii="Book Antiqua" w:hAnsi="Book Antiqua"/>
                <w:color w:val="000000"/>
              </w:rPr>
              <w:t>)</w:t>
            </w:r>
          </w:p>
        </w:tc>
        <w:tc>
          <w:tcPr>
            <w:tcW w:w="2268" w:type="dxa"/>
            <w:tcBorders>
              <w:top w:val="nil"/>
            </w:tcBorders>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8.00 </w:t>
            </w:r>
            <w:r>
              <w:rPr>
                <w:rFonts w:ascii="Book Antiqua" w:hAnsi="Book Antiqua"/>
                <w:color w:val="000000"/>
              </w:rPr>
              <w:t>(</w:t>
            </w:r>
            <w:r>
              <w:rPr>
                <w:rFonts w:ascii="Book Antiqua" w:eastAsia="MingLiU" w:hAnsi="Book Antiqua"/>
                <w:color w:val="000000"/>
              </w:rPr>
              <w:t>11.00</w:t>
            </w:r>
            <w:r>
              <w:rPr>
                <w:rFonts w:ascii="Book Antiqua" w:hAnsi="Book Antiqua"/>
                <w:color w:val="000000"/>
              </w:rPr>
              <w:t>)</w:t>
            </w:r>
          </w:p>
        </w:tc>
        <w:tc>
          <w:tcPr>
            <w:tcW w:w="1168" w:type="dxa"/>
            <w:tcBorders>
              <w:top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-0.07</w:t>
            </w:r>
          </w:p>
        </w:tc>
        <w:tc>
          <w:tcPr>
            <w:tcW w:w="1264" w:type="dxa"/>
            <w:tcBorders>
              <w:top w:val="nil"/>
            </w:tcBorders>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0.94</w:t>
            </w:r>
          </w:p>
        </w:tc>
        <w:tc>
          <w:tcPr>
            <w:tcW w:w="1532" w:type="dxa"/>
            <w:tcBorders>
              <w:top w:val="nil"/>
            </w:tcBorders>
          </w:tcPr>
          <w:p w:rsidR="002D21BA" w:rsidRDefault="002D21BA">
            <w:pPr>
              <w:adjustRightInd w:val="0"/>
              <w:snapToGrid w:val="0"/>
              <w:spacing w:line="360" w:lineRule="auto"/>
              <w:jc w:val="both"/>
              <w:rPr>
                <w:rFonts w:ascii="Book Antiqua" w:eastAsia="MingLiU" w:hAnsi="Book Antiqua"/>
                <w:color w:val="000000"/>
              </w:rPr>
            </w:pPr>
          </w:p>
        </w:tc>
      </w:tr>
      <w:tr w:rsidR="002D21BA">
        <w:trPr>
          <w:trHeight w:val="428"/>
        </w:trPr>
        <w:tc>
          <w:tcPr>
            <w:tcW w:w="2802" w:type="dxa"/>
            <w:shd w:val="clear" w:color="auto" w:fill="auto"/>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Dose of norepinephrine</w:t>
            </w:r>
          </w:p>
        </w:tc>
        <w:tc>
          <w:tcPr>
            <w:tcW w:w="1984"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16.00 </w:t>
            </w:r>
            <w:r>
              <w:rPr>
                <w:rFonts w:ascii="Book Antiqua" w:hAnsi="Book Antiqua"/>
                <w:color w:val="000000"/>
              </w:rPr>
              <w:t>(</w:t>
            </w:r>
            <w:r>
              <w:rPr>
                <w:rFonts w:ascii="Book Antiqua" w:eastAsia="MingLiU" w:hAnsi="Book Antiqua"/>
                <w:color w:val="000000"/>
              </w:rPr>
              <w:t>52.00</w:t>
            </w:r>
            <w:r>
              <w:rPr>
                <w:rFonts w:ascii="Book Antiqua" w:hAnsi="Book Antiqua"/>
                <w:color w:val="000000"/>
              </w:rPr>
              <w:t>)</w:t>
            </w:r>
          </w:p>
        </w:tc>
        <w:tc>
          <w:tcPr>
            <w:tcW w:w="2268"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0.00 </w:t>
            </w:r>
            <w:r>
              <w:rPr>
                <w:rFonts w:ascii="Book Antiqua" w:hAnsi="Book Antiqua"/>
                <w:color w:val="000000"/>
              </w:rPr>
              <w:t>(</w:t>
            </w:r>
            <w:r>
              <w:rPr>
                <w:rFonts w:ascii="Book Antiqua" w:eastAsia="MingLiU" w:hAnsi="Book Antiqua"/>
                <w:color w:val="000000"/>
              </w:rPr>
              <w:t>4.00</w:t>
            </w:r>
            <w:r>
              <w:rPr>
                <w:rFonts w:ascii="Book Antiqua" w:hAnsi="Book Antiqua"/>
                <w:color w:val="000000"/>
              </w:rPr>
              <w:t>)</w:t>
            </w:r>
          </w:p>
        </w:tc>
        <w:tc>
          <w:tcPr>
            <w:tcW w:w="1168" w:type="dxa"/>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-5.11</w:t>
            </w:r>
          </w:p>
        </w:tc>
        <w:tc>
          <w:tcPr>
            <w:tcW w:w="1264" w:type="dxa"/>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Pr>
          <w:p w:rsidR="002D21BA" w:rsidRDefault="002D21BA">
            <w:pPr>
              <w:adjustRightInd w:val="0"/>
              <w:snapToGrid w:val="0"/>
              <w:spacing w:line="360" w:lineRule="auto"/>
              <w:jc w:val="both"/>
              <w:rPr>
                <w:rFonts w:ascii="Book Antiqua" w:hAnsi="Book Antiqua"/>
                <w:color w:val="000000"/>
              </w:rPr>
            </w:pPr>
          </w:p>
        </w:tc>
      </w:tr>
      <w:tr w:rsidR="002D21BA">
        <w:trPr>
          <w:trHeight w:val="438"/>
        </w:trPr>
        <w:tc>
          <w:tcPr>
            <w:tcW w:w="2802" w:type="dxa"/>
            <w:shd w:val="clear" w:color="auto" w:fill="auto"/>
          </w:tcPr>
          <w:p w:rsidR="002D21BA" w:rsidRDefault="004A1A23">
            <w:pPr>
              <w:adjustRightInd w:val="0"/>
              <w:snapToGrid w:val="0"/>
              <w:spacing w:line="360" w:lineRule="auto"/>
              <w:jc w:val="both"/>
              <w:rPr>
                <w:rFonts w:ascii="Book Antiqua" w:hAnsi="Book Antiqua"/>
                <w:color w:val="000000"/>
              </w:rPr>
            </w:pPr>
            <w:r>
              <w:rPr>
                <w:rFonts w:ascii="Book Antiqua" w:hAnsi="Book Antiqua"/>
                <w:color w:val="000000"/>
              </w:rPr>
              <w:t>Dose of adrenaline</w:t>
            </w:r>
          </w:p>
        </w:tc>
        <w:tc>
          <w:tcPr>
            <w:tcW w:w="1984"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0.00 </w:t>
            </w:r>
            <w:r>
              <w:rPr>
                <w:rFonts w:ascii="Book Antiqua" w:hAnsi="Book Antiqua"/>
                <w:color w:val="000000"/>
              </w:rPr>
              <w:t>(</w:t>
            </w:r>
            <w:r>
              <w:rPr>
                <w:rFonts w:ascii="Book Antiqua" w:eastAsia="MingLiU" w:hAnsi="Book Antiqua"/>
                <w:color w:val="000000"/>
              </w:rPr>
              <w:t>0.00</w:t>
            </w:r>
            <w:r>
              <w:rPr>
                <w:rFonts w:ascii="Book Antiqua" w:hAnsi="Book Antiqua"/>
                <w:color w:val="000000"/>
              </w:rPr>
              <w:t>)</w:t>
            </w:r>
          </w:p>
        </w:tc>
        <w:tc>
          <w:tcPr>
            <w:tcW w:w="2268" w:type="dxa"/>
            <w:shd w:val="clear" w:color="auto" w:fill="auto"/>
            <w:noWrap/>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 xml:space="preserve">0.00 </w:t>
            </w:r>
            <w:r>
              <w:rPr>
                <w:rFonts w:ascii="Book Antiqua" w:hAnsi="Book Antiqua"/>
                <w:color w:val="000000"/>
              </w:rPr>
              <w:t>(</w:t>
            </w:r>
            <w:r>
              <w:rPr>
                <w:rFonts w:ascii="Book Antiqua" w:eastAsia="MingLiU" w:hAnsi="Book Antiqua"/>
                <w:color w:val="000000"/>
              </w:rPr>
              <w:t>0.00</w:t>
            </w:r>
            <w:r>
              <w:rPr>
                <w:rFonts w:ascii="Book Antiqua" w:hAnsi="Book Antiqua"/>
                <w:color w:val="000000"/>
              </w:rPr>
              <w:t>)</w:t>
            </w:r>
          </w:p>
        </w:tc>
        <w:tc>
          <w:tcPr>
            <w:tcW w:w="1168" w:type="dxa"/>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-3.58</w:t>
            </w:r>
          </w:p>
        </w:tc>
        <w:tc>
          <w:tcPr>
            <w:tcW w:w="1264" w:type="dxa"/>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&lt; 0.01</w:t>
            </w:r>
          </w:p>
        </w:tc>
        <w:tc>
          <w:tcPr>
            <w:tcW w:w="1532" w:type="dxa"/>
          </w:tcPr>
          <w:p w:rsidR="002D21BA" w:rsidRDefault="002D21BA">
            <w:pPr>
              <w:adjustRightInd w:val="0"/>
              <w:snapToGrid w:val="0"/>
              <w:spacing w:line="360" w:lineRule="auto"/>
              <w:jc w:val="both"/>
              <w:rPr>
                <w:rFonts w:ascii="Book Antiqua" w:eastAsia="MingLiU" w:hAnsi="Book Antiqua"/>
                <w:color w:val="000000"/>
              </w:rPr>
            </w:pPr>
          </w:p>
        </w:tc>
      </w:tr>
    </w:tbl>
    <w:p w:rsidR="002D21BA" w:rsidRDefault="004A1A23">
      <w:pPr>
        <w:tabs>
          <w:tab w:val="left" w:pos="3494"/>
        </w:tabs>
        <w:adjustRightInd w:val="0"/>
        <w:snapToGrid w:val="0"/>
        <w:spacing w:line="360" w:lineRule="auto"/>
        <w:jc w:val="both"/>
        <w:rPr>
          <w:rFonts w:ascii="Book Antiqua" w:hAnsi="Book Antiqua"/>
        </w:rPr>
      </w:pPr>
      <w:r>
        <w:rPr>
          <w:rFonts w:ascii="Book Antiqua" w:hAnsi="Book Antiqua"/>
          <w:lang w:eastAsia="zh-CN"/>
        </w:rPr>
        <w:t xml:space="preserve">AKI: </w:t>
      </w:r>
      <w:r>
        <w:rPr>
          <w:rFonts w:ascii="Book Antiqua" w:eastAsia="Book Antiqua" w:hAnsi="Book Antiqua" w:cs="Book Antiqua"/>
          <w:color w:val="000000"/>
        </w:rPr>
        <w:t xml:space="preserve">Acute kidney injury; MV: </w:t>
      </w:r>
      <w:r>
        <w:rPr>
          <w:rFonts w:ascii="Book Antiqua" w:hAnsi="Book Antiqua"/>
        </w:rPr>
        <w:t xml:space="preserve">Mechanical ventilation; </w:t>
      </w:r>
      <w:r>
        <w:rPr>
          <w:rFonts w:ascii="Book Antiqua" w:eastAsia="宋体" w:hAnsi="Book Antiqua" w:cs="Book Antiqua"/>
          <w:color w:val="000000"/>
          <w:lang w:eastAsia="zh-CN"/>
        </w:rPr>
        <w:t>IPP: I</w:t>
      </w:r>
      <w:r>
        <w:rPr>
          <w:rFonts w:ascii="Book Antiqua" w:eastAsia="Book Antiqua" w:hAnsi="Book Antiqua" w:cs="Book Antiqua"/>
          <w:color w:val="000000"/>
        </w:rPr>
        <w:t>ntra-peritoneal pressure</w:t>
      </w:r>
      <w:r>
        <w:rPr>
          <w:rFonts w:ascii="Book Antiqua" w:eastAsia="宋体" w:hAnsi="Book Antiqua" w:cs="Book Antiqua"/>
          <w:color w:val="000000"/>
          <w:lang w:eastAsia="zh-CN"/>
        </w:rPr>
        <w:t xml:space="preserve">; </w:t>
      </w:r>
      <w:r>
        <w:rPr>
          <w:rFonts w:ascii="Book Antiqua" w:hAnsi="Book Antiqua"/>
        </w:rPr>
        <w:t xml:space="preserve">OR: Odds ratio; PCT: Procalcitonin; SICU: </w:t>
      </w:r>
      <w:r>
        <w:rPr>
          <w:rFonts w:ascii="Book Antiqua" w:eastAsia="Book Antiqua" w:hAnsi="Book Antiqua" w:cs="Book Antiqua"/>
          <w:color w:val="000000"/>
        </w:rPr>
        <w:t>Surgical intensive care unit</w:t>
      </w:r>
      <w:r>
        <w:rPr>
          <w:rFonts w:ascii="Book Antiqua" w:hAnsi="Book Antiqua"/>
        </w:rPr>
        <w:t>.</w:t>
      </w:r>
    </w:p>
    <w:p w:rsidR="002D21BA" w:rsidRDefault="004A1A23">
      <w:pPr>
        <w:tabs>
          <w:tab w:val="left" w:pos="3494"/>
        </w:tabs>
        <w:adjustRightInd w:val="0"/>
        <w:snapToGrid w:val="0"/>
        <w:spacing w:line="360" w:lineRule="auto"/>
        <w:jc w:val="both"/>
        <w:rPr>
          <w:rFonts w:ascii="Book Antiqua" w:eastAsia="宋体" w:hAnsi="Book Antiqua" w:cs="Book Antiqua"/>
          <w:b/>
          <w:bCs/>
          <w:color w:val="000000"/>
          <w:lang w:eastAsia="zh-CN"/>
        </w:rPr>
      </w:pPr>
      <w:r>
        <w:rPr>
          <w:rFonts w:ascii="Book Antiqua" w:hAnsi="Book Antiqua"/>
        </w:rPr>
        <w:br w:type="page"/>
      </w:r>
      <w:r>
        <w:rPr>
          <w:rFonts w:ascii="Book Antiqua" w:hAnsi="Book Antiqua"/>
          <w:b/>
          <w:bCs/>
        </w:rPr>
        <w:t>Table 4 Analysis of the related factors</w:t>
      </w:r>
      <w:r>
        <w:rPr>
          <w:rFonts w:ascii="Book Antiqua" w:hAnsi="Book Antiqua"/>
          <w:b/>
          <w:bCs/>
          <w:lang w:eastAsia="zh-CN"/>
        </w:rPr>
        <w:t xml:space="preserve"> influencing </w:t>
      </w:r>
      <w:bookmarkStart w:id="13" w:name="_Hlk80600486"/>
      <w:r>
        <w:rPr>
          <w:rFonts w:ascii="Book Antiqua" w:hAnsi="Book Antiqua"/>
          <w:b/>
          <w:bCs/>
          <w:lang w:eastAsia="zh-CN"/>
        </w:rPr>
        <w:t>acute pancreatitis</w:t>
      </w:r>
      <w:bookmarkEnd w:id="13"/>
      <w:r>
        <w:rPr>
          <w:rFonts w:ascii="Book Antiqua" w:hAnsi="Book Antiqua"/>
          <w:b/>
          <w:bCs/>
          <w:lang w:eastAsia="zh-CN"/>
        </w:rPr>
        <w:t xml:space="preserve"> patients’ survival rate</w:t>
      </w:r>
    </w:p>
    <w:tbl>
      <w:tblPr>
        <w:tblW w:w="11135" w:type="dxa"/>
        <w:tblInd w:w="-318" w:type="dxa"/>
        <w:tblBorders>
          <w:top w:val="single" w:sz="12" w:space="0" w:color="000000"/>
          <w:bottom w:val="single" w:sz="12" w:space="0" w:color="000000"/>
        </w:tblBorders>
        <w:tblLook w:val="04A0" w:firstRow="1" w:lastRow="0" w:firstColumn="1" w:lastColumn="0" w:noHBand="0" w:noVBand="1"/>
      </w:tblPr>
      <w:tblGrid>
        <w:gridCol w:w="4014"/>
        <w:gridCol w:w="1173"/>
        <w:gridCol w:w="1125"/>
        <w:gridCol w:w="1286"/>
        <w:gridCol w:w="1125"/>
        <w:gridCol w:w="1126"/>
        <w:gridCol w:w="1286"/>
      </w:tblGrid>
      <w:tr w:rsidR="002D21BA">
        <w:trPr>
          <w:trHeight w:val="458"/>
        </w:trPr>
        <w:tc>
          <w:tcPr>
            <w:tcW w:w="4014" w:type="dxa"/>
            <w:tcBorders>
              <w:top w:val="single" w:sz="4" w:space="0" w:color="auto"/>
              <w:bottom w:val="single" w:sz="4" w:space="0" w:color="auto"/>
            </w:tcBorders>
            <w:shd w:val="clear" w:color="auto" w:fill="auto"/>
            <w:vAlign w:val="bottom"/>
          </w:tcPr>
          <w:p w:rsidR="002D21BA" w:rsidRDefault="002D21BA">
            <w:pPr>
              <w:adjustRightInd w:val="0"/>
              <w:snapToGrid w:val="0"/>
              <w:spacing w:line="360" w:lineRule="auto"/>
              <w:jc w:val="both"/>
              <w:rPr>
                <w:rFonts w:ascii="Book Antiqua" w:eastAsia="MingLiU" w:hAnsi="Book Antiqua"/>
                <w:color w:val="000000"/>
              </w:rPr>
            </w:pPr>
          </w:p>
        </w:tc>
        <w:tc>
          <w:tcPr>
            <w:tcW w:w="1173" w:type="dxa"/>
            <w:tcBorders>
              <w:top w:val="single" w:sz="4" w:space="0" w:color="auto"/>
              <w:bottom w:val="single" w:sz="4" w:space="0" w:color="auto"/>
            </w:tcBorders>
            <w:shd w:val="clear" w:color="auto" w:fill="auto"/>
            <w:vAlign w:val="bottom"/>
          </w:tcPr>
          <w:p w:rsidR="002D21BA" w:rsidRDefault="004A1A23">
            <w:pPr>
              <w:adjustRightInd w:val="0"/>
              <w:snapToGrid w:val="0"/>
              <w:spacing w:line="360" w:lineRule="auto"/>
              <w:jc w:val="both"/>
              <w:rPr>
                <w:rFonts w:ascii="Book Antiqua" w:eastAsia="MingLiU" w:hAnsi="Book Antiqua"/>
                <w:b/>
                <w:bCs/>
                <w:color w:val="000000"/>
              </w:rPr>
            </w:pPr>
            <w:r>
              <w:rPr>
                <w:rFonts w:ascii="Book Antiqua" w:eastAsia="MingLiU" w:hAnsi="Book Antiqua"/>
                <w:b/>
                <w:bCs/>
                <w:color w:val="000000"/>
              </w:rPr>
              <w:t>B</w:t>
            </w:r>
          </w:p>
        </w:tc>
        <w:tc>
          <w:tcPr>
            <w:tcW w:w="1125" w:type="dxa"/>
            <w:tcBorders>
              <w:top w:val="single" w:sz="4" w:space="0" w:color="auto"/>
              <w:bottom w:val="single" w:sz="4" w:space="0" w:color="auto"/>
            </w:tcBorders>
            <w:shd w:val="clear" w:color="auto" w:fill="auto"/>
            <w:vAlign w:val="bottom"/>
          </w:tcPr>
          <w:p w:rsidR="002D21BA" w:rsidRDefault="004A1A23">
            <w:pPr>
              <w:adjustRightInd w:val="0"/>
              <w:snapToGrid w:val="0"/>
              <w:spacing w:line="360" w:lineRule="auto"/>
              <w:jc w:val="both"/>
              <w:rPr>
                <w:rFonts w:ascii="Book Antiqua" w:eastAsia="MingLiU" w:hAnsi="Book Antiqua"/>
                <w:b/>
                <w:bCs/>
                <w:color w:val="000000"/>
              </w:rPr>
            </w:pPr>
            <w:r>
              <w:rPr>
                <w:rFonts w:ascii="Book Antiqua" w:eastAsia="MingLiU" w:hAnsi="Book Antiqua"/>
                <w:b/>
                <w:bCs/>
                <w:color w:val="000000"/>
              </w:rPr>
              <w:t>SE</w:t>
            </w:r>
          </w:p>
        </w:tc>
        <w:tc>
          <w:tcPr>
            <w:tcW w:w="1286" w:type="dxa"/>
            <w:tcBorders>
              <w:top w:val="single" w:sz="4" w:space="0" w:color="auto"/>
              <w:bottom w:val="single" w:sz="4" w:space="0" w:color="auto"/>
            </w:tcBorders>
            <w:shd w:val="clear" w:color="auto" w:fill="auto"/>
            <w:vAlign w:val="bottom"/>
          </w:tcPr>
          <w:p w:rsidR="002D21BA" w:rsidRDefault="004A1A23">
            <w:pPr>
              <w:adjustRightInd w:val="0"/>
              <w:snapToGrid w:val="0"/>
              <w:spacing w:line="360" w:lineRule="auto"/>
              <w:jc w:val="both"/>
              <w:rPr>
                <w:rFonts w:ascii="Book Antiqua" w:eastAsia="MingLiU" w:hAnsi="Book Antiqua"/>
                <w:b/>
                <w:bCs/>
                <w:color w:val="000000"/>
              </w:rPr>
            </w:pPr>
            <w:r>
              <w:rPr>
                <w:rFonts w:ascii="Book Antiqua" w:eastAsia="MingLiU" w:hAnsi="Book Antiqua"/>
                <w:b/>
                <w:bCs/>
                <w:color w:val="000000"/>
              </w:rPr>
              <w:t>Wald</w:t>
            </w:r>
          </w:p>
        </w:tc>
        <w:tc>
          <w:tcPr>
            <w:tcW w:w="1125" w:type="dxa"/>
            <w:tcBorders>
              <w:top w:val="single" w:sz="4" w:space="0" w:color="auto"/>
              <w:bottom w:val="single" w:sz="4" w:space="0" w:color="auto"/>
            </w:tcBorders>
            <w:shd w:val="clear" w:color="auto" w:fill="auto"/>
            <w:vAlign w:val="bottom"/>
          </w:tcPr>
          <w:p w:rsidR="002D21BA" w:rsidRDefault="004A1A23">
            <w:pPr>
              <w:adjustRightInd w:val="0"/>
              <w:snapToGrid w:val="0"/>
              <w:spacing w:line="360" w:lineRule="auto"/>
              <w:jc w:val="both"/>
              <w:rPr>
                <w:rFonts w:ascii="Book Antiqua" w:eastAsia="MingLiU" w:hAnsi="Book Antiqua"/>
                <w:b/>
                <w:bCs/>
                <w:i/>
                <w:iCs/>
                <w:color w:val="000000"/>
              </w:rPr>
            </w:pPr>
            <w:r>
              <w:rPr>
                <w:rFonts w:ascii="Book Antiqua" w:eastAsia="MingLiU" w:hAnsi="Book Antiqua"/>
                <w:b/>
                <w:bCs/>
                <w:i/>
                <w:iCs/>
                <w:color w:val="000000"/>
              </w:rPr>
              <w:t>df</w:t>
            </w:r>
          </w:p>
        </w:tc>
        <w:tc>
          <w:tcPr>
            <w:tcW w:w="1126" w:type="dxa"/>
            <w:tcBorders>
              <w:top w:val="single" w:sz="4" w:space="0" w:color="auto"/>
              <w:bottom w:val="single" w:sz="4" w:space="0" w:color="auto"/>
            </w:tcBorders>
            <w:shd w:val="clear" w:color="auto" w:fill="auto"/>
            <w:vAlign w:val="bottom"/>
          </w:tcPr>
          <w:p w:rsidR="002D21BA" w:rsidRDefault="004A1A23">
            <w:pPr>
              <w:adjustRightInd w:val="0"/>
              <w:snapToGrid w:val="0"/>
              <w:spacing w:line="360" w:lineRule="auto"/>
              <w:jc w:val="both"/>
              <w:rPr>
                <w:rFonts w:ascii="Book Antiqua" w:eastAsia="MingLiU" w:hAnsi="Book Antiqua"/>
                <w:b/>
                <w:bCs/>
                <w:color w:val="000000"/>
              </w:rPr>
            </w:pPr>
            <w:r>
              <w:rPr>
                <w:rFonts w:ascii="Book Antiqua" w:eastAsia="MingLiU" w:hAnsi="Book Antiqua"/>
                <w:b/>
                <w:bCs/>
                <w:i/>
                <w:iCs/>
                <w:color w:val="000000"/>
              </w:rPr>
              <w:t>P</w:t>
            </w:r>
            <w:r>
              <w:rPr>
                <w:rFonts w:ascii="Book Antiqua" w:eastAsia="MingLiU" w:hAnsi="Book Antiqua"/>
                <w:b/>
                <w:bCs/>
                <w:color w:val="000000"/>
              </w:rPr>
              <w:t xml:space="preserve"> value</w:t>
            </w:r>
          </w:p>
        </w:tc>
        <w:tc>
          <w:tcPr>
            <w:tcW w:w="1286" w:type="dxa"/>
            <w:tcBorders>
              <w:top w:val="single" w:sz="4" w:space="0" w:color="auto"/>
              <w:bottom w:val="single" w:sz="4" w:space="0" w:color="auto"/>
            </w:tcBorders>
            <w:shd w:val="clear" w:color="auto" w:fill="auto"/>
            <w:vAlign w:val="bottom"/>
          </w:tcPr>
          <w:p w:rsidR="002D21BA" w:rsidRDefault="004A1A23">
            <w:pPr>
              <w:adjustRightInd w:val="0"/>
              <w:snapToGrid w:val="0"/>
              <w:spacing w:line="360" w:lineRule="auto"/>
              <w:jc w:val="both"/>
              <w:rPr>
                <w:rFonts w:ascii="Book Antiqua" w:eastAsia="MingLiU" w:hAnsi="Book Antiqua"/>
                <w:b/>
                <w:bCs/>
                <w:color w:val="000000"/>
              </w:rPr>
            </w:pPr>
            <w:r>
              <w:rPr>
                <w:rFonts w:ascii="Book Antiqua" w:eastAsia="MingLiU" w:hAnsi="Book Antiqua"/>
                <w:b/>
                <w:bCs/>
                <w:color w:val="000000"/>
              </w:rPr>
              <w:t>Exp (B)</w:t>
            </w:r>
          </w:p>
        </w:tc>
      </w:tr>
      <w:tr w:rsidR="002D21BA">
        <w:trPr>
          <w:trHeight w:val="458"/>
        </w:trPr>
        <w:tc>
          <w:tcPr>
            <w:tcW w:w="4014" w:type="dxa"/>
            <w:tcBorders>
              <w:top w:val="single" w:sz="4" w:space="0" w:color="auto"/>
            </w:tcBorders>
            <w:shd w:val="clear" w:color="auto" w:fill="auto"/>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BMI</w:t>
            </w:r>
          </w:p>
        </w:tc>
        <w:tc>
          <w:tcPr>
            <w:tcW w:w="1173" w:type="dxa"/>
            <w:tcBorders>
              <w:top w:val="single" w:sz="4" w:space="0" w:color="auto"/>
            </w:tcBorders>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1.4904</w:t>
            </w:r>
          </w:p>
        </w:tc>
        <w:tc>
          <w:tcPr>
            <w:tcW w:w="1125" w:type="dxa"/>
            <w:tcBorders>
              <w:top w:val="single" w:sz="4" w:space="0" w:color="auto"/>
            </w:tcBorders>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0.6467</w:t>
            </w:r>
          </w:p>
        </w:tc>
        <w:tc>
          <w:tcPr>
            <w:tcW w:w="1286" w:type="dxa"/>
            <w:tcBorders>
              <w:top w:val="single" w:sz="4" w:space="0" w:color="auto"/>
            </w:tcBorders>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5.3105</w:t>
            </w:r>
          </w:p>
        </w:tc>
        <w:tc>
          <w:tcPr>
            <w:tcW w:w="1125" w:type="dxa"/>
            <w:tcBorders>
              <w:top w:val="single" w:sz="4" w:space="0" w:color="auto"/>
            </w:tcBorders>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1.0000</w:t>
            </w:r>
          </w:p>
        </w:tc>
        <w:tc>
          <w:tcPr>
            <w:tcW w:w="1126" w:type="dxa"/>
            <w:tcBorders>
              <w:top w:val="single" w:sz="4" w:space="0" w:color="auto"/>
            </w:tcBorders>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0.0212</w:t>
            </w:r>
          </w:p>
        </w:tc>
        <w:tc>
          <w:tcPr>
            <w:tcW w:w="1286" w:type="dxa"/>
            <w:tcBorders>
              <w:top w:val="single" w:sz="4" w:space="0" w:color="auto"/>
            </w:tcBorders>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4.4387</w:t>
            </w:r>
          </w:p>
        </w:tc>
      </w:tr>
      <w:tr w:rsidR="002D21BA">
        <w:trPr>
          <w:trHeight w:val="896"/>
        </w:trPr>
        <w:tc>
          <w:tcPr>
            <w:tcW w:w="4014" w:type="dxa"/>
            <w:shd w:val="clear" w:color="auto" w:fill="auto"/>
          </w:tcPr>
          <w:p w:rsidR="002D21BA" w:rsidRDefault="004A1A23">
            <w:pPr>
              <w:adjustRightInd w:val="0"/>
              <w:snapToGrid w:val="0"/>
              <w:spacing w:line="360" w:lineRule="auto"/>
              <w:jc w:val="both"/>
              <w:rPr>
                <w:rFonts w:ascii="Book Antiqua" w:eastAsia="宋体" w:hAnsi="Book Antiqua"/>
                <w:color w:val="000000"/>
                <w:lang w:eastAsia="zh-CN"/>
              </w:rPr>
            </w:pPr>
            <w:r>
              <w:rPr>
                <w:rFonts w:ascii="Book Antiqua" w:eastAsia="MingLiU" w:hAnsi="Book Antiqua"/>
                <w:color w:val="000000"/>
              </w:rPr>
              <w:t xml:space="preserve">Mean </w:t>
            </w:r>
            <w:r>
              <w:rPr>
                <w:rFonts w:ascii="Book Antiqua" w:hAnsi="Book Antiqua"/>
                <w:color w:val="000000"/>
              </w:rPr>
              <w:t xml:space="preserve">values of </w:t>
            </w:r>
            <w:r>
              <w:rPr>
                <w:rFonts w:ascii="Book Antiqua" w:eastAsia="宋体" w:hAnsi="Book Antiqua"/>
                <w:color w:val="000000"/>
                <w:lang w:eastAsia="zh-CN"/>
              </w:rPr>
              <w:t>IPP</w:t>
            </w:r>
          </w:p>
        </w:tc>
        <w:tc>
          <w:tcPr>
            <w:tcW w:w="1173"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2.6477</w:t>
            </w:r>
          </w:p>
        </w:tc>
        <w:tc>
          <w:tcPr>
            <w:tcW w:w="1125"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0.6217</w:t>
            </w:r>
          </w:p>
        </w:tc>
        <w:tc>
          <w:tcPr>
            <w:tcW w:w="1286"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18.1355</w:t>
            </w:r>
          </w:p>
        </w:tc>
        <w:tc>
          <w:tcPr>
            <w:tcW w:w="1125"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1.0000</w:t>
            </w:r>
          </w:p>
        </w:tc>
        <w:tc>
          <w:tcPr>
            <w:tcW w:w="1126"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0.0000</w:t>
            </w:r>
          </w:p>
        </w:tc>
        <w:tc>
          <w:tcPr>
            <w:tcW w:w="1286"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14.1211</w:t>
            </w:r>
          </w:p>
        </w:tc>
      </w:tr>
      <w:tr w:rsidR="002D21BA">
        <w:trPr>
          <w:trHeight w:val="448"/>
        </w:trPr>
        <w:tc>
          <w:tcPr>
            <w:tcW w:w="4014" w:type="dxa"/>
            <w:shd w:val="clear" w:color="auto" w:fill="auto"/>
            <w:vAlign w:val="center"/>
          </w:tcPr>
          <w:p w:rsidR="002D21BA" w:rsidRDefault="004A1A23">
            <w:pPr>
              <w:adjustRightInd w:val="0"/>
              <w:snapToGrid w:val="0"/>
              <w:spacing w:line="360" w:lineRule="auto"/>
              <w:jc w:val="both"/>
              <w:rPr>
                <w:rFonts w:ascii="Book Antiqua" w:hAnsi="Book Antiqua"/>
                <w:color w:val="000000"/>
              </w:rPr>
            </w:pPr>
            <w:r>
              <w:rPr>
                <w:rFonts w:ascii="Book Antiqua" w:eastAsia="MingLiU" w:hAnsi="Book Antiqua"/>
                <w:color w:val="000000"/>
              </w:rPr>
              <w:t>Minimum platelet</w:t>
            </w:r>
            <w:r>
              <w:rPr>
                <w:rFonts w:ascii="Book Antiqua" w:hAnsi="Book Antiqua"/>
                <w:color w:val="000000"/>
              </w:rPr>
              <w:t xml:space="preserve"> count</w:t>
            </w:r>
          </w:p>
        </w:tc>
        <w:tc>
          <w:tcPr>
            <w:tcW w:w="1173"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-1.2285</w:t>
            </w:r>
          </w:p>
        </w:tc>
        <w:tc>
          <w:tcPr>
            <w:tcW w:w="1125"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0.6125</w:t>
            </w:r>
          </w:p>
        </w:tc>
        <w:tc>
          <w:tcPr>
            <w:tcW w:w="1286"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4.0237</w:t>
            </w:r>
          </w:p>
        </w:tc>
        <w:tc>
          <w:tcPr>
            <w:tcW w:w="1125"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1.0000</w:t>
            </w:r>
          </w:p>
        </w:tc>
        <w:tc>
          <w:tcPr>
            <w:tcW w:w="1126"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0.0449</w:t>
            </w:r>
          </w:p>
        </w:tc>
        <w:tc>
          <w:tcPr>
            <w:tcW w:w="1286"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0.2927</w:t>
            </w:r>
          </w:p>
        </w:tc>
      </w:tr>
      <w:tr w:rsidR="002D21BA">
        <w:trPr>
          <w:trHeight w:val="448"/>
        </w:trPr>
        <w:tc>
          <w:tcPr>
            <w:tcW w:w="4014" w:type="dxa"/>
            <w:shd w:val="clear" w:color="auto" w:fill="auto"/>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Hospital day</w:t>
            </w:r>
          </w:p>
        </w:tc>
        <w:tc>
          <w:tcPr>
            <w:tcW w:w="1173"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-1.8571</w:t>
            </w:r>
          </w:p>
        </w:tc>
        <w:tc>
          <w:tcPr>
            <w:tcW w:w="1125"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0.5965</w:t>
            </w:r>
          </w:p>
        </w:tc>
        <w:tc>
          <w:tcPr>
            <w:tcW w:w="1286"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9.6913</w:t>
            </w:r>
          </w:p>
        </w:tc>
        <w:tc>
          <w:tcPr>
            <w:tcW w:w="1125"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1.0000</w:t>
            </w:r>
          </w:p>
        </w:tc>
        <w:tc>
          <w:tcPr>
            <w:tcW w:w="1126"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0.0019</w:t>
            </w:r>
          </w:p>
        </w:tc>
        <w:tc>
          <w:tcPr>
            <w:tcW w:w="1286" w:type="dxa"/>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0.1561</w:t>
            </w:r>
          </w:p>
        </w:tc>
      </w:tr>
      <w:tr w:rsidR="002D21BA">
        <w:trPr>
          <w:trHeight w:val="458"/>
        </w:trPr>
        <w:tc>
          <w:tcPr>
            <w:tcW w:w="4014" w:type="dxa"/>
            <w:tcBorders>
              <w:bottom w:val="single" w:sz="4" w:space="0" w:color="auto"/>
            </w:tcBorders>
            <w:shd w:val="clear" w:color="auto" w:fill="auto"/>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Constant</w:t>
            </w:r>
          </w:p>
        </w:tc>
        <w:tc>
          <w:tcPr>
            <w:tcW w:w="1173" w:type="dxa"/>
            <w:tcBorders>
              <w:bottom w:val="single" w:sz="4" w:space="0" w:color="auto"/>
            </w:tcBorders>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-0.9863</w:t>
            </w:r>
          </w:p>
        </w:tc>
        <w:tc>
          <w:tcPr>
            <w:tcW w:w="1125" w:type="dxa"/>
            <w:tcBorders>
              <w:bottom w:val="single" w:sz="4" w:space="0" w:color="auto"/>
            </w:tcBorders>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0.8689</w:t>
            </w:r>
          </w:p>
        </w:tc>
        <w:tc>
          <w:tcPr>
            <w:tcW w:w="1286" w:type="dxa"/>
            <w:tcBorders>
              <w:bottom w:val="single" w:sz="4" w:space="0" w:color="auto"/>
            </w:tcBorders>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1.2883</w:t>
            </w:r>
          </w:p>
        </w:tc>
        <w:tc>
          <w:tcPr>
            <w:tcW w:w="1125" w:type="dxa"/>
            <w:tcBorders>
              <w:bottom w:val="single" w:sz="4" w:space="0" w:color="auto"/>
            </w:tcBorders>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1.0000</w:t>
            </w:r>
          </w:p>
        </w:tc>
        <w:tc>
          <w:tcPr>
            <w:tcW w:w="1126" w:type="dxa"/>
            <w:tcBorders>
              <w:bottom w:val="single" w:sz="4" w:space="0" w:color="auto"/>
            </w:tcBorders>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0.2564</w:t>
            </w:r>
          </w:p>
        </w:tc>
        <w:tc>
          <w:tcPr>
            <w:tcW w:w="1286" w:type="dxa"/>
            <w:tcBorders>
              <w:bottom w:val="single" w:sz="4" w:space="0" w:color="auto"/>
            </w:tcBorders>
            <w:shd w:val="clear" w:color="auto" w:fill="auto"/>
            <w:noWrap/>
            <w:vAlign w:val="center"/>
          </w:tcPr>
          <w:p w:rsidR="002D21BA" w:rsidRDefault="004A1A23">
            <w:pPr>
              <w:adjustRightInd w:val="0"/>
              <w:snapToGrid w:val="0"/>
              <w:spacing w:line="360" w:lineRule="auto"/>
              <w:jc w:val="both"/>
              <w:rPr>
                <w:rFonts w:ascii="Book Antiqua" w:eastAsia="MingLiU" w:hAnsi="Book Antiqua"/>
                <w:color w:val="000000"/>
              </w:rPr>
            </w:pPr>
            <w:r>
              <w:rPr>
                <w:rFonts w:ascii="Book Antiqua" w:eastAsia="MingLiU" w:hAnsi="Book Antiqua"/>
                <w:color w:val="000000"/>
              </w:rPr>
              <w:t>0.3730</w:t>
            </w:r>
          </w:p>
        </w:tc>
      </w:tr>
    </w:tbl>
    <w:p w:rsidR="002D21BA" w:rsidRDefault="004A1A23">
      <w:pPr>
        <w:tabs>
          <w:tab w:val="left" w:pos="3494"/>
        </w:tabs>
        <w:adjustRightInd w:val="0"/>
        <w:snapToGrid w:val="0"/>
        <w:spacing w:line="360" w:lineRule="auto"/>
        <w:jc w:val="both"/>
        <w:rPr>
          <w:rFonts w:ascii="Book Antiqua" w:eastAsia="Book Antiqua" w:hAnsi="Book Antiqua" w:cs="Book Antiqua"/>
          <w:color w:val="000000"/>
        </w:rPr>
      </w:pPr>
      <w:r>
        <w:rPr>
          <w:rFonts w:ascii="Book Antiqua" w:hAnsi="Book Antiqua"/>
          <w:color w:val="000000"/>
        </w:rPr>
        <w:t>BMI</w:t>
      </w:r>
      <w:r>
        <w:rPr>
          <w:rFonts w:ascii="Book Antiqua" w:hAnsi="Book Antiqua"/>
        </w:rPr>
        <w:t xml:space="preserve">: </w:t>
      </w:r>
      <w:r>
        <w:rPr>
          <w:rFonts w:ascii="Book Antiqua" w:eastAsia="Book Antiqua" w:hAnsi="Book Antiqua" w:cs="Book Antiqua"/>
          <w:color w:val="000000"/>
        </w:rPr>
        <w:t>Body mass index</w:t>
      </w:r>
      <w:r>
        <w:rPr>
          <w:rFonts w:ascii="Book Antiqua" w:eastAsia="宋体" w:hAnsi="Book Antiqua" w:cs="Book Antiqua"/>
          <w:color w:val="000000"/>
          <w:lang w:eastAsia="zh-CN"/>
        </w:rPr>
        <w:t>; IPP: I</w:t>
      </w:r>
      <w:r>
        <w:rPr>
          <w:rFonts w:ascii="Book Antiqua" w:eastAsia="Book Antiqua" w:hAnsi="Book Antiqua" w:cs="Book Antiqua"/>
          <w:color w:val="000000"/>
        </w:rPr>
        <w:t>ntra-peritoneal pressure; SE: Standard error.</w:t>
      </w:r>
    </w:p>
    <w:p w:rsidR="002D21BA" w:rsidRDefault="004A1A23">
      <w:pPr>
        <w:tabs>
          <w:tab w:val="left" w:pos="3494"/>
        </w:tabs>
        <w:adjustRightInd w:val="0"/>
        <w:snapToGrid w:val="0"/>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bCs/>
        </w:rPr>
        <w:t xml:space="preserve">Table 5 Area under the </w:t>
      </w:r>
      <w:r>
        <w:rPr>
          <w:rFonts w:ascii="Book Antiqua" w:eastAsia="Book Antiqua" w:hAnsi="Book Antiqua" w:cs="Book Antiqua"/>
          <w:b/>
          <w:bCs/>
          <w:color w:val="000000"/>
        </w:rPr>
        <w:t>receiver operating characteristic</w:t>
      </w:r>
      <w:r>
        <w:rPr>
          <w:rFonts w:ascii="Book Antiqua" w:hAnsi="Book Antiqua"/>
          <w:b/>
          <w:bCs/>
        </w:rPr>
        <w:t xml:space="preserve"> curve</w:t>
      </w:r>
    </w:p>
    <w:tbl>
      <w:tblPr>
        <w:tblW w:w="9693" w:type="dxa"/>
        <w:tblInd w:w="108" w:type="dxa"/>
        <w:tblLook w:val="04A0" w:firstRow="1" w:lastRow="0" w:firstColumn="1" w:lastColumn="0" w:noHBand="0" w:noVBand="1"/>
      </w:tblPr>
      <w:tblGrid>
        <w:gridCol w:w="1783"/>
        <w:gridCol w:w="1061"/>
        <w:gridCol w:w="1061"/>
        <w:gridCol w:w="2166"/>
        <w:gridCol w:w="1798"/>
        <w:gridCol w:w="1824"/>
      </w:tblGrid>
      <w:tr w:rsidR="002D21BA">
        <w:trPr>
          <w:trHeight w:val="731"/>
        </w:trPr>
        <w:tc>
          <w:tcPr>
            <w:tcW w:w="1783" w:type="dxa"/>
            <w:vMerge w:val="restart"/>
            <w:tcBorders>
              <w:top w:val="single" w:sz="8" w:space="0" w:color="auto"/>
              <w:left w:val="nil"/>
              <w:bottom w:val="single" w:sz="8" w:space="0" w:color="000000"/>
              <w:right w:val="nil"/>
            </w:tcBorders>
            <w:shd w:val="clear" w:color="auto" w:fill="auto"/>
            <w:vAlign w:val="center"/>
          </w:tcPr>
          <w:p w:rsidR="002D21BA" w:rsidRDefault="004A1A23">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Variables</w:t>
            </w:r>
          </w:p>
        </w:tc>
        <w:tc>
          <w:tcPr>
            <w:tcW w:w="1061" w:type="dxa"/>
            <w:vMerge w:val="restart"/>
            <w:tcBorders>
              <w:top w:val="single" w:sz="8" w:space="0" w:color="auto"/>
              <w:left w:val="nil"/>
              <w:bottom w:val="single" w:sz="8" w:space="0" w:color="000000"/>
              <w:right w:val="nil"/>
            </w:tcBorders>
            <w:shd w:val="clear" w:color="auto" w:fill="auto"/>
            <w:vAlign w:val="center"/>
          </w:tcPr>
          <w:p w:rsidR="002D21BA" w:rsidRDefault="004A1A23">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Area</w:t>
            </w:r>
          </w:p>
        </w:tc>
        <w:tc>
          <w:tcPr>
            <w:tcW w:w="1061" w:type="dxa"/>
            <w:vMerge w:val="restart"/>
            <w:tcBorders>
              <w:top w:val="single" w:sz="8" w:space="0" w:color="auto"/>
              <w:left w:val="nil"/>
              <w:bottom w:val="single" w:sz="8" w:space="0" w:color="000000"/>
              <w:right w:val="nil"/>
            </w:tcBorders>
            <w:shd w:val="clear" w:color="auto" w:fill="auto"/>
            <w:vAlign w:val="center"/>
          </w:tcPr>
          <w:p w:rsidR="002D21BA" w:rsidRDefault="004A1A23">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SE</w:t>
            </w:r>
          </w:p>
        </w:tc>
        <w:tc>
          <w:tcPr>
            <w:tcW w:w="2166" w:type="dxa"/>
            <w:vMerge w:val="restart"/>
            <w:tcBorders>
              <w:top w:val="single" w:sz="8" w:space="0" w:color="auto"/>
              <w:left w:val="nil"/>
              <w:bottom w:val="single" w:sz="8" w:space="0" w:color="000000"/>
              <w:right w:val="nil"/>
            </w:tcBorders>
            <w:shd w:val="clear" w:color="auto" w:fill="auto"/>
            <w:vAlign w:val="center"/>
          </w:tcPr>
          <w:p w:rsidR="002D21BA" w:rsidRDefault="004A1A23">
            <w:pPr>
              <w:jc w:val="both"/>
              <w:rPr>
                <w:rFonts w:ascii="Book Antiqua" w:eastAsia="等线" w:hAnsi="Book Antiqua" w:cs="宋体"/>
                <w:b/>
                <w:bCs/>
                <w:color w:val="000000"/>
                <w:lang w:eastAsia="zh-CN"/>
              </w:rPr>
            </w:pPr>
            <w:r>
              <w:rPr>
                <w:rFonts w:ascii="Book Antiqua" w:eastAsia="等线" w:hAnsi="Book Antiqua" w:cs="宋体"/>
                <w:b/>
                <w:bCs/>
                <w:color w:val="000000"/>
                <w:lang w:eastAsia="zh-CN"/>
              </w:rPr>
              <w:t xml:space="preserve">Asymptotic, </w:t>
            </w:r>
            <w:r>
              <w:rPr>
                <w:rFonts w:ascii="Book Antiqua" w:eastAsia="等线" w:hAnsi="Book Antiqua" w:cs="宋体"/>
                <w:b/>
                <w:bCs/>
                <w:i/>
                <w:iCs/>
                <w:color w:val="000000"/>
                <w:lang w:eastAsia="zh-CN"/>
              </w:rPr>
              <w:t>P</w:t>
            </w:r>
            <w:r>
              <w:rPr>
                <w:rFonts w:ascii="Book Antiqua" w:eastAsia="等线" w:hAnsi="Book Antiqua" w:cs="宋体"/>
                <w:b/>
                <w:bCs/>
                <w:color w:val="000000"/>
                <w:lang w:eastAsia="zh-CN"/>
              </w:rPr>
              <w:t xml:space="preserve"> value</w:t>
            </w:r>
          </w:p>
        </w:tc>
        <w:tc>
          <w:tcPr>
            <w:tcW w:w="3622" w:type="dxa"/>
            <w:gridSpan w:val="2"/>
            <w:tcBorders>
              <w:top w:val="single" w:sz="4" w:space="0" w:color="auto"/>
              <w:left w:val="nil"/>
              <w:bottom w:val="single" w:sz="4" w:space="0" w:color="auto"/>
              <w:right w:val="nil"/>
            </w:tcBorders>
            <w:shd w:val="clear" w:color="auto" w:fill="auto"/>
            <w:noWrap/>
            <w:vAlign w:val="bottom"/>
          </w:tcPr>
          <w:p w:rsidR="002D21BA" w:rsidRDefault="004A1A23">
            <w:pPr>
              <w:jc w:val="center"/>
              <w:rPr>
                <w:rFonts w:ascii="Book Antiqua" w:eastAsia="等线" w:hAnsi="Book Antiqua" w:cs="宋体"/>
                <w:b/>
                <w:bCs/>
                <w:color w:val="000000"/>
                <w:lang w:eastAsia="zh-CN"/>
              </w:rPr>
            </w:pPr>
            <w:r>
              <w:rPr>
                <w:rFonts w:ascii="Book Antiqua" w:eastAsia="等线" w:hAnsi="Book Antiqua" w:cs="宋体"/>
                <w:b/>
                <w:bCs/>
                <w:color w:val="000000"/>
                <w:lang w:eastAsia="zh-CN"/>
              </w:rPr>
              <w:t>Asymptotic 95%CI</w:t>
            </w:r>
          </w:p>
        </w:tc>
      </w:tr>
      <w:tr w:rsidR="002D21BA">
        <w:trPr>
          <w:trHeight w:val="731"/>
        </w:trPr>
        <w:tc>
          <w:tcPr>
            <w:tcW w:w="1783" w:type="dxa"/>
            <w:vMerge/>
            <w:tcBorders>
              <w:top w:val="single" w:sz="8" w:space="0" w:color="auto"/>
              <w:left w:val="nil"/>
              <w:bottom w:val="single" w:sz="8" w:space="0" w:color="000000"/>
              <w:right w:val="nil"/>
            </w:tcBorders>
            <w:vAlign w:val="center"/>
          </w:tcPr>
          <w:p w:rsidR="002D21BA" w:rsidRDefault="002D21BA">
            <w:pPr>
              <w:rPr>
                <w:rFonts w:ascii="Book Antiqua" w:eastAsia="等线" w:hAnsi="Book Antiqua" w:cs="宋体"/>
                <w:b/>
                <w:bCs/>
                <w:color w:val="000000"/>
                <w:lang w:eastAsia="zh-CN"/>
              </w:rPr>
            </w:pPr>
          </w:p>
        </w:tc>
        <w:tc>
          <w:tcPr>
            <w:tcW w:w="1061" w:type="dxa"/>
            <w:vMerge/>
            <w:tcBorders>
              <w:top w:val="single" w:sz="8" w:space="0" w:color="auto"/>
              <w:left w:val="nil"/>
              <w:bottom w:val="single" w:sz="8" w:space="0" w:color="000000"/>
              <w:right w:val="nil"/>
            </w:tcBorders>
            <w:vAlign w:val="center"/>
          </w:tcPr>
          <w:p w:rsidR="002D21BA" w:rsidRDefault="002D21BA">
            <w:pPr>
              <w:rPr>
                <w:rFonts w:ascii="Book Antiqua" w:eastAsia="等线" w:hAnsi="Book Antiqua" w:cs="宋体"/>
                <w:b/>
                <w:bCs/>
                <w:color w:val="000000"/>
                <w:lang w:eastAsia="zh-CN"/>
              </w:rPr>
            </w:pPr>
          </w:p>
        </w:tc>
        <w:tc>
          <w:tcPr>
            <w:tcW w:w="1061" w:type="dxa"/>
            <w:vMerge/>
            <w:tcBorders>
              <w:top w:val="single" w:sz="8" w:space="0" w:color="auto"/>
              <w:left w:val="nil"/>
              <w:bottom w:val="single" w:sz="8" w:space="0" w:color="000000"/>
              <w:right w:val="nil"/>
            </w:tcBorders>
            <w:vAlign w:val="center"/>
          </w:tcPr>
          <w:p w:rsidR="002D21BA" w:rsidRDefault="002D21BA">
            <w:pPr>
              <w:rPr>
                <w:rFonts w:ascii="Book Antiqua" w:eastAsia="等线" w:hAnsi="Book Antiqua" w:cs="宋体"/>
                <w:b/>
                <w:bCs/>
                <w:color w:val="000000"/>
                <w:lang w:eastAsia="zh-CN"/>
              </w:rPr>
            </w:pPr>
          </w:p>
        </w:tc>
        <w:tc>
          <w:tcPr>
            <w:tcW w:w="2166" w:type="dxa"/>
            <w:vMerge/>
            <w:tcBorders>
              <w:top w:val="single" w:sz="8" w:space="0" w:color="auto"/>
              <w:left w:val="nil"/>
              <w:bottom w:val="single" w:sz="8" w:space="0" w:color="000000"/>
              <w:right w:val="nil"/>
            </w:tcBorders>
            <w:vAlign w:val="center"/>
          </w:tcPr>
          <w:p w:rsidR="002D21BA" w:rsidRDefault="002D21BA">
            <w:pPr>
              <w:rPr>
                <w:rFonts w:ascii="Book Antiqua" w:eastAsia="等线" w:hAnsi="Book Antiqua" w:cs="宋体"/>
                <w:b/>
                <w:bCs/>
                <w:color w:val="000000"/>
                <w:lang w:eastAsia="zh-CN"/>
              </w:rPr>
            </w:pPr>
          </w:p>
        </w:tc>
        <w:tc>
          <w:tcPr>
            <w:tcW w:w="1798" w:type="dxa"/>
            <w:tcBorders>
              <w:top w:val="single" w:sz="4" w:space="0" w:color="auto"/>
              <w:left w:val="nil"/>
              <w:bottom w:val="single" w:sz="4" w:space="0" w:color="auto"/>
              <w:right w:val="nil"/>
            </w:tcBorders>
            <w:shd w:val="clear" w:color="auto" w:fill="auto"/>
            <w:noWrap/>
            <w:vAlign w:val="bottom"/>
          </w:tcPr>
          <w:p w:rsidR="002D21BA" w:rsidRDefault="004A1A23">
            <w:pPr>
              <w:rPr>
                <w:rFonts w:ascii="Book Antiqua" w:eastAsia="等线" w:hAnsi="Book Antiqua" w:cs="宋体"/>
                <w:b/>
                <w:bCs/>
                <w:color w:val="000000"/>
                <w:lang w:eastAsia="zh-CN"/>
              </w:rPr>
            </w:pPr>
            <w:r>
              <w:rPr>
                <w:rFonts w:ascii="Book Antiqua" w:eastAsia="等线" w:hAnsi="Book Antiqua" w:cs="宋体"/>
                <w:b/>
                <w:bCs/>
                <w:color w:val="000000"/>
                <w:lang w:eastAsia="zh-CN"/>
              </w:rPr>
              <w:t>Lower bound</w:t>
            </w:r>
          </w:p>
        </w:tc>
        <w:tc>
          <w:tcPr>
            <w:tcW w:w="1823" w:type="dxa"/>
            <w:tcBorders>
              <w:top w:val="single" w:sz="4" w:space="0" w:color="auto"/>
              <w:left w:val="nil"/>
              <w:bottom w:val="single" w:sz="4" w:space="0" w:color="auto"/>
              <w:right w:val="nil"/>
            </w:tcBorders>
            <w:shd w:val="clear" w:color="auto" w:fill="auto"/>
            <w:noWrap/>
            <w:vAlign w:val="bottom"/>
          </w:tcPr>
          <w:p w:rsidR="002D21BA" w:rsidRDefault="004A1A23">
            <w:pPr>
              <w:rPr>
                <w:rFonts w:ascii="Book Antiqua" w:eastAsia="等线" w:hAnsi="Book Antiqua" w:cs="宋体"/>
                <w:b/>
                <w:bCs/>
                <w:color w:val="000000"/>
                <w:lang w:eastAsia="zh-CN"/>
              </w:rPr>
            </w:pPr>
            <w:r>
              <w:rPr>
                <w:rFonts w:ascii="Book Antiqua" w:eastAsia="等线" w:hAnsi="Book Antiqua" w:cs="宋体"/>
                <w:b/>
                <w:bCs/>
                <w:color w:val="000000"/>
                <w:lang w:eastAsia="zh-CN"/>
              </w:rPr>
              <w:t>Upper bound</w:t>
            </w:r>
          </w:p>
        </w:tc>
      </w:tr>
      <w:tr w:rsidR="002D21BA">
        <w:trPr>
          <w:trHeight w:val="731"/>
        </w:trPr>
        <w:tc>
          <w:tcPr>
            <w:tcW w:w="1783" w:type="dxa"/>
            <w:tcBorders>
              <w:top w:val="nil"/>
              <w:left w:val="nil"/>
              <w:bottom w:val="nil"/>
              <w:right w:val="nil"/>
            </w:tcBorders>
            <w:shd w:val="clear" w:color="auto" w:fill="auto"/>
            <w:vAlign w:val="center"/>
          </w:tcPr>
          <w:p w:rsidR="002D21BA" w:rsidRDefault="004A1A23">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With AKI </w:t>
            </w:r>
          </w:p>
        </w:tc>
        <w:tc>
          <w:tcPr>
            <w:tcW w:w="1061" w:type="dxa"/>
            <w:tcBorders>
              <w:top w:val="nil"/>
              <w:left w:val="nil"/>
              <w:bottom w:val="nil"/>
              <w:right w:val="nil"/>
            </w:tcBorders>
            <w:shd w:val="clear" w:color="auto" w:fill="auto"/>
            <w:noWrap/>
            <w:vAlign w:val="center"/>
          </w:tcPr>
          <w:p w:rsidR="002D21BA" w:rsidRDefault="004A1A23">
            <w:pPr>
              <w:jc w:val="both"/>
              <w:rPr>
                <w:rFonts w:ascii="Book Antiqua" w:eastAsia="等线" w:hAnsi="Book Antiqua" w:cs="宋体"/>
                <w:color w:val="000000"/>
                <w:lang w:eastAsia="zh-CN"/>
              </w:rPr>
            </w:pPr>
            <w:r>
              <w:rPr>
                <w:rFonts w:ascii="Book Antiqua" w:eastAsia="等线" w:hAnsi="Book Antiqua" w:cs="宋体"/>
                <w:color w:val="000000"/>
                <w:lang w:eastAsia="zh-CN"/>
              </w:rPr>
              <w:t>0.896</w:t>
            </w:r>
          </w:p>
        </w:tc>
        <w:tc>
          <w:tcPr>
            <w:tcW w:w="1061" w:type="dxa"/>
            <w:tcBorders>
              <w:top w:val="nil"/>
              <w:left w:val="nil"/>
              <w:bottom w:val="nil"/>
              <w:right w:val="nil"/>
            </w:tcBorders>
            <w:shd w:val="clear" w:color="auto" w:fill="auto"/>
            <w:noWrap/>
            <w:vAlign w:val="center"/>
          </w:tcPr>
          <w:p w:rsidR="002D21BA" w:rsidRDefault="004A1A23">
            <w:pPr>
              <w:jc w:val="both"/>
              <w:rPr>
                <w:rFonts w:ascii="Book Antiqua" w:eastAsia="等线" w:hAnsi="Book Antiqua" w:cs="宋体"/>
                <w:color w:val="000000"/>
                <w:lang w:eastAsia="zh-CN"/>
              </w:rPr>
            </w:pPr>
            <w:r>
              <w:rPr>
                <w:rFonts w:ascii="Book Antiqua" w:eastAsia="等线" w:hAnsi="Book Antiqua" w:cs="宋体"/>
                <w:color w:val="000000"/>
                <w:lang w:eastAsia="zh-CN"/>
              </w:rPr>
              <w:t>0.033</w:t>
            </w:r>
          </w:p>
        </w:tc>
        <w:tc>
          <w:tcPr>
            <w:tcW w:w="2166" w:type="dxa"/>
            <w:tcBorders>
              <w:top w:val="nil"/>
              <w:left w:val="nil"/>
              <w:bottom w:val="nil"/>
              <w:right w:val="nil"/>
            </w:tcBorders>
            <w:shd w:val="clear" w:color="auto" w:fill="auto"/>
            <w:noWrap/>
            <w:vAlign w:val="center"/>
          </w:tcPr>
          <w:p w:rsidR="002D21BA" w:rsidRDefault="004A1A23">
            <w:pPr>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798" w:type="dxa"/>
            <w:tcBorders>
              <w:top w:val="single" w:sz="4" w:space="0" w:color="auto"/>
              <w:left w:val="nil"/>
              <w:bottom w:val="nil"/>
              <w:right w:val="nil"/>
            </w:tcBorders>
            <w:shd w:val="clear" w:color="auto" w:fill="auto"/>
            <w:noWrap/>
            <w:vAlign w:val="center"/>
          </w:tcPr>
          <w:p w:rsidR="002D21BA" w:rsidRDefault="004A1A23">
            <w:pPr>
              <w:jc w:val="both"/>
              <w:rPr>
                <w:rFonts w:ascii="Book Antiqua" w:eastAsia="等线" w:hAnsi="Book Antiqua" w:cs="宋体"/>
                <w:color w:val="000000"/>
                <w:lang w:eastAsia="zh-CN"/>
              </w:rPr>
            </w:pPr>
            <w:r>
              <w:rPr>
                <w:rFonts w:ascii="Book Antiqua" w:eastAsia="等线" w:hAnsi="Book Antiqua" w:cs="宋体"/>
                <w:color w:val="000000"/>
                <w:lang w:eastAsia="zh-CN"/>
              </w:rPr>
              <w:t>0.831</w:t>
            </w:r>
          </w:p>
        </w:tc>
        <w:tc>
          <w:tcPr>
            <w:tcW w:w="1823" w:type="dxa"/>
            <w:tcBorders>
              <w:top w:val="single" w:sz="4" w:space="0" w:color="auto"/>
              <w:left w:val="nil"/>
              <w:bottom w:val="nil"/>
              <w:right w:val="nil"/>
            </w:tcBorders>
            <w:shd w:val="clear" w:color="auto" w:fill="auto"/>
            <w:noWrap/>
            <w:vAlign w:val="center"/>
          </w:tcPr>
          <w:p w:rsidR="002D21BA" w:rsidRDefault="004A1A23">
            <w:pPr>
              <w:jc w:val="both"/>
              <w:rPr>
                <w:rFonts w:ascii="Book Antiqua" w:eastAsia="等线" w:hAnsi="Book Antiqua" w:cs="宋体"/>
                <w:color w:val="000000"/>
                <w:lang w:eastAsia="zh-CN"/>
              </w:rPr>
            </w:pPr>
            <w:r>
              <w:rPr>
                <w:rFonts w:ascii="Book Antiqua" w:eastAsia="等线" w:hAnsi="Book Antiqua" w:cs="宋体"/>
                <w:color w:val="000000"/>
                <w:lang w:eastAsia="zh-CN"/>
              </w:rPr>
              <w:t>0.961</w:t>
            </w:r>
          </w:p>
        </w:tc>
      </w:tr>
      <w:tr w:rsidR="002D21BA">
        <w:trPr>
          <w:trHeight w:val="745"/>
        </w:trPr>
        <w:tc>
          <w:tcPr>
            <w:tcW w:w="1783" w:type="dxa"/>
            <w:tcBorders>
              <w:top w:val="nil"/>
              <w:left w:val="nil"/>
              <w:bottom w:val="single" w:sz="8" w:space="0" w:color="auto"/>
              <w:right w:val="nil"/>
            </w:tcBorders>
            <w:shd w:val="clear" w:color="auto" w:fill="auto"/>
            <w:vAlign w:val="center"/>
          </w:tcPr>
          <w:p w:rsidR="002D21BA" w:rsidRDefault="004A1A23">
            <w:pPr>
              <w:jc w:val="both"/>
              <w:rPr>
                <w:rFonts w:ascii="Book Antiqua" w:eastAsia="等线" w:hAnsi="Book Antiqua" w:cs="宋体"/>
                <w:color w:val="000000"/>
                <w:lang w:eastAsia="zh-CN"/>
              </w:rPr>
            </w:pPr>
            <w:r>
              <w:rPr>
                <w:rFonts w:ascii="Book Antiqua" w:eastAsia="等线" w:hAnsi="Book Antiqua" w:cs="宋体"/>
                <w:color w:val="000000"/>
                <w:lang w:eastAsia="zh-CN"/>
              </w:rPr>
              <w:t>Without AKI</w:t>
            </w:r>
          </w:p>
        </w:tc>
        <w:tc>
          <w:tcPr>
            <w:tcW w:w="1061" w:type="dxa"/>
            <w:tcBorders>
              <w:top w:val="nil"/>
              <w:left w:val="nil"/>
              <w:bottom w:val="single" w:sz="8" w:space="0" w:color="auto"/>
              <w:right w:val="nil"/>
            </w:tcBorders>
            <w:shd w:val="clear" w:color="auto" w:fill="auto"/>
            <w:noWrap/>
            <w:vAlign w:val="center"/>
          </w:tcPr>
          <w:p w:rsidR="002D21BA" w:rsidRDefault="004A1A23">
            <w:pPr>
              <w:jc w:val="both"/>
              <w:rPr>
                <w:rFonts w:ascii="Book Antiqua" w:eastAsia="等线" w:hAnsi="Book Antiqua" w:cs="宋体"/>
                <w:color w:val="000000"/>
                <w:lang w:eastAsia="zh-CN"/>
              </w:rPr>
            </w:pPr>
            <w:r>
              <w:rPr>
                <w:rFonts w:ascii="Book Antiqua" w:eastAsia="等线" w:hAnsi="Book Antiqua" w:cs="宋体"/>
                <w:color w:val="000000"/>
                <w:lang w:eastAsia="zh-CN"/>
              </w:rPr>
              <w:t>0.891</w:t>
            </w:r>
          </w:p>
        </w:tc>
        <w:tc>
          <w:tcPr>
            <w:tcW w:w="1061" w:type="dxa"/>
            <w:tcBorders>
              <w:top w:val="nil"/>
              <w:left w:val="nil"/>
              <w:bottom w:val="single" w:sz="8" w:space="0" w:color="auto"/>
              <w:right w:val="nil"/>
            </w:tcBorders>
            <w:shd w:val="clear" w:color="auto" w:fill="auto"/>
            <w:noWrap/>
            <w:vAlign w:val="center"/>
          </w:tcPr>
          <w:p w:rsidR="002D21BA" w:rsidRDefault="004A1A23">
            <w:pPr>
              <w:jc w:val="both"/>
              <w:rPr>
                <w:rFonts w:ascii="Book Antiqua" w:eastAsia="等线" w:hAnsi="Book Antiqua" w:cs="宋体"/>
                <w:color w:val="000000"/>
                <w:lang w:eastAsia="zh-CN"/>
              </w:rPr>
            </w:pPr>
            <w:r>
              <w:rPr>
                <w:rFonts w:ascii="Book Antiqua" w:eastAsia="等线" w:hAnsi="Book Antiqua" w:cs="宋体"/>
                <w:color w:val="000000"/>
                <w:lang w:eastAsia="zh-CN"/>
              </w:rPr>
              <w:t>0.037</w:t>
            </w:r>
          </w:p>
        </w:tc>
        <w:tc>
          <w:tcPr>
            <w:tcW w:w="2166" w:type="dxa"/>
            <w:tcBorders>
              <w:top w:val="nil"/>
              <w:left w:val="nil"/>
              <w:bottom w:val="single" w:sz="8" w:space="0" w:color="auto"/>
              <w:right w:val="nil"/>
            </w:tcBorders>
            <w:shd w:val="clear" w:color="auto" w:fill="auto"/>
            <w:noWrap/>
            <w:vAlign w:val="center"/>
          </w:tcPr>
          <w:p w:rsidR="002D21BA" w:rsidRDefault="004A1A23">
            <w:pPr>
              <w:jc w:val="both"/>
              <w:rPr>
                <w:rFonts w:ascii="Book Antiqua" w:eastAsia="等线" w:hAnsi="Book Antiqua" w:cs="宋体"/>
                <w:color w:val="000000"/>
                <w:lang w:eastAsia="zh-CN"/>
              </w:rPr>
            </w:pPr>
            <w:r>
              <w:rPr>
                <w:rFonts w:ascii="Book Antiqua" w:eastAsia="等线" w:hAnsi="Book Antiqua" w:cs="宋体"/>
                <w:color w:val="000000"/>
                <w:lang w:eastAsia="zh-CN"/>
              </w:rPr>
              <w:t>0</w:t>
            </w:r>
          </w:p>
        </w:tc>
        <w:tc>
          <w:tcPr>
            <w:tcW w:w="1798" w:type="dxa"/>
            <w:tcBorders>
              <w:top w:val="nil"/>
              <w:left w:val="nil"/>
              <w:bottom w:val="single" w:sz="8" w:space="0" w:color="auto"/>
              <w:right w:val="nil"/>
            </w:tcBorders>
            <w:shd w:val="clear" w:color="auto" w:fill="auto"/>
            <w:noWrap/>
            <w:vAlign w:val="center"/>
          </w:tcPr>
          <w:p w:rsidR="002D21BA" w:rsidRDefault="004A1A23">
            <w:pPr>
              <w:jc w:val="both"/>
              <w:rPr>
                <w:rFonts w:ascii="Book Antiqua" w:eastAsia="等线" w:hAnsi="Book Antiqua" w:cs="宋体"/>
                <w:color w:val="000000"/>
                <w:lang w:eastAsia="zh-CN"/>
              </w:rPr>
            </w:pPr>
            <w:r>
              <w:rPr>
                <w:rFonts w:ascii="Book Antiqua" w:eastAsia="等线" w:hAnsi="Book Antiqua" w:cs="宋体"/>
                <w:color w:val="000000"/>
                <w:lang w:eastAsia="zh-CN"/>
              </w:rPr>
              <w:t>0.819</w:t>
            </w:r>
          </w:p>
        </w:tc>
        <w:tc>
          <w:tcPr>
            <w:tcW w:w="1823" w:type="dxa"/>
            <w:tcBorders>
              <w:top w:val="nil"/>
              <w:left w:val="nil"/>
              <w:bottom w:val="single" w:sz="8" w:space="0" w:color="auto"/>
              <w:right w:val="nil"/>
            </w:tcBorders>
            <w:shd w:val="clear" w:color="auto" w:fill="auto"/>
            <w:noWrap/>
            <w:vAlign w:val="center"/>
          </w:tcPr>
          <w:p w:rsidR="002D21BA" w:rsidRDefault="004A1A23">
            <w:pPr>
              <w:jc w:val="both"/>
              <w:rPr>
                <w:rFonts w:ascii="Book Antiqua" w:eastAsia="等线" w:hAnsi="Book Antiqua" w:cs="宋体"/>
                <w:color w:val="000000"/>
                <w:lang w:eastAsia="zh-CN"/>
              </w:rPr>
            </w:pPr>
            <w:r>
              <w:rPr>
                <w:rFonts w:ascii="Book Antiqua" w:eastAsia="等线" w:hAnsi="Book Antiqua" w:cs="宋体"/>
                <w:color w:val="000000"/>
                <w:lang w:eastAsia="zh-CN"/>
              </w:rPr>
              <w:t>0.963</w:t>
            </w:r>
          </w:p>
        </w:tc>
      </w:tr>
    </w:tbl>
    <w:p w:rsidR="00ED6DF5" w:rsidRDefault="004A1A23">
      <w:pPr>
        <w:tabs>
          <w:tab w:val="left" w:pos="3494"/>
        </w:tabs>
        <w:adjustRightInd w:val="0"/>
        <w:snapToGrid w:val="0"/>
        <w:spacing w:line="360" w:lineRule="auto"/>
        <w:jc w:val="both"/>
        <w:rPr>
          <w:rFonts w:ascii="Book Antiqua" w:eastAsia="Book Antiqua" w:hAnsi="Book Antiqua" w:cs="Book Antiqua"/>
          <w:color w:val="000000"/>
        </w:rPr>
      </w:pPr>
      <w:r>
        <w:rPr>
          <w:rFonts w:ascii="Book Antiqua" w:hAnsi="Book Antiqua"/>
          <w:lang w:eastAsia="zh-CN"/>
        </w:rPr>
        <w:t xml:space="preserve">AKI: </w:t>
      </w:r>
      <w:r>
        <w:rPr>
          <w:rFonts w:ascii="Book Antiqua" w:eastAsia="Book Antiqua" w:hAnsi="Book Antiqua" w:cs="Book Antiqua"/>
          <w:color w:val="000000"/>
        </w:rPr>
        <w:t>Acute kidney injury; CI: Confidence interval; SE: Standard error.</w:t>
      </w:r>
    </w:p>
    <w:p w:rsidR="00ED6DF5" w:rsidRDefault="00ED6DF5">
      <w:pPr>
        <w:rPr>
          <w:rFonts w:ascii="Book Antiqua" w:eastAsia="Book Antiqua" w:hAnsi="Book Antiqua" w:cs="Book Antiqua"/>
          <w:color w:val="000000"/>
        </w:rPr>
      </w:pPr>
      <w:r>
        <w:rPr>
          <w:rFonts w:ascii="Book Antiqua" w:eastAsia="Book Antiqua" w:hAnsi="Book Antiqua" w:cs="Book Antiqua"/>
          <w:color w:val="000000"/>
        </w:rPr>
        <w:br w:type="page"/>
      </w: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r>
        <w:rPr>
          <w:rFonts w:ascii="Book Antiqua" w:hAnsi="Book Antiqua"/>
          <w:noProof/>
          <w:lang w:eastAsia="zh-CN"/>
        </w:rPr>
        <w:drawing>
          <wp:inline distT="0" distB="0" distL="0" distR="0" wp14:anchorId="076B92A9" wp14:editId="44E605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ED6DF5" w:rsidRDefault="00ED6DF5" w:rsidP="00ED6DF5">
      <w:pPr>
        <w:jc w:val="center"/>
        <w:rPr>
          <w:rFonts w:ascii="Book Antiqua" w:hAnsi="Book Antiqua"/>
          <w:lang w:eastAsia="zh-CN"/>
        </w:rPr>
      </w:pPr>
    </w:p>
    <w:p w:rsidR="00ED6DF5" w:rsidRPr="00763D22" w:rsidRDefault="00ED6DF5" w:rsidP="00ED6DF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ED6DF5" w:rsidRPr="00763D22" w:rsidRDefault="00ED6DF5" w:rsidP="00ED6D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ED6DF5" w:rsidRPr="00763D22" w:rsidRDefault="00ED6DF5" w:rsidP="00ED6D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ED6DF5" w:rsidRPr="00763D22" w:rsidRDefault="00ED6DF5" w:rsidP="00ED6D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ED6DF5" w:rsidRPr="00763D22" w:rsidRDefault="00ED6DF5" w:rsidP="00ED6D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ED6DF5" w:rsidRPr="00763D22" w:rsidRDefault="00ED6DF5" w:rsidP="00ED6DF5">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r>
        <w:rPr>
          <w:rFonts w:ascii="Book Antiqua" w:hAnsi="Book Antiqua"/>
          <w:noProof/>
          <w:lang w:eastAsia="zh-CN"/>
        </w:rPr>
        <w:drawing>
          <wp:inline distT="0" distB="0" distL="0" distR="0" wp14:anchorId="476A4078" wp14:editId="523825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Default="00ED6DF5" w:rsidP="00ED6DF5">
      <w:pPr>
        <w:jc w:val="center"/>
        <w:rPr>
          <w:rFonts w:ascii="Book Antiqua" w:hAnsi="Book Antiqua"/>
          <w:lang w:eastAsia="zh-CN"/>
        </w:rPr>
      </w:pPr>
    </w:p>
    <w:p w:rsidR="00ED6DF5" w:rsidRPr="00763D22" w:rsidRDefault="00ED6DF5" w:rsidP="00ED6DF5">
      <w:pPr>
        <w:jc w:val="right"/>
        <w:rPr>
          <w:rFonts w:ascii="Book Antiqua" w:hAnsi="Book Antiqua"/>
          <w:color w:val="000000" w:themeColor="text1"/>
          <w:lang w:eastAsia="zh-CN"/>
        </w:rPr>
      </w:pPr>
    </w:p>
    <w:p w:rsidR="00ED6DF5" w:rsidRPr="00763D22" w:rsidRDefault="00ED6DF5" w:rsidP="00ED6DF5">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2D21BA" w:rsidRPr="00ED6DF5" w:rsidRDefault="002D21BA">
      <w:pPr>
        <w:tabs>
          <w:tab w:val="left" w:pos="3494"/>
        </w:tabs>
        <w:adjustRightInd w:val="0"/>
        <w:snapToGrid w:val="0"/>
        <w:spacing w:line="360" w:lineRule="auto"/>
        <w:jc w:val="both"/>
        <w:rPr>
          <w:rFonts w:ascii="Book Antiqua" w:hAnsi="Book Antiqua"/>
          <w:lang w:eastAsia="zh-CN"/>
        </w:rPr>
      </w:pPr>
      <w:bookmarkStart w:id="14" w:name="_GoBack"/>
      <w:bookmarkEnd w:id="14"/>
    </w:p>
    <w:sectPr w:rsidR="002D21BA" w:rsidRPr="00ED6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30" w:rsidRDefault="000A6E30">
      <w:r>
        <w:separator/>
      </w:r>
    </w:p>
  </w:endnote>
  <w:endnote w:type="continuationSeparator" w:id="0">
    <w:p w:rsidR="000A6E30" w:rsidRDefault="000A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A23" w:rsidRDefault="004A1A23">
    <w:pPr>
      <w:pStyle w:val="a4"/>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0A6E30" w:rsidRPr="000A6E30">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0A6E30" w:rsidRPr="000A6E30">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p>
  <w:p w:rsidR="004A1A23" w:rsidRDefault="004A1A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30" w:rsidRDefault="000A6E30">
      <w:r>
        <w:separator/>
      </w:r>
    </w:p>
  </w:footnote>
  <w:footnote w:type="continuationSeparator" w:id="0">
    <w:p w:rsidR="000A6E30" w:rsidRDefault="000A6E3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郜杨">
    <w15:presenceInfo w15:providerId="WPS Office" w15:userId="1692544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A4460"/>
    <w:rsid w:val="000A6E30"/>
    <w:rsid w:val="000F5523"/>
    <w:rsid w:val="0012172A"/>
    <w:rsid w:val="001340A6"/>
    <w:rsid w:val="001511E0"/>
    <w:rsid w:val="00173D72"/>
    <w:rsid w:val="001A227C"/>
    <w:rsid w:val="001E38B0"/>
    <w:rsid w:val="00246151"/>
    <w:rsid w:val="002970B0"/>
    <w:rsid w:val="002D21BA"/>
    <w:rsid w:val="003305A4"/>
    <w:rsid w:val="00340DFE"/>
    <w:rsid w:val="00346D3E"/>
    <w:rsid w:val="00370BEA"/>
    <w:rsid w:val="004A1A23"/>
    <w:rsid w:val="004E0B30"/>
    <w:rsid w:val="0056032A"/>
    <w:rsid w:val="005B1DEF"/>
    <w:rsid w:val="005D10C1"/>
    <w:rsid w:val="00611F8C"/>
    <w:rsid w:val="006569D2"/>
    <w:rsid w:val="00690905"/>
    <w:rsid w:val="006B25AC"/>
    <w:rsid w:val="00716654"/>
    <w:rsid w:val="007572B9"/>
    <w:rsid w:val="007B49F6"/>
    <w:rsid w:val="007C7118"/>
    <w:rsid w:val="00820147"/>
    <w:rsid w:val="00854C34"/>
    <w:rsid w:val="008A6339"/>
    <w:rsid w:val="008B69E3"/>
    <w:rsid w:val="008B76ED"/>
    <w:rsid w:val="008F3119"/>
    <w:rsid w:val="00947D5B"/>
    <w:rsid w:val="00972F92"/>
    <w:rsid w:val="00997B00"/>
    <w:rsid w:val="009F7C24"/>
    <w:rsid w:val="00A77B3E"/>
    <w:rsid w:val="00AA1766"/>
    <w:rsid w:val="00AE086C"/>
    <w:rsid w:val="00AE7526"/>
    <w:rsid w:val="00AF5C83"/>
    <w:rsid w:val="00B1365B"/>
    <w:rsid w:val="00B52AB4"/>
    <w:rsid w:val="00B64C63"/>
    <w:rsid w:val="00B75FD9"/>
    <w:rsid w:val="00C303C8"/>
    <w:rsid w:val="00CA2A55"/>
    <w:rsid w:val="00CD41CE"/>
    <w:rsid w:val="00D234E9"/>
    <w:rsid w:val="00D5403E"/>
    <w:rsid w:val="00D629CD"/>
    <w:rsid w:val="00D655E9"/>
    <w:rsid w:val="00D824C1"/>
    <w:rsid w:val="00DA65E7"/>
    <w:rsid w:val="00DA6ACB"/>
    <w:rsid w:val="00DE67BE"/>
    <w:rsid w:val="00DF7D44"/>
    <w:rsid w:val="00E35828"/>
    <w:rsid w:val="00E5073D"/>
    <w:rsid w:val="00EB52CD"/>
    <w:rsid w:val="00ED044F"/>
    <w:rsid w:val="00ED6DF5"/>
    <w:rsid w:val="00EF7FF3"/>
    <w:rsid w:val="00F21C3A"/>
    <w:rsid w:val="00FA7AEB"/>
    <w:rsid w:val="00FB4250"/>
    <w:rsid w:val="016C075F"/>
    <w:rsid w:val="01C501D6"/>
    <w:rsid w:val="025A0DEB"/>
    <w:rsid w:val="02711AD3"/>
    <w:rsid w:val="03485038"/>
    <w:rsid w:val="03C7486F"/>
    <w:rsid w:val="04601724"/>
    <w:rsid w:val="04AD3499"/>
    <w:rsid w:val="05AC2BDE"/>
    <w:rsid w:val="05CE0265"/>
    <w:rsid w:val="067428AD"/>
    <w:rsid w:val="078836A3"/>
    <w:rsid w:val="07C94217"/>
    <w:rsid w:val="09C61716"/>
    <w:rsid w:val="0A592122"/>
    <w:rsid w:val="0A971AB0"/>
    <w:rsid w:val="0ABB2EBE"/>
    <w:rsid w:val="0B9055E8"/>
    <w:rsid w:val="0B9E5275"/>
    <w:rsid w:val="0C3F197A"/>
    <w:rsid w:val="0D036C70"/>
    <w:rsid w:val="0DC84B9D"/>
    <w:rsid w:val="0DCC6DCC"/>
    <w:rsid w:val="0E354BE7"/>
    <w:rsid w:val="0E4C3760"/>
    <w:rsid w:val="0EBB1267"/>
    <w:rsid w:val="0F29676C"/>
    <w:rsid w:val="0FA7628C"/>
    <w:rsid w:val="0FCB4654"/>
    <w:rsid w:val="10354178"/>
    <w:rsid w:val="11602630"/>
    <w:rsid w:val="135F43D8"/>
    <w:rsid w:val="149C6CE0"/>
    <w:rsid w:val="1594095B"/>
    <w:rsid w:val="15963DC5"/>
    <w:rsid w:val="15F913F3"/>
    <w:rsid w:val="163E5DE1"/>
    <w:rsid w:val="16801652"/>
    <w:rsid w:val="16CF5868"/>
    <w:rsid w:val="18331C51"/>
    <w:rsid w:val="187D4CB0"/>
    <w:rsid w:val="18A542F0"/>
    <w:rsid w:val="19BF7A36"/>
    <w:rsid w:val="19CC6EF6"/>
    <w:rsid w:val="1A185779"/>
    <w:rsid w:val="1BAF01C0"/>
    <w:rsid w:val="1D3A303F"/>
    <w:rsid w:val="1D8E6826"/>
    <w:rsid w:val="1D925BAA"/>
    <w:rsid w:val="1DD36159"/>
    <w:rsid w:val="1E8160FA"/>
    <w:rsid w:val="1EB90A07"/>
    <w:rsid w:val="1EFF4704"/>
    <w:rsid w:val="1F7F0C00"/>
    <w:rsid w:val="20656C19"/>
    <w:rsid w:val="2091576E"/>
    <w:rsid w:val="21BF6182"/>
    <w:rsid w:val="21EB1BA4"/>
    <w:rsid w:val="22245678"/>
    <w:rsid w:val="223A5CCC"/>
    <w:rsid w:val="235207BB"/>
    <w:rsid w:val="24C77E08"/>
    <w:rsid w:val="275F5A09"/>
    <w:rsid w:val="280D2AAE"/>
    <w:rsid w:val="2812373E"/>
    <w:rsid w:val="283F0675"/>
    <w:rsid w:val="28891D81"/>
    <w:rsid w:val="299C3CEA"/>
    <w:rsid w:val="29AC6B8C"/>
    <w:rsid w:val="29B01405"/>
    <w:rsid w:val="2AA26457"/>
    <w:rsid w:val="2B256930"/>
    <w:rsid w:val="2CF745D3"/>
    <w:rsid w:val="2E570843"/>
    <w:rsid w:val="2EAF124F"/>
    <w:rsid w:val="2FED1C4E"/>
    <w:rsid w:val="303609F8"/>
    <w:rsid w:val="30524BEE"/>
    <w:rsid w:val="307529AC"/>
    <w:rsid w:val="30DE4683"/>
    <w:rsid w:val="31BB560F"/>
    <w:rsid w:val="31BF4C5C"/>
    <w:rsid w:val="31DD7448"/>
    <w:rsid w:val="31F01D4D"/>
    <w:rsid w:val="32811C89"/>
    <w:rsid w:val="328E0431"/>
    <w:rsid w:val="32C56565"/>
    <w:rsid w:val="33711D8A"/>
    <w:rsid w:val="33DC4504"/>
    <w:rsid w:val="3443625D"/>
    <w:rsid w:val="34FF7093"/>
    <w:rsid w:val="362861A3"/>
    <w:rsid w:val="365E368C"/>
    <w:rsid w:val="37767CF5"/>
    <w:rsid w:val="37837000"/>
    <w:rsid w:val="37BF216B"/>
    <w:rsid w:val="37D75A5F"/>
    <w:rsid w:val="38D37113"/>
    <w:rsid w:val="38FF3AC3"/>
    <w:rsid w:val="38FF7CEB"/>
    <w:rsid w:val="3A7715E6"/>
    <w:rsid w:val="3A9313C1"/>
    <w:rsid w:val="3ADC6C4D"/>
    <w:rsid w:val="3C1C46E6"/>
    <w:rsid w:val="3C3D7B7D"/>
    <w:rsid w:val="3D135D37"/>
    <w:rsid w:val="3D224907"/>
    <w:rsid w:val="3D636592"/>
    <w:rsid w:val="3DB444F7"/>
    <w:rsid w:val="3DE259B9"/>
    <w:rsid w:val="3DE803FD"/>
    <w:rsid w:val="3E7430A0"/>
    <w:rsid w:val="3F0510E4"/>
    <w:rsid w:val="400818E3"/>
    <w:rsid w:val="405A7FCF"/>
    <w:rsid w:val="40654B04"/>
    <w:rsid w:val="409F794A"/>
    <w:rsid w:val="41A0239F"/>
    <w:rsid w:val="41B812C6"/>
    <w:rsid w:val="42E547D5"/>
    <w:rsid w:val="433047AE"/>
    <w:rsid w:val="437F7A4D"/>
    <w:rsid w:val="43B46A7F"/>
    <w:rsid w:val="43D06286"/>
    <w:rsid w:val="44B43A09"/>
    <w:rsid w:val="44FB158D"/>
    <w:rsid w:val="48C429C3"/>
    <w:rsid w:val="48C47B9D"/>
    <w:rsid w:val="4999774E"/>
    <w:rsid w:val="4A06250E"/>
    <w:rsid w:val="4AA84197"/>
    <w:rsid w:val="4AE13C4D"/>
    <w:rsid w:val="4B7372FA"/>
    <w:rsid w:val="4B903494"/>
    <w:rsid w:val="4BF9172A"/>
    <w:rsid w:val="4C0D7CCB"/>
    <w:rsid w:val="4C261D52"/>
    <w:rsid w:val="4D0F197B"/>
    <w:rsid w:val="4D727482"/>
    <w:rsid w:val="4DF73B80"/>
    <w:rsid w:val="4ECA2F5A"/>
    <w:rsid w:val="4ECD48C4"/>
    <w:rsid w:val="4ED327B3"/>
    <w:rsid w:val="4F587826"/>
    <w:rsid w:val="4F5D5D9B"/>
    <w:rsid w:val="51560006"/>
    <w:rsid w:val="51E11890"/>
    <w:rsid w:val="53937F55"/>
    <w:rsid w:val="5472482C"/>
    <w:rsid w:val="552F0D5F"/>
    <w:rsid w:val="5701183E"/>
    <w:rsid w:val="5796321D"/>
    <w:rsid w:val="579E65A3"/>
    <w:rsid w:val="57A96ED1"/>
    <w:rsid w:val="57AD2672"/>
    <w:rsid w:val="5AA31537"/>
    <w:rsid w:val="5AC14ED3"/>
    <w:rsid w:val="5AF90DF6"/>
    <w:rsid w:val="5B602A5D"/>
    <w:rsid w:val="5B8F6D39"/>
    <w:rsid w:val="5BCD352B"/>
    <w:rsid w:val="5C5D6ED4"/>
    <w:rsid w:val="5D1C7401"/>
    <w:rsid w:val="5E933F06"/>
    <w:rsid w:val="5EBD2239"/>
    <w:rsid w:val="5F750783"/>
    <w:rsid w:val="5FA435BC"/>
    <w:rsid w:val="61770636"/>
    <w:rsid w:val="635D0BBA"/>
    <w:rsid w:val="63AA0C9B"/>
    <w:rsid w:val="63C93417"/>
    <w:rsid w:val="64572606"/>
    <w:rsid w:val="64B70E60"/>
    <w:rsid w:val="64EE657C"/>
    <w:rsid w:val="6742101A"/>
    <w:rsid w:val="674871D1"/>
    <w:rsid w:val="680E3AB2"/>
    <w:rsid w:val="68786C4A"/>
    <w:rsid w:val="687B5AAC"/>
    <w:rsid w:val="68CC4690"/>
    <w:rsid w:val="692E3B8A"/>
    <w:rsid w:val="693E6D33"/>
    <w:rsid w:val="69467324"/>
    <w:rsid w:val="69587009"/>
    <w:rsid w:val="6A45757A"/>
    <w:rsid w:val="6B263536"/>
    <w:rsid w:val="6C120344"/>
    <w:rsid w:val="6C71335D"/>
    <w:rsid w:val="6D3D4445"/>
    <w:rsid w:val="6E5441BD"/>
    <w:rsid w:val="6EBF6FBD"/>
    <w:rsid w:val="701E0382"/>
    <w:rsid w:val="70955BD6"/>
    <w:rsid w:val="7115377C"/>
    <w:rsid w:val="712611B0"/>
    <w:rsid w:val="71DB20D5"/>
    <w:rsid w:val="72866273"/>
    <w:rsid w:val="729C255C"/>
    <w:rsid w:val="736A0210"/>
    <w:rsid w:val="74EC7030"/>
    <w:rsid w:val="751B2D29"/>
    <w:rsid w:val="75C00C90"/>
    <w:rsid w:val="760739B0"/>
    <w:rsid w:val="7683300C"/>
    <w:rsid w:val="779B14B8"/>
    <w:rsid w:val="77AC1AC1"/>
    <w:rsid w:val="780C637C"/>
    <w:rsid w:val="79CF2612"/>
    <w:rsid w:val="79DE0B31"/>
    <w:rsid w:val="7A9A17AE"/>
    <w:rsid w:val="7B30082B"/>
    <w:rsid w:val="7BA74877"/>
    <w:rsid w:val="7BE56BB7"/>
    <w:rsid w:val="7BEA41A6"/>
    <w:rsid w:val="7C384011"/>
    <w:rsid w:val="7C6E73B5"/>
    <w:rsid w:val="7D5420DB"/>
    <w:rsid w:val="7D8F3E1D"/>
    <w:rsid w:val="7E09162A"/>
    <w:rsid w:val="7E62570D"/>
    <w:rsid w:val="7F102C4D"/>
    <w:rsid w:val="7F182EE7"/>
    <w:rsid w:val="7F9D5A43"/>
    <w:rsid w:val="7FB74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customStyle="1" w:styleId="Revision1">
    <w:name w:val="Revision1"/>
    <w:hidden/>
    <w:uiPriority w:val="99"/>
    <w:semiHidden/>
    <w:rPr>
      <w:sz w:val="24"/>
      <w:szCs w:val="24"/>
      <w:lang w:eastAsia="en-US"/>
    </w:rPr>
  </w:style>
  <w:style w:type="paragraph" w:customStyle="1" w:styleId="1">
    <w:name w:val="修订1"/>
    <w:hidden/>
    <w:uiPriority w:val="99"/>
    <w:semiHidden/>
    <w:rPr>
      <w:sz w:val="24"/>
      <w:szCs w:val="24"/>
      <w:lang w:eastAsia="en-US"/>
    </w:rPr>
  </w:style>
  <w:style w:type="character" w:customStyle="1" w:styleId="Char">
    <w:name w:val="批注框文本 Char"/>
    <w:basedOn w:val="a0"/>
    <w:link w:val="a3"/>
    <w:rPr>
      <w:sz w:val="18"/>
      <w:szCs w:val="18"/>
    </w:rPr>
  </w:style>
  <w:style w:type="character" w:styleId="a6">
    <w:name w:val="Hyperlink"/>
    <w:basedOn w:val="a0"/>
    <w:unhideWhenUsed/>
    <w:rsid w:val="004E0B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sz w:val="18"/>
      <w:szCs w:val="18"/>
    </w:rPr>
  </w:style>
  <w:style w:type="character" w:customStyle="1" w:styleId="Char0">
    <w:name w:val="页脚 Char"/>
    <w:basedOn w:val="a0"/>
    <w:link w:val="a4"/>
    <w:uiPriority w:val="99"/>
    <w:rPr>
      <w:sz w:val="18"/>
      <w:szCs w:val="18"/>
    </w:rPr>
  </w:style>
  <w:style w:type="paragraph" w:customStyle="1" w:styleId="Revision1">
    <w:name w:val="Revision1"/>
    <w:hidden/>
    <w:uiPriority w:val="99"/>
    <w:semiHidden/>
    <w:rPr>
      <w:sz w:val="24"/>
      <w:szCs w:val="24"/>
      <w:lang w:eastAsia="en-US"/>
    </w:rPr>
  </w:style>
  <w:style w:type="paragraph" w:customStyle="1" w:styleId="1">
    <w:name w:val="修订1"/>
    <w:hidden/>
    <w:uiPriority w:val="99"/>
    <w:semiHidden/>
    <w:rPr>
      <w:sz w:val="24"/>
      <w:szCs w:val="24"/>
      <w:lang w:eastAsia="en-US"/>
    </w:rPr>
  </w:style>
  <w:style w:type="character" w:customStyle="1" w:styleId="Char">
    <w:name w:val="批注框文本 Char"/>
    <w:basedOn w:val="a0"/>
    <w:link w:val="a3"/>
    <w:rPr>
      <w:sz w:val="18"/>
      <w:szCs w:val="18"/>
    </w:rPr>
  </w:style>
  <w:style w:type="character" w:styleId="a6">
    <w:name w:val="Hyperlink"/>
    <w:basedOn w:val="a0"/>
    <w:unhideWhenUsed/>
    <w:rsid w:val="004E0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33</Pages>
  <Words>6733</Words>
  <Characters>38384</Characters>
  <Application>Microsoft Office Word</Application>
  <DocSecurity>0</DocSecurity>
  <Lines>319</Lines>
  <Paragraphs>90</Paragraphs>
  <ScaleCrop>false</ScaleCrop>
  <Company>HP</Company>
  <LinksUpToDate>false</LinksUpToDate>
  <CharactersWithSpaces>45027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liujihong2008@qq.con</cp:lastModifiedBy>
  <cp:revision>11</cp:revision>
  <dcterms:created xsi:type="dcterms:W3CDTF">2021-08-31T21:13:00Z</dcterms:created>
  <dcterms:modified xsi:type="dcterms:W3CDTF">2021-10-11T08:53:00Z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DEDFB9F94B6E4F3E97DF78F455FC36D8</vt:lpwstr>
  </property>
</Properties>
</file>