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adjustRightInd w:val="0"/>
        <w:snapToGrid w:val="0"/>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64130</w:t>
      </w:r>
    </w:p>
    <w:p>
      <w:pPr>
        <w:adjustRightInd w:val="0"/>
        <w:snapToGrid w:val="0"/>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Observational Study</w:t>
      </w:r>
    </w:p>
    <w:p>
      <w:pPr>
        <w:adjustRightInd w:val="0"/>
        <w:snapToGrid w:val="0"/>
        <w:spacing w:line="360" w:lineRule="auto"/>
        <w:jc w:val="both"/>
      </w:pPr>
      <w:bookmarkStart w:id="0" w:name="OLE_LINK2"/>
      <w:r>
        <w:rPr>
          <w:rFonts w:ascii="Book Antiqua" w:hAnsi="Book Antiqua" w:eastAsia="Book Antiqua" w:cs="Book Antiqua"/>
          <w:b/>
          <w:bCs/>
          <w:color w:val="000000"/>
        </w:rPr>
        <w:t>Six-minute walking test performance is associated with survival in cirrhotic patients</w:t>
      </w:r>
    </w:p>
    <w:bookmarkEnd w:id="0"/>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 xml:space="preserve">Pimentel CFMG </w:t>
      </w:r>
      <w:r>
        <w:rPr>
          <w:rFonts w:ascii="Book Antiqua" w:hAnsi="Book Antiqua" w:eastAsia="Book Antiqua" w:cs="Book Antiqua"/>
          <w:i/>
          <w:iCs/>
          <w:color w:val="000000"/>
        </w:rPr>
        <w:t>et</w:t>
      </w:r>
      <w:r>
        <w:rPr>
          <w:rFonts w:ascii="Book Antiqua" w:hAnsi="Book Antiqua" w:eastAsia="Book Antiqua" w:cs="Book Antiqua"/>
          <w:color w:val="000000"/>
        </w:rPr>
        <w:t xml:space="preserve"> </w:t>
      </w:r>
      <w:r>
        <w:rPr>
          <w:rFonts w:ascii="Book Antiqua" w:hAnsi="Book Antiqua" w:eastAsia="Book Antiqua" w:cs="Book Antiqua"/>
          <w:i/>
          <w:iCs/>
          <w:color w:val="000000"/>
        </w:rPr>
        <w:t>al</w:t>
      </w:r>
      <w:r>
        <w:rPr>
          <w:rFonts w:ascii="Book Antiqua" w:hAnsi="Book Antiqua" w:eastAsia="Book Antiqua" w:cs="Book Antiqua"/>
          <w:color w:val="000000"/>
        </w:rPr>
        <w:t xml:space="preserve">. </w:t>
      </w:r>
      <w:bookmarkStart w:id="1" w:name="OLE_LINK1"/>
      <w:r>
        <w:rPr>
          <w:rFonts w:ascii="Book Antiqua" w:hAnsi="Book Antiqua" w:eastAsia="Book Antiqua" w:cs="Book Antiqua"/>
          <w:color w:val="000000"/>
        </w:rPr>
        <w:t>Six-minute walking test in cirrhotic patients</w:t>
      </w:r>
      <w:bookmarkEnd w:id="1"/>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Carolina Frade M G Pimentel, Ana Cristina de Castro Amaral, Adriano Miziara Gonzalez, Michelle Lai, Daniel de Oliveira Mota, Maria Lucia Gomes Ferraz, Wilson Mathias Junior, Mario Kondo</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Carolina Frade M G Pimentel, </w:t>
      </w:r>
      <w:r>
        <w:rPr>
          <w:rFonts w:ascii="Book Antiqua" w:hAnsi="Book Antiqua" w:eastAsia="Book Antiqua" w:cs="Book Antiqua"/>
          <w:color w:val="000000"/>
        </w:rPr>
        <w:t>Department of Medicine, Federal University of Sao Paulo, Sao Paulo 04026090, Brazil</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Ana Cristina de Castro Amaral, Maria Lucia Gomes Ferraz, Mario Kondo, </w:t>
      </w:r>
      <w:r>
        <w:rPr>
          <w:rFonts w:ascii="Book Antiqua" w:hAnsi="Book Antiqua" w:eastAsia="Book Antiqua" w:cs="Book Antiqua"/>
          <w:color w:val="000000"/>
        </w:rPr>
        <w:t>Department of Gastroenterology, Federal University of Sao Paulo, Sao Paulo 04023062, Brazil</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Adriano Miziara Gonzalez, </w:t>
      </w:r>
      <w:r>
        <w:rPr>
          <w:rFonts w:ascii="Book Antiqua" w:hAnsi="Book Antiqua" w:eastAsia="Book Antiqua" w:cs="Book Antiqua"/>
          <w:color w:val="000000"/>
        </w:rPr>
        <w:t xml:space="preserve">Department of Surgery, Liver Transplantation Service, Federal University of Sao Paulo, Sao Paulo 04026090, </w:t>
      </w:r>
      <w:bookmarkStart w:id="2" w:name="OLE_LINK6"/>
      <w:r>
        <w:rPr>
          <w:rFonts w:ascii="Book Antiqua" w:hAnsi="Book Antiqua" w:eastAsia="Book Antiqua" w:cs="Book Antiqua"/>
          <w:color w:val="000000"/>
        </w:rPr>
        <w:t>Brazil</w:t>
      </w:r>
      <w:bookmarkEnd w:id="2"/>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Michelle Lai, </w:t>
      </w:r>
      <w:r>
        <w:rPr>
          <w:rFonts w:ascii="Book Antiqua" w:hAnsi="Book Antiqua" w:eastAsia="Book Antiqua" w:cs="Book Antiqua"/>
          <w:color w:val="000000"/>
        </w:rPr>
        <w:t>Department of Medicine, Division of Gastroenterology and Hepatology, Beth Israel Deaconess Medical Center, Boston, MA 02215, United States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Daniel de Oliveira Mota, </w:t>
      </w:r>
      <w:r>
        <w:rPr>
          <w:rFonts w:ascii="Book Antiqua" w:hAnsi="Book Antiqua" w:eastAsia="Book Antiqua" w:cs="Book Antiqua"/>
          <w:color w:val="000000"/>
        </w:rPr>
        <w:t>Department of Industrial Engineering, University of Sao Paulo, Sao Paulo 05508010, Brazil</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Wilson Mathias Junior, </w:t>
      </w:r>
      <w:r>
        <w:rPr>
          <w:rFonts w:ascii="Book Antiqua" w:hAnsi="Book Antiqua" w:eastAsia="Book Antiqua" w:cs="Book Antiqua"/>
          <w:color w:val="000000"/>
        </w:rPr>
        <w:t>Department of Cardiology, Heart Institute, University of Sao Paulo, Sao Paulo 05403900, Brazil</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All authors of this manuscript contributed to its developing; Carolina PFMG, Amaral ACC, Gonzalez AM, Lai M, Mota DO, Ferraz ML, Junior WM, and Kondo M responsible for conception and design of the study, and interpretation of the data, making critical revisions and final approval of the version of the article to be published; Carolina PFMG, Lai M, and Kondo M drafted the article; Carolina PFMG and Kondo M contributed to acquisition of data and analysis. </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Corresponding author: Carolina Frade M G Pimentel, MD, Professor, </w:t>
      </w:r>
      <w:r>
        <w:rPr>
          <w:rFonts w:ascii="Book Antiqua" w:hAnsi="Book Antiqua" w:eastAsia="Book Antiqua" w:cs="Book Antiqua"/>
          <w:color w:val="000000"/>
        </w:rPr>
        <w:t>Department of Medicine, Federal University of Sao Paulo, Botucatu Street n 740, Sao Paulo 04026090, Brazil. carolinapimentel.gastro@gmail.com</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9, 2021</w:t>
      </w:r>
    </w:p>
    <w:p>
      <w:pPr>
        <w:adjustRightInd w:val="0"/>
        <w:snapToGrid w:val="0"/>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18, 2021</w:t>
      </w:r>
    </w:p>
    <w:p>
      <w:pPr>
        <w:adjustRightInd w:val="0"/>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October 12, 2021</w:t>
      </w:r>
    </w:p>
    <w:p>
      <w:pPr>
        <w:adjustRightInd w:val="0"/>
        <w:snapToGrid w:val="0"/>
        <w:spacing w:line="360" w:lineRule="auto"/>
        <w:jc w:val="both"/>
        <w:rPr>
          <w:rFonts w:hint="eastAsia" w:ascii="Book Antiqua" w:hAnsi="Book Antiqua" w:eastAsia="宋体" w:cs="Book Antiqua"/>
          <w:b/>
          <w:bCs/>
          <w:color w:val="000000"/>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b w:val="0"/>
          <w:bCs w:val="0"/>
          <w:color w:val="000000" w:themeColor="text1"/>
          <w14:textFill>
            <w14:solidFill>
              <w14:schemeClr w14:val="tx1"/>
            </w14:solidFill>
          </w14:textFill>
        </w:rPr>
        <w:t>November 27</w:t>
      </w:r>
      <w:r>
        <w:rPr>
          <w:rFonts w:hint="eastAsia" w:ascii="Book Antiqua" w:hAnsi="Book Antiqua" w:eastAsia="宋体" w:cs="Book Antiqua"/>
          <w:b w:val="0"/>
          <w:bCs w:val="0"/>
          <w:color w:val="000000" w:themeColor="text1"/>
          <w:lang w:val="en-US" w:eastAsia="zh-CN"/>
          <w14:textFill>
            <w14:solidFill>
              <w14:schemeClr w14:val="tx1"/>
            </w14:solidFill>
          </w14:textFill>
        </w:rPr>
        <w:t>, 2021</w:t>
      </w: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sectPr>
          <w:pgSz w:w="12240" w:h="15840"/>
          <w:pgMar w:top="1440" w:right="1440" w:bottom="1440" w:left="1440" w:header="720" w:footer="720" w:gutter="0"/>
          <w:cols w:space="720" w:num="1"/>
          <w:docGrid w:linePitch="360" w:charSpace="0"/>
        </w:sectPr>
      </w:pPr>
    </w:p>
    <w:p>
      <w:pPr>
        <w:adjustRightInd w:val="0"/>
        <w:snapToGrid w:val="0"/>
        <w:spacing w:line="360" w:lineRule="auto"/>
        <w:jc w:val="both"/>
      </w:pPr>
      <w:r>
        <w:rPr>
          <w:rFonts w:ascii="Book Antiqua" w:hAnsi="Book Antiqua" w:eastAsia="Book Antiqua" w:cs="Book Antiqua"/>
          <w:b/>
          <w:color w:val="000000"/>
        </w:rPr>
        <w:t>Abstract</w:t>
      </w:r>
    </w:p>
    <w:p>
      <w:pPr>
        <w:adjustRightInd w:val="0"/>
        <w:snapToGrid w:val="0"/>
        <w:spacing w:line="360" w:lineRule="auto"/>
        <w:jc w:val="both"/>
      </w:pPr>
      <w:r>
        <w:rPr>
          <w:rFonts w:ascii="Book Antiqua" w:hAnsi="Book Antiqua" w:eastAsia="Book Antiqua" w:cs="Book Antiqua"/>
          <w:color w:val="000000"/>
        </w:rPr>
        <w:t>BACKGROUND</w:t>
      </w:r>
    </w:p>
    <w:p>
      <w:pPr>
        <w:adjustRightInd w:val="0"/>
        <w:snapToGrid w:val="0"/>
        <w:spacing w:line="360" w:lineRule="auto"/>
        <w:jc w:val="both"/>
      </w:pPr>
      <w:r>
        <w:rPr>
          <w:rFonts w:ascii="Book Antiqua" w:hAnsi="Book Antiqua" w:eastAsia="Book Antiqua" w:cs="Book Antiqua"/>
          <w:color w:val="000000"/>
        </w:rPr>
        <w:t xml:space="preserve">Patients with cirrhosis are at risk of cirrhotic cardiomyopathy, with resulting cardiac dysfunction and exercise limitations. Six minute walking test (6MWT) assesses functional status and predicts morbidity and mortality in cardiopulmonary diseases. </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AIM</w:t>
      </w:r>
    </w:p>
    <w:p>
      <w:pPr>
        <w:adjustRightInd w:val="0"/>
        <w:snapToGrid w:val="0"/>
        <w:spacing w:line="360" w:lineRule="auto"/>
        <w:jc w:val="both"/>
      </w:pPr>
      <w:r>
        <w:rPr>
          <w:rFonts w:ascii="Book Antiqua" w:hAnsi="Book Antiqua" w:eastAsia="Book Antiqua" w:cs="Book Antiqua"/>
          <w:color w:val="000000"/>
        </w:rPr>
        <w:t>To determine if it associates with mortality by analyzing 6MWT performance in patients with liver cirrhosis.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METHODS</w:t>
      </w:r>
    </w:p>
    <w:p>
      <w:pPr>
        <w:adjustRightInd w:val="0"/>
        <w:snapToGrid w:val="0"/>
        <w:spacing w:line="360" w:lineRule="auto"/>
        <w:jc w:val="both"/>
      </w:pPr>
      <w:r>
        <w:rPr>
          <w:rFonts w:ascii="Book Antiqua" w:hAnsi="Book Antiqua" w:eastAsia="Book Antiqua" w:cs="Book Antiqua"/>
          <w:color w:val="000000"/>
        </w:rPr>
        <w:t>A cohort of 106 cirrhotic patients was evaluated in the outpatient setting with echocardiogram and 6MWT and follow up for one year to document hepatic decompensation and mortality. The distance in meters was recorded at the end of 6 min (6MWD).</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RESULTS</w:t>
      </w:r>
    </w:p>
    <w:p>
      <w:pPr>
        <w:adjustRightInd w:val="0"/>
        <w:snapToGrid w:val="0"/>
        <w:spacing w:line="360" w:lineRule="auto"/>
        <w:jc w:val="both"/>
      </w:pPr>
      <w:r>
        <w:rPr>
          <w:rFonts w:ascii="Book Antiqua" w:hAnsi="Book Antiqua" w:eastAsia="Book Antiqua" w:cs="Book Antiqua"/>
          <w:color w:val="000000"/>
        </w:rPr>
        <w:t>This cohort had a mean age of 51 years and 56% male; patients were staged as Child A in 21.7%, B 66% and C 12.3%. Walk distance inversely correlated with Child scores, and was significantly reduced as Child stages progresses. Patients who died (10.4%) showed shorter mean 6MWD (</w:t>
      </w:r>
      <w:r>
        <w:rPr>
          <w:rFonts w:ascii="Book Antiqua" w:hAnsi="Book Antiqua" w:eastAsia="Book Antiqua" w:cs="Book Antiqua"/>
          <w:i/>
          <w:iCs/>
          <w:color w:val="000000"/>
        </w:rPr>
        <w:t>P</w:t>
      </w:r>
      <w:r>
        <w:rPr>
          <w:rFonts w:ascii="Book Antiqua" w:hAnsi="Book Antiqua" w:eastAsia="Book Antiqua" w:cs="Book Antiqua"/>
          <w:color w:val="000000"/>
        </w:rPr>
        <w:t xml:space="preserve"> = 0.006). Low 6MWD was an independent predictor of mortality (</w:t>
      </w:r>
      <w:r>
        <w:rPr>
          <w:rFonts w:ascii="Book Antiqua" w:hAnsi="Book Antiqua" w:eastAsia="Book Antiqua" w:cs="Book Antiqua"/>
          <w:i/>
          <w:iCs/>
          <w:color w:val="000000"/>
        </w:rPr>
        <w:t>P</w:t>
      </w:r>
      <w:r>
        <w:rPr>
          <w:rFonts w:ascii="Book Antiqua" w:hAnsi="Book Antiqua" w:eastAsia="Book Antiqua" w:cs="Book Antiqua"/>
          <w:color w:val="000000"/>
        </w:rPr>
        <w:t xml:space="preserve"> = 0.01).</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color w:val="000000"/>
        </w:rPr>
        <w:t>CONCLUSION</w:t>
      </w:r>
    </w:p>
    <w:p>
      <w:pPr>
        <w:adjustRightInd w:val="0"/>
        <w:snapToGrid w:val="0"/>
        <w:spacing w:line="360" w:lineRule="auto"/>
        <w:jc w:val="both"/>
      </w:pPr>
      <w:r>
        <w:rPr>
          <w:rFonts w:ascii="Book Antiqua" w:hAnsi="Book Antiqua" w:eastAsia="Book Antiqua" w:cs="Book Antiqua"/>
          <w:color w:val="000000"/>
        </w:rPr>
        <w:t>6MWT is a noninvasive inexpensive test whose result is related to Child scores and mortality. It is useful to identify patients with liver cirrhosis at high risk of mortality for closer monitoring and potential early intervention.</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Key Words: </w:t>
      </w:r>
      <w:bookmarkStart w:id="3" w:name="OLE_LINK3"/>
      <w:r>
        <w:rPr>
          <w:rFonts w:ascii="Book Antiqua" w:hAnsi="Book Antiqua" w:eastAsia="Book Antiqua" w:cs="Book Antiqua"/>
          <w:color w:val="000000"/>
        </w:rPr>
        <w:t>Six-minute walking test; Liver cirrhosis; Hospital admission and mortality; Child score</w:t>
      </w:r>
      <w:bookmarkEnd w:id="3"/>
    </w:p>
    <w:p>
      <w:pPr>
        <w:adjustRightInd w:val="0"/>
        <w:snapToGrid w:val="0"/>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pPr>
    </w:p>
    <w:p>
      <w:pPr>
        <w:adjustRightInd w:val="0"/>
        <w:snapToGrid w:val="0"/>
        <w:spacing w:line="360" w:lineRule="auto"/>
        <w:jc w:val="both"/>
        <w:rPr>
          <w:rFonts w:hint="eastAsia" w:ascii="Book Antiqua" w:hAnsi="Book Antiqua" w:eastAsia="Book Antiqua" w:cs="Book Antiqua"/>
          <w:color w:val="000000" w:themeColor="text1"/>
          <w14:textFill>
            <w14:solidFill>
              <w14:schemeClr w14:val="tx1"/>
            </w14:solidFill>
          </w14:textFill>
        </w:rPr>
      </w:pPr>
      <w:bookmarkStart w:id="4" w:name="OLE_LINK4"/>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Pimentel CFMG, Amaral ACC, Gonzalez AM, Lai M, Mota DO, Ferraz MLG, Junior WM, Kondo M. Six-minute walking test performance is associated with survival in cirrhotic patients.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themeColor="text1"/>
          <w14:textFill>
            <w14:solidFill>
              <w14:schemeClr w14:val="tx1"/>
            </w14:solidFill>
          </w14:textFill>
        </w:rPr>
        <w:t>13(1</w:t>
      </w:r>
      <w:r>
        <w:rPr>
          <w:rFonts w:hint="eastAsia" w:ascii="Book Antiqua" w:hAnsi="Book Antiqua" w:eastAsia="宋体" w:cs="Book Antiqua"/>
          <w:color w:val="000000" w:themeColor="text1"/>
          <w:lang w:val="en-US" w:eastAsia="zh-CN"/>
          <w14:textFill>
            <w14:solidFill>
              <w14:schemeClr w14:val="tx1"/>
            </w14:solidFill>
          </w14:textFill>
        </w:rPr>
        <w:t>1</w:t>
      </w:r>
      <w:r>
        <w:rPr>
          <w:rFonts w:hint="eastAsia" w:ascii="Book Antiqua" w:hAnsi="Book Antiqua" w:eastAsia="Book Antiqua" w:cs="Book Antiqua"/>
          <w:color w:val="000000" w:themeColor="text1"/>
          <w14:textFill>
            <w14:solidFill>
              <w14:schemeClr w14:val="tx1"/>
            </w14:solidFill>
          </w14:textFill>
        </w:rPr>
        <w:t xml:space="preserve">): </w:t>
      </w:r>
      <w:r>
        <w:rPr>
          <w:rFonts w:hint="default" w:ascii="Book Antiqua" w:hAnsi="Book Antiqua" w:eastAsia="Book Antiqua" w:cs="Book Antiqua"/>
          <w:i w:val="0"/>
          <w:iCs w:val="0"/>
          <w:color w:val="000000"/>
          <w:kern w:val="0"/>
          <w:sz w:val="24"/>
          <w:szCs w:val="24"/>
          <w:u w:val="none"/>
          <w:lang w:val="en-US" w:eastAsia="zh-CN" w:bidi="ar"/>
        </w:rPr>
        <w:t>1791-1801</w:t>
      </w:r>
    </w:p>
    <w:p>
      <w:pPr>
        <w:adjustRightInd w:val="0"/>
        <w:snapToGrid w:val="0"/>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Book Antiqua" w:cs="Book Antiqua"/>
          <w:b/>
          <w:bCs/>
          <w:color w:val="000000" w:themeColor="text1"/>
          <w14:textFill>
            <w14:solidFill>
              <w14:schemeClr w14:val="tx1"/>
            </w14:solidFill>
          </w14:textFill>
        </w:rPr>
        <w:t>URL:</w:t>
      </w:r>
      <w:r>
        <w:rPr>
          <w:rFonts w:hint="eastAsia" w:ascii="Book Antiqua" w:hAnsi="Book Antiqua" w:eastAsia="Book Antiqua" w:cs="Book Antiqua"/>
          <w:color w:val="000000" w:themeColor="text1"/>
          <w14:textFill>
            <w14:solidFill>
              <w14:schemeClr w14:val="tx1"/>
            </w14:solidFill>
          </w14:textFill>
        </w:rPr>
        <w:t xml:space="preserve"> https://www.wjgnet.com/1948-5182/full/v13/i1</w:t>
      </w:r>
      <w:r>
        <w:rPr>
          <w:rFonts w:hint="eastAsia" w:ascii="Book Antiqua" w:hAnsi="Book Antiqua" w:eastAsia="宋体" w:cs="Book Antiqua"/>
          <w:color w:val="000000" w:themeColor="text1"/>
          <w:lang w:val="en-US" w:eastAsia="zh-CN"/>
          <w14:textFill>
            <w14:solidFill>
              <w14:schemeClr w14:val="tx1"/>
            </w14:solidFill>
          </w14:textFill>
        </w:rPr>
        <w:t>1</w:t>
      </w:r>
      <w:r>
        <w:rPr>
          <w:rFonts w:hint="eastAsia" w:ascii="Book Antiqua" w:hAnsi="Book Antiqua" w:eastAsia="Book Antiqua" w:cs="Book Antiqua"/>
          <w:color w:val="000000" w:themeColor="text1"/>
          <w14:textFill>
            <w14:solidFill>
              <w14:schemeClr w14:val="tx1"/>
            </w14:solidFill>
          </w14:textFill>
        </w:rPr>
        <w:t>/</w:t>
      </w:r>
      <w:r>
        <w:rPr>
          <w:rFonts w:hint="default" w:ascii="Book Antiqua" w:hAnsi="Book Antiqua" w:eastAsia="Book Antiqua" w:cs="Book Antiqua"/>
          <w:i w:val="0"/>
          <w:iCs w:val="0"/>
          <w:color w:val="000000"/>
          <w:kern w:val="0"/>
          <w:sz w:val="24"/>
          <w:szCs w:val="24"/>
          <w:u w:val="none"/>
          <w:lang w:val="en-US" w:eastAsia="zh-CN" w:bidi="ar"/>
        </w:rPr>
        <w:t>1791</w:t>
      </w:r>
      <w:r>
        <w:rPr>
          <w:rFonts w:hint="eastAsia" w:ascii="Book Antiqua" w:hAnsi="Book Antiqua" w:eastAsia="Book Antiqua" w:cs="Book Antiqua"/>
          <w:color w:val="000000" w:themeColor="text1"/>
          <w14:textFill>
            <w14:solidFill>
              <w14:schemeClr w14:val="tx1"/>
            </w14:solidFill>
          </w14:textFill>
        </w:rPr>
        <w:t xml:space="preserve">.htm </w:t>
      </w:r>
    </w:p>
    <w:p>
      <w:pPr>
        <w:adjustRightInd w:val="0"/>
        <w:snapToGrid w:val="0"/>
        <w:spacing w:line="360" w:lineRule="auto"/>
        <w:jc w:val="both"/>
      </w:pPr>
      <w:r>
        <w:rPr>
          <w:rFonts w:hint="eastAsia" w:ascii="Book Antiqua" w:hAnsi="Book Antiqua" w:eastAsia="Book Antiqua" w:cs="Book Antiqua"/>
          <w:b/>
          <w:bCs/>
          <w:color w:val="000000" w:themeColor="text1"/>
          <w14:textFill>
            <w14:solidFill>
              <w14:schemeClr w14:val="tx1"/>
            </w14:solidFill>
          </w14:textFill>
        </w:rPr>
        <w:t>DOI:</w:t>
      </w:r>
      <w:r>
        <w:rPr>
          <w:rFonts w:hint="eastAsia" w:ascii="Book Antiqua" w:hAnsi="Book Antiqua" w:eastAsia="Book Antiqua" w:cs="Book Antiqua"/>
          <w:color w:val="000000" w:themeColor="text1"/>
          <w14:textFill>
            <w14:solidFill>
              <w14:schemeClr w14:val="tx1"/>
            </w14:solidFill>
          </w14:textFill>
        </w:rPr>
        <w:t xml:space="preserve"> https://dx.doi.org/10.4254/wjh.v13.i1</w:t>
      </w:r>
      <w:r>
        <w:rPr>
          <w:rFonts w:hint="eastAsia" w:ascii="Book Antiqua" w:hAnsi="Book Antiqua" w:eastAsia="宋体" w:cs="Book Antiqua"/>
          <w:color w:val="000000" w:themeColor="text1"/>
          <w:lang w:val="en-US" w:eastAsia="zh-CN"/>
          <w14:textFill>
            <w14:solidFill>
              <w14:schemeClr w14:val="tx1"/>
            </w14:solidFill>
          </w14:textFill>
        </w:rPr>
        <w:t>1</w:t>
      </w:r>
      <w:r>
        <w:rPr>
          <w:rFonts w:hint="eastAsia" w:ascii="Book Antiqua" w:hAnsi="Book Antiqua" w:eastAsia="Book Antiqua" w:cs="Book Antiqua"/>
          <w:color w:val="000000" w:themeColor="text1"/>
          <w14:textFill>
            <w14:solidFill>
              <w14:schemeClr w14:val="tx1"/>
            </w14:solidFill>
          </w14:textFill>
        </w:rPr>
        <w:t>.</w:t>
      </w:r>
      <w:r>
        <w:rPr>
          <w:rFonts w:hint="default" w:ascii="Book Antiqua" w:hAnsi="Book Antiqua" w:eastAsia="Book Antiqua" w:cs="Book Antiqua"/>
          <w:i w:val="0"/>
          <w:iCs w:val="0"/>
          <w:color w:val="000000"/>
          <w:kern w:val="0"/>
          <w:sz w:val="24"/>
          <w:szCs w:val="24"/>
          <w:u w:val="none"/>
          <w:lang w:val="en-US" w:eastAsia="zh-CN" w:bidi="ar"/>
        </w:rPr>
        <w:t>1791</w:t>
      </w:r>
    </w:p>
    <w:bookmarkEnd w:id="4"/>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Core Tip: </w:t>
      </w:r>
      <w:bookmarkStart w:id="5" w:name="OLE_LINK5"/>
      <w:r>
        <w:rPr>
          <w:rFonts w:ascii="Book Antiqua" w:hAnsi="Book Antiqua" w:eastAsia="Book Antiqua" w:cs="Book Antiqua"/>
          <w:color w:val="000000"/>
        </w:rPr>
        <w:t>Our study proposes that six-minute walking test, a simple exercise test, can be applicable in the evaluation of cirrhotic patients. This is a well-none routine assessment in patients with cardiopulmonary diseases, where it is used to predict mortality in this population. Its use in liver cirrhosis is limited. Patients with chronic hepatic insufficient are at risk of progressively muscle loss, frailty, and exercise limitation, all factors directly associated with poor survival. We propose by using six-minute walk test a practical and simple manner of assess this risks and provide a better understanding of how exercise limitation can directly affect survival.</w:t>
      </w:r>
    </w:p>
    <w:bookmarkEnd w:id="5"/>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INTRODUCTION</w:t>
      </w:r>
    </w:p>
    <w:p>
      <w:pPr>
        <w:adjustRightInd w:val="0"/>
        <w:snapToGrid w:val="0"/>
        <w:spacing w:line="360" w:lineRule="auto"/>
        <w:jc w:val="both"/>
      </w:pPr>
      <w:r>
        <w:rPr>
          <w:rFonts w:ascii="Book Antiqua" w:hAnsi="Book Antiqua" w:eastAsia="Book Antiqua" w:cs="Book Antiqua"/>
          <w:color w:val="000000"/>
        </w:rPr>
        <w:t>Liver cirrhosis is related to functional impairment leading to reduction in physical fitness</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Some possible factors implicated in this process are profound muscle wasting (or cirrhotic myopathy)</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cardiac dysfunction (cirrhotic cardiomyopathy)</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autonomic dysfunction (chronotropic incompetence) and concurrent pulmonary disease (portopulmonary hypertension and hepatopulmonary syndrome). Recently studies reinforce the importance of frailty scores as a prediction of mortality in liver transplantation list</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giving emphasis in sarcopenia and physical fitness as important factors associated with mortality</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w:t>
      </w:r>
    </w:p>
    <w:p>
      <w:pPr>
        <w:adjustRightInd w:val="0"/>
        <w:snapToGrid w:val="0"/>
        <w:spacing w:line="360" w:lineRule="auto"/>
        <w:ind w:firstLine="708"/>
        <w:jc w:val="both"/>
      </w:pPr>
      <w:r>
        <w:rPr>
          <w:rFonts w:ascii="Book Antiqua" w:hAnsi="Book Antiqua" w:eastAsia="Book Antiqua" w:cs="Book Antiqua"/>
          <w:color w:val="000000"/>
        </w:rPr>
        <w:t>The six-minute walk test (6MWT) is a practical simple inexpensive test that provides a global assessment of all systems involved during exercise</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Although it does not give information about specific organ impairment, it evaluates overall exercise capacity and has been shown, in patients with cardiac disease, to correlate with the maximal oxygen consumption (VO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 and survival</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xml:space="preserve">. </w:t>
      </w:r>
    </w:p>
    <w:p>
      <w:pPr>
        <w:adjustRightInd w:val="0"/>
        <w:snapToGrid w:val="0"/>
        <w:spacing w:line="360" w:lineRule="auto"/>
        <w:ind w:firstLine="708"/>
        <w:jc w:val="both"/>
      </w:pPr>
      <w:r>
        <w:rPr>
          <w:rFonts w:ascii="Book Antiqua" w:hAnsi="Book Antiqua" w:eastAsia="Book Antiqua" w:cs="Book Antiqua"/>
          <w:color w:val="000000"/>
        </w:rPr>
        <w:t>Some studies demonstrated that short distance during 6MWT (6MWD) predicted poorer prognosis and disease outcome in patients with heart failure</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xml:space="preserve"> and chronic obstructive pulmonary disease</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In addition, this test can be used to assess the overall functional status and quantify response to a certain intervention</w:t>
      </w:r>
      <w:r>
        <w:rPr>
          <w:rFonts w:ascii="Book Antiqua" w:hAnsi="Book Antiqua" w:eastAsia="Book Antiqua" w:cs="Book Antiqua"/>
          <w:color w:val="000000"/>
          <w:szCs w:val="30"/>
          <w:vertAlign w:val="superscript"/>
        </w:rPr>
        <w:t xml:space="preserve">[8] </w:t>
      </w:r>
      <w:r>
        <w:rPr>
          <w:rFonts w:ascii="Book Antiqua" w:hAnsi="Book Antiqua" w:eastAsia="Book Antiqua" w:cs="Book Antiqua"/>
          <w:color w:val="000000"/>
        </w:rPr>
        <w:t>in a variety of other chronic diseases and in the elderly population</w:t>
      </w:r>
      <w:r>
        <w:rPr>
          <w:rFonts w:ascii="Book Antiqua" w:hAnsi="Book Antiqua" w:eastAsia="Book Antiqua" w:cs="Book Antiqua"/>
          <w:color w:val="000000"/>
          <w:szCs w:val="30"/>
          <w:vertAlign w:val="superscript"/>
        </w:rPr>
        <w:t>[9-12]</w:t>
      </w:r>
      <w:r>
        <w:rPr>
          <w:rFonts w:ascii="Book Antiqua" w:hAnsi="Book Antiqua" w:eastAsia="Book Antiqua" w:cs="Book Antiqua"/>
          <w:color w:val="000000"/>
        </w:rPr>
        <w:t xml:space="preserve">. </w:t>
      </w:r>
    </w:p>
    <w:p>
      <w:pPr>
        <w:adjustRightInd w:val="0"/>
        <w:snapToGrid w:val="0"/>
        <w:spacing w:line="360" w:lineRule="auto"/>
        <w:ind w:firstLine="708"/>
        <w:jc w:val="both"/>
      </w:pPr>
      <w:r>
        <w:rPr>
          <w:rFonts w:ascii="Book Antiqua" w:hAnsi="Book Antiqua" w:eastAsia="Book Antiqua" w:cs="Book Antiqua"/>
          <w:color w:val="000000"/>
        </w:rPr>
        <w:t>Previous studies highlight the importance of 6MWD in predicting survival in cirrhotic and non-cirrhotic patients</w:t>
      </w:r>
      <w:r>
        <w:rPr>
          <w:rFonts w:ascii="Book Antiqua" w:hAnsi="Book Antiqua" w:eastAsia="Book Antiqua" w:cs="Book Antiqua"/>
          <w:color w:val="000000"/>
          <w:szCs w:val="30"/>
          <w:vertAlign w:val="superscript"/>
        </w:rPr>
        <w:t>[13-16]</w:t>
      </w:r>
      <w:r>
        <w:rPr>
          <w:rFonts w:ascii="Book Antiqua" w:hAnsi="Book Antiqua" w:eastAsia="Book Antiqua" w:cs="Book Antiqua"/>
          <w:color w:val="000000"/>
        </w:rPr>
        <w:t>. There are also evidences suggesting an association between exercise performance and increase risk of death on the waiting liver transplantation list</w:t>
      </w:r>
      <w:r>
        <w:rPr>
          <w:rFonts w:ascii="Book Antiqua" w:hAnsi="Book Antiqua" w:eastAsia="Book Antiqua" w:cs="Book Antiqua"/>
          <w:color w:val="000000"/>
          <w:szCs w:val="30"/>
          <w:vertAlign w:val="superscript"/>
        </w:rPr>
        <w:t>[15-18]</w:t>
      </w:r>
      <w:r>
        <w:rPr>
          <w:rFonts w:ascii="Book Antiqua" w:hAnsi="Book Antiqua" w:eastAsia="Book Antiqua" w:cs="Book Antiqua"/>
          <w:color w:val="000000"/>
        </w:rPr>
        <w:t>. Despite its role in long term survival in different chronic diseases, the impact in mortality prediction in cirrhotic patients is underestimated over years.</w:t>
      </w:r>
    </w:p>
    <w:p>
      <w:pPr>
        <w:adjustRightInd w:val="0"/>
        <w:snapToGrid w:val="0"/>
        <w:spacing w:line="360" w:lineRule="auto"/>
        <w:ind w:firstLine="708"/>
        <w:jc w:val="both"/>
      </w:pPr>
      <w:r>
        <w:rPr>
          <w:rFonts w:ascii="Book Antiqua" w:hAnsi="Book Antiqua" w:eastAsia="Book Antiqua" w:cs="Book Antiqua"/>
          <w:color w:val="000000"/>
        </w:rPr>
        <w:t xml:space="preserve">The aim of this study was to analyze the association between 6MWT and long-term mortality in a cohort of cirrhotic patients. </w:t>
      </w:r>
    </w:p>
    <w:p>
      <w:pPr>
        <w:adjustRightInd w:val="0"/>
        <w:snapToGrid w:val="0"/>
        <w:spacing w:line="360" w:lineRule="auto"/>
        <w:ind w:firstLine="708"/>
        <w:jc w:val="both"/>
      </w:pPr>
    </w:p>
    <w:p>
      <w:pPr>
        <w:adjustRightInd w:val="0"/>
        <w:snapToGrid w:val="0"/>
        <w:spacing w:line="360" w:lineRule="auto"/>
        <w:jc w:val="both"/>
      </w:pPr>
      <w:r>
        <w:rPr>
          <w:rFonts w:ascii="Book Antiqua" w:hAnsi="Book Antiqua" w:eastAsia="Book Antiqua" w:cs="Book Antiqua"/>
          <w:b/>
          <w:caps/>
          <w:color w:val="000000"/>
          <w:u w:val="single"/>
        </w:rPr>
        <w:t>MATERIALS AND METHODS</w:t>
      </w:r>
    </w:p>
    <w:p>
      <w:pPr>
        <w:adjustRightInd w:val="0"/>
        <w:snapToGrid w:val="0"/>
        <w:spacing w:line="360" w:lineRule="auto"/>
        <w:jc w:val="both"/>
      </w:pPr>
      <w:r>
        <w:rPr>
          <w:rFonts w:ascii="Book Antiqua" w:hAnsi="Book Antiqua" w:eastAsia="Book Antiqua" w:cs="Book Antiqua"/>
          <w:color w:val="000000"/>
        </w:rPr>
        <w:t>A total of 106 outpatients with liver cirrhosis (57 male, mean age 51.2 ± 12.9 years) was included in the present study. Cirrhosis was defined by clinical history, physical examination, laboratory analysis and at least one imaging data. Disease prognosis and severity were established based on Child and MELD scores, according to original scores definitions</w:t>
      </w:r>
      <w:r>
        <w:rPr>
          <w:rFonts w:ascii="Book Antiqua" w:hAnsi="Book Antiqua" w:eastAsia="Book Antiqua" w:cs="Book Antiqua"/>
          <w:color w:val="000000"/>
          <w:szCs w:val="30"/>
          <w:vertAlign w:val="superscript"/>
        </w:rPr>
        <w:t>[19,20]</w:t>
      </w:r>
      <w:r>
        <w:rPr>
          <w:rFonts w:ascii="Book Antiqua" w:hAnsi="Book Antiqua" w:eastAsia="Book Antiqua" w:cs="Book Antiqua"/>
          <w:color w:val="000000"/>
        </w:rPr>
        <w:t>. Exclusion criteria were any previous or current cardiovascular or pulmonary disease, heart failure or diagnosis of hemochromatosis (when cardiac involvement was documented). Patients who had a history of alcohol abuse (more than 20 g and 60 g of ethanol per day for women and men, respectively)</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xml:space="preserve"> were included if they had abstained from alcohol use for at least 6 mo prior to enrollment. Patients with non-sinus rhythm, decompensated arterial hypertension, low peripheral oxygen saturation (SpO</w:t>
      </w:r>
      <w:r>
        <w:rPr>
          <w:rFonts w:ascii="Book Antiqua" w:hAnsi="Book Antiqua" w:eastAsia="Book Antiqua" w:cs="Book Antiqua"/>
          <w:color w:val="000000"/>
          <w:szCs w:val="30"/>
          <w:vertAlign w:val="subscript"/>
        </w:rPr>
        <w:t xml:space="preserve">2 </w:t>
      </w:r>
      <w:r>
        <w:rPr>
          <w:rFonts w:ascii="Book Antiqua" w:hAnsi="Book Antiqua" w:eastAsia="Book Antiqua" w:cs="Book Antiqua"/>
          <w:color w:val="000000"/>
        </w:rPr>
        <w:t xml:space="preserve">&lt; 90%), recent history (less than 3 mo) of new liver related decompensation or hospitalizations were also excluded (patients with previous ascites or encephalopathy were included, those characterized with chronic decompensated patients). Patients with neuromuscular diseases, myopathy, balance deficits or orthopedic disorders were also excluded. Patients who have previously received a liver transplant were not included. No paracentesis was performed within at least one week prior to exercise, avoiding volume depletion or electrolyte imbalances. </w:t>
      </w:r>
    </w:p>
    <w:p>
      <w:pPr>
        <w:adjustRightInd w:val="0"/>
        <w:snapToGrid w:val="0"/>
        <w:spacing w:line="360" w:lineRule="auto"/>
        <w:ind w:firstLine="708"/>
        <w:jc w:val="both"/>
      </w:pPr>
      <w:r>
        <w:rPr>
          <w:rFonts w:ascii="Book Antiqua" w:hAnsi="Book Antiqua" w:eastAsia="Book Antiqua" w:cs="Book Antiqua"/>
          <w:color w:val="000000"/>
        </w:rPr>
        <w:t xml:space="preserve">One hundred and sixty-four patients were consecutively screened from two liver transplantation centers between October 2014 and December 2014, 58 out of 164 were excluded according to previous criteria, most of the due to cardiovascular disorders (26%) or active alcohol consumption (19%). On the day of enrollment, patients provided written informed consent and had blood samples collected and 6MWT done. Electrocardiogram and transthoracic bubble echocardiogram were performed within 1 mo of enrollment. </w:t>
      </w:r>
    </w:p>
    <w:p>
      <w:pPr>
        <w:adjustRightInd w:val="0"/>
        <w:snapToGrid w:val="0"/>
        <w:spacing w:line="360" w:lineRule="auto"/>
        <w:ind w:firstLine="708"/>
        <w:jc w:val="both"/>
      </w:pPr>
      <w:r>
        <w:rPr>
          <w:rFonts w:ascii="Book Antiqua" w:hAnsi="Book Antiqua" w:eastAsia="Book Antiqua" w:cs="Book Antiqua"/>
          <w:color w:val="000000"/>
        </w:rPr>
        <w:t xml:space="preserve">Patients were followed-up by clinical visits, hospital records or telephone calls to patients to capture deaths and their causes. Patients were stratified according to their ability to complete 6MWT, whether they achieved or not predicted distance according to gender and age, and pattern of symptom secondary to physical effort due to the test. Patients included were follow-up to one year, main outcomes were defined as death or liver transplantation. </w:t>
      </w:r>
    </w:p>
    <w:p>
      <w:pPr>
        <w:adjustRightInd w:val="0"/>
        <w:snapToGrid w:val="0"/>
        <w:spacing w:line="360" w:lineRule="auto"/>
        <w:ind w:firstLine="708"/>
        <w:jc w:val="both"/>
      </w:pPr>
      <w:r>
        <w:rPr>
          <w:rFonts w:ascii="Book Antiqua" w:hAnsi="Book Antiqua" w:eastAsia="Book Antiqua" w:cs="Book Antiqua"/>
          <w:color w:val="000000"/>
        </w:rPr>
        <w:t>The study has been performed in accordance with the Declaration of Helsinki (2000) and approved by the Ethics Committee of our institution.</w:t>
      </w:r>
    </w:p>
    <w:p>
      <w:pPr>
        <w:adjustRightInd w:val="0"/>
        <w:snapToGrid w:val="0"/>
        <w:spacing w:line="360" w:lineRule="auto"/>
        <w:ind w:firstLine="708"/>
        <w:jc w:val="both"/>
      </w:pPr>
    </w:p>
    <w:p>
      <w:pPr>
        <w:adjustRightInd w:val="0"/>
        <w:snapToGrid w:val="0"/>
        <w:spacing w:line="360" w:lineRule="auto"/>
        <w:jc w:val="both"/>
      </w:pPr>
      <w:r>
        <w:rPr>
          <w:rFonts w:ascii="Book Antiqua" w:hAnsi="Book Antiqua" w:eastAsia="Book Antiqua" w:cs="Book Antiqua"/>
          <w:b/>
          <w:bCs/>
          <w:i/>
          <w:iCs/>
          <w:color w:val="000000"/>
        </w:rPr>
        <w:t>6MWT</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6MWT was conducted according to American Thoracic Society guidelines</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xml:space="preserve"> and supervised by a qualified physician. The test was performed indoors, along a 30 m flat, straight corridor with a hard surface and free of any type of obstacles. Before starting the test, all patients were provided instructions by the evaluator, encouraged to walk as far as possible within 6 min, and instructed to stop if pain, dyspnea, or other symptoms. The distance in meters was recorded at the end of the six minutes (6MWD). Predicted distances were computed according to specific equations for gender, weight, height and age</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Predicted distance achieved percentage (%6MWD) is then derived by dividing the actual 6MWD divided by the predicted distance.</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b/>
          <w:bCs/>
          <w:i/>
          <w:iCs/>
        </w:rPr>
      </w:pPr>
      <w:r>
        <w:rPr>
          <w:rFonts w:ascii="Book Antiqua" w:hAnsi="Book Antiqua" w:eastAsia="Book Antiqua" w:cs="Book Antiqua"/>
          <w:b/>
          <w:bCs/>
          <w:i/>
          <w:iCs/>
          <w:color w:val="000000"/>
          <w:shd w:val="clear" w:color="auto" w:fill="FFFFFF"/>
        </w:rPr>
        <w:t>Statistical analysis</w:t>
      </w:r>
    </w:p>
    <w:p>
      <w:pPr>
        <w:adjustRightInd w:val="0"/>
        <w:snapToGrid w:val="0"/>
        <w:spacing w:line="360" w:lineRule="auto"/>
        <w:jc w:val="both"/>
      </w:pPr>
      <w:r>
        <w:rPr>
          <w:rFonts w:ascii="Book Antiqua" w:hAnsi="Book Antiqua" w:eastAsia="Book Antiqua" w:cs="Book Antiqua"/>
          <w:color w:val="000000"/>
        </w:rPr>
        <w:t>Data were analyzed using a statistical software program (IBM</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SPSS</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Statistics, version 22.0). Logistic regressions were performed to evaluate the independent association between 6MWD and death. Receiver operating curves (ROC) and the area under ROC (AUROC) were computed to estimate sensitivity, specificity and cut-off points for 6MWD used in regression models, selected by Youden’s index. COX regression analysis and Kaplan-Meier curves were performed and significant differences between the later were assessed by means of the log-rank test. We performed subgroup analysis according achievement of liver transplantation in order to evaluated 6MWT distance as a predictor of death. </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RESULTS</w:t>
      </w:r>
    </w:p>
    <w:p>
      <w:pPr>
        <w:adjustRightInd w:val="0"/>
        <w:snapToGrid w:val="0"/>
        <w:spacing w:line="360" w:lineRule="auto"/>
        <w:jc w:val="both"/>
      </w:pPr>
      <w:r>
        <w:rPr>
          <w:rFonts w:ascii="Book Antiqua" w:hAnsi="Book Antiqua" w:eastAsia="Book Antiqua" w:cs="Book Antiqua"/>
          <w:b/>
          <w:bCs/>
          <w:i/>
          <w:iCs/>
          <w:color w:val="000000"/>
        </w:rPr>
        <w:t>Patient characteristics</w:t>
      </w:r>
    </w:p>
    <w:p>
      <w:pPr>
        <w:adjustRightInd w:val="0"/>
        <w:snapToGrid w:val="0"/>
        <w:spacing w:line="360" w:lineRule="auto"/>
        <w:jc w:val="both"/>
      </w:pPr>
      <w:r>
        <w:rPr>
          <w:rFonts w:ascii="Book Antiqua" w:hAnsi="Book Antiqua" w:eastAsia="Book Antiqua" w:cs="Book Antiqua"/>
          <w:color w:val="000000"/>
        </w:rPr>
        <w:t xml:space="preserve">The main demographic, clinical, and laboratory characteristics of the patients are presented in Table 1. One hundred and six patients were selected from two liver transplantation centers in Sao Paulo, Brazil. The majority was male (56%), and non-alcoholic etiology of the liver disease was the most common (69.8%). The mean MELD was 11.1, Child B more common (66%), and 74% of patients presented a history of at least one liver related decompensation. Ascites was identified in 32.1% and hepatic encephalopathy in 10.4% of patients on the day of the test. </w:t>
      </w:r>
    </w:p>
    <w:p>
      <w:pPr>
        <w:adjustRightInd w:val="0"/>
        <w:snapToGrid w:val="0"/>
        <w:spacing w:line="360" w:lineRule="auto"/>
        <w:ind w:firstLine="708"/>
        <w:jc w:val="both"/>
      </w:pPr>
      <w:r>
        <w:rPr>
          <w:rFonts w:ascii="Book Antiqua" w:hAnsi="Book Antiqua" w:eastAsia="Book Antiqua" w:cs="Book Antiqua"/>
          <w:color w:val="000000"/>
        </w:rPr>
        <w:t>All patients were followed until death, time of transplantation or end of study follow-up (12 mo). During the study period, 11 patients died and 3 underwent liver transplantation. All deaths were related to hepatic decompensation.</w:t>
      </w:r>
    </w:p>
    <w:p>
      <w:pPr>
        <w:adjustRightInd w:val="0"/>
        <w:snapToGrid w:val="0"/>
        <w:spacing w:line="360" w:lineRule="auto"/>
        <w:ind w:firstLine="708"/>
        <w:jc w:val="both"/>
      </w:pPr>
      <w:r>
        <w:rPr>
          <w:rFonts w:ascii="Book Antiqua" w:hAnsi="Book Antiqua" w:eastAsia="Book Antiqua" w:cs="Book Antiqua"/>
          <w:color w:val="000000"/>
        </w:rPr>
        <w:t>The majority of this cohort (71.7%) did not achieve the predicted distance adjusted for age and gender according to standardized equations</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xml:space="preserve"> (678 ± 131m, 402-890 m) (see Figure 1). 6MWT performance is demonstrated in Table 2. The mean 6MWD of this cohort was 515 ± 138 m, 180-960 m. Not surprisingly, older patients with higher Child score, worse hepatic synthetic function (lower albumin) and anemia performed worse. It was found to be inversely correlated with age (</w:t>
      </w:r>
      <w:r>
        <w:rPr>
          <w:rFonts w:ascii="Book Antiqua" w:hAnsi="Book Antiqua" w:eastAsia="Book Antiqua" w:cs="Book Antiqua"/>
          <w:i/>
          <w:iCs/>
          <w:color w:val="000000"/>
        </w:rPr>
        <w:t>r</w:t>
      </w:r>
      <w:r>
        <w:rPr>
          <w:rFonts w:ascii="Book Antiqua" w:hAnsi="Book Antiqua" w:eastAsia="Book Antiqua" w:cs="Book Antiqua"/>
          <w:color w:val="000000"/>
        </w:rPr>
        <w:t xml:space="preserve"> = -0.391,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Child score (</w:t>
      </w:r>
      <w:r>
        <w:rPr>
          <w:rFonts w:ascii="Book Antiqua" w:hAnsi="Book Antiqua" w:eastAsia="Book Antiqua" w:cs="Book Antiqua"/>
          <w:i/>
          <w:iCs/>
          <w:color w:val="000000"/>
        </w:rPr>
        <w:t>r</w:t>
      </w:r>
      <w:r>
        <w:rPr>
          <w:rFonts w:ascii="Book Antiqua" w:hAnsi="Book Antiqua" w:eastAsia="Book Antiqua" w:cs="Book Antiqua"/>
          <w:color w:val="000000"/>
        </w:rPr>
        <w:t xml:space="preserve"> = -0.228, </w:t>
      </w:r>
      <w:r>
        <w:rPr>
          <w:rFonts w:ascii="Book Antiqua" w:hAnsi="Book Antiqua" w:eastAsia="Book Antiqua" w:cs="Book Antiqua"/>
          <w:i/>
          <w:iCs/>
          <w:color w:val="000000"/>
        </w:rPr>
        <w:t>P</w:t>
      </w:r>
      <w:r>
        <w:rPr>
          <w:rFonts w:ascii="Book Antiqua" w:hAnsi="Book Antiqua" w:eastAsia="Book Antiqua" w:cs="Book Antiqua"/>
          <w:color w:val="000000"/>
        </w:rPr>
        <w:t xml:space="preserve"> = 0.019), and positively correlated with albumin (</w:t>
      </w:r>
      <w:r>
        <w:rPr>
          <w:rFonts w:ascii="Book Antiqua" w:hAnsi="Book Antiqua" w:eastAsia="Book Antiqua" w:cs="Book Antiqua"/>
          <w:i/>
          <w:iCs/>
          <w:color w:val="000000"/>
        </w:rPr>
        <w:t>r</w:t>
      </w:r>
      <w:r>
        <w:rPr>
          <w:rFonts w:ascii="Book Antiqua" w:hAnsi="Book Antiqua" w:eastAsia="Book Antiqua" w:cs="Book Antiqua"/>
          <w:color w:val="000000"/>
        </w:rPr>
        <w:t xml:space="preserve"> = 0.242, </w:t>
      </w:r>
      <w:r>
        <w:rPr>
          <w:rFonts w:ascii="Book Antiqua" w:hAnsi="Book Antiqua" w:eastAsia="Book Antiqua" w:cs="Book Antiqua"/>
          <w:i/>
          <w:iCs/>
          <w:color w:val="000000"/>
        </w:rPr>
        <w:t>P</w:t>
      </w:r>
      <w:r>
        <w:rPr>
          <w:rFonts w:ascii="Book Antiqua" w:hAnsi="Book Antiqua" w:eastAsia="Book Antiqua" w:cs="Book Antiqua"/>
          <w:color w:val="000000"/>
        </w:rPr>
        <w:t xml:space="preserve"> = 0.012), creatinine (</w:t>
      </w:r>
      <w:r>
        <w:rPr>
          <w:rFonts w:ascii="Book Antiqua" w:hAnsi="Book Antiqua" w:eastAsia="Book Antiqua" w:cs="Book Antiqua"/>
          <w:i/>
          <w:iCs/>
          <w:color w:val="000000"/>
        </w:rPr>
        <w:t>r</w:t>
      </w:r>
      <w:r>
        <w:rPr>
          <w:rFonts w:ascii="Book Antiqua" w:hAnsi="Book Antiqua" w:eastAsia="Book Antiqua" w:cs="Book Antiqua"/>
          <w:color w:val="000000"/>
        </w:rPr>
        <w:t xml:space="preserve"> = 0.242, </w:t>
      </w:r>
      <w:r>
        <w:rPr>
          <w:rFonts w:ascii="Book Antiqua" w:hAnsi="Book Antiqua" w:eastAsia="Book Antiqua" w:cs="Book Antiqua"/>
          <w:i/>
          <w:iCs/>
          <w:color w:val="000000"/>
        </w:rPr>
        <w:t>P</w:t>
      </w:r>
      <w:r>
        <w:rPr>
          <w:rFonts w:ascii="Book Antiqua" w:hAnsi="Book Antiqua" w:eastAsia="Book Antiqua" w:cs="Book Antiqua"/>
          <w:color w:val="000000"/>
        </w:rPr>
        <w:t xml:space="preserve"> = 0.018) and hemoglobin (</w:t>
      </w:r>
      <w:r>
        <w:rPr>
          <w:rFonts w:ascii="Book Antiqua" w:hAnsi="Book Antiqua" w:eastAsia="Book Antiqua" w:cs="Book Antiqua"/>
          <w:i/>
          <w:iCs/>
          <w:color w:val="000000"/>
        </w:rPr>
        <w:t>r</w:t>
      </w:r>
      <w:r>
        <w:rPr>
          <w:rFonts w:ascii="Book Antiqua" w:hAnsi="Book Antiqua" w:eastAsia="Book Antiqua" w:cs="Book Antiqua"/>
          <w:color w:val="000000"/>
        </w:rPr>
        <w:t xml:space="preserve"> = 0.192, </w:t>
      </w:r>
      <w:r>
        <w:rPr>
          <w:rFonts w:ascii="Book Antiqua" w:hAnsi="Book Antiqua" w:eastAsia="Book Antiqua" w:cs="Book Antiqua"/>
          <w:i/>
          <w:iCs/>
          <w:color w:val="000000"/>
        </w:rPr>
        <w:t>P</w:t>
      </w:r>
      <w:r>
        <w:rPr>
          <w:rFonts w:ascii="Book Antiqua" w:hAnsi="Book Antiqua" w:eastAsia="Book Antiqua" w:cs="Book Antiqua"/>
          <w:color w:val="000000"/>
        </w:rPr>
        <w:t xml:space="preserve"> = 0.048). Patients with a history of at least one hepatic decompensation in the past (74.5%) presented with significant shorter 6MWD (496 ± 141 m </w:t>
      </w:r>
      <w:r>
        <w:rPr>
          <w:rFonts w:ascii="Book Antiqua" w:hAnsi="Book Antiqua" w:eastAsia="Book Antiqua" w:cs="Book Antiqua"/>
          <w:i/>
          <w:iCs/>
          <w:color w:val="000000"/>
        </w:rPr>
        <w:t>vs</w:t>
      </w:r>
      <w:r>
        <w:rPr>
          <w:rFonts w:ascii="Book Antiqua" w:hAnsi="Book Antiqua" w:eastAsia="Book Antiqua" w:cs="Book Antiqua"/>
          <w:color w:val="000000"/>
        </w:rPr>
        <w:t xml:space="preserve"> 571 ± 115 m, </w:t>
      </w:r>
      <w:r>
        <w:rPr>
          <w:rFonts w:ascii="Book Antiqua" w:hAnsi="Book Antiqua" w:eastAsia="Book Antiqua" w:cs="Book Antiqua"/>
          <w:i/>
          <w:iCs/>
          <w:color w:val="000000"/>
        </w:rPr>
        <w:t>P</w:t>
      </w:r>
      <w:r>
        <w:rPr>
          <w:rFonts w:ascii="Book Antiqua" w:hAnsi="Book Antiqua" w:eastAsia="Book Antiqua" w:cs="Book Antiqua"/>
          <w:color w:val="000000"/>
        </w:rPr>
        <w:t xml:space="preserve"> = 0.015). </w:t>
      </w:r>
    </w:p>
    <w:p>
      <w:pPr>
        <w:adjustRightInd w:val="0"/>
        <w:snapToGrid w:val="0"/>
        <w:spacing w:line="360" w:lineRule="auto"/>
        <w:ind w:firstLine="480"/>
        <w:jc w:val="both"/>
      </w:pPr>
      <w:r>
        <w:rPr>
          <w:rFonts w:ascii="Book Antiqua" w:hAnsi="Book Antiqua" w:eastAsia="Book Antiqua" w:cs="Book Antiqua"/>
          <w:color w:val="000000"/>
        </w:rPr>
        <w:t>The mean 6MWD was progressively shorter among Child classes (A = 570 ± 144 m, B = 504 ± 137 m and C = 471 ± 115 m) and statistical significance was demonstrated between Child A and C (</w:t>
      </w:r>
      <w:r>
        <w:rPr>
          <w:rFonts w:ascii="Book Antiqua" w:hAnsi="Book Antiqua" w:eastAsia="Book Antiqua" w:cs="Book Antiqua"/>
          <w:i/>
          <w:iCs/>
          <w:color w:val="000000"/>
        </w:rPr>
        <w:t>P</w:t>
      </w:r>
      <w:r>
        <w:rPr>
          <w:rFonts w:ascii="Book Antiqua" w:hAnsi="Book Antiqua" w:eastAsia="Book Antiqua" w:cs="Book Antiqua"/>
          <w:color w:val="000000"/>
        </w:rPr>
        <w:t xml:space="preserve"> = 0.04) and when Child A was compared with more advanced stages (B and C), </w:t>
      </w:r>
      <w:r>
        <w:rPr>
          <w:rFonts w:ascii="Book Antiqua" w:hAnsi="Book Antiqua" w:eastAsia="Book Antiqua" w:cs="Book Antiqua"/>
          <w:i/>
          <w:iCs/>
          <w:color w:val="000000"/>
        </w:rPr>
        <w:t>P</w:t>
      </w:r>
      <w:r>
        <w:rPr>
          <w:rFonts w:ascii="Book Antiqua" w:hAnsi="Book Antiqua" w:eastAsia="Book Antiqua" w:cs="Book Antiqua"/>
          <w:color w:val="000000"/>
        </w:rPr>
        <w:t xml:space="preserve"> = 0.02. 6MWD was different among compensated (Child Pugh A) and decompensated (Child Pugh B and C)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 0.031) (see Figure 2). Patients decompensated with ascites or hepatic encephalopathy on the day of the test achieved shorter distances than those who did not have ascites or hepatic encephalopathy (472 </w:t>
      </w:r>
      <w:r>
        <w:rPr>
          <w:rFonts w:ascii="Book Antiqua" w:hAnsi="Book Antiqua" w:eastAsia="Book Antiqua" w:cs="Book Antiqua"/>
          <w:i/>
          <w:iCs/>
          <w:color w:val="000000"/>
        </w:rPr>
        <w:t>vs</w:t>
      </w:r>
      <w:r>
        <w:rPr>
          <w:rFonts w:ascii="Book Antiqua" w:hAnsi="Book Antiqua" w:eastAsia="Book Antiqua" w:cs="Book Antiqua"/>
          <w:color w:val="000000"/>
        </w:rPr>
        <w:t xml:space="preserve"> 534m, </w:t>
      </w:r>
      <w:r>
        <w:rPr>
          <w:rFonts w:ascii="Book Antiqua" w:hAnsi="Book Antiqua" w:eastAsia="Book Antiqua" w:cs="Book Antiqua"/>
          <w:i/>
          <w:iCs/>
          <w:color w:val="000000"/>
        </w:rPr>
        <w:t>P</w:t>
      </w:r>
      <w:r>
        <w:rPr>
          <w:rFonts w:ascii="Book Antiqua" w:hAnsi="Book Antiqua" w:eastAsia="Book Antiqua" w:cs="Book Antiqua"/>
          <w:color w:val="000000"/>
        </w:rPr>
        <w:t xml:space="preserve"> = 0.03; 440 </w:t>
      </w:r>
      <w:r>
        <w:rPr>
          <w:rFonts w:ascii="Book Antiqua" w:hAnsi="Book Antiqua" w:eastAsia="Book Antiqua" w:cs="Book Antiqua"/>
          <w:i/>
          <w:iCs/>
          <w:color w:val="000000"/>
        </w:rPr>
        <w:t>vs</w:t>
      </w:r>
      <w:r>
        <w:rPr>
          <w:rFonts w:ascii="Book Antiqua" w:hAnsi="Book Antiqua" w:eastAsia="Book Antiqua" w:cs="Book Antiqua"/>
          <w:color w:val="000000"/>
        </w:rPr>
        <w:t xml:space="preserve"> 525m, </w:t>
      </w:r>
      <w:r>
        <w:rPr>
          <w:rFonts w:ascii="Book Antiqua" w:hAnsi="Book Antiqua" w:eastAsia="Book Antiqua" w:cs="Book Antiqua"/>
          <w:i/>
          <w:iCs/>
          <w:color w:val="000000"/>
        </w:rPr>
        <w:t>P</w:t>
      </w:r>
      <w:r>
        <w:rPr>
          <w:rFonts w:ascii="Book Antiqua" w:hAnsi="Book Antiqua" w:eastAsia="Book Antiqua" w:cs="Book Antiqua"/>
          <w:color w:val="000000"/>
        </w:rPr>
        <w:t xml:space="preserve"> = 0.04, respectively). All patients previously included were submitted to 6MWT, even those with hepatic decompensation at the moment of evaluation, ascites or encephalopathy. 6MWD did not differ according to the etiologies of cirrhosis (</w:t>
      </w:r>
      <w:r>
        <w:rPr>
          <w:rFonts w:ascii="Book Antiqua" w:hAnsi="Book Antiqua" w:eastAsia="Book Antiqua" w:cs="Book Antiqua"/>
          <w:i/>
          <w:iCs/>
          <w:color w:val="000000"/>
        </w:rPr>
        <w:t>P</w:t>
      </w:r>
      <w:r>
        <w:rPr>
          <w:rFonts w:ascii="Book Antiqua" w:hAnsi="Book Antiqua" w:eastAsia="Book Antiqua" w:cs="Book Antiqua"/>
          <w:color w:val="000000"/>
        </w:rPr>
        <w:t xml:space="preserve"> = 0.08), past history of alcohol abuse (</w:t>
      </w:r>
      <w:r>
        <w:rPr>
          <w:rFonts w:ascii="Book Antiqua" w:hAnsi="Book Antiqua" w:eastAsia="Book Antiqua" w:cs="Book Antiqua"/>
          <w:i/>
          <w:iCs/>
          <w:color w:val="000000"/>
        </w:rPr>
        <w:t>P</w:t>
      </w:r>
      <w:r>
        <w:rPr>
          <w:rFonts w:ascii="Book Antiqua" w:hAnsi="Book Antiqua" w:eastAsia="Book Antiqua" w:cs="Book Antiqua"/>
          <w:color w:val="000000"/>
        </w:rPr>
        <w:t xml:space="preserve"> = 0.58), use of beta-blocker (</w:t>
      </w:r>
      <w:r>
        <w:rPr>
          <w:rFonts w:ascii="Book Antiqua" w:hAnsi="Book Antiqua" w:eastAsia="Book Antiqua" w:cs="Book Antiqua"/>
          <w:i/>
          <w:iCs/>
          <w:color w:val="000000"/>
        </w:rPr>
        <w:t>P</w:t>
      </w:r>
      <w:r>
        <w:rPr>
          <w:rFonts w:ascii="Book Antiqua" w:hAnsi="Book Antiqua" w:eastAsia="Book Antiqua" w:cs="Book Antiqua"/>
          <w:color w:val="000000"/>
        </w:rPr>
        <w:t xml:space="preserve"> = 0.19), tobacco (</w:t>
      </w:r>
      <w:r>
        <w:rPr>
          <w:rFonts w:ascii="Book Antiqua" w:hAnsi="Book Antiqua" w:eastAsia="Book Antiqua" w:cs="Book Antiqua"/>
          <w:i/>
          <w:iCs/>
          <w:color w:val="000000"/>
        </w:rPr>
        <w:t>P</w:t>
      </w:r>
      <w:r>
        <w:rPr>
          <w:rFonts w:ascii="Book Antiqua" w:hAnsi="Book Antiqua" w:eastAsia="Book Antiqua" w:cs="Book Antiqua"/>
          <w:color w:val="000000"/>
        </w:rPr>
        <w:t xml:space="preserve"> = 0.97) and presence of anemia (</w:t>
      </w:r>
      <w:r>
        <w:rPr>
          <w:rFonts w:ascii="Book Antiqua" w:hAnsi="Book Antiqua" w:eastAsia="Book Antiqua" w:cs="Book Antiqua"/>
          <w:i/>
          <w:iCs/>
          <w:color w:val="000000"/>
        </w:rPr>
        <w:t>P</w:t>
      </w:r>
      <w:r>
        <w:rPr>
          <w:rFonts w:ascii="Book Antiqua" w:hAnsi="Book Antiqua" w:eastAsia="Book Antiqua" w:cs="Book Antiqua"/>
          <w:color w:val="000000"/>
        </w:rPr>
        <w:t xml:space="preserve"> = 0.84). </w:t>
      </w:r>
    </w:p>
    <w:p>
      <w:pPr>
        <w:adjustRightInd w:val="0"/>
        <w:snapToGrid w:val="0"/>
        <w:spacing w:line="360" w:lineRule="auto"/>
        <w:ind w:firstLine="480"/>
        <w:jc w:val="both"/>
      </w:pPr>
      <w:r>
        <w:rPr>
          <w:rFonts w:ascii="Book Antiqua" w:hAnsi="Book Antiqua" w:eastAsia="Book Antiqua" w:cs="Book Antiqua"/>
          <w:color w:val="000000"/>
        </w:rPr>
        <w:t xml:space="preserve">None of the patient presented with liver related decompensation within 2 wk following the exercise, meaning no detectable clinically significant portal hypertension increase induced by exercise. All patients were able to perform exercise adequately, without help, interruptions, or any significantly adverse effect. </w:t>
      </w:r>
    </w:p>
    <w:p>
      <w:pPr>
        <w:adjustRightInd w:val="0"/>
        <w:snapToGrid w:val="0"/>
        <w:spacing w:line="360" w:lineRule="auto"/>
        <w:ind w:firstLine="480"/>
        <w:jc w:val="both"/>
      </w:pPr>
      <w:r>
        <w:rPr>
          <w:rFonts w:ascii="Book Antiqua" w:hAnsi="Book Antiqua" w:eastAsia="Book Antiqua" w:cs="Book Antiqua"/>
          <w:color w:val="000000"/>
        </w:rPr>
        <w:t>To emphasize the role of 6MWD and %6MWD in the prediction mortality, as an additional factor besides liver disease severity, logistic regression models were designed to evaluate if the inclusion of 6MWT parameters improves the model performance and increases the AUROC computed using regression models. MELD and Child score were used to quantify the severity of liver disease. When 6MWT parameters were added to the models designed to predicted mortality using MELD or Child score, we observed an improvement in model performance, defined as a significant difference according to Omnibus Chi-square test (</w:t>
      </w:r>
      <w:r>
        <w:rPr>
          <w:rFonts w:ascii="Book Antiqua" w:hAnsi="Book Antiqua" w:eastAsia="Book Antiqua" w:cs="Book Antiqua"/>
          <w:i/>
          <w:iCs/>
          <w:color w:val="000000"/>
        </w:rPr>
        <w:t>P</w:t>
      </w:r>
      <w:r>
        <w:rPr>
          <w:rFonts w:ascii="Book Antiqua" w:hAnsi="Book Antiqua" w:eastAsia="Book Antiqua" w:cs="Book Antiqua"/>
          <w:color w:val="000000"/>
        </w:rPr>
        <w:t xml:space="preserve"> = 0.01) and higher AUROCs in combining models (see Figure 3).</w:t>
      </w:r>
    </w:p>
    <w:p>
      <w:pPr>
        <w:adjustRightInd w:val="0"/>
        <w:snapToGrid w:val="0"/>
        <w:spacing w:line="360" w:lineRule="auto"/>
        <w:ind w:firstLine="708"/>
        <w:jc w:val="both"/>
      </w:pPr>
      <w:r>
        <w:rPr>
          <w:rFonts w:ascii="Book Antiqua" w:hAnsi="Book Antiqua" w:eastAsia="Book Antiqua" w:cs="Book Antiqua"/>
          <w:color w:val="000000"/>
        </w:rPr>
        <w:t>Cutoff points associated with mortality was 387 m for 6MWD (sensibility 90.9 and specificity 88.4) and 0.82 for %6MWD (sensibility 100 and specificity 83.2). After exclusion of patients who were submitted to liver transplantation, patients who died (11, 10.4%) had a shorter mean 6MWD (423 m</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526 m, </w:t>
      </w:r>
      <w:r>
        <w:rPr>
          <w:rFonts w:ascii="Book Antiqua" w:hAnsi="Book Antiqua" w:eastAsia="Book Antiqua" w:cs="Book Antiqua"/>
          <w:i/>
          <w:iCs/>
          <w:color w:val="000000"/>
        </w:rPr>
        <w:t>P</w:t>
      </w:r>
      <w:r>
        <w:rPr>
          <w:rFonts w:ascii="Book Antiqua" w:hAnsi="Book Antiqua" w:eastAsia="Book Antiqua" w:cs="Book Antiqua"/>
          <w:color w:val="000000"/>
        </w:rPr>
        <w:t xml:space="preserve"> = 0.006) and lower %6MWD (0.72 </w:t>
      </w:r>
      <w:r>
        <w:rPr>
          <w:rFonts w:ascii="Book Antiqua" w:hAnsi="Book Antiqua" w:eastAsia="Book Antiqua" w:cs="Book Antiqua"/>
          <w:i/>
          <w:iCs/>
          <w:color w:val="000000"/>
        </w:rPr>
        <w:t>vs</w:t>
      </w:r>
      <w:r>
        <w:rPr>
          <w:rFonts w:ascii="Book Antiqua" w:hAnsi="Book Antiqua" w:eastAsia="Book Antiqua" w:cs="Book Antiqua"/>
          <w:color w:val="000000"/>
        </w:rPr>
        <w:t xml:space="preserve"> 0.92,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Just one of them achieved the predicted distance during 6MWT. 6MWD and %6MWD were independent predictors of mortality, after adjusted for Child scores, according to multivariate regression model analysis (Table 3). Patients who achieved distances shorter than 387 m or %6MWD &lt; 0.82 presented higher mortality, and statistical difference according to Kaplan-Meier and log-rank analysis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0.006, respectively) (Figure 4).</w:t>
      </w:r>
    </w:p>
    <w:p>
      <w:pPr>
        <w:adjustRightInd w:val="0"/>
        <w:snapToGrid w:val="0"/>
        <w:spacing w:line="360" w:lineRule="auto"/>
        <w:ind w:firstLine="708"/>
        <w:jc w:val="both"/>
      </w:pPr>
    </w:p>
    <w:p>
      <w:pPr>
        <w:adjustRightInd w:val="0"/>
        <w:snapToGrid w:val="0"/>
        <w:spacing w:line="360" w:lineRule="auto"/>
        <w:jc w:val="both"/>
      </w:pPr>
      <w:r>
        <w:rPr>
          <w:rFonts w:ascii="Book Antiqua" w:hAnsi="Book Antiqua" w:eastAsia="Book Antiqua" w:cs="Book Antiqua"/>
          <w:b/>
          <w:caps/>
          <w:color w:val="000000"/>
          <w:u w:val="single"/>
        </w:rPr>
        <w:t>DISCUSSION</w:t>
      </w:r>
    </w:p>
    <w:p>
      <w:pPr>
        <w:adjustRightInd w:val="0"/>
        <w:snapToGrid w:val="0"/>
        <w:spacing w:line="360" w:lineRule="auto"/>
        <w:jc w:val="both"/>
      </w:pPr>
      <w:r>
        <w:rPr>
          <w:rFonts w:ascii="Book Antiqua" w:hAnsi="Book Antiqua" w:eastAsia="Book Antiqua" w:cs="Book Antiqua"/>
          <w:color w:val="000000"/>
        </w:rPr>
        <w:t xml:space="preserve">6MWT is a safe, easy-to-administer, and inexpensive test to determine the functional capacity of cirrhotic patients and also has prognostic value. We found that a decreased 6MWD, as a marker of impaired exercise capacity, is associated with hepatic dysfunction. In addition, 6MWD and %6MWD performed as independent predictors of mortality, becoming an important tool during risk evaluation of severe complications and death in liver cirrhosis. Also, this study reinforces the key importance of physical evaluation during cirrhotic patients, especially those referred to liver transplantation team. </w:t>
      </w:r>
    </w:p>
    <w:p>
      <w:pPr>
        <w:adjustRightInd w:val="0"/>
        <w:snapToGrid w:val="0"/>
        <w:spacing w:line="360" w:lineRule="auto"/>
        <w:ind w:firstLine="708"/>
        <w:jc w:val="both"/>
      </w:pPr>
      <w:r>
        <w:rPr>
          <w:rFonts w:ascii="Book Antiqua" w:hAnsi="Book Antiqua" w:eastAsia="Book Antiqua" w:cs="Book Antiqua"/>
          <w:color w:val="000000"/>
        </w:rPr>
        <w:t>Basal exercise capacity was significantly impaired in our patients, as only 28.3% achieved the pre-test predicted distance. The 6MWD results in our cohort of patients was similar to previous studies in patients with cirrhosis which found a significantly lower 6MWD values than expected for healthy population</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Our cohort had a mean 89.7% (34.8%-149%) of predicted 6MWD (</w:t>
      </w:r>
      <w:r>
        <w:rPr>
          <w:rFonts w:ascii="Book Antiqua" w:hAnsi="Book Antiqua" w:eastAsia="Book Antiqua" w:cs="Book Antiqua"/>
          <w:i/>
          <w:iCs/>
          <w:color w:val="000000"/>
        </w:rPr>
        <w:t>vs</w:t>
      </w:r>
      <w:r>
        <w:rPr>
          <w:rFonts w:ascii="Book Antiqua" w:hAnsi="Book Antiqua" w:eastAsia="Book Antiqua" w:cs="Book Antiqua"/>
          <w:color w:val="000000"/>
        </w:rPr>
        <w:t xml:space="preserve"> 63% found by Román </w:t>
      </w:r>
      <w:r>
        <w:rPr>
          <w:rFonts w:ascii="Book Antiqua" w:hAnsi="Book Antiqua" w:eastAsia="Book Antiqua" w:cs="Book Antiqua"/>
          <w:i/>
          <w:iCs/>
          <w:color w:val="000000"/>
        </w:rPr>
        <w:t>et</w:t>
      </w:r>
      <w:r>
        <w:rPr>
          <w:rFonts w:ascii="Book Antiqua" w:hAnsi="Book Antiqua" w:eastAsia="Book Antiqua" w:cs="Book Antiqua"/>
          <w:color w:val="000000"/>
        </w:rPr>
        <w:t xml:space="preserve"> </w:t>
      </w:r>
      <w:r>
        <w:rPr>
          <w:rFonts w:ascii="Book Antiqua" w:hAnsi="Book Antiqua" w:eastAsia="Book Antiqua" w:cs="Book Antiqua"/>
          <w:i/>
          <w:iCs/>
          <w:color w:val="000000"/>
        </w:rPr>
        <w:t>al</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xml:space="preserve">, and a mean 6MWD of 515 m (180-960 m), compared to 306 m in Alameri </w:t>
      </w:r>
      <w:r>
        <w:rPr>
          <w:rFonts w:ascii="Book Antiqua" w:hAnsi="Book Antiqua" w:eastAsia="Book Antiqua" w:cs="Book Antiqua"/>
          <w:i/>
          <w:iCs/>
          <w:color w:val="000000"/>
        </w:rPr>
        <w:t>et</w:t>
      </w:r>
      <w:r>
        <w:rPr>
          <w:rFonts w:ascii="Book Antiqua" w:hAnsi="Book Antiqua" w:eastAsia="Book Antiqua" w:cs="Book Antiqua"/>
          <w:color w:val="000000"/>
        </w:rPr>
        <w:t xml:space="preserve"> </w:t>
      </w:r>
      <w:r>
        <w:rPr>
          <w:rFonts w:ascii="Book Antiqua" w:hAnsi="Book Antiqua" w:eastAsia="Book Antiqua" w:cs="Book Antiqua"/>
          <w:i/>
          <w:iCs/>
          <w:color w:val="000000"/>
        </w:rPr>
        <w:t>al</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‘s cohort of 98 patients with cirrhosis. The poor performance during 6MWT meets with the current knowledge about the abnormal exercise capacity in cirrhotic patients. Future studies should verify those findings and evaluate if 6MWD can be used as a more general tool able to evaluate outcomes and quality of life in this group</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w:t>
      </w:r>
    </w:p>
    <w:p>
      <w:pPr>
        <w:adjustRightInd w:val="0"/>
        <w:snapToGrid w:val="0"/>
        <w:spacing w:line="360" w:lineRule="auto"/>
        <w:ind w:firstLine="708"/>
        <w:jc w:val="both"/>
      </w:pPr>
      <w:r>
        <w:rPr>
          <w:rFonts w:ascii="Book Antiqua" w:hAnsi="Book Antiqua" w:eastAsia="Book Antiqua" w:cs="Book Antiqua"/>
          <w:color w:val="000000"/>
        </w:rPr>
        <w:t>We reported a weak inverse correlation between 6MWD and Child scores (</w:t>
      </w:r>
      <w:r>
        <w:rPr>
          <w:rFonts w:ascii="Book Antiqua" w:hAnsi="Book Antiqua" w:eastAsia="Book Antiqua" w:cs="Book Antiqua"/>
          <w:i/>
          <w:iCs/>
          <w:color w:val="000000"/>
        </w:rPr>
        <w:t>r</w:t>
      </w:r>
      <w:r>
        <w:rPr>
          <w:rFonts w:ascii="Book Antiqua" w:hAnsi="Book Antiqua" w:eastAsia="Book Antiqua" w:cs="Book Antiqua"/>
          <w:color w:val="000000"/>
        </w:rPr>
        <w:t xml:space="preserve"> = -0.228, </w:t>
      </w:r>
      <w:r>
        <w:rPr>
          <w:rFonts w:ascii="Book Antiqua" w:hAnsi="Book Antiqua" w:eastAsia="Book Antiqua" w:cs="Book Antiqua"/>
          <w:i/>
          <w:iCs/>
          <w:color w:val="000000"/>
        </w:rPr>
        <w:t>P</w:t>
      </w:r>
      <w:r>
        <w:rPr>
          <w:rFonts w:ascii="Book Antiqua" w:hAnsi="Book Antiqua" w:eastAsia="Book Antiqua" w:cs="Book Antiqua"/>
          <w:color w:val="000000"/>
        </w:rPr>
        <w:t xml:space="preserve"> = 0.019), although it was clear the tendency in walk distance reduction along Child classes. Carey </w:t>
      </w:r>
      <w:r>
        <w:rPr>
          <w:rFonts w:ascii="Book Antiqua" w:hAnsi="Book Antiqua" w:eastAsia="Book Antiqua" w:cs="Book Antiqua"/>
          <w:i/>
          <w:iCs/>
          <w:color w:val="000000"/>
        </w:rPr>
        <w:t>et</w:t>
      </w:r>
      <w:r>
        <w:rPr>
          <w:rFonts w:ascii="Book Antiqua" w:hAnsi="Book Antiqua" w:eastAsia="Book Antiqua" w:cs="Book Antiqua"/>
          <w:color w:val="000000"/>
        </w:rPr>
        <w:t xml:space="preserve"> </w:t>
      </w:r>
      <w:r>
        <w:rPr>
          <w:rFonts w:ascii="Book Antiqua" w:hAnsi="Book Antiqua" w:eastAsia="Book Antiqua" w:cs="Book Antiqua"/>
          <w:i/>
          <w:iCs/>
          <w:color w:val="000000"/>
        </w:rPr>
        <w:t>al</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studying 121 cirrhotic patients, showed a strong correlation with MELD. In this particular study, all patients were listed for liver transplant, denoting a population with more advanced disease, making us understand that this stronger correlation reflects a major prevalence of their patient’s overall disability when comparing to our study group. In the same way, by comparing subjects with advanced disease (Child B and C) and those without it (Child A), we detected a significant difference between these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0.02), supporting the previous interpretation. Furthermore, patients with a history of at least one hepatic decompensation in the past, presented shorter 6MWD (</w:t>
      </w:r>
      <w:r>
        <w:rPr>
          <w:rFonts w:ascii="Book Antiqua" w:hAnsi="Book Antiqua" w:eastAsia="Book Antiqua" w:cs="Book Antiqua"/>
          <w:i/>
          <w:iCs/>
          <w:color w:val="000000"/>
        </w:rPr>
        <w:t>P</w:t>
      </w:r>
      <w:r>
        <w:rPr>
          <w:rFonts w:ascii="Book Antiqua" w:hAnsi="Book Antiqua" w:eastAsia="Book Antiqua" w:cs="Book Antiqua"/>
          <w:color w:val="000000"/>
        </w:rPr>
        <w:t xml:space="preserve"> = 0.015) and subjects presenting with ascites or encephalopathy at the moment of evaluation performed worse, these facts highlight the relationship between shorter distances and severity of liver disease in our study. Similarly, Wong </w:t>
      </w:r>
      <w:r>
        <w:rPr>
          <w:rFonts w:ascii="Book Antiqua" w:hAnsi="Book Antiqua" w:eastAsia="Book Antiqua" w:cs="Book Antiqua"/>
          <w:i/>
          <w:iCs/>
          <w:color w:val="000000"/>
        </w:rPr>
        <w:t>et</w:t>
      </w:r>
      <w:r>
        <w:rPr>
          <w:rFonts w:ascii="Book Antiqua" w:hAnsi="Book Antiqua" w:eastAsia="Book Antiqua" w:cs="Book Antiqua"/>
          <w:color w:val="000000"/>
        </w:rPr>
        <w:t xml:space="preserve"> </w:t>
      </w:r>
      <w:r>
        <w:rPr>
          <w:rFonts w:ascii="Book Antiqua" w:hAnsi="Book Antiqua" w:eastAsia="Book Antiqua" w:cs="Book Antiqua"/>
          <w:i/>
          <w:iCs/>
          <w:color w:val="000000"/>
        </w:rPr>
        <w:t>al</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xml:space="preserve"> reported that patients with decompensated cirrhosis with ascites performed worse during cycle ergometer evaluation when compared to well compensated patients, however, no specific data is available regarding 6MWT. </w:t>
      </w:r>
    </w:p>
    <w:p>
      <w:pPr>
        <w:adjustRightInd w:val="0"/>
        <w:snapToGrid w:val="0"/>
        <w:spacing w:line="360" w:lineRule="auto"/>
        <w:ind w:firstLine="708"/>
        <w:jc w:val="both"/>
      </w:pPr>
      <w:r>
        <w:rPr>
          <w:rFonts w:ascii="Book Antiqua" w:hAnsi="Book Antiqua" w:eastAsia="Book Antiqua" w:cs="Book Antiqua"/>
          <w:color w:val="000000"/>
        </w:rPr>
        <w:t>Although the gold standard measurement of exercise capacity is maximal VO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xml:space="preserve"> measurement during treadmill or cycle ergometer tests, 6MWT is a cheap and simple test found to correlate with oxygen consumption that can be administered without special equipment or skilled staff that you can perform in clinic to give an immediate result. Noticeable that all patients in our study completed the full test, independently of the presence of ascites or encephalopathy, demonstrating one great advantage above other exercise tests, that sometimes require a more complex adaptation and comprehension about the technique. Cahalin </w:t>
      </w:r>
      <w:r>
        <w:rPr>
          <w:rFonts w:ascii="Book Antiqua" w:hAnsi="Book Antiqua" w:eastAsia="Book Antiqua" w:cs="Book Antiqua"/>
          <w:i/>
          <w:iCs/>
          <w:color w:val="000000"/>
        </w:rPr>
        <w:t>et</w:t>
      </w:r>
      <w:r>
        <w:rPr>
          <w:rFonts w:ascii="Book Antiqua" w:hAnsi="Book Antiqua" w:eastAsia="Book Antiqua" w:cs="Book Antiqua"/>
          <w:color w:val="000000"/>
        </w:rPr>
        <w:t xml:space="preserve"> </w:t>
      </w:r>
      <w:r>
        <w:rPr>
          <w:rFonts w:ascii="Book Antiqua" w:hAnsi="Book Antiqua" w:eastAsia="Book Antiqua" w:cs="Book Antiqua"/>
          <w:i/>
          <w:iCs/>
          <w:color w:val="000000"/>
        </w:rPr>
        <w:t>al</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xml:space="preserve"> performed 6MWT and symptom-limited cardiopulmonary exercise testing in patients with heart failure during cardiac transplant evaluation. The authors described a significant correlation between 6MWD and peak VO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 xml:space="preserve"> (</w:t>
      </w:r>
      <w:r>
        <w:rPr>
          <w:rFonts w:ascii="Book Antiqua" w:hAnsi="Book Antiqua" w:eastAsia="Book Antiqua" w:cs="Book Antiqua"/>
          <w:i/>
          <w:iCs/>
          <w:color w:val="000000"/>
        </w:rPr>
        <w:t>r</w:t>
      </w:r>
      <w:r>
        <w:rPr>
          <w:rFonts w:ascii="Book Antiqua" w:hAnsi="Book Antiqua" w:eastAsia="Book Antiqua" w:cs="Book Antiqua"/>
          <w:color w:val="000000"/>
        </w:rPr>
        <w:t xml:space="preserve"> = 0.64,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concluding that 6MWT is a valuable tool to predict VO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 xml:space="preserve"> and short-term survival. These results should be validated in cirrhotic population, but represent a good evidence that 6MWT could be introduced in routine practice without loss of diagnostic accuracy in exercise capacity estimation. While our study did not evaluate the association between VO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 xml:space="preserve"> and 6MWD, it did show the safety and practicality of this procedure. García-Pagàn </w:t>
      </w:r>
      <w:r>
        <w:rPr>
          <w:rFonts w:ascii="Book Antiqua" w:hAnsi="Book Antiqua" w:eastAsia="Book Antiqua" w:cs="Book Antiqua"/>
          <w:i/>
          <w:iCs/>
          <w:color w:val="000000"/>
        </w:rPr>
        <w:t>et</w:t>
      </w:r>
      <w:r>
        <w:rPr>
          <w:rFonts w:ascii="Book Antiqua" w:hAnsi="Book Antiqua" w:eastAsia="Book Antiqua" w:cs="Book Antiqua"/>
          <w:color w:val="000000"/>
        </w:rPr>
        <w:t xml:space="preserve"> </w:t>
      </w:r>
      <w:r>
        <w:rPr>
          <w:rFonts w:ascii="Book Antiqua" w:hAnsi="Book Antiqua" w:eastAsia="Book Antiqua" w:cs="Book Antiqua"/>
          <w:i/>
          <w:iCs/>
          <w:color w:val="000000"/>
        </w:rPr>
        <w:t>al</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xml:space="preserve"> reported that moderate exercise (30% of the maximum) significantly increases portal pressure in patients with portal hypertension, and, therefore, could increase the risk of variceal bleeding, ascites and encephalopathy. Although 6MWT is a submaximal exercise, we did not identify any clinical event directly associated with it during the period following the test. Recent studies do not mention the prevalence of adverse events induced by exercise, and more studies designed to respond this issue should be carried out. </w:t>
      </w:r>
    </w:p>
    <w:p>
      <w:pPr>
        <w:adjustRightInd w:val="0"/>
        <w:snapToGrid w:val="0"/>
        <w:spacing w:line="360" w:lineRule="auto"/>
        <w:ind w:firstLine="708"/>
        <w:jc w:val="both"/>
      </w:pPr>
      <w:r>
        <w:rPr>
          <w:rFonts w:ascii="Book Antiqua" w:hAnsi="Book Antiqua" w:eastAsia="Book Antiqua" w:cs="Book Antiqua"/>
          <w:color w:val="000000"/>
        </w:rPr>
        <w:t>Previously studies who reported the relationship between 6MWT and mortality were conducted with small populations and during a short period of followup</w:t>
      </w:r>
      <w:r>
        <w:rPr>
          <w:rFonts w:ascii="Book Antiqua" w:hAnsi="Book Antiqua" w:eastAsia="Book Antiqua" w:cs="Book Antiqua"/>
          <w:color w:val="000000"/>
          <w:szCs w:val="30"/>
          <w:vertAlign w:val="superscript"/>
        </w:rPr>
        <w:t>[11,12]</w:t>
      </w:r>
      <w:r>
        <w:rPr>
          <w:rFonts w:ascii="Book Antiqua" w:hAnsi="Book Antiqua" w:eastAsia="Book Antiqua" w:cs="Book Antiqua"/>
          <w:color w:val="000000"/>
        </w:rPr>
        <w:t xml:space="preserve">. Poor performance during 6MWT may warrant that the at-risk patients should be followed more closely due to the risk of adverse events. Notwithstanding, 6MWT has been proposed as a tool during frailty status evaluation, giving emphasis in this role as a practical and cheap method for this proposal. This study reinforces this importance, adding more powerful results due to our long period of follow-up, demonstrating how physical exercise evaluation may be an interesting long predictor of prognosis in cirrhotic patients. </w:t>
      </w:r>
    </w:p>
    <w:p>
      <w:pPr>
        <w:adjustRightInd w:val="0"/>
        <w:snapToGrid w:val="0"/>
        <w:spacing w:line="360" w:lineRule="auto"/>
        <w:ind w:firstLine="708"/>
        <w:jc w:val="both"/>
      </w:pPr>
      <w:r>
        <w:rPr>
          <w:rFonts w:ascii="Book Antiqua" w:hAnsi="Book Antiqua" w:eastAsia="Book Antiqua" w:cs="Book Antiqua"/>
          <w:color w:val="000000"/>
        </w:rPr>
        <w:t xml:space="preserve">In our study, 6MWD was an independent predictor of death, consistent with findings from previous studies by Alameri </w:t>
      </w:r>
      <w:r>
        <w:rPr>
          <w:rFonts w:ascii="Book Antiqua" w:hAnsi="Book Antiqua" w:eastAsia="Book Antiqua" w:cs="Book Antiqua"/>
          <w:i/>
          <w:iCs/>
          <w:color w:val="000000"/>
        </w:rPr>
        <w:t>et</w:t>
      </w:r>
      <w:r>
        <w:rPr>
          <w:rFonts w:ascii="Book Antiqua" w:hAnsi="Book Antiqua" w:eastAsia="Book Antiqua" w:cs="Book Antiqua"/>
          <w:color w:val="000000"/>
        </w:rPr>
        <w:t xml:space="preserve"> </w:t>
      </w:r>
      <w:r>
        <w:rPr>
          <w:rFonts w:ascii="Book Antiqua" w:hAnsi="Book Antiqua" w:eastAsia="Book Antiqua" w:cs="Book Antiqua"/>
          <w:i/>
          <w:iCs/>
          <w:color w:val="000000"/>
        </w:rPr>
        <w:t>al</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and Carey </w:t>
      </w:r>
      <w:r>
        <w:rPr>
          <w:rFonts w:ascii="Book Antiqua" w:hAnsi="Book Antiqua" w:eastAsia="Book Antiqua" w:cs="Book Antiqua"/>
          <w:i/>
          <w:iCs/>
          <w:color w:val="000000"/>
        </w:rPr>
        <w:t>et</w:t>
      </w:r>
      <w:r>
        <w:rPr>
          <w:rFonts w:ascii="Book Antiqua" w:hAnsi="Book Antiqua" w:eastAsia="Book Antiqua" w:cs="Book Antiqua"/>
          <w:color w:val="000000"/>
        </w:rPr>
        <w:t xml:space="preserve"> </w:t>
      </w:r>
      <w:r>
        <w:rPr>
          <w:rFonts w:ascii="Book Antiqua" w:hAnsi="Book Antiqua" w:eastAsia="Book Antiqua" w:cs="Book Antiqua"/>
          <w:i/>
          <w:iCs/>
          <w:color w:val="000000"/>
        </w:rPr>
        <w:t>al</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xml:space="preserve">. In the first study, mortality was evaluated in the whole group, including patients with non-cirrhotic chronic hepatitis, which may bias the interpretation about causality between 6MWD and cirrhosis. Also, Carey </w:t>
      </w:r>
      <w:r>
        <w:rPr>
          <w:rFonts w:ascii="Book Antiqua" w:hAnsi="Book Antiqua" w:eastAsia="Book Antiqua" w:cs="Book Antiqua"/>
          <w:i/>
          <w:iCs/>
          <w:color w:val="000000"/>
        </w:rPr>
        <w:t>et</w:t>
      </w:r>
      <w:r>
        <w:rPr>
          <w:rFonts w:ascii="Book Antiqua" w:hAnsi="Book Antiqua" w:eastAsia="Book Antiqua" w:cs="Book Antiqua"/>
          <w:color w:val="000000"/>
        </w:rPr>
        <w:t xml:space="preserve"> </w:t>
      </w:r>
      <w:r>
        <w:rPr>
          <w:rFonts w:ascii="Book Antiqua" w:hAnsi="Book Antiqua" w:eastAsia="Book Antiqua" w:cs="Book Antiqua"/>
          <w:i/>
          <w:iCs/>
          <w:color w:val="000000"/>
        </w:rPr>
        <w:t>al</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xml:space="preserve"> studied a population with more advanced disease, all of them on the liver transplant waiting list with a high frequency of liver transplantation (50.4%) performed in a short period of time (5-6 mo). The statistical power of 6MWT in predicting mortality could be affected by pulling out so many patients after transplant from this cohort. </w:t>
      </w:r>
    </w:p>
    <w:p>
      <w:pPr>
        <w:adjustRightInd w:val="0"/>
        <w:snapToGrid w:val="0"/>
        <w:spacing w:line="360" w:lineRule="auto"/>
        <w:ind w:firstLine="708"/>
        <w:jc w:val="both"/>
      </w:pPr>
      <w:r>
        <w:rPr>
          <w:rFonts w:ascii="Book Antiqua" w:hAnsi="Book Antiqua" w:eastAsia="Book Antiqua" w:cs="Book Antiqua"/>
          <w:color w:val="000000"/>
        </w:rPr>
        <w:t>The role of 6MWD and %6MWD in the prediction of mortality were independently of Child scores as demonstrated by multivariate logistic regression analysis. These facts highlight the association of 6MWT parameters with disease progression and adverse outcomes, despite the severity of liver disease.</w:t>
      </w:r>
    </w:p>
    <w:p>
      <w:pPr>
        <w:adjustRightInd w:val="0"/>
        <w:snapToGrid w:val="0"/>
        <w:spacing w:line="360" w:lineRule="auto"/>
        <w:ind w:firstLine="708"/>
        <w:jc w:val="both"/>
      </w:pPr>
      <w:r>
        <w:rPr>
          <w:rFonts w:ascii="Book Antiqua" w:hAnsi="Book Antiqua" w:eastAsia="Book Antiqua" w:cs="Book Antiqua"/>
          <w:color w:val="000000"/>
        </w:rPr>
        <w:t xml:space="preserve">There are several limitations to our study. First, we did not proceed an external validation of 6MWD cutoffs used in our study, although our main objectives were focused in the transversal and descriptive characterization of study population. Second, we did neither evaluated nutritional status nor calculate the Frailty score of our patients. When study was designed there were no clear parameters specific settle for this diagnosis and a retrospective evaluation was not possible due to lack of complete data. Although recent studies suggest a close relationship between malnourished patients and physical capacity, in order to better evaluate this relationship, another specific protocol must be designed, which was not in accordance with our main objectives. Finally, we did not submit this cohort to a second phase 6MWT to evaluate the relationship between test performance and disease progression. Maybe this analysis could enhance the comprehension about the association of shorter 6MWD and severity of liver disease and its role as a marker of liver decompensation episodes. As we proposed a sectional evaluation of cirrhotic patients with 6MWT, future prospective studies should be able to better answer the previous questions. </w:t>
      </w:r>
    </w:p>
    <w:p>
      <w:pPr>
        <w:adjustRightInd w:val="0"/>
        <w:snapToGrid w:val="0"/>
        <w:spacing w:line="360" w:lineRule="auto"/>
        <w:ind w:firstLine="708"/>
        <w:jc w:val="both"/>
      </w:pPr>
    </w:p>
    <w:p>
      <w:pPr>
        <w:adjustRightInd w:val="0"/>
        <w:snapToGrid w:val="0"/>
        <w:spacing w:line="360" w:lineRule="auto"/>
        <w:jc w:val="both"/>
      </w:pPr>
      <w:r>
        <w:rPr>
          <w:rFonts w:ascii="Book Antiqua" w:hAnsi="Book Antiqua" w:eastAsia="Book Antiqua" w:cs="Book Antiqua"/>
          <w:b/>
          <w:caps/>
          <w:color w:val="000000"/>
          <w:u w:val="single"/>
        </w:rPr>
        <w:t>CONCLUSION</w:t>
      </w:r>
    </w:p>
    <w:p>
      <w:pPr>
        <w:adjustRightInd w:val="0"/>
        <w:snapToGrid w:val="0"/>
        <w:spacing w:line="360" w:lineRule="auto"/>
        <w:jc w:val="both"/>
      </w:pPr>
      <w:r>
        <w:rPr>
          <w:rFonts w:ascii="Book Antiqua" w:hAnsi="Book Antiqua" w:eastAsia="Book Antiqua" w:cs="Book Antiqua"/>
          <w:color w:val="000000"/>
        </w:rPr>
        <w:t xml:space="preserve">In summary, 6MWT is a very simple, inexpensive, well tolerated, noninvasive test to assess exercise capacity and the result of which is related to MELD and Child scores. The present study showed that 6MWD is an independent predictor of mortality in this population. 6MWT is a promising prognostic marker in patients with liver cirrhosis and should be considered as part of liver transplantation evaluation especially in those referred for the liver transplantation team. </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ARTICLE HIGHLIGHTS</w:t>
      </w:r>
    </w:p>
    <w:p>
      <w:pPr>
        <w:adjustRightInd w:val="0"/>
        <w:snapToGrid w:val="0"/>
        <w:spacing w:line="360" w:lineRule="auto"/>
        <w:jc w:val="both"/>
      </w:pPr>
      <w:r>
        <w:rPr>
          <w:rFonts w:ascii="Book Antiqua" w:hAnsi="Book Antiqua" w:eastAsia="Book Antiqua" w:cs="Book Antiqua"/>
          <w:b/>
          <w:i/>
          <w:color w:val="000000"/>
        </w:rPr>
        <w:t>Research background</w:t>
      </w:r>
    </w:p>
    <w:p>
      <w:pPr>
        <w:adjustRightInd w:val="0"/>
        <w:snapToGrid w:val="0"/>
        <w:spacing w:line="360" w:lineRule="auto"/>
        <w:jc w:val="both"/>
      </w:pPr>
      <w:r>
        <w:rPr>
          <w:rFonts w:ascii="Book Antiqua" w:hAnsi="Book Antiqua" w:eastAsia="Book Antiqua" w:cs="Book Antiqua"/>
          <w:color w:val="000000"/>
        </w:rPr>
        <w:t>Patients with cirrhosis are at risk of exercise limitations due to progressive limitations related to liver dysfunction. Sarcopenia and cirrhotic cardiomyopathy may be possible related factors. The six-minute walking test (6MWT) is a known simple and practical tool used to evaluate patients with cardiopulmonary disease.</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motivation</w:t>
      </w:r>
    </w:p>
    <w:p>
      <w:pPr>
        <w:adjustRightInd w:val="0"/>
        <w:snapToGrid w:val="0"/>
        <w:spacing w:line="360" w:lineRule="auto"/>
        <w:jc w:val="both"/>
      </w:pPr>
      <w:r>
        <w:rPr>
          <w:rFonts w:ascii="Book Antiqua" w:hAnsi="Book Antiqua" w:eastAsia="Book Antiqua" w:cs="Book Antiqua"/>
          <w:color w:val="000000"/>
        </w:rPr>
        <w:t xml:space="preserve">In face of limited diagnosis tools focused on exercise capacity, we purposed to evaluate the role of 6MWT in this population. </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objectives</w:t>
      </w:r>
    </w:p>
    <w:p>
      <w:pPr>
        <w:adjustRightInd w:val="0"/>
        <w:snapToGrid w:val="0"/>
        <w:spacing w:line="360" w:lineRule="auto"/>
        <w:jc w:val="both"/>
      </w:pPr>
      <w:r>
        <w:rPr>
          <w:rFonts w:ascii="Book Antiqua" w:hAnsi="Book Antiqua" w:eastAsia="Book Antiqua" w:cs="Book Antiqua"/>
          <w:color w:val="000000"/>
        </w:rPr>
        <w:t xml:space="preserve">The aim of our study was to analyzed 6MWT performance in patients with liver cirrhosis to determine if it associates with mortality. </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methods</w:t>
      </w:r>
    </w:p>
    <w:p>
      <w:pPr>
        <w:adjustRightInd w:val="0"/>
        <w:snapToGrid w:val="0"/>
        <w:spacing w:line="360" w:lineRule="auto"/>
        <w:jc w:val="both"/>
      </w:pPr>
      <w:r>
        <w:rPr>
          <w:rFonts w:ascii="Book Antiqua" w:hAnsi="Book Antiqua" w:eastAsia="Book Antiqua" w:cs="Book Antiqua"/>
          <w:color w:val="000000"/>
        </w:rPr>
        <w:t>We analyzed 6MWT performance in 106 cirrhotic patients. They were evaluated in the outpatient setting with 6MWT and follow up for one year. Hepatic decompensation and mortality were documented.</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results</w:t>
      </w:r>
    </w:p>
    <w:p>
      <w:pPr>
        <w:adjustRightInd w:val="0"/>
        <w:snapToGrid w:val="0"/>
        <w:spacing w:line="360" w:lineRule="auto"/>
        <w:jc w:val="both"/>
      </w:pPr>
      <w:r>
        <w:rPr>
          <w:rFonts w:ascii="Book Antiqua" w:hAnsi="Book Antiqua" w:eastAsia="Book Antiqua" w:cs="Book Antiqua"/>
          <w:color w:val="000000"/>
        </w:rPr>
        <w:t>This cohort had a mean age of 51 years and 56% male; patients were staged as Child A in 21.7%, B 66%, and C 12.3%. Walk distance inversely correlated with Child scores, and was significantly reduced as Child stages progress. Patients who died (10.4%) showed a shorter mean 6MWD (</w:t>
      </w:r>
      <w:r>
        <w:rPr>
          <w:rFonts w:ascii="Book Antiqua" w:hAnsi="Book Antiqua" w:eastAsia="Book Antiqua" w:cs="Book Antiqua"/>
          <w:i/>
          <w:iCs/>
          <w:color w:val="000000"/>
        </w:rPr>
        <w:t>P</w:t>
      </w:r>
      <w:r>
        <w:rPr>
          <w:rFonts w:ascii="Book Antiqua" w:hAnsi="Book Antiqua" w:eastAsia="Book Antiqua" w:cs="Book Antiqua"/>
          <w:color w:val="000000"/>
        </w:rPr>
        <w:t xml:space="preserve"> = 0.006). Low 6MWD was an independent predictor of mortality (</w:t>
      </w:r>
      <w:r>
        <w:rPr>
          <w:rFonts w:ascii="Book Antiqua" w:hAnsi="Book Antiqua" w:eastAsia="Book Antiqua" w:cs="Book Antiqua"/>
          <w:i/>
          <w:iCs/>
          <w:color w:val="000000"/>
        </w:rPr>
        <w:t>P</w:t>
      </w:r>
      <w:r>
        <w:rPr>
          <w:rFonts w:ascii="Book Antiqua" w:hAnsi="Book Antiqua" w:eastAsia="Book Antiqua" w:cs="Book Antiqua"/>
          <w:color w:val="000000"/>
        </w:rPr>
        <w:t xml:space="preserve"> = 0.01). </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conclusions</w:t>
      </w:r>
    </w:p>
    <w:p>
      <w:pPr>
        <w:adjustRightInd w:val="0"/>
        <w:snapToGrid w:val="0"/>
        <w:spacing w:line="360" w:lineRule="auto"/>
        <w:jc w:val="both"/>
      </w:pPr>
      <w:r>
        <w:rPr>
          <w:rFonts w:ascii="Book Antiqua" w:hAnsi="Book Antiqua" w:eastAsia="Book Antiqua" w:cs="Book Antiqua"/>
          <w:color w:val="000000"/>
        </w:rPr>
        <w:t xml:space="preserve">6MWT is a noninvasive inexpensive test whose result is related to Child scores and mortality. </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i/>
          <w:color w:val="000000"/>
        </w:rPr>
        <w:t>Research perspectives</w:t>
      </w:r>
    </w:p>
    <w:p>
      <w:pPr>
        <w:adjustRightInd w:val="0"/>
        <w:snapToGrid w:val="0"/>
        <w:spacing w:line="360" w:lineRule="auto"/>
        <w:jc w:val="both"/>
      </w:pPr>
      <w:r>
        <w:rPr>
          <w:rFonts w:ascii="Book Antiqua" w:hAnsi="Book Antiqua" w:eastAsia="Book Antiqua" w:cs="Book Antiqua"/>
          <w:color w:val="000000"/>
        </w:rPr>
        <w:t>It is a useful, simple, practical test that can be incorporated into cirrhotic evaluation due to its relation with mortality for closer monitoring and potential early intervention.</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aps/>
          <w:color w:val="000000"/>
          <w:u w:val="single"/>
        </w:rPr>
        <w:t>ACKNOWLEDGEMENTS</w:t>
      </w:r>
    </w:p>
    <w:p>
      <w:pPr>
        <w:adjustRightInd w:val="0"/>
        <w:snapToGrid w:val="0"/>
        <w:spacing w:line="360" w:lineRule="auto"/>
        <w:jc w:val="both"/>
      </w:pPr>
      <w:r>
        <w:rPr>
          <w:rFonts w:ascii="Book Antiqua" w:hAnsi="Book Antiqua" w:eastAsia="Book Antiqua" w:cs="Book Antiqua"/>
          <w:color w:val="000000"/>
          <w:shd w:val="clear" w:color="auto" w:fill="FFFFFF"/>
        </w:rPr>
        <w:t>This study was supported by Sao Luis Hospital, D'Or Institute of Research and Education (IDOR)</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and Fleury Institution. The content is solely the responsibility of the authors and does not necessarily represent the official views of these institutions.</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Jones JC</w:t>
      </w:r>
      <w:r>
        <w:rPr>
          <w:rFonts w:ascii="Book Antiqua" w:hAnsi="Book Antiqua" w:eastAsia="Book Antiqua" w:cs="Book Antiqua"/>
          <w:color w:val="000000"/>
        </w:rPr>
        <w:t xml:space="preserve">, Coombes JS, Macdonald GA. Exercise capacity and muscle strength in patients with cirrhosis. </w:t>
      </w:r>
      <w:r>
        <w:rPr>
          <w:rFonts w:ascii="Book Antiqua" w:hAnsi="Book Antiqua" w:eastAsia="Book Antiqua" w:cs="Book Antiqua"/>
          <w:i/>
          <w:iCs/>
          <w:color w:val="000000"/>
        </w:rPr>
        <w:t>Liver</w:t>
      </w:r>
      <w:r>
        <w:rPr>
          <w:rFonts w:ascii="Book Antiqua" w:hAnsi="Book Antiqua" w:eastAsia="Book Antiqua" w:cs="Book Antiqua"/>
          <w:iCs/>
          <w:color w:val="000000"/>
        </w:rPr>
        <w:t xml:space="preserve"> </w:t>
      </w:r>
      <w:r>
        <w:rPr>
          <w:rFonts w:ascii="Book Antiqua" w:hAnsi="Book Antiqua" w:eastAsia="Book Antiqua" w:cs="Book Antiqua"/>
          <w:i/>
          <w:iCs/>
          <w:color w:val="000000"/>
        </w:rPr>
        <w:t>Transpl</w:t>
      </w:r>
      <w:r>
        <w:rPr>
          <w:rFonts w:ascii="Book Antiqua" w:hAnsi="Book Antiqua" w:eastAsia="Book Antiqua" w:cs="Book Antiqua"/>
          <w:color w:val="000000"/>
        </w:rPr>
        <w:t xml:space="preserve"> 2012; </w:t>
      </w:r>
      <w:r>
        <w:rPr>
          <w:rFonts w:ascii="Book Antiqua" w:hAnsi="Book Antiqua" w:eastAsia="Book Antiqua" w:cs="Book Antiqua"/>
          <w:b/>
          <w:bCs/>
          <w:color w:val="000000"/>
        </w:rPr>
        <w:t>18</w:t>
      </w:r>
      <w:r>
        <w:rPr>
          <w:rFonts w:ascii="Book Antiqua" w:hAnsi="Book Antiqua" w:eastAsia="Book Antiqua" w:cs="Book Antiqua"/>
          <w:color w:val="000000"/>
        </w:rPr>
        <w:t>: 146-151 [PMID: 22139897 DOI: 10.1002/lt.22472]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Campillo B</w:t>
      </w:r>
      <w:r>
        <w:rPr>
          <w:rFonts w:ascii="Book Antiqua" w:hAnsi="Book Antiqua" w:eastAsia="Book Antiqua" w:cs="Book Antiqua"/>
          <w:color w:val="000000"/>
        </w:rPr>
        <w:t xml:space="preserve">, Fouet P, Bonnet JC, Atlan G. Submaximal oxygen consumption in liver cirrhosis. Evidence of severe functional aerobic impairment. </w:t>
      </w:r>
      <w:r>
        <w:rPr>
          <w:rFonts w:ascii="Book Antiqua" w:hAnsi="Book Antiqua" w:eastAsia="Book Antiqua" w:cs="Book Antiqua"/>
          <w:i/>
          <w:iCs/>
          <w:color w:val="000000"/>
        </w:rPr>
        <w:t>J</w:t>
      </w:r>
      <w:r>
        <w:rPr>
          <w:rFonts w:ascii="Book Antiqua" w:hAnsi="Book Antiqua" w:eastAsia="Book Antiqua" w:cs="Book Antiqua"/>
          <w:iCs/>
          <w:color w:val="000000"/>
        </w:rPr>
        <w:t xml:space="preserve"> </w:t>
      </w:r>
      <w:r>
        <w:rPr>
          <w:rFonts w:ascii="Book Antiqua" w:hAnsi="Book Antiqua" w:eastAsia="Book Antiqua" w:cs="Book Antiqua"/>
          <w:i/>
          <w:iCs/>
          <w:color w:val="000000"/>
        </w:rPr>
        <w:t>Hepatol</w:t>
      </w:r>
      <w:r>
        <w:rPr>
          <w:rFonts w:ascii="Book Antiqua" w:hAnsi="Book Antiqua" w:eastAsia="Book Antiqua" w:cs="Book Antiqua"/>
          <w:color w:val="000000"/>
        </w:rPr>
        <w:t xml:space="preserve"> 1990; </w:t>
      </w:r>
      <w:r>
        <w:rPr>
          <w:rFonts w:ascii="Book Antiqua" w:hAnsi="Book Antiqua" w:eastAsia="Book Antiqua" w:cs="Book Antiqua"/>
          <w:b/>
          <w:bCs/>
          <w:color w:val="000000"/>
        </w:rPr>
        <w:t>10</w:t>
      </w:r>
      <w:r>
        <w:rPr>
          <w:rFonts w:ascii="Book Antiqua" w:hAnsi="Book Antiqua" w:eastAsia="Book Antiqua" w:cs="Book Antiqua"/>
          <w:color w:val="000000"/>
        </w:rPr>
        <w:t>: 163-167 [PMID: 2332586 DOI: 10.1016/0168-8278(90)90046-t]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Bunchorntavakul C</w:t>
      </w:r>
      <w:r>
        <w:rPr>
          <w:rFonts w:ascii="Book Antiqua" w:hAnsi="Book Antiqua" w:eastAsia="Book Antiqua" w:cs="Book Antiqua"/>
          <w:color w:val="000000"/>
        </w:rPr>
        <w:t xml:space="preserve">, Reddy KR. Review article: malnutrition/sarcopenia and frailty in patients with cirrhosis. </w:t>
      </w:r>
      <w:r>
        <w:rPr>
          <w:rFonts w:ascii="Book Antiqua" w:hAnsi="Book Antiqua" w:eastAsia="Book Antiqua" w:cs="Book Antiqua"/>
          <w:i/>
          <w:iCs/>
          <w:color w:val="000000"/>
        </w:rPr>
        <w:t>Aliment</w:t>
      </w:r>
      <w:r>
        <w:rPr>
          <w:rFonts w:ascii="Book Antiqua" w:hAnsi="Book Antiqua" w:eastAsia="Book Antiqua" w:cs="Book Antiqua"/>
          <w:iCs/>
          <w:color w:val="000000"/>
        </w:rPr>
        <w:t xml:space="preserve"> </w:t>
      </w:r>
      <w:r>
        <w:rPr>
          <w:rFonts w:ascii="Book Antiqua" w:hAnsi="Book Antiqua" w:eastAsia="Book Antiqua" w:cs="Book Antiqua"/>
          <w:i/>
          <w:iCs/>
          <w:color w:val="000000"/>
        </w:rPr>
        <w:t>Pharmacol</w:t>
      </w:r>
      <w:r>
        <w:rPr>
          <w:rFonts w:ascii="Book Antiqua" w:hAnsi="Book Antiqua" w:eastAsia="Book Antiqua" w:cs="Book Antiqua"/>
          <w:iCs/>
          <w:color w:val="000000"/>
        </w:rPr>
        <w:t xml:space="preserve"> </w:t>
      </w:r>
      <w:r>
        <w:rPr>
          <w:rFonts w:ascii="Book Antiqua" w:hAnsi="Book Antiqua" w:eastAsia="Book Antiqua" w:cs="Book Antiqua"/>
          <w:i/>
          <w:iCs/>
          <w:color w:val="000000"/>
        </w:rPr>
        <w:t>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51</w:t>
      </w:r>
      <w:r>
        <w:rPr>
          <w:rFonts w:ascii="Book Antiqua" w:hAnsi="Book Antiqua" w:eastAsia="Book Antiqua" w:cs="Book Antiqua"/>
          <w:color w:val="000000"/>
        </w:rPr>
        <w:t>: 64-77 [PMID: 31701570 DOI: 10.1111/apt.15571]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Izzy M</w:t>
      </w:r>
      <w:r>
        <w:rPr>
          <w:rFonts w:ascii="Book Antiqua" w:hAnsi="Book Antiqua" w:eastAsia="Book Antiqua" w:cs="Book Antiqua"/>
          <w:color w:val="000000"/>
        </w:rPr>
        <w:t xml:space="preserve">, VanWagner LB, Lin G, Altieri M, Findlay JY, Oh JK, Watt KD, Lee SS; Cirrhotic Cardiomyopathy Consortium. Redefining Cirrhotic Cardiomyopathy for the Modern Era.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334-345 [PMID: 31342529 DOI: 10.1002/hep.30875]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Montano-Loza AJ</w:t>
      </w:r>
      <w:r>
        <w:rPr>
          <w:rFonts w:ascii="Book Antiqua" w:hAnsi="Book Antiqua" w:eastAsia="Book Antiqua" w:cs="Book Antiqua"/>
          <w:color w:val="000000"/>
        </w:rPr>
        <w:t xml:space="preserve">. Muscle wasting: a nutritional criterion to prioritize patients for liver transplantation. </w:t>
      </w:r>
      <w:r>
        <w:rPr>
          <w:rFonts w:ascii="Book Antiqua" w:hAnsi="Book Antiqua" w:eastAsia="Book Antiqua" w:cs="Book Antiqua"/>
          <w:i/>
          <w:iCs/>
          <w:color w:val="000000"/>
        </w:rPr>
        <w:t>Curr</w:t>
      </w:r>
      <w:r>
        <w:rPr>
          <w:rFonts w:ascii="Book Antiqua" w:hAnsi="Book Antiqua" w:eastAsia="Book Antiqua" w:cs="Book Antiqua"/>
          <w:iCs/>
          <w:color w:val="000000"/>
        </w:rPr>
        <w:t xml:space="preserve"> </w:t>
      </w:r>
      <w:r>
        <w:rPr>
          <w:rFonts w:ascii="Book Antiqua" w:hAnsi="Book Antiqua" w:eastAsia="Book Antiqua" w:cs="Book Antiqua"/>
          <w:i/>
          <w:iCs/>
          <w:color w:val="000000"/>
        </w:rPr>
        <w:t>Opin</w:t>
      </w:r>
      <w:r>
        <w:rPr>
          <w:rFonts w:ascii="Book Antiqua" w:hAnsi="Book Antiqua" w:eastAsia="Book Antiqua" w:cs="Book Antiqua"/>
          <w:iCs/>
          <w:color w:val="000000"/>
        </w:rPr>
        <w:t xml:space="preserve"> </w:t>
      </w:r>
      <w:r>
        <w:rPr>
          <w:rFonts w:ascii="Book Antiqua" w:hAnsi="Book Antiqua" w:eastAsia="Book Antiqua" w:cs="Book Antiqua"/>
          <w:i/>
          <w:iCs/>
          <w:color w:val="000000"/>
        </w:rPr>
        <w:t>Clin</w:t>
      </w:r>
      <w:r>
        <w:rPr>
          <w:rFonts w:ascii="Book Antiqua" w:hAnsi="Book Antiqua" w:eastAsia="Book Antiqua" w:cs="Book Antiqua"/>
          <w:iCs/>
          <w:color w:val="000000"/>
        </w:rPr>
        <w:t xml:space="preserve"> </w:t>
      </w:r>
      <w:r>
        <w:rPr>
          <w:rFonts w:ascii="Book Antiqua" w:hAnsi="Book Antiqua" w:eastAsia="Book Antiqua" w:cs="Book Antiqua"/>
          <w:i/>
          <w:iCs/>
          <w:color w:val="000000"/>
        </w:rPr>
        <w:t>Nutr</w:t>
      </w:r>
      <w:r>
        <w:rPr>
          <w:rFonts w:ascii="Book Antiqua" w:hAnsi="Book Antiqua" w:eastAsia="Book Antiqua" w:cs="Book Antiqua"/>
          <w:iCs/>
          <w:color w:val="000000"/>
        </w:rPr>
        <w:t xml:space="preserve"> </w:t>
      </w:r>
      <w:r>
        <w:rPr>
          <w:rFonts w:ascii="Book Antiqua" w:hAnsi="Book Antiqua" w:eastAsia="Book Antiqua" w:cs="Book Antiqua"/>
          <w:i/>
          <w:iCs/>
          <w:color w:val="000000"/>
        </w:rPr>
        <w:t>Metab</w:t>
      </w:r>
      <w:r>
        <w:rPr>
          <w:rFonts w:ascii="Book Antiqua" w:hAnsi="Book Antiqua" w:eastAsia="Book Antiqua" w:cs="Book Antiqua"/>
          <w:iCs/>
          <w:color w:val="000000"/>
        </w:rPr>
        <w:t xml:space="preserve"> </w:t>
      </w:r>
      <w:r>
        <w:rPr>
          <w:rFonts w:ascii="Book Antiqua" w:hAnsi="Book Antiqua" w:eastAsia="Book Antiqua" w:cs="Book Antiqua"/>
          <w:i/>
          <w:iCs/>
          <w:color w:val="000000"/>
        </w:rPr>
        <w:t>Care</w:t>
      </w:r>
      <w:r>
        <w:rPr>
          <w:rFonts w:ascii="Book Antiqua" w:hAnsi="Book Antiqua" w:eastAsia="Book Antiqua" w:cs="Book Antiqua"/>
          <w:color w:val="000000"/>
        </w:rPr>
        <w:t xml:space="preserve"> 2014; </w:t>
      </w:r>
      <w:r>
        <w:rPr>
          <w:rFonts w:ascii="Book Antiqua" w:hAnsi="Book Antiqua" w:eastAsia="Book Antiqua" w:cs="Book Antiqua"/>
          <w:b/>
          <w:bCs/>
          <w:color w:val="000000"/>
        </w:rPr>
        <w:t>17</w:t>
      </w:r>
      <w:r>
        <w:rPr>
          <w:rFonts w:ascii="Book Antiqua" w:hAnsi="Book Antiqua" w:eastAsia="Book Antiqua" w:cs="Book Antiqua"/>
          <w:color w:val="000000"/>
        </w:rPr>
        <w:t>: 219-225 [PMID: 24613858 DOI: 10.1097/MCO.0000000000000046]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Lai JC</w:t>
      </w:r>
      <w:r>
        <w:rPr>
          <w:rFonts w:ascii="Book Antiqua" w:hAnsi="Book Antiqua" w:eastAsia="Book Antiqua" w:cs="Book Antiqua"/>
          <w:color w:val="000000"/>
        </w:rPr>
        <w:t xml:space="preserve">, Volk ML, Strasburg D, Alexander N. Performance-Based Measures Associate With Frailty in Patients With End-Stage Liver Disease.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2016; </w:t>
      </w:r>
      <w:r>
        <w:rPr>
          <w:rFonts w:ascii="Book Antiqua" w:hAnsi="Book Antiqua" w:eastAsia="Book Antiqua" w:cs="Book Antiqua"/>
          <w:b/>
          <w:bCs/>
          <w:color w:val="000000"/>
        </w:rPr>
        <w:t>100</w:t>
      </w:r>
      <w:r>
        <w:rPr>
          <w:rFonts w:ascii="Book Antiqua" w:hAnsi="Book Antiqua" w:eastAsia="Book Antiqua" w:cs="Book Antiqua"/>
          <w:color w:val="000000"/>
        </w:rPr>
        <w:t>: 2656-2660 [PMID: 27495749 DOI: 10.1097/TP.0000000000001433]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Bhanji RA</w:t>
      </w:r>
      <w:r>
        <w:rPr>
          <w:rFonts w:ascii="Book Antiqua" w:hAnsi="Book Antiqua" w:eastAsia="Book Antiqua" w:cs="Book Antiqua"/>
          <w:color w:val="000000"/>
        </w:rPr>
        <w:t xml:space="preserve">, Montano-Loza AJ, Watt KD. Sarcopenia in Cirrhosis: Looking Beyond the Skeletal Muscle Loss to See the Systemic Disease.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70</w:t>
      </w:r>
      <w:r>
        <w:rPr>
          <w:rFonts w:ascii="Book Antiqua" w:hAnsi="Book Antiqua" w:eastAsia="Book Antiqua" w:cs="Book Antiqua"/>
          <w:color w:val="000000"/>
        </w:rPr>
        <w:t>: 2193-2203 [PMID: 31034656 DOI: 10.1002/hep.30686]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ATS Committee on Proficiency Standards for Clinical Pulmonary Function Laboratories</w:t>
      </w:r>
      <w:r>
        <w:rPr>
          <w:rFonts w:ascii="Book Antiqua" w:hAnsi="Book Antiqua" w:eastAsia="Book Antiqua" w:cs="Book Antiqua"/>
          <w:color w:val="000000"/>
        </w:rPr>
        <w:t xml:space="preserve">. ATS statement: guidelines for the six-minute walk test. </w:t>
      </w:r>
      <w:r>
        <w:rPr>
          <w:rFonts w:ascii="Book Antiqua" w:hAnsi="Book Antiqua" w:eastAsia="Book Antiqua" w:cs="Book Antiqua"/>
          <w:i/>
          <w:iCs/>
          <w:color w:val="000000"/>
        </w:rPr>
        <w:t>Am</w:t>
      </w:r>
      <w:r>
        <w:rPr>
          <w:rFonts w:ascii="Book Antiqua" w:hAnsi="Book Antiqua" w:eastAsia="Book Antiqua" w:cs="Book Antiqua"/>
          <w:iCs/>
          <w:color w:val="000000"/>
        </w:rPr>
        <w:t xml:space="preserve"> </w:t>
      </w:r>
      <w:r>
        <w:rPr>
          <w:rFonts w:ascii="Book Antiqua" w:hAnsi="Book Antiqua" w:eastAsia="Book Antiqua" w:cs="Book Antiqua"/>
          <w:i/>
          <w:iCs/>
          <w:color w:val="000000"/>
        </w:rPr>
        <w:t>J</w:t>
      </w:r>
      <w:r>
        <w:rPr>
          <w:rFonts w:ascii="Book Antiqua" w:hAnsi="Book Antiqua" w:eastAsia="Book Antiqua" w:cs="Book Antiqua"/>
          <w:iCs/>
          <w:color w:val="000000"/>
        </w:rPr>
        <w:t xml:space="preserve"> </w:t>
      </w:r>
      <w:r>
        <w:rPr>
          <w:rFonts w:ascii="Book Antiqua" w:hAnsi="Book Antiqua" w:eastAsia="Book Antiqua" w:cs="Book Antiqua"/>
          <w:i/>
          <w:iCs/>
          <w:color w:val="000000"/>
        </w:rPr>
        <w:t>Respir</w:t>
      </w:r>
      <w:r>
        <w:rPr>
          <w:rFonts w:ascii="Book Antiqua" w:hAnsi="Book Antiqua" w:eastAsia="Book Antiqua" w:cs="Book Antiqua"/>
          <w:iCs/>
          <w:color w:val="000000"/>
        </w:rPr>
        <w:t xml:space="preserve"> </w:t>
      </w:r>
      <w:r>
        <w:rPr>
          <w:rFonts w:ascii="Book Antiqua" w:hAnsi="Book Antiqua" w:eastAsia="Book Antiqua" w:cs="Book Antiqua"/>
          <w:i/>
          <w:iCs/>
          <w:color w:val="000000"/>
        </w:rPr>
        <w:t>Crit</w:t>
      </w:r>
      <w:r>
        <w:rPr>
          <w:rFonts w:ascii="Book Antiqua" w:hAnsi="Book Antiqua" w:eastAsia="Book Antiqua" w:cs="Book Antiqua"/>
          <w:iCs/>
          <w:color w:val="000000"/>
        </w:rPr>
        <w:t xml:space="preserve"> </w:t>
      </w:r>
      <w:r>
        <w:rPr>
          <w:rFonts w:ascii="Book Antiqua" w:hAnsi="Book Antiqua" w:eastAsia="Book Antiqua" w:cs="Book Antiqua"/>
          <w:i/>
          <w:iCs/>
          <w:color w:val="000000"/>
        </w:rPr>
        <w:t>Care</w:t>
      </w:r>
      <w:r>
        <w:rPr>
          <w:rFonts w:ascii="Book Antiqua" w:hAnsi="Book Antiqua" w:eastAsia="Book Antiqua" w:cs="Book Antiqua"/>
          <w:iCs/>
          <w:color w:val="000000"/>
        </w:rPr>
        <w:t xml:space="preserve"> </w:t>
      </w:r>
      <w:r>
        <w:rPr>
          <w:rFonts w:ascii="Book Antiqua" w:hAnsi="Book Antiqua" w:eastAsia="Book Antiqua" w:cs="Book Antiqua"/>
          <w:i/>
          <w:iCs/>
          <w:color w:val="000000"/>
        </w:rPr>
        <w:t>Med</w:t>
      </w:r>
      <w:r>
        <w:rPr>
          <w:rFonts w:ascii="Book Antiqua" w:hAnsi="Book Antiqua" w:eastAsia="Book Antiqua" w:cs="Book Antiqua"/>
          <w:color w:val="000000"/>
        </w:rPr>
        <w:t xml:space="preserve"> 2002; </w:t>
      </w:r>
      <w:r>
        <w:rPr>
          <w:rFonts w:ascii="Book Antiqua" w:hAnsi="Book Antiqua" w:eastAsia="Book Antiqua" w:cs="Book Antiqua"/>
          <w:b/>
          <w:bCs/>
          <w:color w:val="000000"/>
        </w:rPr>
        <w:t>166</w:t>
      </w:r>
      <w:r>
        <w:rPr>
          <w:rFonts w:ascii="Book Antiqua" w:hAnsi="Book Antiqua" w:eastAsia="Book Antiqua" w:cs="Book Antiqua"/>
          <w:color w:val="000000"/>
        </w:rPr>
        <w:t>: 111-117 [PMID: 12091180 DOI: 10.1164/ajrccm.166.1.at1102]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Cahalin LP</w:t>
      </w:r>
      <w:r>
        <w:rPr>
          <w:rFonts w:ascii="Book Antiqua" w:hAnsi="Book Antiqua" w:eastAsia="Book Antiqua" w:cs="Book Antiqua"/>
          <w:color w:val="000000"/>
        </w:rPr>
        <w:t xml:space="preserve">, Mathier MA, Semigran MJ, Dec GW, DiSalvo TG. The six-minute walk test predicts peak oxygen uptake and survival in patients with advanced heart failure. </w:t>
      </w:r>
      <w:r>
        <w:rPr>
          <w:rFonts w:ascii="Book Antiqua" w:hAnsi="Book Antiqua" w:eastAsia="Book Antiqua" w:cs="Book Antiqua"/>
          <w:i/>
          <w:iCs/>
          <w:color w:val="000000"/>
        </w:rPr>
        <w:t>Chest</w:t>
      </w:r>
      <w:r>
        <w:rPr>
          <w:rFonts w:ascii="Book Antiqua" w:hAnsi="Book Antiqua" w:eastAsia="Book Antiqua" w:cs="Book Antiqua"/>
          <w:color w:val="000000"/>
        </w:rPr>
        <w:t xml:space="preserve"> 1996; </w:t>
      </w:r>
      <w:r>
        <w:rPr>
          <w:rFonts w:ascii="Book Antiqua" w:hAnsi="Book Antiqua" w:eastAsia="Book Antiqua" w:cs="Book Antiqua"/>
          <w:b/>
          <w:bCs/>
          <w:color w:val="000000"/>
        </w:rPr>
        <w:t>110</w:t>
      </w:r>
      <w:r>
        <w:rPr>
          <w:rFonts w:ascii="Book Antiqua" w:hAnsi="Book Antiqua" w:eastAsia="Book Antiqua" w:cs="Book Antiqua"/>
          <w:color w:val="000000"/>
        </w:rPr>
        <w:t>: 325-332 [PMID: 8697828 DOI: 10.1378/chest.110.2.325]</w:t>
      </w:r>
    </w:p>
    <w:p>
      <w:pPr>
        <w:adjustRightInd w:val="0"/>
        <w:snapToGrid w:val="0"/>
        <w:spacing w:line="360" w:lineRule="auto"/>
        <w:jc w:val="both"/>
        <w:rPr>
          <w:rFonts w:ascii="Book Antiqua" w:hAnsi="Book Antiqua"/>
          <w:lang w:val="pt-BR"/>
        </w:rPr>
      </w:pPr>
      <w:r>
        <w:rPr>
          <w:rFonts w:ascii="Book Antiqua" w:hAnsi="Book Antiqua" w:eastAsia="Book Antiqua" w:cs="Book Antiqua"/>
          <w:color w:val="000000"/>
        </w:rPr>
        <w:t xml:space="preserve">10 </w:t>
      </w:r>
      <w:r>
        <w:rPr>
          <w:rFonts w:ascii="Book Antiqua" w:hAnsi="Book Antiqua" w:eastAsia="Book Antiqua" w:cs="Book Antiqua"/>
          <w:b/>
          <w:bCs/>
          <w:color w:val="000000"/>
        </w:rPr>
        <w:t>Roul G</w:t>
      </w:r>
      <w:r>
        <w:rPr>
          <w:rFonts w:ascii="Book Antiqua" w:hAnsi="Book Antiqua" w:eastAsia="Book Antiqua" w:cs="Book Antiqua"/>
          <w:color w:val="000000"/>
        </w:rPr>
        <w:t xml:space="preserve">, Germain P, Bareiss P. Does the 6-minute walk test predict the prognosis in patients with NYHA class II or III chronic heart failure? </w:t>
      </w:r>
      <w:r>
        <w:rPr>
          <w:rFonts w:ascii="Book Antiqua" w:hAnsi="Book Antiqua" w:eastAsia="Book Antiqua" w:cs="Book Antiqua"/>
          <w:i/>
          <w:iCs/>
          <w:color w:val="000000"/>
          <w:lang w:val="pt-BR"/>
        </w:rPr>
        <w:t>Am</w:t>
      </w:r>
      <w:r>
        <w:rPr>
          <w:rFonts w:ascii="Book Antiqua" w:hAnsi="Book Antiqua" w:eastAsia="Book Antiqua" w:cs="Book Antiqua"/>
          <w:iCs/>
          <w:color w:val="000000"/>
          <w:lang w:val="pt-BR"/>
        </w:rPr>
        <w:t xml:space="preserve"> </w:t>
      </w:r>
      <w:r>
        <w:rPr>
          <w:rFonts w:ascii="Book Antiqua" w:hAnsi="Book Antiqua" w:eastAsia="Book Antiqua" w:cs="Book Antiqua"/>
          <w:i/>
          <w:iCs/>
          <w:color w:val="000000"/>
          <w:lang w:val="pt-BR"/>
        </w:rPr>
        <w:t>Heart</w:t>
      </w:r>
      <w:r>
        <w:rPr>
          <w:rFonts w:ascii="Book Antiqua" w:hAnsi="Book Antiqua" w:eastAsia="Book Antiqua" w:cs="Book Antiqua"/>
          <w:iCs/>
          <w:color w:val="000000"/>
          <w:lang w:val="pt-BR"/>
        </w:rPr>
        <w:t xml:space="preserve"> </w:t>
      </w:r>
      <w:r>
        <w:rPr>
          <w:rFonts w:ascii="Book Antiqua" w:hAnsi="Book Antiqua" w:eastAsia="Book Antiqua" w:cs="Book Antiqua"/>
          <w:i/>
          <w:iCs/>
          <w:color w:val="000000"/>
          <w:lang w:val="pt-BR"/>
        </w:rPr>
        <w:t>J</w:t>
      </w:r>
      <w:r>
        <w:rPr>
          <w:rFonts w:ascii="Book Antiqua" w:hAnsi="Book Antiqua" w:eastAsia="Book Antiqua" w:cs="Book Antiqua"/>
          <w:color w:val="000000"/>
          <w:lang w:val="pt-BR"/>
        </w:rPr>
        <w:t xml:space="preserve"> 1998; </w:t>
      </w:r>
      <w:r>
        <w:rPr>
          <w:rFonts w:ascii="Book Antiqua" w:hAnsi="Book Antiqua" w:eastAsia="Book Antiqua" w:cs="Book Antiqua"/>
          <w:b/>
          <w:bCs/>
          <w:color w:val="000000"/>
          <w:lang w:val="pt-BR"/>
        </w:rPr>
        <w:t>136</w:t>
      </w:r>
      <w:r>
        <w:rPr>
          <w:rFonts w:ascii="Book Antiqua" w:hAnsi="Book Antiqua" w:eastAsia="Book Antiqua" w:cs="Book Antiqua"/>
          <w:color w:val="000000"/>
          <w:lang w:val="pt-BR"/>
        </w:rPr>
        <w:t>: 449-457 [PMID: 9736136 DOI: 10.1016/S0002-8703(98)70219-4]</w:t>
      </w:r>
    </w:p>
    <w:p>
      <w:pPr>
        <w:adjustRightInd w:val="0"/>
        <w:snapToGrid w:val="0"/>
        <w:spacing w:line="360" w:lineRule="auto"/>
        <w:jc w:val="both"/>
        <w:rPr>
          <w:rFonts w:ascii="Book Antiqua" w:hAnsi="Book Antiqua"/>
        </w:rPr>
      </w:pPr>
      <w:r>
        <w:rPr>
          <w:rFonts w:ascii="Book Antiqua" w:hAnsi="Book Antiqua" w:eastAsia="Book Antiqua" w:cs="Book Antiqua"/>
          <w:color w:val="000000"/>
          <w:lang w:val="pt-BR"/>
        </w:rPr>
        <w:t xml:space="preserve">11 </w:t>
      </w:r>
      <w:r>
        <w:rPr>
          <w:rFonts w:ascii="Book Antiqua" w:hAnsi="Book Antiqua" w:eastAsia="Book Antiqua" w:cs="Book Antiqua"/>
          <w:b/>
          <w:bCs/>
          <w:color w:val="000000"/>
          <w:lang w:val="pt-BR"/>
        </w:rPr>
        <w:t>Celli BR</w:t>
      </w:r>
      <w:r>
        <w:rPr>
          <w:rFonts w:ascii="Book Antiqua" w:hAnsi="Book Antiqua" w:eastAsia="Book Antiqua" w:cs="Book Antiqua"/>
          <w:color w:val="000000"/>
          <w:lang w:val="pt-BR"/>
        </w:rPr>
        <w:t xml:space="preserve">, Cote CG, Marin JM, Casanova C, Montes de Oca M, Mendez RA, Pinto Plata V, Cabral HJ. </w:t>
      </w:r>
      <w:r>
        <w:rPr>
          <w:rFonts w:ascii="Book Antiqua" w:hAnsi="Book Antiqua" w:eastAsia="Book Antiqua" w:cs="Book Antiqua"/>
          <w:color w:val="000000"/>
        </w:rPr>
        <w:t xml:space="preserve">The body-mass index, airflow obstruction, dyspnea, and exercise capacity index in chronic obstructive pulmonary disease. </w:t>
      </w:r>
      <w:r>
        <w:rPr>
          <w:rFonts w:ascii="Book Antiqua" w:hAnsi="Book Antiqua" w:eastAsia="Book Antiqua" w:cs="Book Antiqua"/>
          <w:i/>
          <w:iCs/>
          <w:color w:val="000000"/>
        </w:rPr>
        <w:t>N</w:t>
      </w:r>
      <w:r>
        <w:rPr>
          <w:rFonts w:ascii="Book Antiqua" w:hAnsi="Book Antiqua" w:eastAsia="Book Antiqua" w:cs="Book Antiqua"/>
          <w:iCs/>
          <w:color w:val="000000"/>
        </w:rPr>
        <w:t xml:space="preserve"> </w:t>
      </w:r>
      <w:r>
        <w:rPr>
          <w:rFonts w:ascii="Book Antiqua" w:hAnsi="Book Antiqua" w:eastAsia="Book Antiqua" w:cs="Book Antiqua"/>
          <w:i/>
          <w:iCs/>
          <w:color w:val="000000"/>
        </w:rPr>
        <w:t>Engl</w:t>
      </w:r>
      <w:r>
        <w:rPr>
          <w:rFonts w:ascii="Book Antiqua" w:hAnsi="Book Antiqua" w:eastAsia="Book Antiqua" w:cs="Book Antiqua"/>
          <w:iCs/>
          <w:color w:val="000000"/>
        </w:rPr>
        <w:t xml:space="preserve"> </w:t>
      </w:r>
      <w:r>
        <w:rPr>
          <w:rFonts w:ascii="Book Antiqua" w:hAnsi="Book Antiqua" w:eastAsia="Book Antiqua" w:cs="Book Antiqua"/>
          <w:i/>
          <w:iCs/>
          <w:color w:val="000000"/>
        </w:rPr>
        <w:t>J</w:t>
      </w:r>
      <w:r>
        <w:rPr>
          <w:rFonts w:ascii="Book Antiqua" w:hAnsi="Book Antiqua" w:eastAsia="Book Antiqua" w:cs="Book Antiqua"/>
          <w:iCs/>
          <w:color w:val="000000"/>
        </w:rPr>
        <w:t xml:space="preserve"> </w:t>
      </w:r>
      <w:r>
        <w:rPr>
          <w:rFonts w:ascii="Book Antiqua" w:hAnsi="Book Antiqua" w:eastAsia="Book Antiqua" w:cs="Book Antiqua"/>
          <w:i/>
          <w:iCs/>
          <w:color w:val="000000"/>
        </w:rPr>
        <w:t>Med</w:t>
      </w:r>
      <w:r>
        <w:rPr>
          <w:rFonts w:ascii="Book Antiqua" w:hAnsi="Book Antiqua" w:eastAsia="Book Antiqua" w:cs="Book Antiqua"/>
          <w:color w:val="000000"/>
        </w:rPr>
        <w:t xml:space="preserve"> 2004; </w:t>
      </w:r>
      <w:r>
        <w:rPr>
          <w:rFonts w:ascii="Book Antiqua" w:hAnsi="Book Antiqua" w:eastAsia="Book Antiqua" w:cs="Book Antiqua"/>
          <w:b/>
          <w:bCs/>
          <w:color w:val="000000"/>
        </w:rPr>
        <w:t>350</w:t>
      </w:r>
      <w:r>
        <w:rPr>
          <w:rFonts w:ascii="Book Antiqua" w:hAnsi="Book Antiqua" w:eastAsia="Book Antiqua" w:cs="Book Antiqua"/>
          <w:color w:val="000000"/>
        </w:rPr>
        <w:t>: 1005-1012 [PMID: 14999112 DOI: 10.1056/NEJMoa021322]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Troosters T</w:t>
      </w:r>
      <w:r>
        <w:rPr>
          <w:rFonts w:ascii="Book Antiqua" w:hAnsi="Book Antiqua" w:eastAsia="Book Antiqua" w:cs="Book Antiqua"/>
          <w:color w:val="000000"/>
        </w:rPr>
        <w:t xml:space="preserve">, Gosselink R, Decramer M. Six minute walking distance in healthy elderly subjects. </w:t>
      </w:r>
      <w:r>
        <w:rPr>
          <w:rFonts w:ascii="Book Antiqua" w:hAnsi="Book Antiqua" w:eastAsia="Book Antiqua" w:cs="Book Antiqua"/>
          <w:i/>
          <w:iCs/>
          <w:color w:val="000000"/>
        </w:rPr>
        <w:t>Eur</w:t>
      </w:r>
      <w:r>
        <w:rPr>
          <w:rFonts w:ascii="Book Antiqua" w:hAnsi="Book Antiqua" w:eastAsia="Book Antiqua" w:cs="Book Antiqua"/>
          <w:iCs/>
          <w:color w:val="000000"/>
        </w:rPr>
        <w:t xml:space="preserve"> </w:t>
      </w:r>
      <w:r>
        <w:rPr>
          <w:rFonts w:ascii="Book Antiqua" w:hAnsi="Book Antiqua" w:eastAsia="Book Antiqua" w:cs="Book Antiqua"/>
          <w:i/>
          <w:iCs/>
          <w:color w:val="000000"/>
        </w:rPr>
        <w:t>Respir</w:t>
      </w:r>
      <w:r>
        <w:rPr>
          <w:rFonts w:ascii="Book Antiqua" w:hAnsi="Book Antiqua" w:eastAsia="Book Antiqua" w:cs="Book Antiqua"/>
          <w:iCs/>
          <w:color w:val="000000"/>
        </w:rPr>
        <w:t xml:space="preserve"> </w:t>
      </w:r>
      <w:r>
        <w:rPr>
          <w:rFonts w:ascii="Book Antiqua" w:hAnsi="Book Antiqua" w:eastAsia="Book Antiqua" w:cs="Book Antiqua"/>
          <w:i/>
          <w:iCs/>
          <w:color w:val="000000"/>
        </w:rPr>
        <w:t>J</w:t>
      </w:r>
      <w:r>
        <w:rPr>
          <w:rFonts w:ascii="Book Antiqua" w:hAnsi="Book Antiqua" w:eastAsia="Book Antiqua" w:cs="Book Antiqua"/>
          <w:color w:val="000000"/>
        </w:rPr>
        <w:t xml:space="preserve"> 1999; </w:t>
      </w:r>
      <w:r>
        <w:rPr>
          <w:rFonts w:ascii="Book Antiqua" w:hAnsi="Book Antiqua" w:eastAsia="Book Antiqua" w:cs="Book Antiqua"/>
          <w:b/>
          <w:bCs/>
          <w:color w:val="000000"/>
        </w:rPr>
        <w:t>14</w:t>
      </w:r>
      <w:r>
        <w:rPr>
          <w:rFonts w:ascii="Book Antiqua" w:hAnsi="Book Antiqua" w:eastAsia="Book Antiqua" w:cs="Book Antiqua"/>
          <w:color w:val="000000"/>
        </w:rPr>
        <w:t>: 270-274 [PMID: 10515400 DOI: 10.1034/j.1399-3003.1999.14b06.x]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Enright PL</w:t>
      </w:r>
      <w:r>
        <w:rPr>
          <w:rFonts w:ascii="Book Antiqua" w:hAnsi="Book Antiqua" w:eastAsia="Book Antiqua" w:cs="Book Antiqua"/>
          <w:color w:val="000000"/>
        </w:rPr>
        <w:t xml:space="preserve">, McBurnie MA, Bittner V, Tracy RP, McNamara R, Arnold A, Newman AB; Cardiovascular Health Study. The 6-min walk test: a quick measure of functional status in elderly adults. </w:t>
      </w:r>
      <w:r>
        <w:rPr>
          <w:rFonts w:ascii="Book Antiqua" w:hAnsi="Book Antiqua" w:eastAsia="Book Antiqua" w:cs="Book Antiqua"/>
          <w:i/>
          <w:iCs/>
          <w:color w:val="000000"/>
        </w:rPr>
        <w:t>Chest</w:t>
      </w:r>
      <w:r>
        <w:rPr>
          <w:rFonts w:ascii="Book Antiqua" w:hAnsi="Book Antiqua" w:eastAsia="Book Antiqua" w:cs="Book Antiqua"/>
          <w:color w:val="000000"/>
        </w:rPr>
        <w:t xml:space="preserve"> 2003; </w:t>
      </w:r>
      <w:r>
        <w:rPr>
          <w:rFonts w:ascii="Book Antiqua" w:hAnsi="Book Antiqua" w:eastAsia="Book Antiqua" w:cs="Book Antiqua"/>
          <w:b/>
          <w:bCs/>
          <w:color w:val="000000"/>
        </w:rPr>
        <w:t>123</w:t>
      </w:r>
      <w:r>
        <w:rPr>
          <w:rFonts w:ascii="Book Antiqua" w:hAnsi="Book Antiqua" w:eastAsia="Book Antiqua" w:cs="Book Antiqua"/>
          <w:color w:val="000000"/>
        </w:rPr>
        <w:t>: 387-398 [PMID: 12576356 DOI: 10.1378/chest.123.2.387]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Alameri HF</w:t>
      </w:r>
      <w:r>
        <w:rPr>
          <w:rFonts w:ascii="Book Antiqua" w:hAnsi="Book Antiqua" w:eastAsia="Book Antiqua" w:cs="Book Antiqua"/>
          <w:color w:val="000000"/>
        </w:rPr>
        <w:t xml:space="preserve">, Sanai FM, Al Dukhayil M, Azzam NA, Al-Swat KA, Hersi AS, Abdo AA. Six Minute Walk Test to assess functional capacity in chronic liver disease patients. </w:t>
      </w:r>
      <w:r>
        <w:rPr>
          <w:rFonts w:ascii="Book Antiqua" w:hAnsi="Book Antiqua" w:eastAsia="Book Antiqua" w:cs="Book Antiqua"/>
          <w:i/>
          <w:iCs/>
          <w:color w:val="000000"/>
        </w:rPr>
        <w:t>World</w:t>
      </w:r>
      <w:r>
        <w:rPr>
          <w:rFonts w:ascii="Book Antiqua" w:hAnsi="Book Antiqua" w:eastAsia="Book Antiqua" w:cs="Book Antiqua"/>
          <w:iCs/>
          <w:color w:val="000000"/>
        </w:rPr>
        <w:t xml:space="preserve"> </w:t>
      </w:r>
      <w:r>
        <w:rPr>
          <w:rFonts w:ascii="Book Antiqua" w:hAnsi="Book Antiqua" w:eastAsia="Book Antiqua" w:cs="Book Antiqua"/>
          <w:i/>
          <w:iCs/>
          <w:color w:val="000000"/>
        </w:rPr>
        <w:t>J</w:t>
      </w:r>
      <w:r>
        <w:rPr>
          <w:rFonts w:ascii="Book Antiqua" w:hAnsi="Book Antiqua" w:eastAsia="Book Antiqua" w:cs="Book Antiqua"/>
          <w:iCs/>
          <w:color w:val="000000"/>
        </w:rPr>
        <w:t xml:space="preserve"> </w:t>
      </w:r>
      <w:r>
        <w:rPr>
          <w:rFonts w:ascii="Book Antiqua" w:hAnsi="Book Antiqua" w:eastAsia="Book Antiqua" w:cs="Book Antiqua"/>
          <w:i/>
          <w:iCs/>
          <w:color w:val="000000"/>
        </w:rPr>
        <w:t>Gastroenterol</w:t>
      </w:r>
      <w:r>
        <w:rPr>
          <w:rFonts w:ascii="Book Antiqua" w:hAnsi="Book Antiqua" w:eastAsia="Book Antiqua" w:cs="Book Antiqua"/>
          <w:color w:val="000000"/>
        </w:rPr>
        <w:t xml:space="preserve"> 2007; </w:t>
      </w:r>
      <w:r>
        <w:rPr>
          <w:rFonts w:ascii="Book Antiqua" w:hAnsi="Book Antiqua" w:eastAsia="Book Antiqua" w:cs="Book Antiqua"/>
          <w:b/>
          <w:bCs/>
          <w:color w:val="000000"/>
        </w:rPr>
        <w:t>13</w:t>
      </w:r>
      <w:r>
        <w:rPr>
          <w:rFonts w:ascii="Book Antiqua" w:hAnsi="Book Antiqua" w:eastAsia="Book Antiqua" w:cs="Book Antiqua"/>
          <w:color w:val="000000"/>
        </w:rPr>
        <w:t>: 3996-4001 [PMID: 17663517 DOI: 10.3748/wjg.v13.i29.3996]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Carey EJ</w:t>
      </w:r>
      <w:r>
        <w:rPr>
          <w:rFonts w:ascii="Book Antiqua" w:hAnsi="Book Antiqua" w:eastAsia="Book Antiqua" w:cs="Book Antiqua"/>
          <w:color w:val="000000"/>
        </w:rPr>
        <w:t xml:space="preserve">, Steidley DE, Aqel BA, Byrne TJ, Mekeel KL, Rakela J, Vargas HE, Douglas DD. Six-minute walk distance predicts mortality in liver transplant candidates. </w:t>
      </w:r>
      <w:r>
        <w:rPr>
          <w:rFonts w:ascii="Book Antiqua" w:hAnsi="Book Antiqua" w:eastAsia="Book Antiqua" w:cs="Book Antiqua"/>
          <w:i/>
          <w:iCs/>
          <w:color w:val="000000"/>
        </w:rPr>
        <w:t>Liver</w:t>
      </w:r>
      <w:r>
        <w:rPr>
          <w:rFonts w:ascii="Book Antiqua" w:hAnsi="Book Antiqua" w:eastAsia="Book Antiqua" w:cs="Book Antiqua"/>
          <w:iCs/>
          <w:color w:val="000000"/>
        </w:rPr>
        <w:t xml:space="preserve"> </w:t>
      </w:r>
      <w:r>
        <w:rPr>
          <w:rFonts w:ascii="Book Antiqua" w:hAnsi="Book Antiqua" w:eastAsia="Book Antiqua" w:cs="Book Antiqua"/>
          <w:i/>
          <w:iCs/>
          <w:color w:val="000000"/>
        </w:rPr>
        <w:t>Transpl</w:t>
      </w:r>
      <w:r>
        <w:rPr>
          <w:rFonts w:ascii="Book Antiqua" w:hAnsi="Book Antiqua" w:eastAsia="Book Antiqua" w:cs="Book Antiqua"/>
          <w:color w:val="000000"/>
        </w:rPr>
        <w:t xml:space="preserve"> 2010; </w:t>
      </w:r>
      <w:r>
        <w:rPr>
          <w:rFonts w:ascii="Book Antiqua" w:hAnsi="Book Antiqua" w:eastAsia="Book Antiqua" w:cs="Book Antiqua"/>
          <w:b/>
          <w:bCs/>
          <w:color w:val="000000"/>
        </w:rPr>
        <w:t>16</w:t>
      </w:r>
      <w:r>
        <w:rPr>
          <w:rFonts w:ascii="Book Antiqua" w:hAnsi="Book Antiqua" w:eastAsia="Book Antiqua" w:cs="Book Antiqua"/>
          <w:color w:val="000000"/>
        </w:rPr>
        <w:t>: 1373-1378 [PMID: 21117246 DOI: 10.1002/lt.22167]</w:t>
      </w:r>
    </w:p>
    <w:p>
      <w:pPr>
        <w:adjustRightInd w:val="0"/>
        <w:snapToGrid w:val="0"/>
        <w:spacing w:line="360" w:lineRule="auto"/>
        <w:jc w:val="both"/>
        <w:rPr>
          <w:rFonts w:ascii="Book Antiqua" w:hAnsi="Book Antiqua"/>
          <w:lang w:val="pt-BR"/>
        </w:rPr>
      </w:pPr>
      <w:r>
        <w:rPr>
          <w:rFonts w:ascii="Book Antiqua" w:hAnsi="Book Antiqua" w:eastAsia="Book Antiqua" w:cs="Book Antiqua"/>
          <w:color w:val="000000"/>
        </w:rPr>
        <w:t xml:space="preserve">16 </w:t>
      </w:r>
      <w:r>
        <w:rPr>
          <w:rFonts w:ascii="Book Antiqua" w:hAnsi="Book Antiqua" w:eastAsia="Book Antiqua" w:cs="Book Antiqua"/>
          <w:b/>
          <w:bCs/>
          <w:color w:val="000000"/>
        </w:rPr>
        <w:t>Dharancy S</w:t>
      </w:r>
      <w:r>
        <w:rPr>
          <w:rFonts w:ascii="Book Antiqua" w:hAnsi="Book Antiqua" w:eastAsia="Book Antiqua" w:cs="Book Antiqua"/>
          <w:color w:val="000000"/>
        </w:rPr>
        <w:t xml:space="preserve">, Lemyze M, Boleslawski E, Neviere R, Declerck N, Canva V, Wallaert B, Mathurin P, Pruvot FR. Impact of impaired aerobic capacity on liver transplant candidates. </w:t>
      </w:r>
      <w:r>
        <w:rPr>
          <w:rFonts w:ascii="Book Antiqua" w:hAnsi="Book Antiqua" w:eastAsia="Book Antiqua" w:cs="Book Antiqua"/>
          <w:i/>
          <w:iCs/>
          <w:color w:val="000000"/>
          <w:lang w:val="pt-BR"/>
        </w:rPr>
        <w:t>Transplantation</w:t>
      </w:r>
      <w:r>
        <w:rPr>
          <w:rFonts w:ascii="Book Antiqua" w:hAnsi="Book Antiqua" w:eastAsia="Book Antiqua" w:cs="Book Antiqua"/>
          <w:color w:val="000000"/>
          <w:lang w:val="pt-BR"/>
        </w:rPr>
        <w:t xml:space="preserve"> 2008; </w:t>
      </w:r>
      <w:r>
        <w:rPr>
          <w:rFonts w:ascii="Book Antiqua" w:hAnsi="Book Antiqua" w:eastAsia="Book Antiqua" w:cs="Book Antiqua"/>
          <w:b/>
          <w:bCs/>
          <w:color w:val="000000"/>
          <w:lang w:val="pt-BR"/>
        </w:rPr>
        <w:t>86</w:t>
      </w:r>
      <w:r>
        <w:rPr>
          <w:rFonts w:ascii="Book Antiqua" w:hAnsi="Book Antiqua" w:eastAsia="Book Antiqua" w:cs="Book Antiqua"/>
          <w:color w:val="000000"/>
          <w:lang w:val="pt-BR"/>
        </w:rPr>
        <w:t>: 1077-1083 [PMID: 18946345 DOI: 10.1097/TP.0b013e318187758b]</w:t>
      </w:r>
    </w:p>
    <w:p>
      <w:pPr>
        <w:adjustRightInd w:val="0"/>
        <w:snapToGrid w:val="0"/>
        <w:spacing w:line="360" w:lineRule="auto"/>
        <w:jc w:val="both"/>
        <w:rPr>
          <w:rFonts w:ascii="Book Antiqua" w:hAnsi="Book Antiqua"/>
        </w:rPr>
      </w:pPr>
      <w:r>
        <w:rPr>
          <w:rFonts w:ascii="Book Antiqua" w:hAnsi="Book Antiqua" w:eastAsia="Book Antiqua" w:cs="Book Antiqua"/>
          <w:color w:val="000000"/>
          <w:lang w:val="pt-BR"/>
        </w:rPr>
        <w:t xml:space="preserve">17 </w:t>
      </w:r>
      <w:r>
        <w:rPr>
          <w:rFonts w:ascii="Book Antiqua" w:hAnsi="Book Antiqua" w:eastAsia="Book Antiqua" w:cs="Book Antiqua"/>
          <w:b/>
          <w:bCs/>
          <w:color w:val="000000"/>
          <w:lang w:val="pt-BR"/>
        </w:rPr>
        <w:t>Veloso-Guedes CA</w:t>
      </w:r>
      <w:r>
        <w:rPr>
          <w:rFonts w:ascii="Book Antiqua" w:hAnsi="Book Antiqua" w:eastAsia="Book Antiqua" w:cs="Book Antiqua"/>
          <w:color w:val="000000"/>
          <w:lang w:val="pt-BR"/>
        </w:rPr>
        <w:t xml:space="preserve">, Rosalen ST, Thobias CM, Andreotti RM, Galhardo FD, Oliveira da Silva AM, Araujo O, Boin IF. </w:t>
      </w:r>
      <w:r>
        <w:rPr>
          <w:rFonts w:ascii="Book Antiqua" w:hAnsi="Book Antiqua" w:eastAsia="Book Antiqua" w:cs="Book Antiqua"/>
          <w:color w:val="000000"/>
        </w:rPr>
        <w:t xml:space="preserve">Validation of 20-meter corridor for the 6-minute walk test in men on liver transplantation waiting list. </w:t>
      </w:r>
      <w:r>
        <w:rPr>
          <w:rFonts w:ascii="Book Antiqua" w:hAnsi="Book Antiqua" w:eastAsia="Book Antiqua" w:cs="Book Antiqua"/>
          <w:i/>
          <w:iCs/>
          <w:color w:val="000000"/>
        </w:rPr>
        <w:t>Transplant</w:t>
      </w:r>
      <w:r>
        <w:rPr>
          <w:rFonts w:ascii="Book Antiqua" w:hAnsi="Book Antiqua" w:eastAsia="Book Antiqua" w:cs="Book Antiqua"/>
          <w:iCs/>
          <w:color w:val="000000"/>
        </w:rPr>
        <w:t xml:space="preserve"> </w:t>
      </w:r>
      <w:r>
        <w:rPr>
          <w:rFonts w:ascii="Book Antiqua" w:hAnsi="Book Antiqua" w:eastAsia="Book Antiqua" w:cs="Book Antiqua"/>
          <w:i/>
          <w:iCs/>
          <w:color w:val="000000"/>
        </w:rPr>
        <w:t>Proc</w:t>
      </w:r>
      <w:r>
        <w:rPr>
          <w:rFonts w:ascii="Book Antiqua" w:hAnsi="Book Antiqua" w:eastAsia="Book Antiqua" w:cs="Book Antiqua"/>
          <w:color w:val="000000"/>
        </w:rPr>
        <w:t xml:space="preserve"> 2011; </w:t>
      </w:r>
      <w:r>
        <w:rPr>
          <w:rFonts w:ascii="Book Antiqua" w:hAnsi="Book Antiqua" w:eastAsia="Book Antiqua" w:cs="Book Antiqua"/>
          <w:b/>
          <w:bCs/>
          <w:color w:val="000000"/>
        </w:rPr>
        <w:t>43</w:t>
      </w:r>
      <w:r>
        <w:rPr>
          <w:rFonts w:ascii="Book Antiqua" w:hAnsi="Book Antiqua" w:eastAsia="Book Antiqua" w:cs="Book Antiqua"/>
          <w:color w:val="000000"/>
        </w:rPr>
        <w:t>: 1322-1324 [PMID: 21620120 DOI: 10.1016/j.transproceed.2011.03.057]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Román E</w:t>
      </w:r>
      <w:r>
        <w:rPr>
          <w:rFonts w:ascii="Book Antiqua" w:hAnsi="Book Antiqua" w:eastAsia="Book Antiqua" w:cs="Book Antiqua"/>
          <w:color w:val="000000"/>
        </w:rPr>
        <w:t xml:space="preserve">, Torrades MT, Nadal MJ, Cárdenas G, Nieto JC, Vidal S, Bascuñana H, Juárez C, Guarner C, Córdoba J, Soriano G. Randomized pilot study: effects of an exercise programme and leucine supplementation in patients with cirrhosis. </w:t>
      </w:r>
      <w:r>
        <w:rPr>
          <w:rFonts w:ascii="Book Antiqua" w:hAnsi="Book Antiqua" w:eastAsia="Book Antiqua" w:cs="Book Antiqua"/>
          <w:i/>
          <w:iCs/>
          <w:color w:val="000000"/>
        </w:rPr>
        <w:t>Dig</w:t>
      </w:r>
      <w:r>
        <w:rPr>
          <w:rFonts w:ascii="Book Antiqua" w:hAnsi="Book Antiqua" w:eastAsia="Book Antiqua" w:cs="Book Antiqua"/>
          <w:iCs/>
          <w:color w:val="000000"/>
        </w:rPr>
        <w:t xml:space="preserve"> </w:t>
      </w:r>
      <w:r>
        <w:rPr>
          <w:rFonts w:ascii="Book Antiqua" w:hAnsi="Book Antiqua" w:eastAsia="Book Antiqua" w:cs="Book Antiqua"/>
          <w:i/>
          <w:iCs/>
          <w:color w:val="000000"/>
        </w:rPr>
        <w:t>Dis</w:t>
      </w:r>
      <w:r>
        <w:rPr>
          <w:rFonts w:ascii="Book Antiqua" w:hAnsi="Book Antiqua" w:eastAsia="Book Antiqua" w:cs="Book Antiqua"/>
          <w:iCs/>
          <w:color w:val="000000"/>
        </w:rPr>
        <w:t xml:space="preserve"> </w:t>
      </w:r>
      <w:r>
        <w:rPr>
          <w:rFonts w:ascii="Book Antiqua" w:hAnsi="Book Antiqua" w:eastAsia="Book Antiqua" w:cs="Book Antiqua"/>
          <w:i/>
          <w:iCs/>
          <w:color w:val="000000"/>
        </w:rPr>
        <w:t>Sci</w:t>
      </w:r>
      <w:r>
        <w:rPr>
          <w:rFonts w:ascii="Book Antiqua" w:hAnsi="Book Antiqua" w:eastAsia="Book Antiqua" w:cs="Book Antiqua"/>
          <w:color w:val="000000"/>
        </w:rPr>
        <w:t xml:space="preserve"> 2014; </w:t>
      </w:r>
      <w:r>
        <w:rPr>
          <w:rFonts w:ascii="Book Antiqua" w:hAnsi="Book Antiqua" w:eastAsia="Book Antiqua" w:cs="Book Antiqua"/>
          <w:b/>
          <w:bCs/>
          <w:color w:val="000000"/>
        </w:rPr>
        <w:t>59</w:t>
      </w:r>
      <w:r>
        <w:rPr>
          <w:rFonts w:ascii="Book Antiqua" w:hAnsi="Book Antiqua" w:eastAsia="Book Antiqua" w:cs="Book Antiqua"/>
          <w:color w:val="000000"/>
        </w:rPr>
        <w:t>: 1966-1975 [PMID: 24599772 DOI: 10.1007/s10620-014-3086-6]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Child CG</w:t>
      </w:r>
      <w:r>
        <w:rPr>
          <w:rFonts w:ascii="Book Antiqua" w:hAnsi="Book Antiqua" w:eastAsia="Book Antiqua" w:cs="Book Antiqua"/>
          <w:color w:val="000000"/>
        </w:rPr>
        <w:t xml:space="preserve">, Turcotte JG. Surgery and portal hypertension. </w:t>
      </w:r>
      <w:r>
        <w:rPr>
          <w:rFonts w:ascii="Book Antiqua" w:hAnsi="Book Antiqua" w:eastAsia="Book Antiqua" w:cs="Book Antiqua"/>
          <w:i/>
          <w:iCs/>
          <w:color w:val="000000"/>
        </w:rPr>
        <w:t>Major</w:t>
      </w:r>
      <w:r>
        <w:rPr>
          <w:rFonts w:ascii="Book Antiqua" w:hAnsi="Book Antiqua" w:eastAsia="Book Antiqua" w:cs="Book Antiqua"/>
          <w:iCs/>
          <w:color w:val="000000"/>
        </w:rPr>
        <w:t xml:space="preserve"> </w:t>
      </w:r>
      <w:r>
        <w:rPr>
          <w:rFonts w:ascii="Book Antiqua" w:hAnsi="Book Antiqua" w:eastAsia="Book Antiqua" w:cs="Book Antiqua"/>
          <w:i/>
          <w:iCs/>
          <w:color w:val="000000"/>
        </w:rPr>
        <w:t>Probl</w:t>
      </w:r>
      <w:r>
        <w:rPr>
          <w:rFonts w:ascii="Book Antiqua" w:hAnsi="Book Antiqua" w:eastAsia="Book Antiqua" w:cs="Book Antiqua"/>
          <w:iCs/>
          <w:color w:val="000000"/>
        </w:rPr>
        <w:t xml:space="preserve"> </w:t>
      </w:r>
      <w:r>
        <w:rPr>
          <w:rFonts w:ascii="Book Antiqua" w:hAnsi="Book Antiqua" w:eastAsia="Book Antiqua" w:cs="Book Antiqua"/>
          <w:i/>
          <w:iCs/>
          <w:color w:val="000000"/>
        </w:rPr>
        <w:t>Clin</w:t>
      </w:r>
      <w:r>
        <w:rPr>
          <w:rFonts w:ascii="Book Antiqua" w:hAnsi="Book Antiqua" w:eastAsia="Book Antiqua" w:cs="Book Antiqua"/>
          <w:iCs/>
          <w:color w:val="000000"/>
        </w:rPr>
        <w:t xml:space="preserve"> </w:t>
      </w:r>
      <w:r>
        <w:rPr>
          <w:rFonts w:ascii="Book Antiqua" w:hAnsi="Book Antiqua" w:eastAsia="Book Antiqua" w:cs="Book Antiqua"/>
          <w:i/>
          <w:iCs/>
          <w:color w:val="000000"/>
        </w:rPr>
        <w:t>Surg</w:t>
      </w:r>
      <w:r>
        <w:rPr>
          <w:rFonts w:ascii="Book Antiqua" w:hAnsi="Book Antiqua" w:eastAsia="Book Antiqua" w:cs="Book Antiqua"/>
          <w:color w:val="000000"/>
        </w:rPr>
        <w:t xml:space="preserve"> 1964; </w:t>
      </w:r>
      <w:r>
        <w:rPr>
          <w:rFonts w:ascii="Book Antiqua" w:hAnsi="Book Antiqua" w:eastAsia="Book Antiqua" w:cs="Book Antiqua"/>
          <w:b/>
          <w:bCs/>
          <w:color w:val="000000"/>
        </w:rPr>
        <w:t>1</w:t>
      </w:r>
      <w:r>
        <w:rPr>
          <w:rFonts w:ascii="Book Antiqua" w:hAnsi="Book Antiqua" w:eastAsia="Book Antiqua" w:cs="Book Antiqua"/>
          <w:color w:val="000000"/>
        </w:rPr>
        <w:t>: 1-85 [PMID: 4950264]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Malinchoc M</w:t>
      </w:r>
      <w:r>
        <w:rPr>
          <w:rFonts w:ascii="Book Antiqua" w:hAnsi="Book Antiqua" w:eastAsia="Book Antiqua" w:cs="Book Antiqua"/>
          <w:color w:val="000000"/>
        </w:rPr>
        <w:t xml:space="preserve">, Kamath PS, Gordon FD, Peine CJ, Rank J, ter Borg PC. A model to predict poor survival in patients undergoing transjugular intrahepatic portosystemic shunts.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2000; </w:t>
      </w:r>
      <w:r>
        <w:rPr>
          <w:rFonts w:ascii="Book Antiqua" w:hAnsi="Book Antiqua" w:eastAsia="Book Antiqua" w:cs="Book Antiqua"/>
          <w:b/>
          <w:bCs/>
          <w:color w:val="000000"/>
        </w:rPr>
        <w:t>31</w:t>
      </w:r>
      <w:r>
        <w:rPr>
          <w:rFonts w:ascii="Book Antiqua" w:hAnsi="Book Antiqua" w:eastAsia="Book Antiqua" w:cs="Book Antiqua"/>
          <w:color w:val="000000"/>
        </w:rPr>
        <w:t>: 864-871 [PMID: 10733541 DOI: 10.1053/he.2000.5852]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O'Shea RS</w:t>
      </w:r>
      <w:r>
        <w:rPr>
          <w:rFonts w:ascii="Book Antiqua" w:hAnsi="Book Antiqua" w:eastAsia="Book Antiqua" w:cs="Book Antiqua"/>
          <w:color w:val="000000"/>
        </w:rPr>
        <w:t xml:space="preserve">, Dasarathy S, McCullough AJ; Practice Guideline Committee of the American Association for the Study of Liver Diseases; Practice Parameters Committee of the American College of Gastroenterology. Alcoholic liver disease.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51</w:t>
      </w:r>
      <w:r>
        <w:rPr>
          <w:rFonts w:ascii="Book Antiqua" w:hAnsi="Book Antiqua" w:eastAsia="Book Antiqua" w:cs="Book Antiqua"/>
          <w:color w:val="000000"/>
        </w:rPr>
        <w:t>: 307-328 [PMID: 20034030 DOI: 10.1002/hep.23258]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Enright PL</w:t>
      </w:r>
      <w:r>
        <w:rPr>
          <w:rFonts w:ascii="Book Antiqua" w:hAnsi="Book Antiqua" w:eastAsia="Book Antiqua" w:cs="Book Antiqua"/>
          <w:color w:val="000000"/>
        </w:rPr>
        <w:t xml:space="preserve">, Sherrill DL. Reference equations for the six-minute walk in healthy adults. </w:t>
      </w:r>
      <w:r>
        <w:rPr>
          <w:rFonts w:ascii="Book Antiqua" w:hAnsi="Book Antiqua" w:eastAsia="Book Antiqua" w:cs="Book Antiqua"/>
          <w:i/>
          <w:iCs/>
          <w:color w:val="000000"/>
        </w:rPr>
        <w:t>Am</w:t>
      </w:r>
      <w:r>
        <w:rPr>
          <w:rFonts w:ascii="Book Antiqua" w:hAnsi="Book Antiqua" w:eastAsia="Book Antiqua" w:cs="Book Antiqua"/>
          <w:iCs/>
          <w:color w:val="000000"/>
        </w:rPr>
        <w:t xml:space="preserve"> </w:t>
      </w:r>
      <w:r>
        <w:rPr>
          <w:rFonts w:ascii="Book Antiqua" w:hAnsi="Book Antiqua" w:eastAsia="Book Antiqua" w:cs="Book Antiqua"/>
          <w:i/>
          <w:iCs/>
          <w:color w:val="000000"/>
        </w:rPr>
        <w:t>J</w:t>
      </w:r>
      <w:r>
        <w:rPr>
          <w:rFonts w:ascii="Book Antiqua" w:hAnsi="Book Antiqua" w:eastAsia="Book Antiqua" w:cs="Book Antiqua"/>
          <w:iCs/>
          <w:color w:val="000000"/>
        </w:rPr>
        <w:t xml:space="preserve"> </w:t>
      </w:r>
      <w:r>
        <w:rPr>
          <w:rFonts w:ascii="Book Antiqua" w:hAnsi="Book Antiqua" w:eastAsia="Book Antiqua" w:cs="Book Antiqua"/>
          <w:i/>
          <w:iCs/>
          <w:color w:val="000000"/>
        </w:rPr>
        <w:t>Respir</w:t>
      </w:r>
      <w:r>
        <w:rPr>
          <w:rFonts w:ascii="Book Antiqua" w:hAnsi="Book Antiqua" w:eastAsia="Book Antiqua" w:cs="Book Antiqua"/>
          <w:iCs/>
          <w:color w:val="000000"/>
        </w:rPr>
        <w:t xml:space="preserve"> </w:t>
      </w:r>
      <w:r>
        <w:rPr>
          <w:rFonts w:ascii="Book Antiqua" w:hAnsi="Book Antiqua" w:eastAsia="Book Antiqua" w:cs="Book Antiqua"/>
          <w:i/>
          <w:iCs/>
          <w:color w:val="000000"/>
        </w:rPr>
        <w:t>Crit</w:t>
      </w:r>
      <w:r>
        <w:rPr>
          <w:rFonts w:ascii="Book Antiqua" w:hAnsi="Book Antiqua" w:eastAsia="Book Antiqua" w:cs="Book Antiqua"/>
          <w:iCs/>
          <w:color w:val="000000"/>
        </w:rPr>
        <w:t xml:space="preserve"> </w:t>
      </w:r>
      <w:r>
        <w:rPr>
          <w:rFonts w:ascii="Book Antiqua" w:hAnsi="Book Antiqua" w:eastAsia="Book Antiqua" w:cs="Book Antiqua"/>
          <w:i/>
          <w:iCs/>
          <w:color w:val="000000"/>
        </w:rPr>
        <w:t>Care</w:t>
      </w:r>
      <w:r>
        <w:rPr>
          <w:rFonts w:ascii="Book Antiqua" w:hAnsi="Book Antiqua" w:eastAsia="Book Antiqua" w:cs="Book Antiqua"/>
          <w:iCs/>
          <w:color w:val="000000"/>
        </w:rPr>
        <w:t xml:space="preserve"> </w:t>
      </w:r>
      <w:r>
        <w:rPr>
          <w:rFonts w:ascii="Book Antiqua" w:hAnsi="Book Antiqua" w:eastAsia="Book Antiqua" w:cs="Book Antiqua"/>
          <w:i/>
          <w:iCs/>
          <w:color w:val="000000"/>
        </w:rPr>
        <w:t>Med</w:t>
      </w:r>
      <w:r>
        <w:rPr>
          <w:rFonts w:ascii="Book Antiqua" w:hAnsi="Book Antiqua" w:eastAsia="Book Antiqua" w:cs="Book Antiqua"/>
          <w:color w:val="000000"/>
        </w:rPr>
        <w:t xml:space="preserve"> 1998; </w:t>
      </w:r>
      <w:r>
        <w:rPr>
          <w:rFonts w:ascii="Book Antiqua" w:hAnsi="Book Antiqua" w:eastAsia="Book Antiqua" w:cs="Book Antiqua"/>
          <w:b/>
          <w:bCs/>
          <w:color w:val="000000"/>
        </w:rPr>
        <w:t>158</w:t>
      </w:r>
      <w:r>
        <w:rPr>
          <w:rFonts w:ascii="Book Antiqua" w:hAnsi="Book Antiqua" w:eastAsia="Book Antiqua" w:cs="Book Antiqua"/>
          <w:color w:val="000000"/>
        </w:rPr>
        <w:t>: 1384-1387 [PMID: 9817683 DOI: 10.1164/ajrccm.158.5.9710086]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Wong F</w:t>
      </w:r>
      <w:r>
        <w:rPr>
          <w:rFonts w:ascii="Book Antiqua" w:hAnsi="Book Antiqua" w:eastAsia="Book Antiqua" w:cs="Book Antiqua"/>
          <w:color w:val="000000"/>
        </w:rPr>
        <w:t xml:space="preserve">, Girgrah N, Graba J, Allidina Y, Liu P, Blendis L. The cardiac response to exercise in cirrhosis. </w:t>
      </w:r>
      <w:r>
        <w:rPr>
          <w:rFonts w:ascii="Book Antiqua" w:hAnsi="Book Antiqua" w:eastAsia="Book Antiqua" w:cs="Book Antiqua"/>
          <w:i/>
          <w:iCs/>
          <w:color w:val="000000"/>
        </w:rPr>
        <w:t>Gut</w:t>
      </w:r>
      <w:r>
        <w:rPr>
          <w:rFonts w:ascii="Book Antiqua" w:hAnsi="Book Antiqua" w:eastAsia="Book Antiqua" w:cs="Book Antiqua"/>
          <w:color w:val="000000"/>
        </w:rPr>
        <w:t xml:space="preserve"> 2001; </w:t>
      </w:r>
      <w:r>
        <w:rPr>
          <w:rFonts w:ascii="Book Antiqua" w:hAnsi="Book Antiqua" w:eastAsia="Book Antiqua" w:cs="Book Antiqua"/>
          <w:b/>
          <w:bCs/>
          <w:color w:val="000000"/>
        </w:rPr>
        <w:t>49</w:t>
      </w:r>
      <w:r>
        <w:rPr>
          <w:rFonts w:ascii="Book Antiqua" w:hAnsi="Book Antiqua" w:eastAsia="Book Antiqua" w:cs="Book Antiqua"/>
          <w:color w:val="000000"/>
        </w:rPr>
        <w:t>: 268-275 [PMID: 11454805 DOI: 10.1136/gut.49.2.268]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McArdle W,</w:t>
      </w:r>
      <w:r>
        <w:rPr>
          <w:rFonts w:ascii="Book Antiqua" w:hAnsi="Book Antiqua" w:eastAsia="Book Antiqua" w:cs="Book Antiqua"/>
          <w:color w:val="000000"/>
        </w:rPr>
        <w:t xml:space="preserve"> Katch F, Katch V. Exercise Physiology. 7th ed. The Point, editor. Lippincott Williams &amp; Wilkins; 2010: 192–247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25 </w:t>
      </w:r>
      <w:bookmarkStart w:id="6" w:name="_Hlk83912283"/>
      <w:r>
        <w:rPr>
          <w:rFonts w:ascii="Book Antiqua" w:hAnsi="Book Antiqua" w:eastAsia="Book Antiqua" w:cs="Book Antiqua"/>
          <w:b/>
          <w:bCs/>
          <w:color w:val="000000"/>
        </w:rPr>
        <w:t>García-Pagàn</w:t>
      </w:r>
      <w:bookmarkEnd w:id="6"/>
      <w:r>
        <w:rPr>
          <w:rFonts w:ascii="Book Antiqua" w:hAnsi="Book Antiqua" w:eastAsia="Book Antiqua" w:cs="Book Antiqua"/>
          <w:b/>
          <w:bCs/>
          <w:color w:val="000000"/>
        </w:rPr>
        <w:t xml:space="preserve"> JC</w:t>
      </w:r>
      <w:r>
        <w:rPr>
          <w:rFonts w:ascii="Book Antiqua" w:hAnsi="Book Antiqua" w:eastAsia="Book Antiqua" w:cs="Book Antiqua"/>
          <w:color w:val="000000"/>
        </w:rPr>
        <w:t xml:space="preserve">, Santos C, Barberá JA, Luca A, Roca J, Rodriguez-Roisin R, Bosch J, Rodés J. Physical exercise increases portal pressure in patients with cirrhosis and portal hypertension.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1996; </w:t>
      </w:r>
      <w:r>
        <w:rPr>
          <w:rFonts w:ascii="Book Antiqua" w:hAnsi="Book Antiqua" w:eastAsia="Book Antiqua" w:cs="Book Antiqua"/>
          <w:b/>
          <w:bCs/>
          <w:color w:val="000000"/>
        </w:rPr>
        <w:t>111</w:t>
      </w:r>
      <w:r>
        <w:rPr>
          <w:rFonts w:ascii="Book Antiqua" w:hAnsi="Book Antiqua" w:eastAsia="Book Antiqua" w:cs="Book Antiqua"/>
          <w:color w:val="000000"/>
        </w:rPr>
        <w:t xml:space="preserve">: 1300-1306 </w:t>
      </w:r>
      <w:r>
        <w:rPr>
          <w:rFonts w:ascii="Book Antiqua" w:hAnsi="Book Antiqua" w:eastAsia="宋体" w:cs="宋体"/>
          <w:color w:val="000000"/>
          <w:lang w:eastAsia="zh-CN"/>
        </w:rPr>
        <w:t>[</w:t>
      </w:r>
      <w:r>
        <w:rPr>
          <w:rFonts w:ascii="Book Antiqua" w:hAnsi="Book Antiqua" w:eastAsia="Book Antiqua" w:cs="Book Antiqua"/>
          <w:color w:val="000000"/>
        </w:rPr>
        <w:t>PMID: 8898644 DOI: 10.1053/gast.1996.v111.pm8898644]</w:t>
      </w:r>
    </w:p>
    <w:p>
      <w:pPr>
        <w:adjustRightInd w:val="0"/>
        <w:snapToGrid w:val="0"/>
        <w:spacing w:line="360" w:lineRule="auto"/>
        <w:jc w:val="both"/>
        <w:sectPr>
          <w:pgSz w:w="12240" w:h="15840"/>
          <w:pgMar w:top="1440" w:right="1440" w:bottom="1440" w:left="1440" w:header="720" w:footer="720" w:gutter="0"/>
          <w:cols w:space="720" w:num="1"/>
          <w:docGrid w:linePitch="360" w:charSpace="0"/>
        </w:sectPr>
      </w:pPr>
    </w:p>
    <w:p>
      <w:pPr>
        <w:adjustRightInd w:val="0"/>
        <w:snapToGrid w:val="0"/>
        <w:spacing w:line="360" w:lineRule="auto"/>
        <w:jc w:val="both"/>
      </w:pPr>
      <w:r>
        <w:rPr>
          <w:rFonts w:ascii="Book Antiqua" w:hAnsi="Book Antiqua" w:eastAsia="Book Antiqua" w:cs="Book Antiqua"/>
          <w:b/>
          <w:color w:val="000000"/>
        </w:rPr>
        <w:t>Footnotes</w:t>
      </w:r>
    </w:p>
    <w:p>
      <w:pPr>
        <w:adjustRightInd w:val="0"/>
        <w:snapToGrid w:val="0"/>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has been performed in accordance with the Declaration of Helsinki (2000) and approved by the Ethics Committee of our institution, Federal University of Sao Paulo, Brazil (CAAE: 30942714.8.0000.5505; May 28, 2014).</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shd w:val="clear" w:color="auto" w:fill="FFFFFF"/>
        </w:rPr>
        <w:t>All study participants, or their legal guardian, provided informed written consent prior to study enrollment.</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 xml:space="preserve">All authors of this study have no conflict of interest to be declared. </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 and the manuscript was prepared and revised according to the STROBE statement.</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pPr>
    </w:p>
    <w:p>
      <w:pPr>
        <w:spacing w:line="360" w:lineRule="auto"/>
        <w:jc w:val="both"/>
        <w:rPr>
          <w:rFonts w:ascii="Book Antiqua" w:hAnsi="Book Antiqua"/>
          <w:highlight w:val="none"/>
        </w:rPr>
      </w:pPr>
      <w:r>
        <w:rPr>
          <w:rFonts w:ascii="Book Antiqua" w:hAnsi="Book Antiqua"/>
          <w:b/>
          <w:bCs/>
          <w:highlight w:val="none"/>
        </w:rPr>
        <w:t>Provenance</w:t>
      </w:r>
      <w:r>
        <w:rPr>
          <w:rFonts w:hint="eastAsia" w:ascii="Book Antiqua" w:hAnsi="Book Antiqua" w:eastAsia="宋体"/>
          <w:b/>
          <w:bCs/>
          <w:highlight w:val="none"/>
          <w:lang w:eastAsia="zh-CN"/>
        </w:rPr>
        <w:t xml:space="preserve"> </w:t>
      </w:r>
      <w:r>
        <w:rPr>
          <w:rFonts w:ascii="Book Antiqua" w:hAnsi="Book Antiqua"/>
          <w:b/>
          <w:bCs/>
          <w:highlight w:val="none"/>
        </w:rPr>
        <w:t>and</w:t>
      </w:r>
      <w:r>
        <w:rPr>
          <w:rFonts w:hint="eastAsia" w:ascii="Book Antiqua" w:hAnsi="Book Antiqua" w:eastAsia="宋体"/>
          <w:b/>
          <w:bCs/>
          <w:highlight w:val="none"/>
          <w:lang w:eastAsia="zh-CN"/>
        </w:rPr>
        <w:t xml:space="preserve"> </w:t>
      </w:r>
      <w:r>
        <w:rPr>
          <w:rFonts w:ascii="Book Antiqua" w:hAnsi="Book Antiqua"/>
          <w:b/>
          <w:bCs/>
          <w:highlight w:val="none"/>
        </w:rPr>
        <w:t>peer</w:t>
      </w:r>
      <w:r>
        <w:rPr>
          <w:rFonts w:hint="eastAsia" w:ascii="Book Antiqua" w:hAnsi="Book Antiqua" w:eastAsia="宋体"/>
          <w:b/>
          <w:bCs/>
          <w:highlight w:val="none"/>
          <w:lang w:eastAsia="zh-CN"/>
        </w:rPr>
        <w:t xml:space="preserve"> </w:t>
      </w:r>
      <w:r>
        <w:rPr>
          <w:rFonts w:ascii="Book Antiqua" w:hAnsi="Book Antiqua"/>
          <w:b/>
          <w:bCs/>
          <w:highlight w:val="none"/>
        </w:rPr>
        <w:t>review:</w:t>
      </w:r>
      <w:r>
        <w:rPr>
          <w:rFonts w:hint="eastAsia" w:ascii="Book Antiqua" w:hAnsi="Book Antiqua" w:eastAsia="宋体"/>
          <w:highlight w:val="none"/>
          <w:lang w:eastAsia="zh-CN"/>
        </w:rPr>
        <w:t xml:space="preserve"> </w:t>
      </w:r>
      <w:r>
        <w:rPr>
          <w:rFonts w:ascii="Book Antiqua" w:hAnsi="Book Antiqua"/>
          <w:highlight w:val="none"/>
        </w:rPr>
        <w:t>Unsolicited</w:t>
      </w:r>
      <w:r>
        <w:rPr>
          <w:rFonts w:hint="eastAsia" w:ascii="Book Antiqua" w:hAnsi="Book Antiqua" w:eastAsia="宋体"/>
          <w:highlight w:val="none"/>
          <w:lang w:eastAsia="zh-CN"/>
        </w:rPr>
        <w:t xml:space="preserve"> </w:t>
      </w:r>
      <w:r>
        <w:rPr>
          <w:rFonts w:ascii="Book Antiqua" w:hAnsi="Book Antiqua"/>
          <w:highlight w:val="none"/>
        </w:rPr>
        <w:t>article;</w:t>
      </w:r>
      <w:r>
        <w:rPr>
          <w:rFonts w:hint="eastAsia" w:ascii="Book Antiqua" w:hAnsi="Book Antiqua" w:eastAsia="宋体"/>
          <w:highlight w:val="none"/>
          <w:lang w:eastAsia="zh-CN"/>
        </w:rPr>
        <w:t xml:space="preserve"> </w:t>
      </w:r>
      <w:r>
        <w:rPr>
          <w:rFonts w:ascii="Book Antiqua" w:hAnsi="Book Antiqua"/>
          <w:highlight w:val="none"/>
        </w:rPr>
        <w:t>Externally</w:t>
      </w:r>
      <w:r>
        <w:rPr>
          <w:rFonts w:hint="eastAsia" w:ascii="Book Antiqua" w:hAnsi="Book Antiqua" w:eastAsia="宋体"/>
          <w:highlight w:val="none"/>
          <w:lang w:eastAsia="zh-CN"/>
        </w:rPr>
        <w:t xml:space="preserve"> </w:t>
      </w:r>
      <w:r>
        <w:rPr>
          <w:rFonts w:ascii="Book Antiqua" w:hAnsi="Book Antiqua"/>
          <w:highlight w:val="none"/>
        </w:rPr>
        <w:t>peer</w:t>
      </w:r>
      <w:r>
        <w:rPr>
          <w:rFonts w:hint="eastAsia" w:ascii="Book Antiqua" w:hAnsi="Book Antiqua" w:eastAsia="宋体"/>
          <w:highlight w:val="none"/>
          <w:lang w:eastAsia="zh-CN"/>
        </w:rPr>
        <w:t xml:space="preserve"> </w:t>
      </w:r>
      <w:r>
        <w:rPr>
          <w:rFonts w:ascii="Book Antiqua" w:hAnsi="Book Antiqua"/>
          <w:highlight w:val="none"/>
        </w:rPr>
        <w:t>reviewed</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9, 2021</w:t>
      </w:r>
    </w:p>
    <w:p>
      <w:pPr>
        <w:adjustRightInd w:val="0"/>
        <w:snapToGrid w:val="0"/>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13, 2021</w:t>
      </w:r>
    </w:p>
    <w:p>
      <w:pPr>
        <w:adjustRightInd w:val="0"/>
        <w:snapToGrid w:val="0"/>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i w:val="0"/>
          <w:iCs w:val="0"/>
          <w:color w:val="000000"/>
        </w:rPr>
        <w:t>October 12, 2021</w:t>
      </w:r>
    </w:p>
    <w:p>
      <w:pPr>
        <w:adjustRightInd w:val="0"/>
        <w:snapToGrid w:val="0"/>
        <w:spacing w:line="360" w:lineRule="auto"/>
        <w:jc w:val="both"/>
      </w:pPr>
    </w:p>
    <w:p>
      <w:pPr>
        <w:adjustRightInd w:val="0"/>
        <w:snapToGrid w:val="0"/>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adjustRightInd w:val="0"/>
        <w:snapToGrid w:val="0"/>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adjustRightInd w:val="0"/>
        <w:snapToGrid w:val="0"/>
        <w:spacing w:line="360" w:lineRule="auto"/>
        <w:jc w:val="both"/>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pPr>
      <w:r>
        <w:rPr>
          <w:rFonts w:ascii="Book Antiqua" w:hAnsi="Book Antiqua" w:eastAsia="Book Antiqua" w:cs="Book Antiqua"/>
          <w:color w:val="000000"/>
        </w:rPr>
        <w:t>Grade A (Excellent): 0</w:t>
      </w:r>
    </w:p>
    <w:p>
      <w:pPr>
        <w:adjustRightInd w:val="0"/>
        <w:snapToGrid w:val="0"/>
        <w:spacing w:line="360" w:lineRule="auto"/>
        <w:jc w:val="both"/>
      </w:pPr>
      <w:r>
        <w:rPr>
          <w:rFonts w:ascii="Book Antiqua" w:hAnsi="Book Antiqua" w:eastAsia="Book Antiqua" w:cs="Book Antiqua"/>
          <w:color w:val="000000"/>
        </w:rPr>
        <w:t>Grade B (Very good): B, B, B</w:t>
      </w:r>
    </w:p>
    <w:p>
      <w:pPr>
        <w:adjustRightInd w:val="0"/>
        <w:snapToGrid w:val="0"/>
        <w:spacing w:line="360" w:lineRule="auto"/>
        <w:jc w:val="both"/>
      </w:pPr>
      <w:r>
        <w:rPr>
          <w:rFonts w:ascii="Book Antiqua" w:hAnsi="Book Antiqua" w:eastAsia="Book Antiqua" w:cs="Book Antiqua"/>
          <w:color w:val="000000"/>
        </w:rPr>
        <w:t>Grade C (Good): C, C</w:t>
      </w:r>
    </w:p>
    <w:p>
      <w:pPr>
        <w:adjustRightInd w:val="0"/>
        <w:snapToGrid w:val="0"/>
        <w:spacing w:line="360" w:lineRule="auto"/>
        <w:jc w:val="both"/>
      </w:pPr>
      <w:r>
        <w:rPr>
          <w:rFonts w:ascii="Book Antiqua" w:hAnsi="Book Antiqua" w:eastAsia="Book Antiqua" w:cs="Book Antiqua"/>
          <w:color w:val="000000"/>
        </w:rPr>
        <w:t>Grade D (Fair): 0</w:t>
      </w:r>
    </w:p>
    <w:p>
      <w:pPr>
        <w:adjustRightInd w:val="0"/>
        <w:snapToGrid w:val="0"/>
        <w:spacing w:line="360" w:lineRule="auto"/>
        <w:jc w:val="both"/>
      </w:pPr>
      <w:r>
        <w:rPr>
          <w:rFonts w:ascii="Book Antiqua" w:hAnsi="Book Antiqua" w:eastAsia="Book Antiqua" w:cs="Book Antiqua"/>
          <w:color w:val="000000"/>
        </w:rPr>
        <w:t>Grade E (Poor): 0</w:t>
      </w:r>
    </w:p>
    <w:p>
      <w:pPr>
        <w:adjustRightInd w:val="0"/>
        <w:snapToGrid w:val="0"/>
        <w:spacing w:line="360" w:lineRule="auto"/>
        <w:jc w:val="both"/>
      </w:pPr>
    </w:p>
    <w:p>
      <w:pPr>
        <w:numPr>
          <w:ilvl w:val="-1"/>
          <w:numId w:val="0"/>
        </w:numPr>
        <w:adjustRightInd w:val="0"/>
        <w:snapToGrid w:val="0"/>
        <w:spacing w:line="360" w:lineRule="auto"/>
        <w:jc w:val="both"/>
        <w:rPr>
          <w:rFonts w:ascii="Book Antiqua" w:hAnsi="Book Antiqua" w:eastAsia="Book Antiqua" w:cs="Book Antiqua"/>
          <w:b/>
          <w:color w:val="000000"/>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Cheng L, Cojocariu C, Ielasi L, Moghadam BA, Payance 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M</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color w:val="000000"/>
        </w:rPr>
        <w:t xml:space="preserve">P-Editor: </w:t>
      </w:r>
      <w:r>
        <w:rPr>
          <w:rFonts w:ascii="Book Antiqua" w:hAnsi="Book Antiqua" w:eastAsia="Book Antiqua" w:cs="Book Antiqua"/>
          <w:color w:val="000000"/>
        </w:rPr>
        <w:t>Liu M</w:t>
      </w:r>
    </w:p>
    <w:p>
      <w:pPr>
        <w:numPr>
          <w:ilvl w:val="0"/>
          <w:numId w:val="0"/>
        </w:numPr>
        <w:adjustRightInd w:val="0"/>
        <w:snapToGrid w:val="0"/>
        <w:spacing w:line="360" w:lineRule="auto"/>
        <w:jc w:val="both"/>
        <w:rPr>
          <w:rFonts w:ascii="Book Antiqua" w:hAnsi="Book Antiqua" w:eastAsia="Book Antiqua" w:cs="Book Antiqua"/>
          <w:b/>
          <w:color w:val="000000"/>
        </w:rPr>
      </w:pPr>
    </w:p>
    <w:p>
      <w:pPr>
        <w:numPr>
          <w:ilvl w:val="0"/>
          <w:numId w:val="0"/>
        </w:numPr>
        <w:adjustRightInd w:val="0"/>
        <w:snapToGrid w:val="0"/>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pPr>
      <w:r>
        <w:rPr>
          <w:rFonts w:ascii="Book Antiqua" w:hAnsi="Book Antiqua" w:eastAsia="Book Antiqua" w:cs="Book Antiqua"/>
          <w:b/>
          <w:color w:val="000000"/>
        </w:rPr>
        <w:t>Figure Legends</w:t>
      </w:r>
    </w:p>
    <w:p>
      <w:pPr>
        <w:adjustRightInd w:val="0"/>
        <w:snapToGrid w:val="0"/>
        <w:spacing w:line="360" w:lineRule="auto"/>
        <w:jc w:val="both"/>
        <w:rPr>
          <w:rFonts w:ascii="Book Antiqua" w:hAnsi="Book Antiqua"/>
        </w:rPr>
      </w:pPr>
      <w:r>
        <w:rPr>
          <w:rFonts w:ascii="Book Antiqua" w:hAnsi="Book Antiqua"/>
        </w:rPr>
        <w:drawing>
          <wp:inline distT="0" distB="0" distL="0" distR="0">
            <wp:extent cx="5416550" cy="2514600"/>
            <wp:effectExtent l="0" t="0" r="0" b="0"/>
            <wp:docPr id="1025" name="Picture 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4122"/>
                    <pic:cNvPicPr>
                      <a:picLocks noChangeAspect="1" noChangeArrowheads="1"/>
                    </pic:cNvPicPr>
                  </pic:nvPicPr>
                  <pic:blipFill>
                    <a:blip r:embed="rId4">
                      <a:extLst>
                        <a:ext uri="{28A0092B-C50C-407E-A947-70E740481C1C}">
                          <a14:useLocalDpi xmlns:a14="http://schemas.microsoft.com/office/drawing/2010/main" val="0"/>
                        </a:ext>
                      </a:extLst>
                    </a:blip>
                    <a:srcRect b="41940"/>
                    <a:stretch>
                      <a:fillRect/>
                    </a:stretch>
                  </pic:blipFill>
                  <pic:spPr>
                    <a:xfrm>
                      <a:off x="0" y="0"/>
                      <a:ext cx="5421964" cy="2516926"/>
                    </a:xfrm>
                    <a:prstGeom prst="rect">
                      <a:avLst/>
                    </a:prstGeom>
                    <a:noFill/>
                  </pic:spPr>
                </pic:pic>
              </a:graphicData>
            </a:graphic>
          </wp:inline>
        </w:drawing>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Relationship between predicted (line) and performed (bars) walking distance during six minute walking test. </w:t>
      </w:r>
      <w:r>
        <w:rPr>
          <w:rFonts w:ascii="Book Antiqua" w:hAnsi="Book Antiqua" w:eastAsia="Book Antiqua" w:cs="Book Antiqua"/>
          <w:color w:val="000000"/>
        </w:rPr>
        <w:t>6MWD: Six minute walking distance.</w:t>
      </w: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rPr>
        <w:drawing>
          <wp:inline distT="0" distB="0" distL="0" distR="0">
            <wp:extent cx="3657600" cy="294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61027" cy="2946693"/>
                    </a:xfrm>
                    <a:prstGeom prst="rect">
                      <a:avLst/>
                    </a:prstGeom>
                    <a:noFill/>
                  </pic:spPr>
                </pic:pic>
              </a:graphicData>
            </a:graphic>
          </wp:inline>
        </w:drawing>
      </w:r>
    </w:p>
    <w:p>
      <w:pPr>
        <w:adjustRightInd w:val="0"/>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2 Distance in meters was recorded at the end of the six minutes among compensated (Child Pugh A) and decompensated (Child Pugh B and C) patients.</w:t>
      </w: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rPr>
        <w:drawing>
          <wp:inline distT="0" distB="0" distL="0" distR="0">
            <wp:extent cx="5087620" cy="2435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104642" cy="2444031"/>
                    </a:xfrm>
                    <a:prstGeom prst="rect">
                      <a:avLst/>
                    </a:prstGeom>
                    <a:noFill/>
                  </pic:spPr>
                </pic:pic>
              </a:graphicData>
            </a:graphic>
          </wp:inline>
        </w:drawing>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3 Progressive improvement in prediction of mortality using models combing six minute walking test parameters and Child scores. </w:t>
      </w:r>
      <w:r>
        <w:rPr>
          <w:rFonts w:ascii="Book Antiqua" w:hAnsi="Book Antiqua" w:eastAsia="Book Antiqua" w:cs="Book Antiqua"/>
          <w:color w:val="000000"/>
        </w:rPr>
        <w:t>6MWD: Six minute walking distance.</w:t>
      </w: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rPr>
        <w:drawing>
          <wp:inline distT="0" distB="0" distL="0" distR="0">
            <wp:extent cx="4776470" cy="2239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783646" cy="2242994"/>
                    </a:xfrm>
                    <a:prstGeom prst="rect">
                      <a:avLst/>
                    </a:prstGeom>
                    <a:noFill/>
                  </pic:spPr>
                </pic:pic>
              </a:graphicData>
            </a:graphic>
          </wp:inline>
        </w:drawing>
      </w:r>
    </w:p>
    <w:p>
      <w:pPr>
        <w:adjustRightInd w:val="0"/>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4 Kaplan Meier analysis for overall survival.</w:t>
      </w:r>
    </w:p>
    <w:p>
      <w:pPr>
        <w:adjustRightInd w:val="0"/>
        <w:snapToGrid w:val="0"/>
        <w:spacing w:line="360" w:lineRule="auto"/>
        <w:jc w:val="both"/>
        <w:rPr>
          <w:rFonts w:ascii="Book Antiqua" w:hAnsi="Book Antiqua" w:cs="Arial"/>
          <w:b/>
          <w:bCs/>
          <w:color w:val="231F20"/>
          <w:lang w:eastAsia="zh-CN"/>
        </w:rPr>
      </w:pPr>
      <w:r>
        <w:rPr>
          <w:rFonts w:ascii="Book Antiqua" w:hAnsi="Book Antiqua" w:eastAsia="Book Antiqua" w:cs="Book Antiqua"/>
          <w:b/>
          <w:bCs/>
          <w:color w:val="000000"/>
        </w:rPr>
        <w:br w:type="page"/>
      </w:r>
      <w:r>
        <w:rPr>
          <w:rFonts w:ascii="Book Antiqua" w:hAnsi="Book Antiqua" w:cs="Arial"/>
          <w:b/>
          <w:bCs/>
          <w:color w:val="231F20"/>
        </w:rPr>
        <w:t>Table 1 Patients’ characteristics (</w:t>
      </w:r>
      <w:r>
        <w:rPr>
          <w:rFonts w:ascii="Book Antiqua" w:hAnsi="Book Antiqua" w:cs="Arial"/>
          <w:b/>
          <w:bCs/>
          <w:i/>
          <w:iCs/>
          <w:color w:val="231F20"/>
        </w:rPr>
        <w:t>n</w:t>
      </w:r>
      <w:r>
        <w:rPr>
          <w:rFonts w:ascii="Book Antiqua" w:hAnsi="Book Antiqua" w:cs="Arial"/>
          <w:b/>
          <w:bCs/>
          <w:color w:val="231F20"/>
        </w:rPr>
        <w:t xml:space="preserve"> = 106)</w:t>
      </w:r>
      <w:r>
        <w:rPr>
          <w:rFonts w:hint="eastAsia" w:ascii="Book Antiqua" w:hAnsi="Book Antiqua" w:cs="Arial"/>
          <w:b/>
          <w:bCs/>
          <w:color w:val="231F20"/>
          <w:lang w:eastAsia="zh-CN"/>
        </w:rPr>
        <w:t>,</w:t>
      </w:r>
      <w:r>
        <w:rPr>
          <w:rFonts w:ascii="Book Antiqua" w:hAnsi="Book Antiqua" w:cs="Arial"/>
          <w:b/>
          <w:bCs/>
          <w:color w:val="231F20"/>
          <w:lang w:eastAsia="zh-CN"/>
        </w:rPr>
        <w:t xml:space="preserve"> </w:t>
      </w:r>
      <w:r>
        <w:rPr>
          <w:rFonts w:ascii="Book Antiqua" w:hAnsi="Book Antiqua" w:cs="Arial"/>
          <w:b/>
          <w:bCs/>
          <w:i/>
          <w:iCs/>
        </w:rPr>
        <w:t>n</w:t>
      </w:r>
      <w:r>
        <w:rPr>
          <w:rFonts w:ascii="Book Antiqua" w:hAnsi="Book Antiqua" w:cs="Arial"/>
          <w:b/>
          <w:bCs/>
        </w:rPr>
        <w:t xml:space="preserve"> (%)</w:t>
      </w:r>
      <w:bookmarkStart w:id="7" w:name="_GoBack"/>
      <w:bookmarkEnd w:id="7"/>
    </w:p>
    <w:tbl>
      <w:tblPr>
        <w:tblStyle w:val="7"/>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42"/>
        <w:gridCol w:w="27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Borders>
              <w:top w:val="single" w:color="auto" w:sz="4" w:space="0"/>
              <w:bottom w:val="single" w:color="auto" w:sz="4" w:space="0"/>
            </w:tcBorders>
          </w:tcPr>
          <w:p>
            <w:pPr>
              <w:adjustRightInd w:val="0"/>
              <w:snapToGrid w:val="0"/>
              <w:spacing w:line="360" w:lineRule="auto"/>
              <w:jc w:val="both"/>
              <w:rPr>
                <w:rFonts w:ascii="Book Antiqua" w:hAnsi="Book Antiqua" w:cs="Arial"/>
                <w:b/>
                <w:bCs/>
                <w:lang w:val="pt-BR"/>
              </w:rPr>
            </w:pPr>
            <w:r>
              <w:rPr>
                <w:rFonts w:ascii="Book Antiqua" w:hAnsi="Book Antiqua" w:cs="Arial"/>
                <w:b/>
                <w:bCs/>
                <w:lang w:val="pt-BR"/>
              </w:rPr>
              <w:t>Characteristic</w:t>
            </w:r>
          </w:p>
        </w:tc>
        <w:tc>
          <w:tcPr>
            <w:tcW w:w="1427" w:type="pct"/>
            <w:tcBorders>
              <w:top w:val="single" w:color="auto" w:sz="4" w:space="0"/>
              <w:bottom w:val="single" w:color="auto" w:sz="4" w:space="0"/>
            </w:tcBorders>
          </w:tcPr>
          <w:p>
            <w:pPr>
              <w:adjustRightInd w:val="0"/>
              <w:snapToGrid w:val="0"/>
              <w:spacing w:line="360" w:lineRule="auto"/>
              <w:jc w:val="both"/>
              <w:rPr>
                <w:rFonts w:ascii="Book Antiqua" w:hAnsi="Book Antiqua" w:cs="Arial"/>
                <w:b/>
                <w:bCs/>
                <w:lang w:val="pt-BR"/>
              </w:rPr>
            </w:pPr>
            <w:r>
              <w:rPr>
                <w:rFonts w:ascii="Book Antiqua" w:hAnsi="Book Antiqua" w:cs="Arial"/>
                <w:b/>
                <w:bCs/>
                <w:i/>
                <w:iCs/>
                <w:lang w:val="pt-BR"/>
              </w:rPr>
              <w:t>n</w:t>
            </w:r>
            <w:r>
              <w:rPr>
                <w:rFonts w:ascii="Book Antiqua" w:hAnsi="Book Antiqua" w:cs="Arial"/>
                <w:b/>
                <w:bCs/>
                <w:lang w:val="pt-BR"/>
              </w:rPr>
              <w:t xml:space="preserve"> (%) or means </w:t>
            </w:r>
            <w:r>
              <w:rPr>
                <w:rFonts w:ascii="Book Antiqua" w:hAnsi="Book Antiqua" w:cs="Arial"/>
                <w:bCs/>
                <w:lang w:val="pt-BR"/>
              </w:rPr>
              <w:t xml:space="preserve">± </w:t>
            </w:r>
            <w:r>
              <w:rPr>
                <w:rFonts w:ascii="Book Antiqua" w:hAnsi="Book Antiqua" w:cs="Arial"/>
                <w:b/>
                <w:bCs/>
                <w:lang w:val="pt-BR"/>
              </w:rPr>
              <w:t>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Borders>
              <w:top w:val="single" w:color="auto" w:sz="4" w:space="0"/>
            </w:tcBorders>
          </w:tcPr>
          <w:p>
            <w:pPr>
              <w:adjustRightInd w:val="0"/>
              <w:snapToGrid w:val="0"/>
              <w:spacing w:line="360" w:lineRule="auto"/>
              <w:jc w:val="both"/>
              <w:rPr>
                <w:rFonts w:ascii="Book Antiqua" w:hAnsi="Book Antiqua" w:cs="Arial"/>
                <w:lang w:val="pt-BR"/>
              </w:rPr>
            </w:pPr>
            <w:r>
              <w:rPr>
                <w:rFonts w:ascii="Book Antiqua" w:hAnsi="Book Antiqua" w:cs="Arial"/>
                <w:lang w:val="pt-BR"/>
              </w:rPr>
              <w:t>Gender M/F</w:t>
            </w:r>
          </w:p>
        </w:tc>
        <w:tc>
          <w:tcPr>
            <w:tcW w:w="1427" w:type="pct"/>
            <w:tcBorders>
              <w:top w:val="single" w:color="auto" w:sz="4" w:space="0"/>
            </w:tcBorders>
          </w:tcPr>
          <w:p>
            <w:pPr>
              <w:adjustRightInd w:val="0"/>
              <w:snapToGrid w:val="0"/>
              <w:spacing w:line="360" w:lineRule="auto"/>
              <w:jc w:val="both"/>
              <w:rPr>
                <w:rFonts w:ascii="Book Antiqua" w:hAnsi="Book Antiqua" w:cs="Arial"/>
                <w:lang w:val="pt-BR"/>
              </w:rPr>
            </w:pPr>
            <w:r>
              <w:rPr>
                <w:rFonts w:ascii="Book Antiqua" w:hAnsi="Book Antiqua" w:cs="Arial"/>
                <w:lang w:val="pt-BR"/>
              </w:rPr>
              <w:t>59/47 (56/44)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jc w:val="both"/>
              <w:rPr>
                <w:rFonts w:ascii="Book Antiqua" w:hAnsi="Book Antiqua" w:cs="Arial"/>
                <w:lang w:val="pt-BR"/>
              </w:rPr>
            </w:pPr>
            <w:r>
              <w:rPr>
                <w:rFonts w:ascii="Book Antiqua" w:hAnsi="Book Antiqua" w:cs="Arial"/>
                <w:lang w:val="pt-BR"/>
              </w:rPr>
              <w:t>Age (yr)</w:t>
            </w:r>
          </w:p>
        </w:tc>
        <w:tc>
          <w:tcPr>
            <w:tcW w:w="1427" w:type="pct"/>
          </w:tcPr>
          <w:p>
            <w:pPr>
              <w:pStyle w:val="12"/>
              <w:adjustRightInd w:val="0"/>
              <w:snapToGrid w:val="0"/>
              <w:spacing w:line="360" w:lineRule="auto"/>
              <w:rPr>
                <w:rFonts w:ascii="Book Antiqua" w:hAnsi="Book Antiqua" w:cs="Arial"/>
                <w:lang w:val="pt-BR"/>
              </w:rPr>
            </w:pPr>
            <w:r>
              <w:rPr>
                <w:rFonts w:ascii="Book Antiqua" w:hAnsi="Book Antiqua" w:cs="Arial"/>
                <w:sz w:val="24"/>
                <w:szCs w:val="24"/>
                <w:lang w:val="pt-BR"/>
              </w:rPr>
              <w:t xml:space="preserve">51 </w:t>
            </w:r>
            <w:r>
              <w:rPr>
                <w:rFonts w:ascii="Book Antiqua" w:hAnsi="Book Antiqua" w:cstheme="minorBidi"/>
                <w:color w:val="000000"/>
                <w:sz w:val="24"/>
                <w:szCs w:val="24"/>
                <w:lang w:val="pt-BR"/>
              </w:rPr>
              <w:t xml:space="preserve">± </w:t>
            </w:r>
            <w:r>
              <w:rPr>
                <w:rFonts w:ascii="Book Antiqua" w:hAnsi="Book Antiqua" w:cs="Arial"/>
                <w:sz w:val="24"/>
                <w:szCs w:val="24"/>
                <w:lang w:val="pt-BR"/>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jc w:val="both"/>
              <w:rPr>
                <w:rFonts w:ascii="Book Antiqua" w:hAnsi="Book Antiqua" w:cs="Arial"/>
                <w:lang w:val="pt-BR"/>
              </w:rPr>
            </w:pPr>
            <w:r>
              <w:rPr>
                <w:rFonts w:ascii="Book Antiqua" w:hAnsi="Book Antiqua" w:cs="Arial"/>
                <w:lang w:val="pt-BR"/>
              </w:rPr>
              <w:t>BMI (kg/m</w:t>
            </w:r>
            <w:r>
              <w:rPr>
                <w:rFonts w:ascii="Book Antiqua" w:hAnsi="Book Antiqua" w:cs="Arial"/>
                <w:vertAlign w:val="superscript"/>
                <w:lang w:val="pt-BR"/>
              </w:rPr>
              <w:t>2</w:t>
            </w:r>
            <w:r>
              <w:rPr>
                <w:rFonts w:ascii="Book Antiqua" w:hAnsi="Book Antiqua" w:cs="Arial"/>
                <w:lang w:val="pt-BR"/>
              </w:rPr>
              <w:t>)</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25.7 ± 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jc w:val="both"/>
              <w:rPr>
                <w:rFonts w:ascii="Book Antiqua" w:hAnsi="Book Antiqua" w:cs="Arial"/>
                <w:lang w:val="pt-BR"/>
              </w:rPr>
            </w:pPr>
            <w:r>
              <w:rPr>
                <w:rFonts w:ascii="Book Antiqua" w:hAnsi="Book Antiqua" w:cs="Arial"/>
                <w:lang w:val="pt-BR"/>
              </w:rPr>
              <w:t>PASP (mmHg)</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25.4 ± 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jc w:val="both"/>
              <w:rPr>
                <w:rFonts w:ascii="Book Antiqua" w:hAnsi="Book Antiqua" w:cs="Arial"/>
                <w:lang w:val="pt-BR"/>
              </w:rPr>
            </w:pPr>
            <w:r>
              <w:rPr>
                <w:rFonts w:ascii="Book Antiqua" w:hAnsi="Book Antiqua" w:cs="Arial"/>
                <w:lang w:val="pt-BR"/>
              </w:rPr>
              <w:t>Cirrhosis etiology</w:t>
            </w:r>
          </w:p>
        </w:tc>
        <w:tc>
          <w:tcPr>
            <w:tcW w:w="1427" w:type="pct"/>
          </w:tcPr>
          <w:p>
            <w:pPr>
              <w:adjustRightInd w:val="0"/>
              <w:snapToGrid w:val="0"/>
              <w:spacing w:line="360" w:lineRule="auto"/>
              <w:jc w:val="both"/>
              <w:rPr>
                <w:rFonts w:ascii="Book Antiqua" w:hAnsi="Book Antiqua" w:cs="Arial"/>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Virus</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36 (33.9)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Alcohol</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32 (30.2)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NASH</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8 (7.5)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Others</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30 (28.4)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jc w:val="both"/>
              <w:rPr>
                <w:rFonts w:ascii="Book Antiqua" w:hAnsi="Book Antiqua" w:cs="Arial"/>
                <w:lang w:val="pt-BR"/>
              </w:rPr>
            </w:pPr>
            <w:r>
              <w:rPr>
                <w:rFonts w:ascii="Book Antiqua" w:hAnsi="Book Antiqua" w:cs="Arial"/>
                <w:lang w:val="pt-BR"/>
              </w:rPr>
              <w:t>Child-Pugh class n</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7.1 ± 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A</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23 (21.7)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B</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70 (66)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C</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13 (12.3)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jc w:val="both"/>
              <w:rPr>
                <w:rFonts w:ascii="Book Antiqua" w:hAnsi="Book Antiqua" w:cs="Arial"/>
                <w:lang w:val="pt-BR"/>
              </w:rPr>
            </w:pPr>
            <w:r>
              <w:rPr>
                <w:rFonts w:ascii="Book Antiqua" w:hAnsi="Book Antiqua" w:cs="Arial"/>
                <w:lang w:val="pt-BR"/>
              </w:rPr>
              <w:t>MELD</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11.1 ± 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jc w:val="both"/>
              <w:rPr>
                <w:rFonts w:ascii="Book Antiqua" w:hAnsi="Book Antiqua" w:cs="Arial"/>
                <w:lang w:val="pt-BR"/>
              </w:rPr>
            </w:pPr>
            <w:r>
              <w:rPr>
                <w:rFonts w:ascii="Book Antiqua" w:hAnsi="Book Antiqua" w:cs="Arial"/>
                <w:lang w:val="pt-BR"/>
              </w:rPr>
              <w:t>Previous history of liver related decompensation</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76 (73.8)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jc w:val="both"/>
              <w:rPr>
                <w:rFonts w:ascii="Book Antiqua" w:hAnsi="Book Antiqua" w:cs="Arial"/>
                <w:lang w:val="pt-BR"/>
              </w:rPr>
            </w:pPr>
            <w:r>
              <w:rPr>
                <w:rFonts w:ascii="Book Antiqua" w:hAnsi="Book Antiqua" w:cs="Arial"/>
                <w:lang w:val="pt-BR"/>
              </w:rPr>
              <w:t>Hypertension</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19 (17.9)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jc w:val="both"/>
              <w:rPr>
                <w:rFonts w:ascii="Book Antiqua" w:hAnsi="Book Antiqua" w:cs="Arial"/>
                <w:lang w:val="pt-BR"/>
              </w:rPr>
            </w:pPr>
            <w:r>
              <w:rPr>
                <w:rFonts w:ascii="Book Antiqua" w:hAnsi="Book Antiqua" w:cs="Arial"/>
                <w:lang w:val="pt-BR"/>
              </w:rPr>
              <w:t>Diabetes</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26 (24.5)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jc w:val="both"/>
              <w:rPr>
                <w:rFonts w:ascii="Book Antiqua" w:hAnsi="Book Antiqua" w:cs="Arial"/>
                <w:lang w:val="pt-BR"/>
              </w:rPr>
            </w:pPr>
            <w:r>
              <w:rPr>
                <w:rFonts w:ascii="Book Antiqua" w:hAnsi="Book Antiqua" w:cs="Arial"/>
                <w:lang w:val="pt-BR"/>
              </w:rPr>
              <w:t>Tobacco smoking</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12 (11.4)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jc w:val="both"/>
              <w:rPr>
                <w:rFonts w:ascii="Book Antiqua" w:hAnsi="Book Antiqua" w:cs="Arial"/>
                <w:lang w:val="pt-BR"/>
              </w:rPr>
            </w:pPr>
            <w:r>
              <w:rPr>
                <w:rFonts w:ascii="Book Antiqua" w:hAnsi="Book Antiqua" w:cs="Arial"/>
                <w:lang w:val="pt-BR"/>
              </w:rPr>
              <w:t>Beta-blocker use</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32 (30.2)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3572" w:type="pct"/>
          </w:tcPr>
          <w:p>
            <w:pPr>
              <w:adjustRightInd w:val="0"/>
              <w:snapToGrid w:val="0"/>
              <w:spacing w:line="360" w:lineRule="auto"/>
              <w:jc w:val="both"/>
              <w:rPr>
                <w:rFonts w:ascii="Book Antiqua" w:hAnsi="Book Antiqua" w:cs="Arial"/>
                <w:lang w:val="pt-BR"/>
              </w:rPr>
            </w:pPr>
            <w:r>
              <w:rPr>
                <w:rFonts w:ascii="Book Antiqua" w:hAnsi="Book Antiqua" w:cs="Arial"/>
                <w:lang w:val="pt-BR"/>
              </w:rPr>
              <w:t>Hepatic decompensation on the day of the test</w:t>
            </w:r>
          </w:p>
        </w:tc>
        <w:tc>
          <w:tcPr>
            <w:tcW w:w="1427" w:type="pct"/>
          </w:tcPr>
          <w:p>
            <w:pPr>
              <w:adjustRightInd w:val="0"/>
              <w:snapToGrid w:val="0"/>
              <w:spacing w:line="360" w:lineRule="auto"/>
              <w:jc w:val="both"/>
              <w:rPr>
                <w:rFonts w:ascii="Book Antiqua" w:hAnsi="Book Antiqua" w:cs="Arial"/>
                <w:lang w:val="pt-BR"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572" w:type="pct"/>
          </w:tcPr>
          <w:p>
            <w:pPr>
              <w:adjustRightInd w:val="0"/>
              <w:snapToGrid w:val="0"/>
              <w:spacing w:line="360" w:lineRule="auto"/>
              <w:ind w:firstLine="703"/>
              <w:jc w:val="both"/>
              <w:rPr>
                <w:rFonts w:ascii="Book Antiqua" w:hAnsi="Book Antiqua" w:cs="Arial"/>
                <w:lang w:val="pt-BR"/>
              </w:rPr>
            </w:pPr>
            <w:r>
              <w:rPr>
                <w:rFonts w:ascii="Book Antiqua" w:hAnsi="Book Antiqua" w:cs="Arial"/>
                <w:lang w:val="pt-BR"/>
              </w:rPr>
              <w:t>Ascites</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34 (32.1)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3572" w:type="pct"/>
          </w:tcPr>
          <w:p>
            <w:pPr>
              <w:adjustRightInd w:val="0"/>
              <w:snapToGrid w:val="0"/>
              <w:spacing w:line="360" w:lineRule="auto"/>
              <w:ind w:firstLine="703"/>
              <w:jc w:val="both"/>
              <w:rPr>
                <w:rFonts w:ascii="Book Antiqua" w:hAnsi="Book Antiqua" w:cs="Arial"/>
                <w:lang w:val="pt-BR"/>
              </w:rPr>
            </w:pPr>
            <w:r>
              <w:rPr>
                <w:rFonts w:ascii="Book Antiqua" w:hAnsi="Book Antiqua" w:cs="Arial"/>
                <w:lang w:val="pt-BR"/>
              </w:rPr>
              <w:t>(Grade 1, 2, and 3)</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(11.3, 17, 5)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3572" w:type="pct"/>
          </w:tcPr>
          <w:p>
            <w:pPr>
              <w:adjustRightInd w:val="0"/>
              <w:snapToGrid w:val="0"/>
              <w:spacing w:line="360" w:lineRule="auto"/>
              <w:ind w:firstLine="703"/>
              <w:jc w:val="both"/>
              <w:rPr>
                <w:rFonts w:ascii="Book Antiqua" w:hAnsi="Book Antiqua" w:cs="Arial"/>
                <w:lang w:val="pt-BR"/>
              </w:rPr>
            </w:pPr>
            <w:r>
              <w:rPr>
                <w:rFonts w:ascii="Book Antiqua" w:hAnsi="Book Antiqua" w:cs="Arial"/>
                <w:lang w:val="pt-BR"/>
              </w:rPr>
              <w:t>Peripheral edema</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13 (12.3)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3572" w:type="pct"/>
          </w:tcPr>
          <w:p>
            <w:pPr>
              <w:adjustRightInd w:val="0"/>
              <w:snapToGrid w:val="0"/>
              <w:spacing w:line="360" w:lineRule="auto"/>
              <w:ind w:firstLine="703"/>
              <w:jc w:val="both"/>
              <w:rPr>
                <w:rFonts w:ascii="Book Antiqua" w:hAnsi="Book Antiqua" w:cs="Arial"/>
                <w:lang w:val="pt-BR"/>
              </w:rPr>
            </w:pPr>
            <w:r>
              <w:rPr>
                <w:rFonts w:ascii="Book Antiqua" w:hAnsi="Book Antiqua" w:cs="Arial"/>
                <w:lang w:val="pt-BR"/>
              </w:rPr>
              <w:t>Hepatic encephalopathy</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13 (12.3)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3572" w:type="pct"/>
          </w:tcPr>
          <w:p>
            <w:pPr>
              <w:adjustRightInd w:val="0"/>
              <w:snapToGrid w:val="0"/>
              <w:spacing w:line="360" w:lineRule="auto"/>
              <w:ind w:firstLine="703"/>
              <w:jc w:val="both"/>
              <w:rPr>
                <w:rFonts w:ascii="Book Antiqua" w:hAnsi="Book Antiqua" w:cs="Arial"/>
                <w:lang w:val="pt-BR"/>
              </w:rPr>
            </w:pPr>
            <w:r>
              <w:rPr>
                <w:rFonts w:ascii="Book Antiqua" w:hAnsi="Book Antiqua" w:cs="Arial"/>
                <w:lang w:val="pt-BR"/>
              </w:rPr>
              <w:t>(Grade 1, 2, 3, and 4)</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(10.4, 1.9, 0, 0)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3572" w:type="pct"/>
          </w:tcPr>
          <w:p>
            <w:pPr>
              <w:adjustRightInd w:val="0"/>
              <w:snapToGrid w:val="0"/>
              <w:spacing w:line="360" w:lineRule="auto"/>
              <w:ind w:firstLine="703"/>
              <w:jc w:val="both"/>
              <w:rPr>
                <w:rFonts w:ascii="Book Antiqua" w:hAnsi="Book Antiqua" w:cs="Arial"/>
                <w:lang w:val="pt-BR"/>
              </w:rPr>
            </w:pPr>
            <w:r>
              <w:rPr>
                <w:rFonts w:ascii="Book Antiqua" w:hAnsi="Book Antiqua" w:cs="Arial"/>
                <w:lang w:val="pt-BR"/>
              </w:rPr>
              <w:t>Hepatocellular carcinoma</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5 (4.7)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3572" w:type="pct"/>
          </w:tcPr>
          <w:p>
            <w:pPr>
              <w:adjustRightInd w:val="0"/>
              <w:snapToGrid w:val="0"/>
              <w:spacing w:line="360" w:lineRule="auto"/>
              <w:ind w:firstLine="6"/>
              <w:jc w:val="both"/>
              <w:rPr>
                <w:rFonts w:ascii="Book Antiqua" w:hAnsi="Book Antiqua" w:cs="Arial"/>
                <w:lang w:val="pt-BR"/>
              </w:rPr>
            </w:pPr>
            <w:r>
              <w:rPr>
                <w:rFonts w:ascii="Book Antiqua" w:hAnsi="Book Antiqua" w:cs="Arial"/>
                <w:lang w:val="pt-BR"/>
              </w:rPr>
              <w:t>Patient on the liver transplantation waiting list</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35 (33)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3572" w:type="pct"/>
          </w:tcPr>
          <w:p>
            <w:pPr>
              <w:adjustRightInd w:val="0"/>
              <w:snapToGrid w:val="0"/>
              <w:spacing w:line="360" w:lineRule="auto"/>
              <w:jc w:val="both"/>
              <w:rPr>
                <w:rFonts w:ascii="Book Antiqua" w:hAnsi="Book Antiqua" w:cs="Arial"/>
                <w:lang w:val="pt-BR"/>
              </w:rPr>
            </w:pPr>
            <w:r>
              <w:rPr>
                <w:rFonts w:ascii="Book Antiqua" w:hAnsi="Book Antiqua" w:cs="Arial"/>
                <w:lang w:val="pt-BR"/>
              </w:rPr>
              <w:t>Baseline laboratory</w:t>
            </w:r>
            <w:r>
              <w:rPr>
                <w:rFonts w:ascii="Book Antiqua" w:hAnsi="Book Antiqua" w:cs="Arial"/>
                <w:vertAlign w:val="superscript"/>
                <w:lang w:val="pt-BR"/>
              </w:rPr>
              <w:t>1</w:t>
            </w:r>
          </w:p>
        </w:tc>
        <w:tc>
          <w:tcPr>
            <w:tcW w:w="1427" w:type="pct"/>
          </w:tcPr>
          <w:p>
            <w:pPr>
              <w:adjustRightInd w:val="0"/>
              <w:snapToGrid w:val="0"/>
              <w:spacing w:line="360" w:lineRule="auto"/>
              <w:jc w:val="both"/>
              <w:rPr>
                <w:rFonts w:ascii="Book Antiqua" w:hAnsi="Book Antiqua" w:cs="Arial"/>
                <w:lang w:val="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Hemoglobin (mg/dL)</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13.1 ± 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Hematocrit (%)</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39.3 ± 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Albumin (g/dL)</w:t>
            </w:r>
          </w:p>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Bilirubin (mg/dL)</w:t>
            </w:r>
          </w:p>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 xml:space="preserve">INR </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3.5 ± 0.6</w:t>
            </w:r>
          </w:p>
          <w:p>
            <w:pPr>
              <w:adjustRightInd w:val="0"/>
              <w:snapToGrid w:val="0"/>
              <w:spacing w:line="360" w:lineRule="auto"/>
              <w:jc w:val="both"/>
              <w:rPr>
                <w:rFonts w:ascii="Book Antiqua" w:hAnsi="Book Antiqua" w:cs="Arial"/>
                <w:lang w:val="pt-BR"/>
              </w:rPr>
            </w:pPr>
            <w:r>
              <w:rPr>
                <w:rFonts w:ascii="Book Antiqua" w:hAnsi="Book Antiqua" w:cs="Arial"/>
                <w:lang w:val="pt-BR"/>
              </w:rPr>
              <w:t>2.0 ± 1.5</w:t>
            </w:r>
          </w:p>
          <w:p>
            <w:pPr>
              <w:adjustRightInd w:val="0"/>
              <w:snapToGrid w:val="0"/>
              <w:spacing w:line="360" w:lineRule="auto"/>
              <w:jc w:val="both"/>
              <w:rPr>
                <w:rFonts w:ascii="Book Antiqua" w:hAnsi="Book Antiqua" w:cs="Arial"/>
                <w:lang w:val="pt-BR"/>
              </w:rPr>
            </w:pPr>
            <w:r>
              <w:rPr>
                <w:rFonts w:ascii="Book Antiqua" w:hAnsi="Book Antiqua" w:cs="Arial"/>
                <w:lang w:val="pt-BR"/>
              </w:rPr>
              <w:t>1.2 ± 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Creatinine (mg/dL)</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0.8 ± 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Na (mmol/L)</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137.8 ± 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K (mmol/L)</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4.1 ± 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Mg (mg/dL)</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1.8 ± 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2" w:type="pct"/>
          </w:tcPr>
          <w:p>
            <w:pPr>
              <w:adjustRightInd w:val="0"/>
              <w:snapToGrid w:val="0"/>
              <w:spacing w:line="360" w:lineRule="auto"/>
              <w:ind w:firstLine="679"/>
              <w:jc w:val="both"/>
              <w:rPr>
                <w:rFonts w:ascii="Book Antiqua" w:hAnsi="Book Antiqua" w:cs="Arial"/>
                <w:lang w:val="pt-BR"/>
              </w:rPr>
            </w:pPr>
            <w:r>
              <w:rPr>
                <w:rFonts w:ascii="Book Antiqua" w:hAnsi="Book Antiqua" w:cs="Arial"/>
                <w:lang w:val="pt-BR"/>
              </w:rPr>
              <w:t>Ca</w:t>
            </w:r>
            <w:r>
              <w:rPr>
                <w:rFonts w:ascii="Book Antiqua" w:hAnsi="Book Antiqua" w:cs="Arial"/>
                <w:vertAlign w:val="superscript"/>
                <w:lang w:val="pt-BR"/>
              </w:rPr>
              <w:t xml:space="preserve"> </w:t>
            </w:r>
            <w:r>
              <w:rPr>
                <w:rFonts w:ascii="Book Antiqua" w:hAnsi="Book Antiqua" w:cs="Arial"/>
                <w:lang w:val="pt-BR"/>
              </w:rPr>
              <w:t>(mmol/L)</w:t>
            </w:r>
          </w:p>
        </w:tc>
        <w:tc>
          <w:tcPr>
            <w:tcW w:w="1427" w:type="pct"/>
          </w:tcPr>
          <w:p>
            <w:pPr>
              <w:adjustRightInd w:val="0"/>
              <w:snapToGrid w:val="0"/>
              <w:spacing w:line="360" w:lineRule="auto"/>
              <w:jc w:val="both"/>
              <w:rPr>
                <w:rFonts w:ascii="Book Antiqua" w:hAnsi="Book Antiqua" w:cs="Arial"/>
                <w:lang w:val="pt-BR"/>
              </w:rPr>
            </w:pPr>
            <w:r>
              <w:rPr>
                <w:rFonts w:ascii="Book Antiqua" w:hAnsi="Book Antiqua" w:cs="Arial"/>
                <w:lang w:val="pt-BR"/>
              </w:rPr>
              <w:t>1.2 ± 0.1</w:t>
            </w:r>
          </w:p>
        </w:tc>
      </w:tr>
    </w:tbl>
    <w:p>
      <w:pPr>
        <w:adjustRightInd w:val="0"/>
        <w:snapToGrid w:val="0"/>
        <w:spacing w:line="360" w:lineRule="auto"/>
        <w:jc w:val="both"/>
        <w:rPr>
          <w:rFonts w:ascii="Book Antiqua" w:hAnsi="Book Antiqua" w:cs="Arial"/>
        </w:rPr>
      </w:pPr>
      <w:r>
        <w:rPr>
          <w:rFonts w:ascii="Book Antiqua" w:hAnsi="Book Antiqua" w:cs="Arial"/>
          <w:vertAlign w:val="superscript"/>
        </w:rPr>
        <w:t>1</w:t>
      </w:r>
      <w:r>
        <w:rPr>
          <w:rFonts w:ascii="Book Antiqua" w:hAnsi="Book Antiqua" w:cs="Arial"/>
        </w:rPr>
        <w:t xml:space="preserve">Continuous variables are shown as means </w:t>
      </w:r>
      <w:r>
        <w:rPr>
          <w:rFonts w:ascii="Book Antiqua" w:hAnsi="Book Antiqua" w:cs="Arial"/>
          <w:u w:val="single"/>
        </w:rPr>
        <w:t xml:space="preserve">± </w:t>
      </w:r>
      <w:r>
        <w:rPr>
          <w:rFonts w:ascii="Book Antiqua" w:hAnsi="Book Antiqua" w:cs="Arial"/>
        </w:rPr>
        <w:t>standard deviations.</w:t>
      </w:r>
    </w:p>
    <w:p>
      <w:pPr>
        <w:adjustRightInd w:val="0"/>
        <w:snapToGrid w:val="0"/>
        <w:spacing w:line="360" w:lineRule="auto"/>
        <w:jc w:val="both"/>
        <w:rPr>
          <w:rFonts w:ascii="Book Antiqua" w:hAnsi="Book Antiqua" w:cs="Arial"/>
        </w:rPr>
      </w:pPr>
      <w:r>
        <w:rPr>
          <w:rFonts w:ascii="Book Antiqua" w:hAnsi="Book Antiqua" w:cs="Arial"/>
        </w:rPr>
        <w:t>Reference range values: Na (136-145); K (3.5-5.0); Mg (1.6-2.6) and Ca</w:t>
      </w:r>
      <w:r>
        <w:rPr>
          <w:rFonts w:ascii="Book Antiqua" w:hAnsi="Book Antiqua" w:cs="Arial"/>
          <w:vertAlign w:val="superscript"/>
        </w:rPr>
        <w:t xml:space="preserve"> </w:t>
      </w:r>
      <w:r>
        <w:rPr>
          <w:rFonts w:ascii="Book Antiqua" w:hAnsi="Book Antiqua" w:cs="Arial"/>
        </w:rPr>
        <w:t>(1.15-1.29). M: Male; F: Female; PASP: Pulmonary arterial systolic pressure.</w:t>
      </w:r>
    </w:p>
    <w:p>
      <w:pPr>
        <w:adjustRightInd w:val="0"/>
        <w:snapToGrid w:val="0"/>
        <w:spacing w:line="360" w:lineRule="auto"/>
        <w:jc w:val="both"/>
        <w:rPr>
          <w:rFonts w:ascii="Book Antiqua" w:hAnsi="Book Antiqua" w:cs="Arial"/>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Arial"/>
          <w:b/>
          <w:bCs/>
        </w:rPr>
      </w:pPr>
      <w:r>
        <w:rPr>
          <w:rFonts w:ascii="Book Antiqua" w:hAnsi="Book Antiqua" w:cs="Arial"/>
          <w:b/>
          <w:bCs/>
        </w:rPr>
        <w:t>Table 2 Six minute walking test performance in 106 patients with liver cirrhosis</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70" w:type="dxa"/>
          <w:bottom w:w="0" w:type="dxa"/>
          <w:right w:w="70" w:type="dxa"/>
        </w:tblCellMar>
      </w:tblPr>
      <w:tblGrid>
        <w:gridCol w:w="4674"/>
        <w:gridCol w:w="2493"/>
        <w:gridCol w:w="1885"/>
        <w:gridCol w:w="2163"/>
        <w:gridCol w:w="188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40" w:hRule="atLeast"/>
        </w:trPr>
        <w:tc>
          <w:tcPr>
            <w:tcW w:w="1783" w:type="pct"/>
            <w:vMerge w:val="restart"/>
            <w:tcBorders>
              <w:top w:val="single" w:color="auto" w:sz="4" w:space="0"/>
              <w:bottom w:val="nil"/>
            </w:tcBorders>
            <w:shd w:val="clear" w:color="auto" w:fill="auto"/>
            <w:vAlign w:val="center"/>
          </w:tcPr>
          <w:p>
            <w:pPr>
              <w:adjustRightInd w:val="0"/>
              <w:snapToGrid w:val="0"/>
              <w:spacing w:line="360" w:lineRule="auto"/>
              <w:jc w:val="both"/>
              <w:rPr>
                <w:rFonts w:ascii="Book Antiqua" w:hAnsi="Book Antiqua" w:eastAsia="Times New Roman" w:cs="Arial"/>
                <w:b/>
                <w:bCs/>
                <w:color w:val="000000"/>
                <w:lang w:val="pt-BR" w:eastAsia="pt-BR"/>
              </w:rPr>
            </w:pPr>
            <w:r>
              <w:rPr>
                <w:rFonts w:ascii="Book Antiqua" w:hAnsi="Book Antiqua" w:eastAsia="Times New Roman" w:cs="Arial"/>
                <w:b/>
                <w:bCs/>
                <w:color w:val="000000"/>
                <w:lang w:eastAsia="pt-BR"/>
              </w:rPr>
              <w:t>Variable</w:t>
            </w:r>
          </w:p>
        </w:tc>
        <w:tc>
          <w:tcPr>
            <w:tcW w:w="951" w:type="pct"/>
            <w:vMerge w:val="restart"/>
            <w:tcBorders>
              <w:top w:val="single" w:color="auto" w:sz="4" w:space="0"/>
              <w:bottom w:val="nil"/>
            </w:tcBorders>
            <w:shd w:val="clear" w:color="auto" w:fill="auto"/>
            <w:vAlign w:val="center"/>
          </w:tcPr>
          <w:p>
            <w:pPr>
              <w:adjustRightInd w:val="0"/>
              <w:snapToGrid w:val="0"/>
              <w:spacing w:line="360" w:lineRule="auto"/>
              <w:jc w:val="both"/>
              <w:rPr>
                <w:rFonts w:ascii="Book Antiqua" w:hAnsi="Book Antiqua" w:eastAsia="Times New Roman" w:cs="Arial"/>
                <w:b/>
                <w:bCs/>
                <w:color w:val="000000"/>
                <w:lang w:val="pt-BR" w:eastAsia="pt-BR"/>
              </w:rPr>
            </w:pPr>
            <w:r>
              <w:rPr>
                <w:rFonts w:ascii="Book Antiqua" w:hAnsi="Book Antiqua" w:eastAsia="Times New Roman" w:cs="Arial"/>
                <w:b/>
                <w:bCs/>
                <w:color w:val="000000"/>
                <w:lang w:eastAsia="pt-BR"/>
              </w:rPr>
              <w:t>6MWD (m)</w:t>
            </w:r>
          </w:p>
        </w:tc>
        <w:tc>
          <w:tcPr>
            <w:tcW w:w="719"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Arial"/>
                <w:b/>
                <w:bCs/>
                <w:i/>
                <w:iCs/>
                <w:color w:val="000000"/>
                <w:lang w:val="pt-BR" w:eastAsia="pt-BR"/>
              </w:rPr>
            </w:pPr>
            <w:r>
              <w:rPr>
                <w:rFonts w:ascii="Book Antiqua" w:hAnsi="Book Antiqua" w:eastAsia="Times New Roman" w:cs="Arial"/>
                <w:b/>
                <w:bCs/>
                <w:i/>
                <w:iCs/>
                <w:color w:val="000000"/>
                <w:lang w:eastAsia="pt-BR"/>
              </w:rPr>
              <w:t>P</w:t>
            </w:r>
          </w:p>
        </w:tc>
        <w:tc>
          <w:tcPr>
            <w:tcW w:w="825" w:type="pct"/>
            <w:vMerge w:val="restart"/>
            <w:tcBorders>
              <w:top w:val="single" w:color="auto" w:sz="4" w:space="0"/>
              <w:bottom w:val="nil"/>
            </w:tcBorders>
            <w:shd w:val="clear" w:color="auto" w:fill="auto"/>
            <w:vAlign w:val="center"/>
          </w:tcPr>
          <w:p>
            <w:pPr>
              <w:adjustRightInd w:val="0"/>
              <w:snapToGrid w:val="0"/>
              <w:spacing w:line="360" w:lineRule="auto"/>
              <w:jc w:val="both"/>
              <w:rPr>
                <w:rFonts w:ascii="Book Antiqua" w:hAnsi="Book Antiqua" w:eastAsia="Times New Roman" w:cs="Arial"/>
                <w:b/>
                <w:bCs/>
                <w:color w:val="000000"/>
                <w:lang w:val="pt-BR" w:eastAsia="pt-BR"/>
              </w:rPr>
            </w:pPr>
            <w:r>
              <w:rPr>
                <w:rFonts w:ascii="Book Antiqua" w:hAnsi="Book Antiqua" w:eastAsia="Times New Roman" w:cs="Arial"/>
                <w:b/>
                <w:bCs/>
                <w:color w:val="000000"/>
                <w:lang w:eastAsia="pt-BR"/>
              </w:rPr>
              <w:t>6MWD (%)</w:t>
            </w:r>
          </w:p>
        </w:tc>
        <w:tc>
          <w:tcPr>
            <w:tcW w:w="719"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Arial"/>
                <w:b/>
                <w:bCs/>
                <w:i/>
                <w:iCs/>
                <w:color w:val="000000"/>
                <w:lang w:val="pt-BR" w:eastAsia="pt-BR"/>
              </w:rPr>
            </w:pPr>
            <w:r>
              <w:rPr>
                <w:rFonts w:ascii="Book Antiqua" w:hAnsi="Book Antiqua" w:eastAsia="Times New Roman" w:cs="Arial"/>
                <w:b/>
                <w:bCs/>
                <w:i/>
                <w:iCs/>
                <w:color w:val="000000"/>
                <w:lang w:eastAsia="pt-BR"/>
              </w:rPr>
              <w:t>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700" w:hRule="atLeast"/>
        </w:trPr>
        <w:tc>
          <w:tcPr>
            <w:tcW w:w="1783" w:type="pct"/>
            <w:vMerge w:val="continue"/>
            <w:tcBorders>
              <w:top w:val="nil"/>
              <w:bottom w:val="single" w:color="auto" w:sz="4" w:space="0"/>
            </w:tcBorders>
            <w:vAlign w:val="center"/>
          </w:tcPr>
          <w:p>
            <w:pPr>
              <w:adjustRightInd w:val="0"/>
              <w:snapToGrid w:val="0"/>
              <w:spacing w:line="360" w:lineRule="auto"/>
              <w:jc w:val="both"/>
              <w:rPr>
                <w:rFonts w:ascii="Book Antiqua" w:hAnsi="Book Antiqua" w:eastAsia="Times New Roman" w:cs="Arial"/>
                <w:b/>
                <w:bCs/>
                <w:color w:val="000000"/>
                <w:lang w:val="pt-BR" w:eastAsia="pt-BR"/>
              </w:rPr>
            </w:pPr>
          </w:p>
        </w:tc>
        <w:tc>
          <w:tcPr>
            <w:tcW w:w="951" w:type="pct"/>
            <w:vMerge w:val="continue"/>
            <w:tcBorders>
              <w:top w:val="nil"/>
              <w:bottom w:val="single" w:color="auto" w:sz="4" w:space="0"/>
            </w:tcBorders>
            <w:vAlign w:val="center"/>
          </w:tcPr>
          <w:p>
            <w:pPr>
              <w:adjustRightInd w:val="0"/>
              <w:snapToGrid w:val="0"/>
              <w:spacing w:line="360" w:lineRule="auto"/>
              <w:jc w:val="both"/>
              <w:rPr>
                <w:rFonts w:ascii="Book Antiqua" w:hAnsi="Book Antiqua" w:eastAsia="Times New Roman" w:cs="Arial"/>
                <w:b/>
                <w:bCs/>
                <w:color w:val="000000"/>
                <w:lang w:val="pt-BR" w:eastAsia="pt-BR"/>
              </w:rPr>
            </w:pPr>
          </w:p>
        </w:tc>
        <w:tc>
          <w:tcPr>
            <w:tcW w:w="719"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Arial"/>
                <w:b/>
                <w:bCs/>
                <w:color w:val="000000"/>
                <w:lang w:val="pt-BR" w:eastAsia="pt-BR"/>
              </w:rPr>
            </w:pPr>
            <w:r>
              <w:rPr>
                <w:rFonts w:ascii="Book Antiqua" w:hAnsi="Book Antiqua" w:eastAsia="Times New Roman" w:cs="Arial"/>
                <w:b/>
                <w:bCs/>
                <w:color w:val="000000"/>
                <w:lang w:eastAsia="pt-BR"/>
              </w:rPr>
              <w:t>(t-test when applicable)</w:t>
            </w:r>
          </w:p>
        </w:tc>
        <w:tc>
          <w:tcPr>
            <w:tcW w:w="825" w:type="pct"/>
            <w:vMerge w:val="continue"/>
            <w:tcBorders>
              <w:top w:val="nil"/>
              <w:bottom w:val="single" w:color="auto" w:sz="4" w:space="0"/>
            </w:tcBorders>
            <w:vAlign w:val="center"/>
          </w:tcPr>
          <w:p>
            <w:pPr>
              <w:adjustRightInd w:val="0"/>
              <w:snapToGrid w:val="0"/>
              <w:spacing w:line="360" w:lineRule="auto"/>
              <w:jc w:val="both"/>
              <w:rPr>
                <w:rFonts w:ascii="Book Antiqua" w:hAnsi="Book Antiqua" w:eastAsia="Times New Roman" w:cs="Arial"/>
                <w:b/>
                <w:bCs/>
                <w:color w:val="000000"/>
                <w:lang w:val="pt-BR" w:eastAsia="pt-BR"/>
              </w:rPr>
            </w:pPr>
          </w:p>
        </w:tc>
        <w:tc>
          <w:tcPr>
            <w:tcW w:w="719"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Arial"/>
                <w:b/>
                <w:bCs/>
                <w:color w:val="000000"/>
                <w:lang w:val="pt-BR" w:eastAsia="pt-BR"/>
              </w:rPr>
            </w:pPr>
            <w:r>
              <w:rPr>
                <w:rFonts w:ascii="Book Antiqua" w:hAnsi="Book Antiqua" w:eastAsia="Times New Roman" w:cs="Arial"/>
                <w:b/>
                <w:bCs/>
                <w:color w:val="000000"/>
                <w:lang w:eastAsia="pt-BR"/>
              </w:rPr>
              <w:t>(</w:t>
            </w:r>
            <w:r>
              <w:rPr>
                <w:rFonts w:ascii="Book Antiqua" w:hAnsi="Book Antiqua" w:eastAsia="Times New Roman" w:cs="Arial"/>
                <w:b/>
                <w:bCs/>
                <w:i/>
                <w:iCs/>
                <w:color w:val="000000"/>
                <w:lang w:eastAsia="pt-BR"/>
              </w:rPr>
              <w:t>t</w:t>
            </w:r>
            <w:r>
              <w:rPr>
                <w:rFonts w:ascii="Book Antiqua" w:hAnsi="Book Antiqua" w:eastAsia="Times New Roman" w:cs="Arial"/>
                <w:b/>
                <w:bCs/>
                <w:color w:val="000000"/>
                <w:lang w:eastAsia="pt-BR"/>
              </w:rPr>
              <w:t>-test when applicable)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680" w:hRule="atLeast"/>
        </w:trPr>
        <w:tc>
          <w:tcPr>
            <w:tcW w:w="1783" w:type="pct"/>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Mean 6MWD (m)</w:t>
            </w:r>
          </w:p>
        </w:tc>
        <w:tc>
          <w:tcPr>
            <w:tcW w:w="951" w:type="pct"/>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515 ± 138</w:t>
            </w:r>
          </w:p>
        </w:tc>
        <w:tc>
          <w:tcPr>
            <w:tcW w:w="719" w:type="pct"/>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p>
        </w:tc>
        <w:tc>
          <w:tcPr>
            <w:tcW w:w="825" w:type="pct"/>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p>
        </w:tc>
        <w:tc>
          <w:tcPr>
            <w:tcW w:w="719" w:type="pct"/>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40" w:hRule="atLeast"/>
        </w:trPr>
        <w:tc>
          <w:tcPr>
            <w:tcW w:w="1783"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Mean 6MWD (%)</w:t>
            </w:r>
          </w:p>
        </w:tc>
        <w:tc>
          <w:tcPr>
            <w:tcW w:w="951"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p>
        </w:tc>
        <w:tc>
          <w:tcPr>
            <w:tcW w:w="719" w:type="pct"/>
            <w:vAlign w:val="center"/>
          </w:tcPr>
          <w:p>
            <w:pPr>
              <w:adjustRightInd w:val="0"/>
              <w:snapToGrid w:val="0"/>
              <w:spacing w:line="360" w:lineRule="auto"/>
              <w:jc w:val="both"/>
              <w:rPr>
                <w:rFonts w:ascii="Book Antiqua" w:hAnsi="Book Antiqua" w:eastAsia="Times New Roman" w:cs="Arial"/>
                <w:color w:val="000000"/>
                <w:lang w:val="pt-BR" w:eastAsia="pt-BR"/>
              </w:rPr>
            </w:pPr>
          </w:p>
        </w:tc>
        <w:tc>
          <w:tcPr>
            <w:tcW w:w="825"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0.91 ± 2.3</w:t>
            </w:r>
          </w:p>
        </w:tc>
        <w:tc>
          <w:tcPr>
            <w:tcW w:w="719" w:type="pct"/>
            <w:vAlign w:val="center"/>
          </w:tcPr>
          <w:p>
            <w:pPr>
              <w:adjustRightInd w:val="0"/>
              <w:snapToGrid w:val="0"/>
              <w:spacing w:line="360" w:lineRule="auto"/>
              <w:jc w:val="both"/>
              <w:rPr>
                <w:rFonts w:ascii="Book Antiqua" w:hAnsi="Book Antiqua" w:eastAsia="Times New Roman" w:cs="Arial"/>
                <w:color w:val="000000"/>
                <w:lang w:val="pt-BR" w:eastAsia="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40" w:hRule="atLeast"/>
        </w:trPr>
        <w:tc>
          <w:tcPr>
            <w:tcW w:w="1783" w:type="pct"/>
            <w:shd w:val="clear" w:color="auto" w:fill="auto"/>
            <w:vAlign w:val="center"/>
          </w:tcPr>
          <w:p>
            <w:pPr>
              <w:adjustRightInd w:val="0"/>
              <w:snapToGrid w:val="0"/>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6MWD according to Child classes</w:t>
            </w:r>
          </w:p>
        </w:tc>
        <w:tc>
          <w:tcPr>
            <w:tcW w:w="951" w:type="pct"/>
            <w:shd w:val="clear" w:color="auto" w:fill="auto"/>
            <w:vAlign w:val="center"/>
          </w:tcPr>
          <w:p>
            <w:pPr>
              <w:adjustRightInd w:val="0"/>
              <w:snapToGrid w:val="0"/>
              <w:spacing w:line="360" w:lineRule="auto"/>
              <w:jc w:val="both"/>
              <w:rPr>
                <w:rFonts w:ascii="Book Antiqua" w:hAnsi="Book Antiqua" w:eastAsia="Times New Roman" w:cs="Arial"/>
                <w:color w:val="000000"/>
                <w:lang w:eastAsia="pt-BR"/>
              </w:rPr>
            </w:pPr>
          </w:p>
        </w:tc>
        <w:tc>
          <w:tcPr>
            <w:tcW w:w="719" w:type="pct"/>
            <w:shd w:val="clear" w:color="auto" w:fill="auto"/>
            <w:vAlign w:val="center"/>
          </w:tcPr>
          <w:p>
            <w:pPr>
              <w:adjustRightInd w:val="0"/>
              <w:snapToGrid w:val="0"/>
              <w:spacing w:line="360" w:lineRule="auto"/>
              <w:jc w:val="both"/>
              <w:rPr>
                <w:rFonts w:ascii="Book Antiqua" w:hAnsi="Book Antiqua" w:eastAsia="Times New Roman"/>
                <w:lang w:eastAsia="pt-BR"/>
              </w:rPr>
            </w:pPr>
          </w:p>
        </w:tc>
        <w:tc>
          <w:tcPr>
            <w:tcW w:w="825" w:type="pct"/>
            <w:shd w:val="clear" w:color="auto" w:fill="auto"/>
            <w:vAlign w:val="center"/>
          </w:tcPr>
          <w:p>
            <w:pPr>
              <w:adjustRightInd w:val="0"/>
              <w:snapToGrid w:val="0"/>
              <w:spacing w:line="360" w:lineRule="auto"/>
              <w:jc w:val="both"/>
              <w:rPr>
                <w:rFonts w:ascii="Book Antiqua" w:hAnsi="Book Antiqua" w:eastAsia="Times New Roman"/>
                <w:lang w:eastAsia="pt-BR"/>
              </w:rPr>
            </w:pPr>
          </w:p>
        </w:tc>
        <w:tc>
          <w:tcPr>
            <w:tcW w:w="719" w:type="pct"/>
            <w:shd w:val="clear" w:color="auto" w:fill="auto"/>
            <w:vAlign w:val="center"/>
          </w:tcPr>
          <w:p>
            <w:pPr>
              <w:adjustRightInd w:val="0"/>
              <w:snapToGrid w:val="0"/>
              <w:spacing w:line="360" w:lineRule="auto"/>
              <w:jc w:val="both"/>
              <w:rPr>
                <w:rFonts w:ascii="Book Antiqua" w:hAnsi="Book Antiqua" w:eastAsia="Times New Roman"/>
                <w:lang w:eastAsia="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680" w:hRule="atLeast"/>
        </w:trPr>
        <w:tc>
          <w:tcPr>
            <w:tcW w:w="1783"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A</w:t>
            </w:r>
          </w:p>
        </w:tc>
        <w:tc>
          <w:tcPr>
            <w:tcW w:w="951"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570 ± 144</w:t>
            </w:r>
          </w:p>
        </w:tc>
        <w:tc>
          <w:tcPr>
            <w:tcW w:w="719"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p>
        </w:tc>
        <w:tc>
          <w:tcPr>
            <w:tcW w:w="825"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0.97 ± 0.22</w:t>
            </w:r>
          </w:p>
        </w:tc>
        <w:tc>
          <w:tcPr>
            <w:tcW w:w="719"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40" w:hRule="atLeast"/>
        </w:trPr>
        <w:tc>
          <w:tcPr>
            <w:tcW w:w="1783"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B</w:t>
            </w:r>
          </w:p>
        </w:tc>
        <w:tc>
          <w:tcPr>
            <w:tcW w:w="951"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504 ± 137</w:t>
            </w:r>
          </w:p>
        </w:tc>
        <w:tc>
          <w:tcPr>
            <w:tcW w:w="719"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p>
        </w:tc>
        <w:tc>
          <w:tcPr>
            <w:tcW w:w="825"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0.88 ± 0.21</w:t>
            </w:r>
          </w:p>
        </w:tc>
        <w:tc>
          <w:tcPr>
            <w:tcW w:w="719" w:type="pct"/>
            <w:shd w:val="clear" w:color="auto" w:fill="auto"/>
            <w:vAlign w:val="center"/>
          </w:tcPr>
          <w:p>
            <w:pPr>
              <w:adjustRightInd w:val="0"/>
              <w:snapToGrid w:val="0"/>
              <w:spacing w:line="360" w:lineRule="auto"/>
              <w:jc w:val="both"/>
              <w:rPr>
                <w:rFonts w:ascii="Book Antiqua" w:hAnsi="Book Antiqua" w:eastAsia="Times New Roman" w:cs="Arial"/>
                <w:color w:val="000000"/>
                <w:u w:val="single"/>
                <w:lang w:val="pt-BR" w:eastAsia="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40" w:hRule="atLeast"/>
        </w:trPr>
        <w:tc>
          <w:tcPr>
            <w:tcW w:w="1783"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C</w:t>
            </w:r>
          </w:p>
        </w:tc>
        <w:tc>
          <w:tcPr>
            <w:tcW w:w="951"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471 ± 115</w:t>
            </w:r>
          </w:p>
        </w:tc>
        <w:tc>
          <w:tcPr>
            <w:tcW w:w="719"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p>
        </w:tc>
        <w:tc>
          <w:tcPr>
            <w:tcW w:w="825"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0.82 ± 0.25</w:t>
            </w:r>
          </w:p>
        </w:tc>
        <w:tc>
          <w:tcPr>
            <w:tcW w:w="719" w:type="pct"/>
            <w:shd w:val="clear" w:color="auto" w:fill="auto"/>
            <w:vAlign w:val="center"/>
          </w:tcPr>
          <w:p>
            <w:pPr>
              <w:adjustRightInd w:val="0"/>
              <w:snapToGrid w:val="0"/>
              <w:spacing w:line="360" w:lineRule="auto"/>
              <w:jc w:val="both"/>
              <w:rPr>
                <w:rFonts w:ascii="Book Antiqua" w:hAnsi="Book Antiqua" w:eastAsia="Times New Roman" w:cs="Arial"/>
                <w:color w:val="000000"/>
                <w:u w:val="single"/>
                <w:lang w:val="pt-BR" w:eastAsia="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020" w:hRule="atLeast"/>
        </w:trPr>
        <w:tc>
          <w:tcPr>
            <w:tcW w:w="1783" w:type="pct"/>
            <w:shd w:val="clear" w:color="auto" w:fill="auto"/>
            <w:vAlign w:val="center"/>
          </w:tcPr>
          <w:p>
            <w:pPr>
              <w:adjustRightInd w:val="0"/>
              <w:snapToGrid w:val="0"/>
              <w:spacing w:line="360" w:lineRule="auto"/>
              <w:jc w:val="both"/>
              <w:rPr>
                <w:rFonts w:ascii="Book Antiqua" w:hAnsi="Book Antiqua" w:eastAsia="Times New Roman" w:cs="Arial"/>
                <w:b/>
                <w:bCs/>
                <w:color w:val="000000"/>
                <w:lang w:val="pt-BR" w:eastAsia="pt-BR"/>
              </w:rPr>
            </w:pPr>
            <w:r>
              <w:rPr>
                <w:rFonts w:ascii="Book Antiqua" w:hAnsi="Book Antiqua" w:eastAsia="Times New Roman" w:cs="Arial"/>
                <w:b/>
                <w:bCs/>
                <w:color w:val="000000"/>
                <w:lang w:eastAsia="pt-BR"/>
              </w:rPr>
              <w:t>6MWD according to</w:t>
            </w:r>
          </w:p>
        </w:tc>
        <w:tc>
          <w:tcPr>
            <w:tcW w:w="951" w:type="pct"/>
            <w:shd w:val="clear" w:color="auto" w:fill="auto"/>
            <w:vAlign w:val="center"/>
          </w:tcPr>
          <w:p>
            <w:pPr>
              <w:adjustRightInd w:val="0"/>
              <w:snapToGrid w:val="0"/>
              <w:spacing w:line="360" w:lineRule="auto"/>
              <w:jc w:val="both"/>
              <w:rPr>
                <w:rFonts w:ascii="Book Antiqua" w:hAnsi="Book Antiqua" w:eastAsia="Times New Roman" w:cs="Arial"/>
                <w:b/>
                <w:bCs/>
                <w:color w:val="000000"/>
                <w:lang w:val="pt-BR" w:eastAsia="pt-BR"/>
              </w:rPr>
            </w:pPr>
          </w:p>
        </w:tc>
        <w:tc>
          <w:tcPr>
            <w:tcW w:w="719" w:type="pct"/>
            <w:shd w:val="clear" w:color="auto" w:fill="auto"/>
            <w:vAlign w:val="center"/>
          </w:tcPr>
          <w:p>
            <w:pPr>
              <w:adjustRightInd w:val="0"/>
              <w:snapToGrid w:val="0"/>
              <w:spacing w:line="360" w:lineRule="auto"/>
              <w:jc w:val="both"/>
              <w:rPr>
                <w:rFonts w:ascii="Book Antiqua" w:hAnsi="Book Antiqua" w:eastAsia="Times New Roman"/>
                <w:lang w:val="pt-BR" w:eastAsia="pt-BR"/>
              </w:rPr>
            </w:pPr>
          </w:p>
        </w:tc>
        <w:tc>
          <w:tcPr>
            <w:tcW w:w="825" w:type="pct"/>
            <w:shd w:val="clear" w:color="auto" w:fill="auto"/>
            <w:vAlign w:val="center"/>
          </w:tcPr>
          <w:p>
            <w:pPr>
              <w:adjustRightInd w:val="0"/>
              <w:snapToGrid w:val="0"/>
              <w:spacing w:line="360" w:lineRule="auto"/>
              <w:jc w:val="both"/>
              <w:rPr>
                <w:rFonts w:ascii="Book Antiqua" w:hAnsi="Book Antiqua" w:eastAsia="Times New Roman"/>
                <w:lang w:val="pt-BR" w:eastAsia="pt-BR"/>
              </w:rPr>
            </w:pPr>
          </w:p>
        </w:tc>
        <w:tc>
          <w:tcPr>
            <w:tcW w:w="719" w:type="pct"/>
            <w:shd w:val="clear" w:color="auto" w:fill="auto"/>
            <w:vAlign w:val="center"/>
          </w:tcPr>
          <w:p>
            <w:pPr>
              <w:adjustRightInd w:val="0"/>
              <w:snapToGrid w:val="0"/>
              <w:spacing w:line="360" w:lineRule="auto"/>
              <w:jc w:val="both"/>
              <w:rPr>
                <w:rFonts w:ascii="Book Antiqua" w:hAnsi="Book Antiqua" w:eastAsia="Times New Roman"/>
                <w:lang w:val="pt-BR" w:eastAsia="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020" w:hRule="atLeast"/>
        </w:trPr>
        <w:tc>
          <w:tcPr>
            <w:tcW w:w="1783"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Liver decompensation</w:t>
            </w:r>
          </w:p>
        </w:tc>
        <w:tc>
          <w:tcPr>
            <w:tcW w:w="951"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p>
        </w:tc>
        <w:tc>
          <w:tcPr>
            <w:tcW w:w="719" w:type="pct"/>
            <w:shd w:val="clear" w:color="auto" w:fill="auto"/>
            <w:vAlign w:val="center"/>
          </w:tcPr>
          <w:p>
            <w:pPr>
              <w:adjustRightInd w:val="0"/>
              <w:snapToGrid w:val="0"/>
              <w:spacing w:line="360" w:lineRule="auto"/>
              <w:jc w:val="both"/>
              <w:rPr>
                <w:rFonts w:ascii="Book Antiqua" w:hAnsi="Book Antiqua" w:eastAsia="Times New Roman"/>
                <w:lang w:val="pt-BR" w:eastAsia="pt-BR"/>
              </w:rPr>
            </w:pPr>
          </w:p>
        </w:tc>
        <w:tc>
          <w:tcPr>
            <w:tcW w:w="825" w:type="pct"/>
            <w:shd w:val="clear" w:color="auto" w:fill="auto"/>
            <w:vAlign w:val="center"/>
          </w:tcPr>
          <w:p>
            <w:pPr>
              <w:adjustRightInd w:val="0"/>
              <w:snapToGrid w:val="0"/>
              <w:spacing w:line="360" w:lineRule="auto"/>
              <w:jc w:val="both"/>
              <w:rPr>
                <w:rFonts w:ascii="Book Antiqua" w:hAnsi="Book Antiqua" w:eastAsia="Times New Roman"/>
                <w:lang w:val="pt-BR" w:eastAsia="pt-BR"/>
              </w:rPr>
            </w:pPr>
          </w:p>
        </w:tc>
        <w:tc>
          <w:tcPr>
            <w:tcW w:w="719" w:type="pct"/>
            <w:shd w:val="clear" w:color="auto" w:fill="auto"/>
            <w:vAlign w:val="center"/>
          </w:tcPr>
          <w:p>
            <w:pPr>
              <w:adjustRightInd w:val="0"/>
              <w:snapToGrid w:val="0"/>
              <w:spacing w:line="360" w:lineRule="auto"/>
              <w:jc w:val="both"/>
              <w:rPr>
                <w:rFonts w:ascii="Book Antiqua" w:hAnsi="Book Antiqua" w:eastAsia="Times New Roman"/>
                <w:lang w:val="pt-BR" w:eastAsia="pt-B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020" w:hRule="atLeast"/>
        </w:trPr>
        <w:tc>
          <w:tcPr>
            <w:tcW w:w="1783"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Ascites (w vs wo)</w:t>
            </w:r>
          </w:p>
        </w:tc>
        <w:tc>
          <w:tcPr>
            <w:tcW w:w="951"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 xml:space="preserve">473 ± 20 </w:t>
            </w:r>
            <w:r>
              <w:rPr>
                <w:rFonts w:ascii="Book Antiqua" w:hAnsi="Book Antiqua" w:eastAsia="Times New Roman" w:cs="Arial"/>
                <w:i/>
                <w:color w:val="000000"/>
                <w:lang w:eastAsia="pt-BR"/>
              </w:rPr>
              <w:t>vs</w:t>
            </w:r>
            <w:r>
              <w:rPr>
                <w:rFonts w:ascii="Book Antiqua" w:hAnsi="Book Antiqua" w:eastAsia="Times New Roman" w:cs="Arial"/>
                <w:color w:val="000000"/>
                <w:lang w:eastAsia="pt-BR"/>
              </w:rPr>
              <w:t xml:space="preserve"> 535 ± 17</w:t>
            </w:r>
          </w:p>
        </w:tc>
        <w:tc>
          <w:tcPr>
            <w:tcW w:w="719"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0.03</w:t>
            </w:r>
          </w:p>
        </w:tc>
        <w:tc>
          <w:tcPr>
            <w:tcW w:w="825"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 xml:space="preserve">0.86 ± 0.22 </w:t>
            </w:r>
            <w:r>
              <w:rPr>
                <w:rFonts w:ascii="Book Antiqua" w:hAnsi="Book Antiqua" w:eastAsia="Times New Roman" w:cs="Arial"/>
                <w:i/>
                <w:color w:val="000000"/>
                <w:lang w:eastAsia="pt-BR"/>
              </w:rPr>
              <w:t>vs</w:t>
            </w:r>
            <w:r>
              <w:rPr>
                <w:rFonts w:ascii="Book Antiqua" w:hAnsi="Book Antiqua" w:eastAsia="Times New Roman" w:cs="Arial"/>
                <w:color w:val="000000"/>
                <w:lang w:eastAsia="pt-BR"/>
              </w:rPr>
              <w:t xml:space="preserve"> 0.95 ± 0.21</w:t>
            </w:r>
          </w:p>
        </w:tc>
        <w:tc>
          <w:tcPr>
            <w:tcW w:w="719"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0.028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40" w:hRule="atLeast"/>
        </w:trPr>
        <w:tc>
          <w:tcPr>
            <w:tcW w:w="1783" w:type="pct"/>
            <w:shd w:val="clear" w:color="auto" w:fill="auto"/>
            <w:vAlign w:val="center"/>
          </w:tcPr>
          <w:p>
            <w:pPr>
              <w:adjustRightInd w:val="0"/>
              <w:snapToGrid w:val="0"/>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 xml:space="preserve">Hepatic encephalopathy (w </w:t>
            </w:r>
            <w:r>
              <w:rPr>
                <w:rFonts w:ascii="Book Antiqua" w:hAnsi="Book Antiqua" w:eastAsia="Times New Roman" w:cs="Arial"/>
                <w:i/>
                <w:color w:val="000000"/>
                <w:lang w:eastAsia="pt-BR"/>
              </w:rPr>
              <w:t>vs</w:t>
            </w:r>
            <w:r>
              <w:rPr>
                <w:rFonts w:ascii="Book Antiqua" w:hAnsi="Book Antiqua" w:eastAsia="Times New Roman" w:cs="Arial"/>
                <w:color w:val="000000"/>
                <w:lang w:eastAsia="pt-BR"/>
              </w:rPr>
              <w:t xml:space="preserve"> wo)</w:t>
            </w:r>
          </w:p>
        </w:tc>
        <w:tc>
          <w:tcPr>
            <w:tcW w:w="951"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 xml:space="preserve">435 ± 34 </w:t>
            </w:r>
            <w:r>
              <w:rPr>
                <w:rFonts w:ascii="Book Antiqua" w:hAnsi="Book Antiqua" w:eastAsia="Times New Roman" w:cs="Arial"/>
                <w:i/>
                <w:color w:val="000000"/>
                <w:lang w:eastAsia="pt-BR"/>
              </w:rPr>
              <w:t>vs</w:t>
            </w:r>
            <w:r>
              <w:rPr>
                <w:rFonts w:ascii="Book Antiqua" w:hAnsi="Book Antiqua" w:eastAsia="Times New Roman" w:cs="Arial"/>
                <w:color w:val="000000"/>
                <w:lang w:eastAsia="pt-BR"/>
              </w:rPr>
              <w:t xml:space="preserve"> 525 ± 14</w:t>
            </w:r>
          </w:p>
        </w:tc>
        <w:tc>
          <w:tcPr>
            <w:tcW w:w="719"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0.04</w:t>
            </w:r>
          </w:p>
        </w:tc>
        <w:tc>
          <w:tcPr>
            <w:tcW w:w="825"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 xml:space="preserve">0.87 ± 0.25 </w:t>
            </w:r>
            <w:r>
              <w:rPr>
                <w:rFonts w:ascii="Book Antiqua" w:hAnsi="Book Antiqua" w:eastAsia="Times New Roman" w:cs="Arial"/>
                <w:i/>
                <w:color w:val="000000"/>
                <w:lang w:eastAsia="pt-BR"/>
              </w:rPr>
              <w:t>vs</w:t>
            </w:r>
            <w:r>
              <w:rPr>
                <w:rFonts w:ascii="Book Antiqua" w:hAnsi="Book Antiqua" w:eastAsia="Times New Roman" w:cs="Arial"/>
                <w:color w:val="000000"/>
                <w:lang w:eastAsia="pt-BR"/>
              </w:rPr>
              <w:t xml:space="preserve"> 0.91 ± 0.21</w:t>
            </w:r>
          </w:p>
        </w:tc>
        <w:tc>
          <w:tcPr>
            <w:tcW w:w="719"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020" w:hRule="atLeast"/>
        </w:trPr>
        <w:tc>
          <w:tcPr>
            <w:tcW w:w="1783" w:type="pct"/>
            <w:shd w:val="clear" w:color="auto" w:fill="auto"/>
            <w:vAlign w:val="center"/>
          </w:tcPr>
          <w:p>
            <w:pPr>
              <w:adjustRightInd w:val="0"/>
              <w:snapToGrid w:val="0"/>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 xml:space="preserve">History of previous hepatic decompensation (w </w:t>
            </w:r>
            <w:r>
              <w:rPr>
                <w:rFonts w:ascii="Book Antiqua" w:hAnsi="Book Antiqua" w:eastAsia="Times New Roman" w:cs="Arial"/>
                <w:i/>
                <w:color w:val="000000"/>
                <w:lang w:eastAsia="pt-BR"/>
              </w:rPr>
              <w:t>vs</w:t>
            </w:r>
            <w:r>
              <w:rPr>
                <w:rFonts w:ascii="Book Antiqua" w:hAnsi="Book Antiqua" w:eastAsia="Times New Roman" w:cs="Arial"/>
                <w:color w:val="000000"/>
                <w:lang w:eastAsia="pt-BR"/>
              </w:rPr>
              <w:t xml:space="preserve"> wo)</w:t>
            </w:r>
          </w:p>
        </w:tc>
        <w:tc>
          <w:tcPr>
            <w:tcW w:w="951"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 xml:space="preserve">496 ± 141 </w:t>
            </w:r>
            <w:r>
              <w:rPr>
                <w:rFonts w:ascii="Book Antiqua" w:hAnsi="Book Antiqua" w:eastAsia="Times New Roman" w:cs="Arial"/>
                <w:i/>
                <w:color w:val="000000"/>
                <w:lang w:eastAsia="pt-BR"/>
              </w:rPr>
              <w:t>vs</w:t>
            </w:r>
            <w:r>
              <w:rPr>
                <w:rFonts w:ascii="Book Antiqua" w:hAnsi="Book Antiqua" w:eastAsia="Times New Roman" w:cs="Arial"/>
                <w:color w:val="000000"/>
                <w:lang w:eastAsia="pt-BR"/>
              </w:rPr>
              <w:t xml:space="preserve"> 571 ± 115</w:t>
            </w:r>
          </w:p>
        </w:tc>
        <w:tc>
          <w:tcPr>
            <w:tcW w:w="719"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0.02</w:t>
            </w:r>
          </w:p>
        </w:tc>
        <w:tc>
          <w:tcPr>
            <w:tcW w:w="825"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 xml:space="preserve">0.86 ± 0.22 </w:t>
            </w:r>
            <w:r>
              <w:rPr>
                <w:rFonts w:ascii="Book Antiqua" w:hAnsi="Book Antiqua" w:eastAsia="Times New Roman" w:cs="Arial"/>
                <w:i/>
                <w:color w:val="000000"/>
                <w:lang w:eastAsia="pt-BR"/>
              </w:rPr>
              <w:t>vs</w:t>
            </w:r>
            <w:r>
              <w:rPr>
                <w:rFonts w:ascii="Book Antiqua" w:hAnsi="Book Antiqua" w:eastAsia="Times New Roman" w:cs="Arial"/>
                <w:color w:val="000000"/>
                <w:lang w:eastAsia="pt-BR"/>
              </w:rPr>
              <w:t xml:space="preserve"> 1.02 ± 0.17</w:t>
            </w:r>
          </w:p>
        </w:tc>
        <w:tc>
          <w:tcPr>
            <w:tcW w:w="719" w:type="pct"/>
            <w:shd w:val="clear" w:color="auto" w:fill="auto"/>
          </w:tcPr>
          <w:p>
            <w:pPr>
              <w:adjustRightInd w:val="0"/>
              <w:snapToGrid w:val="0"/>
              <w:spacing w:line="360" w:lineRule="auto"/>
              <w:jc w:val="both"/>
              <w:rPr>
                <w:rFonts w:ascii="Book Antiqua" w:hAnsi="Book Antiqua" w:eastAsia="Times New Roman"/>
                <w:color w:val="000000"/>
                <w:lang w:val="pt-BR" w:eastAsia="pt-BR"/>
              </w:rPr>
            </w:pPr>
            <w:r>
              <w:rPr>
                <w:rFonts w:ascii="Book Antiqua" w:hAnsi="Book Antiqua" w:eastAsia="Times New Roman"/>
                <w:color w:val="000000"/>
                <w:lang w:val="pt-BR" w:eastAsia="pt-BR"/>
              </w:rPr>
              <w:t>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40" w:hRule="atLeast"/>
        </w:trPr>
        <w:tc>
          <w:tcPr>
            <w:tcW w:w="1783" w:type="pct"/>
            <w:shd w:val="clear" w:color="auto" w:fill="auto"/>
            <w:vAlign w:val="center"/>
          </w:tcPr>
          <w:p>
            <w:pPr>
              <w:adjustRightInd w:val="0"/>
              <w:snapToGrid w:val="0"/>
              <w:spacing w:line="360" w:lineRule="auto"/>
              <w:jc w:val="both"/>
              <w:rPr>
                <w:rFonts w:ascii="Book Antiqua" w:hAnsi="Book Antiqua" w:eastAsia="Times New Roman" w:cs="Arial"/>
                <w:color w:val="000000"/>
                <w:lang w:eastAsia="pt-BR"/>
              </w:rPr>
            </w:pPr>
            <w:r>
              <w:rPr>
                <w:rFonts w:ascii="Book Antiqua" w:hAnsi="Book Antiqua" w:eastAsia="Times New Roman" w:cs="Arial"/>
                <w:color w:val="000000"/>
                <w:lang w:eastAsia="pt-BR"/>
              </w:rPr>
              <w:t xml:space="preserve">Hospital admission during follow-up (w </w:t>
            </w:r>
            <w:r>
              <w:rPr>
                <w:rFonts w:ascii="Book Antiqua" w:hAnsi="Book Antiqua" w:eastAsia="Times New Roman" w:cs="Arial"/>
                <w:i/>
                <w:color w:val="000000"/>
                <w:lang w:eastAsia="pt-BR"/>
              </w:rPr>
              <w:t>vs</w:t>
            </w:r>
            <w:r>
              <w:rPr>
                <w:rFonts w:ascii="Book Antiqua" w:hAnsi="Book Antiqua" w:eastAsia="Times New Roman" w:cs="Arial"/>
                <w:color w:val="000000"/>
                <w:lang w:eastAsia="pt-BR"/>
              </w:rPr>
              <w:t xml:space="preserve"> wo)</w:t>
            </w:r>
          </w:p>
        </w:tc>
        <w:tc>
          <w:tcPr>
            <w:tcW w:w="951"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 xml:space="preserve">444 ± 172 </w:t>
            </w:r>
            <w:r>
              <w:rPr>
                <w:rFonts w:ascii="Book Antiqua" w:hAnsi="Book Antiqua" w:eastAsia="Times New Roman" w:cs="Arial"/>
                <w:i/>
                <w:color w:val="000000"/>
                <w:lang w:eastAsia="pt-BR"/>
              </w:rPr>
              <w:t>vs</w:t>
            </w:r>
            <w:r>
              <w:rPr>
                <w:rFonts w:ascii="Book Antiqua" w:hAnsi="Book Antiqua" w:eastAsia="Times New Roman" w:cs="Arial"/>
                <w:color w:val="000000"/>
                <w:lang w:eastAsia="pt-BR"/>
              </w:rPr>
              <w:t xml:space="preserve"> 531 ± 125 </w:t>
            </w:r>
          </w:p>
        </w:tc>
        <w:tc>
          <w:tcPr>
            <w:tcW w:w="719"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0.01</w:t>
            </w:r>
          </w:p>
        </w:tc>
        <w:tc>
          <w:tcPr>
            <w:tcW w:w="825" w:type="pct"/>
            <w:shd w:val="clear" w:color="auto" w:fill="auto"/>
          </w:tcPr>
          <w:p>
            <w:pPr>
              <w:adjustRightInd w:val="0"/>
              <w:snapToGrid w:val="0"/>
              <w:spacing w:line="360" w:lineRule="auto"/>
              <w:jc w:val="both"/>
              <w:rPr>
                <w:rFonts w:ascii="Book Antiqua" w:hAnsi="Book Antiqua" w:eastAsia="Times New Roman"/>
                <w:color w:val="000000"/>
                <w:lang w:val="pt-BR" w:eastAsia="pt-BR"/>
              </w:rPr>
            </w:pPr>
            <w:r>
              <w:rPr>
                <w:rFonts w:ascii="Book Antiqua" w:hAnsi="Book Antiqua" w:eastAsia="Times New Roman"/>
                <w:color w:val="000000"/>
                <w:lang w:val="pt-BR" w:eastAsia="pt-BR"/>
              </w:rPr>
              <w:t xml:space="preserve">0.77 ± 0.25 </w:t>
            </w:r>
            <w:r>
              <w:rPr>
                <w:rFonts w:ascii="Book Antiqua" w:hAnsi="Book Antiqua" w:eastAsia="Times New Roman"/>
                <w:i/>
                <w:color w:val="000000"/>
                <w:lang w:val="pt-BR" w:eastAsia="pt-BR"/>
              </w:rPr>
              <w:t>vs</w:t>
            </w:r>
            <w:r>
              <w:rPr>
                <w:rFonts w:ascii="Book Antiqua" w:hAnsi="Book Antiqua" w:eastAsia="Times New Roman"/>
                <w:color w:val="000000"/>
                <w:lang w:val="pt-BR" w:eastAsia="pt-BR"/>
              </w:rPr>
              <w:t xml:space="preserve"> 0.92 ± 0.20</w:t>
            </w:r>
          </w:p>
        </w:tc>
        <w:tc>
          <w:tcPr>
            <w:tcW w:w="719" w:type="pct"/>
            <w:shd w:val="clear" w:color="auto" w:fill="auto"/>
          </w:tcPr>
          <w:p>
            <w:pPr>
              <w:adjustRightInd w:val="0"/>
              <w:snapToGrid w:val="0"/>
              <w:spacing w:line="360" w:lineRule="auto"/>
              <w:jc w:val="both"/>
              <w:rPr>
                <w:rFonts w:ascii="Book Antiqua" w:hAnsi="Book Antiqua" w:eastAsia="Times New Roman"/>
                <w:color w:val="000000"/>
                <w:lang w:val="pt-BR" w:eastAsia="pt-BR"/>
              </w:rPr>
            </w:pPr>
            <w:r>
              <w:rPr>
                <w:rFonts w:ascii="Book Antiqua" w:hAnsi="Book Antiqua" w:eastAsia="Times New Roman"/>
                <w:color w:val="000000"/>
                <w:lang w:val="pt-BR" w:eastAsia="pt-BR"/>
              </w:rPr>
              <w:t>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40" w:hRule="atLeast"/>
        </w:trPr>
        <w:tc>
          <w:tcPr>
            <w:tcW w:w="1783"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val="pt-BR" w:eastAsia="pt-BR"/>
              </w:rPr>
              <w:t xml:space="preserve">Survival (died </w:t>
            </w:r>
            <w:r>
              <w:rPr>
                <w:rFonts w:ascii="Book Antiqua" w:hAnsi="Book Antiqua" w:eastAsia="Times New Roman" w:cs="Arial"/>
                <w:i/>
                <w:color w:val="000000"/>
                <w:lang w:val="pt-BR" w:eastAsia="pt-BR"/>
              </w:rPr>
              <w:t>vs</w:t>
            </w:r>
            <w:r>
              <w:rPr>
                <w:rFonts w:ascii="Book Antiqua" w:hAnsi="Book Antiqua" w:eastAsia="Times New Roman" w:cs="Arial"/>
                <w:color w:val="000000"/>
                <w:lang w:val="pt-BR" w:eastAsia="pt-BR"/>
              </w:rPr>
              <w:t xml:space="preserve"> survived)</w:t>
            </w:r>
          </w:p>
        </w:tc>
        <w:tc>
          <w:tcPr>
            <w:tcW w:w="951"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 xml:space="preserve">423 ± 122 </w:t>
            </w:r>
            <w:r>
              <w:rPr>
                <w:rFonts w:ascii="Book Antiqua" w:hAnsi="Book Antiqua" w:eastAsia="Times New Roman" w:cs="Arial"/>
                <w:i/>
                <w:color w:val="000000"/>
                <w:lang w:eastAsia="pt-BR"/>
              </w:rPr>
              <w:t>vs</w:t>
            </w:r>
            <w:r>
              <w:rPr>
                <w:rFonts w:ascii="Book Antiqua" w:hAnsi="Book Antiqua" w:eastAsia="Times New Roman" w:cs="Arial"/>
                <w:color w:val="000000"/>
                <w:lang w:eastAsia="pt-BR"/>
              </w:rPr>
              <w:t xml:space="preserve"> 526 ± 137</w:t>
            </w:r>
          </w:p>
        </w:tc>
        <w:tc>
          <w:tcPr>
            <w:tcW w:w="719" w:type="pct"/>
            <w:shd w:val="clear" w:color="auto" w:fill="auto"/>
            <w:vAlign w:val="center"/>
          </w:tcPr>
          <w:p>
            <w:pPr>
              <w:adjustRightInd w:val="0"/>
              <w:snapToGrid w:val="0"/>
              <w:spacing w:line="360" w:lineRule="auto"/>
              <w:jc w:val="both"/>
              <w:rPr>
                <w:rFonts w:ascii="Book Antiqua" w:hAnsi="Book Antiqua" w:eastAsia="Times New Roman" w:cs="Arial"/>
                <w:color w:val="000000"/>
                <w:lang w:val="pt-BR" w:eastAsia="pt-BR"/>
              </w:rPr>
            </w:pPr>
            <w:r>
              <w:rPr>
                <w:rFonts w:ascii="Book Antiqua" w:hAnsi="Book Antiqua" w:eastAsia="Times New Roman" w:cs="Arial"/>
                <w:color w:val="000000"/>
                <w:lang w:eastAsia="pt-BR"/>
              </w:rPr>
              <w:t>0.02</w:t>
            </w:r>
          </w:p>
        </w:tc>
        <w:tc>
          <w:tcPr>
            <w:tcW w:w="825" w:type="pct"/>
            <w:shd w:val="clear" w:color="auto" w:fill="auto"/>
          </w:tcPr>
          <w:p>
            <w:pPr>
              <w:adjustRightInd w:val="0"/>
              <w:snapToGrid w:val="0"/>
              <w:spacing w:line="360" w:lineRule="auto"/>
              <w:jc w:val="both"/>
              <w:rPr>
                <w:rFonts w:ascii="Book Antiqua" w:hAnsi="Book Antiqua" w:eastAsia="Times New Roman"/>
                <w:color w:val="000000"/>
                <w:lang w:val="pt-BR" w:eastAsia="pt-BR"/>
              </w:rPr>
            </w:pPr>
            <w:r>
              <w:rPr>
                <w:rFonts w:ascii="Book Antiqua" w:hAnsi="Book Antiqua" w:eastAsia="Times New Roman"/>
                <w:color w:val="000000"/>
                <w:lang w:val="pt-BR" w:eastAsia="pt-BR"/>
              </w:rPr>
              <w:t xml:space="preserve">0.72 ± 0.21 </w:t>
            </w:r>
            <w:r>
              <w:rPr>
                <w:rFonts w:ascii="Book Antiqua" w:hAnsi="Book Antiqua" w:eastAsia="Times New Roman"/>
                <w:i/>
                <w:color w:val="000000"/>
                <w:lang w:val="pt-BR" w:eastAsia="pt-BR"/>
              </w:rPr>
              <w:t>vs</w:t>
            </w:r>
            <w:r>
              <w:rPr>
                <w:rFonts w:ascii="Book Antiqua" w:hAnsi="Book Antiqua" w:eastAsia="Times New Roman"/>
                <w:color w:val="000000"/>
                <w:lang w:val="pt-BR" w:eastAsia="pt-BR"/>
              </w:rPr>
              <w:t xml:space="preserve"> 0.93 ± 0.21</w:t>
            </w:r>
          </w:p>
        </w:tc>
        <w:tc>
          <w:tcPr>
            <w:tcW w:w="719" w:type="pct"/>
            <w:shd w:val="clear" w:color="auto" w:fill="auto"/>
          </w:tcPr>
          <w:p>
            <w:pPr>
              <w:adjustRightInd w:val="0"/>
              <w:snapToGrid w:val="0"/>
              <w:spacing w:line="360" w:lineRule="auto"/>
              <w:jc w:val="both"/>
              <w:rPr>
                <w:rFonts w:ascii="Book Antiqua" w:hAnsi="Book Antiqua" w:eastAsia="Times New Roman"/>
                <w:color w:val="000000"/>
                <w:lang w:val="pt-BR" w:eastAsia="pt-BR"/>
              </w:rPr>
            </w:pPr>
          </w:p>
        </w:tc>
      </w:tr>
    </w:tbl>
    <w:p>
      <w:pPr>
        <w:adjustRightInd w:val="0"/>
        <w:snapToGrid w:val="0"/>
        <w:spacing w:line="360" w:lineRule="auto"/>
        <w:jc w:val="both"/>
        <w:rPr>
          <w:rFonts w:ascii="Book Antiqua" w:hAnsi="Book Antiqua" w:cs="Arial"/>
        </w:rPr>
      </w:pPr>
      <w:r>
        <w:rPr>
          <w:rFonts w:ascii="Book Antiqua" w:hAnsi="Book Antiqua" w:cs="Arial"/>
        </w:rPr>
        <w:t>6MWT: Six-minute walking test; 6MWD: Six-minute walking distance; 6MW (%): Predicted distance achieved percentage; w: With; wo: Without.</w:t>
      </w:r>
    </w:p>
    <w:p>
      <w:pPr>
        <w:adjustRightInd w:val="0"/>
        <w:snapToGrid w:val="0"/>
        <w:spacing w:line="360" w:lineRule="auto"/>
        <w:jc w:val="both"/>
        <w:rPr>
          <w:rFonts w:ascii="Book Antiqua" w:hAnsi="Book Antiqua" w:cs="Arial"/>
        </w:rPr>
      </w:pPr>
      <w:r>
        <w:rPr>
          <w:rFonts w:ascii="Book Antiqua" w:hAnsi="Book Antiqua" w:cs="Arial"/>
        </w:rPr>
        <w:br w:type="page"/>
      </w:r>
      <w:r>
        <w:rPr>
          <w:rFonts w:ascii="Book Antiqua" w:hAnsi="Book Antiqua" w:cs="Arial"/>
          <w:b/>
        </w:rPr>
        <w:t>Table 3 Association between six-minute walking test parameters and unfavorable clinical outcomes (hospital admissions and mortality) using logistic regression models</w:t>
      </w:r>
    </w:p>
    <w:tbl>
      <w:tblPr>
        <w:tblStyle w:val="7"/>
        <w:tblpPr w:leftFromText="141" w:rightFromText="141" w:vertAnchor="text" w:horzAnchor="margin" w:tblpXSpec="center" w:tblpY="193"/>
        <w:tblW w:w="5143"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27"/>
        <w:gridCol w:w="984"/>
        <w:gridCol w:w="989"/>
        <w:gridCol w:w="1209"/>
        <w:gridCol w:w="981"/>
        <w:gridCol w:w="989"/>
        <w:gridCol w:w="840"/>
        <w:gridCol w:w="8"/>
        <w:gridCol w:w="973"/>
        <w:gridCol w:w="989"/>
        <w:gridCol w:w="840"/>
        <w:gridCol w:w="982"/>
        <w:gridCol w:w="990"/>
        <w:gridCol w:w="85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1" w:type="pct"/>
            <w:tcBorders>
              <w:bottom w:val="nil"/>
            </w:tcBorders>
            <w:vAlign w:val="center"/>
          </w:tcPr>
          <w:p>
            <w:pPr>
              <w:adjustRightInd w:val="0"/>
              <w:snapToGrid w:val="0"/>
              <w:spacing w:line="360" w:lineRule="auto"/>
              <w:jc w:val="both"/>
              <w:rPr>
                <w:rFonts w:ascii="Book Antiqua" w:hAnsi="Book Antiqua" w:cs="Arial"/>
                <w:b/>
                <w:bCs/>
                <w:lang w:val="pt-BR"/>
              </w:rPr>
            </w:pPr>
          </w:p>
        </w:tc>
        <w:tc>
          <w:tcPr>
            <w:tcW w:w="2214" w:type="pct"/>
            <w:gridSpan w:val="7"/>
            <w:tcBorders>
              <w:bottom w:val="single" w:color="auto" w:sz="4" w:space="0"/>
            </w:tcBorders>
            <w:vAlign w:val="center"/>
          </w:tcPr>
          <w:p>
            <w:pPr>
              <w:adjustRightInd w:val="0"/>
              <w:snapToGrid w:val="0"/>
              <w:spacing w:line="360" w:lineRule="auto"/>
              <w:jc w:val="both"/>
              <w:rPr>
                <w:rFonts w:ascii="Book Antiqua" w:hAnsi="Book Antiqua" w:cs="Arial"/>
                <w:b/>
                <w:bCs/>
                <w:lang w:val="pt-BR"/>
              </w:rPr>
            </w:pPr>
            <w:r>
              <w:rPr>
                <w:rFonts w:ascii="Book Antiqua" w:hAnsi="Book Antiqua" w:cs="Arial"/>
                <w:b/>
                <w:bCs/>
                <w:lang w:val="pt-BR"/>
              </w:rPr>
              <w:t>Hospital Admission</w:t>
            </w:r>
          </w:p>
        </w:tc>
        <w:tc>
          <w:tcPr>
            <w:tcW w:w="2074" w:type="pct"/>
            <w:gridSpan w:val="6"/>
            <w:tcBorders>
              <w:bottom w:val="single" w:color="auto" w:sz="4" w:space="0"/>
            </w:tcBorders>
            <w:vAlign w:val="center"/>
          </w:tcPr>
          <w:p>
            <w:pPr>
              <w:adjustRightInd w:val="0"/>
              <w:snapToGrid w:val="0"/>
              <w:spacing w:line="360" w:lineRule="auto"/>
              <w:jc w:val="both"/>
              <w:rPr>
                <w:rFonts w:ascii="Book Antiqua" w:hAnsi="Book Antiqua" w:cs="Arial"/>
                <w:b/>
                <w:bCs/>
                <w:lang w:val="pt-BR"/>
              </w:rPr>
            </w:pPr>
            <w:r>
              <w:rPr>
                <w:rFonts w:ascii="Book Antiqua" w:hAnsi="Book Antiqua" w:cs="Arial"/>
                <w:b/>
                <w:bCs/>
                <w:lang w:val="pt-BR"/>
              </w:rPr>
              <w:t>Mortality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1" w:type="pct"/>
            <w:tcBorders>
              <w:top w:val="nil"/>
              <w:bottom w:val="single" w:color="auto" w:sz="4" w:space="0"/>
            </w:tcBorders>
            <w:vAlign w:val="center"/>
          </w:tcPr>
          <w:p>
            <w:pPr>
              <w:adjustRightInd w:val="0"/>
              <w:snapToGrid w:val="0"/>
              <w:spacing w:line="360" w:lineRule="auto"/>
              <w:jc w:val="both"/>
              <w:rPr>
                <w:rFonts w:ascii="Book Antiqua" w:hAnsi="Book Antiqua" w:cs="Arial"/>
                <w:b/>
                <w:bCs/>
                <w:lang w:val="pt-BR"/>
              </w:rPr>
            </w:pPr>
            <w:r>
              <w:rPr>
                <w:rFonts w:ascii="Book Antiqua" w:hAnsi="Book Antiqua" w:cs="Arial"/>
                <w:b/>
                <w:bCs/>
                <w:lang w:val="pt-BR"/>
              </w:rPr>
              <w:t>Predictors</w:t>
            </w:r>
          </w:p>
        </w:tc>
        <w:tc>
          <w:tcPr>
            <w:tcW w:w="1174" w:type="pct"/>
            <w:gridSpan w:val="3"/>
            <w:tcBorders>
              <w:top w:val="single" w:color="auto" w:sz="4" w:space="0"/>
              <w:bottom w:val="single" w:color="auto" w:sz="4" w:space="0"/>
            </w:tcBorders>
            <w:vAlign w:val="center"/>
          </w:tcPr>
          <w:p>
            <w:pPr>
              <w:adjustRightInd w:val="0"/>
              <w:snapToGrid w:val="0"/>
              <w:spacing w:line="360" w:lineRule="auto"/>
              <w:jc w:val="both"/>
              <w:rPr>
                <w:rFonts w:ascii="Book Antiqua" w:hAnsi="Book Antiqua" w:cs="Arial"/>
                <w:b/>
                <w:bCs/>
                <w:lang w:val="pt-BR"/>
              </w:rPr>
            </w:pPr>
            <w:r>
              <w:rPr>
                <w:rFonts w:ascii="Book Antiqua" w:hAnsi="Book Antiqua" w:cs="Arial"/>
                <w:b/>
                <w:bCs/>
                <w:lang w:val="pt-BR"/>
              </w:rPr>
              <w:t>Univariate</w:t>
            </w:r>
          </w:p>
        </w:tc>
        <w:tc>
          <w:tcPr>
            <w:tcW w:w="1037" w:type="pct"/>
            <w:gridSpan w:val="3"/>
            <w:tcBorders>
              <w:top w:val="single" w:color="auto" w:sz="4" w:space="0"/>
              <w:bottom w:val="single" w:color="auto" w:sz="4" w:space="0"/>
            </w:tcBorders>
            <w:vAlign w:val="center"/>
          </w:tcPr>
          <w:p>
            <w:pPr>
              <w:adjustRightInd w:val="0"/>
              <w:snapToGrid w:val="0"/>
              <w:spacing w:line="360" w:lineRule="auto"/>
              <w:jc w:val="both"/>
              <w:rPr>
                <w:rFonts w:ascii="Book Antiqua" w:hAnsi="Book Antiqua" w:cs="Arial"/>
                <w:b/>
                <w:bCs/>
                <w:lang w:val="pt-BR"/>
              </w:rPr>
            </w:pPr>
            <w:r>
              <w:rPr>
                <w:rFonts w:ascii="Book Antiqua" w:hAnsi="Book Antiqua" w:cs="Arial"/>
                <w:b/>
                <w:bCs/>
                <w:lang w:val="pt-BR"/>
              </w:rPr>
              <w:t>Multivariate</w:t>
            </w:r>
          </w:p>
        </w:tc>
        <w:tc>
          <w:tcPr>
            <w:tcW w:w="1037" w:type="pct"/>
            <w:gridSpan w:val="4"/>
            <w:tcBorders>
              <w:top w:val="single" w:color="auto" w:sz="4" w:space="0"/>
              <w:bottom w:val="single" w:color="auto" w:sz="4" w:space="0"/>
            </w:tcBorders>
            <w:vAlign w:val="center"/>
          </w:tcPr>
          <w:p>
            <w:pPr>
              <w:adjustRightInd w:val="0"/>
              <w:snapToGrid w:val="0"/>
              <w:spacing w:line="360" w:lineRule="auto"/>
              <w:jc w:val="both"/>
              <w:rPr>
                <w:rFonts w:ascii="Book Antiqua" w:hAnsi="Book Antiqua" w:cs="Arial"/>
                <w:b/>
                <w:bCs/>
                <w:lang w:val="pt-BR"/>
              </w:rPr>
            </w:pPr>
            <w:r>
              <w:rPr>
                <w:rFonts w:ascii="Book Antiqua" w:hAnsi="Book Antiqua" w:cs="Arial"/>
                <w:b/>
                <w:bCs/>
                <w:lang w:val="pt-BR"/>
              </w:rPr>
              <w:t>Univariate</w:t>
            </w:r>
          </w:p>
        </w:tc>
        <w:tc>
          <w:tcPr>
            <w:tcW w:w="1042" w:type="pct"/>
            <w:gridSpan w:val="3"/>
            <w:tcBorders>
              <w:top w:val="single" w:color="auto" w:sz="4" w:space="0"/>
              <w:bottom w:val="single" w:color="auto" w:sz="4" w:space="0"/>
            </w:tcBorders>
            <w:vAlign w:val="center"/>
          </w:tcPr>
          <w:p>
            <w:pPr>
              <w:adjustRightInd w:val="0"/>
              <w:snapToGrid w:val="0"/>
              <w:spacing w:line="360" w:lineRule="auto"/>
              <w:jc w:val="both"/>
              <w:rPr>
                <w:rFonts w:ascii="Book Antiqua" w:hAnsi="Book Antiqua" w:cs="Arial"/>
                <w:b/>
                <w:bCs/>
                <w:lang w:val="pt-BR"/>
              </w:rPr>
            </w:pPr>
            <w:r>
              <w:rPr>
                <w:rFonts w:ascii="Book Antiqua" w:hAnsi="Book Antiqua" w:cs="Arial"/>
                <w:b/>
                <w:bCs/>
                <w:lang w:val="pt-BR"/>
              </w:rPr>
              <w:t>Multivariate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1" w:type="pct"/>
            <w:tcBorders>
              <w:top w:val="single" w:color="auto" w:sz="4" w:space="0"/>
            </w:tcBorders>
            <w:vAlign w:val="center"/>
          </w:tcPr>
          <w:p>
            <w:pPr>
              <w:adjustRightInd w:val="0"/>
              <w:snapToGrid w:val="0"/>
              <w:spacing w:line="360" w:lineRule="auto"/>
              <w:jc w:val="both"/>
              <w:rPr>
                <w:rFonts w:ascii="Book Antiqua" w:hAnsi="Book Antiqua" w:cs="Arial"/>
                <w:lang w:val="pt-BR"/>
              </w:rPr>
            </w:pPr>
          </w:p>
        </w:tc>
        <w:tc>
          <w:tcPr>
            <w:tcW w:w="363" w:type="pct"/>
            <w:tcBorders>
              <w:top w:val="single" w:color="auto" w:sz="4" w:space="0"/>
            </w:tcBorders>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b</w:t>
            </w:r>
          </w:p>
        </w:tc>
        <w:tc>
          <w:tcPr>
            <w:tcW w:w="365" w:type="pct"/>
            <w:tcBorders>
              <w:top w:val="single" w:color="auto" w:sz="4" w:space="0"/>
            </w:tcBorders>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p</w:t>
            </w:r>
          </w:p>
        </w:tc>
        <w:tc>
          <w:tcPr>
            <w:tcW w:w="445" w:type="pct"/>
            <w:tcBorders>
              <w:top w:val="single" w:color="auto" w:sz="4" w:space="0"/>
            </w:tcBorders>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OR</w:t>
            </w:r>
          </w:p>
        </w:tc>
        <w:tc>
          <w:tcPr>
            <w:tcW w:w="362" w:type="pct"/>
            <w:tcBorders>
              <w:top w:val="single" w:color="auto" w:sz="4" w:space="0"/>
            </w:tcBorders>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b</w:t>
            </w:r>
          </w:p>
        </w:tc>
        <w:tc>
          <w:tcPr>
            <w:tcW w:w="365" w:type="pct"/>
            <w:tcBorders>
              <w:top w:val="single" w:color="auto" w:sz="4" w:space="0"/>
            </w:tcBorders>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p</w:t>
            </w:r>
          </w:p>
        </w:tc>
        <w:tc>
          <w:tcPr>
            <w:tcW w:w="310" w:type="pct"/>
            <w:tcBorders>
              <w:top w:val="single" w:color="auto" w:sz="4" w:space="0"/>
            </w:tcBorders>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OR</w:t>
            </w:r>
          </w:p>
        </w:tc>
        <w:tc>
          <w:tcPr>
            <w:tcW w:w="362" w:type="pct"/>
            <w:gridSpan w:val="2"/>
            <w:tcBorders>
              <w:top w:val="single" w:color="auto" w:sz="4" w:space="0"/>
            </w:tcBorders>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b</w:t>
            </w:r>
          </w:p>
        </w:tc>
        <w:tc>
          <w:tcPr>
            <w:tcW w:w="365" w:type="pct"/>
            <w:tcBorders>
              <w:top w:val="single" w:color="auto" w:sz="4" w:space="0"/>
            </w:tcBorders>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p</w:t>
            </w:r>
          </w:p>
        </w:tc>
        <w:tc>
          <w:tcPr>
            <w:tcW w:w="310" w:type="pct"/>
            <w:tcBorders>
              <w:top w:val="single" w:color="auto" w:sz="4" w:space="0"/>
            </w:tcBorders>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OR</w:t>
            </w:r>
          </w:p>
        </w:tc>
        <w:tc>
          <w:tcPr>
            <w:tcW w:w="362" w:type="pct"/>
            <w:tcBorders>
              <w:top w:val="single" w:color="auto" w:sz="4" w:space="0"/>
            </w:tcBorders>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b</w:t>
            </w:r>
          </w:p>
        </w:tc>
        <w:tc>
          <w:tcPr>
            <w:tcW w:w="365" w:type="pct"/>
            <w:tcBorders>
              <w:top w:val="single" w:color="auto" w:sz="4" w:space="0"/>
            </w:tcBorders>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p</w:t>
            </w:r>
          </w:p>
        </w:tc>
        <w:tc>
          <w:tcPr>
            <w:tcW w:w="315" w:type="pct"/>
            <w:tcBorders>
              <w:top w:val="single" w:color="auto" w:sz="4" w:space="0"/>
            </w:tcBorders>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1"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Child score</w:t>
            </w:r>
          </w:p>
        </w:tc>
        <w:tc>
          <w:tcPr>
            <w:tcW w:w="363"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0.74</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&lt; 0.01</w:t>
            </w:r>
          </w:p>
        </w:tc>
        <w:tc>
          <w:tcPr>
            <w:tcW w:w="44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2.1</w:t>
            </w:r>
          </w:p>
        </w:tc>
        <w:tc>
          <w:tcPr>
            <w:tcW w:w="362"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0.72</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&lt; 0.01</w:t>
            </w:r>
          </w:p>
        </w:tc>
        <w:tc>
          <w:tcPr>
            <w:tcW w:w="310"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2.05</w:t>
            </w:r>
          </w:p>
        </w:tc>
        <w:tc>
          <w:tcPr>
            <w:tcW w:w="362" w:type="pct"/>
            <w:gridSpan w:val="2"/>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1.01</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&lt; 0.01</w:t>
            </w:r>
          </w:p>
        </w:tc>
        <w:tc>
          <w:tcPr>
            <w:tcW w:w="310"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2.75</w:t>
            </w:r>
          </w:p>
        </w:tc>
        <w:tc>
          <w:tcPr>
            <w:tcW w:w="362"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1.03</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&lt; 0.01</w:t>
            </w:r>
          </w:p>
        </w:tc>
        <w:tc>
          <w:tcPr>
            <w:tcW w:w="31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1"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6MWD</w:t>
            </w:r>
          </w:p>
        </w:tc>
        <w:tc>
          <w:tcPr>
            <w:tcW w:w="363"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-0.005</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&lt; 0.01</w:t>
            </w:r>
          </w:p>
        </w:tc>
        <w:tc>
          <w:tcPr>
            <w:tcW w:w="44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0.99</w:t>
            </w:r>
          </w:p>
        </w:tc>
        <w:tc>
          <w:tcPr>
            <w:tcW w:w="362"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-0.005</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0.24</w:t>
            </w:r>
          </w:p>
        </w:tc>
        <w:tc>
          <w:tcPr>
            <w:tcW w:w="310"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0.99</w:t>
            </w:r>
          </w:p>
        </w:tc>
        <w:tc>
          <w:tcPr>
            <w:tcW w:w="362" w:type="pct"/>
            <w:gridSpan w:val="2"/>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-0.007</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0.01</w:t>
            </w:r>
          </w:p>
        </w:tc>
        <w:tc>
          <w:tcPr>
            <w:tcW w:w="310"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0.99</w:t>
            </w:r>
          </w:p>
        </w:tc>
        <w:tc>
          <w:tcPr>
            <w:tcW w:w="362"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-0.007</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0.04</w:t>
            </w:r>
          </w:p>
        </w:tc>
        <w:tc>
          <w:tcPr>
            <w:tcW w:w="31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1"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%6MWD</w:t>
            </w:r>
          </w:p>
        </w:tc>
        <w:tc>
          <w:tcPr>
            <w:tcW w:w="363"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-0.04</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0.01</w:t>
            </w:r>
          </w:p>
        </w:tc>
        <w:tc>
          <w:tcPr>
            <w:tcW w:w="44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0.96</w:t>
            </w:r>
          </w:p>
        </w:tc>
        <w:tc>
          <w:tcPr>
            <w:tcW w:w="362"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-0.03</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0.03</w:t>
            </w:r>
          </w:p>
        </w:tc>
        <w:tc>
          <w:tcPr>
            <w:tcW w:w="310"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0.96</w:t>
            </w:r>
          </w:p>
        </w:tc>
        <w:tc>
          <w:tcPr>
            <w:tcW w:w="362" w:type="pct"/>
            <w:gridSpan w:val="2"/>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-0.05</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0.02</w:t>
            </w:r>
          </w:p>
        </w:tc>
        <w:tc>
          <w:tcPr>
            <w:tcW w:w="310"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0.95</w:t>
            </w:r>
          </w:p>
        </w:tc>
        <w:tc>
          <w:tcPr>
            <w:tcW w:w="362"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-0.05</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0.03</w:t>
            </w:r>
          </w:p>
        </w:tc>
        <w:tc>
          <w:tcPr>
            <w:tcW w:w="31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1"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6MWD ≤ 444 m</w:t>
            </w:r>
          </w:p>
        </w:tc>
        <w:tc>
          <w:tcPr>
            <w:tcW w:w="363"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-1.395</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0.007</w:t>
            </w:r>
          </w:p>
        </w:tc>
        <w:tc>
          <w:tcPr>
            <w:tcW w:w="44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0.3</w:t>
            </w:r>
          </w:p>
        </w:tc>
        <w:tc>
          <w:tcPr>
            <w:tcW w:w="362"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-1.462</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0.01</w:t>
            </w:r>
          </w:p>
        </w:tc>
        <w:tc>
          <w:tcPr>
            <w:tcW w:w="310"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0.2</w:t>
            </w:r>
          </w:p>
        </w:tc>
        <w:tc>
          <w:tcPr>
            <w:tcW w:w="362" w:type="pct"/>
            <w:gridSpan w:val="2"/>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10"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2"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1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1"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6MWD ≤ 387 m</w:t>
            </w:r>
          </w:p>
        </w:tc>
        <w:tc>
          <w:tcPr>
            <w:tcW w:w="363"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44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2"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10"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w:t>
            </w:r>
          </w:p>
        </w:tc>
        <w:tc>
          <w:tcPr>
            <w:tcW w:w="362" w:type="pct"/>
            <w:gridSpan w:val="2"/>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1.659</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0.004</w:t>
            </w:r>
          </w:p>
        </w:tc>
        <w:tc>
          <w:tcPr>
            <w:tcW w:w="310"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5.25</w:t>
            </w:r>
          </w:p>
        </w:tc>
        <w:tc>
          <w:tcPr>
            <w:tcW w:w="362"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-1.17</w:t>
            </w:r>
          </w:p>
        </w:tc>
        <w:tc>
          <w:tcPr>
            <w:tcW w:w="36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0.2</w:t>
            </w:r>
          </w:p>
        </w:tc>
        <w:tc>
          <w:tcPr>
            <w:tcW w:w="315" w:type="pct"/>
            <w:vAlign w:val="center"/>
          </w:tcPr>
          <w:p>
            <w:pPr>
              <w:adjustRightInd w:val="0"/>
              <w:snapToGrid w:val="0"/>
              <w:spacing w:line="360" w:lineRule="auto"/>
              <w:jc w:val="both"/>
              <w:rPr>
                <w:rFonts w:ascii="Book Antiqua" w:hAnsi="Book Antiqua" w:cs="Arial"/>
                <w:lang w:val="pt-BR"/>
              </w:rPr>
            </w:pPr>
            <w:r>
              <w:rPr>
                <w:rFonts w:ascii="Book Antiqua" w:hAnsi="Book Antiqua" w:cs="Arial"/>
                <w:lang w:val="pt-BR"/>
              </w:rPr>
              <w:t>0.3</w:t>
            </w:r>
            <w:r>
              <w:rPr>
                <w:rFonts w:ascii="Book Antiqua" w:hAnsi="Book Antiqua" w:cs="Arial"/>
                <w:vertAlign w:val="superscript"/>
                <w:lang w:val="pt-BR"/>
              </w:rPr>
              <w:t>a</w:t>
            </w:r>
          </w:p>
        </w:tc>
      </w:tr>
    </w:tbl>
    <w:p>
      <w:pPr>
        <w:pStyle w:val="12"/>
        <w:adjustRightInd w:val="0"/>
        <w:snapToGrid w:val="0"/>
        <w:spacing w:line="360" w:lineRule="auto"/>
        <w:rPr>
          <w:rFonts w:ascii="Book Antiqua" w:hAnsi="Book Antiqua"/>
          <w:color w:val="000000"/>
          <w:sz w:val="24"/>
          <w:szCs w:val="24"/>
        </w:rPr>
      </w:pPr>
      <w:r>
        <w:rPr>
          <w:rFonts w:ascii="Book Antiqua" w:hAnsi="Book Antiqua" w:cs="Arial"/>
          <w:sz w:val="24"/>
          <w:szCs w:val="24"/>
          <w:vertAlign w:val="superscript"/>
        </w:rPr>
        <w:t>a</w:t>
      </w:r>
      <w:r>
        <w:rPr>
          <w:rFonts w:ascii="Book Antiqua" w:hAnsi="Book Antiqua" w:cs="Arial"/>
          <w:sz w:val="24"/>
          <w:szCs w:val="24"/>
        </w:rPr>
        <w:t>Confidential intervals for odds ratio are not represented but consider adequate for all analysis except for</w:t>
      </w:r>
      <w:r>
        <w:rPr>
          <w:rFonts w:ascii="Book Antiqua" w:hAnsi="Book Antiqua"/>
          <w:color w:val="000000"/>
          <w:sz w:val="24"/>
          <w:szCs w:val="24"/>
        </w:rPr>
        <w:t>odds ratio.</w:t>
      </w:r>
    </w:p>
    <w:p>
      <w:pPr>
        <w:pStyle w:val="12"/>
        <w:adjustRightInd w:val="0"/>
        <w:snapToGrid w:val="0"/>
        <w:spacing w:line="360" w:lineRule="auto"/>
        <w:rPr>
          <w:rFonts w:ascii="Book Antiqua" w:hAnsi="Book Antiqua"/>
          <w:color w:val="000000"/>
          <w:sz w:val="24"/>
          <w:szCs w:val="24"/>
        </w:rPr>
      </w:pPr>
      <w:r>
        <w:rPr>
          <w:rFonts w:ascii="Book Antiqua" w:hAnsi="Book Antiqua" w:cs="宋体"/>
          <w:color w:val="000000"/>
          <w:sz w:val="24"/>
          <w:szCs w:val="24"/>
        </w:rPr>
        <w:t xml:space="preserve">OR: </w:t>
      </w:r>
      <w:r>
        <w:rPr>
          <w:rFonts w:ascii="Book Antiqua" w:hAnsi="Book Antiqua"/>
          <w:color w:val="000000"/>
          <w:sz w:val="24"/>
          <w:szCs w:val="24"/>
        </w:rPr>
        <w:t>Odds ratio</w:t>
      </w:r>
      <w:r>
        <w:rPr>
          <w:rFonts w:ascii="Book Antiqua" w:hAnsi="Book Antiqua" w:cs="宋体"/>
          <w:color w:val="000000"/>
          <w:sz w:val="24"/>
          <w:szCs w:val="24"/>
        </w:rPr>
        <w:t>.</w:t>
      </w:r>
    </w:p>
    <w:p>
      <w:pPr>
        <w:adjustRightInd w:val="0"/>
        <w:snapToGrid w:val="0"/>
        <w:spacing w:line="360" w:lineRule="auto"/>
        <w:jc w:val="both"/>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70BD6"/>
    <w:rsid w:val="001744E4"/>
    <w:rsid w:val="001F6333"/>
    <w:rsid w:val="00383546"/>
    <w:rsid w:val="00532008"/>
    <w:rsid w:val="005E41FE"/>
    <w:rsid w:val="007328E8"/>
    <w:rsid w:val="007D6221"/>
    <w:rsid w:val="00901174"/>
    <w:rsid w:val="00927EE8"/>
    <w:rsid w:val="009D236A"/>
    <w:rsid w:val="00A77B3E"/>
    <w:rsid w:val="00BE09AF"/>
    <w:rsid w:val="00CA2A55"/>
    <w:rsid w:val="00CA7624"/>
    <w:rsid w:val="00D43D72"/>
    <w:rsid w:val="00FB4A7B"/>
    <w:rsid w:val="033475E1"/>
    <w:rsid w:val="287274B3"/>
    <w:rsid w:val="4EF648A2"/>
    <w:rsid w:val="56414DB7"/>
    <w:rsid w:val="59B05E80"/>
    <w:rsid w:val="663E0E35"/>
    <w:rsid w:val="6F8C4CE4"/>
    <w:rsid w:val="75692661"/>
    <w:rsid w:val="77DD1D6B"/>
    <w:rsid w:val="7B4E6DC1"/>
    <w:rsid w:val="7E5F1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uiPriority w:val="0"/>
  </w:style>
  <w:style w:type="paragraph" w:styleId="3">
    <w:name w:val="footer"/>
    <w:basedOn w:val="1"/>
    <w:link w:val="15"/>
    <w:unhideWhenUsed/>
    <w:qFormat/>
    <w:uiPriority w:val="0"/>
    <w:pPr>
      <w:tabs>
        <w:tab w:val="center" w:pos="4153"/>
        <w:tab w:val="right" w:pos="8306"/>
      </w:tabs>
      <w:snapToGrid w:val="0"/>
    </w:pPr>
    <w:rPr>
      <w:sz w:val="18"/>
      <w:szCs w:val="18"/>
    </w:rPr>
  </w:style>
  <w:style w:type="paragraph" w:styleId="4">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1"/>
    <w:semiHidden/>
    <w:unhideWhenUsed/>
    <w:qFormat/>
    <w:uiPriority w:val="0"/>
    <w:rPr>
      <w:b/>
      <w:bCs/>
    </w:rPr>
  </w:style>
  <w:style w:type="table" w:styleId="7">
    <w:name w:val="Table Grid"/>
    <w:basedOn w:val="6"/>
    <w:qFormat/>
    <w:uiPriority w:val="59"/>
    <w:rPr>
      <w:rFonts w:asciiTheme="minorHAnsi" w:hAnsiTheme="minorHAnsi" w:cstheme="minorBidi"/>
      <w:sz w:val="22"/>
      <w:szCs w:val="22"/>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0"/>
    <w:rPr>
      <w:sz w:val="21"/>
      <w:szCs w:val="21"/>
    </w:rPr>
  </w:style>
  <w:style w:type="character" w:customStyle="1" w:styleId="10">
    <w:name w:val="批注文字 字符"/>
    <w:basedOn w:val="8"/>
    <w:link w:val="2"/>
    <w:semiHidden/>
    <w:qFormat/>
    <w:uiPriority w:val="0"/>
    <w:rPr>
      <w:sz w:val="24"/>
      <w:szCs w:val="24"/>
    </w:rPr>
  </w:style>
  <w:style w:type="character" w:customStyle="1" w:styleId="11">
    <w:name w:val="批注主题 字符"/>
    <w:basedOn w:val="10"/>
    <w:link w:val="5"/>
    <w:semiHidden/>
    <w:qFormat/>
    <w:uiPriority w:val="0"/>
    <w:rPr>
      <w:b/>
      <w:bCs/>
      <w:sz w:val="24"/>
      <w:szCs w:val="24"/>
    </w:rPr>
  </w:style>
  <w:style w:type="paragraph" w:customStyle="1" w:styleId="12">
    <w:name w:val="正文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
    <w:name w:val="Revision1"/>
    <w:hidden/>
    <w:semiHidden/>
    <w:qFormat/>
    <w:uiPriority w:val="99"/>
    <w:rPr>
      <w:rFonts w:ascii="Times New Roman" w:hAnsi="Times New Roman" w:cs="Times New Roman" w:eastAsiaTheme="minorEastAsia"/>
      <w:sz w:val="24"/>
      <w:szCs w:val="24"/>
      <w:lang w:val="en-US" w:eastAsia="en-US" w:bidi="ar-SA"/>
    </w:rPr>
  </w:style>
  <w:style w:type="character" w:customStyle="1" w:styleId="14">
    <w:name w:val="页眉 字符"/>
    <w:basedOn w:val="8"/>
    <w:link w:val="4"/>
    <w:qFormat/>
    <w:uiPriority w:val="0"/>
    <w:rPr>
      <w:sz w:val="18"/>
      <w:szCs w:val="18"/>
      <w:lang w:eastAsia="en-US"/>
    </w:rPr>
  </w:style>
  <w:style w:type="character" w:customStyle="1" w:styleId="15">
    <w:name w:val="页脚 字符"/>
    <w:basedOn w:val="8"/>
    <w:link w:val="3"/>
    <w:qFormat/>
    <w:uiPriority w:val="0"/>
    <w:rP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5313</Words>
  <Characters>30287</Characters>
  <Lines>252</Lines>
  <Paragraphs>71</Paragraphs>
  <TotalTime>2</TotalTime>
  <ScaleCrop>false</ScaleCrop>
  <LinksUpToDate>false</LinksUpToDate>
  <CharactersWithSpaces>35529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2021-10-11T16:37:00Z</dcterms:created>
  <dc:creator>Liu Man</dc:creator>
  <cp:lastModifiedBy>晓晨</cp:lastModifiedBy>
  <dcterms:modified xsi:type="dcterms:W3CDTF">2021-11-23T10:20:34Z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8001ADC23A984A9F80719258E8D4D1A5</vt:lpwstr>
  </property>
</Properties>
</file>