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0B9F2" w14:textId="6517027D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D0708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D0708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D0708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4D6A312F" w14:textId="15AFE778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64264</w:t>
      </w:r>
    </w:p>
    <w:p w14:paraId="7DEDC1B8" w14:textId="060E1882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252DB465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656E469A" w14:textId="4E838CE8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D0708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52977FD3" w14:textId="672273D7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Prediction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hepatic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inflammation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chronic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hepatitis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patients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with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random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forest-backward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feature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elimina</w:t>
      </w:r>
      <w:r>
        <w:rPr>
          <w:rFonts w:ascii="Book Antiqua" w:eastAsia="Book Antiqua" w:hAnsi="Book Antiqua" w:cs="Book Antiqua"/>
          <w:b/>
          <w:color w:val="000000"/>
        </w:rPr>
        <w:t>tion</w:t>
      </w:r>
      <w:r w:rsidR="007852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algo</w:t>
      </w:r>
      <w:r>
        <w:rPr>
          <w:rFonts w:ascii="Book Antiqua" w:eastAsia="Book Antiqua" w:hAnsi="Book Antiqua" w:cs="Book Antiqua"/>
          <w:b/>
          <w:color w:val="000000"/>
        </w:rPr>
        <w:t>rithm</w:t>
      </w:r>
    </w:p>
    <w:p w14:paraId="190FA17D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07B2F81A" w14:textId="02244186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Zhou</w:t>
      </w:r>
      <w:r w:rsidR="00D0708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JY</w:t>
      </w:r>
      <w:r w:rsidR="00D0708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i/>
          <w:color w:val="000000"/>
        </w:rPr>
        <w:t>et</w:t>
      </w:r>
      <w:r w:rsidR="00D0708C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i/>
          <w:color w:val="000000"/>
        </w:rPr>
        <w:t>al</w:t>
      </w:r>
      <w:r>
        <w:rPr>
          <w:rFonts w:ascii="Book Antiqua" w:eastAsia="Book Antiqua" w:hAnsi="Book Antiqua" w:cs="Book Antiqua"/>
          <w:bCs/>
          <w:color w:val="000000"/>
        </w:rPr>
        <w:t>.</w:t>
      </w:r>
      <w:r w:rsidR="00D0708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A</w:t>
      </w:r>
      <w:r w:rsidR="00D0708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machine</w:t>
      </w:r>
      <w:r w:rsidR="00D0708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learning-based</w:t>
      </w:r>
      <w:r w:rsidR="00D0708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algorithm</w:t>
      </w:r>
      <w:r w:rsidR="00D0708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for</w:t>
      </w:r>
      <w:r w:rsidR="00D0708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hepatic</w:t>
      </w:r>
      <w:r w:rsidR="00D0708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inflammation</w:t>
      </w:r>
    </w:p>
    <w:p w14:paraId="77E4C00E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1DA8C549" w14:textId="6B7EB86A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Ji-Yuan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Liu-Wei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Xiao-</w:t>
      </w:r>
      <w:r>
        <w:rPr>
          <w:rFonts w:ascii="Book Antiqua" w:eastAsia="Book Antiqua" w:hAnsi="Book Antiqua" w:cs="Book Antiqua"/>
          <w:cap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Gui-Qiang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</w:p>
    <w:p w14:paraId="6EA54015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5498592B" w14:textId="3E3590C6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Ji-Yuan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Zhou,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Afﬁliated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Guangzhou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Guangzhou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510260,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73A1A40E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1B1F9A55" w14:textId="21E53DD5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Liu-Wei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Song,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Xiamen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Xiamen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361005,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670826D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45485761" w14:textId="4412550E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Rong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Yuan,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Xiao-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b/>
          <w:bCs/>
          <w:color w:val="000000"/>
        </w:rPr>
        <w:t>ing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Lu,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Peking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Shenzhen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Shenzhen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518036,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034CFE88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3BCD5629" w14:textId="1F491E96" w:rsidR="00250BD1" w:rsidRDefault="001C262F">
      <w:pPr>
        <w:spacing w:line="360" w:lineRule="auto"/>
        <w:jc w:val="both"/>
        <w:rPr>
          <w:rFonts w:ascii="Book Antiqua" w:hAnsi="Book Antiqua"/>
        </w:rPr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Gui-Qiang</w:t>
      </w:r>
      <w:proofErr w:type="spellEnd"/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Peking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Beijing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100034,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4F6F49EC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7B73CA35" w14:textId="3EEEC4E4" w:rsidR="00250BD1" w:rsidRDefault="001C26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>
        <w:rPr>
          <w:rFonts w:ascii="Book Antiqua" w:eastAsia="Book Antiqua" w:hAnsi="Book Antiqua" w:cs="Book Antiqua"/>
          <w:caps/>
          <w:color w:val="000000"/>
        </w:rPr>
        <w:t>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</w:t>
      </w:r>
      <w:r>
        <w:rPr>
          <w:rFonts w:ascii="Book Antiqua" w:eastAsia="Book Antiqua" w:hAnsi="Book Antiqua" w:cs="Book Antiqua"/>
          <w:color w:val="000000"/>
        </w:rPr>
        <w:t>yzed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7852B7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data,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aps/>
          <w:color w:val="000000"/>
        </w:rPr>
        <w:t>w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>
        <w:rPr>
          <w:rFonts w:ascii="Book Antiqua" w:eastAsia="Book Antiqua" w:hAnsi="Book Antiqua" w:cs="Book Antiqua"/>
          <w:caps/>
          <w:color w:val="000000"/>
        </w:rPr>
        <w:t>p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ELISA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discussions;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RF-BFE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aps/>
          <w:color w:val="000000"/>
        </w:rPr>
        <w:t>q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accountable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work.</w:t>
      </w:r>
    </w:p>
    <w:p w14:paraId="24214D8A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2CA86B65" w14:textId="2C0C0564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0708C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Mega-Project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2017ZX10203202;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2019A1515110060</w:t>
      </w:r>
      <w:r w:rsidR="00B4504B"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</w:p>
    <w:p w14:paraId="542CC760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54E984DE" w14:textId="203E2A78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Gui-Qiang</w:t>
      </w:r>
      <w:proofErr w:type="spellEnd"/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Chairman,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Peking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Xishiku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Street,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Xicheng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District,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Beijing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100034,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john131212@126.com</w:t>
      </w:r>
    </w:p>
    <w:p w14:paraId="1D9B0E12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60777EB6" w14:textId="720642B7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344F278" w14:textId="3AFE59D2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716C414" w14:textId="1A264E31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4532A" w:rsidRPr="00D4532A">
        <w:rPr>
          <w:rFonts w:ascii="Book Antiqua" w:eastAsia="Book Antiqua" w:hAnsi="Book Antiqua" w:cs="Book Antiqua"/>
          <w:color w:val="000000"/>
        </w:rPr>
        <w:t>April 20, 2021</w:t>
      </w:r>
    </w:p>
    <w:p w14:paraId="6F6D0EFA" w14:textId="41BBA7E2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5E4733F" w14:textId="77777777" w:rsidR="00250BD1" w:rsidRDefault="00250BD1">
      <w:pPr>
        <w:spacing w:line="360" w:lineRule="auto"/>
        <w:jc w:val="both"/>
        <w:rPr>
          <w:rFonts w:ascii="Book Antiqua" w:hAnsi="Book Antiqua"/>
        </w:rPr>
        <w:sectPr w:rsidR="00250BD1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261D6A" w14:textId="77777777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9434A12" w14:textId="77777777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457D50DB" w14:textId="69043EA9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Persistent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</w:t>
      </w:r>
      <w:r>
        <w:rPr>
          <w:rFonts w:ascii="Book Antiqua" w:eastAsia="Book Antiqua" w:hAnsi="Book Antiqua" w:cs="Book Antiqua"/>
          <w:color w:val="000000"/>
        </w:rPr>
        <w:t>is</w:t>
      </w:r>
      <w:r w:rsidR="007852B7"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(CHB)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priority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</w:p>
    <w:p w14:paraId="7393C3DD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06CDDB1E" w14:textId="77777777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225BBBAF" w14:textId="05205431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ap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robust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B-related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</w:p>
    <w:p w14:paraId="343BDB60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775BD18E" w14:textId="77777777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18833311" w14:textId="187862EE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treatment-naïve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(402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>
        <w:rPr>
          <w:rFonts w:ascii="Book Antiqua" w:eastAsia="Book Antiqua" w:hAnsi="Book Antiqua" w:cs="Book Antiqua"/>
          <w:color w:val="000000"/>
        </w:rPr>
        <w:t>-positive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248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>
        <w:rPr>
          <w:rFonts w:ascii="Book Antiqua" w:eastAsia="Book Antiqua" w:hAnsi="Book Antiqua" w:cs="Book Antiqua"/>
          <w:color w:val="000000"/>
        </w:rPr>
        <w:t>-negative)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Ishak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immune-related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chemiluminescent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microparticle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immunoassay.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backward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(BFE)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(RF)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abilities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(AUROC)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DeLong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</w:p>
    <w:p w14:paraId="7C4ADE07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5F349DFD" w14:textId="77777777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009DDF09" w14:textId="321CE9B4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Four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RF-BFE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</w:t>
      </w:r>
      <w:r>
        <w:rPr>
          <w:rFonts w:ascii="Book Antiqua" w:eastAsia="Book Antiqua" w:hAnsi="Book Antiqua" w:cs="Book Antiqua"/>
          <w:color w:val="000000"/>
        </w:rPr>
        <w:t>HBc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7852B7"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CXCL11.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Spearman’s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7852B7"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CXCL11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7852B7">
        <w:rPr>
          <w:rFonts w:ascii="Book Antiqua" w:eastAsia="Book Antiqua" w:hAnsi="Book Antiqua" w:cs="Book Antiqua"/>
          <w:color w:val="000000"/>
        </w:rPr>
        <w:t xml:space="preserve">levels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(HAI)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incorporated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[0.822;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confidence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(CI):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</w:t>
      </w:r>
      <w:r>
        <w:rPr>
          <w:rFonts w:ascii="Book Antiqua" w:eastAsia="Book Antiqua" w:hAnsi="Book Antiqua" w:cs="Book Antiqua"/>
          <w:color w:val="000000"/>
        </w:rPr>
        <w:t>90-0.851]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(0.760,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0.724-0.792,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D0708C">
        <w:rPr>
          <w:rFonts w:ascii="Book Antiqua" w:eastAsia="Book Antiqua" w:hAnsi="Book Antiqua" w:cs="Book Antiqua"/>
          <w:i/>
          <w:iCs/>
          <w:cap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0.41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9.17%,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81.44%,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73.8%.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>
        <w:rPr>
          <w:rFonts w:ascii="Book Antiqua" w:eastAsia="Book Antiqua" w:hAnsi="Book Antiqua" w:cs="Book Antiqua"/>
          <w:color w:val="000000"/>
        </w:rPr>
        <w:t>-positive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>
        <w:rPr>
          <w:rFonts w:ascii="Book Antiqua" w:eastAsia="Book Antiqua" w:hAnsi="Book Antiqua" w:cs="Book Antiqua"/>
          <w:color w:val="000000"/>
        </w:rPr>
        <w:t>-negative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(0.829,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0.789-0.865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0.810,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0.755-0.857,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</w:p>
    <w:p w14:paraId="438213DE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7040FCF2" w14:textId="77777777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0834B84B" w14:textId="0DA122EB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RF-BFE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</w:p>
    <w:p w14:paraId="698EC9C5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25DF7112" w14:textId="174BCB7B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ap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ap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achine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aps/>
          <w:color w:val="000000"/>
        </w:rPr>
        <w:t>q</w:t>
      </w:r>
      <w:r>
        <w:rPr>
          <w:rFonts w:ascii="Book Antiqua" w:eastAsia="Book Antiqua" w:hAnsi="Book Antiqua" w:cs="Book Antiqua"/>
          <w:color w:val="000000"/>
        </w:rPr>
        <w:t>uantitative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CXCL11</w:t>
      </w:r>
      <w:r w:rsidR="00BE6A70">
        <w:rPr>
          <w:rFonts w:ascii="Book Antiqua" w:eastAsia="Book Antiqua" w:hAnsi="Book Antiqua" w:cs="Book Antiqua"/>
          <w:color w:val="000000"/>
        </w:rPr>
        <w:t>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ap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efficiency</w:t>
      </w:r>
    </w:p>
    <w:p w14:paraId="0801859A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3D6F120D" w14:textId="1A3E5A90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Zhou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LW,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XP,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GQ.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forest-backward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</w:t>
      </w:r>
      <w:r>
        <w:rPr>
          <w:rFonts w:ascii="Book Antiqua" w:eastAsia="Book Antiqua" w:hAnsi="Book Antiqua" w:cs="Book Antiqua"/>
          <w:color w:val="000000"/>
        </w:rPr>
        <w:t>ination</w:t>
      </w:r>
      <w:r w:rsidR="007852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691463E6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4E494CF7" w14:textId="168F4D25" w:rsidR="00250BD1" w:rsidRDefault="001C26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backward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B-related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>
        <w:rPr>
          <w:rFonts w:ascii="Book Antiqua" w:eastAsia="Book Antiqua" w:hAnsi="Book Antiqua" w:cs="Book Antiqua"/>
          <w:color w:val="000000"/>
        </w:rPr>
        <w:t>-positive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>
        <w:rPr>
          <w:rFonts w:ascii="Book Antiqua" w:eastAsia="Book Antiqua" w:hAnsi="Book Antiqua" w:cs="Book Antiqua"/>
          <w:color w:val="000000"/>
        </w:rPr>
        <w:t>-negative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128F5465" w14:textId="1FA552E7" w:rsidR="007632E7" w:rsidRDefault="007632E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46A21D7" w14:textId="16A0F83E" w:rsidR="007632E7" w:rsidRDefault="007632E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86032C6" w14:textId="5D889E02" w:rsidR="007632E7" w:rsidRDefault="007632E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D22A8E3" w14:textId="77777777" w:rsidR="007632E7" w:rsidRDefault="007632E7">
      <w:pPr>
        <w:spacing w:line="360" w:lineRule="auto"/>
        <w:jc w:val="both"/>
        <w:rPr>
          <w:rFonts w:ascii="Book Antiqua" w:hAnsi="Book Antiqua"/>
        </w:rPr>
      </w:pPr>
    </w:p>
    <w:p w14:paraId="2AF33082" w14:textId="77777777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E98AA17" w14:textId="566548D5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257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chronically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(HBV),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880000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annually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</w:t>
      </w:r>
      <w:r>
        <w:rPr>
          <w:rFonts w:ascii="Book Antiqua" w:eastAsia="Book Antiqua" w:hAnsi="Book Antiqua" w:cs="Book Antiqua"/>
          <w:color w:val="000000"/>
        </w:rPr>
        <w:t>osis</w:t>
      </w:r>
      <w:r w:rsidR="00F337D6"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(HCC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337D6">
        <w:fldChar w:fldCharType="begin"/>
      </w:r>
      <w:r w:rsidR="00F337D6">
        <w:instrText xml:space="preserve"> HYPERLINK \l "_ENREF_1" \o "Collaborators, 2018 #16405" </w:instrText>
      </w:r>
      <w:r w:rsidR="00F337D6">
        <w:fldChar w:fldCharType="separate"/>
      </w:r>
      <w:r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337D6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body's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hinders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F337D6">
        <w:rPr>
          <w:rFonts w:ascii="Book Antiqua" w:eastAsia="Book Antiqua" w:hAnsi="Book Antiqua" w:cs="Book Antiqua"/>
          <w:color w:val="000000"/>
        </w:rPr>
        <w:t xml:space="preserve">to </w:t>
      </w:r>
      <w:r>
        <w:rPr>
          <w:rFonts w:ascii="Book Antiqua" w:eastAsia="Book Antiqua" w:hAnsi="Book Antiqua" w:cs="Book Antiqua"/>
          <w:color w:val="000000"/>
        </w:rPr>
        <w:t>clear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F337D6"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HCC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begin"/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instrText xml:space="preserve"> HYPERLINK \l "_ENREF_2" \o "Berasain, 2009 #16214" </w:instrTex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separate"/>
      </w:r>
      <w:r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</w:t>
      </w:r>
      <w:r>
        <w:rPr>
          <w:rFonts w:ascii="Book Antiqua" w:eastAsia="Book Antiqua" w:hAnsi="Book Antiqua" w:cs="Book Antiqua"/>
          <w:color w:val="000000"/>
        </w:rPr>
        <w:t>sential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(CHB)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</w:p>
    <w:p w14:paraId="51C21D67" w14:textId="66321C01" w:rsidR="00250BD1" w:rsidRDefault="001C262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(anti-HBc)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nonprotective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HBcAg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HBV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begin"/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instrText xml:space="preserve"> HYPERLINK \l "_ENREF_3" \o "Wu, 2017 #16328" </w:instrTex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separate"/>
      </w:r>
      <w:r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status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begin"/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instrText xml:space="preserve"> HYPERLINK \l "_ENREF_4" \o "Fan, 2016 #11860" </w:instrTex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separate"/>
      </w:r>
      <w:r>
        <w:rPr>
          <w:rFonts w:ascii="Book Antiqua" w:eastAsia="Book Antiqua" w:hAnsi="Book Antiqua" w:cs="Book Antiqua"/>
          <w:color w:val="000000"/>
          <w:vertAlign w:val="superscript"/>
        </w:rPr>
        <w:t>4-7</w: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(HAI)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B-related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begin"/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instrText xml:space="preserve"> HYPERLINK \l "_ENREF_8" \o "Zhou, 2017 #16274" </w:instrTex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separate"/>
      </w:r>
      <w:r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</w:p>
    <w:p w14:paraId="1EEEEB96" w14:textId="769AF488" w:rsidR="00250BD1" w:rsidRDefault="001C262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immune-related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B-related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</w:p>
    <w:p w14:paraId="4ED093F0" w14:textId="77777777" w:rsidR="00250BD1" w:rsidRDefault="00250BD1" w:rsidP="00D0708C">
      <w:pPr>
        <w:spacing w:line="360" w:lineRule="auto"/>
        <w:jc w:val="both"/>
        <w:rPr>
          <w:rFonts w:ascii="Book Antiqua" w:hAnsi="Book Antiqua"/>
        </w:rPr>
      </w:pPr>
    </w:p>
    <w:p w14:paraId="32C82BBD" w14:textId="0C221349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MATERIALS</w:t>
      </w:r>
      <w:r w:rsidR="00D0708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D0708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4442CB6D" w14:textId="77777777" w:rsidR="00250BD1" w:rsidRDefault="001C262F">
      <w:pPr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eastAsia="Book Antiqua" w:hAnsi="Book Antiqua" w:cs="Book Antiqua"/>
          <w:b/>
          <w:bCs/>
          <w:i/>
          <w:color w:val="000000"/>
        </w:rPr>
        <w:t>Patients</w:t>
      </w:r>
    </w:p>
    <w:p w14:paraId="5182DF4D" w14:textId="3C05DB63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D0708C">
        <w:rPr>
          <w:rFonts w:ascii="Book Antiqua" w:eastAsia="Book Antiqua" w:hAnsi="Book Antiqua" w:cs="Book Antiqua"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>ge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18-75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</w:t>
      </w:r>
      <w:r>
        <w:rPr>
          <w:rFonts w:ascii="Book Antiqua" w:eastAsia="Book Antiqua" w:hAnsi="Book Antiqua" w:cs="Book Antiqua"/>
          <w:color w:val="000000"/>
        </w:rPr>
        <w:t>rs;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F337D6">
        <w:rPr>
          <w:rFonts w:ascii="Book Antiqua" w:eastAsia="Book Antiqua" w:hAnsi="Book Antiqua" w:cs="Book Antiqua"/>
          <w:color w:val="000000"/>
        </w:rPr>
        <w:t xml:space="preserve">hepatitis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(HBsAg)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seropositive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F337D6">
        <w:rPr>
          <w:rFonts w:ascii="Book Antiqua" w:eastAsia="Book Antiqua" w:hAnsi="Book Antiqua" w:cs="Book Antiqua"/>
          <w:color w:val="000000"/>
        </w:rPr>
        <w:t xml:space="preserve">being treatment </w:t>
      </w:r>
      <w:r>
        <w:rPr>
          <w:rFonts w:ascii="Book Antiqua" w:eastAsia="Book Antiqua" w:hAnsi="Book Antiqua" w:cs="Book Antiqua"/>
          <w:color w:val="000000"/>
        </w:rPr>
        <w:t>naïve;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F337D6">
        <w:rPr>
          <w:rFonts w:ascii="Book Antiqua" w:eastAsia="Book Antiqua" w:hAnsi="Book Antiqua" w:cs="Book Antiqua"/>
          <w:color w:val="000000"/>
        </w:rPr>
        <w:t xml:space="preserve">serum </w:t>
      </w:r>
      <w:r>
        <w:rPr>
          <w:rFonts w:ascii="Book Antiqua" w:eastAsia="Book Antiqua" w:hAnsi="Book Antiqua" w:cs="Book Antiqua"/>
          <w:color w:val="000000"/>
        </w:rPr>
        <w:t>negative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Avirus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(HAV)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anti-HCV,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(HEV)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IgM/IgG,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anti-Epstein–Barr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(EBV)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anti-cytomegalovirus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(CMV)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IgM</w:t>
      </w:r>
      <w:r w:rsidR="00D0708C">
        <w:rPr>
          <w:rFonts w:ascii="Book Antiqua" w:eastAsia="Book Antiqua" w:hAnsi="Book Antiqua" w:cs="Book Antiqua"/>
          <w:color w:val="000000"/>
        </w:rPr>
        <w:t xml:space="preserve">; and </w:t>
      </w:r>
      <w:r>
        <w:rPr>
          <w:rFonts w:ascii="Book Antiqua" w:eastAsia="Book Antiqua" w:hAnsi="Book Antiqua" w:cs="Book Antiqua"/>
          <w:color w:val="000000"/>
        </w:rPr>
        <w:t>(5)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F337D6">
        <w:rPr>
          <w:rFonts w:ascii="Book Antiqua" w:eastAsia="Book Antiqua" w:hAnsi="Book Antiqua" w:cs="Book Antiqua"/>
          <w:color w:val="000000"/>
        </w:rPr>
        <w:t xml:space="preserve">withdrawal </w:t>
      </w:r>
      <w:r>
        <w:rPr>
          <w:rFonts w:ascii="Book Antiqua" w:eastAsia="Book Antiqua" w:hAnsi="Book Antiqua" w:cs="Book Antiqua"/>
          <w:color w:val="000000"/>
        </w:rPr>
        <w:t>from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transaminase-lowering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bicyclol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biochemistry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</w:p>
    <w:p w14:paraId="24BD6A7C" w14:textId="668DCCC0" w:rsidR="00250BD1" w:rsidRDefault="00F337D6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The exclusion </w:t>
      </w:r>
      <w:r w:rsidR="001C262F">
        <w:rPr>
          <w:rFonts w:ascii="Book Antiqua" w:eastAsia="Book Antiqua" w:hAnsi="Book Antiqua" w:cs="Book Antiqua"/>
          <w:color w:val="000000"/>
        </w:rPr>
        <w:t>criteria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this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study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included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o</w:t>
      </w:r>
      <w:r w:rsidR="001C262F">
        <w:rPr>
          <w:rFonts w:ascii="Book Antiqua" w:eastAsia="Book Antiqua" w:hAnsi="Book Antiqua" w:cs="Book Antiqua"/>
          <w:color w:val="000000"/>
        </w:rPr>
        <w:t>verlapping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etiologies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hepatitis,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including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HCV,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HIV,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alcoholism,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autoimmune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disease,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genetic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disease,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drug-induced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caus</w:t>
      </w:r>
      <w:r w:rsidR="001C262F">
        <w:rPr>
          <w:rFonts w:ascii="Book Antiqua" w:eastAsia="Book Antiqua" w:hAnsi="Book Antiqua" w:cs="Book Antiqua"/>
          <w:color w:val="000000"/>
        </w:rPr>
        <w:t>es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nonalcoholic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fatty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liver.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decompensated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cirrhosis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HCC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also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excluded.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All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patents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provided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written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informed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consent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scientific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use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their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clinical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data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samples.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complete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protocol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clinical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trial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has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been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registered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clinicaltrials.gov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(NCT01962155)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chictr.org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(ChiCTR-DDT-13003724).</w:t>
      </w:r>
    </w:p>
    <w:p w14:paraId="11AAE4E7" w14:textId="77777777" w:rsidR="00250BD1" w:rsidRDefault="00250BD1">
      <w:pPr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641C1AD4" w14:textId="7859137C" w:rsidR="00250BD1" w:rsidRDefault="001C262F">
      <w:pPr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eastAsia="Book Antiqua" w:hAnsi="Book Antiqua" w:cs="Book Antiqua"/>
          <w:b/>
          <w:bCs/>
          <w:i/>
          <w:color w:val="000000"/>
        </w:rPr>
        <w:t>Data</w:t>
      </w:r>
      <w:r w:rsidR="00D0708C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acquisition</w:t>
      </w:r>
    </w:p>
    <w:p w14:paraId="253E179A" w14:textId="1518CA6D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All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>
        <w:rPr>
          <w:rFonts w:ascii="Book Antiqua" w:eastAsia="Book Antiqua" w:hAnsi="Book Antiqua" w:cs="Book Antiqua"/>
          <w:color w:val="000000"/>
        </w:rPr>
        <w:t>nderwent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ultrasonographic</w:t>
      </w:r>
      <w:proofErr w:type="spellEnd"/>
      <w:r>
        <w:rPr>
          <w:rFonts w:ascii="Book Antiqua" w:eastAsia="Book Antiqua" w:hAnsi="Book Antiqua" w:cs="Book Antiqua"/>
          <w:color w:val="000000"/>
        </w:rPr>
        <w:t>-guided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F337D6">
        <w:rPr>
          <w:rFonts w:ascii="Book Antiqua" w:eastAsia="Book Antiqua" w:hAnsi="Book Antiqua" w:cs="Book Antiqua"/>
          <w:color w:val="000000"/>
        </w:rPr>
        <w:t xml:space="preserve">biopsy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F337D6">
        <w:rPr>
          <w:rFonts w:ascii="Book Antiqua" w:eastAsia="Book Antiqua" w:hAnsi="Book Antiqua" w:cs="Book Antiqua"/>
          <w:color w:val="000000"/>
        </w:rPr>
        <w:t xml:space="preserve">of </w:t>
      </w:r>
      <w:proofErr w:type="spellStart"/>
      <w:r>
        <w:rPr>
          <w:rFonts w:ascii="Book Antiqua" w:eastAsia="Book Antiqua" w:hAnsi="Book Antiqua" w:cs="Book Antiqua"/>
          <w:color w:val="000000"/>
        </w:rPr>
        <w:t>Youan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Capital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F337D6">
        <w:rPr>
          <w:rFonts w:ascii="Book Antiqua" w:eastAsia="Book Antiqua" w:hAnsi="Book Antiqua" w:cs="Book Antiqua"/>
          <w:color w:val="000000"/>
        </w:rPr>
        <w:t xml:space="preserve">two </w:t>
      </w:r>
      <w:r>
        <w:rPr>
          <w:rFonts w:ascii="Book Antiqua" w:eastAsia="Book Antiqua" w:hAnsi="Book Antiqua" w:cs="Book Antiqua"/>
          <w:color w:val="000000"/>
        </w:rPr>
        <w:t>pathologists.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discrepancies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pathologists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reassessing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randomly.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fibrosis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begin"/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instrText xml:space="preserve"> HYPERLINK \l "_ENREF_9" \o "Wai, 2003 #16223" </w:instrTex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separate"/>
      </w:r>
      <w:r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10" w:tooltip="Hui, 2005 #16224" w:history="1">
        <w:r>
          <w:rPr>
            <w:rFonts w:ascii="Book Antiqua" w:eastAsia="Book Antiqua" w:hAnsi="Book Antiqua" w:cs="Book Antiqua"/>
            <w:color w:val="000000"/>
            <w:vertAlign w:val="superscript"/>
          </w:rPr>
          <w:t>10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</w:p>
    <w:p w14:paraId="5A1C2797" w14:textId="79917F3C" w:rsidR="00250BD1" w:rsidRDefault="001C262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</w:t>
      </w:r>
      <w:r>
        <w:rPr>
          <w:rFonts w:ascii="Book Antiqua" w:eastAsia="Book Antiqua" w:hAnsi="Book Antiqua" w:cs="Book Antiqua"/>
          <w:color w:val="000000"/>
        </w:rPr>
        <w:t>opsy,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F337D6"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</w:t>
      </w:r>
      <w:r>
        <w:rPr>
          <w:rFonts w:ascii="Book Antiqua" w:eastAsia="Book Antiqua" w:hAnsi="Book Antiqua" w:cs="Book Antiqua"/>
          <w:color w:val="000000"/>
        </w:rPr>
        <w:t>ulation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analyzers.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HBsAg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commercially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immunoassays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(Roche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Penzberg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Germany).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(range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</w:rPr>
        <w:t>-1.7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via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COBAS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AmpliPrep</w:t>
      </w:r>
      <w:proofErr w:type="spellEnd"/>
      <w:r>
        <w:rPr>
          <w:rFonts w:ascii="Book Antiqua" w:eastAsia="Book Antiqua" w:hAnsi="Book Antiqua" w:cs="Book Antiqua"/>
          <w:color w:val="000000"/>
        </w:rPr>
        <w:t>/COBAS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TaqMan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double-sandw</w:t>
      </w:r>
      <w:r>
        <w:rPr>
          <w:rFonts w:ascii="Book Antiqua" w:eastAsia="Book Antiqua" w:hAnsi="Book Antiqua" w:cs="Book Antiqua"/>
          <w:color w:val="000000"/>
        </w:rPr>
        <w:t>ich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enzyme-linked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immunosorbent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Wantai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Xiamen,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China).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</w:p>
    <w:p w14:paraId="0527B1FD" w14:textId="0F9111E5" w:rsidR="00250BD1" w:rsidRDefault="001C262F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Six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(CXCL9,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CXCL10,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CXCL11,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IL-2R,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IL-33</w:t>
      </w:r>
      <w:r w:rsidR="00F337D6"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IL-34)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F337D6">
        <w:rPr>
          <w:rFonts w:ascii="Book Antiqua" w:eastAsia="Book Antiqua" w:hAnsi="Book Antiqua" w:cs="Book Antiqua"/>
          <w:color w:val="000000"/>
        </w:rPr>
        <w:t xml:space="preserve">with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Luminex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(LXSAHM-6,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R&amp;D,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Minneapolis</w:t>
      </w:r>
      <w:proofErr w:type="gramEnd"/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MN,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States).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F337D6">
        <w:rPr>
          <w:rFonts w:ascii="Book Antiqua" w:eastAsia="Book Antiqua" w:hAnsi="Book Antiqua" w:cs="Book Antiqua"/>
          <w:color w:val="000000"/>
        </w:rPr>
        <w:t xml:space="preserve">15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(IL-1β,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IL-4,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IL-8,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IL-13,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IL-17A,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CCL2,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CCL3,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IL-12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p70,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IFN-γ,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TGF-α</w:t>
      </w:r>
      <w:r w:rsidR="00F337D6"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granulocyte-monocyte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F337D6">
        <w:rPr>
          <w:rFonts w:ascii="Book Antiqua" w:eastAsia="Book Antiqua" w:hAnsi="Book Antiqua" w:cs="Book Antiqua"/>
          <w:color w:val="000000"/>
        </w:rPr>
        <w:t xml:space="preserve">with human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(Cat.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HCYTOMAG-60K,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Millipore,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Billerica,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States).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F337D6">
        <w:rPr>
          <w:rFonts w:ascii="Book Antiqua" w:eastAsia="Book Antiqua" w:hAnsi="Book Antiqua" w:cs="Book Antiqua"/>
          <w:color w:val="000000"/>
        </w:rPr>
        <w:t xml:space="preserve">with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Luminex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(EMD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Millipore,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Billerica,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manufacturer’s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instructions.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duplicate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0.999.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</w:p>
    <w:p w14:paraId="5EE3DA20" w14:textId="77777777" w:rsidR="00250BD1" w:rsidRDefault="00250BD1">
      <w:pPr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6633E5B3" w14:textId="7751BE46" w:rsidR="00250BD1" w:rsidRDefault="001C262F">
      <w:pPr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eastAsia="Book Antiqua" w:hAnsi="Book Antiqua" w:cs="Book Antiqua"/>
          <w:b/>
          <w:bCs/>
          <w:i/>
          <w:color w:val="000000"/>
        </w:rPr>
        <w:t>S</w:t>
      </w:r>
      <w:r w:rsidR="00F337D6">
        <w:rPr>
          <w:rFonts w:ascii="Book Antiqua" w:eastAsia="Book Antiqua" w:hAnsi="Book Antiqua" w:cs="Book Antiqua"/>
          <w:b/>
          <w:bCs/>
          <w:i/>
          <w:color w:val="000000"/>
        </w:rPr>
        <w:t>election of s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ignificant</w:t>
      </w:r>
      <w:r w:rsidR="00D0708C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features</w:t>
      </w:r>
    </w:p>
    <w:p w14:paraId="6FFFE954" w14:textId="1EB4A51A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(RF)-backward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(BFE)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automatically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</w:t>
      </w:r>
      <w:r w:rsidR="00F337D6"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RF-BFE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Figure</w:t>
      </w:r>
      <w:r w:rsidR="00D0708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shuffled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shrinkage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(LASSO)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iteratively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regularization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BFE.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penalizes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L1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penalty,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shrinking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zero.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regularization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interpretability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iterations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gathered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counter,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</w:p>
    <w:p w14:paraId="47A72B89" w14:textId="5A79CF3D" w:rsidR="00250BD1" w:rsidRDefault="001C262F">
      <w:pPr>
        <w:spacing w:line="360" w:lineRule="auto"/>
        <w:ind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robust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iteration.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scheme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iteration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illustrated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Figure</w:t>
      </w:r>
      <w:r w:rsidR="00D0708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eliminated,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retrain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BFE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</w:p>
    <w:p w14:paraId="733DEF86" w14:textId="1FD19D7F" w:rsidR="00250BD1" w:rsidRDefault="001C262F">
      <w:pPr>
        <w:spacing w:line="360" w:lineRule="auto"/>
        <w:ind w:firstLine="4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i/>
          <w:iCs/>
          <w:color w:val="000000"/>
        </w:rPr>
        <w:t>Sensitivity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=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TP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/(</w:t>
      </w:r>
      <w:proofErr w:type="gramEnd"/>
      <w:r>
        <w:rPr>
          <w:rFonts w:ascii="Book Antiqua" w:eastAsia="Book Antiqua" w:hAnsi="Book Antiqua" w:cs="Book Antiqua"/>
          <w:i/>
          <w:iCs/>
          <w:color w:val="000000"/>
        </w:rPr>
        <w:t>TP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+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FN)</w:t>
      </w:r>
    </w:p>
    <w:p w14:paraId="2A1ACFD5" w14:textId="3CC94ADF" w:rsidR="00250BD1" w:rsidRDefault="001C262F">
      <w:pPr>
        <w:spacing w:line="360" w:lineRule="auto"/>
        <w:ind w:firstLine="4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i/>
          <w:iCs/>
          <w:color w:val="000000"/>
        </w:rPr>
        <w:t>Specificity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=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TN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/(</w:t>
      </w:r>
      <w:proofErr w:type="gramEnd"/>
      <w:r>
        <w:rPr>
          <w:rFonts w:ascii="Book Antiqua" w:eastAsia="Book Antiqua" w:hAnsi="Book Antiqua" w:cs="Book Antiqua"/>
          <w:i/>
          <w:iCs/>
          <w:color w:val="000000"/>
        </w:rPr>
        <w:t>TN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+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FP)</w:t>
      </w:r>
    </w:p>
    <w:p w14:paraId="61A3E46F" w14:textId="232B0BF3" w:rsidR="00250BD1" w:rsidRDefault="001C262F">
      <w:pPr>
        <w:spacing w:line="360" w:lineRule="auto"/>
        <w:ind w:firstLine="418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i/>
          <w:iCs/>
          <w:color w:val="000000"/>
        </w:rPr>
        <w:t>Accuracy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=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(Sensitivity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+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Specificity)/2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   </w:t>
      </w:r>
      <w:r>
        <w:rPr>
          <w:rFonts w:ascii="Book Antiqua" w:eastAsia="Book Antiqua" w:hAnsi="Book Antiqua" w:cs="Book Antiqua"/>
          <w:color w:val="000000"/>
        </w:rPr>
        <w:t>(1)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</w:p>
    <w:p w14:paraId="677F7028" w14:textId="386493B5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where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FP,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</w:p>
    <w:p w14:paraId="1EFE95B6" w14:textId="7A3579B4" w:rsidR="00250BD1" w:rsidRDefault="001C262F">
      <w:pPr>
        <w:spacing w:line="360" w:lineRule="auto"/>
        <w:ind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iterations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vote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gathered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counter.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</w:p>
    <w:p w14:paraId="27C21F2A" w14:textId="6D2EF27D" w:rsidR="00250BD1" w:rsidRDefault="001C262F">
      <w:pPr>
        <w:spacing w:line="360" w:lineRule="auto"/>
        <w:ind w:firstLine="3328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i/>
          <w:iCs/>
          <w:color w:val="000000"/>
        </w:rPr>
        <w:t>Fs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=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Fsub</w:t>
      </w:r>
      <w:proofErr w:type="spellEnd"/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:</w:t>
      </w:r>
      <w:proofErr w:type="gramStart"/>
      <w:r>
        <w:rPr>
          <w:rFonts w:ascii="Book Antiqua" w:eastAsia="Book Antiqua" w:hAnsi="Book Antiqua" w:cs="Book Antiqua"/>
          <w:color w:val="000000"/>
        </w:rPr>
        <w:t>{</w:t>
      </w:r>
      <w:r>
        <w:rPr>
          <w:rFonts w:ascii="Book Antiqua" w:eastAsia="Book Antiqua" w:hAnsi="Book Antiqua" w:cs="Book Antiqua"/>
          <w:i/>
          <w:iCs/>
          <w:color w:val="000000"/>
        </w:rPr>
        <w:t>f</w:t>
      </w:r>
      <w:r>
        <w:rPr>
          <w:rFonts w:ascii="Book Antiqua" w:eastAsia="Book Antiqua" w:hAnsi="Book Antiqua" w:cs="Book Antiqua"/>
          <w:color w:val="000000"/>
          <w:vertAlign w:val="subscript"/>
        </w:rPr>
        <w:t>1</w:t>
      </w:r>
      <w:proofErr w:type="gramEnd"/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</w:t>
      </w:r>
      <w:r>
        <w:rPr>
          <w:rFonts w:ascii="Book Antiqua" w:eastAsia="Book Antiqua" w:hAnsi="Book Antiqua" w:cs="Book Antiqua"/>
          <w:color w:val="00000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Calibri" w:hAnsi="Book Antiqua" w:cs="Calibri"/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6FAC4306" wp14:editId="3E943E5B">
            <wp:simplePos x="0" y="0"/>
            <wp:positionH relativeFrom="column">
              <wp:posOffset>3388360</wp:posOffset>
            </wp:positionH>
            <wp:positionV relativeFrom="paragraph">
              <wp:posOffset>76200</wp:posOffset>
            </wp:positionV>
            <wp:extent cx="180975" cy="76200"/>
            <wp:effectExtent l="0" t="0" r="0" b="0"/>
            <wp:wrapNone/>
            <wp:docPr id="100001" name="图片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...,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f</w:t>
      </w:r>
      <w:r>
        <w:rPr>
          <w:rFonts w:ascii="Book Antiqua" w:eastAsia="Book Antiqua" w:hAnsi="Book Antiqua" w:cs="Book Antiqua"/>
          <w:i/>
          <w:iCs/>
          <w:color w:val="000000"/>
          <w:vertAlign w:val="subscript"/>
        </w:rPr>
        <w:t>k</w:t>
      </w:r>
      <w:proofErr w:type="spellEnd"/>
      <w:r>
        <w:rPr>
          <w:rFonts w:ascii="Book Antiqua" w:eastAsia="Book Antiqua" w:hAnsi="Book Antiqua" w:cs="Book Antiqua"/>
          <w:color w:val="000000"/>
        </w:rPr>
        <w:t>}|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</w:t>
      </w:r>
      <w:r>
        <w:rPr>
          <w:rFonts w:ascii="Book Antiqua" w:eastAsia="Book Antiqua" w:hAnsi="Book Antiqua" w:cs="Book Antiqua"/>
          <w:i/>
          <w:iCs/>
          <w:color w:val="000000"/>
          <w:vertAlign w:val="subscript"/>
        </w:rPr>
        <w:t>f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&gt;v</w:t>
      </w:r>
      <w:r>
        <w:rPr>
          <w:rFonts w:ascii="Book Antiqua" w:eastAsia="Book Antiqua" w:hAnsi="Book Antiqua" w:cs="Book Antiqua"/>
          <w:color w:val="000000"/>
          <w:vertAlign w:val="subscript"/>
        </w:rPr>
        <w:t>0</w:t>
      </w:r>
    </w:p>
    <w:p w14:paraId="5D326300" w14:textId="738DE506" w:rsidR="00250BD1" w:rsidRDefault="001C262F">
      <w:pPr>
        <w:spacing w:line="360" w:lineRule="auto"/>
        <w:ind w:firstLine="3300"/>
        <w:jc w:val="both"/>
        <w:rPr>
          <w:rFonts w:ascii="Book Antiqua" w:hAnsi="Book Antiqua"/>
        </w:rPr>
      </w:pPr>
      <w:proofErr w:type="spellStart"/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v</w:t>
      </w:r>
      <w:r>
        <w:rPr>
          <w:rFonts w:ascii="Book Antiqua" w:eastAsia="Book Antiqua" w:hAnsi="Book Antiqua" w:cs="Book Antiqua"/>
          <w:i/>
          <w:iCs/>
          <w:color w:val="000000"/>
          <w:vertAlign w:val="subscript"/>
        </w:rPr>
        <w:t>f</w:t>
      </w:r>
      <w:proofErr w:type="spellEnd"/>
      <w:proofErr w:type="gramEnd"/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,v</w:t>
      </w:r>
      <w:r>
        <w:rPr>
          <w:rFonts w:ascii="Book Antiqua" w:eastAsia="Book Antiqua" w:hAnsi="Book Antiqua" w:cs="Book Antiqua"/>
          <w:i/>
          <w:iCs/>
          <w:color w:val="000000"/>
          <w:vertAlign w:val="subscript"/>
        </w:rPr>
        <w:t>0</w:t>
      </w:r>
      <w:r>
        <w:rPr>
          <w:rFonts w:ascii="Book Antiqua" w:eastAsia="微软雅黑" w:hAnsi="Book Antiqua" w:cs="Book Antiqua"/>
        </w:rPr>
        <w:t>∈</w:t>
      </w:r>
      <w:r>
        <w:rPr>
          <w:rFonts w:ascii="Book Antiqua" w:eastAsia="Book Antiqua" w:hAnsi="Book Antiqua" w:cs="Book Antiqua"/>
          <w:color w:val="000000"/>
        </w:rPr>
        <w:t>(0,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)</w:t>
      </w:r>
      <w:r w:rsidR="00D0708C">
        <w:rPr>
          <w:rFonts w:ascii="Book Antiqua" w:eastAsia="Book Antiqua" w:hAnsi="Book Antiqua" w:cs="Book Antiqua"/>
          <w:color w:val="000000"/>
        </w:rPr>
        <w:t xml:space="preserve">    </w:t>
      </w:r>
      <w:r>
        <w:rPr>
          <w:rFonts w:ascii="Book Antiqua" w:eastAsia="Book Antiqua" w:hAnsi="Book Antiqua" w:cs="Book Antiqua"/>
          <w:color w:val="000000"/>
        </w:rPr>
        <w:t>(2)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</w:p>
    <w:p w14:paraId="710CE18C" w14:textId="04B0E81B" w:rsidR="00250BD1" w:rsidRDefault="001C262F">
      <w:pPr>
        <w:spacing w:line="360" w:lineRule="auto"/>
        <w:ind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where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F</w:t>
      </w:r>
      <w:r>
        <w:rPr>
          <w:rFonts w:ascii="Book Antiqua" w:eastAsia="Book Antiqua" w:hAnsi="Book Antiqua" w:cs="Book Antiqua"/>
          <w:i/>
          <w:iCs/>
          <w:color w:val="000000"/>
          <w:vertAlign w:val="subscript"/>
        </w:rPr>
        <w:t>sub</w:t>
      </w:r>
      <w:proofErr w:type="spellEnd"/>
      <w:r w:rsidR="00D0708C">
        <w:rPr>
          <w:rFonts w:ascii="Book Antiqua" w:eastAsia="Book Antiqua" w:hAnsi="Book Antiqua" w:cs="Book Antiqua"/>
          <w:i/>
          <w:iCs/>
          <w:color w:val="00000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</w:t>
      </w:r>
      <w:r>
        <w:rPr>
          <w:rFonts w:ascii="Book Antiqua" w:eastAsia="Book Antiqua" w:hAnsi="Book Antiqua" w:cs="Book Antiqua"/>
          <w:i/>
          <w:iCs/>
          <w:color w:val="000000"/>
          <w:vertAlign w:val="subscript"/>
        </w:rPr>
        <w:t>f</w:t>
      </w:r>
      <w:proofErr w:type="spellEnd"/>
      <w:r w:rsidR="00D0708C">
        <w:rPr>
          <w:rFonts w:ascii="Book Antiqua" w:eastAsia="Book Antiqua" w:hAnsi="Book Antiqua" w:cs="Book Antiqua"/>
          <w:i/>
          <w:iCs/>
          <w:color w:val="00000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vote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</w:t>
      </w:r>
      <w:r>
        <w:rPr>
          <w:rFonts w:ascii="Book Antiqua" w:eastAsia="Book Antiqua" w:hAnsi="Book Antiqua" w:cs="Book Antiqua"/>
          <w:i/>
          <w:iCs/>
          <w:color w:val="000000"/>
          <w:vertAlign w:val="subscript"/>
        </w:rPr>
        <w:t>0</w:t>
      </w:r>
      <w:r w:rsidR="00D0708C">
        <w:rPr>
          <w:rFonts w:ascii="Book Antiqua" w:eastAsia="Book Antiqua" w:hAnsi="Book Antiqua" w:cs="Book Antiqua"/>
          <w:i/>
          <w:iCs/>
          <w:color w:val="00000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iterations,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</w:t>
      </w:r>
      <w:r>
        <w:rPr>
          <w:rFonts w:ascii="Book Antiqua" w:eastAsia="Book Antiqua" w:hAnsi="Book Antiqua" w:cs="Book Antiqua"/>
          <w:i/>
          <w:iCs/>
          <w:color w:val="000000"/>
          <w:vertAlign w:val="subscript"/>
        </w:rPr>
        <w:t>f</w:t>
      </w:r>
      <w:proofErr w:type="spellEnd"/>
      <w:r w:rsidR="00D0708C">
        <w:rPr>
          <w:rFonts w:ascii="Book Antiqua" w:eastAsia="Book Antiqua" w:hAnsi="Book Antiqua" w:cs="Book Antiqua"/>
          <w:i/>
          <w:iCs/>
          <w:color w:val="00000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</w:t>
      </w:r>
      <w:r>
        <w:rPr>
          <w:rFonts w:ascii="Book Antiqua" w:eastAsia="Book Antiqua" w:hAnsi="Book Antiqua" w:cs="Book Antiqua"/>
          <w:i/>
          <w:iCs/>
          <w:color w:val="000000"/>
          <w:vertAlign w:val="subscript"/>
        </w:rPr>
        <w:t>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100.</w:t>
      </w:r>
    </w:p>
    <w:p w14:paraId="16359CF1" w14:textId="77777777" w:rsidR="00250BD1" w:rsidRDefault="00250BD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21D27E61" w14:textId="5127F0FF" w:rsidR="00250BD1" w:rsidRDefault="001C262F">
      <w:pPr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eastAsia="Book Antiqua" w:hAnsi="Book Antiqua" w:cs="Book Antiqua"/>
          <w:b/>
          <w:bCs/>
          <w:i/>
          <w:color w:val="000000"/>
        </w:rPr>
        <w:t>Statistical</w:t>
      </w:r>
      <w:r w:rsidR="00D0708C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</w:p>
    <w:p w14:paraId="234704E4" w14:textId="1C2F90A6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Statis</w:t>
      </w:r>
      <w:r>
        <w:rPr>
          <w:rFonts w:ascii="Book Antiqua" w:eastAsia="Book Antiqua" w:hAnsi="Book Antiqua" w:cs="Book Antiqua"/>
          <w:color w:val="000000"/>
        </w:rPr>
        <w:t>tical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F337D6">
        <w:rPr>
          <w:rFonts w:ascii="Book Antiqua" w:eastAsia="Book Antiqua" w:hAnsi="Book Antiqua" w:cs="Book Antiqua"/>
          <w:color w:val="000000"/>
        </w:rPr>
        <w:t xml:space="preserve">analyses were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(version16.0)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Python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(version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3.5).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F337D6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D0708C">
        <w:rPr>
          <w:rFonts w:ascii="Book Antiqua" w:eastAsia="Book Antiqua" w:hAnsi="Book Antiqua" w:cs="Book Antiqua"/>
          <w:color w:val="000000"/>
        </w:rPr>
        <w:t xml:space="preserve"> SD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Student’s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chi-square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Spearman’s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</w:t>
      </w:r>
      <w:proofErr w:type="spellStart"/>
      <w:r>
        <w:rPr>
          <w:rFonts w:ascii="Book Antiqua" w:eastAsia="Book Antiqua" w:hAnsi="Book Antiqua" w:cs="Book Antiqua"/>
          <w:color w:val="000000"/>
        </w:rPr>
        <w:t>glmnet</w:t>
      </w:r>
      <w:proofErr w:type="spellEnd"/>
      <w:r>
        <w:rPr>
          <w:rFonts w:ascii="Book Antiqua" w:eastAsia="Book Antiqua" w:hAnsi="Book Antiqua" w:cs="Book Antiqua"/>
          <w:color w:val="000000"/>
        </w:rPr>
        <w:t>”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package.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MedCalc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15.6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(Ostend,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Belgium).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abilities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DeLong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F337D6"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(PPV)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(NPV)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cut-off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(two-tailed).</w:t>
      </w:r>
    </w:p>
    <w:p w14:paraId="76935466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0D19C864" w14:textId="77777777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31295735" w14:textId="2E3C107F" w:rsidR="00250BD1" w:rsidRDefault="001C262F">
      <w:pPr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eastAsia="Book Antiqua" w:hAnsi="Book Antiqua" w:cs="Book Antiqua"/>
          <w:b/>
          <w:bCs/>
          <w:i/>
          <w:color w:val="000000"/>
        </w:rPr>
        <w:t>Clinical</w:t>
      </w:r>
      <w:r w:rsidR="00D0708C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characteristics</w:t>
      </w:r>
      <w:r w:rsidR="00D0708C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D0708C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D0708C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study</w:t>
      </w:r>
      <w:r w:rsidR="00D0708C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population</w:t>
      </w:r>
    </w:p>
    <w:p w14:paraId="1A034C8C" w14:textId="1F4EF699" w:rsidR="00250BD1" w:rsidRDefault="001C26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402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>
        <w:rPr>
          <w:rFonts w:ascii="Book Antiqua" w:eastAsia="Book Antiqua" w:hAnsi="Book Antiqua" w:cs="Book Antiqua"/>
          <w:color w:val="000000"/>
        </w:rPr>
        <w:t>-positive</w:t>
      </w:r>
      <w:r w:rsidR="00F337D6" w:rsidRPr="00F337D6">
        <w:rPr>
          <w:rFonts w:ascii="Book Antiqua" w:eastAsia="Book Antiqua" w:hAnsi="Book Antiqua" w:cs="Book Antiqua"/>
          <w:color w:val="000000"/>
        </w:rPr>
        <w:t xml:space="preserve"> </w:t>
      </w:r>
      <w:r w:rsidR="00F337D6"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337D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248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>
        <w:rPr>
          <w:rFonts w:ascii="Book Antiqua" w:eastAsia="Book Antiqua" w:hAnsi="Book Antiqua" w:cs="Book Antiqua"/>
          <w:color w:val="000000"/>
        </w:rPr>
        <w:t>-negative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F337D6">
        <w:rPr>
          <w:rFonts w:ascii="Book Antiqua" w:eastAsia="Book Antiqua" w:hAnsi="Book Antiqua" w:cs="Book Antiqua"/>
          <w:color w:val="000000"/>
        </w:rPr>
        <w:t xml:space="preserve">CHB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>
        <w:rPr>
          <w:rFonts w:ascii="Book Antiqua" w:eastAsia="Book Antiqua" w:hAnsi="Book Antiqua" w:cs="Book Antiqua"/>
          <w:color w:val="000000"/>
        </w:rPr>
        <w:t>-positive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248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(61.69%)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249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(61.49%)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</w:t>
      </w:r>
      <w:r>
        <w:rPr>
          <w:rFonts w:ascii="Book Antiqua" w:eastAsia="Book Antiqua" w:hAnsi="Book Antiqua" w:cs="Book Antiqua"/>
          <w:color w:val="000000"/>
        </w:rPr>
        <w:t>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>
        <w:rPr>
          <w:rFonts w:ascii="Book Antiqua" w:eastAsia="Book Antiqua" w:hAnsi="Book Antiqua" w:cs="Book Antiqua"/>
          <w:color w:val="000000"/>
        </w:rPr>
        <w:t>-negative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138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(55.64%)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(40.73%)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Table</w:t>
      </w:r>
      <w:r w:rsidR="00D0708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F337D6">
        <w:rPr>
          <w:rFonts w:ascii="Book Antiqua" w:eastAsia="Book Antiqua" w:hAnsi="Book Antiqua" w:cs="Book Antiqua"/>
          <w:color w:val="000000"/>
        </w:rPr>
        <w:t xml:space="preserve">(IL-2, IL-4, IL-12 p70, and CXCL9)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F337D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detected.</w:t>
      </w:r>
    </w:p>
    <w:p w14:paraId="0B9C447F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04FC6101" w14:textId="2F902532" w:rsidR="00250BD1" w:rsidRDefault="001C262F">
      <w:pPr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eastAsia="Book Antiqua" w:hAnsi="Book Antiqua" w:cs="Book Antiqua"/>
          <w:b/>
          <w:bCs/>
          <w:i/>
          <w:color w:val="000000"/>
        </w:rPr>
        <w:t>Features</w:t>
      </w:r>
      <w:r w:rsidR="00D0708C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selection</w:t>
      </w:r>
      <w:r w:rsidR="00D0708C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D0708C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model</w:t>
      </w:r>
      <w:r w:rsidR="00D0708C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building</w:t>
      </w:r>
    </w:p>
    <w:p w14:paraId="612224ED" w14:textId="5D920341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v0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</w:t>
      </w:r>
      <w:r>
        <w:rPr>
          <w:rFonts w:ascii="Book Antiqua" w:eastAsia="Book Antiqua" w:hAnsi="Book Antiqua" w:cs="Book Antiqua"/>
          <w:color w:val="000000"/>
        </w:rPr>
        <w:t>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F337D6"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CXCL11)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RF-BFE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bCs/>
          <w:color w:val="000000"/>
        </w:rPr>
        <w:t>Figure</w:t>
      </w:r>
      <w:r w:rsidR="00D0708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3</w:t>
      </w:r>
      <w:r w:rsidR="00D0708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and</w:t>
      </w:r>
      <w:r w:rsidR="00D0708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Table</w:t>
      </w:r>
      <w:r w:rsidR="00D0708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).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Spearman’s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F337D6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further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>
        <w:rPr>
          <w:rFonts w:ascii="Book Antiqua" w:eastAsia="Book Antiqua" w:hAnsi="Book Antiqua" w:cs="Book Antiqua"/>
          <w:color w:val="000000"/>
        </w:rPr>
        <w:t>-positive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F337D6"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CXCL11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0.55,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0.45,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0.51</w:t>
      </w:r>
      <w:r w:rsidR="00F337D6"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0.34</w:t>
      </w:r>
      <w:r w:rsidR="00F337D6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>
        <w:rPr>
          <w:rFonts w:ascii="Book Antiqua" w:eastAsia="Book Antiqua" w:hAnsi="Book Antiqua" w:cs="Book Antiqua"/>
          <w:color w:val="000000"/>
        </w:rPr>
        <w:t>-negative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F337D6"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CXCL11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0.49,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0.44,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0.49</w:t>
      </w:r>
      <w:r w:rsidR="00F337D6"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0.33</w:t>
      </w:r>
      <w:r w:rsidR="00F337D6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bCs/>
          <w:color w:val="000000"/>
        </w:rPr>
        <w:t>Table</w:t>
      </w:r>
      <w:r w:rsidR="00D0708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).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</w:t>
      </w:r>
      <w:r>
        <w:rPr>
          <w:rFonts w:ascii="Book Antiqua" w:eastAsia="Book Antiqua" w:hAnsi="Book Antiqua" w:cs="Book Antiqua"/>
          <w:color w:val="000000"/>
        </w:rPr>
        <w:t>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incorporated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ALT’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(ALT</w:t>
      </w:r>
      <w:r w:rsidR="00D0708C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100.1)/130.25;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AST’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(AST</w:t>
      </w:r>
      <w:r w:rsidR="00D0708C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64.28)/78.33;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Log(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>
        <w:rPr>
          <w:rFonts w:ascii="Book Antiqua" w:eastAsia="Book Antiqua" w:hAnsi="Book Antiqua" w:cs="Book Antiqua"/>
          <w:color w:val="000000"/>
        </w:rPr>
        <w:t>)’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[log(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D0708C">
        <w:rPr>
          <w:rFonts w:ascii="Book Antiqua" w:eastAsia="Book Antiqua" w:hAnsi="Book Antiqua" w:cs="Book Antiqua"/>
          <w:color w:val="000000"/>
        </w:rPr>
        <w:t xml:space="preserve"> - </w:t>
      </w:r>
      <w:r>
        <w:rPr>
          <w:rFonts w:ascii="Book Antiqua" w:eastAsia="Book Antiqua" w:hAnsi="Book Antiqua" w:cs="Book Antiqua"/>
          <w:color w:val="000000"/>
        </w:rPr>
        <w:t>4.408]/0.7835;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CXCL11’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(CXCL11</w:t>
      </w:r>
      <w:r w:rsidR="00D0708C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55.02)/68.80.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namely,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</w:p>
    <w:p w14:paraId="75EF6F76" w14:textId="09C702C6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Logit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proofErr w:type="gramStart"/>
      <w:r>
        <w:rPr>
          <w:rFonts w:ascii="Book Antiqua" w:eastAsia="Book Antiqua" w:hAnsi="Book Antiqua" w:cs="Book Antiqua"/>
          <w:color w:val="000000"/>
        </w:rPr>
        <w:t>/[</w:t>
      </w:r>
      <w:proofErr w:type="gramEnd"/>
      <w:r>
        <w:rPr>
          <w:rFonts w:ascii="Book Antiqua" w:eastAsia="Book Antiqua" w:hAnsi="Book Antiqua" w:cs="Book Antiqua"/>
          <w:color w:val="000000"/>
        </w:rPr>
        <w:t>1+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exp(0.4986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ALT’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>
        <w:rPr>
          <w:rFonts w:ascii="Book Antiqua" w:eastAsia="Book Antiqua" w:hAnsi="Book Antiqua" w:cs="Book Antiqua"/>
          <w:color w:val="000000"/>
        </w:rPr>
        <w:t>190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AST’</w:t>
      </w:r>
      <w:r w:rsidR="0024017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4017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0.9154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log(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>
        <w:rPr>
          <w:rFonts w:ascii="Book Antiqua" w:eastAsia="Book Antiqua" w:hAnsi="Book Antiqua" w:cs="Book Antiqua"/>
          <w:color w:val="000000"/>
        </w:rPr>
        <w:t>)’</w:t>
      </w:r>
      <w:r w:rsidR="0024017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4017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0.5333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CXCL11’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0.8099)].</w:t>
      </w:r>
      <w:r w:rsidR="00D0708C">
        <w:rPr>
          <w:rFonts w:ascii="Book Antiqua" w:eastAsia="Book Antiqua" w:hAnsi="Book Antiqua" w:cs="Book Antiqua"/>
          <w:color w:val="000000"/>
        </w:rPr>
        <w:t xml:space="preserve">   </w:t>
      </w:r>
      <w:r>
        <w:rPr>
          <w:rFonts w:ascii="Book Antiqua" w:eastAsia="Book Antiqua" w:hAnsi="Book Antiqua" w:cs="Book Antiqua"/>
          <w:color w:val="000000"/>
        </w:rPr>
        <w:t>(3)</w:t>
      </w:r>
    </w:p>
    <w:p w14:paraId="7D93FA20" w14:textId="77777777" w:rsidR="00250BD1" w:rsidRDefault="00250BD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0EF8BFF" w14:textId="65A367FD" w:rsidR="00250BD1" w:rsidRDefault="001C262F">
      <w:pPr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eastAsia="Book Antiqua" w:hAnsi="Book Antiqua" w:cs="Book Antiqua"/>
          <w:b/>
          <w:bCs/>
          <w:i/>
          <w:color w:val="000000"/>
        </w:rPr>
        <w:lastRenderedPageBreak/>
        <w:t>Predictive</w:t>
      </w:r>
      <w:r w:rsidR="00D0708C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performance</w:t>
      </w:r>
    </w:p>
    <w:p w14:paraId="70DA7E8A" w14:textId="0A9BE198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Figure</w:t>
      </w:r>
      <w:r w:rsidR="00D0708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4</w:t>
      </w:r>
      <w:r w:rsidR="00D0708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and</w:t>
      </w:r>
      <w:r w:rsidR="00D0708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Table</w:t>
      </w:r>
      <w:r w:rsidR="00D0708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</w:t>
      </w:r>
      <w:r>
        <w:rPr>
          <w:rFonts w:ascii="Book Antiqua" w:eastAsia="Book Antiqua" w:hAnsi="Book Antiqua" w:cs="Book Antiqua"/>
          <w:color w:val="000000"/>
        </w:rPr>
        <w:t>ROC</w:t>
      </w:r>
      <w:r w:rsidR="0024017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0.822</w:t>
      </w:r>
      <w:r w:rsidR="00D0708C">
        <w:rPr>
          <w:rFonts w:ascii="Book Antiqua" w:eastAsia="Book Antiqua" w:hAnsi="Book Antiqua" w:cs="Book Antiqua"/>
          <w:color w:val="000000"/>
        </w:rPr>
        <w:t xml:space="preserve"> [</w:t>
      </w:r>
      <w:r>
        <w:rPr>
          <w:rFonts w:ascii="Book Antiqua" w:eastAsia="Book Antiqua" w:hAnsi="Book Antiqua" w:cs="Book Antiqua"/>
          <w:color w:val="000000"/>
        </w:rPr>
        <w:t>95%</w:t>
      </w:r>
      <w:r w:rsidR="00D0708C">
        <w:rPr>
          <w:rFonts w:ascii="Book Antiqua" w:eastAsia="Book Antiqua" w:hAnsi="Book Antiqua" w:cs="Book Antiqua"/>
          <w:color w:val="000000"/>
        </w:rPr>
        <w:t xml:space="preserve"> confidence interval (</w:t>
      </w:r>
      <w:r>
        <w:rPr>
          <w:rFonts w:ascii="Book Antiqua" w:eastAsia="Book Antiqua" w:hAnsi="Book Antiqua" w:cs="Book Antiqua"/>
          <w:color w:val="000000"/>
        </w:rPr>
        <w:t>CI</w:t>
      </w:r>
      <w:r w:rsidR="00D0708C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0.790-0.851</w:t>
      </w:r>
      <w:r w:rsidR="00D0708C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240173">
        <w:rPr>
          <w:rFonts w:ascii="Book Antiqua" w:eastAsia="Book Antiqua" w:hAnsi="Book Antiqua" w:cs="Book Antiqua"/>
          <w:color w:val="000000"/>
        </w:rPr>
        <w:t xml:space="preserve">showing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0.760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D0708C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0.724-0.792)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0.41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0.41)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69.17%,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81.44%,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73.8%.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>
        <w:rPr>
          <w:rFonts w:ascii="Book Antiqua" w:eastAsia="Book Antiqua" w:hAnsi="Book Antiqua" w:cs="Book Antiqua"/>
          <w:color w:val="000000"/>
        </w:rPr>
        <w:t>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4.20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</w:t>
      </w:r>
      <w:r>
        <w:rPr>
          <w:rFonts w:ascii="Book Antiqua" w:eastAsia="Book Antiqua" w:hAnsi="Book Antiqua" w:cs="Book Antiqua"/>
          <w:color w:val="000000"/>
          <w:vertAlign w:val="subscript"/>
        </w:rPr>
        <w:t>10</w:t>
      </w:r>
      <w:r>
        <w:rPr>
          <w:rFonts w:ascii="Book Antiqua" w:eastAsia="Book Antiqua" w:hAnsi="Book Antiqua" w:cs="Book Antiqua"/>
          <w:color w:val="000000"/>
        </w:rPr>
        <w:t>IU/mL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83.94%,</w:t>
      </w:r>
      <w:r w:rsidR="0024017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55.68%,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72.13%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>
        <w:rPr>
          <w:rFonts w:ascii="Book Antiqua" w:eastAsia="Book Antiqua" w:hAnsi="Book Antiqua" w:cs="Book Antiqua"/>
          <w:color w:val="000000"/>
        </w:rPr>
        <w:t>-positive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>
        <w:rPr>
          <w:rFonts w:ascii="Book Antiqua" w:eastAsia="Book Antiqua" w:hAnsi="Book Antiqua" w:cs="Book Antiqua"/>
          <w:color w:val="000000"/>
        </w:rPr>
        <w:t>-negative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</w:p>
    <w:p w14:paraId="09356A39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6138CA5F" w14:textId="77777777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AB88B28" w14:textId="192A42A3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BFE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dimensionality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vector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(SVM).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unbiased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estimator,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parallel,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employed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begin"/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instrText xml:space="preserve"> HYPERLINK \l "_ENREF_11" \o "Breiman, 2001 #16417" </w:instrTex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separate"/>
      </w:r>
      <w:r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BFE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B-related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>
        <w:rPr>
          <w:rFonts w:ascii="Book Antiqua" w:eastAsia="Book Antiqua" w:hAnsi="Book Antiqua" w:cs="Book Antiqua"/>
          <w:color w:val="000000"/>
        </w:rPr>
        <w:t>-positive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>
        <w:rPr>
          <w:rFonts w:ascii="Book Antiqua" w:eastAsia="Book Antiqua" w:hAnsi="Book Antiqua" w:cs="Book Antiqua"/>
          <w:color w:val="000000"/>
        </w:rPr>
        <w:t>-negative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(AUROC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0.829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0.810,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</w:p>
    <w:p w14:paraId="74BF65E7" w14:textId="70BF1FAE" w:rsidR="00250BD1" w:rsidRDefault="001C262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Histological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limited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12" w:tooltip="Cadranel, 2000 #16419" w:history="1">
        <w:r>
          <w:rPr>
            <w:rFonts w:ascii="Book Antiqua" w:eastAsia="Book Antiqua" w:hAnsi="Book Antiqua" w:cs="Book Antiqua"/>
            <w:color w:val="000000"/>
            <w:vertAlign w:val="superscript"/>
          </w:rPr>
          <w:t>12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13" w:tooltip="Regev, 2002 #16420" w:history="1">
        <w:r>
          <w:rPr>
            <w:rFonts w:ascii="Book Antiqua" w:eastAsia="Book Antiqua" w:hAnsi="Book Antiqua" w:cs="Book Antiqua"/>
            <w:color w:val="000000"/>
            <w:vertAlign w:val="superscript"/>
          </w:rPr>
          <w:t>13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practice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begin"/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instrText xml:space="preserve"> HYPERLINK \l "_ENREF_14" \o "Kim, 2008 #16418" </w:instrTex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separate"/>
      </w:r>
      <w:r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begin"/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instrText xml:space="preserve"> HYPERLINK \l "_ENREF_15" \o "Chao, 2014 #16222" </w:instrTex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separate"/>
      </w:r>
      <w:r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16" w:tooltip="Sarin, 2016 #16404" w:history="1">
        <w:r>
          <w:rPr>
            <w:rFonts w:ascii="Book Antiqua" w:eastAsia="Book Antiqua" w:hAnsi="Book Antiqua" w:cs="Book Antiqua"/>
            <w:color w:val="000000"/>
            <w:vertAlign w:val="superscript"/>
          </w:rPr>
          <w:t>16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begin"/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instrText xml:space="preserve"> HYPERLINK \l "_ENREF_8" \o "Zhou, 2017 #16274" </w:instrTex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separate"/>
      </w:r>
      <w:r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begin"/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instrText xml:space="preserve"> HYPERLINK \l "_ENREF_8" \o "Zhou, 2017 #16274" </w:instrTex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separate"/>
      </w:r>
      <w:r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begin"/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instrText xml:space="preserve"> HYPERLINK \l "_ENREF_17" \o "Chen, 2019 #16403" </w:instrTex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separate"/>
      </w:r>
      <w:r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0.760,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0.768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begin"/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instrText xml:space="preserve"> HYPERLINK \l "_ENREF_18" \o "Li, 2017 #16275" </w:instrTex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separate"/>
      </w:r>
      <w:r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begin"/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instrText xml:space="preserve"> HYPERLINK \l "_ENREF_18" \o "Li, 2017 #16275" </w:instrTex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separate"/>
      </w:r>
      <w:r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index)</w:t>
      </w:r>
      <w:r w:rsidR="0024017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0.810.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RF-BFE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CXCL11,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240173"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0.822,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240173">
        <w:rPr>
          <w:rFonts w:ascii="Book Antiqua" w:eastAsia="Book Antiqua" w:hAnsi="Book Antiqua" w:cs="Book Antiqua"/>
          <w:color w:val="000000"/>
        </w:rPr>
        <w:t xml:space="preserve">showing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LeLong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18" w:tooltip="Li, 2017 #16275" w:history="1">
        <w:r>
          <w:rPr>
            <w:rFonts w:ascii="Book Antiqua" w:eastAsia="Book Antiqua" w:hAnsi="Book Antiqua" w:cs="Book Antiqua"/>
            <w:color w:val="000000"/>
            <w:vertAlign w:val="superscript"/>
          </w:rPr>
          <w:t>18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(0.822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vs</w:t>
      </w:r>
      <w:r w:rsidR="00D0708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0.810,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DeLong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D0708C">
        <w:rPr>
          <w:rFonts w:ascii="Book Antiqua" w:eastAsia="Book Antiqua" w:hAnsi="Book Antiqua" w:cs="Book Antiqua"/>
          <w:cap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=0.041).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</w:p>
    <w:p w14:paraId="6DB55018" w14:textId="01A66537" w:rsidR="00250BD1" w:rsidRDefault="001C262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CXCL11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CXCL11,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interferon-inducible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chemokine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(I-TAC),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angiogenic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19" w:tooltip="S, 2009 #16414" w:history="1">
        <w:r>
          <w:rPr>
            <w:rFonts w:ascii="Book Antiqua" w:eastAsia="Book Antiqua" w:hAnsi="Book Antiqua" w:cs="Book Antiqua"/>
            <w:color w:val="000000"/>
            <w:vertAlign w:val="superscript"/>
          </w:rPr>
          <w:t>19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CXCL11,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</w:t>
      </w:r>
      <w:r>
        <w:rPr>
          <w:rFonts w:ascii="Book Antiqua" w:eastAsia="Book Antiqua" w:hAnsi="Book Antiqua" w:cs="Book Antiqua"/>
          <w:color w:val="000000"/>
        </w:rPr>
        <w:t>ation</w:t>
      </w:r>
      <w:r w:rsidR="00240173"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damage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begin"/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instrText xml:space="preserve"> HYPERLINK \l "_ENREF_21" \o "KJ, 2004 #16415" </w:instrTex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separate"/>
      </w:r>
      <w:r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CXCL11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RF-BFE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240173">
        <w:rPr>
          <w:rFonts w:ascii="Book Antiqua" w:eastAsia="Book Antiqua" w:hAnsi="Book Antiqua" w:cs="Book Antiqua"/>
          <w:color w:val="000000"/>
        </w:rPr>
        <w:t xml:space="preserve">levels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lso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begin"/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instrText xml:space="preserve"> HYPERLINK \l "_ENREF_22" \o "Zeremski, 2008 #16421" </w:instrTex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separate"/>
      </w:r>
      <w:r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23" w:tooltip="A, 2019 #16411" w:history="1">
        <w:r>
          <w:rPr>
            <w:rFonts w:ascii="Book Antiqua" w:eastAsia="Book Antiqua" w:hAnsi="Book Antiqua" w:cs="Book Antiqua"/>
            <w:color w:val="000000"/>
            <w:vertAlign w:val="superscript"/>
          </w:rPr>
          <w:t>22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incorporated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CXCR3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(CD183)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CXCL11.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CXCR3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CXCL11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expression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begin"/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instrText xml:space="preserve"> HYPERLINK \l "_ENREF_22" \o "Zeremski, 2008 #16421" </w:instrTex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separate"/>
      </w:r>
      <w:r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24" w:tooltip="Butera, 2005 #16422" w:history="1">
        <w:r>
          <w:rPr>
            <w:rFonts w:ascii="Book Antiqua" w:eastAsia="Book Antiqua" w:hAnsi="Book Antiqua" w:cs="Book Antiqua"/>
            <w:color w:val="000000"/>
            <w:vertAlign w:val="superscript"/>
          </w:rPr>
          <w:t>23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CXCL11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(data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shown).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4017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</w:t>
      </w:r>
      <w:proofErr w:type="spellStart"/>
      <w:r>
        <w:rPr>
          <w:rFonts w:ascii="Book Antiqua" w:eastAsia="Book Antiqua" w:hAnsi="Book Antiqua" w:cs="Book Antiqua"/>
          <w:color w:val="000000"/>
        </w:rPr>
        <w:t>HBc</w:t>
      </w:r>
      <w:proofErr w:type="spellEnd"/>
      <w:r w:rsidR="00240173"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</w:p>
    <w:p w14:paraId="5FCE8840" w14:textId="09D0958C" w:rsidR="00250BD1" w:rsidRDefault="001C262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240173">
        <w:rPr>
          <w:rFonts w:ascii="Book Antiqua" w:eastAsia="Book Antiqua" w:hAnsi="Book Antiqua" w:cs="Book Antiqua"/>
          <w:color w:val="000000"/>
        </w:rPr>
        <w:t xml:space="preserve">to </w:t>
      </w:r>
      <w:r>
        <w:rPr>
          <w:rFonts w:ascii="Book Antiqua" w:eastAsia="Book Antiqua" w:hAnsi="Book Antiqua" w:cs="Book Antiqua"/>
          <w:color w:val="000000"/>
        </w:rPr>
        <w:t>our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high-throughput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accuracy.</w:t>
      </w:r>
    </w:p>
    <w:p w14:paraId="114DEFDF" w14:textId="77777777" w:rsidR="00250BD1" w:rsidRDefault="00250BD1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75F7F1B6" w14:textId="77777777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400B9B2" w14:textId="3C17F77E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RF-BFE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6AE0AEC3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489D6B85" w14:textId="51A538B8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D0708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5A32B0BF" w14:textId="5753AF35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0708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5B36AA6" w14:textId="11DA7481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</w:t>
      </w:r>
      <w:r>
        <w:rPr>
          <w:rFonts w:ascii="Book Antiqua" w:eastAsia="Book Antiqua" w:hAnsi="Book Antiqua" w:cs="Book Antiqua"/>
          <w:color w:val="000000"/>
        </w:rPr>
        <w:t>osis,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240173"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D0708C">
        <w:rPr>
          <w:rFonts w:ascii="Book Antiqua" w:eastAsia="Book Antiqua" w:hAnsi="Book Antiqua" w:cs="Book Antiqua"/>
          <w:color w:val="000000"/>
        </w:rPr>
        <w:t xml:space="preserve"> hepatocellular carcinoma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(CHB)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</w:p>
    <w:p w14:paraId="2F0F4549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77E1D955" w14:textId="3A45CC23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0708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2E5B8D96" w14:textId="04B445AB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Recent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240173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B-related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value.</w:t>
      </w:r>
    </w:p>
    <w:p w14:paraId="09538924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64C0CECB" w14:textId="2DEC1549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0708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3CA1BBC" w14:textId="60A9225A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robust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B-related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</w:p>
    <w:p w14:paraId="0B96DAE9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3558C76E" w14:textId="007B657E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0708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9E795F0" w14:textId="2205CF6A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immune-related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treatment-naïve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backward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(BFE)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(RF)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abilities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model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(AUROC)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DeLong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</w:p>
    <w:p w14:paraId="346FDCE6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427A2CAF" w14:textId="6BE6F072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0708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64111A33" w14:textId="2B756663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Four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240173"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CXCL11)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incorporated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24017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>
        <w:rPr>
          <w:rFonts w:ascii="Book Antiqua" w:eastAsia="Book Antiqua" w:hAnsi="Book Antiqua" w:cs="Book Antiqua"/>
          <w:color w:val="000000"/>
        </w:rPr>
        <w:t>-positive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>
        <w:rPr>
          <w:rFonts w:ascii="Book Antiqua" w:eastAsia="Book Antiqua" w:hAnsi="Book Antiqua" w:cs="Book Antiqua"/>
          <w:color w:val="000000"/>
        </w:rPr>
        <w:t>-negative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</w:p>
    <w:p w14:paraId="7F27148E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194C795C" w14:textId="6ECD79A8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0708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5D875F2" w14:textId="402295A6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RF-BFE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</w:p>
    <w:p w14:paraId="7C318F3D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14511E8F" w14:textId="2125F99F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0708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70E101F" w14:textId="6743DAB2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</w:t>
      </w:r>
      <w:r w:rsidR="00D0708C">
        <w:rPr>
          <w:rFonts w:ascii="Book Antiqua" w:eastAsia="Book Antiqua" w:hAnsi="Book Antiqua" w:cs="Book Antiqua"/>
          <w:color w:val="000000"/>
        </w:rPr>
        <w:t xml:space="preserve">y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efficiency.</w:t>
      </w:r>
    </w:p>
    <w:p w14:paraId="418D2345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5E8ED5C5" w14:textId="77777777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28ABE040" w14:textId="6A97F58E" w:rsidR="00250BD1" w:rsidRDefault="001C262F">
      <w:pPr>
        <w:spacing w:line="360" w:lineRule="auto"/>
        <w:jc w:val="both"/>
        <w:rPr>
          <w:rFonts w:ascii="Book Antiqua" w:hAnsi="Book Antiqua"/>
        </w:rPr>
      </w:pPr>
      <w:bookmarkStart w:id="0" w:name="OLE_LINK2844"/>
      <w:bookmarkStart w:id="1" w:name="OLE_LINK2845"/>
      <w:r>
        <w:rPr>
          <w:rFonts w:ascii="Book Antiqua" w:eastAsia="Book Antiqua" w:hAnsi="Book Antiqua" w:cs="Book Antiqua"/>
          <w:color w:val="000000"/>
        </w:rPr>
        <w:t>1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Polaris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Observatory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Collaborators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modelling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383-403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29599078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10.1016/S2468-1253(18)30056-6]</w:t>
      </w:r>
    </w:p>
    <w:p w14:paraId="64C6D07D" w14:textId="2534253D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Berasain</w:t>
      </w:r>
      <w:proofErr w:type="spellEnd"/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Castillo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Perugorria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Latasa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Prieto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Avila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links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.</w:t>
      </w:r>
      <w:proofErr w:type="gram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Y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1155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206-221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19250206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10.1111/j.1749-6632.2009.03704.x]</w:t>
      </w:r>
    </w:p>
    <w:p w14:paraId="3A393210" w14:textId="39F5B6EF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3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Kwok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anti-HBc: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Relevance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Antibody-A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112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1780-1788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29087395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10.1038/ajg.2017.397]</w:t>
      </w:r>
    </w:p>
    <w:p w14:paraId="3F4263CF" w14:textId="57DECAF9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Fan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Niu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Consortium.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titre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seroconversion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peginterferon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nucleos</w:t>
      </w:r>
      <w:proofErr w:type="spellEnd"/>
      <w:r>
        <w:rPr>
          <w:rFonts w:ascii="Book Antiqua" w:eastAsia="Book Antiqua" w:hAnsi="Book Antiqua" w:cs="Book Antiqua"/>
          <w:color w:val="000000"/>
        </w:rPr>
        <w:t>(t)ide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analogues.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65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313-320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25586058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10.1136/gutjnl-2014-308546]</w:t>
      </w:r>
    </w:p>
    <w:p w14:paraId="70FBC76D" w14:textId="7D688387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Song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LW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PG,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XD,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XK,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197-203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25658546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10.1016/j.cmi.2014.10.002]</w:t>
      </w:r>
    </w:p>
    <w:p w14:paraId="061E8887" w14:textId="4E8ECE53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HC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Tsou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Quantification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lymphoma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69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286-292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29551710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10.1016/j.jhep.2018.02.033]</w:t>
      </w:r>
    </w:p>
    <w:p w14:paraId="5C68541F" w14:textId="1E580DD4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Hansen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Janssen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HLA,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Nucleos</w:t>
      </w:r>
      <w:proofErr w:type="spellEnd"/>
      <w:r>
        <w:rPr>
          <w:rFonts w:ascii="Book Antiqua" w:eastAsia="Book Antiqua" w:hAnsi="Book Antiqua" w:cs="Book Antiqua"/>
          <w:color w:val="000000"/>
        </w:rPr>
        <w:t>(t)ide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Analogue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182-191.e1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29902645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10.1016/j.cgh.2018.05.047]</w:t>
      </w:r>
    </w:p>
    <w:p w14:paraId="29700221" w14:textId="0C0A91D6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8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2747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28584279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10.1038/s41598-017-03102-3]</w:t>
      </w:r>
    </w:p>
    <w:p w14:paraId="490E6FCC" w14:textId="636F9E23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9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Wai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CT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Greenson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Fontana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Kalbfleisch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Marrero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Conjeevaram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Lok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518-526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12883497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10.1053/jhep.2003.50346]</w:t>
      </w:r>
    </w:p>
    <w:p w14:paraId="49E3CDB6" w14:textId="305597F3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Hui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AY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VW,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Liew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Chim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FK,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100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616-623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15743360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10.1111/j.1572-0241.2005.41289.x]</w:t>
      </w:r>
    </w:p>
    <w:p w14:paraId="43578879" w14:textId="057F173C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11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color w:val="000000"/>
        </w:rPr>
        <w:t>Breiman</w:t>
      </w:r>
      <w:proofErr w:type="spellEnd"/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Forests.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Mach</w:t>
      </w:r>
      <w:r w:rsidR="00D0708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Learn</w:t>
      </w:r>
      <w:r w:rsidR="00D0708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45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5-32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10.1023/A:1010933404324]</w:t>
      </w:r>
    </w:p>
    <w:p w14:paraId="101B5D21" w14:textId="586EC1FA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12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Cadranel</w:t>
      </w:r>
      <w:proofErr w:type="spellEnd"/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JF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Rufat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Degos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nationwide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French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(AFEF).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477-481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10960438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10.1053/jhep.2000.16602]</w:t>
      </w:r>
    </w:p>
    <w:p w14:paraId="04D0864C" w14:textId="532959DC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13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Regev</w:t>
      </w:r>
      <w:proofErr w:type="spellEnd"/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Berho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Jeffers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Milikowski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Molina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Pyrsopoulos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NT,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ZZ,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Schiff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intraobserver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97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2614-2618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12385448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10.1111/j.1572-0241.2002.06038.x]</w:t>
      </w:r>
    </w:p>
    <w:p w14:paraId="4EBCB3C7" w14:textId="6F00288C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14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Kim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WR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Flamm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Bisceglie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Bodenheimer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Policy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(ALT)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47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1363-1370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18366115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10.1002/hep.22109]</w:t>
      </w:r>
    </w:p>
    <w:p w14:paraId="3849AC8A" w14:textId="10A8E773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15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Chao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DT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Ayoub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Nguyen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LH,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Nguyen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transaminase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349-358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24387289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10.1111/apt.12590]</w:t>
      </w:r>
    </w:p>
    <w:p w14:paraId="7D6CFC67" w14:textId="03C1A1E4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16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Sarin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SK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Kumar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Abbas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Chien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Dokmeci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Gane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Hou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Jafri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Locarnini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Mahtab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Mohamed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Omata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Piratvisuth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Sharma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Sollano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Asian-Pacific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1-98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26563120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10.1007/s12072-015-9675-4]</w:t>
      </w:r>
    </w:p>
    <w:p w14:paraId="591BE631" w14:textId="3B1C5D66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17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HS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Seroconversion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>
        <w:rPr>
          <w:rFonts w:ascii="Book Antiqua" w:eastAsia="Book Antiqua" w:hAnsi="Book Antiqua" w:cs="Book Antiqua"/>
          <w:color w:val="000000"/>
        </w:rPr>
        <w:t>-Positive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70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1903-1912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31121067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10.1002/hep.30788]</w:t>
      </w:r>
    </w:p>
    <w:p w14:paraId="1E5AB980" w14:textId="6EDDD378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18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LW,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XP,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FH,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FF,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HX,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YX,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near-normal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48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E133-E145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28707778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10.1111/hepr.12937]</w:t>
      </w:r>
    </w:p>
    <w:p w14:paraId="198B12DB" w14:textId="544751CA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19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Lacotte</w:t>
      </w:r>
      <w:proofErr w:type="spellEnd"/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Brun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Muller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Dumortier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CXCR3,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Y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1173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310-317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19758167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10.1111/j.1749-6632.2009.04813.x]</w:t>
      </w:r>
    </w:p>
    <w:p w14:paraId="075F2D9C" w14:textId="0359E7DA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Helbig</w:t>
      </w:r>
      <w:proofErr w:type="spellEnd"/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KJ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Ruszkiewicz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Semendric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Harley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McColl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Beard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CXCR3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I-TAC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1220-1229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15122750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10.1002/hep.20167]</w:t>
      </w:r>
    </w:p>
    <w:p w14:paraId="6965692D" w14:textId="3A1C17E6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21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Zeremski</w:t>
      </w:r>
      <w:proofErr w:type="spellEnd"/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Petrovic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Chiriboga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QB,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Kinkhabwala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Jacobson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Dimova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Markatou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CXCR3-associated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48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1440-1450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18798334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10.1002/hep.22500]</w:t>
      </w:r>
    </w:p>
    <w:p w14:paraId="7280C354" w14:textId="6939C0F7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22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Chalin</w:t>
      </w:r>
      <w:proofErr w:type="spellEnd"/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Lefevre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Devisme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Barget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Amiot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Samson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CXCL11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CXCL12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Cytokine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117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72-78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30826602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10.1016/j.cyto.2019.02.006]</w:t>
      </w:r>
    </w:p>
    <w:p w14:paraId="50D26181" w14:textId="3666C989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23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Butera</w:t>
      </w:r>
      <w:proofErr w:type="spellEnd"/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Marukian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Iwamaye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Hembrador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Bisceglie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Charles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Jacobson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Dustin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106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1175-1182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15860662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10.1182/blood-2005-01-0126]</w:t>
      </w:r>
    </w:p>
    <w:bookmarkEnd w:id="0"/>
    <w:bookmarkEnd w:id="1"/>
    <w:p w14:paraId="31F37299" w14:textId="77777777" w:rsidR="00250BD1" w:rsidRDefault="00250BD1">
      <w:pPr>
        <w:spacing w:line="360" w:lineRule="auto"/>
        <w:jc w:val="both"/>
        <w:rPr>
          <w:rFonts w:ascii="Book Antiqua" w:hAnsi="Book Antiqua"/>
        </w:rPr>
        <w:sectPr w:rsidR="00250BD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801E2A" w14:textId="77777777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5120F25" w14:textId="44E5D0A6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Peking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</w:p>
    <w:p w14:paraId="60DBC8C5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6AB20E99" w14:textId="4840888E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consent.</w:t>
      </w:r>
    </w:p>
    <w:p w14:paraId="4BE6E60A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7413DB08" w14:textId="3292C1A0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commercial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</w:p>
    <w:p w14:paraId="38C6B419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39F7F607" w14:textId="661747DF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</w:p>
    <w:p w14:paraId="78A6474D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1E0A503B" w14:textId="020A8864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Statement—checklist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Statement—checklist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BE6A70">
        <w:rPr>
          <w:rFonts w:ascii="Book Antiqua" w:eastAsia="Book Antiqua" w:hAnsi="Book Antiqua" w:cs="Book Antiqua"/>
          <w:color w:val="000000"/>
        </w:rPr>
        <w:t>.</w:t>
      </w:r>
    </w:p>
    <w:p w14:paraId="0CB4B9A2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0C42394C" w14:textId="185B5CEF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639CC9FC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10FDBD4A" w14:textId="64EB8368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</w:p>
    <w:p w14:paraId="71537335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2977A25B" w14:textId="4C5A7C88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D9C3853" w14:textId="76F49FE3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D29BBFE" w14:textId="1DF69A4C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51DD238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44168B1B" w14:textId="04A85F72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</w:t>
      </w:r>
    </w:p>
    <w:p w14:paraId="2FE35FB4" w14:textId="1C212980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40DB4E83" w14:textId="0B3B2A38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85FD46D" w14:textId="15360074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F653576" w14:textId="38CA190C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8C0BDDD" w14:textId="318ACBDB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1540CADD" w14:textId="5FE31A0B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1B33242" w14:textId="20451778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29C141A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38BBE251" w14:textId="7B317801" w:rsidR="00250BD1" w:rsidRDefault="001C262F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Sujatha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ZM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</w:t>
      </w:r>
      <w:r>
        <w:rPr>
          <w:rFonts w:ascii="Book Antiqua" w:eastAsia="Book Antiqua" w:hAnsi="Book Antiqua" w:cs="Book Antiqua"/>
          <w:b/>
          <w:color w:val="000000"/>
        </w:rPr>
        <w:t>or: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40173" w:rsidRPr="00F00FF2">
        <w:rPr>
          <w:rFonts w:ascii="Book Antiqua" w:eastAsia="Book Antiqua" w:hAnsi="Book Antiqua" w:cs="Book Antiqua"/>
          <w:color w:val="000000"/>
        </w:rPr>
        <w:t>Wang TQ</w:t>
      </w:r>
      <w:r w:rsidR="0024017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</w:t>
      </w:r>
      <w:r>
        <w:rPr>
          <w:rFonts w:ascii="Book Antiqua" w:eastAsia="Book Antiqua" w:hAnsi="Book Antiqua" w:cs="Book Antiqua"/>
          <w:b/>
          <w:color w:val="000000"/>
        </w:rPr>
        <w:t>tor: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F60D6D6" w14:textId="77777777" w:rsidR="00D0708C" w:rsidRDefault="00D0708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D0708C" w:rsidSect="00D0708C">
          <w:pgSz w:w="12240" w:h="15840"/>
          <w:pgMar w:top="1797" w:right="1440" w:bottom="1797" w:left="1440" w:header="720" w:footer="720" w:gutter="0"/>
          <w:cols w:space="720"/>
          <w:docGrid w:linePitch="360"/>
        </w:sectPr>
      </w:pPr>
    </w:p>
    <w:p w14:paraId="1AE6121A" w14:textId="111E96C7" w:rsidR="00250BD1" w:rsidRDefault="001C262F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07511D4E" w14:textId="77777777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8290897" wp14:editId="393B7966">
            <wp:extent cx="6832600" cy="3967480"/>
            <wp:effectExtent l="0" t="0" r="0" b="0"/>
            <wp:docPr id="5" name="图片 4" descr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Fig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34964" cy="396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CD3B5" w14:textId="77777777" w:rsidR="0089528A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Figure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1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The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main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procedure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of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the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random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forest-backward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feature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elimination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algorithm.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BFE: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b</w:t>
      </w:r>
      <w:r>
        <w:rPr>
          <w:rFonts w:ascii="Book Antiqua" w:hAnsi="Book Antiqua"/>
        </w:rPr>
        <w:t>ackward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feature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elimination;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LASSO: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l</w:t>
      </w:r>
      <w:r>
        <w:rPr>
          <w:rFonts w:ascii="Book Antiqua" w:hAnsi="Book Antiqua"/>
        </w:rPr>
        <w:t>east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absolute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shrinkage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selection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operator.</w:t>
      </w:r>
    </w:p>
    <w:p w14:paraId="7B90BCDE" w14:textId="3017B94F" w:rsidR="0089528A" w:rsidRDefault="0089528A">
      <w:pPr>
        <w:spacing w:line="360" w:lineRule="auto"/>
        <w:jc w:val="both"/>
        <w:rPr>
          <w:rFonts w:ascii="Book Antiqua" w:hAnsi="Book Antiqua"/>
        </w:rPr>
        <w:sectPr w:rsidR="0089528A" w:rsidSect="00D0708C">
          <w:headerReference w:type="default" r:id="rId10"/>
          <w:pgSz w:w="15840" w:h="12240" w:orient="landscape"/>
          <w:pgMar w:top="1440" w:right="1797" w:bottom="1440" w:left="1797" w:header="720" w:footer="720" w:gutter="0"/>
          <w:cols w:space="720"/>
          <w:docGrid w:linePitch="360"/>
        </w:sectPr>
      </w:pPr>
    </w:p>
    <w:p w14:paraId="4DDDF31B" w14:textId="0F467561" w:rsidR="00250BD1" w:rsidRDefault="0089528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1D11C416" wp14:editId="4D9C3C29">
            <wp:extent cx="3438525" cy="4333240"/>
            <wp:effectExtent l="0" t="0" r="0" b="0"/>
            <wp:docPr id="1" name="图片 4" descr="Figure 2  21-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Figure 2  21-2-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41122" cy="433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3CB01" w14:textId="41741257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Figure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2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Feature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selection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scheme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in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an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iteration.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LASSO: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l</w:t>
      </w:r>
      <w:r>
        <w:rPr>
          <w:rFonts w:ascii="Book Antiqua" w:hAnsi="Book Antiqua"/>
        </w:rPr>
        <w:t>east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absolute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shrinkage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selection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operator.</w:t>
      </w:r>
    </w:p>
    <w:p w14:paraId="40FFACB2" w14:textId="77777777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717A2683" wp14:editId="54DD4B0E">
            <wp:extent cx="6125474" cy="3740727"/>
            <wp:effectExtent l="0" t="0" r="0" b="0"/>
            <wp:docPr id="6" name="图片 5" descr="Dat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Data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40514" cy="374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0FF82" w14:textId="49B5AE60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Figu</w:t>
      </w:r>
      <w:r>
        <w:rPr>
          <w:rFonts w:ascii="Book Antiqua" w:hAnsi="Book Antiqua"/>
          <w:b/>
          <w:bCs/>
        </w:rPr>
        <w:t>re</w:t>
      </w:r>
      <w:r w:rsidR="00D0708C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3</w:t>
      </w:r>
      <w:r w:rsidR="00240173">
        <w:rPr>
          <w:rFonts w:ascii="Book Antiqua" w:hAnsi="Book Antiqua"/>
          <w:b/>
        </w:rPr>
        <w:t>H</w:t>
      </w:r>
      <w:r>
        <w:rPr>
          <w:rFonts w:ascii="Book Antiqua" w:hAnsi="Book Antiqua"/>
          <w:b/>
        </w:rPr>
        <w:t>istogram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of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the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votes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in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the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feature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counter.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BMI: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b</w:t>
      </w:r>
      <w:r>
        <w:rPr>
          <w:rFonts w:ascii="Book Antiqua" w:hAnsi="Book Antiqua"/>
        </w:rPr>
        <w:t>ody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mass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index;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HBsAg: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h</w:t>
      </w:r>
      <w:r>
        <w:rPr>
          <w:rFonts w:ascii="Book Antiqua" w:hAnsi="Book Antiqua"/>
        </w:rPr>
        <w:t>epatitis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surface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antigen;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ALT: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a</w:t>
      </w:r>
      <w:r>
        <w:rPr>
          <w:rFonts w:ascii="Book Antiqua" w:hAnsi="Book Antiqua"/>
        </w:rPr>
        <w:t>lanine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am</w:t>
      </w:r>
      <w:r>
        <w:rPr>
          <w:rFonts w:ascii="Book Antiqua" w:hAnsi="Book Antiqua"/>
        </w:rPr>
        <w:t>inotransferase;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AST: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a</w:t>
      </w:r>
      <w:r>
        <w:rPr>
          <w:rFonts w:ascii="Book Antiqua" w:hAnsi="Book Antiqua"/>
        </w:rPr>
        <w:t>spartate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aminotransferase;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TC: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t</w:t>
      </w:r>
      <w:r>
        <w:rPr>
          <w:rFonts w:ascii="Book Antiqua" w:hAnsi="Book Antiqua"/>
        </w:rPr>
        <w:t>otal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cholesterol;</w:t>
      </w:r>
      <w:r w:rsidR="00D0708C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TBil</w:t>
      </w:r>
      <w:proofErr w:type="spellEnd"/>
      <w:r>
        <w:rPr>
          <w:rFonts w:ascii="Book Antiqua" w:hAnsi="Book Antiqua"/>
        </w:rPr>
        <w:t>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t</w:t>
      </w:r>
      <w:r>
        <w:rPr>
          <w:rFonts w:ascii="Book Antiqua" w:hAnsi="Book Antiqua"/>
        </w:rPr>
        <w:t>otal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bilirubin;</w:t>
      </w:r>
      <w:r w:rsidR="00D0708C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DBil</w:t>
      </w:r>
      <w:proofErr w:type="spellEnd"/>
      <w:r>
        <w:rPr>
          <w:rFonts w:ascii="Book Antiqua" w:hAnsi="Book Antiqua"/>
        </w:rPr>
        <w:t>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d</w:t>
      </w:r>
      <w:r>
        <w:rPr>
          <w:rFonts w:ascii="Book Antiqua" w:hAnsi="Book Antiqua"/>
        </w:rPr>
        <w:t>irect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bilirubin;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PT: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p</w:t>
      </w:r>
      <w:r>
        <w:rPr>
          <w:rFonts w:ascii="Book Antiqua" w:hAnsi="Book Antiqua"/>
        </w:rPr>
        <w:t>rothrombin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time;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Cr: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c</w:t>
      </w:r>
      <w:r>
        <w:rPr>
          <w:rFonts w:ascii="Book Antiqua" w:hAnsi="Book Antiqua"/>
        </w:rPr>
        <w:t>reatinine;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BUN: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b</w:t>
      </w:r>
      <w:r>
        <w:rPr>
          <w:rFonts w:ascii="Book Antiqua" w:hAnsi="Book Antiqua"/>
        </w:rPr>
        <w:t>lood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urea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nitrogen;</w:t>
      </w:r>
      <w:r w:rsidR="00D0708C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qAnti-HBc</w:t>
      </w:r>
      <w:proofErr w:type="spellEnd"/>
      <w:r>
        <w:rPr>
          <w:rFonts w:ascii="Book Antiqua" w:hAnsi="Book Antiqua"/>
        </w:rPr>
        <w:t>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q</w:t>
      </w:r>
      <w:r>
        <w:rPr>
          <w:rFonts w:ascii="Book Antiqua" w:hAnsi="Book Antiqua"/>
        </w:rPr>
        <w:t>uantitative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hepatitis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core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antibody;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IL: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i</w:t>
      </w:r>
      <w:r>
        <w:rPr>
          <w:rFonts w:ascii="Book Antiqua" w:hAnsi="Book Antiqua"/>
        </w:rPr>
        <w:t>nterleukin,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IFN: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i</w:t>
      </w:r>
      <w:r>
        <w:rPr>
          <w:rFonts w:ascii="Book Antiqua" w:hAnsi="Book Antiqua"/>
        </w:rPr>
        <w:t>nterferon;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TNF: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t</w:t>
      </w:r>
      <w:r>
        <w:rPr>
          <w:rFonts w:ascii="Book Antiqua" w:hAnsi="Book Antiqua"/>
        </w:rPr>
        <w:t>umor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necrosis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factor;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TGF: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t</w:t>
      </w:r>
      <w:r>
        <w:rPr>
          <w:rFonts w:ascii="Book Antiqua" w:hAnsi="Book Antiqua"/>
        </w:rPr>
        <w:t>ransforming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growth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factor.</w:t>
      </w:r>
    </w:p>
    <w:p w14:paraId="74A6E5B5" w14:textId="77777777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6DD63C98" wp14:editId="4EDF7A3F">
            <wp:extent cx="7780020" cy="2615565"/>
            <wp:effectExtent l="0" t="0" r="0" b="0"/>
            <wp:docPr id="4" name="图片 3" descr="Fig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Figure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88815" cy="261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73588" w14:textId="305EB49D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Figure</w:t>
      </w:r>
      <w:r w:rsidR="00D0708C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4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Receiver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operating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characteristic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curve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analysis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for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predicting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moderate-to-severe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inflammation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in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all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patients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with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chronic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hepatitis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B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virus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i</w:t>
      </w:r>
      <w:r>
        <w:rPr>
          <w:rFonts w:ascii="Book Antiqua" w:hAnsi="Book Antiqua"/>
          <w:b/>
        </w:rPr>
        <w:t>nfection,</w:t>
      </w:r>
      <w:r w:rsidR="00D0708C"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HBeAg</w:t>
      </w:r>
      <w:proofErr w:type="spellEnd"/>
      <w:r>
        <w:rPr>
          <w:rFonts w:ascii="Book Antiqua" w:hAnsi="Book Antiqua"/>
          <w:b/>
        </w:rPr>
        <w:t>-positive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patients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with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chronic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hepatitis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B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virus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infection</w:t>
      </w:r>
      <w:r w:rsidR="00240173">
        <w:rPr>
          <w:rFonts w:ascii="Book Antiqua" w:hAnsi="Book Antiqua"/>
          <w:b/>
        </w:rPr>
        <w:t>,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and</w:t>
      </w:r>
      <w:r w:rsidR="00D0708C"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HBeAg</w:t>
      </w:r>
      <w:proofErr w:type="spellEnd"/>
      <w:r>
        <w:rPr>
          <w:rFonts w:ascii="Book Antiqua" w:hAnsi="Book Antiqua"/>
          <w:b/>
        </w:rPr>
        <w:t>-negative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patients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with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chronic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hepatitis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B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virus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infection.</w:t>
      </w:r>
      <w:r w:rsidR="00D0708C">
        <w:rPr>
          <w:rFonts w:ascii="Book Antiqua" w:hAnsi="Book Antiqua"/>
          <w:b/>
        </w:rPr>
        <w:t xml:space="preserve"> </w:t>
      </w:r>
      <w:r w:rsidR="0089528A" w:rsidRPr="0089528A">
        <w:rPr>
          <w:rFonts w:ascii="Book Antiqua" w:hAnsi="Book Antiqua"/>
          <w:bCs/>
        </w:rPr>
        <w:t xml:space="preserve">A: All patients with </w:t>
      </w:r>
      <w:r w:rsidR="0089528A">
        <w:rPr>
          <w:rFonts w:ascii="Book Antiqua" w:hAnsi="Book Antiqua"/>
          <w:bCs/>
        </w:rPr>
        <w:t>c</w:t>
      </w:r>
      <w:r w:rsidR="0089528A" w:rsidRPr="0089528A">
        <w:rPr>
          <w:rFonts w:ascii="Book Antiqua" w:hAnsi="Book Antiqua"/>
          <w:bCs/>
        </w:rPr>
        <w:t xml:space="preserve">hronic hepatitis B virus infection; B: </w:t>
      </w:r>
      <w:proofErr w:type="spellStart"/>
      <w:r w:rsidR="0089528A" w:rsidRPr="0089528A">
        <w:rPr>
          <w:rFonts w:ascii="Book Antiqua" w:hAnsi="Book Antiqua"/>
          <w:bCs/>
        </w:rPr>
        <w:t>HBeAg</w:t>
      </w:r>
      <w:proofErr w:type="spellEnd"/>
      <w:r w:rsidR="0089528A" w:rsidRPr="0089528A">
        <w:rPr>
          <w:rFonts w:ascii="Book Antiqua" w:hAnsi="Book Antiqua"/>
          <w:bCs/>
        </w:rPr>
        <w:t xml:space="preserve">-positive patients with chronic hepatitis B virus infection; C: </w:t>
      </w:r>
      <w:proofErr w:type="spellStart"/>
      <w:r w:rsidR="0089528A" w:rsidRPr="0089528A">
        <w:rPr>
          <w:rFonts w:ascii="Book Antiqua" w:hAnsi="Book Antiqua"/>
          <w:bCs/>
        </w:rPr>
        <w:t>HBeAg</w:t>
      </w:r>
      <w:proofErr w:type="spellEnd"/>
      <w:r w:rsidR="0089528A" w:rsidRPr="0089528A">
        <w:rPr>
          <w:rFonts w:ascii="Book Antiqua" w:hAnsi="Book Antiqua"/>
          <w:bCs/>
        </w:rPr>
        <w:t xml:space="preserve">-negative patients with chronic hepatitis B virus infection. </w:t>
      </w:r>
      <w:r>
        <w:rPr>
          <w:rFonts w:ascii="Book Antiqua" w:hAnsi="Book Antiqua"/>
        </w:rPr>
        <w:t>AUROC: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a</w:t>
      </w:r>
      <w:r>
        <w:rPr>
          <w:rFonts w:ascii="Book Antiqua" w:hAnsi="Book Antiqua"/>
        </w:rPr>
        <w:t>rea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under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receiver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operating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charact</w:t>
      </w:r>
      <w:r>
        <w:rPr>
          <w:rFonts w:ascii="Book Antiqua" w:hAnsi="Book Antiqua"/>
        </w:rPr>
        <w:t>eristics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curve;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CI: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c</w:t>
      </w:r>
      <w:r>
        <w:rPr>
          <w:rFonts w:ascii="Book Antiqua" w:hAnsi="Book Antiqua"/>
        </w:rPr>
        <w:t>onfidence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interval;</w:t>
      </w:r>
      <w:r w:rsidR="00D0708C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qAnti-HBc</w:t>
      </w:r>
      <w:proofErr w:type="spellEnd"/>
      <w:r>
        <w:rPr>
          <w:rFonts w:ascii="Book Antiqua" w:hAnsi="Book Antiqua"/>
        </w:rPr>
        <w:t>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q</w:t>
      </w:r>
      <w:r>
        <w:rPr>
          <w:rFonts w:ascii="Book Antiqua" w:hAnsi="Book Antiqua"/>
        </w:rPr>
        <w:t>uantitative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hepatitis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core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antibody.</w:t>
      </w:r>
    </w:p>
    <w:p w14:paraId="125D8816" w14:textId="4493A3C4" w:rsidR="00250BD1" w:rsidRDefault="001C262F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br w:type="page"/>
      </w:r>
      <w:r>
        <w:rPr>
          <w:rFonts w:ascii="Book Antiqua" w:hAnsi="Book Antiqua"/>
          <w:b/>
          <w:bCs/>
        </w:rPr>
        <w:lastRenderedPageBreak/>
        <w:t>Table</w:t>
      </w:r>
      <w:r w:rsidR="00D0708C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1</w:t>
      </w:r>
      <w:r w:rsidR="00D0708C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</w:rPr>
        <w:t>Cli</w:t>
      </w:r>
      <w:r>
        <w:rPr>
          <w:rFonts w:ascii="Book Antiqua" w:hAnsi="Book Antiqua"/>
          <w:b/>
        </w:rPr>
        <w:t>nical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characteristics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of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patients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with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chronic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hepatitis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B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virus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infection</w:t>
      </w:r>
    </w:p>
    <w:tbl>
      <w:tblPr>
        <w:tblW w:w="121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8"/>
        <w:gridCol w:w="3583"/>
        <w:gridCol w:w="3555"/>
        <w:gridCol w:w="1178"/>
      </w:tblGrid>
      <w:tr w:rsidR="00250BD1" w14:paraId="26158A8C" w14:textId="77777777">
        <w:trPr>
          <w:trHeight w:val="429"/>
        </w:trPr>
        <w:tc>
          <w:tcPr>
            <w:tcW w:w="38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3A7A20" w14:textId="59EF7602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>Parameter</w:t>
            </w:r>
          </w:p>
        </w:tc>
        <w:tc>
          <w:tcPr>
            <w:tcW w:w="35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6BF810" w14:textId="5EC9E9BD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HBeAg</w:t>
            </w:r>
            <w:proofErr w:type="spellEnd"/>
            <w:r>
              <w:rPr>
                <w:rFonts w:ascii="Book Antiqua" w:hAnsi="Book Antiqua"/>
                <w:b/>
                <w:bCs/>
              </w:rPr>
              <w:t>-positive</w:t>
            </w:r>
            <w:r w:rsidR="00D0708C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patients</w:t>
            </w:r>
            <w:r w:rsidR="00D0708C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(</w:t>
            </w:r>
            <w:r>
              <w:rPr>
                <w:rFonts w:ascii="Book Antiqua" w:hAnsi="Book Antiqua"/>
                <w:b/>
                <w:bCs/>
                <w:i/>
              </w:rPr>
              <w:t>n</w:t>
            </w:r>
            <w:r w:rsidR="00D0708C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=</w:t>
            </w:r>
            <w:r w:rsidR="00D0708C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402)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1860DF" w14:textId="26E4C50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HBeAg</w:t>
            </w:r>
            <w:proofErr w:type="spellEnd"/>
            <w:r>
              <w:rPr>
                <w:rFonts w:ascii="Book Antiqua" w:hAnsi="Book Antiqua"/>
                <w:b/>
                <w:bCs/>
              </w:rPr>
              <w:t>-negative</w:t>
            </w:r>
            <w:r w:rsidR="00D0708C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patients</w:t>
            </w:r>
            <w:r w:rsidR="00D0708C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(</w:t>
            </w:r>
            <w:r>
              <w:rPr>
                <w:rFonts w:ascii="Book Antiqua" w:hAnsi="Book Antiqua"/>
                <w:b/>
                <w:bCs/>
                <w:i/>
              </w:rPr>
              <w:t>n</w:t>
            </w:r>
            <w:r w:rsidR="00D0708C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=</w:t>
            </w:r>
            <w:r w:rsidR="00D0708C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248)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49036E" w14:textId="65034E52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D0708C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value</w:t>
            </w:r>
          </w:p>
        </w:tc>
      </w:tr>
      <w:tr w:rsidR="00250BD1" w14:paraId="2203FCA6" w14:textId="77777777">
        <w:trPr>
          <w:trHeight w:val="375"/>
        </w:trPr>
        <w:tc>
          <w:tcPr>
            <w:tcW w:w="38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370F2CE" w14:textId="528F2276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Gender,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male</w:t>
            </w:r>
          </w:p>
        </w:tc>
        <w:tc>
          <w:tcPr>
            <w:tcW w:w="35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F1F896D" w14:textId="29D64DF1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79.4.4%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(319/402)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7E7E41A" w14:textId="3F91CD34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76.2%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(189/248)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6269A8D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0.38</w:t>
            </w:r>
          </w:p>
        </w:tc>
      </w:tr>
      <w:tr w:rsidR="00250BD1" w14:paraId="410C895B" w14:textId="77777777">
        <w:trPr>
          <w:trHeight w:val="375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E003597" w14:textId="03F5B38C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Age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</w:t>
            </w:r>
            <w:proofErr w:type="spellStart"/>
            <w:r>
              <w:rPr>
                <w:rFonts w:ascii="Book Antiqua" w:hAnsi="Book Antiqua"/>
              </w:rPr>
              <w:t>yr</w:t>
            </w:r>
            <w:proofErr w:type="spellEnd"/>
            <w:r>
              <w:rPr>
                <w:rFonts w:ascii="Book Antiqua" w:hAnsi="Book Antiqua"/>
              </w:rPr>
              <w:t>)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91487B2" w14:textId="47B134AD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36.35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10.36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3A68716" w14:textId="42696CDF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41.67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9.65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6994584" w14:textId="6736F59F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0.001</w:t>
            </w:r>
          </w:p>
        </w:tc>
      </w:tr>
      <w:tr w:rsidR="00250BD1" w14:paraId="1580E78D" w14:textId="77777777">
        <w:trPr>
          <w:trHeight w:val="375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8FE4EF0" w14:textId="56C39B36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BMI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(kg/m</w:t>
            </w:r>
            <w:r>
              <w:rPr>
                <w:rFonts w:ascii="Book Antiqua" w:hAnsi="Book Antiqua"/>
                <w:vertAlign w:val="superscript"/>
              </w:rPr>
              <w:t>2</w:t>
            </w:r>
            <w:r>
              <w:rPr>
                <w:rFonts w:ascii="Book Antiqua" w:hAnsi="Book Antiqua"/>
              </w:rPr>
              <w:t>)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F270FB9" w14:textId="61D5D8FB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23.12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3.31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893116F" w14:textId="62E5CAA0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23.62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2.84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D10B873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0.01</w:t>
            </w:r>
          </w:p>
        </w:tc>
      </w:tr>
      <w:tr w:rsidR="00250BD1" w14:paraId="2B40CCDC" w14:textId="77777777">
        <w:trPr>
          <w:trHeight w:val="375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3FC28D" w14:textId="3E388F4A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HBsAg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(log</w:t>
            </w:r>
            <w:r>
              <w:rPr>
                <w:rFonts w:ascii="Book Antiqua" w:hAnsi="Book Antiqua"/>
                <w:vertAlign w:val="subscript"/>
              </w:rPr>
              <w:t>10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IU/mL)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21742C8" w14:textId="419D99CF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3.83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0.81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169EF43" w14:textId="51CD54A0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3.16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0.73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80CB9CD" w14:textId="6D7860E1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0.001</w:t>
            </w:r>
          </w:p>
        </w:tc>
      </w:tr>
      <w:tr w:rsidR="00250BD1" w14:paraId="1EE8FB09" w14:textId="77777777">
        <w:trPr>
          <w:trHeight w:val="375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FFFD029" w14:textId="26828F5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HBV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DNA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(log</w:t>
            </w:r>
            <w:r>
              <w:rPr>
                <w:rFonts w:ascii="Book Antiqua" w:hAnsi="Book Antiqua"/>
                <w:vertAlign w:val="subscript"/>
              </w:rPr>
              <w:t>10</w:t>
            </w:r>
            <w:r>
              <w:rPr>
                <w:rFonts w:ascii="Book Antiqua" w:hAnsi="Book Antiqua"/>
              </w:rPr>
              <w:t>IU/mL)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3E1B698" w14:textId="0233996F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6.93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1.66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526CF3E" w14:textId="4DA00216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4.82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1.64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CE9582F" w14:textId="6692AC56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0.001</w:t>
            </w:r>
          </w:p>
        </w:tc>
      </w:tr>
      <w:tr w:rsidR="00250BD1" w14:paraId="456E3965" w14:textId="77777777">
        <w:trPr>
          <w:trHeight w:val="365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AF35AC3" w14:textId="6CB93F7F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ALT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(U/L)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4EDEA85" w14:textId="3FF0192F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106.74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139.40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64AB794" w14:textId="180A9EDF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80.58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105.61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B715246" w14:textId="6E0B2D2A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0.001</w:t>
            </w:r>
          </w:p>
        </w:tc>
      </w:tr>
      <w:tr w:rsidR="00250BD1" w14:paraId="3DE66D47" w14:textId="77777777">
        <w:trPr>
          <w:trHeight w:val="375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09CBC2C" w14:textId="0511B959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AST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(U/L)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7EBADB8" w14:textId="43AD7C30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65.48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78.67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7741520" w14:textId="3EBFA0F2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56.69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70.06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B5B700D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0.029</w:t>
            </w:r>
          </w:p>
        </w:tc>
      </w:tr>
      <w:tr w:rsidR="00250BD1" w14:paraId="7799B566" w14:textId="77777777">
        <w:trPr>
          <w:trHeight w:val="375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BFB0C5E" w14:textId="634E6D82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TC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(mmol/L)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916483D" w14:textId="13CD45A0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4.61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3.05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6DE410C" w14:textId="128FB2D8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4.44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0.98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77250FB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0.691</w:t>
            </w:r>
          </w:p>
        </w:tc>
      </w:tr>
      <w:tr w:rsidR="00250BD1" w14:paraId="418C2396" w14:textId="77777777">
        <w:trPr>
          <w:trHeight w:val="375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ED112F2" w14:textId="21B7CB92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TBil</w:t>
            </w:r>
            <w:proofErr w:type="spellEnd"/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</w:t>
            </w:r>
            <w:proofErr w:type="spellStart"/>
            <w:r>
              <w:rPr>
                <w:rFonts w:ascii="Book Antiqua" w:hAnsi="Book Antiqua"/>
              </w:rPr>
              <w:t>μmol</w:t>
            </w:r>
            <w:proofErr w:type="spellEnd"/>
            <w:r>
              <w:rPr>
                <w:rFonts w:ascii="Book Antiqua" w:hAnsi="Book Antiqua"/>
              </w:rPr>
              <w:t>/L)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5D0C8B9" w14:textId="08D58F19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16.54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15.48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5B12FE3" w14:textId="7536A82A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18.49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27.32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986C04C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0.009</w:t>
            </w:r>
          </w:p>
        </w:tc>
      </w:tr>
      <w:tr w:rsidR="00250BD1" w14:paraId="449313D9" w14:textId="77777777">
        <w:trPr>
          <w:trHeight w:val="375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83E14A0" w14:textId="07CD2C46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DBil</w:t>
            </w:r>
            <w:proofErr w:type="spellEnd"/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</w:t>
            </w:r>
            <w:proofErr w:type="spellStart"/>
            <w:r>
              <w:rPr>
                <w:rFonts w:ascii="Book Antiqua" w:hAnsi="Book Antiqua"/>
              </w:rPr>
              <w:t>μmol</w:t>
            </w:r>
            <w:proofErr w:type="spellEnd"/>
            <w:r>
              <w:rPr>
                <w:rFonts w:ascii="Book Antiqua" w:hAnsi="Book Antiqua"/>
              </w:rPr>
              <w:t>/L)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0A9FD84" w14:textId="54ED4FFC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5.61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7.54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46F7E0E" w14:textId="3A4149FA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5.77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6.59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443B567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0.527</w:t>
            </w:r>
          </w:p>
        </w:tc>
      </w:tr>
      <w:tr w:rsidR="00250BD1" w14:paraId="43026021" w14:textId="77777777">
        <w:trPr>
          <w:trHeight w:val="375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96D4718" w14:textId="5AAE2EFD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Albumin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(g/L)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04D46B3" w14:textId="6277261E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43.72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5.14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F9E18D8" w14:textId="491330B8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44.91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6.07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F2BEBD0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0.011</w:t>
            </w:r>
          </w:p>
        </w:tc>
      </w:tr>
      <w:tr w:rsidR="00250BD1" w14:paraId="6E8BA6B1" w14:textId="77777777">
        <w:trPr>
          <w:trHeight w:val="375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2EBC76" w14:textId="5627D72C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PT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(s)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500D8FB" w14:textId="014B02D3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12.81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1.49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C90CE0E" w14:textId="54CCFDE5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12.55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1.49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A3DC3C1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0.035</w:t>
            </w:r>
          </w:p>
        </w:tc>
      </w:tr>
      <w:tr w:rsidR="00250BD1" w14:paraId="0FEBD6A0" w14:textId="77777777">
        <w:trPr>
          <w:trHeight w:val="375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86BD7F" w14:textId="2C0BD489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Cr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</w:t>
            </w:r>
            <w:proofErr w:type="spellStart"/>
            <w:r>
              <w:rPr>
                <w:rFonts w:ascii="Book Antiqua" w:hAnsi="Book Antiqua"/>
              </w:rPr>
              <w:t>μmol</w:t>
            </w:r>
            <w:proofErr w:type="spellEnd"/>
            <w:r>
              <w:rPr>
                <w:rFonts w:ascii="Book Antiqua" w:hAnsi="Book Antiqua"/>
              </w:rPr>
              <w:t>/L)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220B23E" w14:textId="0F8FE2EA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70.21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25.41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B62A6CE" w14:textId="2AA6FA7A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69.19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15.93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2A5DBBD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0.818</w:t>
            </w:r>
          </w:p>
        </w:tc>
      </w:tr>
      <w:tr w:rsidR="00250BD1" w14:paraId="09E526A4" w14:textId="77777777">
        <w:trPr>
          <w:trHeight w:val="375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95805B" w14:textId="59800F9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BUN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(mmol/L)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36A00CC" w14:textId="3AC9F352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5.28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5.57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4AD4E81" w14:textId="1FE82985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4.90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1.33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7A96DC7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0.681</w:t>
            </w:r>
          </w:p>
        </w:tc>
      </w:tr>
      <w:tr w:rsidR="00250BD1" w14:paraId="69E98E8F" w14:textId="77777777">
        <w:trPr>
          <w:trHeight w:val="447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080FA9" w14:textId="60F36F25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Platelet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counts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(×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10</w:t>
            </w:r>
            <w:r>
              <w:rPr>
                <w:rFonts w:ascii="Book Antiqua" w:hAnsi="Book Antiqua"/>
                <w:vertAlign w:val="superscript"/>
              </w:rPr>
              <w:t>9</w:t>
            </w:r>
            <w:r>
              <w:rPr>
                <w:rFonts w:ascii="Book Antiqua" w:hAnsi="Book Antiqua"/>
              </w:rPr>
              <w:t>/L)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B4D9512" w14:textId="54AD8922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178.6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56.18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A5CA2BC" w14:textId="5223F5AE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158.5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55.28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EDC0646" w14:textId="12EACC81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0.001</w:t>
            </w:r>
          </w:p>
        </w:tc>
      </w:tr>
      <w:tr w:rsidR="00250BD1" w14:paraId="13D96A49" w14:textId="77777777">
        <w:trPr>
          <w:trHeight w:val="343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0EE9B4" w14:textId="6FF74C23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Histology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</w:t>
            </w:r>
            <w:r>
              <w:rPr>
                <w:rFonts w:ascii="Book Antiqua" w:hAnsi="Book Antiqua"/>
                <w:i/>
              </w:rPr>
              <w:t>n</w:t>
            </w:r>
            <w:r>
              <w:rPr>
                <w:rFonts w:ascii="Book Antiqua" w:hAnsi="Book Antiqua"/>
              </w:rPr>
              <w:t>,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%)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7286B7F" w14:textId="528B2650" w:rsidR="00250BD1" w:rsidRDefault="00D0708C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4B09718" w14:textId="0792C03B" w:rsidR="00250BD1" w:rsidRDefault="00D0708C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5A130CA" w14:textId="2F971163" w:rsidR="00250BD1" w:rsidRDefault="00D0708C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</w:tc>
      </w:tr>
      <w:tr w:rsidR="00250BD1" w14:paraId="67C28FE6" w14:textId="77777777">
        <w:trPr>
          <w:trHeight w:val="375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CF2F24" w14:textId="20080E6E" w:rsidR="00250BD1" w:rsidRDefault="001C262F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HAI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0-4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5502988" w14:textId="56F58D5B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38.31%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(154/402)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F561BC1" w14:textId="25828593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44.35%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(110/248)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5736A51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0.14</w:t>
            </w:r>
          </w:p>
        </w:tc>
      </w:tr>
      <w:tr w:rsidR="00250BD1" w14:paraId="5568938E" w14:textId="77777777">
        <w:trPr>
          <w:trHeight w:val="375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1748BE" w14:textId="22DAAB91" w:rsidR="00250BD1" w:rsidRDefault="001C262F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HAI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≥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E4E60DD" w14:textId="7B416480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61.69%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(248/402)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FE6CED6" w14:textId="670E772B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55.64%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(138/248)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499A555" w14:textId="77777777" w:rsidR="00250BD1" w:rsidRDefault="00250BD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50BD1" w14:paraId="58FFC54E" w14:textId="77777777">
        <w:trPr>
          <w:trHeight w:val="375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F19B15" w14:textId="3F3336E9" w:rsidR="00250BD1" w:rsidRDefault="001C262F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caps/>
              </w:rPr>
              <w:t>f</w:t>
            </w:r>
            <w:r>
              <w:rPr>
                <w:rFonts w:ascii="Book Antiqua" w:hAnsi="Book Antiqua"/>
              </w:rPr>
              <w:t>ibrosis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score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0-2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AD74F10" w14:textId="4A2F2605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38.06%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(153/402)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101223B" w14:textId="5E212FB5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59.27%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(147/248)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38B105F" w14:textId="62A77AA3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0.001</w:t>
            </w:r>
          </w:p>
        </w:tc>
      </w:tr>
      <w:tr w:rsidR="00250BD1" w14:paraId="62710C95" w14:textId="77777777">
        <w:trPr>
          <w:trHeight w:val="436"/>
        </w:trPr>
        <w:tc>
          <w:tcPr>
            <w:tcW w:w="38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413566" w14:textId="1D323D44" w:rsidR="00250BD1" w:rsidRDefault="001C262F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caps/>
              </w:rPr>
              <w:t>f</w:t>
            </w:r>
            <w:r>
              <w:rPr>
                <w:rFonts w:ascii="Book Antiqua" w:hAnsi="Book Antiqua"/>
              </w:rPr>
              <w:t>ibrosis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score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≥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BAA71C1" w14:textId="62E1DF6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61.49%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(249/402)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4DAE1F0" w14:textId="6DF4A8B9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40.73%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(101/248)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C1A9273" w14:textId="77777777" w:rsidR="00250BD1" w:rsidRDefault="00250BD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25FCA2EC" w14:textId="5E370D49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BMI: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b</w:t>
      </w:r>
      <w:r>
        <w:rPr>
          <w:rFonts w:ascii="Book Antiqua" w:hAnsi="Book Antiqua"/>
        </w:rPr>
        <w:t>ody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mass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index;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HBsAg: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h</w:t>
      </w:r>
      <w:r>
        <w:rPr>
          <w:rFonts w:ascii="Book Antiqua" w:hAnsi="Book Antiqua"/>
        </w:rPr>
        <w:t>epatitis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surface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antigen;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ALT: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a</w:t>
      </w:r>
      <w:r>
        <w:rPr>
          <w:rFonts w:ascii="Book Antiqua" w:hAnsi="Book Antiqua"/>
        </w:rPr>
        <w:t>lanine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aminotransferase;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AST: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a</w:t>
      </w:r>
      <w:r>
        <w:rPr>
          <w:rFonts w:ascii="Book Antiqua" w:hAnsi="Book Antiqua"/>
        </w:rPr>
        <w:t>spartate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aminotransferase;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TC: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t</w:t>
      </w:r>
      <w:r>
        <w:rPr>
          <w:rFonts w:ascii="Book Antiqua" w:hAnsi="Book Antiqua"/>
        </w:rPr>
        <w:t>otal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cholesterol;</w:t>
      </w:r>
      <w:r w:rsidR="00D0708C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TBil</w:t>
      </w:r>
      <w:proofErr w:type="spellEnd"/>
      <w:r>
        <w:rPr>
          <w:rFonts w:ascii="Book Antiqua" w:hAnsi="Book Antiqua"/>
        </w:rPr>
        <w:t>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t</w:t>
      </w:r>
      <w:r>
        <w:rPr>
          <w:rFonts w:ascii="Book Antiqua" w:hAnsi="Book Antiqua"/>
        </w:rPr>
        <w:t>otal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bilirubin;</w:t>
      </w:r>
      <w:r w:rsidR="00D0708C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DBil</w:t>
      </w:r>
      <w:proofErr w:type="spellEnd"/>
      <w:r>
        <w:rPr>
          <w:rFonts w:ascii="Book Antiqua" w:hAnsi="Book Antiqua"/>
        </w:rPr>
        <w:t>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d</w:t>
      </w:r>
      <w:r>
        <w:rPr>
          <w:rFonts w:ascii="Book Antiqua" w:hAnsi="Book Antiqua"/>
        </w:rPr>
        <w:t>irect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bilirubin;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PT: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p</w:t>
      </w:r>
      <w:r>
        <w:rPr>
          <w:rFonts w:ascii="Book Antiqua" w:hAnsi="Book Antiqua"/>
        </w:rPr>
        <w:t>rothrombin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time;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Cr: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c</w:t>
      </w:r>
      <w:r>
        <w:rPr>
          <w:rFonts w:ascii="Book Antiqua" w:hAnsi="Book Antiqua"/>
        </w:rPr>
        <w:t>reatinine;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BUN: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b</w:t>
      </w:r>
      <w:r>
        <w:rPr>
          <w:rFonts w:ascii="Book Antiqua" w:hAnsi="Book Antiqua"/>
        </w:rPr>
        <w:t>lood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urea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nitrogen;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HAI: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h</w:t>
      </w:r>
      <w:r>
        <w:rPr>
          <w:rFonts w:ascii="Book Antiqua" w:hAnsi="Book Antiqua"/>
        </w:rPr>
        <w:t>istology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activity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index.</w:t>
      </w:r>
    </w:p>
    <w:p w14:paraId="6802F5B3" w14:textId="5829ECBF" w:rsidR="00250BD1" w:rsidRDefault="001C262F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br w:type="page"/>
      </w:r>
      <w:r>
        <w:rPr>
          <w:rFonts w:ascii="Book Antiqua" w:hAnsi="Book Antiqua"/>
          <w:b/>
          <w:bCs/>
        </w:rPr>
        <w:lastRenderedPageBreak/>
        <w:t>Table</w:t>
      </w:r>
      <w:r w:rsidR="00D0708C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2</w:t>
      </w:r>
      <w:r w:rsidR="00D0708C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</w:rPr>
        <w:t>Selected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features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f</w:t>
      </w:r>
      <w:bookmarkStart w:id="2" w:name="_GoBack"/>
      <w:r>
        <w:rPr>
          <w:rFonts w:ascii="Book Antiqua" w:hAnsi="Book Antiqua"/>
          <w:b/>
        </w:rPr>
        <w:t>or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predicting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moderate-to-severe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inflammation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in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patients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with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chronic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hepatitis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B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virus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infection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(more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than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40</w:t>
      </w:r>
      <w:r w:rsidR="00D0708C">
        <w:rPr>
          <w:rFonts w:ascii="Book Antiqua" w:hAnsi="Book Antiqua"/>
          <w:b/>
        </w:rPr>
        <w:t xml:space="preserve"> </w:t>
      </w:r>
      <w:r w:rsidR="00240173">
        <w:rPr>
          <w:rFonts w:ascii="Book Antiqua" w:hAnsi="Book Antiqua"/>
          <w:b/>
        </w:rPr>
        <w:t>votes</w:t>
      </w:r>
      <w:r>
        <w:rPr>
          <w:rFonts w:ascii="Book Antiqua" w:hAnsi="Book Antiqua"/>
          <w:b/>
        </w:rPr>
        <w:t>)</w:t>
      </w:r>
    </w:p>
    <w:tbl>
      <w:tblPr>
        <w:tblW w:w="12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1295"/>
        <w:gridCol w:w="2746"/>
        <w:gridCol w:w="1604"/>
        <w:gridCol w:w="1315"/>
        <w:gridCol w:w="2669"/>
        <w:gridCol w:w="1158"/>
      </w:tblGrid>
      <w:tr w:rsidR="00250BD1" w14:paraId="690ED771" w14:textId="77777777">
        <w:trPr>
          <w:trHeight w:val="431"/>
        </w:trPr>
        <w:tc>
          <w:tcPr>
            <w:tcW w:w="17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98B62F" w14:textId="5B6C3A18" w:rsidR="00250BD1" w:rsidRDefault="001C262F" w:rsidP="00240173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bCs/>
              </w:rPr>
              <w:t>Feature</w:t>
            </w:r>
            <w:r w:rsidR="00D0708C">
              <w:rPr>
                <w:rFonts w:ascii="Book Antiqua" w:hAnsi="Book Antiqua"/>
                <w:b/>
                <w:bCs/>
              </w:rPr>
              <w:t xml:space="preserve"> </w:t>
            </w:r>
            <w:r w:rsidR="00240173">
              <w:rPr>
                <w:rFonts w:ascii="Book Antiqua" w:hAnsi="Book Antiqua"/>
                <w:b/>
                <w:bCs/>
              </w:rPr>
              <w:t>name</w:t>
            </w:r>
          </w:p>
        </w:tc>
        <w:tc>
          <w:tcPr>
            <w:tcW w:w="56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200F8" w14:textId="7E69DC68" w:rsidR="00250BD1" w:rsidRDefault="001C26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HBeAg</w:t>
            </w:r>
            <w:proofErr w:type="spellEnd"/>
            <w:r>
              <w:rPr>
                <w:rFonts w:ascii="Book Antiqua" w:hAnsi="Book Antiqua"/>
                <w:b/>
                <w:bCs/>
              </w:rPr>
              <w:t>-positive</w:t>
            </w:r>
            <w:r w:rsidR="00D0708C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patients</w:t>
            </w:r>
          </w:p>
        </w:tc>
        <w:tc>
          <w:tcPr>
            <w:tcW w:w="51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3BE00A" w14:textId="3E3F7DAD" w:rsidR="00250BD1" w:rsidRDefault="001C26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HBeAg</w:t>
            </w:r>
            <w:proofErr w:type="spellEnd"/>
            <w:r>
              <w:rPr>
                <w:rFonts w:ascii="Book Antiqua" w:hAnsi="Book Antiqua"/>
                <w:b/>
                <w:bCs/>
              </w:rPr>
              <w:t>-negative</w:t>
            </w:r>
            <w:r w:rsidR="00D0708C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patients</w:t>
            </w:r>
          </w:p>
        </w:tc>
      </w:tr>
      <w:tr w:rsidR="00250BD1" w14:paraId="13C7101C" w14:textId="77777777">
        <w:trPr>
          <w:trHeight w:val="682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96C005C" w14:textId="77777777" w:rsidR="00250BD1" w:rsidRDefault="00250BD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56C25B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bCs/>
              </w:rPr>
              <w:t>Votes</w:t>
            </w: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6AFD7D" w14:textId="39987D92" w:rsidR="00250BD1" w:rsidRDefault="001C26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  <w:bCs/>
                <w:i/>
                <w:iCs/>
              </w:rPr>
              <w:t>Spearman’r</w:t>
            </w:r>
            <w:proofErr w:type="spellEnd"/>
            <w:r w:rsidR="00D0708C">
              <w:rPr>
                <w:rFonts w:ascii="Book Antiqua" w:hAnsi="Book Antiqua"/>
                <w:b/>
                <w:bCs/>
                <w:i/>
                <w:i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(95%CI)</w:t>
            </w:r>
            <w:r>
              <w:rPr>
                <w:rFonts w:ascii="Book Antiqua" w:hAnsi="Book Antiqua"/>
                <w:b/>
                <w:vertAlign w:val="superscript"/>
              </w:rPr>
              <w:t>1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8B9BD8" w14:textId="2CD032E8" w:rsidR="00250BD1" w:rsidRDefault="001C26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D0708C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value</w:t>
            </w:r>
            <w:r>
              <w:rPr>
                <w:rFonts w:ascii="Book Antiqua" w:hAnsi="Book Antiqua"/>
                <w:b/>
                <w:vertAlign w:val="superscript"/>
              </w:rPr>
              <w:t>1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E69BFD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bCs/>
              </w:rPr>
              <w:t>Votes</w:t>
            </w:r>
          </w:p>
        </w:tc>
        <w:tc>
          <w:tcPr>
            <w:tcW w:w="26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B0FAD" w14:textId="61FD9B56" w:rsidR="00250BD1" w:rsidRDefault="001C262F" w:rsidP="00240173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F00FF2">
              <w:rPr>
                <w:rFonts w:ascii="Book Antiqua" w:hAnsi="Book Antiqua"/>
                <w:b/>
                <w:bCs/>
                <w:iCs/>
              </w:rPr>
              <w:t>Spearman</w:t>
            </w:r>
            <w:r w:rsidR="00240173">
              <w:rPr>
                <w:rFonts w:ascii="Book Antiqua" w:hAnsi="Book Antiqua"/>
                <w:b/>
                <w:bCs/>
                <w:i/>
                <w:iCs/>
              </w:rPr>
              <w:t xml:space="preserve"> </w:t>
            </w:r>
            <w:r>
              <w:rPr>
                <w:rFonts w:ascii="Book Antiqua" w:hAnsi="Book Antiqua"/>
                <w:b/>
                <w:bCs/>
                <w:i/>
                <w:iCs/>
              </w:rPr>
              <w:t>r</w:t>
            </w:r>
            <w:r w:rsidR="00D0708C">
              <w:rPr>
                <w:rFonts w:ascii="Book Antiqua" w:hAnsi="Book Antiqua"/>
                <w:b/>
                <w:bCs/>
                <w:i/>
                <w:i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(95%CI)</w:t>
            </w:r>
            <w:r>
              <w:rPr>
                <w:rFonts w:ascii="Book Antiqua" w:hAnsi="Book Antiqua"/>
                <w:b/>
                <w:vertAlign w:val="superscript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546B9" w14:textId="290308B0" w:rsidR="00250BD1" w:rsidRDefault="001C26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D0708C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value</w:t>
            </w:r>
            <w:r>
              <w:rPr>
                <w:rFonts w:ascii="Book Antiqua" w:hAnsi="Book Antiqua"/>
                <w:b/>
                <w:vertAlign w:val="superscript"/>
              </w:rPr>
              <w:t>1</w:t>
            </w:r>
          </w:p>
        </w:tc>
      </w:tr>
      <w:bookmarkEnd w:id="2"/>
      <w:tr w:rsidR="00250BD1" w14:paraId="3936BA14" w14:textId="77777777">
        <w:trPr>
          <w:trHeight w:val="349"/>
        </w:trPr>
        <w:tc>
          <w:tcPr>
            <w:tcW w:w="17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1C109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ALT</w:t>
            </w:r>
          </w:p>
        </w:tc>
        <w:tc>
          <w:tcPr>
            <w:tcW w:w="12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175F51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</w:t>
            </w: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09997" w14:textId="2E91F5DC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0.45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(0.36-0.53)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116A9" w14:textId="64E2196D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0.001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F454E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</w:t>
            </w:r>
          </w:p>
        </w:tc>
        <w:tc>
          <w:tcPr>
            <w:tcW w:w="26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A2C178" w14:textId="1313C9B5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0.44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(0.33-0.53)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4BD15" w14:textId="6F7F5916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0.001</w:t>
            </w:r>
          </w:p>
        </w:tc>
      </w:tr>
      <w:tr w:rsidR="00250BD1" w14:paraId="6CD55445" w14:textId="77777777">
        <w:trPr>
          <w:trHeight w:val="349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D56E1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AST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A9F66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1E598" w14:textId="4E1CF966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0.51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(0.43-0.58)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1D461" w14:textId="21BD15B8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0.001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D771C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F6056" w14:textId="3559D7D9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0.49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(0.38-0.58)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FA40D" w14:textId="560016FC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0.001</w:t>
            </w:r>
          </w:p>
        </w:tc>
      </w:tr>
      <w:tr w:rsidR="00250BD1" w14:paraId="466C4874" w14:textId="77777777">
        <w:trPr>
          <w:trHeight w:val="357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EDB31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qAnti-HBc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BD805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9AFCE6" w14:textId="00FC2C8E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0.55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(0.47-0.62)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4EF87" w14:textId="45E50C5A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0.001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5DE11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50BB7" w14:textId="49D8B292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0.49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(0.39-0.58)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F47A4" w14:textId="662BF86C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0.001</w:t>
            </w:r>
          </w:p>
        </w:tc>
      </w:tr>
      <w:tr w:rsidR="00250BD1" w14:paraId="4CAA6614" w14:textId="77777777">
        <w:trPr>
          <w:trHeight w:val="348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456F1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CXCL10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83C5B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46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062F8" w14:textId="7C1695FC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0.34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(0.25-0.43)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1C43A" w14:textId="46B6549F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0.001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18990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51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71E66" w14:textId="38367CC3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0.35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(0.23-0.46)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60BAA" w14:textId="177A75E1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0.001</w:t>
            </w:r>
          </w:p>
        </w:tc>
      </w:tr>
      <w:tr w:rsidR="00250BD1" w14:paraId="10BD28C5" w14:textId="77777777">
        <w:trPr>
          <w:trHeight w:val="349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AE7B4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CXCL11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7C772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B3F32" w14:textId="020A23C4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0.34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(0.25-0.43)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458BF" w14:textId="6D68ED0B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0.001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2D93B1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7D454" w14:textId="4B497196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0.33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(0.21-0.44)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96B10" w14:textId="5B9A333C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0.001</w:t>
            </w:r>
          </w:p>
        </w:tc>
      </w:tr>
      <w:tr w:rsidR="00250BD1" w14:paraId="40E42229" w14:textId="77777777">
        <w:trPr>
          <w:trHeight w:val="349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1CCE2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IL-2R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DC03C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71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4983C" w14:textId="05467062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0.30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(0.20-0.39)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118DA" w14:textId="3BDA9F1C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0.001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6341FB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44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E70B67" w14:textId="7B6D21A9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0.27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(0.14-0.38)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D6AB9" w14:textId="403D1D0A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0.001</w:t>
            </w:r>
          </w:p>
        </w:tc>
      </w:tr>
      <w:tr w:rsidR="00250BD1" w14:paraId="25D85F2A" w14:textId="77777777">
        <w:trPr>
          <w:trHeight w:val="4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FF4867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CCL2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95229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42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1D851" w14:textId="3F638AFC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-0.01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(-0.09-0.07)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48B25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0.79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0ADDB0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52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77B35" w14:textId="39FB11F0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0.03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(-0.10-0.16)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6E8B07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0.65</w:t>
            </w:r>
          </w:p>
        </w:tc>
      </w:tr>
      <w:tr w:rsidR="00250BD1" w14:paraId="06B6856A" w14:textId="77777777">
        <w:trPr>
          <w:trHeight w:val="334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79D01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TNF-α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DF2BE6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56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3C5D6" w14:textId="48722743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0.01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(-0.17-0.09)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96DD1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0.78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26EB46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62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CE27B" w14:textId="1A3DA2A9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0.01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(-0.17-0.09)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93A83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0.78</w:t>
            </w:r>
          </w:p>
        </w:tc>
      </w:tr>
      <w:tr w:rsidR="00250BD1" w14:paraId="74CEEB91" w14:textId="77777777">
        <w:trPr>
          <w:trHeight w:val="382"/>
        </w:trPr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28F479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IL-1β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78BF0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0690D" w14:textId="1830C20C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-0.10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(-0.23-0.03)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B0317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294CB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53314C" w14:textId="50FE61BA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0.15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(0.03-0.28)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70CB3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0.02</w:t>
            </w:r>
          </w:p>
        </w:tc>
      </w:tr>
    </w:tbl>
    <w:p w14:paraId="413010E3" w14:textId="717BFCF9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vertAlign w:val="superscript"/>
        </w:rPr>
        <w:t>1</w:t>
      </w:r>
      <w:r>
        <w:rPr>
          <w:rFonts w:ascii="Book Antiqua" w:hAnsi="Book Antiqua"/>
        </w:rPr>
        <w:t>Correlation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between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features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scores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histological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activity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chronic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hepatitis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virus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infection.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ALT: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a</w:t>
      </w:r>
      <w:r>
        <w:rPr>
          <w:rFonts w:ascii="Book Antiqua" w:hAnsi="Book Antiqua"/>
        </w:rPr>
        <w:t>lanine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aminotransferase;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AST: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a</w:t>
      </w:r>
      <w:r>
        <w:rPr>
          <w:rFonts w:ascii="Book Antiqua" w:hAnsi="Book Antiqua"/>
        </w:rPr>
        <w:t>spartate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aminotransferase;</w:t>
      </w:r>
      <w:r w:rsidR="00D0708C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qAnti-HBc</w:t>
      </w:r>
      <w:proofErr w:type="spellEnd"/>
      <w:r>
        <w:rPr>
          <w:rFonts w:ascii="Book Antiqua" w:hAnsi="Book Antiqua"/>
        </w:rPr>
        <w:t>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q</w:t>
      </w:r>
      <w:r>
        <w:rPr>
          <w:rFonts w:ascii="Book Antiqua" w:hAnsi="Book Antiqua"/>
        </w:rPr>
        <w:t>uantitative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hepatitis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core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antibody;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IL: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i</w:t>
      </w:r>
      <w:r>
        <w:rPr>
          <w:rFonts w:ascii="Book Antiqua" w:hAnsi="Book Antiqua"/>
        </w:rPr>
        <w:t>nterleukin;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TNF: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t</w:t>
      </w:r>
      <w:r>
        <w:rPr>
          <w:rFonts w:ascii="Book Antiqua" w:hAnsi="Book Antiqua"/>
        </w:rPr>
        <w:t>umor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necrosis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factor;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CI: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c</w:t>
      </w:r>
      <w:r>
        <w:rPr>
          <w:rFonts w:ascii="Book Antiqua" w:hAnsi="Book Antiqua"/>
        </w:rPr>
        <w:t>onfidence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interval.</w:t>
      </w:r>
    </w:p>
    <w:p w14:paraId="6C04AE00" w14:textId="7400FC40" w:rsidR="00250BD1" w:rsidRDefault="001C262F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br w:type="page"/>
      </w:r>
      <w:r>
        <w:rPr>
          <w:rFonts w:ascii="Book Antiqua" w:hAnsi="Book Antiqua"/>
          <w:b/>
          <w:bCs/>
        </w:rPr>
        <w:lastRenderedPageBreak/>
        <w:t>Table</w:t>
      </w:r>
      <w:r w:rsidR="00D0708C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3</w:t>
      </w:r>
      <w:r w:rsidR="00D0708C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</w:rPr>
        <w:t>Receiver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operating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characteristic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curve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analysis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of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inflammation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scores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in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patients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with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chronic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hepatitis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B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virus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infection</w:t>
      </w:r>
    </w:p>
    <w:tbl>
      <w:tblPr>
        <w:tblW w:w="13346" w:type="dxa"/>
        <w:tblInd w:w="-176" w:type="dxa"/>
        <w:tblBorders>
          <w:top w:val="single" w:sz="8" w:space="0" w:color="000000"/>
          <w:bottom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320"/>
        <w:gridCol w:w="1022"/>
        <w:gridCol w:w="1105"/>
        <w:gridCol w:w="1223"/>
        <w:gridCol w:w="1252"/>
        <w:gridCol w:w="1725"/>
        <w:gridCol w:w="2126"/>
        <w:gridCol w:w="1155"/>
      </w:tblGrid>
      <w:tr w:rsidR="00250BD1" w14:paraId="69B50AFC" w14:textId="77777777">
        <w:trPr>
          <w:trHeight w:val="254"/>
        </w:trPr>
        <w:tc>
          <w:tcPr>
            <w:tcW w:w="1418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A943887" w14:textId="77777777" w:rsidR="00250BD1" w:rsidRDefault="00250BD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2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4956B3" w14:textId="1F442E41" w:rsidR="00250BD1" w:rsidRDefault="001C26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Cutoff</w:t>
            </w:r>
            <w:r w:rsidR="00D0708C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value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90120D" w14:textId="7B44D17B" w:rsidR="00250BD1" w:rsidRDefault="001C26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Se</w:t>
            </w:r>
            <w:r w:rsidR="00D0708C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(%)</w:t>
            </w:r>
          </w:p>
        </w:tc>
        <w:tc>
          <w:tcPr>
            <w:tcW w:w="1105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1174D5" w14:textId="266E0359" w:rsidR="00250BD1" w:rsidRDefault="001C26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Spe</w:t>
            </w:r>
            <w:proofErr w:type="spellEnd"/>
            <w:r w:rsidR="00D0708C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(%)</w:t>
            </w:r>
          </w:p>
        </w:tc>
        <w:tc>
          <w:tcPr>
            <w:tcW w:w="1223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BBEFBC" w14:textId="76CFE5DB" w:rsidR="00250BD1" w:rsidRDefault="001C26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PPV</w:t>
            </w:r>
            <w:r w:rsidR="00D0708C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(%)</w:t>
            </w:r>
          </w:p>
        </w:tc>
        <w:tc>
          <w:tcPr>
            <w:tcW w:w="12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9E8EFC4" w14:textId="63F6547D" w:rsidR="00250BD1" w:rsidRDefault="001C26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NPV</w:t>
            </w:r>
            <w:r w:rsidR="00D0708C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(%)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842FE68" w14:textId="2EF0662F" w:rsidR="00250BD1" w:rsidRDefault="001C26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Accuracy</w:t>
            </w:r>
            <w:r w:rsidR="00D0708C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(%)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26AB34" w14:textId="5389A11D" w:rsidR="00250BD1" w:rsidRDefault="001C26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AUROC</w:t>
            </w:r>
            <w:r w:rsidR="00D0708C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(95%CI)</w:t>
            </w:r>
          </w:p>
        </w:tc>
        <w:tc>
          <w:tcPr>
            <w:tcW w:w="1155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82D869" w14:textId="432B646C" w:rsidR="00250BD1" w:rsidRDefault="00D0708C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  <w:r w:rsidR="001C262F">
              <w:rPr>
                <w:rFonts w:ascii="Book Antiqua" w:hAnsi="Book Antiqua"/>
                <w:b/>
                <w:i/>
              </w:rPr>
              <w:t>P</w:t>
            </w:r>
            <w:r>
              <w:rPr>
                <w:rFonts w:ascii="Book Antiqua" w:hAnsi="Book Antiqua"/>
                <w:b/>
              </w:rPr>
              <w:t xml:space="preserve"> </w:t>
            </w:r>
            <w:r w:rsidR="001C262F">
              <w:rPr>
                <w:rFonts w:ascii="Book Antiqua" w:hAnsi="Book Antiqua"/>
                <w:b/>
              </w:rPr>
              <w:t>value</w:t>
            </w:r>
          </w:p>
        </w:tc>
      </w:tr>
      <w:tr w:rsidR="00250BD1" w14:paraId="2053081C" w14:textId="77777777">
        <w:trPr>
          <w:trHeight w:val="337"/>
        </w:trPr>
        <w:tc>
          <w:tcPr>
            <w:tcW w:w="13346" w:type="dxa"/>
            <w:gridSpan w:val="9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735364" w14:textId="22C996C1" w:rsidR="00250BD1" w:rsidRDefault="001C26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All</w:t>
            </w:r>
            <w:r w:rsidR="00D0708C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patients</w:t>
            </w:r>
          </w:p>
        </w:tc>
      </w:tr>
      <w:tr w:rsidR="00250BD1" w14:paraId="4ECDB55F" w14:textId="77777777">
        <w:trPr>
          <w:trHeight w:val="253"/>
        </w:trPr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6AD96A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I-3A</w:t>
            </w:r>
          </w:p>
        </w:tc>
        <w:tc>
          <w:tcPr>
            <w:tcW w:w="23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2376AD" w14:textId="36176D90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0.41</w:t>
            </w:r>
          </w:p>
        </w:tc>
        <w:tc>
          <w:tcPr>
            <w:tcW w:w="10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8C830B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69.17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8C1FAD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81.44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4A81228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84.49</w:t>
            </w:r>
          </w:p>
        </w:tc>
        <w:tc>
          <w:tcPr>
            <w:tcW w:w="12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ECD47FF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64.37</w:t>
            </w:r>
          </w:p>
        </w:tc>
        <w:tc>
          <w:tcPr>
            <w:tcW w:w="17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44FD5B4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73.8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C652F3" w14:textId="2F13E73B" w:rsidR="00250BD1" w:rsidRDefault="00D0708C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1C262F">
              <w:rPr>
                <w:rFonts w:ascii="Book Antiqua" w:hAnsi="Book Antiqua"/>
              </w:rPr>
              <w:t>0.82</w:t>
            </w:r>
            <w:r>
              <w:rPr>
                <w:rFonts w:ascii="Book Antiqua" w:hAnsi="Book Antiqua"/>
              </w:rPr>
              <w:t xml:space="preserve"> </w:t>
            </w:r>
            <w:r w:rsidR="001C262F">
              <w:rPr>
                <w:rFonts w:ascii="Book Antiqua" w:hAnsi="Book Antiqua"/>
              </w:rPr>
              <w:t>(0.79-0.85)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691816" w14:textId="29535328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0.0001</w:t>
            </w:r>
          </w:p>
        </w:tc>
      </w:tr>
      <w:tr w:rsidR="00250BD1" w14:paraId="4B9B3967" w14:textId="77777777">
        <w:trPr>
          <w:trHeight w:val="301"/>
        </w:trPr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B3CBE3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qAnti-HBc</w:t>
            </w:r>
            <w:proofErr w:type="spellEnd"/>
          </w:p>
        </w:tc>
        <w:tc>
          <w:tcPr>
            <w:tcW w:w="23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A19D27" w14:textId="500D95DB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&gt;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4.20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log</w:t>
            </w:r>
            <w:r>
              <w:rPr>
                <w:rFonts w:ascii="Book Antiqua" w:hAnsi="Book Antiqua"/>
                <w:vertAlign w:val="subscript"/>
              </w:rPr>
              <w:t>10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IU/m</w:t>
            </w:r>
            <w:r>
              <w:rPr>
                <w:rFonts w:ascii="Book Antiqua" w:hAnsi="Book Antiqua"/>
                <w:caps/>
              </w:rPr>
              <w:t>l</w:t>
            </w:r>
          </w:p>
        </w:tc>
        <w:tc>
          <w:tcPr>
            <w:tcW w:w="10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16CB45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83.94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80D155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55.68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4EB9DB8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73.47</w:t>
            </w:r>
          </w:p>
        </w:tc>
        <w:tc>
          <w:tcPr>
            <w:tcW w:w="12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E0E6EC9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70.33</w:t>
            </w:r>
          </w:p>
        </w:tc>
        <w:tc>
          <w:tcPr>
            <w:tcW w:w="17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ABD1826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72.13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54187D" w14:textId="65F75D07" w:rsidR="00250BD1" w:rsidRDefault="00D0708C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1C262F">
              <w:rPr>
                <w:rFonts w:ascii="Book Antiqua" w:hAnsi="Book Antiqua"/>
              </w:rPr>
              <w:t>0.76</w:t>
            </w:r>
            <w:r>
              <w:rPr>
                <w:rFonts w:ascii="Book Antiqua" w:hAnsi="Book Antiqua"/>
              </w:rPr>
              <w:t xml:space="preserve"> </w:t>
            </w:r>
            <w:r w:rsidR="001C262F">
              <w:rPr>
                <w:rFonts w:ascii="Book Antiqua" w:hAnsi="Book Antiqua"/>
              </w:rPr>
              <w:t>(0.72-0.79)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155" w:type="dxa"/>
            <w:vAlign w:val="center"/>
          </w:tcPr>
          <w:p w14:paraId="1C3C2D1C" w14:textId="77777777" w:rsidR="00250BD1" w:rsidRDefault="00250BD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50BD1" w14:paraId="249256DE" w14:textId="77777777">
        <w:trPr>
          <w:trHeight w:val="313"/>
        </w:trPr>
        <w:tc>
          <w:tcPr>
            <w:tcW w:w="13346" w:type="dxa"/>
            <w:gridSpan w:val="9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F60108" w14:textId="15F87D0E" w:rsidR="00250BD1" w:rsidRDefault="001C26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HBeAg</w:t>
            </w:r>
            <w:proofErr w:type="spellEnd"/>
            <w:r>
              <w:rPr>
                <w:rFonts w:ascii="Book Antiqua" w:hAnsi="Book Antiqua"/>
                <w:b/>
              </w:rPr>
              <w:t>-positive</w:t>
            </w:r>
            <w:r w:rsidR="00D0708C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patients</w:t>
            </w:r>
          </w:p>
        </w:tc>
      </w:tr>
      <w:tr w:rsidR="00250BD1" w14:paraId="12ED59A2" w14:textId="77777777">
        <w:trPr>
          <w:trHeight w:val="253"/>
        </w:trPr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1B36A7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I-3A</w:t>
            </w:r>
          </w:p>
        </w:tc>
        <w:tc>
          <w:tcPr>
            <w:tcW w:w="23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0C5A64" w14:textId="19DCFF19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0.41</w:t>
            </w:r>
          </w:p>
        </w:tc>
        <w:tc>
          <w:tcPr>
            <w:tcW w:w="10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F4913C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70.16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747BA5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80.52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8B84268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85.29</w:t>
            </w:r>
          </w:p>
        </w:tc>
        <w:tc>
          <w:tcPr>
            <w:tcW w:w="12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FD864FA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62.63</w:t>
            </w:r>
          </w:p>
        </w:tc>
        <w:tc>
          <w:tcPr>
            <w:tcW w:w="17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BA69274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74.13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4D387E" w14:textId="1B52C3A8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0.83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(0.79-0.87)</w:t>
            </w:r>
          </w:p>
        </w:tc>
        <w:tc>
          <w:tcPr>
            <w:tcW w:w="1155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7D1723" w14:textId="21A78CD1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0.0001</w:t>
            </w:r>
          </w:p>
        </w:tc>
      </w:tr>
      <w:tr w:rsidR="00250BD1" w14:paraId="5C3BAAB2" w14:textId="77777777">
        <w:trPr>
          <w:trHeight w:val="301"/>
        </w:trPr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944D01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qAnti-HBc</w:t>
            </w:r>
            <w:proofErr w:type="spellEnd"/>
          </w:p>
        </w:tc>
        <w:tc>
          <w:tcPr>
            <w:tcW w:w="23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5AFF32" w14:textId="0194ADFF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&gt;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4.20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log</w:t>
            </w:r>
            <w:r>
              <w:rPr>
                <w:rFonts w:ascii="Book Antiqua" w:hAnsi="Book Antiqua"/>
                <w:vertAlign w:val="subscript"/>
              </w:rPr>
              <w:t>10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IU/ml</w:t>
            </w:r>
          </w:p>
        </w:tc>
        <w:tc>
          <w:tcPr>
            <w:tcW w:w="10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FD0738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83.06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0AB21B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60.39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25F8995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77.15</w:t>
            </w:r>
          </w:p>
        </w:tc>
        <w:tc>
          <w:tcPr>
            <w:tcW w:w="12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62DCF74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68.89</w:t>
            </w:r>
          </w:p>
        </w:tc>
        <w:tc>
          <w:tcPr>
            <w:tcW w:w="17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67C6311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74.38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F1706C" w14:textId="3DD6FAAF" w:rsidR="00250BD1" w:rsidRDefault="00D0708C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1C262F">
              <w:rPr>
                <w:rFonts w:ascii="Book Antiqua" w:hAnsi="Book Antiqua"/>
              </w:rPr>
              <w:t>0.77</w:t>
            </w:r>
            <w:r>
              <w:rPr>
                <w:rFonts w:ascii="Book Antiqua" w:hAnsi="Book Antiqua"/>
              </w:rPr>
              <w:t xml:space="preserve"> </w:t>
            </w:r>
            <w:r w:rsidR="001C262F">
              <w:rPr>
                <w:rFonts w:ascii="Book Antiqua" w:hAnsi="Book Antiqua"/>
              </w:rPr>
              <w:t>(0.73-0.81)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155" w:type="dxa"/>
            <w:vMerge/>
            <w:vAlign w:val="center"/>
          </w:tcPr>
          <w:p w14:paraId="4572B2A1" w14:textId="77777777" w:rsidR="00250BD1" w:rsidRDefault="00250BD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50BD1" w14:paraId="2507BF89" w14:textId="77777777">
        <w:trPr>
          <w:trHeight w:val="289"/>
        </w:trPr>
        <w:tc>
          <w:tcPr>
            <w:tcW w:w="13346" w:type="dxa"/>
            <w:gridSpan w:val="9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105131" w14:textId="0D9CDAC8" w:rsidR="00250BD1" w:rsidRDefault="001C26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HBeAg</w:t>
            </w:r>
            <w:proofErr w:type="spellEnd"/>
            <w:r>
              <w:rPr>
                <w:rFonts w:ascii="Book Antiqua" w:hAnsi="Book Antiqua"/>
                <w:b/>
              </w:rPr>
              <w:t>-negative</w:t>
            </w:r>
            <w:r w:rsidR="00D0708C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patients</w:t>
            </w:r>
          </w:p>
        </w:tc>
      </w:tr>
      <w:tr w:rsidR="00250BD1" w14:paraId="367E4E3F" w14:textId="77777777">
        <w:trPr>
          <w:trHeight w:val="269"/>
        </w:trPr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4BB2A0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I-3A</w:t>
            </w:r>
          </w:p>
        </w:tc>
        <w:tc>
          <w:tcPr>
            <w:tcW w:w="23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108562" w14:textId="71CC14AD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0.44</w:t>
            </w:r>
          </w:p>
        </w:tc>
        <w:tc>
          <w:tcPr>
            <w:tcW w:w="10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D9D199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73.19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4AC1FB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78.18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A00AD7F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80.8</w:t>
            </w:r>
          </w:p>
        </w:tc>
        <w:tc>
          <w:tcPr>
            <w:tcW w:w="12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70CCFE2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69.92</w:t>
            </w:r>
          </w:p>
        </w:tc>
        <w:tc>
          <w:tcPr>
            <w:tcW w:w="17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18FD66A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75.4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2154A9" w14:textId="42B893BD" w:rsidR="00250BD1" w:rsidRDefault="00D0708C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1C262F">
              <w:rPr>
                <w:rFonts w:ascii="Book Antiqua" w:hAnsi="Book Antiqua"/>
              </w:rPr>
              <w:t>0.81</w:t>
            </w:r>
            <w:r>
              <w:rPr>
                <w:rFonts w:ascii="Book Antiqua" w:hAnsi="Book Antiqua"/>
              </w:rPr>
              <w:t xml:space="preserve"> </w:t>
            </w:r>
            <w:r w:rsidR="001C262F">
              <w:rPr>
                <w:rFonts w:ascii="Book Antiqua" w:hAnsi="Book Antiqua"/>
              </w:rPr>
              <w:t>(0.76-0.86)</w:t>
            </w:r>
          </w:p>
        </w:tc>
        <w:tc>
          <w:tcPr>
            <w:tcW w:w="1155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B99B0E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0.002</w:t>
            </w:r>
          </w:p>
        </w:tc>
      </w:tr>
      <w:tr w:rsidR="00250BD1" w14:paraId="1B0D380C" w14:textId="77777777">
        <w:trPr>
          <w:trHeight w:val="153"/>
        </w:trPr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8C9F87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qAnti-HBc</w:t>
            </w:r>
            <w:proofErr w:type="spellEnd"/>
          </w:p>
        </w:tc>
        <w:tc>
          <w:tcPr>
            <w:tcW w:w="23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D0D34F" w14:textId="69B5AA82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&gt;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4.40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log</w:t>
            </w:r>
            <w:r>
              <w:rPr>
                <w:rFonts w:ascii="Book Antiqua" w:hAnsi="Book Antiqua"/>
                <w:vertAlign w:val="subscript"/>
              </w:rPr>
              <w:t>10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IU/m</w:t>
            </w:r>
            <w:r>
              <w:rPr>
                <w:rFonts w:ascii="Book Antiqua" w:hAnsi="Book Antiqua"/>
                <w:caps/>
              </w:rPr>
              <w:t>l</w:t>
            </w:r>
          </w:p>
        </w:tc>
        <w:tc>
          <w:tcPr>
            <w:tcW w:w="10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4772AA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76.81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06AC10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61.13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803C685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71.62</w:t>
            </w:r>
          </w:p>
        </w:tc>
        <w:tc>
          <w:tcPr>
            <w:tcW w:w="12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3E39497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68</w:t>
            </w:r>
          </w:p>
        </w:tc>
        <w:tc>
          <w:tcPr>
            <w:tcW w:w="17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CC82824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70.16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B8CB43" w14:textId="7F2A595B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0.75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(0.70-0.81)</w:t>
            </w:r>
            <w:r w:rsidR="00D0708C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155" w:type="dxa"/>
            <w:vMerge/>
            <w:vAlign w:val="center"/>
          </w:tcPr>
          <w:p w14:paraId="7D5AAF8A" w14:textId="77777777" w:rsidR="00250BD1" w:rsidRDefault="00250BD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5F8AECD3" w14:textId="16B3060D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Se: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s</w:t>
      </w:r>
      <w:r>
        <w:rPr>
          <w:rFonts w:ascii="Book Antiqua" w:hAnsi="Book Antiqua"/>
        </w:rPr>
        <w:t>ensitivity;</w:t>
      </w:r>
      <w:r w:rsidR="00D0708C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Spe</w:t>
      </w:r>
      <w:proofErr w:type="spellEnd"/>
      <w:r>
        <w:rPr>
          <w:rFonts w:ascii="Book Antiqua" w:hAnsi="Book Antiqua"/>
        </w:rPr>
        <w:t>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s</w:t>
      </w:r>
      <w:r>
        <w:rPr>
          <w:rFonts w:ascii="Book Antiqua" w:hAnsi="Book Antiqua"/>
        </w:rPr>
        <w:t>pecificity;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PPV: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p</w:t>
      </w:r>
      <w:r>
        <w:rPr>
          <w:rFonts w:ascii="Book Antiqua" w:hAnsi="Book Antiqua"/>
        </w:rPr>
        <w:t>ositive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predictive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value;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NPV: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n</w:t>
      </w:r>
      <w:r>
        <w:rPr>
          <w:rFonts w:ascii="Book Antiqua" w:hAnsi="Book Antiqua"/>
        </w:rPr>
        <w:t>egative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predictive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value;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AUROC: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a</w:t>
      </w:r>
      <w:r>
        <w:rPr>
          <w:rFonts w:ascii="Book Antiqua" w:hAnsi="Book Antiqua"/>
        </w:rPr>
        <w:t>rea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under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receiver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operating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characteristics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curve;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CI: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c</w:t>
      </w:r>
      <w:r>
        <w:rPr>
          <w:rFonts w:ascii="Book Antiqua" w:hAnsi="Book Antiqua"/>
        </w:rPr>
        <w:t>onfidence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interval;</w:t>
      </w:r>
      <w:r w:rsidR="00D0708C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HBeAg</w:t>
      </w:r>
      <w:proofErr w:type="spellEnd"/>
      <w:r>
        <w:rPr>
          <w:rFonts w:ascii="Book Antiqua" w:hAnsi="Book Antiqua"/>
        </w:rPr>
        <w:t>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h</w:t>
      </w:r>
      <w:r>
        <w:rPr>
          <w:rFonts w:ascii="Book Antiqua" w:hAnsi="Book Antiqua"/>
        </w:rPr>
        <w:t>epatitis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antigen;</w:t>
      </w:r>
      <w:r w:rsidR="00D0708C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qAnti-HBc</w:t>
      </w:r>
      <w:proofErr w:type="spellEnd"/>
      <w:r>
        <w:rPr>
          <w:rFonts w:ascii="Book Antiqua" w:hAnsi="Book Antiqua"/>
        </w:rPr>
        <w:t>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q</w:t>
      </w:r>
      <w:r>
        <w:rPr>
          <w:rFonts w:ascii="Book Antiqua" w:hAnsi="Book Antiqua"/>
        </w:rPr>
        <w:t>uantitative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hepatitis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core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antibody.</w:t>
      </w:r>
    </w:p>
    <w:sectPr w:rsidR="00250BD1" w:rsidSect="0089528A">
      <w:headerReference w:type="default" r:id="rId14"/>
      <w:pgSz w:w="15840" w:h="12240" w:orient="landscape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DA35B" w14:textId="77777777" w:rsidR="00093437" w:rsidRDefault="00093437">
      <w:r>
        <w:separator/>
      </w:r>
    </w:p>
  </w:endnote>
  <w:endnote w:type="continuationSeparator" w:id="0">
    <w:p w14:paraId="043CF62A" w14:textId="77777777" w:rsidR="00093437" w:rsidRDefault="0009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7030742"/>
      <w:docPartObj>
        <w:docPartGallery w:val="AutoText"/>
      </w:docPartObj>
    </w:sdtPr>
    <w:sdtEndPr/>
    <w:sdtContent>
      <w:sdt>
        <w:sdtPr>
          <w:id w:val="-1705238520"/>
          <w:docPartObj>
            <w:docPartGallery w:val="AutoText"/>
          </w:docPartObj>
        </w:sdtPr>
        <w:sdtEndPr/>
        <w:sdtContent>
          <w:p w14:paraId="618256A6" w14:textId="77777777" w:rsidR="00F337D6" w:rsidRDefault="00F337D6">
            <w:pPr>
              <w:pStyle w:val="a3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fldChar w:fldCharType="begin"/>
            </w:r>
            <w:r>
              <w:rPr>
                <w:b/>
                <w:bCs/>
                <w:sz w:val="21"/>
                <w:szCs w:val="21"/>
              </w:rPr>
              <w:instrText>PAGE</w:instrText>
            </w:r>
            <w:r>
              <w:rPr>
                <w:b/>
                <w:bCs/>
                <w:sz w:val="21"/>
                <w:szCs w:val="21"/>
              </w:rPr>
              <w:fldChar w:fldCharType="separate"/>
            </w:r>
            <w:r w:rsidR="00F00FF2">
              <w:rPr>
                <w:b/>
                <w:bCs/>
                <w:noProof/>
                <w:sz w:val="21"/>
                <w:szCs w:val="21"/>
              </w:rPr>
              <w:t>12</w:t>
            </w:r>
            <w:r>
              <w:rPr>
                <w:b/>
                <w:bCs/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  <w:lang w:val="zh-CN" w:eastAsia="zh-CN"/>
              </w:rPr>
              <w:t xml:space="preserve"> / </w:t>
            </w:r>
            <w:r>
              <w:rPr>
                <w:b/>
                <w:bCs/>
                <w:sz w:val="21"/>
                <w:szCs w:val="21"/>
              </w:rPr>
              <w:fldChar w:fldCharType="begin"/>
            </w:r>
            <w:r>
              <w:rPr>
                <w:b/>
                <w:bCs/>
                <w:sz w:val="21"/>
                <w:szCs w:val="21"/>
              </w:rPr>
              <w:instrText>NUMPAGES</w:instrText>
            </w:r>
            <w:r>
              <w:rPr>
                <w:b/>
                <w:bCs/>
                <w:sz w:val="21"/>
                <w:szCs w:val="21"/>
              </w:rPr>
              <w:fldChar w:fldCharType="separate"/>
            </w:r>
            <w:r w:rsidR="00F00FF2">
              <w:rPr>
                <w:b/>
                <w:bCs/>
                <w:noProof/>
                <w:sz w:val="21"/>
                <w:szCs w:val="21"/>
              </w:rPr>
              <w:t>27</w:t>
            </w:r>
            <w:r>
              <w:rPr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  <w:p w14:paraId="60430448" w14:textId="77777777" w:rsidR="00F337D6" w:rsidRDefault="00F337D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186C2" w14:textId="77777777" w:rsidR="00093437" w:rsidRDefault="00093437">
      <w:r>
        <w:separator/>
      </w:r>
    </w:p>
  </w:footnote>
  <w:footnote w:type="continuationSeparator" w:id="0">
    <w:p w14:paraId="1704C71A" w14:textId="77777777" w:rsidR="00093437" w:rsidRDefault="0009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50211" w14:textId="77777777" w:rsidR="00F337D6" w:rsidRDefault="00F337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45677" w14:textId="77777777" w:rsidR="00F337D6" w:rsidRDefault="00F337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38CB"/>
    <w:rsid w:val="00024C72"/>
    <w:rsid w:val="0003068C"/>
    <w:rsid w:val="00040A94"/>
    <w:rsid w:val="000457D0"/>
    <w:rsid w:val="00070C84"/>
    <w:rsid w:val="00077FCA"/>
    <w:rsid w:val="00093437"/>
    <w:rsid w:val="000A3BFE"/>
    <w:rsid w:val="000A4A55"/>
    <w:rsid w:val="000B6E70"/>
    <w:rsid w:val="000E19DA"/>
    <w:rsid w:val="00110AA8"/>
    <w:rsid w:val="0012741A"/>
    <w:rsid w:val="001527C3"/>
    <w:rsid w:val="00157C00"/>
    <w:rsid w:val="001755DF"/>
    <w:rsid w:val="001903A8"/>
    <w:rsid w:val="00197A07"/>
    <w:rsid w:val="00197CD3"/>
    <w:rsid w:val="001A0DAC"/>
    <w:rsid w:val="001B159A"/>
    <w:rsid w:val="001C262F"/>
    <w:rsid w:val="001E281A"/>
    <w:rsid w:val="001F3CC6"/>
    <w:rsid w:val="00216E7E"/>
    <w:rsid w:val="00231296"/>
    <w:rsid w:val="00240173"/>
    <w:rsid w:val="00247D80"/>
    <w:rsid w:val="00250BD1"/>
    <w:rsid w:val="00254F0F"/>
    <w:rsid w:val="00272C0A"/>
    <w:rsid w:val="0029748F"/>
    <w:rsid w:val="002C20F2"/>
    <w:rsid w:val="002E6334"/>
    <w:rsid w:val="002E7718"/>
    <w:rsid w:val="002F35E9"/>
    <w:rsid w:val="002F64DE"/>
    <w:rsid w:val="003113E2"/>
    <w:rsid w:val="003204A1"/>
    <w:rsid w:val="00343416"/>
    <w:rsid w:val="00372378"/>
    <w:rsid w:val="0038394D"/>
    <w:rsid w:val="00396B3F"/>
    <w:rsid w:val="003A79AA"/>
    <w:rsid w:val="003B0A95"/>
    <w:rsid w:val="003B2723"/>
    <w:rsid w:val="00403FEE"/>
    <w:rsid w:val="004105B2"/>
    <w:rsid w:val="004417AF"/>
    <w:rsid w:val="00454CA3"/>
    <w:rsid w:val="004605A6"/>
    <w:rsid w:val="00477F69"/>
    <w:rsid w:val="00492DE3"/>
    <w:rsid w:val="004B1B31"/>
    <w:rsid w:val="004D1D59"/>
    <w:rsid w:val="004F02A0"/>
    <w:rsid w:val="004F33F6"/>
    <w:rsid w:val="00537D57"/>
    <w:rsid w:val="00551DB3"/>
    <w:rsid w:val="005870BF"/>
    <w:rsid w:val="005A4C65"/>
    <w:rsid w:val="005B2062"/>
    <w:rsid w:val="005B3BB8"/>
    <w:rsid w:val="005B701D"/>
    <w:rsid w:val="005F2D8D"/>
    <w:rsid w:val="005F45C2"/>
    <w:rsid w:val="005F7D6D"/>
    <w:rsid w:val="00600770"/>
    <w:rsid w:val="00644D68"/>
    <w:rsid w:val="00651C57"/>
    <w:rsid w:val="00662ED8"/>
    <w:rsid w:val="00675A83"/>
    <w:rsid w:val="00693A88"/>
    <w:rsid w:val="006B1475"/>
    <w:rsid w:val="006D41B3"/>
    <w:rsid w:val="006D47D4"/>
    <w:rsid w:val="006D5B95"/>
    <w:rsid w:val="006E5463"/>
    <w:rsid w:val="00701032"/>
    <w:rsid w:val="00751373"/>
    <w:rsid w:val="00757851"/>
    <w:rsid w:val="007632E7"/>
    <w:rsid w:val="00770489"/>
    <w:rsid w:val="00774290"/>
    <w:rsid w:val="007852B7"/>
    <w:rsid w:val="007C5937"/>
    <w:rsid w:val="007F7853"/>
    <w:rsid w:val="00812EF4"/>
    <w:rsid w:val="0082427A"/>
    <w:rsid w:val="00864C3C"/>
    <w:rsid w:val="00866AB6"/>
    <w:rsid w:val="0087056E"/>
    <w:rsid w:val="00870DB5"/>
    <w:rsid w:val="0089528A"/>
    <w:rsid w:val="008970E7"/>
    <w:rsid w:val="00897168"/>
    <w:rsid w:val="008D106E"/>
    <w:rsid w:val="008D1C8E"/>
    <w:rsid w:val="008D37BE"/>
    <w:rsid w:val="008E14A0"/>
    <w:rsid w:val="009371BA"/>
    <w:rsid w:val="009660FC"/>
    <w:rsid w:val="00967FCF"/>
    <w:rsid w:val="00974BCF"/>
    <w:rsid w:val="00984D6B"/>
    <w:rsid w:val="009A036F"/>
    <w:rsid w:val="009C73C7"/>
    <w:rsid w:val="009F18C0"/>
    <w:rsid w:val="00A02E50"/>
    <w:rsid w:val="00A20046"/>
    <w:rsid w:val="00A6226F"/>
    <w:rsid w:val="00A77B3E"/>
    <w:rsid w:val="00A85087"/>
    <w:rsid w:val="00AA159A"/>
    <w:rsid w:val="00AC747B"/>
    <w:rsid w:val="00AE4F1A"/>
    <w:rsid w:val="00AF5379"/>
    <w:rsid w:val="00B05AD3"/>
    <w:rsid w:val="00B07EE2"/>
    <w:rsid w:val="00B1092A"/>
    <w:rsid w:val="00B259D6"/>
    <w:rsid w:val="00B4504B"/>
    <w:rsid w:val="00B5182C"/>
    <w:rsid w:val="00B54803"/>
    <w:rsid w:val="00B65C93"/>
    <w:rsid w:val="00B7122F"/>
    <w:rsid w:val="00B87C10"/>
    <w:rsid w:val="00B96DC9"/>
    <w:rsid w:val="00BC3BB8"/>
    <w:rsid w:val="00BC796B"/>
    <w:rsid w:val="00BD3C7E"/>
    <w:rsid w:val="00BD6232"/>
    <w:rsid w:val="00BD6B00"/>
    <w:rsid w:val="00BE6A70"/>
    <w:rsid w:val="00C00D83"/>
    <w:rsid w:val="00C141F3"/>
    <w:rsid w:val="00C14B9A"/>
    <w:rsid w:val="00C22DBA"/>
    <w:rsid w:val="00C24573"/>
    <w:rsid w:val="00C424BF"/>
    <w:rsid w:val="00C54604"/>
    <w:rsid w:val="00C6774B"/>
    <w:rsid w:val="00C712FD"/>
    <w:rsid w:val="00C9105E"/>
    <w:rsid w:val="00C930A5"/>
    <w:rsid w:val="00CA02DD"/>
    <w:rsid w:val="00CA2A55"/>
    <w:rsid w:val="00CB11D0"/>
    <w:rsid w:val="00D0708C"/>
    <w:rsid w:val="00D12255"/>
    <w:rsid w:val="00D17F77"/>
    <w:rsid w:val="00D26EC9"/>
    <w:rsid w:val="00D33692"/>
    <w:rsid w:val="00D36C05"/>
    <w:rsid w:val="00D4532A"/>
    <w:rsid w:val="00D5759A"/>
    <w:rsid w:val="00D6225B"/>
    <w:rsid w:val="00D718F0"/>
    <w:rsid w:val="00D95C0A"/>
    <w:rsid w:val="00DA0119"/>
    <w:rsid w:val="00DB7E9E"/>
    <w:rsid w:val="00DD1F53"/>
    <w:rsid w:val="00DE369B"/>
    <w:rsid w:val="00E011D6"/>
    <w:rsid w:val="00E17C03"/>
    <w:rsid w:val="00ED7C59"/>
    <w:rsid w:val="00EF1CCF"/>
    <w:rsid w:val="00EF6BE5"/>
    <w:rsid w:val="00F00FF2"/>
    <w:rsid w:val="00F337D6"/>
    <w:rsid w:val="00F4037C"/>
    <w:rsid w:val="00F52F4C"/>
    <w:rsid w:val="00F5555D"/>
    <w:rsid w:val="00F901E6"/>
    <w:rsid w:val="00FB5900"/>
    <w:rsid w:val="00FC5EC9"/>
    <w:rsid w:val="00FD407D"/>
    <w:rsid w:val="00FE0CDD"/>
    <w:rsid w:val="00FF0CF3"/>
    <w:rsid w:val="04877EA0"/>
    <w:rsid w:val="591D19B2"/>
    <w:rsid w:val="7575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9C011AE"/>
  <w15:docId w15:val="{D3BA03FE-0581-44EA-A981-B99FCF72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216E7E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216E7E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19576</Words>
  <Characters>20164</Characters>
  <Application>Microsoft Office Word</Application>
  <DocSecurity>0</DocSecurity>
  <Lines>695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ibm</cp:lastModifiedBy>
  <cp:revision>3</cp:revision>
  <dcterms:created xsi:type="dcterms:W3CDTF">2021-05-05T10:47:00Z</dcterms:created>
  <dcterms:modified xsi:type="dcterms:W3CDTF">2021-05-05T10:50:00Z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A356A6C95B26413B9FFADD7FB11CE395</vt:lpwstr>
  </property>
</Properties>
</file>