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Name of Journal: </w:t>
      </w:r>
      <w:r>
        <w:rPr>
          <w:rFonts w:ascii="Book Antiqua" w:hAnsi="Book Antiqua" w:eastAsia="Book Antiqua" w:cs="Book Antiqua"/>
          <w:i/>
          <w:color w:val="000000" w:themeColor="text1"/>
          <w14:textFill>
            <w14:solidFill>
              <w14:schemeClr w14:val="tx1"/>
            </w14:solidFill>
          </w14:textFill>
        </w:rPr>
        <w:t>World Journal of Hepatology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NO: </w:t>
      </w:r>
      <w:r>
        <w:rPr>
          <w:rFonts w:ascii="Book Antiqua" w:hAnsi="Book Antiqua" w:eastAsia="Book Antiqua" w:cs="Book Antiqua"/>
          <w:color w:val="000000" w:themeColor="text1"/>
          <w14:textFill>
            <w14:solidFill>
              <w14:schemeClr w14:val="tx1"/>
            </w14:solidFill>
          </w14:textFill>
        </w:rPr>
        <w:t>64333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Type: </w:t>
      </w:r>
      <w:r>
        <w:rPr>
          <w:rFonts w:ascii="Book Antiqua" w:hAnsi="Book Antiqua" w:eastAsia="Book Antiqua" w:cs="Book Antiqua"/>
          <w:color w:val="000000" w:themeColor="text1"/>
          <w14:textFill>
            <w14:solidFill>
              <w14:schemeClr w14:val="tx1"/>
            </w14:solidFill>
          </w14:textFill>
        </w:rPr>
        <w:t>ORIGINAL ARTICLE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Observational Study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New stem cell autophagy surrogate diagnostic biomarkers in early-stage hepatocellular carcinoma in Egypt: A pilot study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Yosef</w:t>
      </w:r>
      <w:r>
        <w:rPr>
          <w:rFonts w:ascii="Book Antiqua" w:hAnsi="Book Antiqua" w:cs="Book Antiqua"/>
          <w:color w:val="000000" w:themeColor="text1"/>
          <w:lang w:eastAsia="zh-CN"/>
          <w14:textFill>
            <w14:solidFill>
              <w14:schemeClr w14:val="tx1"/>
            </w14:solidFill>
          </w14:textFill>
        </w:rPr>
        <w:t xml:space="preserve"> T </w:t>
      </w:r>
      <w:r>
        <w:rPr>
          <w:rFonts w:ascii="Book Antiqua" w:hAnsi="Book Antiqua" w:cs="Book Antiqua"/>
          <w:i/>
          <w:color w:val="000000" w:themeColor="text1"/>
          <w:lang w:eastAsia="zh-CN"/>
          <w14:textFill>
            <w14:solidFill>
              <w14:schemeClr w14:val="tx1"/>
            </w14:solidFill>
          </w14:textFill>
        </w:rPr>
        <w:t>et al</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Stem cell autophagy in early HCC</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Tarek Yosef, Wesam Ahmed Ibrahim, Marwa Matboli, Amina Ahmed Swilam, Sarah El-Nakeep</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Tarek Yosef, Wesam Ahmed Ibrahim, Sarah El-Nakeep,</w:t>
      </w:r>
      <w:r>
        <w:rPr>
          <w:rFonts w:ascii="Book Antiqua" w:hAnsi="Book Antiqua" w:eastAsia="Book Antiqua" w:cs="Book Antiqua"/>
          <w:color w:val="000000" w:themeColor="text1"/>
          <w14:textFill>
            <w14:solidFill>
              <w14:schemeClr w14:val="tx1"/>
            </w14:solidFill>
          </w14:textFill>
        </w:rPr>
        <w:t xml:space="preserve"> Gastroenterology and Hepatology Unit, Department</w:t>
      </w:r>
      <w:r>
        <w:rPr>
          <w:rFonts w:ascii="Book Antiqua" w:hAnsi="Book Antiqua" w:cs="Book Antiqua"/>
          <w:color w:val="000000" w:themeColor="text1"/>
          <w:lang w:eastAsia="zh-CN"/>
          <w14:textFill>
            <w14:solidFill>
              <w14:schemeClr w14:val="tx1"/>
            </w14:solidFill>
          </w14:textFill>
        </w:rPr>
        <w:t xml:space="preserve"> of</w:t>
      </w:r>
      <w:r>
        <w:rPr>
          <w:rFonts w:ascii="Book Antiqua" w:hAnsi="Book Antiqua" w:eastAsia="Book Antiqua" w:cs="Book Antiqua"/>
          <w:color w:val="000000" w:themeColor="text1"/>
          <w14:textFill>
            <w14:solidFill>
              <w14:schemeClr w14:val="tx1"/>
            </w14:solidFill>
          </w14:textFill>
        </w:rPr>
        <w:t xml:space="preserve"> Internal Medicine, Faculty of Medicine, Ain Shams University, Cairo 11591, Egypt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Marwa Matboli, </w:t>
      </w:r>
      <w:r>
        <w:rPr>
          <w:rFonts w:ascii="Book Antiqua" w:hAnsi="Book Antiqua" w:eastAsia="Book Antiqua" w:cs="Book Antiqua"/>
          <w:color w:val="000000" w:themeColor="text1"/>
          <w14:textFill>
            <w14:solidFill>
              <w14:schemeClr w14:val="tx1"/>
            </w14:solidFill>
          </w14:textFill>
        </w:rPr>
        <w:t>Department</w:t>
      </w:r>
      <w:r>
        <w:rPr>
          <w:rFonts w:ascii="Book Antiqua" w:hAnsi="Book Antiqua" w:cs="Book Antiqua"/>
          <w:color w:val="000000" w:themeColor="text1"/>
          <w:lang w:eastAsia="zh-CN"/>
          <w14:textFill>
            <w14:solidFill>
              <w14:schemeClr w14:val="tx1"/>
            </w14:solidFill>
          </w14:textFill>
        </w:rPr>
        <w:t xml:space="preserve"> of</w:t>
      </w:r>
      <w:r>
        <w:rPr>
          <w:rFonts w:ascii="Book Antiqua" w:hAnsi="Book Antiqua" w:eastAsia="Book Antiqua" w:cs="Book Antiqua"/>
          <w:color w:val="000000" w:themeColor="text1"/>
          <w14:textFill>
            <w14:solidFill>
              <w14:schemeClr w14:val="tx1"/>
            </w14:solidFill>
          </w14:textFill>
        </w:rPr>
        <w:t xml:space="preserve"> Biochemistry, Faculty of Medicine, Ain Shams University, Cairo 11591, Egypt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Amina Ahmed Swilam, </w:t>
      </w:r>
      <w:r>
        <w:rPr>
          <w:rFonts w:ascii="Book Antiqua" w:hAnsi="Book Antiqua" w:eastAsia="Book Antiqua" w:cs="Book Antiqua"/>
          <w:color w:val="000000" w:themeColor="text1"/>
          <w14:textFill>
            <w14:solidFill>
              <w14:schemeClr w14:val="tx1"/>
            </w14:solidFill>
          </w14:textFill>
        </w:rPr>
        <w:t>Department</w:t>
      </w:r>
      <w:r>
        <w:rPr>
          <w:rFonts w:ascii="Book Antiqua" w:hAnsi="Book Antiqua" w:cs="Book Antiqua"/>
          <w:color w:val="000000" w:themeColor="text1"/>
          <w:lang w:eastAsia="zh-CN"/>
          <w14:textFill>
            <w14:solidFill>
              <w14:schemeClr w14:val="tx1"/>
            </w14:solidFill>
          </w14:textFill>
        </w:rPr>
        <w:t xml:space="preserve"> of</w:t>
      </w:r>
      <w:r>
        <w:rPr>
          <w:rFonts w:ascii="Book Antiqua" w:hAnsi="Book Antiqua" w:eastAsia="Book Antiqua" w:cs="Book Antiqua"/>
          <w:color w:val="000000" w:themeColor="text1"/>
          <w14:textFill>
            <w14:solidFill>
              <w14:schemeClr w14:val="tx1"/>
            </w14:solidFill>
          </w14:textFill>
        </w:rPr>
        <w:t xml:space="preserve"> Internal Medicine, Health Affair Directorate, Ministry of Hea</w:t>
      </w:r>
      <w:r>
        <w:rPr>
          <w:rFonts w:ascii="Book Antiqua" w:hAnsi="Book Antiqua" w:cs="Book Antiqua"/>
          <w:color w:val="000000" w:themeColor="text1"/>
          <w:lang w:eastAsia="zh-CN"/>
          <w14:textFill>
            <w14:solidFill>
              <w14:schemeClr w14:val="tx1"/>
            </w14:solidFill>
          </w14:textFill>
        </w:rPr>
        <w:t>l</w:t>
      </w:r>
      <w:r>
        <w:rPr>
          <w:rFonts w:ascii="Book Antiqua" w:hAnsi="Book Antiqua" w:eastAsia="Book Antiqua" w:cs="Book Antiqua"/>
          <w:color w:val="000000" w:themeColor="text1"/>
          <w14:textFill>
            <w14:solidFill>
              <w14:schemeClr w14:val="tx1"/>
            </w14:solidFill>
          </w14:textFill>
        </w:rPr>
        <w:t>th and Population, Cairo 11591, Egypt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Author contributions: </w:t>
      </w:r>
      <w:r>
        <w:rPr>
          <w:rFonts w:ascii="Book Antiqua" w:hAnsi="Book Antiqua" w:eastAsia="Book Antiqua" w:cs="Book Antiqua"/>
          <w:color w:val="000000" w:themeColor="text1"/>
          <w14:textFill>
            <w14:solidFill>
              <w14:schemeClr w14:val="tx1"/>
            </w14:solidFill>
          </w14:textFill>
        </w:rPr>
        <w:t xml:space="preserve">Yosef </w:t>
      </w:r>
      <w:r>
        <w:rPr>
          <w:rFonts w:ascii="Book Antiqua" w:hAnsi="Book Antiqua" w:cs="Book Antiqua"/>
          <w:color w:val="000000" w:themeColor="text1"/>
          <w:lang w:eastAsia="zh-CN"/>
          <w14:textFill>
            <w14:solidFill>
              <w14:schemeClr w14:val="tx1"/>
            </w14:solidFill>
          </w14:textFill>
        </w:rPr>
        <w:t xml:space="preserve">T </w:t>
      </w:r>
      <w:r>
        <w:rPr>
          <w:rFonts w:ascii="Book Antiqua" w:hAnsi="Book Antiqua" w:eastAsia="Book Antiqua" w:cs="Book Antiqua"/>
          <w:color w:val="000000" w:themeColor="text1"/>
          <w14:textFill>
            <w14:solidFill>
              <w14:schemeClr w14:val="tx1"/>
            </w14:solidFill>
          </w14:textFill>
        </w:rPr>
        <w:t>supervised the conduction of the study</w:t>
      </w:r>
      <w:r>
        <w:rPr>
          <w:rFonts w:ascii="Book Antiqua" w:hAnsi="Book Antiqua" w:eastAsia="Book Antiqua" w:cs="Book Antiqua"/>
          <w:bCs/>
          <w:color w:val="000000" w:themeColor="text1"/>
          <w14:textFill>
            <w14:solidFill>
              <w14:schemeClr w14:val="tx1"/>
            </w14:solidFill>
          </w14:textFill>
        </w:rPr>
        <w:t>;</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Ibrahim</w:t>
      </w:r>
      <w:r>
        <w:rPr>
          <w:rFonts w:ascii="Book Antiqua" w:hAnsi="Book Antiqua" w:cs="Book Antiqua"/>
          <w:color w:val="000000" w:themeColor="text1"/>
          <w:lang w:eastAsia="zh-CN"/>
          <w14:textFill>
            <w14:solidFill>
              <w14:schemeClr w14:val="tx1"/>
            </w14:solidFill>
          </w14:textFill>
        </w:rPr>
        <w:t xml:space="preserve"> WA</w:t>
      </w:r>
      <w:r>
        <w:rPr>
          <w:rFonts w:ascii="Book Antiqua" w:hAnsi="Book Antiqua" w:eastAsia="Book Antiqua" w:cs="Book Antiqua"/>
          <w:color w:val="000000" w:themeColor="text1"/>
          <w14:textFill>
            <w14:solidFill>
              <w14:schemeClr w14:val="tx1"/>
            </w14:solidFill>
          </w14:textFill>
        </w:rPr>
        <w:t xml:space="preserve"> and El-Nakeep</w:t>
      </w:r>
      <w:r>
        <w:rPr>
          <w:rFonts w:ascii="Book Antiqua" w:hAnsi="Book Antiqua" w:cs="Book Antiqua"/>
          <w:color w:val="000000" w:themeColor="text1"/>
          <w:lang w:eastAsia="zh-CN"/>
          <w14:textFill>
            <w14:solidFill>
              <w14:schemeClr w14:val="tx1"/>
            </w14:solidFill>
          </w14:textFill>
        </w:rPr>
        <w:t xml:space="preserve"> S</w:t>
      </w:r>
      <w:r>
        <w:rPr>
          <w:rFonts w:ascii="Book Antiqua" w:hAnsi="Book Antiqua" w:eastAsia="Book Antiqua" w:cs="Book Antiqua"/>
          <w:color w:val="000000" w:themeColor="text1"/>
          <w14:textFill>
            <w14:solidFill>
              <w14:schemeClr w14:val="tx1"/>
            </w14:solidFill>
          </w14:textFill>
        </w:rPr>
        <w:t xml:space="preserve"> followed the clinical collection of data and the availability of patients</w:t>
      </w:r>
      <w:r>
        <w:rPr>
          <w:rFonts w:ascii="Book Antiqua" w:hAnsi="Book Antiqua" w:eastAsia="Book Antiqua" w:cs="Book Antiqua"/>
          <w:bCs/>
          <w:color w:val="000000" w:themeColor="text1"/>
          <w14:textFill>
            <w14:solidFill>
              <w14:schemeClr w14:val="tx1"/>
            </w14:solidFill>
          </w14:textFill>
        </w:rPr>
        <w:t>;</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El-Nakeep </w:t>
      </w:r>
      <w:r>
        <w:rPr>
          <w:rFonts w:ascii="Book Antiqua" w:hAnsi="Book Antiqua" w:cs="Book Antiqua"/>
          <w:color w:val="000000" w:themeColor="text1"/>
          <w:lang w:eastAsia="zh-CN"/>
          <w14:textFill>
            <w14:solidFill>
              <w14:schemeClr w14:val="tx1"/>
            </w14:solidFill>
          </w14:textFill>
        </w:rPr>
        <w:t xml:space="preserve">S </w:t>
      </w:r>
      <w:r>
        <w:rPr>
          <w:rFonts w:ascii="Book Antiqua" w:hAnsi="Book Antiqua" w:eastAsia="Book Antiqua" w:cs="Book Antiqua"/>
          <w:color w:val="000000" w:themeColor="text1"/>
          <w14:textFill>
            <w14:solidFill>
              <w14:schemeClr w14:val="tx1"/>
            </w14:solidFill>
          </w14:textFill>
        </w:rPr>
        <w:t xml:space="preserve">and Matboli </w:t>
      </w:r>
      <w:r>
        <w:rPr>
          <w:rFonts w:ascii="Book Antiqua" w:hAnsi="Book Antiqua" w:cs="Book Antiqua"/>
          <w:color w:val="000000" w:themeColor="text1"/>
          <w:lang w:eastAsia="zh-CN"/>
          <w14:textFill>
            <w14:solidFill>
              <w14:schemeClr w14:val="tx1"/>
            </w14:solidFill>
          </w14:textFill>
        </w:rPr>
        <w:t xml:space="preserve">M </w:t>
      </w:r>
      <w:r>
        <w:rPr>
          <w:rFonts w:ascii="Book Antiqua" w:hAnsi="Book Antiqua" w:eastAsia="Book Antiqua" w:cs="Book Antiqua"/>
          <w:color w:val="000000" w:themeColor="text1"/>
          <w14:textFill>
            <w14:solidFill>
              <w14:schemeClr w14:val="tx1"/>
            </w14:solidFill>
          </w14:textFill>
        </w:rPr>
        <w:t xml:space="preserve">formulated the research question and its applicability and wrote the final draft; Matboli </w:t>
      </w:r>
      <w:r>
        <w:rPr>
          <w:rFonts w:ascii="Book Antiqua" w:hAnsi="Book Antiqua" w:cs="Book Antiqua"/>
          <w:color w:val="000000" w:themeColor="text1"/>
          <w:lang w:eastAsia="zh-CN"/>
          <w14:textFill>
            <w14:solidFill>
              <w14:schemeClr w14:val="tx1"/>
            </w14:solidFill>
          </w14:textFill>
        </w:rPr>
        <w:t xml:space="preserve">M </w:t>
      </w:r>
      <w:r>
        <w:rPr>
          <w:rFonts w:ascii="Book Antiqua" w:hAnsi="Book Antiqua" w:eastAsia="Book Antiqua" w:cs="Book Antiqua"/>
          <w:color w:val="000000" w:themeColor="text1"/>
          <w14:textFill>
            <w14:solidFill>
              <w14:schemeClr w14:val="tx1"/>
            </w14:solidFill>
          </w14:textFill>
        </w:rPr>
        <w:t>conducted the laboratory analysis; Swilam</w:t>
      </w:r>
      <w:r>
        <w:rPr>
          <w:rFonts w:ascii="Book Antiqua" w:hAnsi="Book Antiqua" w:cs="Book Antiqua"/>
          <w:color w:val="000000" w:themeColor="text1"/>
          <w:lang w:eastAsia="zh-CN"/>
          <w14:textFill>
            <w14:solidFill>
              <w14:schemeClr w14:val="tx1"/>
            </w14:solidFill>
          </w14:textFill>
        </w:rPr>
        <w:t xml:space="preserve"> AA</w:t>
      </w:r>
      <w:r>
        <w:rPr>
          <w:rFonts w:ascii="Book Antiqua" w:hAnsi="Book Antiqua" w:eastAsia="Book Antiqua" w:cs="Book Antiqua"/>
          <w:color w:val="000000" w:themeColor="text1"/>
          <w14:textFill>
            <w14:solidFill>
              <w14:schemeClr w14:val="tx1"/>
            </w14:solidFill>
          </w14:textFill>
        </w:rPr>
        <w:t xml:space="preserve"> collected the data from the patients; </w:t>
      </w:r>
      <w:r>
        <w:rPr>
          <w:rFonts w:ascii="Book Antiqua" w:hAnsi="Book Antiqua" w:cs="Book Antiqua"/>
          <w:bCs/>
          <w:color w:val="000000" w:themeColor="text1"/>
          <w:lang w:eastAsia="zh-CN"/>
          <w14:textFill>
            <w14:solidFill>
              <w14:schemeClr w14:val="tx1"/>
            </w14:solidFill>
          </w14:textFill>
        </w:rPr>
        <w:t>a</w:t>
      </w:r>
      <w:r>
        <w:rPr>
          <w:rFonts w:ascii="Book Antiqua" w:hAnsi="Book Antiqua" w:eastAsia="Book Antiqua" w:cs="Book Antiqua"/>
          <w:bCs/>
          <w:color w:val="000000" w:themeColor="text1"/>
          <w14:textFill>
            <w14:solidFill>
              <w14:schemeClr w14:val="tx1"/>
            </w14:solidFill>
          </w14:textFill>
        </w:rPr>
        <w:t xml:space="preserve">ll </w:t>
      </w:r>
      <w:r>
        <w:rPr>
          <w:rFonts w:ascii="Book Antiqua" w:hAnsi="Book Antiqua" w:cs="Book Antiqua"/>
          <w:bCs/>
          <w:color w:val="000000" w:themeColor="text1"/>
          <w:lang w:eastAsia="zh-CN"/>
          <w14:textFill>
            <w14:solidFill>
              <w14:schemeClr w14:val="tx1"/>
            </w14:solidFill>
          </w14:textFill>
        </w:rPr>
        <w:t>a</w:t>
      </w:r>
      <w:r>
        <w:rPr>
          <w:rFonts w:ascii="Book Antiqua" w:hAnsi="Book Antiqua" w:eastAsia="Book Antiqua" w:cs="Book Antiqua"/>
          <w:bCs/>
          <w:color w:val="000000" w:themeColor="text1"/>
          <w14:textFill>
            <w14:solidFill>
              <w14:schemeClr w14:val="tx1"/>
            </w14:solidFill>
          </w14:textFill>
        </w:rPr>
        <w:t>uthors revised and accepted the final submitted manuscript.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Corresponding author: Sarah El-Nakeep, MD, Associate Professor, </w:t>
      </w:r>
      <w:r>
        <w:rPr>
          <w:rFonts w:ascii="Book Antiqua" w:hAnsi="Book Antiqua" w:eastAsia="Book Antiqua" w:cs="Book Antiqua"/>
          <w:bCs/>
          <w:color w:val="000000" w:themeColor="text1"/>
          <w14:textFill>
            <w14:solidFill>
              <w14:schemeClr w14:val="tx1"/>
            </w14:solidFill>
          </w14:textFill>
        </w:rPr>
        <w:t>Gastroenterology and Hepatology Unit,</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Department</w:t>
      </w:r>
      <w:r>
        <w:rPr>
          <w:rFonts w:ascii="Book Antiqua" w:hAnsi="Book Antiqua" w:cs="Book Antiqua"/>
          <w:color w:val="000000" w:themeColor="text1"/>
          <w:lang w:eastAsia="zh-CN"/>
          <w14:textFill>
            <w14:solidFill>
              <w14:schemeClr w14:val="tx1"/>
            </w14:solidFill>
          </w14:textFill>
        </w:rPr>
        <w:t xml:space="preserve"> of</w:t>
      </w:r>
      <w:r>
        <w:rPr>
          <w:rFonts w:ascii="Book Antiqua" w:hAnsi="Book Antiqua" w:eastAsia="Book Antiqua" w:cs="Book Antiqua"/>
          <w:color w:val="000000" w:themeColor="text1"/>
          <w14:textFill>
            <w14:solidFill>
              <w14:schemeClr w14:val="tx1"/>
            </w14:solidFill>
          </w14:textFill>
        </w:rPr>
        <w:t xml:space="preserve"> Internal Medicine, Faculty of Medicine, Ain Shams University, Ramsees </w:t>
      </w:r>
      <w:r>
        <w:rPr>
          <w:rFonts w:ascii="Book Antiqua" w:hAnsi="Book Antiqua" w:cs="Book Antiqua"/>
          <w:color w:val="000000" w:themeColor="text1"/>
          <w:lang w:eastAsia="zh-CN"/>
          <w14:textFill>
            <w14:solidFill>
              <w14:schemeClr w14:val="tx1"/>
            </w14:solidFill>
          </w14:textFill>
        </w:rPr>
        <w:t>S</w:t>
      </w:r>
      <w:r>
        <w:rPr>
          <w:rFonts w:ascii="Book Antiqua" w:hAnsi="Book Antiqua" w:eastAsia="Book Antiqua" w:cs="Book Antiqua"/>
          <w:color w:val="000000" w:themeColor="text1"/>
          <w14:textFill>
            <w14:solidFill>
              <w14:schemeClr w14:val="tx1"/>
            </w14:solidFill>
          </w14:textFill>
        </w:rPr>
        <w:t>treet, Cairo 11591, Egypt. sarahnakeep@gmail.com</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Received: </w:t>
      </w:r>
      <w:r>
        <w:rPr>
          <w:rFonts w:ascii="Book Antiqua" w:hAnsi="Book Antiqua" w:eastAsia="Book Antiqua" w:cs="Book Antiqua"/>
          <w:color w:val="000000" w:themeColor="text1"/>
          <w14:textFill>
            <w14:solidFill>
              <w14:schemeClr w14:val="tx1"/>
            </w14:solidFill>
          </w14:textFill>
        </w:rPr>
        <w:t>May 4, 2021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Revised: </w:t>
      </w:r>
      <w:r>
        <w:rPr>
          <w:rFonts w:ascii="Book Antiqua" w:hAnsi="Book Antiqua" w:eastAsia="Book Antiqua" w:cs="Book Antiqua"/>
          <w:color w:val="000000" w:themeColor="text1"/>
          <w14:textFill>
            <w14:solidFill>
              <w14:schemeClr w14:val="tx1"/>
            </w14:solidFill>
          </w14:textFill>
        </w:rPr>
        <w:t>June 21, 2021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Accepted: </w:t>
      </w:r>
      <w:r>
        <w:rPr>
          <w:rFonts w:ascii="Book Antiqua" w:hAnsi="Book Antiqua" w:eastAsia="Book Antiqua" w:cs="Book Antiqua"/>
          <w:color w:val="000000" w:themeColor="text1"/>
          <w14:textFill>
            <w14:solidFill>
              <w14:schemeClr w14:val="tx1"/>
            </w14:solidFill>
          </w14:textFill>
        </w:rPr>
        <w:t>October 27, 2021</w:t>
      </w:r>
    </w:p>
    <w:p>
      <w:pPr>
        <w:spacing w:line="360" w:lineRule="auto"/>
        <w:jc w:val="both"/>
        <w:rPr>
          <w:rFonts w:ascii="Book Antiqua" w:hAnsi="Book Antiqua" w:cs="Book Antiqua"/>
          <w:b/>
          <w:bCs/>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Published online:</w:t>
      </w:r>
      <w:bookmarkStart w:id="0" w:name="_Hlk90304280"/>
      <w:r>
        <w:rPr>
          <w:rFonts w:ascii="Book Antiqua" w:hAnsi="Book Antiqua" w:eastAsia="Book Antiqua" w:cs="Book Antiqua"/>
          <w:b/>
          <w:bCs/>
          <w:color w:val="000000" w:themeColor="text1"/>
          <w14:textFill>
            <w14:solidFill>
              <w14:schemeClr w14:val="tx1"/>
            </w14:solidFill>
          </w14:textFill>
        </w:rPr>
        <w:t xml:space="preserve"> </w:t>
      </w:r>
      <w:bookmarkStart w:id="1" w:name="_Hlk90303611"/>
      <w:r>
        <w:rPr>
          <w:rFonts w:ascii="Book Antiqua" w:hAnsi="Book Antiqua"/>
          <w:color w:val="000000"/>
          <w:shd w:val="clear" w:color="auto" w:fill="FFFFFF"/>
        </w:rPr>
        <w:t>December 27, 2021</w:t>
      </w:r>
      <w:bookmarkEnd w:id="0"/>
      <w:bookmarkEnd w:id="1"/>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br w:type="page"/>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Abstract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BACKGROUND</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Stem cell autophagy disruption is responsible for the development of hepatocellular carcinoma (HCC). Many non-coding RNAs are linked to the activation and inhibition of certain genes. The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gene controls stem cell autophagy as shown in previous studies. The upregulation of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is associated with the inhibition of autophagy in cancerous stem cells in patients with HCC.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AIM</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To determine whether serum microRNA, hsa-miR-519d, is linked to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gene and whether they could be used as diagnostic biomarkers for early-stage HCC.</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METHODS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i/>
          <w:iCs/>
          <w:color w:val="000000" w:themeColor="text1"/>
          <w14:textFill>
            <w14:solidFill>
              <w14:schemeClr w14:val="tx1"/>
            </w14:solidFill>
          </w14:textFill>
        </w:rPr>
        <w:t>In silico</w:t>
      </w:r>
      <w:r>
        <w:rPr>
          <w:rFonts w:ascii="Book Antiqua" w:hAnsi="Book Antiqua" w:eastAsia="Book Antiqua" w:cs="Book Antiqua"/>
          <w:color w:val="000000" w:themeColor="text1"/>
          <w14:textFill>
            <w14:solidFill>
              <w14:schemeClr w14:val="tx1"/>
            </w14:solidFill>
          </w14:textFill>
        </w:rPr>
        <w:t xml:space="preserve"> analysis was performed to determine the most correlated genes of autophagy with microRNAs. </w:t>
      </w:r>
      <w:r>
        <w:rPr>
          <w:rFonts w:ascii="Book Antiqua" w:hAnsi="Book Antiqua" w:eastAsia="Book Antiqua" w:cs="Book Antiqua"/>
          <w:i/>
          <w:iCs/>
          <w:color w:val="000000" w:themeColor="text1"/>
          <w14:textFill>
            <w14:solidFill>
              <w14:schemeClr w14:val="tx1"/>
            </w14:solidFill>
          </w14:textFill>
        </w:rPr>
        <w:t xml:space="preserve">SQSTM1 </w:t>
      </w:r>
      <w:r>
        <w:rPr>
          <w:rFonts w:ascii="Book Antiqua" w:hAnsi="Book Antiqua" w:eastAsia="Book Antiqua" w:cs="Book Antiqua"/>
          <w:color w:val="000000" w:themeColor="text1"/>
          <w14:textFill>
            <w14:solidFill>
              <w14:schemeClr w14:val="tx1"/>
            </w14:solidFill>
          </w14:textFill>
        </w:rPr>
        <w:t>and hsa-miR-519d were validated through this pilot clinical study. This study included 50 Egyptian participants, who were classified into three subgroups: Group 1 included 34 patients with early-stage HCC, Group 2 included 11 patients with chronic liver disease, and Group 3 (control) included 5 healthy subjects.</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All patients were subjected to full laboratory investigations, including viral markers and alpha-fetoprotein (AFP), abdominal ultrasound, and clinical assessment with the Child–Pugh score calculation. Besides, the patients with HCC underwent triphasic computed tomography with contrast to diagnose and determine the tumor site, size, and number. Quantitative real-time polymerase chain reaction was used to assess hsa-miR-519d-3p and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in the serum of all the study participants.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RESULTS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Hsa-miR-519d-3p was significantly upregulated in patients with HCC compared with those with chronic liver disease and healthy subjects with an area under the curve (AUC) of 0.939, with cutoff value 8.34, sensitivity of 91.2%, and specificity of 81.8%.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was upregulated with an AUC of 0.995, with cutoff value 7.89, sensitivity of 97.1%, and specificity of 100%. AFP significantly increased in patients with HCC with an AUC of 0.794, with cutoff value 7.30 ng/mL, sensitivity of 76.5%, and specificity of 72.7%.</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CONCLUSION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This study is the first to show a direct relation between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and hsa-miR-519d-3p; they are both upregulated in HCC. Thus, they could be used as surrogate diagnostic markers for stem cell autophagy disturbance in early-stage HCC.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Key Words: </w:t>
      </w:r>
      <w:r>
        <w:rPr>
          <w:rFonts w:ascii="Book Antiqua" w:hAnsi="Book Antiqua" w:eastAsia="Book Antiqua" w:cs="Book Antiqua"/>
          <w:color w:val="000000" w:themeColor="text1"/>
          <w14:textFill>
            <w14:solidFill>
              <w14:schemeClr w14:val="tx1"/>
            </w14:solidFill>
          </w14:textFill>
        </w:rPr>
        <w:t xml:space="preserve">Autophagy; Hepatocellular carcinoma; miRNA; miR-519d; Stem cell; </w:t>
      </w:r>
      <w:r>
        <w:rPr>
          <w:rFonts w:ascii="Book Antiqua" w:hAnsi="Book Antiqua" w:eastAsia="Book Antiqua" w:cs="Book Antiqua"/>
          <w:i/>
          <w:iCs/>
          <w:color w:val="000000" w:themeColor="text1"/>
          <w14:textFill>
            <w14:solidFill>
              <w14:schemeClr w14:val="tx1"/>
            </w14:solidFill>
          </w14:textFill>
        </w:rPr>
        <w:t>SQSTM1</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hint="eastAsia" w:ascii="Book Antiqua" w:hAnsi="Book Antiqua" w:eastAsia="宋体" w:cs="Book Antiqua"/>
          <w:b/>
          <w:bCs/>
          <w:color w:val="000000"/>
          <w:lang w:val="en-US" w:eastAsia="zh-CN"/>
        </w:rPr>
        <w:t xml:space="preserve">Citation: </w:t>
      </w:r>
      <w:r>
        <w:rPr>
          <w:rFonts w:ascii="Book Antiqua" w:hAnsi="Book Antiqua" w:eastAsia="Book Antiqua" w:cs="Book Antiqua"/>
          <w:color w:val="000000" w:themeColor="text1"/>
          <w14:textFill>
            <w14:solidFill>
              <w14:schemeClr w14:val="tx1"/>
            </w14:solidFill>
          </w14:textFill>
        </w:rPr>
        <w:t>Yosef T, Ibrahim WA, Matboli M, Swilam AA, El-Nakeep S. New stem cell autophagy surrogate diagnostic biomarkers in early-stage hepatocellular carcinoma in Egypt: A pilot study</w:t>
      </w:r>
      <w:bookmarkStart w:id="31" w:name="_GoBack"/>
      <w:bookmarkEnd w:id="31"/>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World J Hepatol</w:t>
      </w:r>
      <w:r>
        <w:rPr>
          <w:rFonts w:ascii="Book Antiqua" w:hAnsi="Book Antiqua" w:eastAsia="Book Antiqua" w:cs="Book Antiqua"/>
          <w:color w:val="000000" w:themeColor="text1"/>
          <w14:textFill>
            <w14:solidFill>
              <w14:schemeClr w14:val="tx1"/>
            </w14:solidFill>
          </w14:textFill>
        </w:rPr>
        <w:t xml:space="preserve"> 2021;</w:t>
      </w:r>
      <w:bookmarkStart w:id="2" w:name="_Hlk90303694"/>
      <w:r>
        <w:rPr>
          <w:rFonts w:ascii="Book Antiqua" w:hAnsi="Book Antiqua" w:eastAsia="Book Antiqua" w:cs="Book Antiqua"/>
          <w:color w:val="000000" w:themeColor="text1"/>
          <w14:textFill>
            <w14:solidFill>
              <w14:schemeClr w14:val="tx1"/>
            </w14:solidFill>
          </w14:textFill>
        </w:rPr>
        <w:t xml:space="preserve"> 13(12): </w:t>
      </w:r>
      <w:r>
        <w:rPr>
          <w:rFonts w:hint="default" w:ascii="Book Antiqua" w:hAnsi="Book Antiqua" w:eastAsia="Book Antiqua" w:cs="Book Antiqua"/>
          <w:i w:val="0"/>
          <w:iCs w:val="0"/>
          <w:color w:val="000000"/>
          <w:kern w:val="0"/>
          <w:sz w:val="24"/>
          <w:szCs w:val="24"/>
          <w:u w:val="none"/>
          <w:lang w:val="en-US" w:eastAsia="zh-CN" w:bidi="ar"/>
        </w:rPr>
        <w:t>2137-2149</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URL:</w:t>
      </w:r>
      <w:r>
        <w:rPr>
          <w:rFonts w:ascii="Book Antiqua" w:hAnsi="Book Antiqua" w:eastAsia="Book Antiqua" w:cs="Book Antiqua"/>
          <w:color w:val="000000" w:themeColor="text1"/>
          <w14:textFill>
            <w14:solidFill>
              <w14:schemeClr w14:val="tx1"/>
            </w14:solidFill>
          </w14:textFill>
        </w:rPr>
        <w:t xml:space="preserve"> https://www.wjgnet.com/1948-5182/full/v13/i12/</w:t>
      </w:r>
      <w:r>
        <w:rPr>
          <w:rFonts w:hint="default" w:ascii="Book Antiqua" w:hAnsi="Book Antiqua" w:eastAsia="Book Antiqua" w:cs="Book Antiqua"/>
          <w:i w:val="0"/>
          <w:iCs w:val="0"/>
          <w:color w:val="000000"/>
          <w:kern w:val="0"/>
          <w:sz w:val="24"/>
          <w:szCs w:val="24"/>
          <w:u w:val="none"/>
          <w:lang w:val="en-US" w:eastAsia="zh-CN" w:bidi="ar"/>
        </w:rPr>
        <w:t>2137</w:t>
      </w:r>
      <w:r>
        <w:rPr>
          <w:rFonts w:ascii="Book Antiqua" w:hAnsi="Book Antiqua" w:eastAsia="Book Antiqua" w:cs="Book Antiqua"/>
          <w:color w:val="000000" w:themeColor="text1"/>
          <w14:textFill>
            <w14:solidFill>
              <w14:schemeClr w14:val="tx1"/>
            </w14:solidFill>
          </w14:textFill>
        </w:rPr>
        <w:t xml:space="preserve">.htm </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DOI:</w:t>
      </w:r>
      <w:r>
        <w:rPr>
          <w:rFonts w:ascii="Book Antiqua" w:hAnsi="Book Antiqua" w:eastAsia="Book Antiqua" w:cs="Book Antiqua"/>
          <w:color w:val="000000" w:themeColor="text1"/>
          <w14:textFill>
            <w14:solidFill>
              <w14:schemeClr w14:val="tx1"/>
            </w14:solidFill>
          </w14:textFill>
        </w:rPr>
        <w:t xml:space="preserve"> https://dx.doi.org/10.4254/wjh.v13.i12.</w:t>
      </w:r>
      <w:bookmarkEnd w:id="2"/>
      <w:r>
        <w:rPr>
          <w:rFonts w:hint="default" w:ascii="Book Antiqua" w:hAnsi="Book Antiqua" w:eastAsia="Book Antiqua" w:cs="Book Antiqua"/>
          <w:i w:val="0"/>
          <w:iCs w:val="0"/>
          <w:color w:val="000000"/>
          <w:kern w:val="0"/>
          <w:sz w:val="24"/>
          <w:szCs w:val="24"/>
          <w:u w:val="none"/>
          <w:lang w:val="en-US" w:eastAsia="zh-CN" w:bidi="ar"/>
        </w:rPr>
        <w:t>2137</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Core Tip: </w:t>
      </w:r>
      <w:r>
        <w:rPr>
          <w:rFonts w:ascii="Book Antiqua" w:hAnsi="Book Antiqua" w:eastAsia="Book Antiqua" w:cs="Book Antiqua"/>
          <w:color w:val="000000" w:themeColor="text1"/>
          <w14:textFill>
            <w14:solidFill>
              <w14:schemeClr w14:val="tx1"/>
            </w14:solidFill>
          </w14:textFill>
        </w:rPr>
        <w:t>Hepatocellular carcinoma</w:t>
      </w:r>
      <w:r>
        <w:rPr>
          <w:rFonts w:ascii="Book Antiqua" w:hAnsi="Book Antiqua" w:cs="Book Antiqua"/>
          <w:color w:val="000000" w:themeColor="text1"/>
          <w:lang w:eastAsia="zh-CN"/>
          <w14:textFill>
            <w14:solidFill>
              <w14:schemeClr w14:val="tx1"/>
            </w14:solidFill>
          </w14:textFill>
        </w:rPr>
        <w:t xml:space="preserve"> (HCC)</w:t>
      </w:r>
      <w:r>
        <w:rPr>
          <w:rFonts w:ascii="Book Antiqua" w:hAnsi="Book Antiqua" w:eastAsia="Book Antiqua" w:cs="Book Antiqua"/>
          <w:color w:val="000000" w:themeColor="text1"/>
          <w14:textFill>
            <w14:solidFill>
              <w14:schemeClr w14:val="tx1"/>
            </w14:solidFill>
          </w14:textFill>
        </w:rPr>
        <w:t xml:space="preserve"> is the most common primary liver cancer. HCC is associated with poor prognosis due to difficult discovery at an early stage. The molecular pathophysiology behind HCC is not yet fully understood. Autophagy is one of the important affected pathways in HCC pathogenesis. In this study we used </w:t>
      </w:r>
      <w:r>
        <w:rPr>
          <w:rFonts w:ascii="Book Antiqua" w:hAnsi="Book Antiqua" w:eastAsia="Book Antiqua" w:cs="Book Antiqua"/>
          <w:i/>
          <w:iCs/>
          <w:color w:val="000000" w:themeColor="text1"/>
          <w14:textFill>
            <w14:solidFill>
              <w14:schemeClr w14:val="tx1"/>
            </w14:solidFill>
          </w14:textFill>
        </w:rPr>
        <w:t>in silico</w:t>
      </w:r>
      <w:r>
        <w:rPr>
          <w:rFonts w:ascii="Book Antiqua" w:hAnsi="Book Antiqua" w:eastAsia="Book Antiqua" w:cs="Book Antiqua"/>
          <w:color w:val="000000" w:themeColor="text1"/>
          <w14:textFill>
            <w14:solidFill>
              <w14:schemeClr w14:val="tx1"/>
            </w14:solidFill>
          </w14:textFill>
        </w:rPr>
        <w:t xml:space="preserve"> analysis to determine a new molecular pathway and find the underlying background controlling genetic and epigenetic pathways. We found that autophagy-controlling gene </w:t>
      </w:r>
      <w:r>
        <w:rPr>
          <w:rFonts w:ascii="Book Antiqua" w:hAnsi="Book Antiqua" w:eastAsia="Book Antiqua" w:cs="Book Antiqua"/>
          <w:i/>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is related to hsa-miR-519d-3p. Also, we found that their use as early detecting biomarkers for HCC diagnosis are more efficient than the currently used </w:t>
      </w:r>
      <w:r>
        <w:rPr>
          <w:rFonts w:ascii="Book Antiqua" w:hAnsi="Book Antiqua" w:cs="Book Antiqua"/>
          <w:color w:val="000000" w:themeColor="text1"/>
          <w:lang w:eastAsia="zh-CN"/>
          <w14:textFill>
            <w14:solidFill>
              <w14:schemeClr w14:val="tx1"/>
            </w14:solidFill>
          </w14:textFill>
        </w:rPr>
        <w:t>a</w:t>
      </w:r>
      <w:r>
        <w:rPr>
          <w:rFonts w:ascii="Book Antiqua" w:hAnsi="Book Antiqua" w:eastAsia="Book Antiqua" w:cs="Book Antiqua"/>
          <w:color w:val="000000" w:themeColor="text1"/>
          <w14:textFill>
            <w14:solidFill>
              <w14:schemeClr w14:val="tx1"/>
            </w14:solidFill>
          </w14:textFill>
        </w:rPr>
        <w:t>lpha</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fetoprotein.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br w:type="page"/>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INTRODUCTION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scientists who discovered the mechanism of autophagy were awarded a Nobel Prize, and autophagy subsequently became a topic of great scientific interest for researchers. Autophagy is defined as cellular “self-eating,” where lysosomal degradation of cellular elements occurs</w:t>
      </w:r>
      <w:r>
        <w:rPr>
          <w:rFonts w:ascii="Book Antiqua" w:hAnsi="Book Antiqua" w:eastAsia="Book Antiqua" w:cs="Book Antiqua"/>
          <w:color w:val="000000" w:themeColor="text1"/>
          <w:vertAlign w:val="superscript"/>
          <w14:textFill>
            <w14:solidFill>
              <w14:schemeClr w14:val="tx1"/>
            </w14:solidFill>
          </w14:textFill>
        </w:rPr>
        <w:t>[1-3]</w:t>
      </w:r>
      <w:r>
        <w:rPr>
          <w:rFonts w:ascii="Book Antiqua" w:hAnsi="Book Antiqua" w:eastAsia="Book Antiqua" w:cs="Book Antiqua"/>
          <w:color w:val="000000" w:themeColor="text1"/>
          <w14:textFill>
            <w14:solidFill>
              <w14:schemeClr w14:val="tx1"/>
            </w14:solidFill>
          </w14:textFill>
        </w:rPr>
        <w:t xml:space="preserve">. This process has three types: </w:t>
      </w:r>
      <w:r>
        <w:rPr>
          <w:rFonts w:ascii="Book Antiqua" w:hAnsi="Book Antiqua"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haperone-mediated autophagy, microautophagy, and macroautophagy. Autophagy is considered a “dynamic cellular recycling”</w:t>
      </w:r>
      <w:r>
        <w:rPr>
          <w:rFonts w:ascii="Book Antiqua" w:hAnsi="Book Antiqua" w:eastAsia="Book Antiqua" w:cs="Book Antiqua"/>
          <w:color w:val="000000" w:themeColor="text1"/>
          <w:vertAlign w:val="superscript"/>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 xml:space="preserve"> and provides cancerous cell preservation through the production of amino acids from degraded proteins</w:t>
      </w:r>
      <w:r>
        <w:rPr>
          <w:rFonts w:ascii="Book Antiqua" w:hAnsi="Book Antiqua" w:eastAsia="Book Antiqua" w:cs="Book Antiqua"/>
          <w:color w:val="000000" w:themeColor="text1"/>
          <w:vertAlign w:val="superscript"/>
          <w14:textFill>
            <w14:solidFill>
              <w14:schemeClr w14:val="tx1"/>
            </w14:solidFill>
          </w14:textFill>
        </w:rPr>
        <w:t>[5]</w:t>
      </w:r>
      <w:r>
        <w:rPr>
          <w:rFonts w:ascii="Book Antiqua" w:hAnsi="Book Antiqua" w:eastAsia="Book Antiqua" w:cs="Book Antiqua"/>
          <w:color w:val="000000" w:themeColor="text1"/>
          <w14:textFill>
            <w14:solidFill>
              <w14:schemeClr w14:val="tx1"/>
            </w14:solidFill>
          </w14:textFill>
        </w:rPr>
        <w:t xml:space="preserve">. The activation of autophagy increases resistance to cisplatin and sorafenib in patients with </w:t>
      </w:r>
      <w:r>
        <w:rPr>
          <w:rFonts w:ascii="Book Antiqua" w:hAnsi="Book Antiqua" w:cs="Book Antiqua"/>
          <w:color w:val="000000" w:themeColor="text1"/>
          <w:lang w:eastAsia="zh-CN"/>
          <w14:textFill>
            <w14:solidFill>
              <w14:schemeClr w14:val="tx1"/>
            </w14:solidFill>
          </w14:textFill>
        </w:rPr>
        <w:t>h</w:t>
      </w:r>
      <w:r>
        <w:rPr>
          <w:rFonts w:ascii="Book Antiqua" w:hAnsi="Book Antiqua" w:eastAsia="Book Antiqua" w:cs="Book Antiqua"/>
          <w:color w:val="000000" w:themeColor="text1"/>
          <w14:textFill>
            <w14:solidFill>
              <w14:schemeClr w14:val="tx1"/>
            </w14:solidFill>
          </w14:textFill>
        </w:rPr>
        <w:t>epatocellular carcinoma</w:t>
      </w:r>
      <w:r>
        <w:rPr>
          <w:rFonts w:ascii="Book Antiqua" w:hAnsi="Book Antiqua" w:cs="Book Antiqua"/>
          <w:color w:val="000000" w:themeColor="text1"/>
          <w:lang w:eastAsia="zh-CN"/>
          <w14:textFill>
            <w14:solidFill>
              <w14:schemeClr w14:val="tx1"/>
            </w14:solidFill>
          </w14:textFill>
        </w:rPr>
        <w:t xml:space="preserve"> (HCC)</w:t>
      </w:r>
      <w:r>
        <w:rPr>
          <w:rFonts w:ascii="Book Antiqua" w:hAnsi="Book Antiqua" w:eastAsia="Book Antiqua" w:cs="Book Antiqua"/>
          <w:color w:val="000000" w:themeColor="text1"/>
          <w14:textFill>
            <w14:solidFill>
              <w14:schemeClr w14:val="tx1"/>
            </w14:solidFill>
          </w14:textFill>
        </w:rPr>
        <w:t>; this could be reversed upon deactivation</w:t>
      </w:r>
      <w:r>
        <w:rPr>
          <w:rFonts w:ascii="Book Antiqua" w:hAnsi="Book Antiqua" w:eastAsia="Book Antiqua" w:cs="Book Antiqua"/>
          <w:color w:val="000000" w:themeColor="text1"/>
          <w:vertAlign w:val="superscript"/>
          <w14:textFill>
            <w14:solidFill>
              <w14:schemeClr w14:val="tx1"/>
            </w14:solidFill>
          </w14:textFill>
        </w:rPr>
        <w:t>[6]</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discovery of “epigenetic–genetic” links is an important area of research. Studies on the regulation of targeted genes by microRNAs (miRNAs) must answer two questions: </w:t>
      </w:r>
      <w:r>
        <w:rPr>
          <w:rFonts w:ascii="Book Antiqua" w:hAnsi="Book Antiqua" w:cs="Book Antiqua"/>
          <w:color w:val="000000" w:themeColor="text1"/>
          <w:lang w:eastAsia="zh-CN"/>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he mechanism of regulation and the effect of dysfunction on specific cancerous molecular pathways</w:t>
      </w:r>
      <w:r>
        <w:rPr>
          <w:rFonts w:ascii="Book Antiqua" w:hAnsi="Book Antiqua" w:eastAsia="Book Antiqua" w:cs="Book Antiqua"/>
          <w:color w:val="000000" w:themeColor="text1"/>
          <w:vertAlign w:val="superscript"/>
          <w14:textFill>
            <w14:solidFill>
              <w14:schemeClr w14:val="tx1"/>
            </w14:solidFill>
          </w14:textFill>
        </w:rPr>
        <w:t>[7]</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MiR-519d dysregulation is not only linked to the initiation and progression of many cancers as breast</w:t>
      </w:r>
      <w:r>
        <w:rPr>
          <w:rFonts w:ascii="Book Antiqua" w:hAnsi="Book Antiqua" w:eastAsia="Book Antiqua" w:cs="Book Antiqua"/>
          <w:color w:val="000000" w:themeColor="text1"/>
          <w:vertAlign w:val="superscript"/>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 skin</w:t>
      </w:r>
      <w:r>
        <w:rPr>
          <w:rFonts w:ascii="Book Antiqua" w:hAnsi="Book Antiqua" w:eastAsia="Book Antiqua" w:cs="Book Antiqua"/>
          <w:color w:val="000000" w:themeColor="text1"/>
          <w:vertAlign w:val="superscript"/>
          <w14:textFill>
            <w14:solidFill>
              <w14:schemeClr w14:val="tx1"/>
            </w14:solidFill>
          </w14:textFill>
        </w:rPr>
        <w:t>[9]</w:t>
      </w:r>
      <w:r>
        <w:rPr>
          <w:rFonts w:ascii="Book Antiqua" w:hAnsi="Book Antiqua" w:eastAsia="Book Antiqua" w:cs="Book Antiqua"/>
          <w:color w:val="000000" w:themeColor="text1"/>
          <w14:textFill>
            <w14:solidFill>
              <w14:schemeClr w14:val="tx1"/>
            </w14:solidFill>
          </w14:textFill>
        </w:rPr>
        <w:t>, and gastrointestinal cancers</w:t>
      </w:r>
      <w:r>
        <w:rPr>
          <w:rFonts w:ascii="Book Antiqua" w:hAnsi="Book Antiqua" w:eastAsia="Book Antiqua" w:cs="Book Antiqua"/>
          <w:color w:val="000000" w:themeColor="text1"/>
          <w:vertAlign w:val="superscript"/>
          <w14:textFill>
            <w14:solidFill>
              <w14:schemeClr w14:val="tx1"/>
            </w14:solidFill>
          </w14:textFill>
        </w:rPr>
        <w:t>[10,11]</w:t>
      </w:r>
      <w:r>
        <w:rPr>
          <w:rFonts w:ascii="Book Antiqua" w:hAnsi="Book Antiqua" w:eastAsia="Book Antiqua" w:cs="Book Antiqua"/>
          <w:color w:val="000000" w:themeColor="text1"/>
          <w14:textFill>
            <w14:solidFill>
              <w14:schemeClr w14:val="tx1"/>
            </w14:solidFill>
          </w14:textFill>
        </w:rPr>
        <w:t xml:space="preserve"> but also associated with obesity</w:t>
      </w:r>
      <w:r>
        <w:rPr>
          <w:rFonts w:ascii="Book Antiqua" w:hAnsi="Book Antiqua" w:eastAsia="Book Antiqua" w:cs="Book Antiqua"/>
          <w:color w:val="000000" w:themeColor="text1"/>
          <w:vertAlign w:val="superscript"/>
          <w14:textFill>
            <w14:solidFill>
              <w14:schemeClr w14:val="tx1"/>
            </w14:solidFill>
          </w14:textFill>
        </w:rPr>
        <w:t>[12]</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SQSTM1, also known as p62 protein, is a multifunctional protein responsible for various stress-induced cellular functions, including apoptosis and autophagy; its coding gene is the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gene located on chromosome 5</w:t>
      </w:r>
      <w:r>
        <w:rPr>
          <w:rFonts w:ascii="Book Antiqua" w:hAnsi="Book Antiqua" w:eastAsia="Book Antiqua" w:cs="Book Antiqua"/>
          <w:color w:val="000000" w:themeColor="text1"/>
          <w:vertAlign w:val="superscript"/>
          <w14:textFill>
            <w14:solidFill>
              <w14:schemeClr w14:val="tx1"/>
            </w14:solidFill>
          </w14:textFill>
        </w:rPr>
        <w:t>[13]</w:t>
      </w:r>
      <w:r>
        <w:rPr>
          <w:rFonts w:ascii="Book Antiqua" w:hAnsi="Book Antiqua" w:eastAsia="Book Antiqua" w:cs="Book Antiqua"/>
          <w:color w:val="000000" w:themeColor="text1"/>
          <w14:textFill>
            <w14:solidFill>
              <w14:schemeClr w14:val="tx1"/>
            </w14:solidFill>
          </w14:textFill>
        </w:rPr>
        <w:t>. The impairment of autophagy causes the accumulation of p62 proteins in the hepatoma cells of mice</w:t>
      </w:r>
      <w:r>
        <w:rPr>
          <w:rFonts w:ascii="Book Antiqua" w:hAnsi="Book Antiqua" w:eastAsia="Book Antiqua" w:cs="Book Antiqua"/>
          <w:color w:val="000000" w:themeColor="text1"/>
          <w:vertAlign w:val="superscript"/>
          <w14:textFill>
            <w14:solidFill>
              <w14:schemeClr w14:val="tx1"/>
            </w14:solidFill>
          </w14:textFill>
        </w:rPr>
        <w:t>[14]</w:t>
      </w:r>
      <w:r>
        <w:rPr>
          <w:rFonts w:ascii="Book Antiqua" w:hAnsi="Book Antiqua" w:eastAsia="Book Antiqua" w:cs="Book Antiqua"/>
          <w:color w:val="000000" w:themeColor="text1"/>
          <w14:textFill>
            <w14:solidFill>
              <w14:schemeClr w14:val="tx1"/>
            </w14:solidFill>
          </w14:textFill>
        </w:rPr>
        <w:t>. Meanwhile, its upregulation significantly contributes to the resistance of hepatoma cells to sorafenib</w:t>
      </w:r>
      <w:r>
        <w:rPr>
          <w:rFonts w:ascii="Book Antiqua" w:hAnsi="Book Antiqua" w:eastAsia="Book Antiqua" w:cs="Book Antiqua"/>
          <w:color w:val="000000" w:themeColor="text1"/>
          <w:vertAlign w:val="superscript"/>
          <w14:textFill>
            <w14:solidFill>
              <w14:schemeClr w14:val="tx1"/>
            </w14:solidFill>
          </w14:textFill>
        </w:rPr>
        <w:t>[15]</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was initially believed to only control several cellular metabolic pathways, including the mechanistic target of </w:t>
      </w:r>
      <w:r>
        <w:rPr>
          <w:rFonts w:ascii="Book Antiqua" w:hAnsi="Book Antiqua" w:eastAsia="Book Antiqua" w:cs="Book Antiqua"/>
          <w:color w:val="000000" w:themeColor="text1"/>
          <w:u w:color="0000EE"/>
          <w14:textFill>
            <w14:solidFill>
              <w14:schemeClr w14:val="tx1"/>
            </w14:solidFill>
          </w14:textFill>
        </w:rPr>
        <w:t>rapamycin</w:t>
      </w:r>
      <w:r>
        <w:rPr>
          <w:rFonts w:ascii="Book Antiqua" w:hAnsi="Book Antiqua" w:eastAsia="Book Antiqua" w:cs="Book Antiqua"/>
          <w:color w:val="000000" w:themeColor="text1"/>
          <w14:textFill>
            <w14:solidFill>
              <w14:schemeClr w14:val="tx1"/>
            </w14:solidFill>
          </w14:textFill>
        </w:rPr>
        <w:t>, nuclear factor kappa-light-chain-enhancer of activated B cells (NF-κB), and mitogen-activated protein kinase signaling pathways, but later was also linked to the control of selective autophagy</w:t>
      </w:r>
      <w:r>
        <w:rPr>
          <w:rFonts w:ascii="Book Antiqua" w:hAnsi="Book Antiqua" w:eastAsia="Book Antiqua" w:cs="Book Antiqua"/>
          <w:color w:val="000000" w:themeColor="text1"/>
          <w:vertAlign w:val="superscript"/>
          <w14:textFill>
            <w14:solidFill>
              <w14:schemeClr w14:val="tx1"/>
            </w14:solidFill>
          </w14:textFill>
        </w:rPr>
        <w:t>[16]</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Here, in this study, we used </w:t>
      </w:r>
      <w:r>
        <w:rPr>
          <w:rFonts w:ascii="Book Antiqua" w:hAnsi="Book Antiqua" w:eastAsia="Book Antiqua" w:cs="Book Antiqua"/>
          <w:i/>
          <w:iCs/>
          <w:color w:val="000000" w:themeColor="text1"/>
          <w14:textFill>
            <w14:solidFill>
              <w14:schemeClr w14:val="tx1"/>
            </w14:solidFill>
          </w14:textFill>
        </w:rPr>
        <w:t>in silico</w:t>
      </w:r>
      <w:r>
        <w:rPr>
          <w:rFonts w:ascii="Book Antiqua" w:hAnsi="Book Antiqua" w:eastAsia="Book Antiqua" w:cs="Book Antiqua"/>
          <w:color w:val="000000" w:themeColor="text1"/>
          <w14:textFill>
            <w14:solidFill>
              <w14:schemeClr w14:val="tx1"/>
            </w14:solidFill>
          </w14:textFill>
        </w:rPr>
        <w:t xml:space="preserve"> analysis to search for a new link among epigenetic–genetic biomarkers to identify and detect their relationship with early-stage HCC. We found significant </w:t>
      </w:r>
      <w:r>
        <w:rPr>
          <w:rFonts w:ascii="Book Antiqua" w:hAnsi="Book Antiqua" w:eastAsia="Book Antiqua" w:cs="Book Antiqua"/>
          <w:i/>
          <w:iCs/>
          <w:color w:val="000000" w:themeColor="text1"/>
          <w14:textFill>
            <w14:solidFill>
              <w14:schemeClr w14:val="tx1"/>
            </w14:solidFill>
          </w14:textFill>
        </w:rPr>
        <w:t>in silico</w:t>
      </w:r>
      <w:r>
        <w:rPr>
          <w:rFonts w:ascii="Book Antiqua" w:hAnsi="Book Antiqua" w:eastAsia="Book Antiqua" w:cs="Book Antiqua"/>
          <w:color w:val="000000" w:themeColor="text1"/>
          <w14:textFill>
            <w14:solidFill>
              <w14:schemeClr w14:val="tx1"/>
            </w14:solidFill>
          </w14:textFill>
        </w:rPr>
        <w:t xml:space="preserve"> data relation between hsa-miR-519d-3p and </w:t>
      </w:r>
      <w:r>
        <w:rPr>
          <w:rFonts w:ascii="Book Antiqua" w:hAnsi="Book Antiqua" w:eastAsia="Book Antiqua" w:cs="Book Antiqua"/>
          <w:i/>
          <w:iCs/>
          <w:color w:val="000000" w:themeColor="text1"/>
          <w14:textFill>
            <w14:solidFill>
              <w14:schemeClr w14:val="tx1"/>
            </w14:solidFill>
          </w14:textFill>
        </w:rPr>
        <w:t xml:space="preserve">SQSTM1 </w:t>
      </w:r>
      <w:r>
        <w:rPr>
          <w:rFonts w:ascii="Book Antiqua" w:hAnsi="Book Antiqua" w:eastAsia="Book Antiqua" w:cs="Book Antiqua"/>
          <w:color w:val="000000" w:themeColor="text1"/>
          <w14:textFill>
            <w14:solidFill>
              <w14:schemeClr w14:val="tx1"/>
            </w14:solidFill>
          </w14:textFill>
        </w:rPr>
        <w:t>and their link to HCC pathophysiology. We clinically validated the data by examining serum samples to assess their ability to be used in the diagnosis of HCC.</w:t>
      </w:r>
    </w:p>
    <w:p>
      <w:pPr>
        <w:spacing w:line="360" w:lineRule="auto"/>
        <w:ind w:firstLine="720"/>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MATERIALS AND METHODS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This was a cross-sectional study conducted on randomly selected 50 Egyptian participants from outpatient clinics and inpatients attending the Gastroenterology and Hepatology Unit of the Internal Medicine Department at Ainshams University Hospitals, Faculty of Medicine, Ain Shams University, Cairo, Egypt.</w:t>
      </w:r>
    </w:p>
    <w:p>
      <w:pPr>
        <w:spacing w:line="360" w:lineRule="auto"/>
        <w:jc w:val="both"/>
        <w:rPr>
          <w:rFonts w:ascii="Book Antiqua" w:hAnsi="Book Antiqua" w:cs="Book Antiqua"/>
          <w:b/>
          <w:bCs/>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i/>
          <w:color w:val="000000" w:themeColor="text1"/>
          <w14:textFill>
            <w14:solidFill>
              <w14:schemeClr w14:val="tx1"/>
            </w14:solidFill>
          </w14:textFill>
        </w:rPr>
        <w:t>The participants were divided into three groups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Group 1</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onsisted of 34 patients with HCC that were diagnosed according to the American Association for the Study of Liver Diseases practice guidelines and staged according to the Barcelona Clinic Liver Cancer as stages A to D</w:t>
      </w:r>
      <w:r>
        <w:rPr>
          <w:rFonts w:ascii="Book Antiqua" w:hAnsi="Book Antiqua" w:eastAsia="Book Antiqua" w:cs="Book Antiqua"/>
          <w:color w:val="000000" w:themeColor="text1"/>
          <w:vertAlign w:val="superscript"/>
          <w14:textFill>
            <w14:solidFill>
              <w14:schemeClr w14:val="tx1"/>
            </w14:solidFill>
          </w14:textFill>
        </w:rPr>
        <w:t>[17]</w:t>
      </w:r>
      <w:r>
        <w:rPr>
          <w:rFonts w:ascii="Book Antiqua" w:hAnsi="Book Antiqua" w:eastAsia="Book Antiqua" w:cs="Book Antiqua"/>
          <w:color w:val="000000" w:themeColor="text1"/>
          <w14:textFill>
            <w14:solidFill>
              <w14:schemeClr w14:val="tx1"/>
            </w14:solidFill>
          </w14:textFill>
        </w:rPr>
        <w:t>.</w:t>
      </w:r>
    </w:p>
    <w:p>
      <w:pPr>
        <w:spacing w:line="360" w:lineRule="auto"/>
        <w:jc w:val="both"/>
        <w:rPr>
          <w:rFonts w:ascii="Book Antiqua" w:hAnsi="Book Antiqua" w:cs="Book Antiqua"/>
          <w:bCs/>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Group 2</w:t>
      </w:r>
      <w:r>
        <w:rPr>
          <w:rFonts w:ascii="Book Antiqua" w:hAnsi="Book Antiqua" w:cs="Book Antiqua"/>
          <w:b/>
          <w:bCs/>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 xml:space="preserve">onsisted of 11 patients with chronic liver disease. </w:t>
      </w:r>
    </w:p>
    <w:p>
      <w:pPr>
        <w:spacing w:line="360" w:lineRule="auto"/>
        <w:jc w:val="both"/>
        <w:rPr>
          <w:rFonts w:ascii="Book Antiqua" w:hAnsi="Book Antiqua" w:cs="Book Antiqua"/>
          <w:bCs/>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Group 3</w:t>
      </w:r>
      <w:r>
        <w:rPr>
          <w:rFonts w:ascii="Book Antiqua" w:hAnsi="Book Antiqua" w:cs="Book Antiqua"/>
          <w:b/>
          <w:bCs/>
          <w:color w:val="000000" w:themeColor="text1"/>
          <w:lang w:eastAsia="zh-CN"/>
          <w14:textFill>
            <w14:solidFill>
              <w14:schemeClr w14:val="tx1"/>
            </w14:solidFill>
          </w14:textFill>
        </w:rPr>
        <w:t>:</w:t>
      </w:r>
      <w:r>
        <w:rPr>
          <w:rFonts w:ascii="Book Antiqua" w:hAnsi="Book Antiqua" w:eastAsia="Book Antiqua" w:cs="Book Antiqua"/>
          <w:bCs/>
          <w:color w:val="000000" w:themeColor="text1"/>
          <w14:textFill>
            <w14:solidFill>
              <w14:schemeClr w14:val="tx1"/>
            </w14:solidFill>
          </w14:textFill>
        </w:rPr>
        <w:t xml:space="preserve"> </w:t>
      </w:r>
      <w:r>
        <w:rPr>
          <w:rFonts w:ascii="Book Antiqua" w:hAnsi="Book Antiqua"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onsisted of</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5 healthy subjects (control), who were enlisted during routine checkups and as volunteers. </w:t>
      </w:r>
    </w:p>
    <w:p>
      <w:pPr>
        <w:spacing w:line="360" w:lineRule="auto"/>
        <w:jc w:val="both"/>
        <w:rPr>
          <w:rFonts w:ascii="Book Antiqua" w:hAnsi="Book Antiqua" w:cs="Book Antiqua"/>
          <w:b/>
          <w:bCs/>
          <w:color w:val="000000" w:themeColor="text1"/>
          <w:lang w:eastAsia="zh-CN"/>
          <w14:textFill>
            <w14:solidFill>
              <w14:schemeClr w14:val="tx1"/>
            </w14:solidFill>
          </w14:textFill>
        </w:rPr>
      </w:pPr>
    </w:p>
    <w:p>
      <w:pPr>
        <w:spacing w:line="360" w:lineRule="auto"/>
        <w:ind w:left="-2" w:leftChars="-11" w:hanging="24" w:hangingChars="10"/>
        <w:jc w:val="both"/>
        <w:rPr>
          <w:rFonts w:ascii="Book Antiqua" w:hAnsi="Book Antiqua"/>
          <w:i/>
          <w:color w:val="000000" w:themeColor="text1"/>
          <w:lang w:eastAsia="zh-CN"/>
          <w14:textFill>
            <w14:solidFill>
              <w14:schemeClr w14:val="tx1"/>
            </w14:solidFill>
          </w14:textFill>
        </w:rPr>
      </w:pPr>
      <w:r>
        <w:rPr>
          <w:rFonts w:ascii="Book Antiqua" w:hAnsi="Book Antiqua" w:eastAsia="Book Antiqua" w:cs="Book Antiqua"/>
          <w:b/>
          <w:bCs/>
          <w:i/>
          <w:color w:val="000000" w:themeColor="text1"/>
          <w14:textFill>
            <w14:solidFill>
              <w14:schemeClr w14:val="tx1"/>
            </w14:solidFill>
          </w14:textFill>
        </w:rPr>
        <w:t>Inclusion criteria for the study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Age more than 18 years.</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ability to provide informed consent.</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Proven diagnosis of HCC according to the American Association for the Study of Liver Diseases practice guidelines for group 1</w:t>
      </w:r>
      <w:r>
        <w:rPr>
          <w:rFonts w:ascii="Book Antiqua" w:hAnsi="Book Antiqua" w:eastAsia="Book Antiqua" w:cs="Book Antiqua"/>
          <w:color w:val="000000" w:themeColor="text1"/>
          <w:vertAlign w:val="superscript"/>
          <w14:textFill>
            <w14:solidFill>
              <w14:schemeClr w14:val="tx1"/>
            </w14:solidFill>
          </w14:textFill>
        </w:rPr>
        <w:t>[17]</w:t>
      </w:r>
      <w:r>
        <w:rPr>
          <w:rFonts w:ascii="Book Antiqua" w:hAnsi="Book Antiqua" w:eastAsia="Book Antiqua" w:cs="Book Antiqua"/>
          <w:color w:val="000000" w:themeColor="text1"/>
          <w14:textFill>
            <w14:solidFill>
              <w14:schemeClr w14:val="tx1"/>
            </w14:solidFill>
          </w14:textFill>
        </w:rPr>
        <w:t>.</w:t>
      </w:r>
    </w:p>
    <w:p>
      <w:pPr>
        <w:spacing w:line="360" w:lineRule="auto"/>
        <w:jc w:val="both"/>
        <w:rPr>
          <w:rFonts w:ascii="Book Antiqua" w:hAnsi="Book Antiqua" w:cs="Book Antiqua"/>
          <w:b/>
          <w:bCs/>
          <w:color w:val="000000" w:themeColor="text1"/>
          <w:lang w:eastAsia="zh-CN"/>
          <w14:textFill>
            <w14:solidFill>
              <w14:schemeClr w14:val="tx1"/>
            </w14:solidFill>
          </w14:textFill>
        </w:rPr>
      </w:pPr>
    </w:p>
    <w:p>
      <w:pPr>
        <w:spacing w:line="360" w:lineRule="auto"/>
        <w:jc w:val="both"/>
        <w:rPr>
          <w:rFonts w:ascii="Book Antiqua" w:hAnsi="Book Antiqua"/>
          <w:i/>
          <w:color w:val="000000" w:themeColor="text1"/>
          <w:lang w:eastAsia="zh-CN"/>
          <w14:textFill>
            <w14:solidFill>
              <w14:schemeClr w14:val="tx1"/>
            </w14:solidFill>
          </w14:textFill>
        </w:rPr>
      </w:pPr>
      <w:r>
        <w:rPr>
          <w:rFonts w:ascii="Book Antiqua" w:hAnsi="Book Antiqua" w:eastAsia="Book Antiqua" w:cs="Book Antiqua"/>
          <w:b/>
          <w:bCs/>
          <w:i/>
          <w:color w:val="000000" w:themeColor="text1"/>
          <w14:textFill>
            <w14:solidFill>
              <w14:schemeClr w14:val="tx1"/>
            </w14:solidFill>
          </w14:textFill>
        </w:rPr>
        <w:t>Exclusion criteria for the study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Patients actively undergoing chemotherapy or radiation therapy for HCC.</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Patients with other malignancies or treated within the last 5 years.</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Internal Medicine Department, Faculty of Medicine, Ain Shams University, approved this study’s protocol in 2016 for ethics of conducting the study and in accordance with the ethical standards of the Declaration of Helsinki. Informed consent was obtained from each participant. Both the patients and controls were randomly selected. This study was not funded.</w:t>
      </w:r>
    </w:p>
    <w:p>
      <w:pPr>
        <w:spacing w:line="360" w:lineRule="auto"/>
        <w:jc w:val="both"/>
        <w:rPr>
          <w:rFonts w:ascii="Book Antiqua" w:hAnsi="Book Antiqua" w:cs="Book Antiqua"/>
          <w:b/>
          <w:bCs/>
          <w:color w:val="000000" w:themeColor="text1"/>
          <w:lang w:eastAsia="zh-CN"/>
          <w14:textFill>
            <w14:solidFill>
              <w14:schemeClr w14:val="tx1"/>
            </w14:solidFill>
          </w14:textFill>
        </w:rPr>
      </w:pPr>
    </w:p>
    <w:p>
      <w:pPr>
        <w:spacing w:line="360" w:lineRule="auto"/>
        <w:jc w:val="both"/>
        <w:rPr>
          <w:rFonts w:ascii="Book Antiqua" w:hAnsi="Book Antiqua"/>
          <w:i/>
          <w:color w:val="000000" w:themeColor="text1"/>
          <w:lang w:eastAsia="zh-CN"/>
          <w14:textFill>
            <w14:solidFill>
              <w14:schemeClr w14:val="tx1"/>
            </w14:solidFill>
          </w14:textFill>
        </w:rPr>
      </w:pPr>
      <w:r>
        <w:rPr>
          <w:rFonts w:ascii="Book Antiqua" w:hAnsi="Book Antiqua" w:eastAsia="Book Antiqua" w:cs="Book Antiqua"/>
          <w:b/>
          <w:bCs/>
          <w:i/>
          <w:color w:val="000000" w:themeColor="text1"/>
          <w14:textFill>
            <w14:solidFill>
              <w14:schemeClr w14:val="tx1"/>
            </w14:solidFill>
          </w14:textFill>
        </w:rPr>
        <w:t>Data of samples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The following parameters were documented for the participants:</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Full personal history and thorough clinical examination.</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Laboratory investigations included the following:</w:t>
      </w:r>
      <w:r>
        <w:rPr>
          <w:rFonts w:ascii="Book Antiqua" w:hAnsi="Book Antiqua"/>
          <w:color w:val="000000" w:themeColor="text1"/>
          <w:lang w:eastAsia="zh-CN"/>
          <w14:textFill>
            <w14:solidFill>
              <w14:schemeClr w14:val="tx1"/>
            </w14:solidFill>
          </w14:textFill>
        </w:rPr>
        <w:t xml:space="preserve"> (1) </w:t>
      </w:r>
      <w:r>
        <w:rPr>
          <w:rFonts w:ascii="Book Antiqua" w:hAnsi="Book Antiqua" w:eastAsia="Book Antiqua" w:cs="Book Antiqua"/>
          <w:color w:val="000000" w:themeColor="text1"/>
          <w14:textFill>
            <w14:solidFill>
              <w14:schemeClr w14:val="tx1"/>
            </w14:solidFill>
          </w14:textFill>
        </w:rPr>
        <w:t xml:space="preserve">Liver function: </w:t>
      </w:r>
      <w:r>
        <w:rPr>
          <w:rFonts w:ascii="Book Antiqua" w:hAnsi="Book Antiqua" w:cs="Book Antiqua"/>
          <w:color w:val="000000" w:themeColor="text1"/>
          <w:lang w:eastAsia="zh-CN"/>
          <w14:textFill>
            <w14:solidFill>
              <w14:schemeClr w14:val="tx1"/>
            </w14:solidFill>
          </w14:textFill>
        </w:rPr>
        <w:t>S</w:t>
      </w:r>
      <w:r>
        <w:rPr>
          <w:rFonts w:ascii="Book Antiqua" w:hAnsi="Book Antiqua" w:eastAsia="Book Antiqua" w:cs="Book Antiqua"/>
          <w:color w:val="000000" w:themeColor="text1"/>
          <w14:textFill>
            <w14:solidFill>
              <w14:schemeClr w14:val="tx1"/>
            </w14:solidFill>
          </w14:textFill>
        </w:rPr>
        <w:t>erum albumin, prothrombin time and international normalized ratio, and total and direct bilirubin</w:t>
      </w:r>
      <w:r>
        <w:rPr>
          <w:rFonts w:ascii="Book Antiqua" w:hAnsi="Book Antiqua" w:cs="Book Antiqua"/>
          <w:color w:val="000000" w:themeColor="text1"/>
          <w:lang w:eastAsia="zh-CN"/>
          <w14:textFill>
            <w14:solidFill>
              <w14:schemeClr w14:val="tx1"/>
            </w14:solidFill>
          </w14:textFill>
        </w:rPr>
        <w:t xml:space="preserve">; (2) </w:t>
      </w:r>
      <w:r>
        <w:rPr>
          <w:rFonts w:ascii="Book Antiqua" w:hAnsi="Book Antiqua" w:eastAsia="Book Antiqua" w:cs="Book Antiqua"/>
          <w:color w:val="000000" w:themeColor="text1"/>
          <w14:textFill>
            <w14:solidFill>
              <w14:schemeClr w14:val="tx1"/>
            </w14:solidFill>
          </w14:textFill>
        </w:rPr>
        <w:t xml:space="preserve">Liver enzymes: </w:t>
      </w:r>
      <w:r>
        <w:rPr>
          <w:rFonts w:ascii="Book Antiqua" w:hAnsi="Book Antiqua" w:cs="Book Antiqua"/>
          <w:color w:val="000000" w:themeColor="text1"/>
          <w:lang w:eastAsia="zh-CN"/>
          <w14:textFill>
            <w14:solidFill>
              <w14:schemeClr w14:val="tx1"/>
            </w14:solidFill>
          </w14:textFill>
        </w:rPr>
        <w:t>S</w:t>
      </w:r>
      <w:r>
        <w:rPr>
          <w:rFonts w:ascii="Book Antiqua" w:hAnsi="Book Antiqua" w:eastAsia="Book Antiqua" w:cs="Book Antiqua"/>
          <w:color w:val="000000" w:themeColor="text1"/>
          <w14:textFill>
            <w14:solidFill>
              <w14:schemeClr w14:val="tx1"/>
            </w14:solidFill>
          </w14:textFill>
        </w:rPr>
        <w:t>erum aspartate transaminase</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alanine transaminase</w:t>
      </w:r>
      <w:r>
        <w:rPr>
          <w:rFonts w:ascii="Book Antiqua" w:hAnsi="Book Antiqua" w:cs="Book Antiqua"/>
          <w:color w:val="000000" w:themeColor="text1"/>
          <w:lang w:eastAsia="zh-CN"/>
          <w14:textFill>
            <w14:solidFill>
              <w14:schemeClr w14:val="tx1"/>
            </w14:solidFill>
          </w14:textFill>
        </w:rPr>
        <w:t>,</w:t>
      </w:r>
      <w:r>
        <w:rPr>
          <w:rFonts w:ascii="Book Antiqua" w:hAnsi="Book Antiqua"/>
          <w:color w:val="000000" w:themeColor="text1"/>
          <w:lang w:eastAsia="zh-CN"/>
          <w14:textFill>
            <w14:solidFill>
              <w14:schemeClr w14:val="tx1"/>
            </w14:solidFill>
          </w14:textFill>
        </w:rPr>
        <w:t xml:space="preserve"> </w:t>
      </w:r>
      <w:r>
        <w:rPr>
          <w:rFonts w:ascii="Book Antiqua" w:hAnsi="Book Antiqua" w:cs="Book Antiqua"/>
          <w:color w:val="000000" w:themeColor="text1"/>
          <w:lang w:eastAsia="zh-CN"/>
          <w14:textFill>
            <w14:solidFill>
              <w14:schemeClr w14:val="tx1"/>
            </w14:solidFill>
          </w14:textFill>
        </w:rPr>
        <w:t>a</w:t>
      </w:r>
      <w:r>
        <w:rPr>
          <w:rFonts w:ascii="Book Antiqua" w:hAnsi="Book Antiqua" w:eastAsia="Book Antiqua" w:cs="Book Antiqua"/>
          <w:color w:val="000000" w:themeColor="text1"/>
          <w14:textFill>
            <w14:solidFill>
              <w14:schemeClr w14:val="tx1"/>
            </w14:solidFill>
          </w14:textFill>
        </w:rPr>
        <w:t>lpha-fetoprotein (AFP)</w:t>
      </w:r>
      <w:r>
        <w:rPr>
          <w:rFonts w:ascii="Book Antiqua" w:hAnsi="Book Antiqua" w:cs="Book Antiqua"/>
          <w:color w:val="000000" w:themeColor="text1"/>
          <w:lang w:eastAsia="zh-CN"/>
          <w14:textFill>
            <w14:solidFill>
              <w14:schemeClr w14:val="tx1"/>
            </w14:solidFill>
          </w14:textFill>
        </w:rPr>
        <w:t>,</w:t>
      </w:r>
      <w:r>
        <w:rPr>
          <w:rFonts w:ascii="Book Antiqua" w:hAnsi="Book Antiqua"/>
          <w:color w:val="000000" w:themeColor="text1"/>
          <w:lang w:eastAsia="zh-CN"/>
          <w14:textFill>
            <w14:solidFill>
              <w14:schemeClr w14:val="tx1"/>
            </w14:solidFill>
          </w14:textFill>
        </w:rPr>
        <w:t xml:space="preserve"> </w:t>
      </w:r>
      <w:r>
        <w:rPr>
          <w:rFonts w:ascii="Book Antiqua" w:hAnsi="Book Antiqua" w:cs="Book Antiqua"/>
          <w:color w:val="000000" w:themeColor="text1"/>
          <w:lang w:eastAsia="zh-CN"/>
          <w14:textFill>
            <w14:solidFill>
              <w14:schemeClr w14:val="tx1"/>
            </w14:solidFill>
          </w14:textFill>
        </w:rPr>
        <w:t>h</w:t>
      </w:r>
      <w:r>
        <w:rPr>
          <w:rFonts w:ascii="Book Antiqua" w:hAnsi="Book Antiqua" w:eastAsia="Book Antiqua" w:cs="Book Antiqua"/>
          <w:color w:val="000000" w:themeColor="text1"/>
          <w14:textFill>
            <w14:solidFill>
              <w14:schemeClr w14:val="tx1"/>
            </w14:solidFill>
          </w14:textFill>
        </w:rPr>
        <w:t>epatitis C virus antibody, and hepatitis B virus surface antigen (HBsAg)</w:t>
      </w:r>
      <w:r>
        <w:rPr>
          <w:rFonts w:ascii="Book Antiqua" w:hAnsi="Book Antiqua" w:cs="Book Antiqua"/>
          <w:color w:val="000000" w:themeColor="text1"/>
          <w:lang w:eastAsia="zh-CN"/>
          <w14:textFill>
            <w14:solidFill>
              <w14:schemeClr w14:val="tx1"/>
            </w14:solidFill>
          </w14:textFill>
        </w:rPr>
        <w:t xml:space="preserve">; and (3) </w:t>
      </w:r>
      <w:r>
        <w:rPr>
          <w:rFonts w:ascii="Book Antiqua" w:hAnsi="Book Antiqua" w:eastAsia="Book Antiqua" w:cs="Book Antiqua"/>
          <w:color w:val="000000" w:themeColor="text1"/>
          <w14:textFill>
            <w14:solidFill>
              <w14:schemeClr w14:val="tx1"/>
            </w14:solidFill>
          </w14:textFill>
        </w:rPr>
        <w:t xml:space="preserve">Abdominal ultrasound: </w:t>
      </w:r>
      <w:r>
        <w:rPr>
          <w:rFonts w:ascii="Book Antiqua" w:hAnsi="Book Antiqua" w:cs="Book Antiqua"/>
          <w:color w:val="000000" w:themeColor="text1"/>
          <w:lang w:eastAsia="zh-CN"/>
          <w14:textFill>
            <w14:solidFill>
              <w14:schemeClr w14:val="tx1"/>
            </w14:solidFill>
          </w14:textFill>
        </w:rPr>
        <w:t>T</w:t>
      </w:r>
      <w:r>
        <w:rPr>
          <w:rFonts w:ascii="Book Antiqua" w:hAnsi="Book Antiqua" w:eastAsia="Book Antiqua" w:cs="Book Antiqua"/>
          <w:color w:val="000000" w:themeColor="text1"/>
          <w14:textFill>
            <w14:solidFill>
              <w14:schemeClr w14:val="tx1"/>
            </w14:solidFill>
          </w14:textFill>
        </w:rPr>
        <w:t>umor size, the number of nodules, local spread, lymph node metastasis, cirrhosis, and the presence of ascites.</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Triphasic spiral contrast-enhanced computed tomography in the HCC group.</w:t>
      </w:r>
    </w:p>
    <w:p>
      <w:pPr>
        <w:spacing w:line="360" w:lineRule="auto"/>
        <w:jc w:val="both"/>
        <w:rPr>
          <w:rFonts w:ascii="Book Antiqua" w:hAnsi="Book Antiqua" w:cs="Book Antiqua"/>
          <w:b/>
          <w:bCs/>
          <w:color w:val="000000" w:themeColor="text1"/>
          <w:lang w:eastAsia="zh-CN"/>
          <w14:textFill>
            <w14:solidFill>
              <w14:schemeClr w14:val="tx1"/>
            </w14:solidFill>
          </w14:textFill>
        </w:rPr>
      </w:pPr>
    </w:p>
    <w:p>
      <w:pPr>
        <w:spacing w:line="360" w:lineRule="auto"/>
        <w:jc w:val="both"/>
        <w:rPr>
          <w:rFonts w:ascii="Book Antiqua" w:hAnsi="Book Antiqua"/>
          <w:i/>
          <w:color w:val="000000" w:themeColor="text1"/>
          <w14:textFill>
            <w14:solidFill>
              <w14:schemeClr w14:val="tx1"/>
            </w14:solidFill>
          </w14:textFill>
        </w:rPr>
      </w:pPr>
      <w:r>
        <w:rPr>
          <w:rFonts w:ascii="Book Antiqua" w:hAnsi="Book Antiqua" w:eastAsia="Book Antiqua" w:cs="Book Antiqua"/>
          <w:b/>
          <w:bCs/>
          <w:i/>
          <w:color w:val="000000" w:themeColor="text1"/>
          <w14:textFill>
            <w14:solidFill>
              <w14:schemeClr w14:val="tx1"/>
            </w14:solidFill>
          </w14:textFill>
        </w:rPr>
        <w:t>Biomarker identification and bioinformatics analysis</w:t>
      </w:r>
    </w:p>
    <w:p>
      <w:pPr>
        <w:spacing w:line="360" w:lineRule="auto"/>
        <w:jc w:val="both"/>
        <w:rPr>
          <w:rFonts w:ascii="Book Antiqua" w:hAnsi="Book Antiqua" w:cs="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Bioinformatics analysis was performed to retrieve biomarkers relevant to HCC based on previous microarray studies. This step included the following</w:t>
      </w:r>
      <w:r>
        <w:rPr>
          <w:rFonts w:ascii="Book Antiqua" w:hAnsi="Book Antiqua" w:cs="Book Antiqua"/>
          <w:color w:val="000000" w:themeColor="text1"/>
          <w:lang w:eastAsia="zh-CN"/>
          <w14:textFill>
            <w14:solidFill>
              <w14:schemeClr w14:val="tx1"/>
            </w14:solidFill>
          </w14:textFill>
        </w:rPr>
        <w:t>.</w:t>
      </w:r>
    </w:p>
    <w:p>
      <w:pPr>
        <w:spacing w:line="360" w:lineRule="auto"/>
        <w:jc w:val="both"/>
        <w:rPr>
          <w:rFonts w:ascii="Book Antiqua" w:hAnsi="Book Antiqua" w:cs="Book Antiqua"/>
          <w:b/>
          <w:bCs/>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Biomarker retrieval and verification:</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In this concern, we used the public databases, including miRDB, miRTargetLink Human, GeneCards, and Human Protein Atlas, to choose a set of miRNAs and its targeted messenger RNA (mRNA) that is related to HCC. According to the data retrieved, we chose the microRNA-519d, hsa-miR-519d-3p, and the targeted mRNA,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as a point to be studied in relation to HCC. </w:t>
      </w:r>
      <w:r>
        <w:rPr>
          <w:rFonts w:ascii="Book Antiqua" w:hAnsi="Book Antiqua" w:eastAsia="Book Antiqua" w:cs="Book Antiqua"/>
          <w:i/>
          <w:iCs/>
          <w:color w:val="000000" w:themeColor="text1"/>
          <w14:textFill>
            <w14:solidFill>
              <w14:schemeClr w14:val="tx1"/>
            </w14:solidFill>
          </w14:textFill>
        </w:rPr>
        <w:t>In silico</w:t>
      </w:r>
      <w:r>
        <w:rPr>
          <w:rFonts w:ascii="Book Antiqua" w:hAnsi="Book Antiqua" w:eastAsia="Book Antiqua" w:cs="Book Antiqua"/>
          <w:color w:val="000000" w:themeColor="text1"/>
          <w14:textFill>
            <w14:solidFill>
              <w14:schemeClr w14:val="tx1"/>
            </w14:solidFill>
          </w14:textFill>
        </w:rPr>
        <w:t xml:space="preserve"> analysis is shown in detail in Figure 1.</w:t>
      </w:r>
    </w:p>
    <w:p>
      <w:pPr>
        <w:spacing w:line="360" w:lineRule="auto"/>
        <w:jc w:val="both"/>
        <w:rPr>
          <w:rFonts w:ascii="Book Antiqua" w:hAnsi="Book Antiqua" w:cs="Book Antiqua"/>
          <w:b/>
          <w:bCs/>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Sample collection:</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Blood was collected from all participants in a plain test tube. These blood samples were left at room temperature for a minimum of 30 min to allow complete blood clotting.</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clotted blood samples were centrifuged for 20 min.</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serum was carefully separated and transferred to 1.5</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mL aliquots and stored at 80</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 until assayed.</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An identifier was used to label each serum sample to protect the confidentiality of the participants. </w:t>
      </w:r>
    </w:p>
    <w:p>
      <w:pPr>
        <w:spacing w:line="360" w:lineRule="auto"/>
        <w:jc w:val="both"/>
        <w:rPr>
          <w:rFonts w:ascii="Book Antiqua" w:hAnsi="Book Antiqua" w:cs="Book Antiqua"/>
          <w:b/>
          <w:bCs/>
          <w:color w:val="000000" w:themeColor="text1"/>
          <w:lang w:eastAsia="zh-CN"/>
          <w14:textFill>
            <w14:solidFill>
              <w14:schemeClr w14:val="tx1"/>
            </w14:solidFill>
          </w14:textFill>
        </w:rPr>
      </w:pPr>
    </w:p>
    <w:p>
      <w:pPr>
        <w:spacing w:line="360" w:lineRule="auto"/>
        <w:jc w:val="both"/>
        <w:rPr>
          <w:rFonts w:ascii="Book Antiqua" w:hAnsi="Book Antiqua"/>
          <w:i/>
          <w:color w:val="000000" w:themeColor="text1"/>
          <w14:textFill>
            <w14:solidFill>
              <w14:schemeClr w14:val="tx1"/>
            </w14:solidFill>
          </w14:textFill>
        </w:rPr>
      </w:pPr>
      <w:r>
        <w:rPr>
          <w:rFonts w:ascii="Book Antiqua" w:hAnsi="Book Antiqua" w:eastAsia="Book Antiqua" w:cs="Book Antiqua"/>
          <w:b/>
          <w:bCs/>
          <w:i/>
          <w:color w:val="000000" w:themeColor="text1"/>
          <w14:textFill>
            <w14:solidFill>
              <w14:schemeClr w14:val="tx1"/>
            </w14:solidFill>
          </w14:textFill>
        </w:rPr>
        <w:t>Laboratory work</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Extraction of total RNA</w:t>
      </w:r>
      <w:r>
        <w:rPr>
          <w:rFonts w:ascii="Book Antiqua" w:hAnsi="Book Antiqua" w:cs="Book Antiqua"/>
          <w:b/>
          <w:bCs/>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An miRNEasy RNA isolation kit (Qiagen, Hilden, Germany) was used to extract total RNA from the serum samples according to the manufacturer’s instructions. The RNA concentration and integrity were assessed using an Ultraspec 1000 UV/visible spectrophotometer (Amersham Pharmacia Biotech, Cambridge, United Kingdom). Then, 72 </w:t>
      </w:r>
      <w:r>
        <w:rPr>
          <w:rFonts w:ascii="Book Antiqua" w:hAnsi="Book Antiqua" w:eastAsia="Book Antiqua"/>
          <w:color w:val="000000" w:themeColor="text1"/>
          <w14:textFill>
            <w14:solidFill>
              <w14:schemeClr w14:val="tx1"/>
            </w14:solidFill>
          </w14:textFill>
        </w:rPr>
        <w:t>μ</w:t>
      </w:r>
      <w:r>
        <w:rPr>
          <w:rFonts w:ascii="Book Antiqua" w:hAnsi="Book Antiqua" w:eastAsia="Book Antiqua" w:cs="Book Antiqua"/>
          <w:color w:val="000000" w:themeColor="text1"/>
          <w14:textFill>
            <w14:solidFill>
              <w14:schemeClr w14:val="tx1"/>
            </w14:solidFill>
          </w14:textFill>
        </w:rPr>
        <w:t xml:space="preserve">L diethyl pyrocarbonate–water was added to 3 </w:t>
      </w:r>
      <w:r>
        <w:rPr>
          <w:rFonts w:ascii="Book Antiqua" w:hAnsi="Book Antiqua" w:eastAsia="Book Antiqua"/>
          <w:color w:val="000000" w:themeColor="text1"/>
          <w14:textFill>
            <w14:solidFill>
              <w14:schemeClr w14:val="tx1"/>
            </w14:solidFill>
          </w14:textFill>
        </w:rPr>
        <w:t>μ</w:t>
      </w:r>
      <w:r>
        <w:rPr>
          <w:rFonts w:ascii="Book Antiqua" w:hAnsi="Book Antiqua" w:eastAsia="Book Antiqua" w:cs="Book Antiqua"/>
          <w:color w:val="000000" w:themeColor="text1"/>
          <w14:textFill>
            <w14:solidFill>
              <w14:schemeClr w14:val="tx1"/>
            </w14:solidFill>
          </w14:textFill>
        </w:rPr>
        <w:t xml:space="preserve">L RNA solution (dilution 1:25). The sample was read at 260 nm for RNA detection and 280 nm for protein detection using a spectrophotometer. Next, 40 </w:t>
      </w:r>
      <w:r>
        <w:rPr>
          <w:rFonts w:ascii="Book Antiqua" w:hAnsi="Book Antiqua"/>
          <w:color w:val="000000" w:themeColor="text1"/>
          <w14:textFill>
            <w14:solidFill>
              <w14:schemeClr w14:val="tx1"/>
            </w14:solidFill>
          </w14:textFill>
        </w:rPr>
        <w:t>μg</w:t>
      </w:r>
      <w:r>
        <w:rPr>
          <w:rFonts w:ascii="Book Antiqua" w:hAnsi="Book Antiqua" w:eastAsia="Book Antiqua" w:cs="Book Antiqua"/>
          <w:color w:val="000000" w:themeColor="text1"/>
          <w14:textFill>
            <w14:solidFill>
              <w14:schemeClr w14:val="tx1"/>
            </w14:solidFill>
          </w14:textFill>
        </w:rPr>
        <w:t xml:space="preserve"> RNA/mL is equivalent to 1 absorbance, so the concentration of RNA in a sample (</w:t>
      </w:r>
      <w:r>
        <w:rPr>
          <w:rFonts w:ascii="Book Antiqua" w:hAnsi="Book Antiqua" w:eastAsia="Book Antiqua"/>
          <w:color w:val="000000" w:themeColor="text1"/>
          <w14:textFill>
            <w14:solidFill>
              <w14:schemeClr w14:val="tx1"/>
            </w14:solidFill>
          </w14:textFill>
        </w:rPr>
        <w:t>μ</w:t>
      </w:r>
      <w:r>
        <w:rPr>
          <w:rFonts w:ascii="Book Antiqua" w:hAnsi="Book Antiqua" w:eastAsia="Book Antiqua" w:cs="Book Antiqua"/>
          <w:color w:val="000000" w:themeColor="text1"/>
          <w14:textFill>
            <w14:solidFill>
              <w14:schemeClr w14:val="tx1"/>
            </w14:solidFill>
          </w14:textFill>
        </w:rPr>
        <w:t>g/mL) = sample absorbance at 260 nm × 40/1 × dilution factor (25). The samples were considered to have high RNA quality if the RNA–protein ratio (260:280 ratio) was more than 1.8–2.</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Reverse transcription-polymerase chain reaction:</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The extracted total RNA underwent reverse transcription into cDNA using a miScript II RT Kit (Qiagen) according to the manufacturer’s protocol using a Hybaid thermal cycler (Thermo Electron, Waltham, MA, United States).</w:t>
      </w:r>
    </w:p>
    <w:p>
      <w:pPr>
        <w:spacing w:line="360" w:lineRule="auto"/>
        <w:jc w:val="both"/>
        <w:rPr>
          <w:rFonts w:ascii="Book Antiqua" w:hAnsi="Book Antiqua" w:cs="Book Antiqua"/>
          <w:b/>
          <w:bCs/>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Quantitative </w:t>
      </w:r>
      <w:r>
        <w:rPr>
          <w:rFonts w:ascii="Book Antiqua" w:hAnsi="Book Antiqua" w:cs="Book Antiqua"/>
          <w:b/>
          <w:bCs/>
          <w:color w:val="000000" w:themeColor="text1"/>
          <w:lang w:eastAsia="zh-CN"/>
          <w14:textFill>
            <w14:solidFill>
              <w14:schemeClr w14:val="tx1"/>
            </w14:solidFill>
          </w14:textFill>
        </w:rPr>
        <w:t>r</w:t>
      </w:r>
      <w:r>
        <w:rPr>
          <w:rFonts w:ascii="Book Antiqua" w:hAnsi="Book Antiqua" w:eastAsia="Book Antiqua" w:cs="Book Antiqua"/>
          <w:b/>
          <w:bCs/>
          <w:color w:val="000000" w:themeColor="text1"/>
          <w14:textFill>
            <w14:solidFill>
              <w14:schemeClr w14:val="tx1"/>
            </w14:solidFill>
          </w14:textFill>
        </w:rPr>
        <w:t>everse transcription-polymerase chain reaction:</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RNA levels were examined by </w:t>
      </w:r>
      <w:r>
        <w:rPr>
          <w:rFonts w:ascii="Book Antiqua" w:hAnsi="Book Antiqua" w:cs="Book Antiqua"/>
          <w:bCs/>
          <w:color w:val="000000" w:themeColor="text1"/>
          <w:lang w:eastAsia="zh-CN"/>
          <w14:textFill>
            <w14:solidFill>
              <w14:schemeClr w14:val="tx1"/>
            </w14:solidFill>
          </w14:textFill>
        </w:rPr>
        <w:t>q</w:t>
      </w:r>
      <w:r>
        <w:rPr>
          <w:rFonts w:ascii="Book Antiqua" w:hAnsi="Book Antiqua" w:eastAsia="Book Antiqua" w:cs="Book Antiqua"/>
          <w:bCs/>
          <w:color w:val="000000" w:themeColor="text1"/>
          <w14:textFill>
            <w14:solidFill>
              <w14:schemeClr w14:val="tx1"/>
            </w14:solidFill>
          </w14:textFill>
        </w:rPr>
        <w:t xml:space="preserve">uantitative </w:t>
      </w:r>
      <w:r>
        <w:rPr>
          <w:rFonts w:ascii="Book Antiqua" w:hAnsi="Book Antiqua" w:cs="Book Antiqua"/>
          <w:bCs/>
          <w:color w:val="000000" w:themeColor="text1"/>
          <w:lang w:eastAsia="zh-CN"/>
          <w14:textFill>
            <w14:solidFill>
              <w14:schemeClr w14:val="tx1"/>
            </w14:solidFill>
          </w14:textFill>
        </w:rPr>
        <w:t>r</w:t>
      </w:r>
      <w:r>
        <w:rPr>
          <w:rFonts w:ascii="Book Antiqua" w:hAnsi="Book Antiqua" w:eastAsia="Book Antiqua" w:cs="Book Antiqua"/>
          <w:bCs/>
          <w:color w:val="000000" w:themeColor="text1"/>
          <w14:textFill>
            <w14:solidFill>
              <w14:schemeClr w14:val="tx1"/>
            </w14:solidFill>
          </w14:textFill>
        </w:rPr>
        <w:t>everse transcription-polymerase chain reaction (qRT-PCR)</w:t>
      </w:r>
      <w:r>
        <w:rPr>
          <w:rFonts w:ascii="Book Antiqua" w:hAnsi="Book Antiqua" w:eastAsia="Book Antiqua" w:cs="Book Antiqua"/>
          <w:color w:val="000000" w:themeColor="text1"/>
          <w14:textFill>
            <w14:solidFill>
              <w14:schemeClr w14:val="tx1"/>
            </w14:solidFill>
          </w14:textFill>
        </w:rPr>
        <w:t xml:space="preserve"> to ensure sensitive and specific RNA detection and quantification with high amplification efficacy. All PCR primers were obtained from Qiagen. All steps followed the manufacturer’s suggested protocol. </w:t>
      </w:r>
    </w:p>
    <w:p>
      <w:pPr>
        <w:spacing w:line="360" w:lineRule="auto"/>
        <w:jc w:val="both"/>
        <w:rPr>
          <w:rFonts w:ascii="Book Antiqua" w:hAnsi="Book Antiqua" w:cs="Book Antiqua"/>
          <w:b/>
          <w:bCs/>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Quantitative PCR for the detection of </w:t>
      </w:r>
      <w:r>
        <w:rPr>
          <w:rFonts w:ascii="Book Antiqua" w:hAnsi="Book Antiqua" w:eastAsia="Book Antiqua" w:cs="Book Antiqua"/>
          <w:b/>
          <w:bCs/>
          <w:i/>
          <w:iCs/>
          <w:color w:val="000000" w:themeColor="text1"/>
          <w14:textFill>
            <w14:solidFill>
              <w14:schemeClr w14:val="tx1"/>
            </w14:solidFill>
          </w14:textFill>
        </w:rPr>
        <w:t>SQSTM1</w:t>
      </w:r>
      <w:r>
        <w:rPr>
          <w:rFonts w:ascii="Book Antiqua" w:hAnsi="Book Antiqua" w:eastAsia="Book Antiqua" w:cs="Book Antiqua"/>
          <w:b/>
          <w:bCs/>
          <w:color w:val="000000" w:themeColor="text1"/>
          <w14:textFill>
            <w14:solidFill>
              <w14:schemeClr w14:val="tx1"/>
            </w14:solidFill>
          </w14:textFill>
        </w:rPr>
        <w:t xml:space="preserve"> mRNA</w:t>
      </w:r>
      <w:r>
        <w:rPr>
          <w:rFonts w:ascii="Book Antiqua" w:hAnsi="Book Antiqua" w:eastAsia="Book Antiqua" w:cs="Book Antiqua"/>
          <w:color w:val="000000" w:themeColor="text1"/>
          <w14:textFill>
            <w14:solidFill>
              <w14:schemeClr w14:val="tx1"/>
            </w14:solidFill>
          </w14:textFill>
        </w:rPr>
        <w:t>:</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The relative expression of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mRNA was assessed using a QuantiTect SYBR Green PCR Kit (Qiagen) on a Rotor-Gene real-time PCR detection system (Qiagen) with specific primers provided by Qiagen. Beta</w:t>
      </w:r>
      <w:r>
        <w:rPr>
          <w:rFonts w:ascii="Book Antiqua" w:hAnsi="Book Antiqua" w:eastAsia="宋体" w:cs="宋体"/>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actin (ACTB) was used as a housekeeping gene.</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QuantiTect SYBR Green PCR Kit provides accurate real-time quantification of cDNA targets in an easy-to-handle format. The kit can be used in real-time two-step RT-PCR of RNA targets following reverse transcription with the fluorescent dye SYBR Green I in the master mix, which enables the analysis of many targets without having to synthesize target-specific labeled probes. It uses the SYBR Green I dye to detect PCR products by binding to double-stranded DNA formed during the PCR. It binds to each new copy of double-stranded DNA generated during each PCR cycle. The result is an increase in fluorescence intensity proportional to the number of double-stranded PCR products produced.</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High specificity and sensitivity in PCR are achieved using the hot-start enzyme HotStarTaq DNA Polymerase together with a specialized PCR buffer. In addition, the buffer contains ROX dye, allowing fluorescence normalization on certain cyclers. The kit has been optimized for use with any real-time cycler, including Rotor-Gene</w:t>
      </w:r>
      <w:r>
        <w:rPr>
          <w:rFonts w:ascii="Book Antiqua" w:hAnsi="Book Antiqua" w:eastAsia="Book Antiqua" w:cs="Book Antiqua"/>
          <w:color w:val="000000" w:themeColor="text1"/>
          <w:vertAlign w:val="superscript"/>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cyclers. A melting point analysis was performed to monitor the homogeneity and specificity of the quantitative PCR (qPCR) products.</w:t>
      </w:r>
    </w:p>
    <w:p>
      <w:pPr>
        <w:spacing w:line="360" w:lineRule="auto"/>
        <w:jc w:val="both"/>
        <w:rPr>
          <w:rFonts w:ascii="Book Antiqua" w:hAnsi="Book Antiqua" w:cs="Book Antiqua"/>
          <w:b/>
          <w:bCs/>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qPCR for the detection of hsa-miR-519d-3p:</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A relative miRNA expression level for hsa-miR-519d-3p was analyzed by mixing the total cDNA with the reagent provided in the miScript SYBR Green PCR Kit (Qiagen) according to the manufacturer’s suggested protocol, in addition to the manufacturer-provided miScript universal primer. RNU-6 was used as a housekeeping gene.</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For detecting mature miRNA, cDNA prepared in a reverse transcription reaction using miScript HiSpec Buffer or miScript HiFlex Buffer serves as the template for real-time PCR analysis using a miRNA-specific miScript Primer Assay (forward primer) and the miScript SYBR Green PCR Kit, which contains the miScript Universal Primer (reverse primer) and QuantiTect SYBR Green PCR Master Mix.</w:t>
      </w:r>
    </w:p>
    <w:p>
      <w:pPr>
        <w:spacing w:line="360" w:lineRule="auto"/>
        <w:jc w:val="both"/>
        <w:rPr>
          <w:rFonts w:ascii="Book Antiqua" w:hAnsi="Book Antiqua" w:cs="Book Antiqua"/>
          <w:b/>
          <w:bCs/>
          <w:color w:val="000000" w:themeColor="text1"/>
          <w:lang w:eastAsia="zh-CN"/>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PCR result analysis:</w:t>
      </w:r>
      <w:r>
        <w:rPr>
          <w:rFonts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The PCR program for the SYBR Green-based qPCR was as follows: </w:t>
      </w:r>
      <w:r>
        <w:rPr>
          <w:rFonts w:ascii="Book Antiqua" w:hAnsi="Book Antiqua" w:cs="Book Antiqua"/>
          <w:color w:val="000000" w:themeColor="text1"/>
          <w:lang w:eastAsia="zh-CN"/>
          <w14:textFill>
            <w14:solidFill>
              <w14:schemeClr w14:val="tx1"/>
            </w14:solidFill>
          </w14:textFill>
        </w:rPr>
        <w:t>D</w:t>
      </w:r>
      <w:r>
        <w:rPr>
          <w:rFonts w:ascii="Book Antiqua" w:hAnsi="Book Antiqua" w:eastAsia="Book Antiqua" w:cs="Book Antiqua"/>
          <w:color w:val="000000" w:themeColor="text1"/>
          <w14:textFill>
            <w14:solidFill>
              <w14:schemeClr w14:val="tx1"/>
            </w14:solidFill>
          </w14:textFill>
        </w:rPr>
        <w:t>enaturation at 95</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 for 15 min; 40 cycles of denaturation for 10 s at 94</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 annealing for 30 s at 55</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 and extension for 34 s at 70</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 Each reaction was performed in duplicate. A Rotor-Gene manual was used to calculate the threshold cycle (Ct) value of each sample. Any Ct value greater than 36 was considered negative. We used the melting curve analysis software of Applied Biosystems to analyze our results. The melting curves were analyzed to affirm the specificities of the amplicons for the SYBR Green-based PCR amplification. The (</w:t>
      </w:r>
      <w:r>
        <w:rPr>
          <w:rStyle w:val="18"/>
          <w:rFonts w:ascii="Book Antiqua" w:hAnsi="Book Antiqua" w:eastAsia="Times New Roman"/>
          <w:color w:val="000000" w:themeColor="text1"/>
          <w14:textFill>
            <w14:solidFill>
              <w14:schemeClr w14:val="tx1"/>
            </w14:solidFill>
          </w14:textFill>
        </w:rPr>
        <w:t>2</w:t>
      </w:r>
      <w:r>
        <w:rPr>
          <w:rStyle w:val="18"/>
          <w:rFonts w:ascii="Book Antiqua" w:hAnsi="Book Antiqua" w:eastAsia="Times New Roman"/>
          <w:color w:val="000000" w:themeColor="text1"/>
          <w:vertAlign w:val="superscript"/>
          <w14:textFill>
            <w14:solidFill>
              <w14:schemeClr w14:val="tx1"/>
            </w14:solidFill>
          </w14:textFill>
        </w:rPr>
        <w:t>–∆∆Ct</w:t>
      </w:r>
      <w:r>
        <w:rPr>
          <w:rStyle w:val="18"/>
          <w:rFonts w:ascii="Book Antiqua" w:hAnsi="Book Antiqua" w:eastAsia="Times New Roman"/>
          <w:color w:val="000000" w:themeColor="text1"/>
          <w14:textFill>
            <w14:solidFill>
              <w14:schemeClr w14:val="tx1"/>
            </w14:solidFill>
          </w14:textFill>
        </w:rPr>
        <w:t>)</w:t>
      </w:r>
      <w:r>
        <w:rPr>
          <w:rStyle w:val="18"/>
          <w:rFonts w:ascii="Book Antiqua" w:hAnsi="Book Antiqua" w:eastAsia="Times New Roman"/>
          <w:color w:val="000000" w:themeColor="text1"/>
          <w:vertAlign w:val="superscript"/>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relative quantification RQ technique was used to measure the expression of the RNA-based biomarker panel. </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housekeeping genes, ACTB and RNU-6, were used as an invariant internal control to normalize the raw data of the samples and compare these results with a reference sample.</w:t>
      </w:r>
    </w:p>
    <w:p>
      <w:pPr>
        <w:spacing w:line="360" w:lineRule="auto"/>
        <w:ind w:firstLine="720"/>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i/>
          <w:color w:val="000000" w:themeColor="text1"/>
          <w14:textFill>
            <w14:solidFill>
              <w14:schemeClr w14:val="tx1"/>
            </w14:solidFill>
          </w14:textFill>
        </w:rPr>
      </w:pPr>
      <w:r>
        <w:rPr>
          <w:rFonts w:ascii="Book Antiqua" w:hAnsi="Book Antiqua" w:eastAsia="Book Antiqua" w:cs="Book Antiqua"/>
          <w:b/>
          <w:bCs/>
          <w:i/>
          <w:color w:val="000000" w:themeColor="text1"/>
          <w14:textFill>
            <w14:solidFill>
              <w14:schemeClr w14:val="tx1"/>
            </w14:solidFill>
          </w14:textFill>
        </w:rPr>
        <w:t>Statistical analysis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Statistical analyses of the obtained data were performed using SPSS, version 23 (IBM Corp., Armonk, NY, U</w:t>
      </w:r>
      <w:r>
        <w:rPr>
          <w:rFonts w:ascii="Book Antiqua" w:hAnsi="Book Antiqua" w:cs="Book Antiqua"/>
          <w:color w:val="000000" w:themeColor="text1"/>
          <w:lang w:eastAsia="zh-CN"/>
          <w14:textFill>
            <w14:solidFill>
              <w14:schemeClr w14:val="tx1"/>
            </w14:solidFill>
          </w14:textFill>
        </w:rPr>
        <w:t>nited States</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To describe the studied sample, quantitative data are presented as minimum, maximum, mean, and standard deviation for parametric data and median and interquartile range (IQR) for nonparametric data. Qualitative data are presented as count and percentage. </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Student’s t-test was used to compare quantitative data between two independent groups, and the Mann–Whitney U-test was used for nonparametric data.</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One-way analysis of variance was performed to compare quantitative data when more than two groups were to be compared; then, a post-hoc test was used to detect the difference between individual groups for parametric data, and the Kruskal–Wallis test was used for nonparametric data. </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chi-square test and Fisher’s exact test were used to compare qualitative data between different groups.</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receiver operating characteristic (ROC) curve was used to measure diagnostic validity and determine the best cutoff value for some variables. </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i/>
          <w:iCs/>
          <w:color w:val="000000" w:themeColor="text1"/>
          <w14:textFill>
            <w14:solidFill>
              <w14:schemeClr w14:val="tx1"/>
            </w14:solidFill>
          </w14:textFill>
        </w:rPr>
        <w:t>P</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values less than 0.05 denote statistical significance. In addition, concerning the level of significance: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values represent the level of significance,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values more than 0.05 are non-significant,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values less than 0.05 are significant, and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values less than 0.01 are highly significant.</w:t>
      </w:r>
    </w:p>
    <w:p>
      <w:pPr>
        <w:spacing w:line="360" w:lineRule="auto"/>
        <w:ind w:firstLine="720"/>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RESULTS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We conducted this study on 50 Egyptian participants divided into three groups: 34 patients in the HCC group, 11 patients in the chronic liver infection group, and 5 healthy participants as the control group.</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age of all participants was more than 18 years with a mean of 58.88 ± 8.08 years, 56.18 ± 16.26 years, and 55.40 ± 22.09 years in the HCC, chronic liver infection, and control groups, respectively, with a non-statistically significant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value (0.72). In addition, a non-significant difference was observed between the malignant and non-malignant groups (</w:t>
      </w:r>
      <w:r>
        <w:rPr>
          <w:rFonts w:ascii="Book Antiqua" w:hAnsi="Book Antiqua" w:eastAsia="Book Antiqua" w:cs="Book Antiqua"/>
          <w:i/>
          <w:color w:val="000000" w:themeColor="text1"/>
          <w14:textFill>
            <w14:solidFill>
              <w14:schemeClr w14:val="tx1"/>
            </w14:solidFill>
          </w14:textFill>
        </w:rPr>
        <w:t>i.e.</w:t>
      </w:r>
      <w:r>
        <w:rPr>
          <w:rFonts w:ascii="Book Antiqua" w:hAnsi="Book Antiqua" w:eastAsia="Book Antiqua" w:cs="Book Antiqua"/>
          <w:color w:val="000000" w:themeColor="text1"/>
          <w14:textFill>
            <w14:solidFill>
              <w14:schemeClr w14:val="tx1"/>
            </w14:solidFill>
          </w14:textFill>
        </w:rPr>
        <w:t xml:space="preserve"> patients in the chronic liver infection group added to the control group) with a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value of 0.53.</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Gender differences were observed among the study groups—HCC group: </w:t>
      </w:r>
      <w:r>
        <w:rPr>
          <w:rFonts w:ascii="Book Antiqua" w:hAnsi="Book Antiqua" w:cs="Book Antiqua"/>
          <w:color w:val="000000" w:themeColor="text1"/>
          <w:lang w:eastAsia="zh-CN"/>
          <w14:textFill>
            <w14:solidFill>
              <w14:schemeClr w14:val="tx1"/>
            </w14:solidFill>
          </w14:textFill>
        </w:rPr>
        <w:t>M</w:t>
      </w:r>
      <w:r>
        <w:rPr>
          <w:rFonts w:ascii="Book Antiqua" w:hAnsi="Book Antiqua" w:eastAsia="Book Antiqua" w:cs="Book Antiqua"/>
          <w:color w:val="000000" w:themeColor="text1"/>
          <w14:textFill>
            <w14:solidFill>
              <w14:schemeClr w14:val="tx1"/>
            </w14:solidFill>
          </w14:textFill>
        </w:rPr>
        <w:t xml:space="preserve">ale = 67.6% and female = 32.4%; chronic liver infection group: </w:t>
      </w:r>
      <w:r>
        <w:rPr>
          <w:rFonts w:ascii="Book Antiqua" w:hAnsi="Book Antiqua" w:cs="Book Antiqua"/>
          <w:color w:val="000000" w:themeColor="text1"/>
          <w:lang w:eastAsia="zh-CN"/>
          <w14:textFill>
            <w14:solidFill>
              <w14:schemeClr w14:val="tx1"/>
            </w14:solidFill>
          </w14:textFill>
        </w:rPr>
        <w:t>M</w:t>
      </w:r>
      <w:r>
        <w:rPr>
          <w:rFonts w:ascii="Book Antiqua" w:hAnsi="Book Antiqua" w:eastAsia="Book Antiqua" w:cs="Book Antiqua"/>
          <w:color w:val="000000" w:themeColor="text1"/>
          <w14:textFill>
            <w14:solidFill>
              <w14:schemeClr w14:val="tx1"/>
            </w14:solidFill>
          </w14:textFill>
        </w:rPr>
        <w:t xml:space="preserve">ale = 81.8% and female = 18.2%); and healthy group: </w:t>
      </w:r>
      <w:r>
        <w:rPr>
          <w:rFonts w:ascii="Book Antiqua" w:hAnsi="Book Antiqua" w:cs="Book Antiqua"/>
          <w:color w:val="000000" w:themeColor="text1"/>
          <w:lang w:eastAsia="zh-CN"/>
          <w14:textFill>
            <w14:solidFill>
              <w14:schemeClr w14:val="tx1"/>
            </w14:solidFill>
          </w14:textFill>
        </w:rPr>
        <w:t>M</w:t>
      </w:r>
      <w:r>
        <w:rPr>
          <w:rFonts w:ascii="Book Antiqua" w:hAnsi="Book Antiqua" w:eastAsia="Book Antiqua" w:cs="Book Antiqua"/>
          <w:color w:val="000000" w:themeColor="text1"/>
          <w14:textFill>
            <w14:solidFill>
              <w14:schemeClr w14:val="tx1"/>
            </w14:solidFill>
          </w14:textFill>
        </w:rPr>
        <w:t xml:space="preserve">ale = 60% and female = 40%. The difference between the three study groups was statistically non-significant with a </w:t>
      </w:r>
      <w:r>
        <w:rPr>
          <w:rFonts w:ascii="Book Antiqua" w:hAnsi="Book Antiqua" w:eastAsia="Book Antiqua" w:cs="Book Antiqua"/>
          <w:i/>
          <w:iCs/>
          <w:color w:val="000000" w:themeColor="text1"/>
          <w14:textFill>
            <w14:solidFill>
              <w14:schemeClr w14:val="tx1"/>
            </w14:solidFill>
          </w14:textFill>
        </w:rPr>
        <w:t>P</w:t>
      </w:r>
      <w:r>
        <w:rPr>
          <w:rFonts w:ascii="Book Antiqua" w:hAnsi="Book Antiqua" w:eastAsia="Book Antiqua" w:cs="Book Antiqua"/>
          <w:color w:val="000000" w:themeColor="text1"/>
          <w14:textFill>
            <w14:solidFill>
              <w14:schemeClr w14:val="tx1"/>
            </w14:solidFill>
          </w14:textFill>
        </w:rPr>
        <w:t xml:space="preserve"> value of 0.63 (Table 1). Liver function and laboratory data are shown in Table 2.</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Hepatitis C antibody was prevalent in 88.2% of the patients with HCC, whereas all patients with chronic liver disease were positive, and no subjects in the control group were positive for </w:t>
      </w:r>
      <w:r>
        <w:rPr>
          <w:rFonts w:ascii="Book Antiqua" w:hAnsi="Book Antiqua" w:cs="Book Antiqua"/>
          <w:color w:val="000000" w:themeColor="text1"/>
          <w:lang w:eastAsia="zh-CN"/>
          <w14:textFill>
            <w14:solidFill>
              <w14:schemeClr w14:val="tx1"/>
            </w14:solidFill>
          </w14:textFill>
        </w:rPr>
        <w:t>h</w:t>
      </w:r>
      <w:r>
        <w:rPr>
          <w:rFonts w:ascii="Book Antiqua" w:hAnsi="Book Antiqua" w:eastAsia="Book Antiqua" w:cs="Book Antiqua"/>
          <w:color w:val="000000" w:themeColor="text1"/>
          <w14:textFill>
            <w14:solidFill>
              <w14:schemeClr w14:val="tx1"/>
            </w14:solidFill>
          </w14:textFill>
        </w:rPr>
        <w:t>epatitis C virus antibody. HBsAg was prevalent in 5.9% of the patients with HCC, whereas none of the subjects in the chronic liver disease and control groups were positive for HBsAg. These data are shown in Table 3.</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Our results concerning hsa-miR-519d-3p showed data from the qRT-PCR. These data were reported in delta–delta Ct </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DDCT or -</w:t>
      </w:r>
      <w:r>
        <w:rPr>
          <w:rStyle w:val="18"/>
          <w:rFonts w:ascii="Book Antiqua" w:hAnsi="Book Antiqua" w:eastAsia="Times New Roman"/>
          <w:color w:val="000000" w:themeColor="text1"/>
          <w14:textFill>
            <w14:solidFill>
              <w14:schemeClr w14:val="tx1"/>
            </w14:solidFill>
          </w14:textFill>
        </w:rPr>
        <w:t>(∆∆CT</w:t>
      </w:r>
      <w:r>
        <w:rPr>
          <w:rFonts w:ascii="Book Antiqua" w:hAnsi="Book Antiqua" w:eastAsia="Book Antiqua" w:cs="Book Antiqua"/>
          <w:color w:val="000000" w:themeColor="text1"/>
          <w14:textFill>
            <w14:solidFill>
              <w14:schemeClr w14:val="tx1"/>
            </w14:solidFill>
          </w14:textFill>
        </w:rPr>
        <w:t>)</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and RQ calculated as follows: RQ =</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2</w:t>
      </w:r>
      <w:r>
        <w:rPr>
          <w:rFonts w:ascii="Book Antiqua" w:hAnsi="Book Antiqua" w:eastAsia="Book Antiqua" w:cs="Book Antiqua"/>
          <w:color w:val="000000" w:themeColor="text1"/>
          <w:vertAlign w:val="superscript"/>
          <w14:textFill>
            <w14:solidFill>
              <w14:schemeClr w14:val="tx1"/>
            </w14:solidFill>
          </w14:textFill>
        </w:rPr>
        <w:t>-ddCT</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2</w:t>
      </w:r>
      <w:r>
        <w:rPr>
          <w:rFonts w:ascii="Book Antiqua" w:hAnsi="Book Antiqua" w:eastAsia="Book Antiqua" w:cs="Book Antiqua"/>
          <w:color w:val="000000" w:themeColor="text1"/>
          <w:vertAlign w:val="superscript"/>
          <w14:textFill>
            <w14:solidFill>
              <w14:schemeClr w14:val="tx1"/>
            </w14:solidFill>
          </w14:textFill>
        </w:rPr>
        <w:t>-</w:t>
      </w:r>
      <w:r>
        <w:rPr>
          <w:rStyle w:val="18"/>
          <w:rFonts w:ascii="Book Antiqua" w:hAnsi="Book Antiqua" w:eastAsia="Times New Roman"/>
          <w:color w:val="000000" w:themeColor="text1"/>
          <w:vertAlign w:val="superscript"/>
          <w14:textFill>
            <w14:solidFill>
              <w14:schemeClr w14:val="tx1"/>
            </w14:solidFill>
          </w14:textFill>
        </w:rPr>
        <w:t>∆∆CT</w:t>
      </w:r>
      <w:r>
        <w:rPr>
          <w:rStyle w:val="18"/>
          <w:rFonts w:hint="eastAsia" w:ascii="Book Antiqua" w:hAnsi="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(Table </w:t>
      </w:r>
      <w:r>
        <w:rPr>
          <w:rFonts w:ascii="Book Antiqua" w:hAnsi="Book Antiqua" w:cs="Book Antiqua"/>
          <w:color w:val="000000" w:themeColor="text1"/>
          <w:lang w:eastAsia="zh-CN"/>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 xml:space="preserve"> and Figure 2</w:t>
      </w:r>
      <w:r>
        <w:rPr>
          <w:rFonts w:ascii="Book Antiqua" w:hAnsi="Book Antiqua" w:cs="Book Antiqua"/>
          <w:color w:val="000000" w:themeColor="text1"/>
          <w:lang w:eastAsia="zh-CN"/>
          <w14:textFill>
            <w14:solidFill>
              <w14:schemeClr w14:val="tx1"/>
            </w14:solidFill>
          </w14:textFill>
        </w:rPr>
        <w:t>A</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results of serum miRNA (miR-519d) in the three study groups, reported in RQ, showed that in the HCC group, serum miRNA was 41.94 (IQR: 18.25–139.10); in the chronic liver infection group, serum miRNA was 5.98 (IQR: 3.14–8.28), and in the control group, serum miRNA was 1.17 (IQR: 1.16–1.21), with a highly significant </w:t>
      </w:r>
      <w:r>
        <w:rPr>
          <w:rFonts w:ascii="Book Antiqua" w:hAnsi="Book Antiqua" w:cs="Book Antiqua"/>
          <w:i/>
          <w:iCs/>
          <w:color w:val="000000" w:themeColor="text1"/>
          <w:lang w:eastAsia="zh-CN"/>
          <w14:textFill>
            <w14:solidFill>
              <w14:schemeClr w14:val="tx1"/>
            </w14:solidFill>
          </w14:textFill>
        </w:rPr>
        <w:t xml:space="preserve">P </w:t>
      </w:r>
      <w:r>
        <w:rPr>
          <w:rFonts w:ascii="Book Antiqua" w:hAnsi="Book Antiqua" w:eastAsia="Book Antiqua" w:cs="Book Antiqua"/>
          <w:color w:val="000000" w:themeColor="text1"/>
          <w14:textFill>
            <w14:solidFill>
              <w14:schemeClr w14:val="tx1"/>
            </w14:solidFill>
          </w14:textFill>
        </w:rPr>
        <w:t>value (&lt;</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0.001) (Table </w:t>
      </w:r>
      <w:r>
        <w:rPr>
          <w:rFonts w:ascii="Book Antiqua" w:hAnsi="Book Antiqua" w:cs="Book Antiqua"/>
          <w:color w:val="000000" w:themeColor="text1"/>
          <w:lang w:eastAsia="zh-CN"/>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 These data suggest that hsa-miR-519d-3p is significantly upregulated in the HCC group compared with the chronic liver infection and control groups. The ROC curve to assess the validity of the results of qRT-PCR of hsa-miR-519d in the serum in differentiating the HCC and chronic liver infection groups</w:t>
      </w:r>
      <w:r>
        <w:rPr>
          <w:rFonts w:ascii="Book Antiqua" w:hAnsi="Book Antiqua" w:eastAsia="Book Antiqua" w:cs="Book Antiqua"/>
          <w:i/>
          <w:i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with the best cutoff value of ≥</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8.34, sensitivity of 91.2%, and specificity of 81.8%</w:t>
      </w:r>
      <w:r>
        <w:rPr>
          <w:rFonts w:ascii="Book Antiqua" w:hAnsi="Book Antiqua" w:eastAsia="Book Antiqua" w:cs="Book Antiqua"/>
          <w:b/>
          <w:bCs/>
          <w:i/>
          <w:i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is shown in</w:t>
      </w:r>
      <w:r>
        <w:rPr>
          <w:rFonts w:ascii="Book Antiqua" w:hAnsi="Book Antiqua" w:eastAsia="Book Antiqua" w:cs="Book Antiqua"/>
          <w:b/>
          <w:bCs/>
          <w:i/>
          <w:i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Figure 3</w:t>
      </w:r>
      <w:r>
        <w:rPr>
          <w:rFonts w:ascii="Book Antiqua" w:hAnsi="Book Antiqua" w:cs="Book Antiqua"/>
          <w:color w:val="000000" w:themeColor="text1"/>
          <w:lang w:eastAsia="zh-CN"/>
          <w14:textFill>
            <w14:solidFill>
              <w14:schemeClr w14:val="tx1"/>
            </w14:solidFill>
          </w14:textFill>
        </w:rPr>
        <w:t>A</w:t>
      </w:r>
      <w:r>
        <w:rPr>
          <w:rFonts w:ascii="Book Antiqua" w:hAnsi="Book Antiqua" w:eastAsia="Book Antiqua" w:cs="Book Antiqua"/>
          <w:i/>
          <w:iCs/>
          <w:color w:val="000000" w:themeColor="text1"/>
          <w14:textFill>
            <w14:solidFill>
              <w14:schemeClr w14:val="tx1"/>
            </w14:solidFill>
          </w14:textFill>
        </w:rPr>
        <w:t>.</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second part of this study focused on the serum level of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in HCC and whether it can be used as a significant biomarker. The data we obtained from qRT-PCR using the RQ of the serum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gene in comparing the three study groups from Table </w:t>
      </w:r>
      <w:r>
        <w:rPr>
          <w:rFonts w:ascii="Book Antiqua" w:hAnsi="Book Antiqua" w:cs="Book Antiqua"/>
          <w:color w:val="000000" w:themeColor="text1"/>
          <w:lang w:eastAsia="zh-CN"/>
          <w14:textFill>
            <w14:solidFill>
              <w14:schemeClr w14:val="tx1"/>
            </w14:solidFill>
          </w14:textFill>
        </w:rPr>
        <w:t>4</w:t>
      </w:r>
      <w:r>
        <w:rPr>
          <w:rFonts w:ascii="Book Antiqua" w:hAnsi="Book Antiqua" w:eastAsia="Book Antiqua" w:cs="Book Antiqua"/>
          <w:color w:val="000000" w:themeColor="text1"/>
          <w14:textFill>
            <w14:solidFill>
              <w14:schemeClr w14:val="tx1"/>
            </w14:solidFill>
          </w14:textFill>
        </w:rPr>
        <w:t xml:space="preserve"> and Figure 2</w:t>
      </w:r>
      <w:r>
        <w:rPr>
          <w:rFonts w:ascii="Book Antiqua" w:hAnsi="Book Antiqua" w:cs="Book Antiqua"/>
          <w:color w:val="000000" w:themeColor="text1"/>
          <w:lang w:eastAsia="zh-CN"/>
          <w14:textFill>
            <w14:solidFill>
              <w14:schemeClr w14:val="tx1"/>
            </w14:solidFill>
          </w14:textFill>
        </w:rPr>
        <w:t>B</w:t>
      </w:r>
      <w:r>
        <w:rPr>
          <w:rFonts w:ascii="Book Antiqua" w:hAnsi="Book Antiqua" w:eastAsia="Book Antiqua" w:cs="Book Antiqua"/>
          <w:color w:val="000000" w:themeColor="text1"/>
          <w14:textFill>
            <w14:solidFill>
              <w14:schemeClr w14:val="tx1"/>
            </w14:solidFill>
          </w14:textFill>
        </w:rPr>
        <w:t xml:space="preserve"> showed that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was 33.91 (IQR: 14.83–132.51) in the HCC group, 3.68 (IQR: 2.28–5.50) in the chronic liver infection group, and 0.84 (IQR: 0.76–0.99) in the control group with a highly significant </w:t>
      </w:r>
      <w:r>
        <w:rPr>
          <w:rFonts w:ascii="Book Antiqua" w:hAnsi="Book Antiqua" w:cs="Book Antiqua"/>
          <w:i/>
          <w:color w:val="000000" w:themeColor="text1"/>
          <w:lang w:eastAsia="zh-CN"/>
          <w14:textFill>
            <w14:solidFill>
              <w14:schemeClr w14:val="tx1"/>
            </w14:solidFill>
          </w14:textFill>
        </w:rPr>
        <w:t>P</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value (&lt;</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0.001). The ROC curve to assess the validity of the results of qRT-PCR of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in the serum to differentiate the HCC and chronic liver infection groups with the best cutoff value of ≥</w:t>
      </w:r>
      <w:r>
        <w:rPr>
          <w:rFonts w:ascii="Book Antiqua" w:hAnsi="Book Antiqua" w:cs="Book Antiqua"/>
          <w:color w:val="000000" w:themeColor="text1"/>
          <w:u w:val="single" w:color="000000"/>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7.89, sensitivity of 97.1%, and specificity of 100%</w:t>
      </w:r>
      <w:r>
        <w:rPr>
          <w:rFonts w:ascii="Book Antiqua" w:hAnsi="Book Antiqua" w:eastAsia="Book Antiqua" w:cs="Book Antiqua"/>
          <w:b/>
          <w:bCs/>
          <w:i/>
          <w:i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is shown in Figure 3</w:t>
      </w:r>
      <w:r>
        <w:rPr>
          <w:rFonts w:ascii="Book Antiqua" w:hAnsi="Book Antiqua" w:cs="Book Antiqua"/>
          <w:color w:val="000000" w:themeColor="text1"/>
          <w:lang w:eastAsia="zh-CN"/>
          <w14:textFill>
            <w14:solidFill>
              <w14:schemeClr w14:val="tx1"/>
            </w14:solidFill>
          </w14:textFill>
        </w:rPr>
        <w:t>B</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When we divided the groups into the </w:t>
      </w:r>
      <w:r>
        <w:rPr>
          <w:rFonts w:ascii="Book Antiqua" w:hAnsi="Book Antiqua" w:eastAsia="Book Antiqua" w:cs="Book Antiqua"/>
          <w:iCs/>
          <w:color w:val="000000" w:themeColor="text1"/>
          <w14:textFill>
            <w14:solidFill>
              <w14:schemeClr w14:val="tx1"/>
            </w14:solidFill>
          </w14:textFill>
        </w:rPr>
        <w:t>malignant and non-malignant</w:t>
      </w:r>
      <w:r>
        <w:rPr>
          <w:rFonts w:ascii="Book Antiqua" w:hAnsi="Book Antiqua" w:eastAsia="Book Antiqua" w:cs="Book Antiqua"/>
          <w:color w:val="000000" w:themeColor="text1"/>
          <w14:textFill>
            <w14:solidFill>
              <w14:schemeClr w14:val="tx1"/>
            </w14:solidFill>
          </w14:textFill>
        </w:rPr>
        <w:t xml:space="preserve"> groups, we found similar results (Figure 4). </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ROC curve to assess the validity of the RQ results of qRT-PCR of hsa-miR-519d in the serum among the </w:t>
      </w:r>
      <w:r>
        <w:rPr>
          <w:rFonts w:ascii="Book Antiqua" w:hAnsi="Book Antiqua" w:eastAsia="Book Antiqua" w:cs="Book Antiqua"/>
          <w:iCs/>
          <w:color w:val="000000" w:themeColor="text1"/>
          <w14:textFill>
            <w14:solidFill>
              <w14:schemeClr w14:val="tx1"/>
            </w14:solidFill>
          </w14:textFill>
        </w:rPr>
        <w:t>malignant and non-malignant groups</w:t>
      </w:r>
      <w:r>
        <w:rPr>
          <w:rFonts w:ascii="Book Antiqua" w:hAnsi="Book Antiqua" w:eastAsia="Book Antiqua" w:cs="Book Antiqua"/>
          <w:color w:val="000000" w:themeColor="text1"/>
          <w14:textFill>
            <w14:solidFill>
              <w14:schemeClr w14:val="tx1"/>
            </w14:solidFill>
          </w14:textFill>
        </w:rPr>
        <w:t xml:space="preserve"> with the best cutoff value of ≥</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8.34, sensitivity of 91.2% and specificity of 87.5%</w:t>
      </w:r>
      <w:r>
        <w:rPr>
          <w:rFonts w:ascii="Book Antiqua" w:hAnsi="Book Antiqua" w:eastAsia="Book Antiqua" w:cs="Book Antiqua"/>
          <w:b/>
          <w:bCs/>
          <w:i/>
          <w:i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is shown in</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Figure 4</w:t>
      </w:r>
      <w:r>
        <w:rPr>
          <w:rFonts w:ascii="Book Antiqua" w:hAnsi="Book Antiqua" w:cs="Book Antiqua"/>
          <w:color w:val="000000" w:themeColor="text1"/>
          <w:lang w:eastAsia="zh-CN"/>
          <w14:textFill>
            <w14:solidFill>
              <w14:schemeClr w14:val="tx1"/>
            </w14:solidFill>
          </w14:textFill>
        </w:rPr>
        <w:t>A</w:t>
      </w:r>
      <w:r>
        <w:rPr>
          <w:rFonts w:ascii="Book Antiqua" w:hAnsi="Book Antiqua" w:eastAsia="Book Antiqua" w:cs="Book Antiqua"/>
          <w:b/>
          <w:bCs/>
          <w:i/>
          <w:iCs/>
          <w:color w:val="000000" w:themeColor="text1"/>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The ROC curve to assess the validity of the RQ results of qRT-PCR of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in the serum among the </w:t>
      </w:r>
      <w:r>
        <w:rPr>
          <w:rFonts w:ascii="Book Antiqua" w:hAnsi="Book Antiqua" w:eastAsia="Book Antiqua" w:cs="Book Antiqua"/>
          <w:iCs/>
          <w:color w:val="000000" w:themeColor="text1"/>
          <w14:textFill>
            <w14:solidFill>
              <w14:schemeClr w14:val="tx1"/>
            </w14:solidFill>
          </w14:textFill>
        </w:rPr>
        <w:t>malignant and non-malignant groups</w:t>
      </w:r>
      <w:r>
        <w:rPr>
          <w:rFonts w:ascii="Book Antiqua" w:hAnsi="Book Antiqua" w:eastAsia="Book Antiqua" w:cs="Book Antiqua"/>
          <w:color w:val="000000" w:themeColor="text1"/>
          <w14:textFill>
            <w14:solidFill>
              <w14:schemeClr w14:val="tx1"/>
            </w14:solidFill>
          </w14:textFill>
        </w:rPr>
        <w:t xml:space="preserve"> with the best cutoff value of ≥</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7.89, sensitivity of 97.1%, and specificity of 100%</w:t>
      </w:r>
      <w:r>
        <w:rPr>
          <w:rFonts w:ascii="Book Antiqua" w:hAnsi="Book Antiqua" w:eastAsia="Book Antiqua" w:cs="Book Antiqua"/>
          <w:b/>
          <w:bCs/>
          <w:i/>
          <w:i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is shown in</w:t>
      </w:r>
      <w:r>
        <w:rPr>
          <w:rFonts w:ascii="Book Antiqua" w:hAnsi="Book Antiqua" w:eastAsia="Book Antiqua" w:cs="Book Antiqua"/>
          <w:b/>
          <w:bCs/>
          <w:i/>
          <w:i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Figure 4</w:t>
      </w:r>
      <w:r>
        <w:rPr>
          <w:rFonts w:ascii="Book Antiqua" w:hAnsi="Book Antiqua" w:cs="Book Antiqua"/>
          <w:color w:val="000000" w:themeColor="text1"/>
          <w:lang w:eastAsia="zh-CN"/>
          <w14:textFill>
            <w14:solidFill>
              <w14:schemeClr w14:val="tx1"/>
            </w14:solidFill>
          </w14:textFill>
        </w:rPr>
        <w:t>B</w:t>
      </w:r>
      <w:r>
        <w:rPr>
          <w:rFonts w:ascii="Book Antiqua" w:hAnsi="Book Antiqua" w:eastAsia="Book Antiqua" w:cs="Book Antiqua"/>
          <w:color w:val="000000" w:themeColor="text1"/>
          <w14:textFill>
            <w14:solidFill>
              <w14:schemeClr w14:val="tx1"/>
            </w14:solidFill>
          </w14:textFill>
        </w:rPr>
        <w:t xml:space="preserve">. </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Furthermore, in this study, AFP was 62.60 (IQR: 8.20–600.80) in the HCC group, 3.50 (IQR: 2.50–20.00) in the chronic liver infection group, and 0.70 (IQR: 0.50–1.00) in the control group (Table </w:t>
      </w:r>
      <w:r>
        <w:rPr>
          <w:rFonts w:ascii="Book Antiqua" w:hAnsi="Book Antiqua" w:cs="Book Antiqua"/>
          <w:color w:val="000000" w:themeColor="text1"/>
          <w:lang w:eastAsia="zh-CN"/>
          <w14:textFill>
            <w14:solidFill>
              <w14:schemeClr w14:val="tx1"/>
            </w14:solidFill>
          </w14:textFill>
        </w:rPr>
        <w:t>5</w:t>
      </w:r>
      <w:r>
        <w:rPr>
          <w:rFonts w:ascii="Book Antiqua" w:hAnsi="Book Antiqua" w:eastAsia="Book Antiqua" w:cs="Book Antiqua"/>
          <w:color w:val="000000" w:themeColor="text1"/>
          <w14:textFill>
            <w14:solidFill>
              <w14:schemeClr w14:val="tx1"/>
            </w14:solidFill>
          </w14:textFill>
        </w:rPr>
        <w:t xml:space="preserve">). These results show that AFP is elevated with high statistical significance in patients with HCC as compared to other groups, with a </w:t>
      </w:r>
      <w:r>
        <w:rPr>
          <w:rFonts w:ascii="Book Antiqua" w:hAnsi="Book Antiqua" w:cs="Book Antiqua"/>
          <w:i/>
          <w:iCs/>
          <w:color w:val="000000" w:themeColor="text1"/>
          <w:lang w:eastAsia="zh-CN"/>
          <w14:textFill>
            <w14:solidFill>
              <w14:schemeClr w14:val="tx1"/>
            </w14:solidFill>
          </w14:textFill>
        </w:rPr>
        <w:t xml:space="preserve">P </w:t>
      </w:r>
      <w:r>
        <w:rPr>
          <w:rFonts w:ascii="Book Antiqua" w:hAnsi="Book Antiqua" w:eastAsia="Book Antiqua" w:cs="Book Antiqua"/>
          <w:color w:val="000000" w:themeColor="text1"/>
          <w14:textFill>
            <w14:solidFill>
              <w14:schemeClr w14:val="tx1"/>
            </w14:solidFill>
          </w14:textFill>
        </w:rPr>
        <w:t>value of &lt;</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0.001. The constructed ROC curve to compare AFP results between the </w:t>
      </w:r>
      <w:r>
        <w:rPr>
          <w:rFonts w:ascii="Book Antiqua" w:hAnsi="Book Antiqua" w:eastAsia="Book Antiqua" w:cs="Book Antiqua"/>
          <w:iCs/>
          <w:color w:val="000000" w:themeColor="text1"/>
          <w14:textFill>
            <w14:solidFill>
              <w14:schemeClr w14:val="tx1"/>
            </w14:solidFill>
          </w14:textFill>
        </w:rPr>
        <w:t>HCC and chronic liver infection groups</w:t>
      </w:r>
      <w:r>
        <w:rPr>
          <w:rFonts w:ascii="Book Antiqua" w:hAnsi="Book Antiqua" w:eastAsia="Book Antiqua" w:cs="Book Antiqua"/>
          <w:color w:val="000000" w:themeColor="text1"/>
          <w14:textFill>
            <w14:solidFill>
              <w14:schemeClr w14:val="tx1"/>
            </w14:solidFill>
          </w14:textFill>
        </w:rPr>
        <w:t xml:space="preserve"> showed an area under the curve (AUC) of 0.794, with the best cutoff value of &gt;</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7.30 ng/mL, sensitivity of 76.5%, and specificity of 72.7% (Figure 5</w:t>
      </w:r>
      <w:r>
        <w:rPr>
          <w:rFonts w:ascii="Book Antiqua" w:hAnsi="Book Antiqua" w:cs="Book Antiqua"/>
          <w:color w:val="000000" w:themeColor="text1"/>
          <w:lang w:eastAsia="zh-CN"/>
          <w14:textFill>
            <w14:solidFill>
              <w14:schemeClr w14:val="tx1"/>
            </w14:solidFill>
          </w14:textFill>
        </w:rPr>
        <w:t>A</w:t>
      </w:r>
      <w:r>
        <w:rPr>
          <w:rFonts w:ascii="Book Antiqua" w:hAnsi="Book Antiqua" w:eastAsia="Book Antiqua" w:cs="Book Antiqua"/>
          <w:color w:val="000000" w:themeColor="text1"/>
          <w14:textFill>
            <w14:solidFill>
              <w14:schemeClr w14:val="tx1"/>
            </w14:solidFill>
          </w14:textFill>
        </w:rPr>
        <w:t xml:space="preserve">). Meanwhile, the ROC curve assessing the validity of AFP for differentiating between the </w:t>
      </w:r>
      <w:r>
        <w:rPr>
          <w:rFonts w:ascii="Book Antiqua" w:hAnsi="Book Antiqua" w:eastAsia="Book Antiqua" w:cs="Book Antiqua"/>
          <w:iCs/>
          <w:color w:val="000000" w:themeColor="text1"/>
          <w14:textFill>
            <w14:solidFill>
              <w14:schemeClr w14:val="tx1"/>
            </w14:solidFill>
          </w14:textFill>
        </w:rPr>
        <w:t>malignant and non-malignant</w:t>
      </w:r>
      <w:r>
        <w:rPr>
          <w:rFonts w:ascii="Book Antiqua" w:hAnsi="Book Antiqua" w:eastAsia="Book Antiqua" w:cs="Book Antiqua"/>
          <w:color w:val="000000" w:themeColor="text1"/>
          <w14:textFill>
            <w14:solidFill>
              <w14:schemeClr w14:val="tx1"/>
            </w14:solidFill>
          </w14:textFill>
        </w:rPr>
        <w:t xml:space="preserve"> groups showed an AUC of 0.854, with the best cutoff value of &gt;</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7.30, sensitivity of 76.5%, and specificity of 81.2% (Figure 5</w:t>
      </w:r>
      <w:r>
        <w:rPr>
          <w:rFonts w:ascii="Book Antiqua" w:hAnsi="Book Antiqua" w:cs="Book Antiqua"/>
          <w:color w:val="000000" w:themeColor="text1"/>
          <w:lang w:eastAsia="zh-CN"/>
          <w14:textFill>
            <w14:solidFill>
              <w14:schemeClr w14:val="tx1"/>
            </w14:solidFill>
          </w14:textFill>
        </w:rPr>
        <w:t>B</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Most patients had early-stage HCC, except for three patients. The full details of the radiological findings are presented in Table </w:t>
      </w:r>
      <w:r>
        <w:rPr>
          <w:rFonts w:ascii="Book Antiqua" w:hAnsi="Book Antiqua" w:cs="Book Antiqua"/>
          <w:color w:val="000000" w:themeColor="text1"/>
          <w:lang w:eastAsia="zh-CN"/>
          <w14:textFill>
            <w14:solidFill>
              <w14:schemeClr w14:val="tx1"/>
            </w14:solidFill>
          </w14:textFill>
        </w:rPr>
        <w:t>6</w:t>
      </w:r>
      <w:r>
        <w:rPr>
          <w:rFonts w:ascii="Book Antiqua" w:hAnsi="Book Antiqua" w:eastAsia="Book Antiqua" w:cs="Book Antiqua"/>
          <w:color w:val="000000" w:themeColor="text1"/>
          <w14:textFill>
            <w14:solidFill>
              <w14:schemeClr w14:val="tx1"/>
            </w14:solidFill>
          </w14:textFill>
        </w:rPr>
        <w:t xml:space="preserve">. </w:t>
      </w:r>
    </w:p>
    <w:p>
      <w:pPr>
        <w:spacing w:line="360" w:lineRule="auto"/>
        <w:ind w:firstLine="720"/>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DISCUSSION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Our results suggest that hsa-miR-519d-3p is upregulated in the serum of the HCC group compared with the chronic liver disease and healthy control groups, with high sensitivity and specificity as a diagnostic marker. Similar results were observed by Fornari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[18]</w:t>
      </w:r>
      <w:r>
        <w:rPr>
          <w:rFonts w:ascii="Book Antiqua" w:hAnsi="Book Antiqua" w:eastAsia="Book Antiqua" w:cs="Book Antiqua"/>
          <w:color w:val="000000" w:themeColor="text1"/>
          <w14:textFill>
            <w14:solidFill>
              <w14:schemeClr w14:val="tx1"/>
            </w14:solidFill>
          </w14:textFill>
        </w:rPr>
        <w:t xml:space="preserve">, where the miRNA was upregulated and considered an HCC oncogene. The study linked our target miRNA to DNA hypomethylation and p53, both of which are responsible for cell death and apoptosis. However, a recent study by Zhang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[19]</w:t>
      </w:r>
      <w:r>
        <w:rPr>
          <w:rFonts w:ascii="Book Antiqua" w:hAnsi="Book Antiqua" w:eastAsia="Book Antiqua" w:cs="Book Antiqua"/>
          <w:color w:val="000000" w:themeColor="text1"/>
          <w14:textFill>
            <w14:solidFill>
              <w14:schemeClr w14:val="tx1"/>
            </w14:solidFill>
          </w14:textFill>
        </w:rPr>
        <w:t xml:space="preserve"> has linked miR-519d to the adenosine monophosphate-activated protein kinase pathway in HCC cells, regulating cellular energy metabolism by controlling the Ras-related protein (Rab10)</w:t>
      </w:r>
      <w:r>
        <w:rPr>
          <w:rFonts w:ascii="Book Antiqua" w:hAnsi="Book Antiqua" w:eastAsia="Book Antiqua" w:cs="Book Antiqua"/>
          <w:color w:val="000000" w:themeColor="text1"/>
          <w:vertAlign w:val="superscript"/>
          <w14:textFill>
            <w14:solidFill>
              <w14:schemeClr w14:val="tx1"/>
            </w14:solidFill>
          </w14:textFill>
        </w:rPr>
        <w:t>[19]</w:t>
      </w:r>
      <w:r>
        <w:rPr>
          <w:rFonts w:ascii="Book Antiqua" w:hAnsi="Book Antiqua" w:eastAsia="Book Antiqua" w:cs="Book Antiqua"/>
          <w:color w:val="000000" w:themeColor="text1"/>
          <w14:textFill>
            <w14:solidFill>
              <w14:schemeClr w14:val="tx1"/>
            </w14:solidFill>
          </w14:textFill>
        </w:rPr>
        <w:t xml:space="preserve">. A recent study has raised the hope of inducing autophagy in hepatoma cells by the administration of metformin through the activation of the mechanistic target of </w:t>
      </w:r>
      <w:r>
        <w:rPr>
          <w:rFonts w:ascii="Book Antiqua" w:hAnsi="Book Antiqua" w:eastAsia="Book Antiqua" w:cs="Book Antiqua"/>
          <w:color w:val="000000" w:themeColor="text1"/>
          <w:u w:color="0000EE"/>
          <w14:textFill>
            <w14:solidFill>
              <w14:schemeClr w14:val="tx1"/>
            </w14:solidFill>
          </w14:textFill>
        </w:rPr>
        <w:t>rapamycin</w:t>
      </w:r>
      <w:r>
        <w:rPr>
          <w:rFonts w:ascii="Book Antiqua" w:hAnsi="Book Antiqua" w:eastAsia="Book Antiqua" w:cs="Book Antiqua"/>
          <w:color w:val="000000" w:themeColor="text1"/>
          <w14:textFill>
            <w14:solidFill>
              <w14:schemeClr w14:val="tx1"/>
            </w14:solidFill>
          </w14:textFill>
        </w:rPr>
        <w:t xml:space="preserve"> pathway</w:t>
      </w:r>
      <w:r>
        <w:rPr>
          <w:rFonts w:ascii="Book Antiqua" w:hAnsi="Book Antiqua" w:eastAsia="Book Antiqua" w:cs="Book Antiqua"/>
          <w:color w:val="000000" w:themeColor="text1"/>
          <w:vertAlign w:val="superscript"/>
          <w14:textFill>
            <w14:solidFill>
              <w14:schemeClr w14:val="tx1"/>
            </w14:solidFill>
          </w14:textFill>
        </w:rPr>
        <w:t>[20]</w:t>
      </w:r>
      <w:r>
        <w:rPr>
          <w:rFonts w:ascii="Book Antiqua" w:hAnsi="Book Antiqua" w:eastAsia="Book Antiqua" w:cs="Book Antiqua"/>
          <w:color w:val="000000" w:themeColor="text1"/>
          <w14:textFill>
            <w14:solidFill>
              <w14:schemeClr w14:val="tx1"/>
            </w14:solidFill>
          </w14:textFill>
        </w:rPr>
        <w:t>. Alternatively, patients with colorectal cancer had improved survival and lower metastasis with upregulated miR-519d-3p by regulating trophinin-associated protein</w:t>
      </w:r>
      <w:r>
        <w:rPr>
          <w:rFonts w:ascii="Book Antiqua" w:hAnsi="Book Antiqua" w:eastAsia="Book Antiqua" w:cs="Book Antiqua"/>
          <w:color w:val="000000" w:themeColor="text1"/>
          <w:vertAlign w:val="superscript"/>
          <w14:textFill>
            <w14:solidFill>
              <w14:schemeClr w14:val="tx1"/>
            </w14:solidFill>
          </w14:textFill>
        </w:rPr>
        <w:t>[11]</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This study on serum mRNA of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revealed significant upregulation of its serum level in the HCC group as compared to the levels in the chronic liver disease and healthy control groups. Thus, our results mean that mRNA of </w:t>
      </w:r>
      <w:r>
        <w:rPr>
          <w:rFonts w:ascii="Book Antiqua" w:hAnsi="Book Antiqua" w:eastAsia="Book Antiqua" w:cs="Book Antiqua"/>
          <w:i/>
          <w:iCs/>
          <w:color w:val="000000" w:themeColor="text1"/>
          <w14:textFill>
            <w14:solidFill>
              <w14:schemeClr w14:val="tx1"/>
            </w14:solidFill>
          </w14:textFill>
        </w:rPr>
        <w:t xml:space="preserve">SQSTM1 </w:t>
      </w:r>
      <w:r>
        <w:rPr>
          <w:rFonts w:ascii="Book Antiqua" w:hAnsi="Book Antiqua" w:eastAsia="Book Antiqua" w:cs="Book Antiqua"/>
          <w:color w:val="000000" w:themeColor="text1"/>
          <w14:textFill>
            <w14:solidFill>
              <w14:schemeClr w14:val="tx1"/>
            </w14:solidFill>
          </w14:textFill>
        </w:rPr>
        <w:t xml:space="preserve">is upregulated in the </w:t>
      </w:r>
      <w:r>
        <w:rPr>
          <w:rFonts w:ascii="Book Antiqua" w:hAnsi="Book Antiqua" w:eastAsia="Book Antiqua" w:cs="Book Antiqua"/>
          <w:iCs/>
          <w:color w:val="000000" w:themeColor="text1"/>
          <w14:textFill>
            <w14:solidFill>
              <w14:schemeClr w14:val="tx1"/>
            </w14:solidFill>
          </w14:textFill>
        </w:rPr>
        <w:t>serum</w:t>
      </w:r>
      <w:r>
        <w:rPr>
          <w:rFonts w:ascii="Book Antiqua" w:hAnsi="Book Antiqua" w:eastAsia="Book Antiqua" w:cs="Book Antiqua"/>
          <w:color w:val="000000" w:themeColor="text1"/>
          <w14:textFill>
            <w14:solidFill>
              <w14:schemeClr w14:val="tx1"/>
            </w14:solidFill>
          </w14:textFill>
        </w:rPr>
        <w:t xml:space="preserve"> of patients with HCC</w:t>
      </w:r>
      <w:r>
        <w:rPr>
          <w:rFonts w:ascii="Book Antiqua" w:hAnsi="Book Antiqua" w:eastAsia="Book Antiqua" w:cs="Book Antiqua"/>
          <w:i/>
          <w:iCs/>
          <w:color w:val="000000" w:themeColor="text1"/>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This is compared to the findings of Xiang </w:t>
      </w:r>
      <w:r>
        <w:rPr>
          <w:rFonts w:ascii="Book Antiqua" w:hAnsi="Book Antiqua" w:eastAsia="Book Antiqua" w:cs="Book Antiqua"/>
          <w:i/>
          <w:iCs/>
          <w:color w:val="000000" w:themeColor="text1"/>
          <w14:textFill>
            <w14:solidFill>
              <w14:schemeClr w14:val="tx1"/>
            </w14:solidFill>
          </w14:textFill>
        </w:rPr>
        <w:t>et al</w:t>
      </w:r>
      <w:r>
        <w:rPr>
          <w:rFonts w:ascii="Book Antiqua" w:hAnsi="Book Antiqua" w:eastAsia="Book Antiqua" w:cs="Book Antiqua"/>
          <w:color w:val="000000" w:themeColor="text1"/>
          <w:vertAlign w:val="superscript"/>
          <w14:textFill>
            <w14:solidFill>
              <w14:schemeClr w14:val="tx1"/>
            </w14:solidFill>
          </w14:textFill>
        </w:rPr>
        <w:t>[21]</w:t>
      </w:r>
      <w:r>
        <w:rPr>
          <w:rFonts w:ascii="Book Antiqua" w:hAnsi="Book Antiqua" w:eastAsia="Book Antiqua" w:cs="Book Antiqua"/>
          <w:color w:val="000000" w:themeColor="text1"/>
          <w14:textFill>
            <w14:solidFill>
              <w14:schemeClr w14:val="tx1"/>
            </w14:solidFill>
          </w14:textFill>
        </w:rPr>
        <w:t xml:space="preserve"> who have found higher expression levels of the encoded protein p62 in hepatoma cells of patients with hepatitis B infection or those exposed to aflatoxin B1</w:t>
      </w:r>
      <w:r>
        <w:rPr>
          <w:rFonts w:ascii="Book Antiqua" w:hAnsi="Book Antiqua" w:eastAsia="Book Antiqua" w:cs="Book Antiqua"/>
          <w:color w:val="000000" w:themeColor="text1"/>
          <w:vertAlign w:val="superscript"/>
          <w14:textFill>
            <w14:solidFill>
              <w14:schemeClr w14:val="tx1"/>
            </w14:solidFill>
          </w14:textFill>
        </w:rPr>
        <w:t>[21]</w:t>
      </w:r>
      <w:r>
        <w:rPr>
          <w:rFonts w:ascii="Book Antiqua" w:hAnsi="Book Antiqua" w:eastAsia="Book Antiqua" w:cs="Book Antiqua"/>
          <w:color w:val="000000" w:themeColor="text1"/>
          <w14:textFill>
            <w14:solidFill>
              <w14:schemeClr w14:val="tx1"/>
            </w14:solidFill>
          </w14:textFill>
        </w:rPr>
        <w:t xml:space="preserve">, whereas our study population was mostly infected with hepatitis C virus. </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gene is responsible for coding p62. This protein plays an important role as a receptor in selective autophagy, where specific cell organelles or proteins are degraded selectively by autophagosomes</w:t>
      </w:r>
      <w:r>
        <w:rPr>
          <w:rFonts w:ascii="Book Antiqua" w:hAnsi="Book Antiqua" w:eastAsia="Book Antiqua" w:cs="Book Antiqua"/>
          <w:color w:val="000000" w:themeColor="text1"/>
          <w:vertAlign w:val="superscript"/>
          <w14:textFill>
            <w14:solidFill>
              <w14:schemeClr w14:val="tx1"/>
            </w14:solidFill>
          </w14:textFill>
        </w:rPr>
        <w:t>[22,23]</w:t>
      </w:r>
      <w:r>
        <w:rPr>
          <w:rFonts w:ascii="Book Antiqua" w:hAnsi="Book Antiqua" w:eastAsia="Book Antiqua" w:cs="Book Antiqua"/>
          <w:color w:val="000000" w:themeColor="text1"/>
          <w14:textFill>
            <w14:solidFill>
              <w14:schemeClr w14:val="tx1"/>
            </w14:solidFill>
          </w14:textFill>
        </w:rPr>
        <w:t>. This ubiquitin-binding receptor protein is upregulated in early-stage HCC, as it is responsible for the maintenance of cancerous cells and their survival during stress</w:t>
      </w:r>
      <w:r>
        <w:rPr>
          <w:rFonts w:ascii="Book Antiqua" w:hAnsi="Book Antiqua" w:eastAsia="Book Antiqua" w:cs="Book Antiqua"/>
          <w:color w:val="000000" w:themeColor="text1"/>
          <w:vertAlign w:val="superscript"/>
          <w14:textFill>
            <w14:solidFill>
              <w14:schemeClr w14:val="tx1"/>
            </w14:solidFill>
          </w14:textFill>
        </w:rPr>
        <w:t>[24]</w:t>
      </w:r>
      <w:r>
        <w:rPr>
          <w:rFonts w:ascii="Book Antiqua" w:hAnsi="Book Antiqua" w:eastAsia="Book Antiqua" w:cs="Book Antiqua"/>
          <w:color w:val="000000" w:themeColor="text1"/>
          <w14:textFill>
            <w14:solidFill>
              <w14:schemeClr w14:val="tx1"/>
            </w14:solidFill>
          </w14:textFill>
        </w:rPr>
        <w:t>.</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In addition, our results show that hsa-miR-519d-3p is upregulated, synchronously with the upregulation of the mRNA of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this made us deduce that miRNA 519d stimulates the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gene and increases the expression of its transcribed mRNA, not just increasing its translated protein level (p62) as previous studies have detected. In this study, we could not define the mechanism by which miR-519d-3p upregulates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but we have identified that the gene is upregulated at the transcriptional level, </w:t>
      </w:r>
      <w:r>
        <w:rPr>
          <w:rFonts w:ascii="Book Antiqua" w:hAnsi="Book Antiqua" w:eastAsia="Book Antiqua" w:cs="Book Antiqua"/>
          <w:b/>
          <w:bCs/>
          <w:i/>
          <w:iCs/>
          <w:color w:val="000000" w:themeColor="text1"/>
          <w14:textFill>
            <w14:solidFill>
              <w14:schemeClr w14:val="tx1"/>
            </w14:solidFill>
          </w14:textFill>
        </w:rPr>
        <w:t>not</w:t>
      </w:r>
      <w:r>
        <w:rPr>
          <w:rFonts w:ascii="Book Antiqua" w:hAnsi="Book Antiqua" w:eastAsia="Book Antiqua" w:cs="Book Antiqua"/>
          <w:color w:val="000000" w:themeColor="text1"/>
          <w14:textFill>
            <w14:solidFill>
              <w14:schemeClr w14:val="tx1"/>
            </w14:solidFill>
          </w14:textFill>
        </w:rPr>
        <w:t xml:space="preserve"> at the post-transcriptional level. Besides, we can conclude that miR-519d-3p can affect autophagy and induce the progression of HCC through the targeted upregulation of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w:t>
      </w:r>
    </w:p>
    <w:p>
      <w:pPr>
        <w:spacing w:line="360" w:lineRule="auto"/>
        <w:ind w:firstLine="480" w:firstLineChars="200"/>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In addition to these results, the sensitivity and specificity of hsa-miR-519d-3p, the mRNA of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and AFP were 91.2%–81.8%, 97.1%–100%, and 76.5%–72.7%, respectively. Also, the best cutoff values of the three parameters were ≥</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8.34 for miR-519d, ≥</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7.89 for the mRNA of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and ≥</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7.30 for AFP. Our results showed that miR-519d and the mRNA of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showed higher sensitivity and specificity than AFP, with better detection of early-stage HCC cases; thus can be used as diagnostic biomarkers for early HCC, improving the HCC outcome and prognosis. Moreover, when we compared the HCC group with the chronic liver disease group only or with the combined group of both patients with chronic liver disease and healthy subjects (malignant and non-malignant groups), we found similar results in both categories regarding hsa-miR-519d-3p, the mRNA of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and AFP. </w:t>
      </w:r>
    </w:p>
    <w:p>
      <w:pPr>
        <w:spacing w:line="360" w:lineRule="auto"/>
        <w:ind w:firstLine="720"/>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CONCLUSION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We are the first to establish a link between hsa-miR-519d-3p and the mRNA of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in HCC. Hsa-miR-519d-3p and the mRNA of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could be used in the diagnosis of HCC in its early stages. Further studies are needed to detect levels of miR-519d-3p and the mRNA of </w:t>
      </w:r>
      <w:r>
        <w:rPr>
          <w:rFonts w:ascii="Book Antiqua" w:hAnsi="Book Antiqua" w:eastAsia="Book Antiqua" w:cs="Book Antiqua"/>
          <w:i/>
          <w:iCs/>
          <w:color w:val="000000" w:themeColor="text1"/>
          <w14:textFill>
            <w14:solidFill>
              <w14:schemeClr w14:val="tx1"/>
            </w14:solidFill>
          </w14:textFill>
        </w:rPr>
        <w:t xml:space="preserve">SQSTM1 </w:t>
      </w:r>
      <w:r>
        <w:rPr>
          <w:rFonts w:ascii="Book Antiqua" w:hAnsi="Book Antiqua" w:eastAsia="Book Antiqua" w:cs="Book Antiqua"/>
          <w:color w:val="000000" w:themeColor="text1"/>
          <w14:textFill>
            <w14:solidFill>
              <w14:schemeClr w14:val="tx1"/>
            </w14:solidFill>
          </w14:textFill>
        </w:rPr>
        <w:t>before and after various modalities of treatment to assess their ability to monitor treatment responses and detect recurrences.</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Multicentric studies with more variability to validate the use of miR-519d-3P and the mRNA of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as diagnostic biomarkers of HCC on a wide scale are needed.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ARTICLE HIGHLIGHTS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background</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Autophagy is one of the pathways affected in hepatocellular carcinoma</w:t>
      </w:r>
      <w:r>
        <w:rPr>
          <w:rFonts w:ascii="Book Antiqua" w:hAnsi="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HCC</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Genetic regulation of this pathway through the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gene was established. Autophagy is responsible for the destruction of cellular components through lysosomal degradation. This process is responsible for cellular recycling and preservation. It protects from cancerous transformation, thus any imbalance in this mechanism will increase the risk of cancer.</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motivation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We aimed to establish the </w:t>
      </w:r>
      <w:r>
        <w:rPr>
          <w:rFonts w:ascii="Book Antiqua" w:hAnsi="Book Antiqua" w:cs="Book Antiqua"/>
          <w:color w:val="000000" w:themeColor="text1"/>
          <w:lang w:eastAsia="zh-CN"/>
          <w14:textFill>
            <w14:solidFill>
              <w14:schemeClr w14:val="tx1"/>
            </w14:solidFill>
          </w14:textFill>
        </w:rPr>
        <w:t>g</w:t>
      </w:r>
      <w:r>
        <w:rPr>
          <w:rFonts w:ascii="Book Antiqua" w:hAnsi="Book Antiqua" w:eastAsia="Book Antiqua" w:cs="Book Antiqua"/>
          <w:color w:val="000000" w:themeColor="text1"/>
          <w14:textFill>
            <w14:solidFill>
              <w14:schemeClr w14:val="tx1"/>
            </w14:solidFill>
          </w14:textFill>
        </w:rPr>
        <w:t>enetic-epigenetic-phenotypic pathway related to the autophagic process in the pathogenesis of HCC and whether these studied biomarkers could be used as surrogate diagnostic markers for autophagy pathway in HCC.</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objectives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We examined hsa-miR-519d microRNA effect on HCC and its association with the </w:t>
      </w:r>
      <w:r>
        <w:rPr>
          <w:rFonts w:ascii="Book Antiqua" w:hAnsi="Book Antiqua" w:eastAsia="Book Antiqua" w:cs="Book Antiqua"/>
          <w:i/>
          <w:iCs/>
          <w:color w:val="000000" w:themeColor="text1"/>
          <w14:textFill>
            <w14:solidFill>
              <w14:schemeClr w14:val="tx1"/>
            </w14:solidFill>
          </w14:textFill>
        </w:rPr>
        <w:t>SQSTM1</w:t>
      </w:r>
      <w:r>
        <w:rPr>
          <w:rFonts w:ascii="Book Antiqua" w:hAnsi="Book Antiqua" w:eastAsia="Book Antiqua" w:cs="Book Antiqua"/>
          <w:color w:val="000000" w:themeColor="text1"/>
          <w14:textFill>
            <w14:solidFill>
              <w14:schemeClr w14:val="tx1"/>
            </w14:solidFill>
          </w14:textFill>
        </w:rPr>
        <w:t xml:space="preserve"> genetic marker. We also examined the sensitivity and specificity of those biomarkers in the diagnosis of early-stage HCC cases.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methods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This is an observational study. We evaluated the candidate biomarkers through bioinformatics, and after establishing a computational statistical relation, we proceeded with their clinical association through laboratory validation. We measured the genetic and epigenetic biomarkers in the serum samples taken from HCC patients, chronic liver disease patients, and healthy participants. We used </w:t>
      </w:r>
      <w:r>
        <w:rPr>
          <w:rFonts w:ascii="Book Antiqua" w:hAnsi="Book Antiqua" w:cs="Book Antiqua"/>
          <w:bCs/>
          <w:color w:val="000000" w:themeColor="text1"/>
          <w:lang w:eastAsia="zh-CN"/>
          <w14:textFill>
            <w14:solidFill>
              <w14:schemeClr w14:val="tx1"/>
            </w14:solidFill>
          </w14:textFill>
        </w:rPr>
        <w:t>r</w:t>
      </w:r>
      <w:r>
        <w:rPr>
          <w:rFonts w:ascii="Book Antiqua" w:hAnsi="Book Antiqua" w:eastAsia="Book Antiqua" w:cs="Book Antiqua"/>
          <w:bCs/>
          <w:color w:val="000000" w:themeColor="text1"/>
          <w14:textFill>
            <w14:solidFill>
              <w14:schemeClr w14:val="tx1"/>
            </w14:solidFill>
          </w14:textFill>
        </w:rPr>
        <w:t xml:space="preserve">everse transcription-polymerase chain reaction and </w:t>
      </w:r>
      <w:r>
        <w:rPr>
          <w:rFonts w:ascii="Book Antiqua" w:hAnsi="Book Antiqua" w:cs="Book Antiqua"/>
          <w:bCs/>
          <w:color w:val="000000" w:themeColor="text1"/>
          <w:lang w:eastAsia="zh-CN"/>
          <w14:textFill>
            <w14:solidFill>
              <w14:schemeClr w14:val="tx1"/>
            </w14:solidFill>
          </w14:textFill>
        </w:rPr>
        <w:t>q</w:t>
      </w:r>
      <w:r>
        <w:rPr>
          <w:rFonts w:ascii="Book Antiqua" w:hAnsi="Book Antiqua" w:eastAsia="Book Antiqua" w:cs="Book Antiqua"/>
          <w:bCs/>
          <w:color w:val="000000" w:themeColor="text1"/>
          <w14:textFill>
            <w14:solidFill>
              <w14:schemeClr w14:val="tx1"/>
            </w14:solidFill>
          </w14:textFill>
        </w:rPr>
        <w:t xml:space="preserve">uantitative </w:t>
      </w:r>
      <w:r>
        <w:rPr>
          <w:rFonts w:ascii="Book Antiqua" w:hAnsi="Book Antiqua" w:cs="Book Antiqua"/>
          <w:bCs/>
          <w:color w:val="000000" w:themeColor="text1"/>
          <w:lang w:eastAsia="zh-CN"/>
          <w14:textFill>
            <w14:solidFill>
              <w14:schemeClr w14:val="tx1"/>
            </w14:solidFill>
          </w14:textFill>
        </w:rPr>
        <w:t>r</w:t>
      </w:r>
      <w:r>
        <w:rPr>
          <w:rFonts w:ascii="Book Antiqua" w:hAnsi="Book Antiqua" w:eastAsia="Book Antiqua" w:cs="Book Antiqua"/>
          <w:bCs/>
          <w:color w:val="000000" w:themeColor="text1"/>
          <w14:textFill>
            <w14:solidFill>
              <w14:schemeClr w14:val="tx1"/>
            </w14:solidFill>
          </w14:textFill>
        </w:rPr>
        <w:t xml:space="preserve">everse transcription-polymerase chain reaction.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results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We determined the sensitivity and specificity of each biomarker separately and combined as compared to the established al</w:t>
      </w:r>
      <w:r>
        <w:rPr>
          <w:rFonts w:ascii="Book Antiqua" w:hAnsi="Book Antiqua" w:cs="Book Antiqua"/>
          <w:color w:val="000000" w:themeColor="text1"/>
          <w:lang w:eastAsia="zh-CN"/>
          <w14:textFill>
            <w14:solidFill>
              <w14:schemeClr w14:val="tx1"/>
            </w14:solidFill>
          </w14:textFill>
        </w:rPr>
        <w:t>ph</w:t>
      </w:r>
      <w:r>
        <w:rPr>
          <w:rFonts w:ascii="Book Antiqua" w:hAnsi="Book Antiqua" w:eastAsia="Book Antiqua" w:cs="Book Antiqua"/>
          <w:color w:val="000000" w:themeColor="text1"/>
          <w14:textFill>
            <w14:solidFill>
              <w14:schemeClr w14:val="tx1"/>
            </w14:solidFill>
          </w14:textFill>
        </w:rPr>
        <w:t>a</w:t>
      </w:r>
      <w:r>
        <w:rPr>
          <w:rFonts w:ascii="Book Antiqua" w:hAnsi="Book Antiqua"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fetoprotein</w:t>
      </w:r>
      <w:r>
        <w:rPr>
          <w:rFonts w:ascii="Book Antiqua" w:hAnsi="Book Antiqua" w:cs="Book Antiqua"/>
          <w:color w:val="000000" w:themeColor="text1"/>
          <w:lang w:eastAsia="zh-CN"/>
          <w14:textFill>
            <w14:solidFill>
              <w14:schemeClr w14:val="tx1"/>
            </w14:solidFill>
          </w14:textFill>
        </w:rPr>
        <w:t xml:space="preserve"> (AFP)</w:t>
      </w:r>
      <w:r>
        <w:rPr>
          <w:rFonts w:ascii="Book Antiqua" w:hAnsi="Book Antiqua" w:eastAsia="Book Antiqua" w:cs="Book Antiqua"/>
          <w:color w:val="000000" w:themeColor="text1"/>
          <w14:textFill>
            <w14:solidFill>
              <w14:schemeClr w14:val="tx1"/>
            </w14:solidFill>
          </w14:textFill>
        </w:rPr>
        <w:t xml:space="preserve"> biomarker. We found that all the studied biomarkers in our study have better sensitivity and specificity than </w:t>
      </w:r>
      <w:r>
        <w:rPr>
          <w:rFonts w:ascii="Book Antiqua" w:hAnsi="Book Antiqua" w:cs="Book Antiqua"/>
          <w:color w:val="000000" w:themeColor="text1"/>
          <w:lang w:eastAsia="zh-CN"/>
          <w14:textFill>
            <w14:solidFill>
              <w14:schemeClr w14:val="tx1"/>
            </w14:solidFill>
          </w14:textFill>
        </w:rPr>
        <w:t>AFP,</w:t>
      </w:r>
      <w:r>
        <w:rPr>
          <w:rFonts w:ascii="Book Antiqua" w:hAnsi="Book Antiqua" w:eastAsia="Book Antiqua" w:cs="Book Antiqua"/>
          <w:color w:val="000000" w:themeColor="text1"/>
          <w14:textFill>
            <w14:solidFill>
              <w14:schemeClr w14:val="tx1"/>
            </w14:solidFill>
          </w14:textFill>
        </w:rPr>
        <w:t xml:space="preserve"> when used separately or combined, at the diagnosis of early-stage HCC.</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conclusions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We could use the autophagy pathway biomarkers in the early-stage HCC diagnosis.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Research perspectives</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More autophagy biomarkers could be examined using first </w:t>
      </w:r>
      <w:r>
        <w:rPr>
          <w:rFonts w:ascii="Book Antiqua" w:hAnsi="Book Antiqua" w:eastAsia="Book Antiqua" w:cs="Book Antiqua"/>
          <w:i/>
          <w:iCs/>
          <w:color w:val="000000" w:themeColor="text1"/>
          <w14:textFill>
            <w14:solidFill>
              <w14:schemeClr w14:val="tx1"/>
            </w14:solidFill>
          </w14:textFill>
        </w:rPr>
        <w:t>in silico</w:t>
      </w:r>
      <w:r>
        <w:rPr>
          <w:rFonts w:ascii="Book Antiqua" w:hAnsi="Book Antiqua" w:eastAsia="Book Antiqua" w:cs="Book Antiqua"/>
          <w:color w:val="000000" w:themeColor="text1"/>
          <w14:textFill>
            <w14:solidFill>
              <w14:schemeClr w14:val="tx1"/>
            </w14:solidFill>
          </w14:textFill>
        </w:rPr>
        <w:t xml:space="preserve"> analysis then clinical laboratory confirmation. Combining computational and clinical validations in clinical studies could benefit the research process immensely.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REFERENCES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 </w:t>
      </w:r>
      <w:r>
        <w:rPr>
          <w:rFonts w:ascii="Book Antiqua" w:hAnsi="Book Antiqua" w:eastAsia="Book Antiqua" w:cs="Book Antiqua"/>
          <w:b/>
          <w:bCs/>
          <w:color w:val="000000" w:themeColor="text1"/>
          <w14:textFill>
            <w14:solidFill>
              <w14:schemeClr w14:val="tx1"/>
            </w14:solidFill>
          </w14:textFill>
        </w:rPr>
        <w:t>Levine B</w:t>
      </w:r>
      <w:r>
        <w:rPr>
          <w:rFonts w:ascii="Book Antiqua" w:hAnsi="Book Antiqua" w:eastAsia="Book Antiqua" w:cs="Book Antiqua"/>
          <w:color w:val="000000" w:themeColor="text1"/>
          <w14:textFill>
            <w14:solidFill>
              <w14:schemeClr w14:val="tx1"/>
            </w14:solidFill>
          </w14:textFill>
        </w:rPr>
        <w:t xml:space="preserve">, Kroemer G. Biological Functions of Autophagy Genes: A Disease Perspective. </w:t>
      </w:r>
      <w:r>
        <w:rPr>
          <w:rFonts w:ascii="Book Antiqua" w:hAnsi="Book Antiqua" w:eastAsia="Book Antiqua" w:cs="Book Antiqua"/>
          <w:i/>
          <w:iCs/>
          <w:color w:val="000000" w:themeColor="text1"/>
          <w14:textFill>
            <w14:solidFill>
              <w14:schemeClr w14:val="tx1"/>
            </w14:solidFill>
          </w14:textFill>
        </w:rPr>
        <w:t>Cell</w:t>
      </w:r>
      <w:r>
        <w:rPr>
          <w:rFonts w:ascii="Book Antiqua" w:hAnsi="Book Antiqua" w:eastAsia="Book Antiqua" w:cs="Book Antiqua"/>
          <w:color w:val="000000" w:themeColor="text1"/>
          <w14:textFill>
            <w14:solidFill>
              <w14:schemeClr w14:val="tx1"/>
            </w14:solidFill>
          </w14:textFill>
        </w:rPr>
        <w:t xml:space="preserve"> 2019; </w:t>
      </w:r>
      <w:r>
        <w:rPr>
          <w:rFonts w:ascii="Book Antiqua" w:hAnsi="Book Antiqua" w:eastAsia="Book Antiqua" w:cs="Book Antiqua"/>
          <w:b/>
          <w:bCs/>
          <w:color w:val="000000" w:themeColor="text1"/>
          <w14:textFill>
            <w14:solidFill>
              <w14:schemeClr w14:val="tx1"/>
            </w14:solidFill>
          </w14:textFill>
        </w:rPr>
        <w:t>176</w:t>
      </w:r>
      <w:r>
        <w:rPr>
          <w:rFonts w:ascii="Book Antiqua" w:hAnsi="Book Antiqua" w:eastAsia="Book Antiqua" w:cs="Book Antiqua"/>
          <w:color w:val="000000" w:themeColor="text1"/>
          <w14:textFill>
            <w14:solidFill>
              <w14:schemeClr w14:val="tx1"/>
            </w14:solidFill>
          </w14:textFill>
        </w:rPr>
        <w:t>: 11-42 [PMID: 30633901 DOI: 10.1016/j.cell.2018.09.048]</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 </w:t>
      </w:r>
      <w:r>
        <w:rPr>
          <w:rFonts w:ascii="Book Antiqua" w:hAnsi="Book Antiqua" w:eastAsia="Book Antiqua" w:cs="Book Antiqua"/>
          <w:b/>
          <w:bCs/>
          <w:color w:val="000000" w:themeColor="text1"/>
          <w14:textFill>
            <w14:solidFill>
              <w14:schemeClr w14:val="tx1"/>
            </w14:solidFill>
          </w14:textFill>
        </w:rPr>
        <w:t>Dikic I</w:t>
      </w:r>
      <w:r>
        <w:rPr>
          <w:rFonts w:ascii="Book Antiqua" w:hAnsi="Book Antiqua" w:eastAsia="Book Antiqua" w:cs="Book Antiqua"/>
          <w:color w:val="000000" w:themeColor="text1"/>
          <w14:textFill>
            <w14:solidFill>
              <w14:schemeClr w14:val="tx1"/>
            </w14:solidFill>
          </w14:textFill>
        </w:rPr>
        <w:t xml:space="preserve">, Elazar Z. Mechanism and medical implications of mammalian autophagy. </w:t>
      </w:r>
      <w:r>
        <w:rPr>
          <w:rFonts w:ascii="Book Antiqua" w:hAnsi="Book Antiqua" w:eastAsia="Book Antiqua" w:cs="Book Antiqua"/>
          <w:i/>
          <w:iCs/>
          <w:color w:val="000000" w:themeColor="text1"/>
          <w14:textFill>
            <w14:solidFill>
              <w14:schemeClr w14:val="tx1"/>
            </w14:solidFill>
          </w14:textFill>
        </w:rPr>
        <w:t>Nat Rev Mol Cell Biol</w:t>
      </w:r>
      <w:r>
        <w:rPr>
          <w:rFonts w:ascii="Book Antiqua" w:hAnsi="Book Antiqua" w:eastAsia="Book Antiqua" w:cs="Book Antiqua"/>
          <w:color w:val="000000" w:themeColor="text1"/>
          <w14:textFill>
            <w14:solidFill>
              <w14:schemeClr w14:val="tx1"/>
            </w14:solidFill>
          </w14:textFill>
        </w:rPr>
        <w:t xml:space="preserve"> 2018; </w:t>
      </w:r>
      <w:r>
        <w:rPr>
          <w:rFonts w:ascii="Book Antiqua" w:hAnsi="Book Antiqua" w:eastAsia="Book Antiqua" w:cs="Book Antiqua"/>
          <w:b/>
          <w:bCs/>
          <w:color w:val="000000" w:themeColor="text1"/>
          <w14:textFill>
            <w14:solidFill>
              <w14:schemeClr w14:val="tx1"/>
            </w14:solidFill>
          </w14:textFill>
        </w:rPr>
        <w:t>19</w:t>
      </w:r>
      <w:r>
        <w:rPr>
          <w:rFonts w:ascii="Book Antiqua" w:hAnsi="Book Antiqua" w:eastAsia="Book Antiqua" w:cs="Book Antiqua"/>
          <w:color w:val="000000" w:themeColor="text1"/>
          <w14:textFill>
            <w14:solidFill>
              <w14:schemeClr w14:val="tx1"/>
            </w14:solidFill>
          </w14:textFill>
        </w:rPr>
        <w:t>: 349-364 [PMID: 29618831 DOI: 10.1038/s41580-018-0003-4]</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 </w:t>
      </w:r>
      <w:r>
        <w:rPr>
          <w:rFonts w:ascii="Book Antiqua" w:hAnsi="Book Antiqua" w:eastAsia="Book Antiqua" w:cs="Book Antiqua"/>
          <w:b/>
          <w:bCs/>
          <w:color w:val="000000" w:themeColor="text1"/>
          <w14:textFill>
            <w14:solidFill>
              <w14:schemeClr w14:val="tx1"/>
            </w14:solidFill>
          </w14:textFill>
        </w:rPr>
        <w:t>Chen X</w:t>
      </w:r>
      <w:r>
        <w:rPr>
          <w:rFonts w:ascii="Book Antiqua" w:hAnsi="Book Antiqua" w:eastAsia="Book Antiqua" w:cs="Book Antiqua"/>
          <w:color w:val="000000" w:themeColor="text1"/>
          <w14:textFill>
            <w14:solidFill>
              <w14:schemeClr w14:val="tx1"/>
            </w14:solidFill>
          </w14:textFill>
        </w:rPr>
        <w:t xml:space="preserve">, He Y, Lu F. Autophagy in Stem Cell Biology: A Perspective on Stem Cell Self-Renewal and Differentiation. </w:t>
      </w:r>
      <w:r>
        <w:rPr>
          <w:rFonts w:ascii="Book Antiqua" w:hAnsi="Book Antiqua" w:eastAsia="Book Antiqua" w:cs="Book Antiqua"/>
          <w:i/>
          <w:iCs/>
          <w:color w:val="000000" w:themeColor="text1"/>
          <w14:textFill>
            <w14:solidFill>
              <w14:schemeClr w14:val="tx1"/>
            </w14:solidFill>
          </w14:textFill>
        </w:rPr>
        <w:t>Stem Cells Int</w:t>
      </w:r>
      <w:r>
        <w:rPr>
          <w:rFonts w:ascii="Book Antiqua" w:hAnsi="Book Antiqua" w:eastAsia="Book Antiqua" w:cs="Book Antiqua"/>
          <w:color w:val="000000" w:themeColor="text1"/>
          <w14:textFill>
            <w14:solidFill>
              <w14:schemeClr w14:val="tx1"/>
            </w14:solidFill>
          </w14:textFill>
        </w:rPr>
        <w:t xml:space="preserve"> 2018; </w:t>
      </w:r>
      <w:r>
        <w:rPr>
          <w:rFonts w:ascii="Book Antiqua" w:hAnsi="Book Antiqua" w:eastAsia="Book Antiqua" w:cs="Book Antiqua"/>
          <w:b/>
          <w:bCs/>
          <w:color w:val="000000" w:themeColor="text1"/>
          <w14:textFill>
            <w14:solidFill>
              <w14:schemeClr w14:val="tx1"/>
            </w14:solidFill>
          </w14:textFill>
        </w:rPr>
        <w:t>2018</w:t>
      </w:r>
      <w:r>
        <w:rPr>
          <w:rFonts w:ascii="Book Antiqua" w:hAnsi="Book Antiqua" w:eastAsia="Book Antiqua" w:cs="Book Antiqua"/>
          <w:color w:val="000000" w:themeColor="text1"/>
          <w14:textFill>
            <w14:solidFill>
              <w14:schemeClr w14:val="tx1"/>
            </w14:solidFill>
          </w14:textFill>
        </w:rPr>
        <w:t>: 9131397 [PMID: 29765428 DOI: 10.1155/2018/9131397]</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 </w:t>
      </w:r>
      <w:r>
        <w:rPr>
          <w:rFonts w:ascii="Book Antiqua" w:hAnsi="Book Antiqua" w:eastAsia="Book Antiqua" w:cs="Book Antiqua"/>
          <w:b/>
          <w:bCs/>
          <w:color w:val="000000" w:themeColor="text1"/>
          <w14:textFill>
            <w14:solidFill>
              <w14:schemeClr w14:val="tx1"/>
            </w14:solidFill>
          </w14:textFill>
        </w:rPr>
        <w:t>Mizushima N</w:t>
      </w:r>
      <w:r>
        <w:rPr>
          <w:rFonts w:ascii="Book Antiqua" w:hAnsi="Book Antiqua" w:eastAsia="Book Antiqua" w:cs="Book Antiqua"/>
          <w:color w:val="000000" w:themeColor="text1"/>
          <w14:textFill>
            <w14:solidFill>
              <w14:schemeClr w14:val="tx1"/>
            </w14:solidFill>
          </w14:textFill>
        </w:rPr>
        <w:t xml:space="preserve">, Komatsu M. Autophagy: renovation of cells and tissues. </w:t>
      </w:r>
      <w:r>
        <w:rPr>
          <w:rFonts w:ascii="Book Antiqua" w:hAnsi="Book Antiqua" w:eastAsia="Book Antiqua" w:cs="Book Antiqua"/>
          <w:i/>
          <w:iCs/>
          <w:color w:val="000000" w:themeColor="text1"/>
          <w14:textFill>
            <w14:solidFill>
              <w14:schemeClr w14:val="tx1"/>
            </w14:solidFill>
          </w14:textFill>
        </w:rPr>
        <w:t>Cell</w:t>
      </w:r>
      <w:r>
        <w:rPr>
          <w:rFonts w:ascii="Book Antiqua" w:hAnsi="Book Antiqua" w:eastAsia="Book Antiqua" w:cs="Book Antiqua"/>
          <w:color w:val="000000" w:themeColor="text1"/>
          <w14:textFill>
            <w14:solidFill>
              <w14:schemeClr w14:val="tx1"/>
            </w14:solidFill>
          </w14:textFill>
        </w:rPr>
        <w:t xml:space="preserve"> 2011; </w:t>
      </w:r>
      <w:r>
        <w:rPr>
          <w:rFonts w:ascii="Book Antiqua" w:hAnsi="Book Antiqua" w:eastAsia="Book Antiqua" w:cs="Book Antiqua"/>
          <w:b/>
          <w:bCs/>
          <w:color w:val="000000" w:themeColor="text1"/>
          <w14:textFill>
            <w14:solidFill>
              <w14:schemeClr w14:val="tx1"/>
            </w14:solidFill>
          </w14:textFill>
        </w:rPr>
        <w:t>147</w:t>
      </w:r>
      <w:r>
        <w:rPr>
          <w:rFonts w:ascii="Book Antiqua" w:hAnsi="Book Antiqua" w:eastAsia="Book Antiqua" w:cs="Book Antiqua"/>
          <w:color w:val="000000" w:themeColor="text1"/>
          <w14:textFill>
            <w14:solidFill>
              <w14:schemeClr w14:val="tx1"/>
            </w14:solidFill>
          </w14:textFill>
        </w:rPr>
        <w:t>: 728-741 [PMID: 22078875 DOI: 10.1016/j.cell.2011.10.026]</w:t>
      </w:r>
    </w:p>
    <w:p>
      <w:pPr>
        <w:spacing w:line="360" w:lineRule="auto"/>
        <w:jc w:val="both"/>
        <w:rPr>
          <w:rFonts w:ascii="Book Antiqua" w:hAnsi="Book Antiqua"/>
          <w:color w:val="000000" w:themeColor="text1"/>
          <w:lang w:val="fr-FR"/>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5 </w:t>
      </w:r>
      <w:r>
        <w:rPr>
          <w:rFonts w:ascii="Book Antiqua" w:hAnsi="Book Antiqua" w:eastAsia="Book Antiqua" w:cs="Book Antiqua"/>
          <w:b/>
          <w:bCs/>
          <w:color w:val="000000" w:themeColor="text1"/>
          <w14:textFill>
            <w14:solidFill>
              <w14:schemeClr w14:val="tx1"/>
            </w14:solidFill>
          </w14:textFill>
        </w:rPr>
        <w:t>Vabulas RM</w:t>
      </w:r>
      <w:r>
        <w:rPr>
          <w:rFonts w:ascii="Book Antiqua" w:hAnsi="Book Antiqua" w:eastAsia="Book Antiqua" w:cs="Book Antiqua"/>
          <w:color w:val="000000" w:themeColor="text1"/>
          <w14:textFill>
            <w14:solidFill>
              <w14:schemeClr w14:val="tx1"/>
            </w14:solidFill>
          </w14:textFill>
        </w:rPr>
        <w:t xml:space="preserve">, Hartl FU. Protein synthesis upon acute nutrient restriction relies on proteasome function. </w:t>
      </w:r>
      <w:r>
        <w:rPr>
          <w:rFonts w:ascii="Book Antiqua" w:hAnsi="Book Antiqua" w:eastAsia="Book Antiqua" w:cs="Book Antiqua"/>
          <w:i/>
          <w:iCs/>
          <w:color w:val="000000" w:themeColor="text1"/>
          <w:lang w:val="fr-FR"/>
          <w14:textFill>
            <w14:solidFill>
              <w14:schemeClr w14:val="tx1"/>
            </w14:solidFill>
          </w14:textFill>
        </w:rPr>
        <w:t>Science</w:t>
      </w:r>
      <w:r>
        <w:rPr>
          <w:rFonts w:ascii="Book Antiqua" w:hAnsi="Book Antiqua" w:eastAsia="Book Antiqua" w:cs="Book Antiqua"/>
          <w:color w:val="000000" w:themeColor="text1"/>
          <w:lang w:val="fr-FR"/>
          <w14:textFill>
            <w14:solidFill>
              <w14:schemeClr w14:val="tx1"/>
            </w14:solidFill>
          </w14:textFill>
        </w:rPr>
        <w:t xml:space="preserve"> 2005; </w:t>
      </w:r>
      <w:r>
        <w:rPr>
          <w:rFonts w:ascii="Book Antiqua" w:hAnsi="Book Antiqua" w:eastAsia="Book Antiqua" w:cs="Book Antiqua"/>
          <w:b/>
          <w:bCs/>
          <w:color w:val="000000" w:themeColor="text1"/>
          <w:lang w:val="fr-FR"/>
          <w14:textFill>
            <w14:solidFill>
              <w14:schemeClr w14:val="tx1"/>
            </w14:solidFill>
          </w14:textFill>
        </w:rPr>
        <w:t>310</w:t>
      </w:r>
      <w:r>
        <w:rPr>
          <w:rFonts w:ascii="Book Antiqua" w:hAnsi="Book Antiqua" w:eastAsia="Book Antiqua" w:cs="Book Antiqua"/>
          <w:color w:val="000000" w:themeColor="text1"/>
          <w:lang w:val="fr-FR"/>
          <w14:textFill>
            <w14:solidFill>
              <w14:schemeClr w14:val="tx1"/>
            </w14:solidFill>
          </w14:textFill>
        </w:rPr>
        <w:t>: 1960-1963 [PMID: 16373576 DOI: 10.1126/science.1121925]</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lang w:val="fr-FR"/>
          <w14:textFill>
            <w14:solidFill>
              <w14:schemeClr w14:val="tx1"/>
            </w14:solidFill>
          </w14:textFill>
        </w:rPr>
        <w:t xml:space="preserve">6 </w:t>
      </w:r>
      <w:r>
        <w:rPr>
          <w:rFonts w:ascii="Book Antiqua" w:hAnsi="Book Antiqua" w:eastAsia="Book Antiqua" w:cs="Book Antiqua"/>
          <w:b/>
          <w:bCs/>
          <w:color w:val="000000" w:themeColor="text1"/>
          <w:lang w:val="fr-FR"/>
          <w14:textFill>
            <w14:solidFill>
              <w14:schemeClr w14:val="tx1"/>
            </w14:solidFill>
          </w14:textFill>
        </w:rPr>
        <w:t>Schulte LA</w:t>
      </w:r>
      <w:r>
        <w:rPr>
          <w:rFonts w:ascii="Book Antiqua" w:hAnsi="Book Antiqua" w:eastAsia="Book Antiqua" w:cs="Book Antiqua"/>
          <w:color w:val="000000" w:themeColor="text1"/>
          <w:lang w:val="fr-FR"/>
          <w14:textFill>
            <w14:solidFill>
              <w14:schemeClr w14:val="tx1"/>
            </w14:solidFill>
          </w14:textFill>
        </w:rPr>
        <w:t xml:space="preserve">, López-Gil JC, Sainz B Jr, Hermann PC. </w:t>
      </w:r>
      <w:r>
        <w:rPr>
          <w:rFonts w:ascii="Book Antiqua" w:hAnsi="Book Antiqua" w:eastAsia="Book Antiqua" w:cs="Book Antiqua"/>
          <w:color w:val="000000" w:themeColor="text1"/>
          <w14:textFill>
            <w14:solidFill>
              <w14:schemeClr w14:val="tx1"/>
            </w14:solidFill>
          </w14:textFill>
        </w:rPr>
        <w:t xml:space="preserve">The Cancer Stem Cell in Hepatocellular Carcinoma. </w:t>
      </w:r>
      <w:r>
        <w:rPr>
          <w:rFonts w:ascii="Book Antiqua" w:hAnsi="Book Antiqua" w:eastAsia="Book Antiqua" w:cs="Book Antiqua"/>
          <w:i/>
          <w:iCs/>
          <w:color w:val="000000" w:themeColor="text1"/>
          <w14:textFill>
            <w14:solidFill>
              <w14:schemeClr w14:val="tx1"/>
            </w14:solidFill>
          </w14:textFill>
        </w:rPr>
        <w:t>Cancers (Basel)</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12</w:t>
      </w:r>
      <w:r>
        <w:rPr>
          <w:rFonts w:ascii="Book Antiqua" w:hAnsi="Book Antiqua" w:eastAsia="Book Antiqua" w:cs="Book Antiqua"/>
          <w:color w:val="000000" w:themeColor="text1"/>
          <w14:textFill>
            <w14:solidFill>
              <w14:schemeClr w14:val="tx1"/>
            </w14:solidFill>
          </w14:textFill>
        </w:rPr>
        <w:t xml:space="preserve"> [PMID: 32183251 DOI: 10.3390/cancers12030684]</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7 </w:t>
      </w:r>
      <w:r>
        <w:rPr>
          <w:rFonts w:ascii="Book Antiqua" w:hAnsi="Book Antiqua" w:eastAsia="Book Antiqua" w:cs="Book Antiqua"/>
          <w:b/>
          <w:bCs/>
          <w:color w:val="000000" w:themeColor="text1"/>
          <w14:textFill>
            <w14:solidFill>
              <w14:schemeClr w14:val="tx1"/>
            </w14:solidFill>
          </w14:textFill>
        </w:rPr>
        <w:t>Xu P</w:t>
      </w:r>
      <w:r>
        <w:rPr>
          <w:rFonts w:ascii="Book Antiqua" w:hAnsi="Book Antiqua" w:eastAsia="Book Antiqua" w:cs="Book Antiqua"/>
          <w:color w:val="000000" w:themeColor="text1"/>
          <w14:textFill>
            <w14:solidFill>
              <w14:schemeClr w14:val="tx1"/>
            </w14:solidFill>
          </w14:textFill>
        </w:rPr>
        <w:t xml:space="preserve">, Wu Q, Yu J, Rao Y, Kou Z, Fang G, Shi X, Liu W, Han H. A Systematic Way to Infer the Regulation Relations of miRNAs on Target Genes and Critical miRNAs in Cancers. </w:t>
      </w:r>
      <w:r>
        <w:rPr>
          <w:rFonts w:ascii="Book Antiqua" w:hAnsi="Book Antiqua" w:eastAsia="Book Antiqua" w:cs="Book Antiqua"/>
          <w:i/>
          <w:iCs/>
          <w:color w:val="000000" w:themeColor="text1"/>
          <w14:textFill>
            <w14:solidFill>
              <w14:schemeClr w14:val="tx1"/>
            </w14:solidFill>
          </w14:textFill>
        </w:rPr>
        <w:t>Front Genet</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11</w:t>
      </w:r>
      <w:r>
        <w:rPr>
          <w:rFonts w:ascii="Book Antiqua" w:hAnsi="Book Antiqua" w:eastAsia="Book Antiqua" w:cs="Book Antiqua"/>
          <w:color w:val="000000" w:themeColor="text1"/>
          <w14:textFill>
            <w14:solidFill>
              <w14:schemeClr w14:val="tx1"/>
            </w14:solidFill>
          </w14:textFill>
        </w:rPr>
        <w:t>: 278 [PMID: 32296462 DOI: 10.3389/fgene.2020.00278]</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8 </w:t>
      </w:r>
      <w:r>
        <w:rPr>
          <w:rFonts w:ascii="Book Antiqua" w:hAnsi="Book Antiqua" w:eastAsia="Book Antiqua" w:cs="Book Antiqua"/>
          <w:b/>
          <w:bCs/>
          <w:color w:val="000000" w:themeColor="text1"/>
          <w14:textFill>
            <w14:solidFill>
              <w14:schemeClr w14:val="tx1"/>
            </w14:solidFill>
          </w14:textFill>
        </w:rPr>
        <w:t>Deng X</w:t>
      </w:r>
      <w:r>
        <w:rPr>
          <w:rFonts w:ascii="Book Antiqua" w:hAnsi="Book Antiqua" w:eastAsia="Book Antiqua" w:cs="Book Antiqua"/>
          <w:color w:val="000000" w:themeColor="text1"/>
          <w14:textFill>
            <w14:solidFill>
              <w14:schemeClr w14:val="tx1"/>
            </w14:solidFill>
          </w14:textFill>
        </w:rPr>
        <w:t xml:space="preserve">, Zhao Y, Wang B. miR-519d-mediated downregulation of STAT3 suppresses breast cancer progression. </w:t>
      </w:r>
      <w:r>
        <w:rPr>
          <w:rFonts w:ascii="Book Antiqua" w:hAnsi="Book Antiqua" w:eastAsia="Book Antiqua" w:cs="Book Antiqua"/>
          <w:i/>
          <w:iCs/>
          <w:color w:val="000000" w:themeColor="text1"/>
          <w14:textFill>
            <w14:solidFill>
              <w14:schemeClr w14:val="tx1"/>
            </w14:solidFill>
          </w14:textFill>
        </w:rPr>
        <w:t>Oncol Rep</w:t>
      </w:r>
      <w:r>
        <w:rPr>
          <w:rFonts w:ascii="Book Antiqua" w:hAnsi="Book Antiqua" w:eastAsia="Book Antiqua" w:cs="Book Antiqua"/>
          <w:color w:val="000000" w:themeColor="text1"/>
          <w14:textFill>
            <w14:solidFill>
              <w14:schemeClr w14:val="tx1"/>
            </w14:solidFill>
          </w14:textFill>
        </w:rPr>
        <w:t xml:space="preserve"> 2015; </w:t>
      </w:r>
      <w:r>
        <w:rPr>
          <w:rFonts w:ascii="Book Antiqua" w:hAnsi="Book Antiqua" w:eastAsia="Book Antiqua" w:cs="Book Antiqua"/>
          <w:b/>
          <w:bCs/>
          <w:color w:val="000000" w:themeColor="text1"/>
          <w14:textFill>
            <w14:solidFill>
              <w14:schemeClr w14:val="tx1"/>
            </w14:solidFill>
          </w14:textFill>
        </w:rPr>
        <w:t>34</w:t>
      </w:r>
      <w:r>
        <w:rPr>
          <w:rFonts w:ascii="Book Antiqua" w:hAnsi="Book Antiqua" w:eastAsia="Book Antiqua" w:cs="Book Antiqua"/>
          <w:color w:val="000000" w:themeColor="text1"/>
          <w14:textFill>
            <w14:solidFill>
              <w14:schemeClr w14:val="tx1"/>
            </w14:solidFill>
          </w14:textFill>
        </w:rPr>
        <w:t>: 2188-2194 [PMID: 26238950 DOI: 10.3892/or.2015.4160]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9 </w:t>
      </w:r>
      <w:r>
        <w:rPr>
          <w:rFonts w:ascii="Book Antiqua" w:hAnsi="Book Antiqua" w:eastAsia="Book Antiqua" w:cs="Book Antiqua"/>
          <w:b/>
          <w:bCs/>
          <w:color w:val="000000" w:themeColor="text1"/>
          <w14:textFill>
            <w14:solidFill>
              <w14:schemeClr w14:val="tx1"/>
            </w14:solidFill>
          </w14:textFill>
        </w:rPr>
        <w:t>Hua KT</w:t>
      </w:r>
      <w:r>
        <w:rPr>
          <w:rFonts w:ascii="Book Antiqua" w:hAnsi="Book Antiqua" w:eastAsia="Book Antiqua" w:cs="Book Antiqua"/>
          <w:color w:val="000000" w:themeColor="text1"/>
          <w14:textFill>
            <w14:solidFill>
              <w14:schemeClr w14:val="tx1"/>
            </w14:solidFill>
          </w14:textFill>
        </w:rPr>
        <w:t xml:space="preserve">, Hong JB, Sheen YS, Huang HY, Huang YL, Chen JS, Liao YH. miR-519d Promotes Melanoma Progression by Downregulating EphA4. </w:t>
      </w:r>
      <w:r>
        <w:rPr>
          <w:rFonts w:ascii="Book Antiqua" w:hAnsi="Book Antiqua" w:eastAsia="Book Antiqua" w:cs="Book Antiqua"/>
          <w:i/>
          <w:iCs/>
          <w:color w:val="000000" w:themeColor="text1"/>
          <w14:textFill>
            <w14:solidFill>
              <w14:schemeClr w14:val="tx1"/>
            </w14:solidFill>
          </w14:textFill>
        </w:rPr>
        <w:t>Cancer Res</w:t>
      </w:r>
      <w:r>
        <w:rPr>
          <w:rFonts w:ascii="Book Antiqua" w:hAnsi="Book Antiqua" w:eastAsia="Book Antiqua" w:cs="Book Antiqua"/>
          <w:color w:val="000000" w:themeColor="text1"/>
          <w14:textFill>
            <w14:solidFill>
              <w14:schemeClr w14:val="tx1"/>
            </w14:solidFill>
          </w14:textFill>
        </w:rPr>
        <w:t xml:space="preserve"> 2018; </w:t>
      </w:r>
      <w:r>
        <w:rPr>
          <w:rFonts w:ascii="Book Antiqua" w:hAnsi="Book Antiqua" w:eastAsia="Book Antiqua" w:cs="Book Antiqua"/>
          <w:b/>
          <w:bCs/>
          <w:color w:val="000000" w:themeColor="text1"/>
          <w14:textFill>
            <w14:solidFill>
              <w14:schemeClr w14:val="tx1"/>
            </w14:solidFill>
          </w14:textFill>
        </w:rPr>
        <w:t>78</w:t>
      </w:r>
      <w:r>
        <w:rPr>
          <w:rFonts w:ascii="Book Antiqua" w:hAnsi="Book Antiqua" w:eastAsia="Book Antiqua" w:cs="Book Antiqua"/>
          <w:color w:val="000000" w:themeColor="text1"/>
          <w14:textFill>
            <w14:solidFill>
              <w14:schemeClr w14:val="tx1"/>
            </w14:solidFill>
          </w14:textFill>
        </w:rPr>
        <w:t>: 216-229 [PMID: 29093007 DOI: 10.1158/0008-5472.CAN-17-1933]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10 </w:t>
      </w:r>
      <w:r>
        <w:rPr>
          <w:rFonts w:ascii="Book Antiqua" w:hAnsi="Book Antiqua" w:eastAsia="Book Antiqua" w:cs="Book Antiqua"/>
          <w:b/>
          <w:bCs/>
          <w:color w:val="000000" w:themeColor="text1"/>
          <w14:textFill>
            <w14:solidFill>
              <w14:schemeClr w14:val="tx1"/>
            </w14:solidFill>
          </w14:textFill>
        </w:rPr>
        <w:t>Jin Y</w:t>
      </w:r>
      <w:r>
        <w:rPr>
          <w:rFonts w:ascii="Book Antiqua" w:hAnsi="Book Antiqua" w:eastAsia="Book Antiqua" w:cs="Book Antiqua"/>
          <w:color w:val="000000" w:themeColor="text1"/>
          <w14:textFill>
            <w14:solidFill>
              <w14:schemeClr w14:val="tx1"/>
            </w14:solidFill>
          </w14:textFill>
        </w:rPr>
        <w:t xml:space="preserve">, Li Y, Wang X, Yang Y. Dysregulation of MiR-519d Affects Oral Squamous Cell Carcinoma Invasion and Metastasis by Targeting MMP3. </w:t>
      </w:r>
      <w:r>
        <w:rPr>
          <w:rFonts w:ascii="Book Antiqua" w:hAnsi="Book Antiqua" w:eastAsia="Book Antiqua" w:cs="Book Antiqua"/>
          <w:i/>
          <w:iCs/>
          <w:color w:val="000000" w:themeColor="text1"/>
          <w14:textFill>
            <w14:solidFill>
              <w14:schemeClr w14:val="tx1"/>
            </w14:solidFill>
          </w14:textFill>
        </w:rPr>
        <w:t>J Cancer</w:t>
      </w:r>
      <w:r>
        <w:rPr>
          <w:rFonts w:ascii="Book Antiqua" w:hAnsi="Book Antiqua" w:eastAsia="Book Antiqua" w:cs="Book Antiqua"/>
          <w:color w:val="000000" w:themeColor="text1"/>
          <w14:textFill>
            <w14:solidFill>
              <w14:schemeClr w14:val="tx1"/>
            </w14:solidFill>
          </w14:textFill>
        </w:rPr>
        <w:t xml:space="preserve"> 2019; </w:t>
      </w:r>
      <w:r>
        <w:rPr>
          <w:rFonts w:ascii="Book Antiqua" w:hAnsi="Book Antiqua" w:eastAsia="Book Antiqua" w:cs="Book Antiqua"/>
          <w:b/>
          <w:bCs/>
          <w:color w:val="000000" w:themeColor="text1"/>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2720-2734 [PMID: 31258780 DOI: 10.7150/jca.31825]</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11 </w:t>
      </w:r>
      <w:r>
        <w:rPr>
          <w:rFonts w:ascii="Book Antiqua" w:hAnsi="Book Antiqua" w:eastAsia="Book Antiqua" w:cs="Book Antiqua"/>
          <w:b/>
          <w:bCs/>
          <w:color w:val="000000" w:themeColor="text1"/>
          <w14:textFill>
            <w14:solidFill>
              <w14:schemeClr w14:val="tx1"/>
            </w14:solidFill>
          </w14:textFill>
        </w:rPr>
        <w:t>Ye X</w:t>
      </w:r>
      <w:r>
        <w:rPr>
          <w:rFonts w:ascii="Book Antiqua" w:hAnsi="Book Antiqua" w:eastAsia="Book Antiqua" w:cs="Book Antiqua"/>
          <w:color w:val="000000" w:themeColor="text1"/>
          <w14:textFill>
            <w14:solidFill>
              <w14:schemeClr w14:val="tx1"/>
            </w14:solidFill>
          </w14:textFill>
        </w:rPr>
        <w:t xml:space="preserve">, Lv H. MicroRNA-519d-3p inhibits cell proliferation and migration by targeting TROAP in colorectal cancer. </w:t>
      </w:r>
      <w:r>
        <w:rPr>
          <w:rFonts w:ascii="Book Antiqua" w:hAnsi="Book Antiqua" w:eastAsia="Book Antiqua" w:cs="Book Antiqua"/>
          <w:i/>
          <w:iCs/>
          <w:color w:val="000000" w:themeColor="text1"/>
          <w14:textFill>
            <w14:solidFill>
              <w14:schemeClr w14:val="tx1"/>
            </w14:solidFill>
          </w14:textFill>
        </w:rPr>
        <w:t>Biomed Pharmacother</w:t>
      </w:r>
      <w:r>
        <w:rPr>
          <w:rFonts w:ascii="Book Antiqua" w:hAnsi="Book Antiqua" w:eastAsia="Book Antiqua" w:cs="Book Antiqua"/>
          <w:color w:val="000000" w:themeColor="text1"/>
          <w14:textFill>
            <w14:solidFill>
              <w14:schemeClr w14:val="tx1"/>
            </w14:solidFill>
          </w14:textFill>
        </w:rPr>
        <w:t xml:space="preserve"> 2018; </w:t>
      </w:r>
      <w:r>
        <w:rPr>
          <w:rFonts w:ascii="Book Antiqua" w:hAnsi="Book Antiqua" w:eastAsia="Book Antiqua" w:cs="Book Antiqua"/>
          <w:b/>
          <w:bCs/>
          <w:color w:val="000000" w:themeColor="text1"/>
          <w14:textFill>
            <w14:solidFill>
              <w14:schemeClr w14:val="tx1"/>
            </w14:solidFill>
          </w14:textFill>
        </w:rPr>
        <w:t>105</w:t>
      </w:r>
      <w:r>
        <w:rPr>
          <w:rFonts w:ascii="Book Antiqua" w:hAnsi="Book Antiqua" w:eastAsia="Book Antiqua" w:cs="Book Antiqua"/>
          <w:color w:val="000000" w:themeColor="text1"/>
          <w14:textFill>
            <w14:solidFill>
              <w14:schemeClr w14:val="tx1"/>
            </w14:solidFill>
          </w14:textFill>
        </w:rPr>
        <w:t>: 879-886 [PMID: 30021381 DOI: 10.1016/j.biopha.2018.04.114]</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12 </w:t>
      </w:r>
      <w:r>
        <w:rPr>
          <w:rFonts w:ascii="Book Antiqua" w:hAnsi="Book Antiqua" w:eastAsia="Book Antiqua" w:cs="Book Antiqua"/>
          <w:b/>
          <w:bCs/>
          <w:color w:val="000000" w:themeColor="text1"/>
          <w14:textFill>
            <w14:solidFill>
              <w14:schemeClr w14:val="tx1"/>
            </w14:solidFill>
          </w14:textFill>
        </w:rPr>
        <w:t>Martinelli R</w:t>
      </w:r>
      <w:r>
        <w:rPr>
          <w:rFonts w:ascii="Book Antiqua" w:hAnsi="Book Antiqua" w:eastAsia="Book Antiqua" w:cs="Book Antiqua"/>
          <w:color w:val="000000" w:themeColor="text1"/>
          <w14:textFill>
            <w14:solidFill>
              <w14:schemeClr w14:val="tx1"/>
            </w14:solidFill>
          </w14:textFill>
        </w:rPr>
        <w:t xml:space="preserve">, Nardelli C, Pilone V, Buonomo T, Liguori R, Castanò I, Buono P, Masone S, Persico G, Forestieri P, Pastore L, Sacchetti L. miR-519d overexpression is associated with human obesity. </w:t>
      </w:r>
      <w:r>
        <w:rPr>
          <w:rFonts w:ascii="Book Antiqua" w:hAnsi="Book Antiqua" w:eastAsia="Book Antiqua" w:cs="Book Antiqua"/>
          <w:i/>
          <w:iCs/>
          <w:color w:val="000000" w:themeColor="text1"/>
          <w14:textFill>
            <w14:solidFill>
              <w14:schemeClr w14:val="tx1"/>
            </w14:solidFill>
          </w14:textFill>
        </w:rPr>
        <w:t>Obesity (Silver Spring)</w:t>
      </w:r>
      <w:r>
        <w:rPr>
          <w:rFonts w:ascii="Book Antiqua" w:hAnsi="Book Antiqua" w:eastAsia="Book Antiqua" w:cs="Book Antiqua"/>
          <w:color w:val="000000" w:themeColor="text1"/>
          <w14:textFill>
            <w14:solidFill>
              <w14:schemeClr w14:val="tx1"/>
            </w14:solidFill>
          </w14:textFill>
        </w:rPr>
        <w:t xml:space="preserve"> 2010; </w:t>
      </w:r>
      <w:r>
        <w:rPr>
          <w:rFonts w:ascii="Book Antiqua" w:hAnsi="Book Antiqua" w:eastAsia="Book Antiqua" w:cs="Book Antiqua"/>
          <w:b/>
          <w:bCs/>
          <w:color w:val="000000" w:themeColor="text1"/>
          <w14:textFill>
            <w14:solidFill>
              <w14:schemeClr w14:val="tx1"/>
            </w14:solidFill>
          </w14:textFill>
        </w:rPr>
        <w:t>18</w:t>
      </w:r>
      <w:r>
        <w:rPr>
          <w:rFonts w:ascii="Book Antiqua" w:hAnsi="Book Antiqua" w:eastAsia="Book Antiqua" w:cs="Book Antiqua"/>
          <w:color w:val="000000" w:themeColor="text1"/>
          <w14:textFill>
            <w14:solidFill>
              <w14:schemeClr w14:val="tx1"/>
            </w14:solidFill>
          </w14:textFill>
        </w:rPr>
        <w:t>: 2170-2176 [PMID: 20057369 DOI: 10.1038/oby.2009.474]</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13 </w:t>
      </w:r>
      <w:r>
        <w:rPr>
          <w:rFonts w:ascii="Book Antiqua" w:hAnsi="Book Antiqua" w:eastAsia="Book Antiqua" w:cs="Book Antiqua"/>
          <w:b/>
          <w:bCs/>
          <w:color w:val="000000" w:themeColor="text1"/>
          <w14:textFill>
            <w14:solidFill>
              <w14:schemeClr w14:val="tx1"/>
            </w14:solidFill>
          </w14:textFill>
        </w:rPr>
        <w:t>Sánchez-Martín P</w:t>
      </w:r>
      <w:r>
        <w:rPr>
          <w:rFonts w:ascii="Book Antiqua" w:hAnsi="Book Antiqua" w:eastAsia="Book Antiqua" w:cs="Book Antiqua"/>
          <w:color w:val="000000" w:themeColor="text1"/>
          <w14:textFill>
            <w14:solidFill>
              <w14:schemeClr w14:val="tx1"/>
            </w14:solidFill>
          </w14:textFill>
        </w:rPr>
        <w:t xml:space="preserve">, Komatsu M. p62/SQSTM1 - steering the cell through health and disease. </w:t>
      </w:r>
      <w:r>
        <w:rPr>
          <w:rFonts w:ascii="Book Antiqua" w:hAnsi="Book Antiqua" w:eastAsia="Book Antiqua" w:cs="Book Antiqua"/>
          <w:i/>
          <w:iCs/>
          <w:color w:val="000000" w:themeColor="text1"/>
          <w14:textFill>
            <w14:solidFill>
              <w14:schemeClr w14:val="tx1"/>
            </w14:solidFill>
          </w14:textFill>
        </w:rPr>
        <w:t>J Cell Sci</w:t>
      </w:r>
      <w:r>
        <w:rPr>
          <w:rFonts w:ascii="Book Antiqua" w:hAnsi="Book Antiqua" w:eastAsia="Book Antiqua" w:cs="Book Antiqua"/>
          <w:color w:val="000000" w:themeColor="text1"/>
          <w14:textFill>
            <w14:solidFill>
              <w14:schemeClr w14:val="tx1"/>
            </w14:solidFill>
          </w14:textFill>
        </w:rPr>
        <w:t xml:space="preserve"> 2018; </w:t>
      </w:r>
      <w:r>
        <w:rPr>
          <w:rFonts w:ascii="Book Antiqua" w:hAnsi="Book Antiqua" w:eastAsia="Book Antiqua" w:cs="Book Antiqua"/>
          <w:b/>
          <w:bCs/>
          <w:color w:val="000000" w:themeColor="text1"/>
          <w14:textFill>
            <w14:solidFill>
              <w14:schemeClr w14:val="tx1"/>
            </w14:solidFill>
          </w14:textFill>
        </w:rPr>
        <w:t>131</w:t>
      </w:r>
      <w:r>
        <w:rPr>
          <w:rFonts w:ascii="Book Antiqua" w:hAnsi="Book Antiqua" w:eastAsia="Book Antiqua" w:cs="Book Antiqua"/>
          <w:color w:val="000000" w:themeColor="text1"/>
          <w14:textFill>
            <w14:solidFill>
              <w14:schemeClr w14:val="tx1"/>
            </w14:solidFill>
          </w14:textFill>
        </w:rPr>
        <w:t xml:space="preserve"> [PMID: 30397181 DOI: 10.1242/jcs.222836]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14 </w:t>
      </w:r>
      <w:r>
        <w:rPr>
          <w:rFonts w:ascii="Book Antiqua" w:hAnsi="Book Antiqua" w:eastAsia="Book Antiqua" w:cs="Book Antiqua"/>
          <w:b/>
          <w:bCs/>
          <w:color w:val="000000" w:themeColor="text1"/>
          <w14:textFill>
            <w14:solidFill>
              <w14:schemeClr w14:val="tx1"/>
            </w14:solidFill>
          </w14:textFill>
        </w:rPr>
        <w:t>Inami Y</w:t>
      </w:r>
      <w:r>
        <w:rPr>
          <w:rFonts w:ascii="Book Antiqua" w:hAnsi="Book Antiqua" w:eastAsia="Book Antiqua" w:cs="Book Antiqua"/>
          <w:color w:val="000000" w:themeColor="text1"/>
          <w14:textFill>
            <w14:solidFill>
              <w14:schemeClr w14:val="tx1"/>
            </w14:solidFill>
          </w14:textFill>
        </w:rPr>
        <w:t xml:space="preserve">, Waguri S, Sakamoto A, Kouno T, Nakada K, Hino O, Watanabe S, Ando J, Iwadate M, Yamamoto M, Lee MS, Tanaka K, Komatsu M. Persistent activation of Nrf2 through p62 in hepatocellular carcinoma cells. </w:t>
      </w:r>
      <w:r>
        <w:rPr>
          <w:rFonts w:ascii="Book Antiqua" w:hAnsi="Book Antiqua" w:eastAsia="Book Antiqua" w:cs="Book Antiqua"/>
          <w:i/>
          <w:iCs/>
          <w:color w:val="000000" w:themeColor="text1"/>
          <w14:textFill>
            <w14:solidFill>
              <w14:schemeClr w14:val="tx1"/>
            </w14:solidFill>
          </w14:textFill>
        </w:rPr>
        <w:t>J Cell Biol</w:t>
      </w:r>
      <w:r>
        <w:rPr>
          <w:rFonts w:ascii="Book Antiqua" w:hAnsi="Book Antiqua" w:eastAsia="Book Antiqua" w:cs="Book Antiqua"/>
          <w:color w:val="000000" w:themeColor="text1"/>
          <w14:textFill>
            <w14:solidFill>
              <w14:schemeClr w14:val="tx1"/>
            </w14:solidFill>
          </w14:textFill>
        </w:rPr>
        <w:t xml:space="preserve"> 2011; </w:t>
      </w:r>
      <w:r>
        <w:rPr>
          <w:rFonts w:ascii="Book Antiqua" w:hAnsi="Book Antiqua" w:eastAsia="Book Antiqua" w:cs="Book Antiqua"/>
          <w:b/>
          <w:bCs/>
          <w:color w:val="000000" w:themeColor="text1"/>
          <w14:textFill>
            <w14:solidFill>
              <w14:schemeClr w14:val="tx1"/>
            </w14:solidFill>
          </w14:textFill>
        </w:rPr>
        <w:t>193</w:t>
      </w:r>
      <w:r>
        <w:rPr>
          <w:rFonts w:ascii="Book Antiqua" w:hAnsi="Book Antiqua" w:eastAsia="Book Antiqua" w:cs="Book Antiqua"/>
          <w:color w:val="000000" w:themeColor="text1"/>
          <w14:textFill>
            <w14:solidFill>
              <w14:schemeClr w14:val="tx1"/>
            </w14:solidFill>
          </w14:textFill>
        </w:rPr>
        <w:t>: 275-284 [PMID: 21482715 DOI: 10.1083/jcb.201102031]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15 </w:t>
      </w:r>
      <w:r>
        <w:rPr>
          <w:rFonts w:ascii="Book Antiqua" w:hAnsi="Book Antiqua" w:eastAsia="Book Antiqua" w:cs="Book Antiqua"/>
          <w:b/>
          <w:bCs/>
          <w:color w:val="000000" w:themeColor="text1"/>
          <w14:textFill>
            <w14:solidFill>
              <w14:schemeClr w14:val="tx1"/>
            </w14:solidFill>
          </w14:textFill>
        </w:rPr>
        <w:t>Pan J</w:t>
      </w:r>
      <w:r>
        <w:rPr>
          <w:rFonts w:ascii="Book Antiqua" w:hAnsi="Book Antiqua" w:eastAsia="Book Antiqua" w:cs="Book Antiqua"/>
          <w:color w:val="000000" w:themeColor="text1"/>
          <w14:textFill>
            <w14:solidFill>
              <w14:schemeClr w14:val="tx1"/>
            </w14:solidFill>
          </w14:textFill>
        </w:rPr>
        <w:t xml:space="preserve">, Lu C, Jun W, Wu Y, Shi X, Ding Y. The up-regulation of P62 Levels is associated with resistance of sorafenib in hepatocarcinoma cells. </w:t>
      </w:r>
      <w:r>
        <w:rPr>
          <w:rFonts w:ascii="Book Antiqua" w:hAnsi="Book Antiqua" w:eastAsia="Book Antiqua" w:cs="Book Antiqua"/>
          <w:i/>
          <w:iCs/>
          <w:color w:val="000000" w:themeColor="text1"/>
          <w14:textFill>
            <w14:solidFill>
              <w14:schemeClr w14:val="tx1"/>
            </w14:solidFill>
          </w14:textFill>
        </w:rPr>
        <w:t>Int J Clin Exp Pathol</w:t>
      </w:r>
      <w:r>
        <w:rPr>
          <w:rFonts w:ascii="Book Antiqua" w:hAnsi="Book Antiqua" w:eastAsia="Book Antiqua" w:cs="Book Antiqua"/>
          <w:color w:val="000000" w:themeColor="text1"/>
          <w14:textFill>
            <w14:solidFill>
              <w14:schemeClr w14:val="tx1"/>
            </w14:solidFill>
          </w14:textFill>
        </w:rPr>
        <w:t xml:space="preserve"> 2019; </w:t>
      </w:r>
      <w:r>
        <w:rPr>
          <w:rFonts w:ascii="Book Antiqua" w:hAnsi="Book Antiqua" w:eastAsia="Book Antiqua" w:cs="Book Antiqua"/>
          <w:b/>
          <w:bCs/>
          <w:color w:val="000000" w:themeColor="text1"/>
          <w14:textFill>
            <w14:solidFill>
              <w14:schemeClr w14:val="tx1"/>
            </w14:solidFill>
          </w14:textFill>
        </w:rPr>
        <w:t>12</w:t>
      </w:r>
      <w:r>
        <w:rPr>
          <w:rFonts w:ascii="Book Antiqua" w:hAnsi="Book Antiqua" w:eastAsia="Book Antiqua" w:cs="Book Antiqua"/>
          <w:color w:val="000000" w:themeColor="text1"/>
          <w14:textFill>
            <w14:solidFill>
              <w14:schemeClr w14:val="tx1"/>
            </w14:solidFill>
          </w14:textFill>
        </w:rPr>
        <w:t>: 2622-2630 [PMID: 31934090]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16 </w:t>
      </w:r>
      <w:r>
        <w:rPr>
          <w:rFonts w:ascii="Book Antiqua" w:hAnsi="Book Antiqua" w:eastAsia="Book Antiqua" w:cs="Book Antiqua"/>
          <w:b/>
          <w:bCs/>
          <w:color w:val="000000" w:themeColor="text1"/>
          <w14:textFill>
            <w14:solidFill>
              <w14:schemeClr w14:val="tx1"/>
            </w14:solidFill>
          </w14:textFill>
        </w:rPr>
        <w:t>Puissant A</w:t>
      </w:r>
      <w:r>
        <w:rPr>
          <w:rFonts w:ascii="Book Antiqua" w:hAnsi="Book Antiqua" w:eastAsia="Book Antiqua" w:cs="Book Antiqua"/>
          <w:color w:val="000000" w:themeColor="text1"/>
          <w14:textFill>
            <w14:solidFill>
              <w14:schemeClr w14:val="tx1"/>
            </w14:solidFill>
          </w14:textFill>
        </w:rPr>
        <w:t xml:space="preserve">, Fenouille N, Auberger P. When autophagy meets cancer through p62/SQSTM1. </w:t>
      </w:r>
      <w:r>
        <w:rPr>
          <w:rFonts w:ascii="Book Antiqua" w:hAnsi="Book Antiqua" w:eastAsia="Book Antiqua" w:cs="Book Antiqua"/>
          <w:i/>
          <w:iCs/>
          <w:color w:val="000000" w:themeColor="text1"/>
          <w14:textFill>
            <w14:solidFill>
              <w14:schemeClr w14:val="tx1"/>
            </w14:solidFill>
          </w14:textFill>
        </w:rPr>
        <w:t>Am J Cancer Res</w:t>
      </w:r>
      <w:r>
        <w:rPr>
          <w:rFonts w:ascii="Book Antiqua" w:hAnsi="Book Antiqua" w:eastAsia="Book Antiqua" w:cs="Book Antiqua"/>
          <w:color w:val="000000" w:themeColor="text1"/>
          <w14:textFill>
            <w14:solidFill>
              <w14:schemeClr w14:val="tx1"/>
            </w14:solidFill>
          </w14:textFill>
        </w:rPr>
        <w:t xml:space="preserve"> 2012; </w:t>
      </w:r>
      <w:r>
        <w:rPr>
          <w:rFonts w:ascii="Book Antiqua" w:hAnsi="Book Antiqua" w:eastAsia="Book Antiqua" w:cs="Book Antiqua"/>
          <w:b/>
          <w:bCs/>
          <w:color w:val="000000" w:themeColor="text1"/>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397-413 [PMID: 22860231]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17 </w:t>
      </w:r>
      <w:r>
        <w:rPr>
          <w:rFonts w:ascii="Book Antiqua" w:hAnsi="Book Antiqua" w:eastAsia="Book Antiqua" w:cs="Book Antiqua"/>
          <w:b/>
          <w:bCs/>
          <w:color w:val="000000" w:themeColor="text1"/>
          <w14:textFill>
            <w14:solidFill>
              <w14:schemeClr w14:val="tx1"/>
            </w14:solidFill>
          </w14:textFill>
        </w:rPr>
        <w:t>Marrero JA</w:t>
      </w:r>
      <w:r>
        <w:rPr>
          <w:rFonts w:ascii="Book Antiqua" w:hAnsi="Book Antiqua" w:eastAsia="Book Antiqua" w:cs="Book Antiqua"/>
          <w:color w:val="000000" w:themeColor="text1"/>
          <w14:textFill>
            <w14:solidFill>
              <w14:schemeClr w14:val="tx1"/>
            </w14:solidFill>
          </w14:textFill>
        </w:rPr>
        <w:t xml:space="preserve">, Kulik LM, Sirlin CB, Zhu AX, Finn RS, Abecassis MM, Roberts LR, Heimbach JK. Diagnosis, Staging, and Management of Hepatocellular Carcinoma: 2018 Practice Guidance by the American Association for the Study of Liver Diseases. </w:t>
      </w:r>
      <w:r>
        <w:rPr>
          <w:rFonts w:ascii="Book Antiqua" w:hAnsi="Book Antiqua" w:eastAsia="Book Antiqua" w:cs="Book Antiqua"/>
          <w:i/>
          <w:iCs/>
          <w:color w:val="000000" w:themeColor="text1"/>
          <w14:textFill>
            <w14:solidFill>
              <w14:schemeClr w14:val="tx1"/>
            </w14:solidFill>
          </w14:textFill>
        </w:rPr>
        <w:t>Hepatology</w:t>
      </w:r>
      <w:r>
        <w:rPr>
          <w:rFonts w:ascii="Book Antiqua" w:hAnsi="Book Antiqua" w:eastAsia="Book Antiqua" w:cs="Book Antiqua"/>
          <w:color w:val="000000" w:themeColor="text1"/>
          <w14:textFill>
            <w14:solidFill>
              <w14:schemeClr w14:val="tx1"/>
            </w14:solidFill>
          </w14:textFill>
        </w:rPr>
        <w:t xml:space="preserve"> 2018; </w:t>
      </w:r>
      <w:r>
        <w:rPr>
          <w:rFonts w:ascii="Book Antiqua" w:hAnsi="Book Antiqua" w:eastAsia="Book Antiqua" w:cs="Book Antiqua"/>
          <w:b/>
          <w:bCs/>
          <w:color w:val="000000" w:themeColor="text1"/>
          <w14:textFill>
            <w14:solidFill>
              <w14:schemeClr w14:val="tx1"/>
            </w14:solidFill>
          </w14:textFill>
        </w:rPr>
        <w:t>68</w:t>
      </w:r>
      <w:r>
        <w:rPr>
          <w:rFonts w:ascii="Book Antiqua" w:hAnsi="Book Antiqua" w:eastAsia="Book Antiqua" w:cs="Book Antiqua"/>
          <w:color w:val="000000" w:themeColor="text1"/>
          <w14:textFill>
            <w14:solidFill>
              <w14:schemeClr w14:val="tx1"/>
            </w14:solidFill>
          </w14:textFill>
        </w:rPr>
        <w:t>: 723-750 [PMID: 29624699 DOI: 10.1002/hep.29913]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18 </w:t>
      </w:r>
      <w:r>
        <w:rPr>
          <w:rFonts w:ascii="Book Antiqua" w:hAnsi="Book Antiqua" w:eastAsia="Book Antiqua" w:cs="Book Antiqua"/>
          <w:b/>
          <w:bCs/>
          <w:color w:val="000000" w:themeColor="text1"/>
          <w14:textFill>
            <w14:solidFill>
              <w14:schemeClr w14:val="tx1"/>
            </w14:solidFill>
          </w14:textFill>
        </w:rPr>
        <w:t>Fornari F</w:t>
      </w:r>
      <w:r>
        <w:rPr>
          <w:rFonts w:ascii="Book Antiqua" w:hAnsi="Book Antiqua" w:eastAsia="Book Antiqua" w:cs="Book Antiqua"/>
          <w:color w:val="000000" w:themeColor="text1"/>
          <w14:textFill>
            <w14:solidFill>
              <w14:schemeClr w14:val="tx1"/>
            </w14:solidFill>
          </w14:textFill>
        </w:rPr>
        <w:t xml:space="preserve">, Milazzo M, Chieco P, Negrini M, Marasco E, Capranico G, Mantovani V, Marinello J, Sabbioni S, Callegari E, Cescon M, Ravaioli M, Croce CM, Bolondi L, Gramantieri L. In hepatocellular carcinoma miR-519d is up-regulated by p53 and DNA hypomethylation and targets CDKN1A/p21, PTEN, AKT3 and TIMP2. </w:t>
      </w:r>
      <w:r>
        <w:rPr>
          <w:rFonts w:ascii="Book Antiqua" w:hAnsi="Book Antiqua" w:eastAsia="Book Antiqua" w:cs="Book Antiqua"/>
          <w:i/>
          <w:iCs/>
          <w:color w:val="000000" w:themeColor="text1"/>
          <w14:textFill>
            <w14:solidFill>
              <w14:schemeClr w14:val="tx1"/>
            </w14:solidFill>
          </w14:textFill>
        </w:rPr>
        <w:t>J Pathol</w:t>
      </w:r>
      <w:r>
        <w:rPr>
          <w:rFonts w:ascii="Book Antiqua" w:hAnsi="Book Antiqua" w:eastAsia="Book Antiqua" w:cs="Book Antiqua"/>
          <w:color w:val="000000" w:themeColor="text1"/>
          <w14:textFill>
            <w14:solidFill>
              <w14:schemeClr w14:val="tx1"/>
            </w14:solidFill>
          </w14:textFill>
        </w:rPr>
        <w:t xml:space="preserve"> 2012; </w:t>
      </w:r>
      <w:r>
        <w:rPr>
          <w:rFonts w:ascii="Book Antiqua" w:hAnsi="Book Antiqua" w:eastAsia="Book Antiqua" w:cs="Book Antiqua"/>
          <w:b/>
          <w:bCs/>
          <w:color w:val="000000" w:themeColor="text1"/>
          <w14:textFill>
            <w14:solidFill>
              <w14:schemeClr w14:val="tx1"/>
            </w14:solidFill>
          </w14:textFill>
        </w:rPr>
        <w:t>227</w:t>
      </w:r>
      <w:r>
        <w:rPr>
          <w:rFonts w:ascii="Book Antiqua" w:hAnsi="Book Antiqua" w:eastAsia="Book Antiqua" w:cs="Book Antiqua"/>
          <w:color w:val="000000" w:themeColor="text1"/>
          <w14:textFill>
            <w14:solidFill>
              <w14:schemeClr w14:val="tx1"/>
            </w14:solidFill>
          </w14:textFill>
        </w:rPr>
        <w:t>: 275-285 [PMID: 22262409 DOI: 10.1002/path.3995]</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19 </w:t>
      </w:r>
      <w:r>
        <w:rPr>
          <w:rFonts w:ascii="Book Antiqua" w:hAnsi="Book Antiqua" w:eastAsia="Book Antiqua" w:cs="Book Antiqua"/>
          <w:b/>
          <w:bCs/>
          <w:color w:val="000000" w:themeColor="text1"/>
          <w14:textFill>
            <w14:solidFill>
              <w14:schemeClr w14:val="tx1"/>
            </w14:solidFill>
          </w14:textFill>
        </w:rPr>
        <w:t>Zhang YJ</w:t>
      </w:r>
      <w:r>
        <w:rPr>
          <w:rFonts w:ascii="Book Antiqua" w:hAnsi="Book Antiqua" w:eastAsia="Book Antiqua" w:cs="Book Antiqua"/>
          <w:color w:val="000000" w:themeColor="text1"/>
          <w14:textFill>
            <w14:solidFill>
              <w14:schemeClr w14:val="tx1"/>
            </w14:solidFill>
          </w14:textFill>
        </w:rPr>
        <w:t xml:space="preserve">, Pan Q, Yu Y, Zhong XP. microRNA-519d Induces Autophagy and Apoptosis of Human Hepatocellular Carcinoma Cells Through Activation of the AMPK Signaling Pathway </w:t>
      </w:r>
      <w:r>
        <w:rPr>
          <w:rFonts w:ascii="Book Antiqua" w:hAnsi="Book Antiqua" w:eastAsia="Book Antiqua" w:cs="Book Antiqua"/>
          <w:i/>
          <w:iCs/>
          <w:color w:val="000000" w:themeColor="text1"/>
          <w14:textFill>
            <w14:solidFill>
              <w14:schemeClr w14:val="tx1"/>
            </w14:solidFill>
          </w14:textFill>
        </w:rPr>
        <w:t>via</w:t>
      </w:r>
      <w:r>
        <w:rPr>
          <w:rFonts w:ascii="Book Antiqua" w:hAnsi="Book Antiqua" w:eastAsia="Book Antiqua" w:cs="Book Antiqua"/>
          <w:color w:val="000000" w:themeColor="text1"/>
          <w14:textFill>
            <w14:solidFill>
              <w14:schemeClr w14:val="tx1"/>
            </w14:solidFill>
          </w14:textFill>
        </w:rPr>
        <w:t xml:space="preserve"> Rab10. </w:t>
      </w:r>
      <w:r>
        <w:rPr>
          <w:rFonts w:ascii="Book Antiqua" w:hAnsi="Book Antiqua" w:eastAsia="Book Antiqua" w:cs="Book Antiqua"/>
          <w:i/>
          <w:iCs/>
          <w:color w:val="000000" w:themeColor="text1"/>
          <w14:textFill>
            <w14:solidFill>
              <w14:schemeClr w14:val="tx1"/>
            </w14:solidFill>
          </w14:textFill>
        </w:rPr>
        <w:t>Cancer Manag Res</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12</w:t>
      </w:r>
      <w:r>
        <w:rPr>
          <w:rFonts w:ascii="Book Antiqua" w:hAnsi="Book Antiqua" w:eastAsia="Book Antiqua" w:cs="Book Antiqua"/>
          <w:color w:val="000000" w:themeColor="text1"/>
          <w14:textFill>
            <w14:solidFill>
              <w14:schemeClr w14:val="tx1"/>
            </w14:solidFill>
          </w14:textFill>
        </w:rPr>
        <w:t>: 2589-2602 [PMID: 32346312 DOI: 10.2147/CMAR.S207548]</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20 </w:t>
      </w:r>
      <w:r>
        <w:rPr>
          <w:rFonts w:ascii="Book Antiqua" w:hAnsi="Book Antiqua" w:eastAsia="Book Antiqua" w:cs="Book Antiqua"/>
          <w:b/>
          <w:bCs/>
          <w:color w:val="000000" w:themeColor="text1"/>
          <w14:textFill>
            <w14:solidFill>
              <w14:schemeClr w14:val="tx1"/>
            </w14:solidFill>
          </w14:textFill>
        </w:rPr>
        <w:t>Gao C</w:t>
      </w:r>
      <w:r>
        <w:rPr>
          <w:rFonts w:ascii="Book Antiqua" w:hAnsi="Book Antiqua" w:eastAsia="Book Antiqua" w:cs="Book Antiqua"/>
          <w:color w:val="000000" w:themeColor="text1"/>
          <w14:textFill>
            <w14:solidFill>
              <w14:schemeClr w14:val="tx1"/>
            </w14:solidFill>
          </w14:textFill>
        </w:rPr>
        <w:t xml:space="preserve">, Fang L, Zhang H, Zhang WS, Li XO, Du SY. Metformin Induces Autophagy </w:t>
      </w:r>
      <w:r>
        <w:rPr>
          <w:rFonts w:ascii="Book Antiqua" w:hAnsi="Book Antiqua" w:eastAsia="Book Antiqua" w:cs="Book Antiqua"/>
          <w:i/>
          <w:iCs/>
          <w:color w:val="000000" w:themeColor="text1"/>
          <w14:textFill>
            <w14:solidFill>
              <w14:schemeClr w14:val="tx1"/>
            </w14:solidFill>
          </w14:textFill>
        </w:rPr>
        <w:t>via</w:t>
      </w:r>
      <w:r>
        <w:rPr>
          <w:rFonts w:ascii="Book Antiqua" w:hAnsi="Book Antiqua" w:eastAsia="Book Antiqua" w:cs="Book Antiqua"/>
          <w:color w:val="000000" w:themeColor="text1"/>
          <w14:textFill>
            <w14:solidFill>
              <w14:schemeClr w14:val="tx1"/>
            </w14:solidFill>
          </w14:textFill>
        </w:rPr>
        <w:t xml:space="preserve"> the AMPK-mTOR Signaling Pathway in Human Hepatocellular Carcinoma Cells. </w:t>
      </w:r>
      <w:r>
        <w:rPr>
          <w:rFonts w:ascii="Book Antiqua" w:hAnsi="Book Antiqua" w:eastAsia="Book Antiqua" w:cs="Book Antiqua"/>
          <w:i/>
          <w:iCs/>
          <w:color w:val="000000" w:themeColor="text1"/>
          <w14:textFill>
            <w14:solidFill>
              <w14:schemeClr w14:val="tx1"/>
            </w14:solidFill>
          </w14:textFill>
        </w:rPr>
        <w:t>Cancer Manag Res</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12</w:t>
      </w:r>
      <w:r>
        <w:rPr>
          <w:rFonts w:ascii="Book Antiqua" w:hAnsi="Book Antiqua" w:eastAsia="Book Antiqua" w:cs="Book Antiqua"/>
          <w:color w:val="000000" w:themeColor="text1"/>
          <w14:textFill>
            <w14:solidFill>
              <w14:schemeClr w14:val="tx1"/>
            </w14:solidFill>
          </w14:textFill>
        </w:rPr>
        <w:t>: 5803-5811 [PMID: 32765083 DOI: 10.2147/CMAR.S257966]</w:t>
      </w:r>
    </w:p>
    <w:p>
      <w:pPr>
        <w:spacing w:line="360" w:lineRule="auto"/>
        <w:jc w:val="both"/>
        <w:rPr>
          <w:rFonts w:ascii="Book Antiqua" w:hAnsi="Book Antiqua"/>
          <w:color w:val="000000" w:themeColor="text1"/>
          <w:lang w:val="it-IT"/>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21 </w:t>
      </w:r>
      <w:r>
        <w:rPr>
          <w:rFonts w:ascii="Book Antiqua" w:hAnsi="Book Antiqua" w:eastAsia="Book Antiqua" w:cs="Book Antiqua"/>
          <w:b/>
          <w:bCs/>
          <w:color w:val="000000" w:themeColor="text1"/>
          <w14:textFill>
            <w14:solidFill>
              <w14:schemeClr w14:val="tx1"/>
            </w14:solidFill>
          </w14:textFill>
        </w:rPr>
        <w:t>Xiang X</w:t>
      </w:r>
      <w:r>
        <w:rPr>
          <w:rFonts w:ascii="Book Antiqua" w:hAnsi="Book Antiqua" w:eastAsia="Book Antiqua" w:cs="Book Antiqua"/>
          <w:color w:val="000000" w:themeColor="text1"/>
          <w14:textFill>
            <w14:solidFill>
              <w14:schemeClr w14:val="tx1"/>
            </w14:solidFill>
          </w14:textFill>
        </w:rPr>
        <w:t xml:space="preserve">, Qin HG, You XM, Wang YY, Qi LN, Ma L, Xiang BD, Zhong JH, Li LQ. Expression of P62 in hepatocellular carcinoma involving hepatitis B virus infection and aflatoxin B1 exposure. </w:t>
      </w:r>
      <w:r>
        <w:rPr>
          <w:rFonts w:ascii="Book Antiqua" w:hAnsi="Book Antiqua" w:eastAsia="Book Antiqua" w:cs="Book Antiqua"/>
          <w:i/>
          <w:iCs/>
          <w:color w:val="000000" w:themeColor="text1"/>
          <w:lang w:val="it-IT"/>
          <w14:textFill>
            <w14:solidFill>
              <w14:schemeClr w14:val="tx1"/>
            </w14:solidFill>
          </w14:textFill>
        </w:rPr>
        <w:t>Cancer Med</w:t>
      </w:r>
      <w:r>
        <w:rPr>
          <w:rFonts w:ascii="Book Antiqua" w:hAnsi="Book Antiqua" w:eastAsia="Book Antiqua" w:cs="Book Antiqua"/>
          <w:color w:val="000000" w:themeColor="text1"/>
          <w:lang w:val="it-IT"/>
          <w14:textFill>
            <w14:solidFill>
              <w14:schemeClr w14:val="tx1"/>
            </w14:solidFill>
          </w14:textFill>
        </w:rPr>
        <w:t xml:space="preserve"> 2017; </w:t>
      </w:r>
      <w:r>
        <w:rPr>
          <w:rFonts w:ascii="Book Antiqua" w:hAnsi="Book Antiqua" w:eastAsia="Book Antiqua" w:cs="Book Antiqua"/>
          <w:b/>
          <w:bCs/>
          <w:color w:val="000000" w:themeColor="text1"/>
          <w:lang w:val="it-IT"/>
          <w14:textFill>
            <w14:solidFill>
              <w14:schemeClr w14:val="tx1"/>
            </w14:solidFill>
          </w14:textFill>
        </w:rPr>
        <w:t>6</w:t>
      </w:r>
      <w:r>
        <w:rPr>
          <w:rFonts w:ascii="Book Antiqua" w:hAnsi="Book Antiqua" w:eastAsia="Book Antiqua" w:cs="Book Antiqua"/>
          <w:color w:val="000000" w:themeColor="text1"/>
          <w:lang w:val="it-IT"/>
          <w14:textFill>
            <w14:solidFill>
              <w14:schemeClr w14:val="tx1"/>
            </w14:solidFill>
          </w14:textFill>
        </w:rPr>
        <w:t>: 2357-2369 [PMID: 28941211 DOI: 10.1002/cam4.1176]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lang w:val="it-IT"/>
          <w14:textFill>
            <w14:solidFill>
              <w14:schemeClr w14:val="tx1"/>
            </w14:solidFill>
          </w14:textFill>
        </w:rPr>
        <w:t xml:space="preserve">22 </w:t>
      </w:r>
      <w:r>
        <w:rPr>
          <w:rFonts w:ascii="Book Antiqua" w:hAnsi="Book Antiqua" w:eastAsia="Book Antiqua" w:cs="Book Antiqua"/>
          <w:b/>
          <w:bCs/>
          <w:color w:val="000000" w:themeColor="text1"/>
          <w:lang w:val="it-IT"/>
          <w14:textFill>
            <w14:solidFill>
              <w14:schemeClr w14:val="tx1"/>
            </w14:solidFill>
          </w14:textFill>
        </w:rPr>
        <w:t>Emanuele S</w:t>
      </w:r>
      <w:r>
        <w:rPr>
          <w:rFonts w:ascii="Book Antiqua" w:hAnsi="Book Antiqua" w:eastAsia="Book Antiqua" w:cs="Book Antiqua"/>
          <w:color w:val="000000" w:themeColor="text1"/>
          <w:lang w:val="it-IT"/>
          <w14:textFill>
            <w14:solidFill>
              <w14:schemeClr w14:val="tx1"/>
            </w14:solidFill>
          </w14:textFill>
        </w:rPr>
        <w:t xml:space="preserve">, Lauricella M, D'Anneo A, Carlisi D, De Blasio A, Di Liberto D, Giuliano M. p62: Friend or Foe? </w:t>
      </w:r>
      <w:r>
        <w:rPr>
          <w:rFonts w:ascii="Book Antiqua" w:hAnsi="Book Antiqua" w:eastAsia="Book Antiqua" w:cs="Book Antiqua"/>
          <w:color w:val="000000" w:themeColor="text1"/>
          <w14:textFill>
            <w14:solidFill>
              <w14:schemeClr w14:val="tx1"/>
            </w14:solidFill>
          </w14:textFill>
        </w:rPr>
        <w:t xml:space="preserve">Evidences for </w:t>
      </w:r>
      <w:r>
        <w:rPr>
          <w:rFonts w:ascii="Book Antiqua" w:hAnsi="Book Antiqua" w:eastAsia="Book Antiqua" w:cs="Book Antiqua"/>
          <w:i/>
          <w:iCs/>
          <w:color w:val="000000" w:themeColor="text1"/>
          <w14:textFill>
            <w14:solidFill>
              <w14:schemeClr w14:val="tx1"/>
            </w14:solidFill>
          </w14:textFill>
        </w:rPr>
        <w:t>OncoJanus</w:t>
      </w:r>
      <w:r>
        <w:rPr>
          <w:rFonts w:ascii="Book Antiqua" w:hAnsi="Book Antiqua" w:eastAsia="Book Antiqua" w:cs="Book Antiqua"/>
          <w:color w:val="000000" w:themeColor="text1"/>
          <w14:textFill>
            <w14:solidFill>
              <w14:schemeClr w14:val="tx1"/>
            </w14:solidFill>
          </w14:textFill>
        </w:rPr>
        <w:t xml:space="preserve"> and </w:t>
      </w:r>
      <w:r>
        <w:rPr>
          <w:rFonts w:ascii="Book Antiqua" w:hAnsi="Book Antiqua" w:eastAsia="Book Antiqua" w:cs="Book Antiqua"/>
          <w:i/>
          <w:iCs/>
          <w:color w:val="000000" w:themeColor="text1"/>
          <w14:textFill>
            <w14:solidFill>
              <w14:schemeClr w14:val="tx1"/>
            </w14:solidFill>
          </w14:textFill>
        </w:rPr>
        <w:t>NeuroJanus</w:t>
      </w:r>
      <w:r>
        <w:rPr>
          <w:rFonts w:ascii="Book Antiqua" w:hAnsi="Book Antiqua" w:eastAsia="Book Antiqua" w:cs="Book Antiqua"/>
          <w:color w:val="000000" w:themeColor="text1"/>
          <w14:textFill>
            <w14:solidFill>
              <w14:schemeClr w14:val="tx1"/>
            </w14:solidFill>
          </w14:textFill>
        </w:rPr>
        <w:t xml:space="preserve"> Roles. </w:t>
      </w:r>
      <w:r>
        <w:rPr>
          <w:rFonts w:ascii="Book Antiqua" w:hAnsi="Book Antiqua" w:eastAsia="Book Antiqua" w:cs="Book Antiqua"/>
          <w:i/>
          <w:iCs/>
          <w:color w:val="000000" w:themeColor="text1"/>
          <w14:textFill>
            <w14:solidFill>
              <w14:schemeClr w14:val="tx1"/>
            </w14:solidFill>
          </w14:textFill>
        </w:rPr>
        <w:t>Int J Mol Sci</w:t>
      </w:r>
      <w:r>
        <w:rPr>
          <w:rFonts w:ascii="Book Antiqua" w:hAnsi="Book Antiqua" w:eastAsia="Book Antiqua" w:cs="Book Antiqua"/>
          <w:color w:val="000000" w:themeColor="text1"/>
          <w14:textFill>
            <w14:solidFill>
              <w14:schemeClr w14:val="tx1"/>
            </w14:solidFill>
          </w14:textFill>
        </w:rPr>
        <w:t xml:space="preserve"> 2020; </w:t>
      </w:r>
      <w:r>
        <w:rPr>
          <w:rFonts w:ascii="Book Antiqua" w:hAnsi="Book Antiqua" w:eastAsia="Book Antiqua" w:cs="Book Antiqua"/>
          <w:b/>
          <w:bCs/>
          <w:color w:val="000000" w:themeColor="text1"/>
          <w14:textFill>
            <w14:solidFill>
              <w14:schemeClr w14:val="tx1"/>
            </w14:solidFill>
          </w14:textFill>
        </w:rPr>
        <w:t>21</w:t>
      </w:r>
      <w:r>
        <w:rPr>
          <w:rFonts w:ascii="Book Antiqua" w:hAnsi="Book Antiqua" w:eastAsia="Book Antiqua" w:cs="Book Antiqua"/>
          <w:color w:val="000000" w:themeColor="text1"/>
          <w14:textFill>
            <w14:solidFill>
              <w14:schemeClr w14:val="tx1"/>
            </w14:solidFill>
          </w14:textFill>
        </w:rPr>
        <w:t xml:space="preserve"> [PMID: 32708719 DOI: 10.3390/ijms21145029]</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23 </w:t>
      </w:r>
      <w:r>
        <w:rPr>
          <w:rFonts w:ascii="Book Antiqua" w:hAnsi="Book Antiqua" w:eastAsia="Book Antiqua" w:cs="Book Antiqua"/>
          <w:b/>
          <w:bCs/>
          <w:color w:val="000000" w:themeColor="text1"/>
          <w14:textFill>
            <w14:solidFill>
              <w14:schemeClr w14:val="tx1"/>
            </w14:solidFill>
          </w14:textFill>
        </w:rPr>
        <w:t>Lamark T</w:t>
      </w:r>
      <w:r>
        <w:rPr>
          <w:rFonts w:ascii="Book Antiqua" w:hAnsi="Book Antiqua" w:eastAsia="Book Antiqua" w:cs="Book Antiqua"/>
          <w:color w:val="000000" w:themeColor="text1"/>
          <w14:textFill>
            <w14:solidFill>
              <w14:schemeClr w14:val="tx1"/>
            </w14:solidFill>
          </w14:textFill>
        </w:rPr>
        <w:t xml:space="preserve">, Svenning S, Johansen T. Regulation of selective autophagy: the p62/SQSTM1 paradigm. </w:t>
      </w:r>
      <w:r>
        <w:rPr>
          <w:rFonts w:ascii="Book Antiqua" w:hAnsi="Book Antiqua" w:eastAsia="Book Antiqua" w:cs="Book Antiqua"/>
          <w:i/>
          <w:iCs/>
          <w:color w:val="000000" w:themeColor="text1"/>
          <w14:textFill>
            <w14:solidFill>
              <w14:schemeClr w14:val="tx1"/>
            </w14:solidFill>
          </w14:textFill>
        </w:rPr>
        <w:t>Essays Biochem</w:t>
      </w:r>
      <w:r>
        <w:rPr>
          <w:rFonts w:ascii="Book Antiqua" w:hAnsi="Book Antiqua" w:eastAsia="Book Antiqua" w:cs="Book Antiqua"/>
          <w:color w:val="000000" w:themeColor="text1"/>
          <w14:textFill>
            <w14:solidFill>
              <w14:schemeClr w14:val="tx1"/>
            </w14:solidFill>
          </w14:textFill>
        </w:rPr>
        <w:t xml:space="preserve"> 2017; </w:t>
      </w:r>
      <w:r>
        <w:rPr>
          <w:rFonts w:ascii="Book Antiqua" w:hAnsi="Book Antiqua" w:eastAsia="Book Antiqua" w:cs="Book Antiqua"/>
          <w:b/>
          <w:bCs/>
          <w:color w:val="000000" w:themeColor="text1"/>
          <w14:textFill>
            <w14:solidFill>
              <w14:schemeClr w14:val="tx1"/>
            </w14:solidFill>
          </w14:textFill>
        </w:rPr>
        <w:t>61</w:t>
      </w:r>
      <w:r>
        <w:rPr>
          <w:rFonts w:ascii="Book Antiqua" w:hAnsi="Book Antiqua" w:eastAsia="Book Antiqua" w:cs="Book Antiqua"/>
          <w:color w:val="000000" w:themeColor="text1"/>
          <w14:textFill>
            <w14:solidFill>
              <w14:schemeClr w14:val="tx1"/>
            </w14:solidFill>
          </w14:textFill>
        </w:rPr>
        <w:t>: 609-624 [PMID: 29233872 DOI: 10.1042/EBC20170035]</w:t>
      </w:r>
    </w:p>
    <w:p>
      <w:pPr>
        <w:spacing w:line="360" w:lineRule="auto"/>
        <w:jc w:val="both"/>
        <w:rPr>
          <w:rFonts w:ascii="Book Antiqua" w:hAnsi="Book Antiqua" w:cs="Book Antiqua"/>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24 </w:t>
      </w:r>
      <w:r>
        <w:rPr>
          <w:rFonts w:ascii="Book Antiqua" w:hAnsi="Book Antiqua" w:eastAsia="Book Antiqua" w:cs="Book Antiqua"/>
          <w:b/>
          <w:bCs/>
          <w:color w:val="000000" w:themeColor="text1"/>
          <w14:textFill>
            <w14:solidFill>
              <w14:schemeClr w14:val="tx1"/>
            </w14:solidFill>
          </w14:textFill>
        </w:rPr>
        <w:t>Umemura A</w:t>
      </w:r>
      <w:r>
        <w:rPr>
          <w:rFonts w:ascii="Book Antiqua" w:hAnsi="Book Antiqua" w:eastAsia="Book Antiqua" w:cs="Book Antiqua"/>
          <w:color w:val="000000" w:themeColor="text1"/>
          <w14:textFill>
            <w14:solidFill>
              <w14:schemeClr w14:val="tx1"/>
            </w14:solidFill>
          </w14:textFill>
        </w:rPr>
        <w:t xml:space="preserve">, He F, Taniguchi K, Nakagawa H, Yamachika S, Font-Burgada J, Zhong Z, Subramaniam S, Raghunandan S, Duran A, Linares JF, Reina-Campos M, Umemura S, Valasek MA, Seki E, Yamaguchi K, Koike K, Itoh Y, Diaz-Meco MT, Moscat J, Karin M. p62, Upregulated during Preneoplasia, Induces Hepatocellular Carcinogenesis by Maintaining Survival of Stressed HCC-Initiating Cells. </w:t>
      </w:r>
      <w:r>
        <w:rPr>
          <w:rFonts w:ascii="Book Antiqua" w:hAnsi="Book Antiqua" w:eastAsia="Book Antiqua" w:cs="Book Antiqua"/>
          <w:i/>
          <w:iCs/>
          <w:color w:val="000000" w:themeColor="text1"/>
          <w14:textFill>
            <w14:solidFill>
              <w14:schemeClr w14:val="tx1"/>
            </w14:solidFill>
          </w14:textFill>
        </w:rPr>
        <w:t>Cancer Cell</w:t>
      </w:r>
      <w:r>
        <w:rPr>
          <w:rFonts w:ascii="Book Antiqua" w:hAnsi="Book Antiqua" w:eastAsia="Book Antiqua" w:cs="Book Antiqua"/>
          <w:color w:val="000000" w:themeColor="text1"/>
          <w14:textFill>
            <w14:solidFill>
              <w14:schemeClr w14:val="tx1"/>
            </w14:solidFill>
          </w14:textFill>
        </w:rPr>
        <w:t xml:space="preserve"> 2016; </w:t>
      </w:r>
      <w:r>
        <w:rPr>
          <w:rFonts w:ascii="Book Antiqua" w:hAnsi="Book Antiqua" w:eastAsia="Book Antiqua" w:cs="Book Antiqua"/>
          <w:b/>
          <w:bCs/>
          <w:color w:val="000000" w:themeColor="text1"/>
          <w14:textFill>
            <w14:solidFill>
              <w14:schemeClr w14:val="tx1"/>
            </w14:solidFill>
          </w14:textFill>
        </w:rPr>
        <w:t>29</w:t>
      </w:r>
      <w:r>
        <w:rPr>
          <w:rFonts w:ascii="Book Antiqua" w:hAnsi="Book Antiqua" w:eastAsia="Book Antiqua" w:cs="Book Antiqua"/>
          <w:color w:val="000000" w:themeColor="text1"/>
          <w14:textFill>
            <w14:solidFill>
              <w14:schemeClr w14:val="tx1"/>
            </w14:solidFill>
          </w14:textFill>
        </w:rPr>
        <w:t>: 935-948 [PMID: 27211490 DOI: 10.1016/j.ccell.2016.04.006]</w:t>
      </w:r>
    </w:p>
    <w:p>
      <w:pPr>
        <w:spacing w:line="360" w:lineRule="auto"/>
        <w:jc w:val="both"/>
        <w:rPr>
          <w:rFonts w:ascii="Book Antiqua" w:hAnsi="Book Antiqua"/>
          <w:color w:val="000000" w:themeColor="text1"/>
          <w:lang w:eastAsia="zh-CN"/>
          <w14:textFill>
            <w14:solidFill>
              <w14:schemeClr w14:val="tx1"/>
            </w14:solidFill>
          </w14:textFill>
        </w:rPr>
      </w:pP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br w:type="page"/>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Footnotes</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Institutional review board statement: </w:t>
      </w:r>
      <w:r>
        <w:rPr>
          <w:rFonts w:ascii="Book Antiqua" w:hAnsi="Book Antiqua" w:eastAsia="Book Antiqua" w:cs="Book Antiqua"/>
          <w:color w:val="000000" w:themeColor="text1"/>
          <w14:textFill>
            <w14:solidFill>
              <w14:schemeClr w14:val="tx1"/>
            </w14:solidFill>
          </w14:textFill>
        </w:rPr>
        <w:t xml:space="preserve">The Internal Medicine Department, Faculty of Medicine, Ain Shams University, approved this study’s protocol in 2016 for ethics of conducting the study and in accordance with the ethical standards of the Declaration of Helsinki. Informed consent was obtained from each participant. Both the patients and controls were randomly selected.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Informed consent statement: </w:t>
      </w:r>
      <w:r>
        <w:rPr>
          <w:rFonts w:ascii="Book Antiqua" w:hAnsi="Book Antiqua" w:eastAsia="Book Antiqua" w:cs="Book Antiqua"/>
          <w:color w:val="000000" w:themeColor="text1"/>
          <w14:textFill>
            <w14:solidFill>
              <w14:schemeClr w14:val="tx1"/>
            </w14:solidFill>
          </w14:textFill>
        </w:rPr>
        <w:t xml:space="preserve">Informed consent was obtained from each participant. Both the patients and controls were randomly selected.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Conflict-of-interest statement: </w:t>
      </w:r>
      <w:r>
        <w:rPr>
          <w:rFonts w:ascii="Book Antiqua" w:hAnsi="Book Antiqua" w:eastAsia="Book Antiqua" w:cs="Book Antiqua"/>
          <w:color w:val="000000" w:themeColor="text1"/>
          <w14:textFill>
            <w14:solidFill>
              <w14:schemeClr w14:val="tx1"/>
            </w14:solidFill>
          </w14:textFill>
        </w:rPr>
        <w:t>All Authors declare that they have no conflict of interest.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Data sharing statement: </w:t>
      </w:r>
      <w:r>
        <w:rPr>
          <w:rFonts w:ascii="Book Antiqua" w:hAnsi="Book Antiqua" w:eastAsia="Book Antiqua" w:cs="Book Antiqua"/>
          <w:color w:val="000000" w:themeColor="text1"/>
          <w14:textFill>
            <w14:solidFill>
              <w14:schemeClr w14:val="tx1"/>
            </w14:solidFill>
          </w14:textFill>
        </w:rPr>
        <w:t>Data sharing of the original excel sheets and other datasets could be obtained upon request and approval of all authors.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STROBE statement: </w:t>
      </w:r>
      <w:r>
        <w:rPr>
          <w:rFonts w:ascii="Book Antiqua" w:hAnsi="Book Antiqua" w:eastAsia="Book Antiqua" w:cs="Book Antiqua"/>
          <w:color w:val="000000" w:themeColor="text1"/>
          <w14:textFill>
            <w14:solidFill>
              <w14:schemeClr w14:val="tx1"/>
            </w14:solidFill>
          </w14:textFill>
        </w:rPr>
        <w:t>The authors have read the STROBE Statement—checklist of items, and the manuscript was prepared and revised according to the STROBE Statement—checklist of items.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Open-Access: </w:t>
      </w:r>
      <w:r>
        <w:rPr>
          <w:rFonts w:ascii="Book Antiqua" w:hAnsi="Book Antiqua" w:eastAsia="Book Antiqua" w:cs="Book Antiqua"/>
          <w:color w:val="000000" w:themeColor="text1"/>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source: </w:t>
      </w:r>
      <w:r>
        <w:rPr>
          <w:rFonts w:ascii="Book Antiqua" w:hAnsi="Book Antiqua" w:eastAsia="Book Antiqua" w:cs="Book Antiqua"/>
          <w:color w:val="000000" w:themeColor="text1"/>
          <w14:textFill>
            <w14:solidFill>
              <w14:schemeClr w14:val="tx1"/>
            </w14:solidFill>
          </w14:textFill>
        </w:rPr>
        <w:t xml:space="preserve">Invited </w:t>
      </w:r>
      <w:r>
        <w:rPr>
          <w:rFonts w:ascii="Book Antiqua" w:hAnsi="Book Antiqua" w:cs="Book Antiqua"/>
          <w:color w:val="000000" w:themeColor="text1"/>
          <w:lang w:eastAsia="zh-CN"/>
          <w14:textFill>
            <w14:solidFill>
              <w14:schemeClr w14:val="tx1"/>
            </w14:solidFill>
          </w14:textFill>
        </w:rPr>
        <w:t>m</w:t>
      </w:r>
      <w:r>
        <w:rPr>
          <w:rFonts w:ascii="Book Antiqua" w:hAnsi="Book Antiqua" w:eastAsia="Book Antiqua" w:cs="Book Antiqua"/>
          <w:color w:val="000000" w:themeColor="text1"/>
          <w14:textFill>
            <w14:solidFill>
              <w14:schemeClr w14:val="tx1"/>
            </w14:solidFill>
          </w14:textFill>
        </w:rPr>
        <w:t>anuscript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Peer-review model:</w:t>
      </w:r>
      <w:r>
        <w:rPr>
          <w:rFonts w:ascii="Book Antiqua" w:hAnsi="Book Antiqua"/>
          <w:color w:val="000000" w:themeColor="text1"/>
          <w14:textFill>
            <w14:solidFill>
              <w14:schemeClr w14:val="tx1"/>
            </w14:solidFill>
          </w14:textFill>
        </w:rPr>
        <w:t xml:space="preserve"> Single blind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started: </w:t>
      </w:r>
      <w:r>
        <w:rPr>
          <w:rFonts w:ascii="Book Antiqua" w:hAnsi="Book Antiqua" w:eastAsia="Book Antiqua" w:cs="Book Antiqua"/>
          <w:color w:val="000000" w:themeColor="text1"/>
          <w14:textFill>
            <w14:solidFill>
              <w14:schemeClr w14:val="tx1"/>
            </w14:solidFill>
          </w14:textFill>
        </w:rPr>
        <w:t>May 4, 2021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First decision: </w:t>
      </w:r>
      <w:r>
        <w:rPr>
          <w:rFonts w:ascii="Book Antiqua" w:hAnsi="Book Antiqua" w:eastAsia="Book Antiqua" w:cs="Book Antiqua"/>
          <w:color w:val="000000" w:themeColor="text1"/>
          <w14:textFill>
            <w14:solidFill>
              <w14:schemeClr w14:val="tx1"/>
            </w14:solidFill>
          </w14:textFill>
        </w:rPr>
        <w:t>June 16, 2021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Article in press: </w:t>
      </w:r>
      <w:r>
        <w:rPr>
          <w:rFonts w:ascii="Book Antiqua" w:hAnsi="Book Antiqua" w:eastAsia="Book Antiqua" w:cs="Book Antiqua"/>
          <w:color w:val="000000" w:themeColor="text1"/>
          <w14:textFill>
            <w14:solidFill>
              <w14:schemeClr w14:val="tx1"/>
            </w14:solidFill>
          </w14:textFill>
        </w:rPr>
        <w:t>October 27, 2021</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Specialty type: </w:t>
      </w:r>
      <w:r>
        <w:rPr>
          <w:rFonts w:ascii="Book Antiqua" w:hAnsi="Book Antiqua" w:eastAsia="微软雅黑" w:cs="宋体"/>
          <w:color w:val="000000" w:themeColor="text1"/>
          <w14:textFill>
            <w14:solidFill>
              <w14:schemeClr w14:val="tx1"/>
            </w14:solidFill>
          </w14:textFill>
        </w:rPr>
        <w:t>Gastroenterology and hepatology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Country/Territory of origin: </w:t>
      </w:r>
      <w:r>
        <w:rPr>
          <w:rFonts w:ascii="Book Antiqua" w:hAnsi="Book Antiqua" w:eastAsia="Book Antiqua" w:cs="Book Antiqua"/>
          <w:color w:val="000000" w:themeColor="text1"/>
          <w14:textFill>
            <w14:solidFill>
              <w14:schemeClr w14:val="tx1"/>
            </w14:solidFill>
          </w14:textFill>
        </w:rPr>
        <w:t>Egypt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Peer-review report’s scientific quality classification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A (Excellent):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B (Very good): B</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C (Good): C</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D (Fair):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E (Poor): 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s="Book Antiqua"/>
          <w:b/>
          <w:color w:val="000000" w:themeColor="text1"/>
          <w:lang w:eastAsia="zh-CN"/>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P-Reviewer: </w:t>
      </w:r>
      <w:r>
        <w:rPr>
          <w:rFonts w:ascii="Book Antiqua" w:hAnsi="Book Antiqua" w:eastAsia="Book Antiqua" w:cs="Book Antiqua"/>
          <w:color w:val="000000" w:themeColor="text1"/>
          <w14:textFill>
            <w14:solidFill>
              <w14:schemeClr w14:val="tx1"/>
            </w14:solidFill>
          </w14:textFill>
        </w:rPr>
        <w:t>Wang CY</w:t>
      </w:r>
      <w:r>
        <w:rPr>
          <w:rFonts w:ascii="Book Antiqua" w:hAnsi="Book Antiqua" w:eastAsia="Book Antiqua" w:cs="Book Antiqua"/>
          <w:b/>
          <w:color w:val="000000" w:themeColor="text1"/>
          <w14:textFill>
            <w14:solidFill>
              <w14:schemeClr w14:val="tx1"/>
            </w14:solidFill>
          </w14:textFill>
        </w:rPr>
        <w:t xml:space="preserve"> S-Editor: </w:t>
      </w:r>
      <w:r>
        <w:rPr>
          <w:rFonts w:ascii="Book Antiqua" w:hAnsi="Book Antiqua" w:eastAsia="Book Antiqua" w:cs="Book Antiqua"/>
          <w:color w:val="000000" w:themeColor="text1"/>
          <w14:textFill>
            <w14:solidFill>
              <w14:schemeClr w14:val="tx1"/>
            </w14:solidFill>
          </w14:textFill>
        </w:rPr>
        <w:t>Fan JR</w:t>
      </w:r>
      <w:r>
        <w:rPr>
          <w:rFonts w:ascii="Book Antiqua" w:hAnsi="Book Antiqua" w:eastAsia="Book Antiqua" w:cs="Book Antiqua"/>
          <w:b/>
          <w:color w:val="000000" w:themeColor="text1"/>
          <w14:textFill>
            <w14:solidFill>
              <w14:schemeClr w14:val="tx1"/>
            </w14:solidFill>
          </w14:textFill>
        </w:rPr>
        <w:t xml:space="preserve"> L-Editor: </w:t>
      </w:r>
      <w:r>
        <w:rPr>
          <w:rFonts w:ascii="Book Antiqua" w:hAnsi="Book Antiqua" w:eastAsia="Book Antiqua" w:cs="Book Antiqua"/>
          <w:bCs/>
          <w:color w:val="000000" w:themeColor="text1"/>
          <w14:textFill>
            <w14:solidFill>
              <w14:schemeClr w14:val="tx1"/>
            </w14:solidFill>
          </w14:textFill>
        </w:rPr>
        <w:t xml:space="preserve">Filipodia </w:t>
      </w:r>
      <w:r>
        <w:rPr>
          <w:rFonts w:ascii="Book Antiqua" w:hAnsi="Book Antiqua" w:eastAsia="Book Antiqua" w:cs="Book Antiqua"/>
          <w:b/>
          <w:color w:val="000000" w:themeColor="text1"/>
          <w14:textFill>
            <w14:solidFill>
              <w14:schemeClr w14:val="tx1"/>
            </w14:solidFill>
          </w14:textFill>
        </w:rPr>
        <w:t xml:space="preserve">P-Editor: </w:t>
      </w:r>
      <w:r>
        <w:rPr>
          <w:rFonts w:ascii="Book Antiqua" w:hAnsi="Book Antiqua" w:eastAsia="Book Antiqua" w:cs="Book Antiqua"/>
          <w:color w:val="000000" w:themeColor="text1"/>
          <w14:textFill>
            <w14:solidFill>
              <w14:schemeClr w14:val="tx1"/>
            </w14:solidFill>
          </w14:textFill>
        </w:rPr>
        <w:t>Fan JR</w:t>
      </w:r>
    </w:p>
    <w:p>
      <w:pPr>
        <w:spacing w:line="360" w:lineRule="auto"/>
        <w:jc w:val="both"/>
        <w:rPr>
          <w:rFonts w:ascii="Book Antiqua" w:hAnsi="Book Antiqua" w:cs="Book Antiqua"/>
          <w:b/>
          <w:color w:val="000000" w:themeColor="text1"/>
          <w:lang w:eastAsia="zh-CN"/>
          <w14:textFill>
            <w14:solidFill>
              <w14:schemeClr w14:val="tx1"/>
            </w14:solidFill>
          </w14:textFill>
        </w:rPr>
      </w:pP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br w:type="page"/>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Figure Legends</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drawing>
          <wp:inline distT="0" distB="0" distL="0" distR="0">
            <wp:extent cx="5924550" cy="4305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924550" cy="4305300"/>
                    </a:xfrm>
                    <a:prstGeom prst="rect">
                      <a:avLst/>
                    </a:prstGeom>
                    <a:noFill/>
                    <a:ln>
                      <a:noFill/>
                    </a:ln>
                  </pic:spPr>
                </pic:pic>
              </a:graphicData>
            </a:graphic>
          </wp:inline>
        </w:drawing>
      </w:r>
    </w:p>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Figure 1 Bioinformatic search and validation of the newly diagnostic biomarkers.</w:t>
      </w:r>
      <w:r>
        <w:rPr>
          <w:rFonts w:ascii="Book Antiqua" w:hAnsi="Book Antiqua" w:cs="Book Antiqua"/>
          <w:b/>
          <w:bCs/>
          <w:color w:val="000000" w:themeColor="text1"/>
          <w:lang w:eastAsia="zh-CN"/>
          <w14:textFill>
            <w14:solidFill>
              <w14:schemeClr w14:val="tx1"/>
            </w14:solidFill>
          </w14:textFill>
        </w:rPr>
        <w:t xml:space="preserve"> </w:t>
      </w:r>
      <w:r>
        <w:rPr>
          <w:rFonts w:ascii="Book Antiqua" w:hAnsi="Book Antiqua"/>
          <w:bCs/>
          <w:color w:val="000000" w:themeColor="text1"/>
          <w:lang w:eastAsia="zh-CN"/>
          <w14:textFill>
            <w14:solidFill>
              <w14:schemeClr w14:val="tx1"/>
            </w14:solidFill>
          </w14:textFill>
        </w:rPr>
        <w:t>A</w:t>
      </w:r>
      <w:r>
        <w:rPr>
          <w:rFonts w:ascii="Book Antiqua" w:hAnsi="Book Antiqua"/>
          <w:bCs/>
          <w:color w:val="000000" w:themeColor="text1"/>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miR-519d-3p and</w:t>
      </w:r>
      <w:r>
        <w:rPr>
          <w:rFonts w:ascii="Book Antiqua" w:hAnsi="Book Antiqua" w:eastAsia="Book Antiqua" w:cs="Book Antiqua"/>
          <w:bCs/>
          <w:color w:val="000000" w:themeColor="text1"/>
          <w14:textFill>
            <w14:solidFill>
              <w14:schemeClr w14:val="tx1"/>
            </w14:solidFill>
          </w14:textFill>
        </w:rPr>
        <w:t xml:space="preserve"> </w:t>
      </w:r>
      <w:r>
        <w:rPr>
          <w:rFonts w:ascii="Book Antiqua" w:hAnsi="Book Antiqua"/>
          <w:i/>
          <w:color w:val="000000" w:themeColor="text1"/>
          <w14:textFill>
            <w14:solidFill>
              <w14:schemeClr w14:val="tx1"/>
            </w14:solidFill>
          </w14:textFill>
        </w:rPr>
        <w:t>SQSTM1</w:t>
      </w:r>
      <w:r>
        <w:rPr>
          <w:rFonts w:ascii="Book Antiqua" w:hAnsi="Book Antiqua"/>
          <w:bCs/>
          <w:color w:val="000000" w:themeColor="text1"/>
          <w:lang w:bidi="ar-EG"/>
          <w14:textFill>
            <w14:solidFill>
              <w14:schemeClr w14:val="tx1"/>
            </w14:solidFill>
          </w14:textFill>
        </w:rPr>
        <w:t xml:space="preserve"> as a targeted mRNA according to miRDB (http://mirdb.org/cgi-bin/search.cgi?searchType=miRNA&amp;full=mirbase&amp;searchBox=MIMAT0002853)</w:t>
      </w:r>
      <w:r>
        <w:rPr>
          <w:rFonts w:ascii="Book Antiqua" w:hAnsi="Book Antiqua"/>
          <w:bCs/>
          <w:color w:val="000000" w:themeColor="text1"/>
          <w:lang w:eastAsia="zh-CN" w:bidi="ar-EG"/>
          <w14:textFill>
            <w14:solidFill>
              <w14:schemeClr w14:val="tx1"/>
            </w14:solidFill>
          </w14:textFill>
        </w:rPr>
        <w:t xml:space="preserve">; </w:t>
      </w:r>
      <w:bookmarkStart w:id="3" w:name="_Toc51106446"/>
      <w:r>
        <w:rPr>
          <w:rFonts w:ascii="Book Antiqua" w:hAnsi="Book Antiqua"/>
          <w:bCs/>
          <w:color w:val="000000" w:themeColor="text1"/>
          <w:lang w:eastAsia="zh-CN"/>
          <w14:textFill>
            <w14:solidFill>
              <w14:schemeClr w14:val="tx1"/>
            </w14:solidFill>
          </w14:textFill>
        </w:rPr>
        <w:t>B</w:t>
      </w:r>
      <w:r>
        <w:rPr>
          <w:rFonts w:ascii="Book Antiqua" w:hAnsi="Book Antiqua"/>
          <w:bCs/>
          <w:color w:val="000000" w:themeColor="text1"/>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 xml:space="preserve">A network of 923 genes targeted by hsa-miR-519d-3p, along with focusing on </w:t>
      </w:r>
      <w:r>
        <w:rPr>
          <w:rFonts w:ascii="Book Antiqua" w:hAnsi="Book Antiqua"/>
          <w:i/>
          <w:color w:val="000000" w:themeColor="text1"/>
          <w14:textFill>
            <w14:solidFill>
              <w14:schemeClr w14:val="tx1"/>
            </w14:solidFill>
          </w14:textFill>
        </w:rPr>
        <w:t>SQSTM1</w:t>
      </w:r>
      <w:r>
        <w:rPr>
          <w:rFonts w:ascii="Book Antiqua" w:hAnsi="Book Antiqua"/>
          <w:bCs/>
          <w:color w:val="000000" w:themeColor="text1"/>
          <w:lang w:bidi="ar-EG"/>
          <w14:textFill>
            <w14:solidFill>
              <w14:schemeClr w14:val="tx1"/>
            </w14:solidFill>
          </w14:textFill>
        </w:rPr>
        <w:t xml:space="preserve"> in the network (</w:t>
      </w:r>
      <w:bookmarkStart w:id="4" w:name="_Hlk47317729"/>
      <w:r>
        <w:rPr>
          <w:rFonts w:ascii="Book Antiqua" w:hAnsi="Book Antiqua"/>
          <w:bCs/>
          <w:color w:val="000000" w:themeColor="text1"/>
          <w:lang w:bidi="ar-EG"/>
          <w14:textFill>
            <w14:solidFill>
              <w14:schemeClr w14:val="tx1"/>
            </w14:solidFill>
          </w14:textFill>
        </w:rPr>
        <w:t>miRTargetLink Human</w:t>
      </w:r>
      <w:bookmarkEnd w:id="4"/>
      <w:r>
        <w:rPr>
          <w:rFonts w:ascii="Book Antiqua" w:hAnsi="Book Antiqua"/>
          <w:bCs/>
          <w:color w:val="000000" w:themeColor="text1"/>
          <w:lang w:bidi="ar-EG"/>
          <w14:textFill>
            <w14:solidFill>
              <w14:schemeClr w14:val="tx1"/>
            </w14:solidFill>
          </w14:textFill>
        </w:rPr>
        <w:t>) (https://ccb-web.cs.uni-saarland.de/mirtargetlink/network.php?type=miRNA&amp;qval=hsa-miR-519d-3p)</w:t>
      </w:r>
      <w:bookmarkEnd w:id="3"/>
      <w:r>
        <w:rPr>
          <w:rFonts w:ascii="Book Antiqua" w:hAnsi="Book Antiqua"/>
          <w:bCs/>
          <w:color w:val="000000" w:themeColor="text1"/>
          <w:lang w:bidi="ar-EG"/>
          <w14:textFill>
            <w14:solidFill>
              <w14:schemeClr w14:val="tx1"/>
            </w14:solidFill>
          </w14:textFill>
        </w:rPr>
        <w:t xml:space="preserve">; </w:t>
      </w:r>
      <w:bookmarkStart w:id="5" w:name="_Toc51106447"/>
      <w:r>
        <w:rPr>
          <w:rFonts w:ascii="Book Antiqua" w:hAnsi="Book Antiqua"/>
          <w:bCs/>
          <w:color w:val="000000" w:themeColor="text1"/>
          <w:lang w:eastAsia="zh-CN"/>
          <w14:textFill>
            <w14:solidFill>
              <w14:schemeClr w14:val="tx1"/>
            </w14:solidFill>
          </w14:textFill>
        </w:rPr>
        <w:t>C</w:t>
      </w:r>
      <w:r>
        <w:rPr>
          <w:rFonts w:ascii="Book Antiqua" w:hAnsi="Book Antiqua"/>
          <w:bCs/>
          <w:color w:val="000000" w:themeColor="text1"/>
          <w14:textFill>
            <w14:solidFill>
              <w14:schemeClr w14:val="tx1"/>
            </w14:solidFill>
          </w14:textFill>
        </w:rPr>
        <w:t xml:space="preserve">: </w:t>
      </w:r>
      <w:r>
        <w:rPr>
          <w:rFonts w:ascii="Book Antiqua" w:hAnsi="Book Antiqua"/>
          <w:color w:val="000000" w:themeColor="text1"/>
          <w14:textFill>
            <w14:solidFill>
              <w14:schemeClr w14:val="tx1"/>
            </w14:solidFill>
          </w14:textFill>
        </w:rPr>
        <w:t>The</w:t>
      </w:r>
      <w:r>
        <w:rPr>
          <w:rFonts w:ascii="Book Antiqua" w:hAnsi="Book Antiqua"/>
          <w:bCs/>
          <w:color w:val="000000" w:themeColor="text1"/>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expression of miR-519d in liver tissue and other tissues (https://www.genecards.org/)</w:t>
      </w:r>
      <w:bookmarkEnd w:id="5"/>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14:textFill>
            <w14:solidFill>
              <w14:schemeClr w14:val="tx1"/>
            </w14:solidFill>
          </w14:textFill>
        </w:rPr>
        <w:t>D</w:t>
      </w:r>
      <w:r>
        <w:rPr>
          <w:rFonts w:ascii="Book Antiqua" w:hAnsi="Book Antiqua"/>
          <w:bCs/>
          <w:color w:val="000000" w:themeColor="text1"/>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 xml:space="preserve">The tissue expression of </w:t>
      </w:r>
      <w:r>
        <w:rPr>
          <w:rFonts w:ascii="Book Antiqua" w:hAnsi="Book Antiqua"/>
          <w:i/>
          <w:color w:val="000000" w:themeColor="text1"/>
          <w14:textFill>
            <w14:solidFill>
              <w14:schemeClr w14:val="tx1"/>
            </w14:solidFill>
          </w14:textFill>
        </w:rPr>
        <w:t>SQSTM1</w:t>
      </w:r>
      <w:r>
        <w:rPr>
          <w:rFonts w:ascii="Book Antiqua" w:hAnsi="Book Antiqua"/>
          <w:bCs/>
          <w:color w:val="000000" w:themeColor="text1"/>
          <w:lang w:bidi="ar-EG"/>
          <w14:textFill>
            <w14:solidFill>
              <w14:schemeClr w14:val="tx1"/>
            </w14:solidFill>
          </w14:textFill>
        </w:rPr>
        <w:t xml:space="preserve"> is low in hepatocytes of healthy liver tissue (www.proteinatlas.org)</w:t>
      </w:r>
      <w:r>
        <w:rPr>
          <w:rFonts w:ascii="Book Antiqua" w:hAnsi="Book Antiqua"/>
          <w:bCs/>
          <w:color w:val="000000" w:themeColor="text1"/>
          <w:lang w:eastAsia="zh-CN" w:bidi="ar-EG"/>
          <w14:textFill>
            <w14:solidFill>
              <w14:schemeClr w14:val="tx1"/>
            </w14:solidFill>
          </w14:textFill>
        </w:rPr>
        <w:t xml:space="preserve">; </w:t>
      </w:r>
      <w:bookmarkStart w:id="6" w:name="_Toc51106449"/>
      <w:r>
        <w:rPr>
          <w:rFonts w:ascii="Book Antiqua" w:hAnsi="Book Antiqua"/>
          <w:bCs/>
          <w:color w:val="000000" w:themeColor="text1"/>
          <w:lang w:eastAsia="zh-CN"/>
          <w14:textFill>
            <w14:solidFill>
              <w14:schemeClr w14:val="tx1"/>
            </w14:solidFill>
          </w14:textFill>
        </w:rPr>
        <w:t>E</w:t>
      </w:r>
      <w:r>
        <w:rPr>
          <w:rFonts w:ascii="Book Antiqua" w:hAnsi="Book Antiqua"/>
          <w:bCs/>
          <w:color w:val="000000" w:themeColor="text1"/>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 xml:space="preserve">The expression of </w:t>
      </w:r>
      <w:r>
        <w:rPr>
          <w:rFonts w:ascii="Book Antiqua" w:hAnsi="Book Antiqua"/>
          <w:i/>
          <w:color w:val="000000" w:themeColor="text1"/>
          <w14:textFill>
            <w14:solidFill>
              <w14:schemeClr w14:val="tx1"/>
            </w14:solidFill>
          </w14:textFill>
        </w:rPr>
        <w:t>SQSTM1</w:t>
      </w:r>
      <w:r>
        <w:rPr>
          <w:rFonts w:ascii="Book Antiqua" w:hAnsi="Book Antiqua"/>
          <w:bCs/>
          <w:color w:val="000000" w:themeColor="text1"/>
          <w:lang w:bidi="ar-EG"/>
          <w14:textFill>
            <w14:solidFill>
              <w14:schemeClr w14:val="tx1"/>
            </w14:solidFill>
          </w14:textFill>
        </w:rPr>
        <w:t xml:space="preserve"> in cancers and liver cancer specifically (www.</w:t>
      </w:r>
      <w:bookmarkStart w:id="7" w:name="_Hlk47317801"/>
      <w:r>
        <w:rPr>
          <w:rFonts w:ascii="Book Antiqua" w:hAnsi="Book Antiqua"/>
          <w:bCs/>
          <w:color w:val="000000" w:themeColor="text1"/>
          <w:lang w:bidi="ar-EG"/>
          <w14:textFill>
            <w14:solidFill>
              <w14:schemeClr w14:val="tx1"/>
            </w14:solidFill>
          </w14:textFill>
        </w:rPr>
        <w:t>proteinatlas</w:t>
      </w:r>
      <w:bookmarkEnd w:id="7"/>
      <w:r>
        <w:rPr>
          <w:rFonts w:ascii="Book Antiqua" w:hAnsi="Book Antiqua"/>
          <w:bCs/>
          <w:color w:val="000000" w:themeColor="text1"/>
          <w:lang w:bidi="ar-EG"/>
          <w14:textFill>
            <w14:solidFill>
              <w14:schemeClr w14:val="tx1"/>
            </w14:solidFill>
          </w14:textFill>
        </w:rPr>
        <w:t>.org)</w:t>
      </w:r>
      <w:bookmarkEnd w:id="6"/>
      <w:r>
        <w:rPr>
          <w:rFonts w:ascii="Book Antiqua" w:hAnsi="Book Antiqua"/>
          <w:bCs/>
          <w:color w:val="000000" w:themeColor="text1"/>
          <w:lang w:bidi="ar-EG"/>
          <w14:textFill>
            <w14:solidFill>
              <w14:schemeClr w14:val="tx1"/>
            </w14:solidFill>
          </w14:textFill>
        </w:rPr>
        <w:t>.</w:t>
      </w:r>
    </w:p>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bCs/>
          <w:color w:val="000000" w:themeColor="text1"/>
          <w:lang w:eastAsia="zh-CN" w:bidi="ar-EG"/>
          <w14:textFill>
            <w14:solidFill>
              <w14:schemeClr w14:val="tx1"/>
            </w14:solidFill>
          </w14:textFill>
        </w:rPr>
        <w:br w:type="page"/>
      </w:r>
    </w:p>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color w:val="000000" w:themeColor="text1"/>
          <w:lang w:eastAsia="zh-CN"/>
          <w14:textFill>
            <w14:solidFill>
              <w14:schemeClr w14:val="tx1"/>
            </w14:solidFill>
          </w14:textFill>
        </w:rPr>
        <w:drawing>
          <wp:inline distT="0" distB="0" distL="0" distR="0">
            <wp:extent cx="5953125" cy="21717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953125" cy="2171700"/>
                    </a:xfrm>
                    <a:prstGeom prst="rect">
                      <a:avLst/>
                    </a:prstGeom>
                    <a:noFill/>
                    <a:ln>
                      <a:noFill/>
                    </a:ln>
                  </pic:spPr>
                </pic:pic>
              </a:graphicData>
            </a:graphic>
          </wp:inline>
        </w:drawing>
      </w:r>
    </w:p>
    <w:p>
      <w:pPr>
        <w:spacing w:line="360" w:lineRule="auto"/>
        <w:jc w:val="both"/>
        <w:rPr>
          <w:rFonts w:ascii="Book Antiqua" w:hAnsi="Book Antiqua"/>
          <w:bCs/>
          <w:color w:val="000000" w:themeColor="text1"/>
          <w:spacing w:val="-4"/>
          <w:lang w:eastAsia="zh-CN"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 xml:space="preserve">Figure 2 Box-plot figures showing the mean </w:t>
      </w:r>
      <w:r>
        <w:rPr>
          <w:rFonts w:ascii="Book Antiqua" w:hAnsi="Book Antiqua" w:eastAsia="Book Antiqua" w:cs="Book Antiqua"/>
          <w:b/>
          <w:color w:val="000000" w:themeColor="text1"/>
          <w14:textFill>
            <w14:solidFill>
              <w14:schemeClr w14:val="tx1"/>
            </w14:solidFill>
          </w14:textFill>
        </w:rPr>
        <w:t>delta–delta threshold cycle</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in the new diagnostic biomarkers in different groups.</w:t>
      </w:r>
      <w:r>
        <w:rPr>
          <w:rFonts w:ascii="Book Antiqua" w:hAnsi="Book Antiqua"/>
          <w:b/>
          <w:bCs/>
          <w:color w:val="000000" w:themeColor="text1"/>
          <w:lang w:eastAsia="zh-CN" w:bidi="ar-EG"/>
          <w14:textFill>
            <w14:solidFill>
              <w14:schemeClr w14:val="tx1"/>
            </w14:solidFill>
          </w14:textFill>
        </w:rPr>
        <w:t xml:space="preserve"> </w:t>
      </w:r>
      <w:bookmarkStart w:id="8" w:name="_Toc51106452"/>
      <w:r>
        <w:rPr>
          <w:rFonts w:ascii="Book Antiqua" w:hAnsi="Book Antiqua"/>
          <w:bCs/>
          <w:color w:val="000000" w:themeColor="text1"/>
          <w:lang w:eastAsia="zh-CN"/>
          <w14:textFill>
            <w14:solidFill>
              <w14:schemeClr w14:val="tx1"/>
            </w14:solidFill>
          </w14:textFill>
        </w:rPr>
        <w:t>A</w:t>
      </w:r>
      <w:r>
        <w:rPr>
          <w:rFonts w:ascii="Book Antiqua" w:hAnsi="Book Antiqua"/>
          <w:bCs/>
          <w:color w:val="000000" w:themeColor="text1"/>
          <w14:textFill>
            <w14:solidFill>
              <w14:schemeClr w14:val="tx1"/>
            </w14:solidFill>
          </w14:textFill>
        </w:rPr>
        <w:t xml:space="preserve">: </w:t>
      </w:r>
      <w:r>
        <w:rPr>
          <w:rFonts w:ascii="Book Antiqua" w:hAnsi="Book Antiqua"/>
          <w:bCs/>
          <w:color w:val="000000" w:themeColor="text1"/>
          <w:spacing w:val="-8"/>
          <w:lang w:bidi="ar-EG"/>
          <w14:textFill>
            <w14:solidFill>
              <w14:schemeClr w14:val="tx1"/>
            </w14:solidFill>
          </w14:textFill>
        </w:rPr>
        <w:t xml:space="preserve">Illustration of the mean </w:t>
      </w:r>
      <w:r>
        <w:rPr>
          <w:rFonts w:ascii="Book Antiqua" w:hAnsi="Book Antiqua" w:eastAsia="Book Antiqua" w:cs="Book Antiqua"/>
          <w:color w:val="000000" w:themeColor="text1"/>
          <w14:textFill>
            <w14:solidFill>
              <w14:schemeClr w14:val="tx1"/>
            </w14:solidFill>
          </w14:textFill>
        </w:rPr>
        <w:t xml:space="preserve">delta–delta threshold cycle </w:t>
      </w:r>
      <w:r>
        <w:rPr>
          <w:rFonts w:ascii="Book Antiqua" w:hAnsi="Book Antiqua"/>
          <w:bCs/>
          <w:color w:val="000000" w:themeColor="text1"/>
          <w:spacing w:val="-8"/>
          <w:lang w:eastAsia="zh-CN" w:bidi="ar-EG"/>
          <w14:textFill>
            <w14:solidFill>
              <w14:schemeClr w14:val="tx1"/>
            </w14:solidFill>
          </w14:textFill>
        </w:rPr>
        <w:t>(</w:t>
      </w:r>
      <w:r>
        <w:rPr>
          <w:rFonts w:ascii="Book Antiqua" w:hAnsi="Book Antiqua"/>
          <w:bCs/>
          <w:color w:val="000000" w:themeColor="text1"/>
          <w:spacing w:val="-8"/>
          <w:lang w:bidi="ar-EG"/>
          <w14:textFill>
            <w14:solidFill>
              <w14:schemeClr w14:val="tx1"/>
            </w14:solidFill>
          </w14:textFill>
        </w:rPr>
        <w:t>DDCT</w:t>
      </w:r>
      <w:r>
        <w:rPr>
          <w:rFonts w:ascii="Book Antiqua" w:hAnsi="Book Antiqua"/>
          <w:bCs/>
          <w:color w:val="000000" w:themeColor="text1"/>
          <w:spacing w:val="-8"/>
          <w:lang w:eastAsia="zh-CN" w:bidi="ar-EG"/>
          <w14:textFill>
            <w14:solidFill>
              <w14:schemeClr w14:val="tx1"/>
            </w14:solidFill>
          </w14:textFill>
        </w:rPr>
        <w:t>)</w:t>
      </w:r>
      <w:r>
        <w:rPr>
          <w:rFonts w:ascii="Book Antiqua" w:hAnsi="Book Antiqua"/>
          <w:bCs/>
          <w:color w:val="000000" w:themeColor="text1"/>
          <w:spacing w:val="-8"/>
          <w:lang w:bidi="ar-EG"/>
          <w14:textFill>
            <w14:solidFill>
              <w14:schemeClr w14:val="tx1"/>
            </w14:solidFill>
          </w14:textFill>
        </w:rPr>
        <w:t xml:space="preserve"> of the </w:t>
      </w:r>
      <w:r>
        <w:rPr>
          <w:rFonts w:ascii="Book Antiqua" w:hAnsi="Book Antiqua" w:cs="Book Antiqua"/>
          <w:bCs/>
          <w:color w:val="000000" w:themeColor="text1"/>
          <w:lang w:eastAsia="zh-CN"/>
          <w14:textFill>
            <w14:solidFill>
              <w14:schemeClr w14:val="tx1"/>
            </w14:solidFill>
          </w14:textFill>
        </w:rPr>
        <w:t>q</w:t>
      </w:r>
      <w:r>
        <w:rPr>
          <w:rFonts w:ascii="Book Antiqua" w:hAnsi="Book Antiqua" w:eastAsia="Book Antiqua" w:cs="Book Antiqua"/>
          <w:bCs/>
          <w:color w:val="000000" w:themeColor="text1"/>
          <w14:textFill>
            <w14:solidFill>
              <w14:schemeClr w14:val="tx1"/>
            </w14:solidFill>
          </w14:textFill>
        </w:rPr>
        <w:t xml:space="preserve">uantitative </w:t>
      </w:r>
      <w:r>
        <w:rPr>
          <w:rFonts w:ascii="Book Antiqua" w:hAnsi="Book Antiqua" w:cs="Book Antiqua"/>
          <w:bCs/>
          <w:color w:val="000000" w:themeColor="text1"/>
          <w:lang w:eastAsia="zh-CN"/>
          <w14:textFill>
            <w14:solidFill>
              <w14:schemeClr w14:val="tx1"/>
            </w14:solidFill>
          </w14:textFill>
        </w:rPr>
        <w:t>r</w:t>
      </w:r>
      <w:r>
        <w:rPr>
          <w:rFonts w:ascii="Book Antiqua" w:hAnsi="Book Antiqua" w:eastAsia="Book Antiqua" w:cs="Book Antiqua"/>
          <w:bCs/>
          <w:color w:val="000000" w:themeColor="text1"/>
          <w14:textFill>
            <w14:solidFill>
              <w14:schemeClr w14:val="tx1"/>
            </w14:solidFill>
          </w14:textFill>
        </w:rPr>
        <w:t>eal-</w:t>
      </w:r>
      <w:r>
        <w:rPr>
          <w:rFonts w:ascii="Book Antiqua" w:hAnsi="Book Antiqua" w:cs="Book Antiqua"/>
          <w:bCs/>
          <w:color w:val="000000" w:themeColor="text1"/>
          <w:lang w:eastAsia="zh-CN"/>
          <w14:textFill>
            <w14:solidFill>
              <w14:schemeClr w14:val="tx1"/>
            </w14:solidFill>
          </w14:textFill>
        </w:rPr>
        <w:t>t</w:t>
      </w:r>
      <w:r>
        <w:rPr>
          <w:rFonts w:ascii="Book Antiqua" w:hAnsi="Book Antiqua" w:eastAsia="Book Antiqua" w:cs="Book Antiqua"/>
          <w:bCs/>
          <w:color w:val="000000" w:themeColor="text1"/>
          <w14:textFill>
            <w14:solidFill>
              <w14:schemeClr w14:val="tx1"/>
            </w14:solidFill>
          </w14:textFill>
        </w:rPr>
        <w:t>ime polymerase chain reaction</w:t>
      </w:r>
      <w:r>
        <w:rPr>
          <w:rFonts w:ascii="Book Antiqua" w:hAnsi="Book Antiqua"/>
          <w:bCs/>
          <w:color w:val="000000" w:themeColor="text1"/>
          <w:spacing w:val="-8"/>
          <w:lang w:bidi="ar-EG"/>
          <w14:textFill>
            <w14:solidFill>
              <w14:schemeClr w14:val="tx1"/>
            </w14:solidFill>
          </w14:textFill>
        </w:rPr>
        <w:t xml:space="preserve"> </w:t>
      </w:r>
      <w:r>
        <w:rPr>
          <w:rFonts w:ascii="Book Antiqua" w:hAnsi="Book Antiqua"/>
          <w:bCs/>
          <w:color w:val="000000" w:themeColor="text1"/>
          <w:spacing w:val="-8"/>
          <w:lang w:eastAsia="zh-CN" w:bidi="ar-EG"/>
          <w14:textFill>
            <w14:solidFill>
              <w14:schemeClr w14:val="tx1"/>
            </w14:solidFill>
          </w14:textFill>
        </w:rPr>
        <w:t>(</w:t>
      </w:r>
      <w:r>
        <w:rPr>
          <w:rFonts w:ascii="Book Antiqua" w:hAnsi="Book Antiqua"/>
          <w:bCs/>
          <w:color w:val="000000" w:themeColor="text1"/>
          <w:spacing w:val="-8"/>
          <w:lang w:bidi="ar-EG"/>
          <w14:textFill>
            <w14:solidFill>
              <w14:schemeClr w14:val="tx1"/>
            </w14:solidFill>
          </w14:textFill>
        </w:rPr>
        <w:t>qRT-PCR</w:t>
      </w:r>
      <w:r>
        <w:rPr>
          <w:rFonts w:ascii="Book Antiqua" w:hAnsi="Book Antiqua"/>
          <w:bCs/>
          <w:color w:val="000000" w:themeColor="text1"/>
          <w:spacing w:val="-8"/>
          <w:lang w:eastAsia="zh-CN" w:bidi="ar-EG"/>
          <w14:textFill>
            <w14:solidFill>
              <w14:schemeClr w14:val="tx1"/>
            </w14:solidFill>
          </w14:textFill>
        </w:rPr>
        <w:t>)</w:t>
      </w:r>
      <w:r>
        <w:rPr>
          <w:rFonts w:ascii="Book Antiqua" w:hAnsi="Book Antiqua"/>
          <w:bCs/>
          <w:color w:val="000000" w:themeColor="text1"/>
          <w:spacing w:val="-8"/>
          <w:lang w:bidi="ar-EG"/>
          <w14:textFill>
            <w14:solidFill>
              <w14:schemeClr w14:val="tx1"/>
            </w14:solidFill>
          </w14:textFill>
        </w:rPr>
        <w:t xml:space="preserve"> results for hsa-miR-519d in the serum of the </w:t>
      </w:r>
      <w:r>
        <w:rPr>
          <w:rFonts w:ascii="Book Antiqua" w:hAnsi="Book Antiqua" w:eastAsia="Book Antiqua" w:cs="Book Antiqua"/>
          <w:color w:val="000000" w:themeColor="text1"/>
          <w14:textFill>
            <w14:solidFill>
              <w14:schemeClr w14:val="tx1"/>
            </w14:solidFill>
          </w14:textFill>
        </w:rPr>
        <w:t>hepatocellular carcinoma (HCC)</w:t>
      </w:r>
      <w:r>
        <w:rPr>
          <w:rFonts w:ascii="Book Antiqua" w:hAnsi="Book Antiqua"/>
          <w:bCs/>
          <w:color w:val="000000" w:themeColor="text1"/>
          <w:spacing w:val="-8"/>
          <w:lang w:bidi="ar-EG"/>
          <w14:textFill>
            <w14:solidFill>
              <w14:schemeClr w14:val="tx1"/>
            </w14:solidFill>
          </w14:textFill>
        </w:rPr>
        <w:t>, chronic liver infection, and control groups using error bars: ±</w:t>
      </w:r>
      <w:r>
        <w:rPr>
          <w:rFonts w:ascii="Book Antiqua" w:hAnsi="Book Antiqua"/>
          <w:bCs/>
          <w:color w:val="000000" w:themeColor="text1"/>
          <w:spacing w:val="-8"/>
          <w:lang w:eastAsia="zh-CN" w:bidi="ar-EG"/>
          <w14:textFill>
            <w14:solidFill>
              <w14:schemeClr w14:val="tx1"/>
            </w14:solidFill>
          </w14:textFill>
        </w:rPr>
        <w:t xml:space="preserve"> </w:t>
      </w:r>
      <w:r>
        <w:rPr>
          <w:rFonts w:ascii="Book Antiqua" w:hAnsi="Book Antiqua"/>
          <w:bCs/>
          <w:color w:val="000000" w:themeColor="text1"/>
          <w:spacing w:val="-8"/>
          <w:lang w:bidi="ar-EG"/>
          <w14:textFill>
            <w14:solidFill>
              <w14:schemeClr w14:val="tx1"/>
            </w14:solidFill>
          </w14:textFill>
        </w:rPr>
        <w:t xml:space="preserve">1 </w:t>
      </w:r>
      <w:r>
        <w:rPr>
          <w:rFonts w:hint="eastAsia" w:ascii="Book Antiqua" w:hAnsi="Book Antiqua"/>
          <w:bCs/>
          <w:color w:val="000000" w:themeColor="text1"/>
          <w:spacing w:val="-8"/>
          <w:lang w:eastAsia="zh-CN" w:bidi="ar-EG"/>
          <w14:textFill>
            <w14:solidFill>
              <w14:schemeClr w14:val="tx1"/>
            </w14:solidFill>
          </w14:textFill>
        </w:rPr>
        <w:t>[</w:t>
      </w:r>
      <w:r>
        <w:rPr>
          <w:rFonts w:ascii="Book Antiqua" w:hAnsi="Book Antiqua"/>
          <w:bCs/>
          <w:color w:val="000000" w:themeColor="text1"/>
          <w:spacing w:val="-8"/>
          <w:lang w:eastAsia="zh-CN" w:bidi="ar-EG"/>
          <w14:textFill>
            <w14:solidFill>
              <w14:schemeClr w14:val="tx1"/>
            </w14:solidFill>
          </w14:textFill>
        </w:rPr>
        <w:t xml:space="preserve">mean </w:t>
      </w:r>
      <w:r>
        <w:rPr>
          <w:rFonts w:ascii="Book Antiqua" w:hAnsi="Book Antiqua"/>
          <w:bCs/>
          <w:color w:val="000000" w:themeColor="text1"/>
          <w:spacing w:val="-8"/>
          <w:lang w:bidi="ar-EG"/>
          <w14:textFill>
            <w14:solidFill>
              <w14:schemeClr w14:val="tx1"/>
            </w14:solidFill>
          </w14:textFill>
        </w:rPr>
        <w:t>±</w:t>
      </w:r>
      <w:r>
        <w:rPr>
          <w:rFonts w:ascii="Book Antiqua" w:hAnsi="Book Antiqua"/>
          <w:bCs/>
          <w:color w:val="000000" w:themeColor="text1"/>
          <w:spacing w:val="-8"/>
          <w:lang w:eastAsia="zh-CN" w:bidi="ar-EG"/>
          <w14:textFill>
            <w14:solidFill>
              <w14:schemeClr w14:val="tx1"/>
            </w14:solidFill>
          </w14:textFill>
        </w:rPr>
        <w:t xml:space="preserve"> standard deviation </w:t>
      </w:r>
      <w:r>
        <w:rPr>
          <w:rFonts w:hint="eastAsia" w:ascii="Book Antiqua" w:hAnsi="Book Antiqua"/>
          <w:bCs/>
          <w:color w:val="000000" w:themeColor="text1"/>
          <w:spacing w:val="-8"/>
          <w:lang w:eastAsia="zh-CN" w:bidi="ar-EG"/>
          <w14:textFill>
            <w14:solidFill>
              <w14:schemeClr w14:val="tx1"/>
            </w14:solidFill>
          </w14:textFill>
        </w:rPr>
        <w:t>(</w:t>
      </w:r>
      <w:r>
        <w:rPr>
          <w:rFonts w:ascii="Book Antiqua" w:hAnsi="Book Antiqua"/>
          <w:bCs/>
          <w:color w:val="000000" w:themeColor="text1"/>
          <w:spacing w:val="-8"/>
          <w:lang w:eastAsia="zh-CN" w:bidi="ar-EG"/>
          <w14:textFill>
            <w14:solidFill>
              <w14:schemeClr w14:val="tx1"/>
            </w14:solidFill>
          </w14:textFill>
        </w:rPr>
        <w:t>SD</w:t>
      </w:r>
      <w:bookmarkEnd w:id="8"/>
      <w:r>
        <w:rPr>
          <w:rFonts w:hint="eastAsia" w:ascii="Book Antiqua" w:hAnsi="Book Antiqua"/>
          <w:bCs/>
          <w:color w:val="000000" w:themeColor="text1"/>
          <w:spacing w:val="-8"/>
          <w:lang w:eastAsia="zh-CN" w:bidi="ar-EG"/>
          <w14:textFill>
            <w14:solidFill>
              <w14:schemeClr w14:val="tx1"/>
            </w14:solidFill>
          </w14:textFill>
        </w:rPr>
        <w:t>)]</w:t>
      </w:r>
      <w:r>
        <w:rPr>
          <w:rFonts w:ascii="Book Antiqua" w:hAnsi="Book Antiqua"/>
          <w:bCs/>
          <w:color w:val="000000" w:themeColor="text1"/>
          <w:spacing w:val="-8"/>
          <w:lang w:eastAsia="zh-CN" w:bidi="ar-EG"/>
          <w14:textFill>
            <w14:solidFill>
              <w14:schemeClr w14:val="tx1"/>
            </w14:solidFill>
          </w14:textFill>
        </w:rPr>
        <w:t xml:space="preserve">; </w:t>
      </w:r>
      <w:bookmarkStart w:id="9" w:name="_Toc51106455"/>
      <w:r>
        <w:rPr>
          <w:rFonts w:ascii="Book Antiqua" w:hAnsi="Book Antiqua"/>
          <w:bCs/>
          <w:color w:val="000000" w:themeColor="text1"/>
          <w:lang w:eastAsia="zh-CN"/>
          <w14:textFill>
            <w14:solidFill>
              <w14:schemeClr w14:val="tx1"/>
            </w14:solidFill>
          </w14:textFill>
        </w:rPr>
        <w:t>B</w:t>
      </w:r>
      <w:r>
        <w:rPr>
          <w:rFonts w:ascii="Book Antiqua" w:hAnsi="Book Antiqua"/>
          <w:bCs/>
          <w:color w:val="000000" w:themeColor="text1"/>
          <w14:textFill>
            <w14:solidFill>
              <w14:schemeClr w14:val="tx1"/>
            </w14:solidFill>
          </w14:textFill>
        </w:rPr>
        <w:t xml:space="preserve">: </w:t>
      </w:r>
      <w:r>
        <w:rPr>
          <w:rFonts w:ascii="Book Antiqua" w:hAnsi="Book Antiqua"/>
          <w:bCs/>
          <w:color w:val="000000" w:themeColor="text1"/>
          <w:spacing w:val="-4"/>
          <w:lang w:bidi="ar-EG"/>
          <w14:textFill>
            <w14:solidFill>
              <w14:schemeClr w14:val="tx1"/>
            </w14:solidFill>
          </w14:textFill>
        </w:rPr>
        <w:t xml:space="preserve">Illustration of the mean DDCT of the qRT-PCR results for mRNA of </w:t>
      </w:r>
      <w:r>
        <w:rPr>
          <w:rFonts w:ascii="Book Antiqua" w:hAnsi="Book Antiqua"/>
          <w:i/>
          <w:color w:val="000000" w:themeColor="text1"/>
          <w:spacing w:val="-4"/>
          <w14:textFill>
            <w14:solidFill>
              <w14:schemeClr w14:val="tx1"/>
            </w14:solidFill>
          </w14:textFill>
        </w:rPr>
        <w:t>SQSTM1</w:t>
      </w:r>
      <w:r>
        <w:rPr>
          <w:rFonts w:ascii="Book Antiqua" w:hAnsi="Book Antiqua"/>
          <w:bCs/>
          <w:color w:val="000000" w:themeColor="text1"/>
          <w:spacing w:val="-4"/>
          <w:lang w:bidi="ar-EG"/>
          <w14:textFill>
            <w14:solidFill>
              <w14:schemeClr w14:val="tx1"/>
            </w14:solidFill>
          </w14:textFill>
        </w:rPr>
        <w:t xml:space="preserve"> in the serum of the HCC, chronic liver infection, and control groups using error bars: ±</w:t>
      </w:r>
      <w:r>
        <w:rPr>
          <w:rFonts w:ascii="Book Antiqua" w:hAnsi="Book Antiqua"/>
          <w:bCs/>
          <w:color w:val="000000" w:themeColor="text1"/>
          <w:spacing w:val="-4"/>
          <w:lang w:eastAsia="zh-CN" w:bidi="ar-EG"/>
          <w14:textFill>
            <w14:solidFill>
              <w14:schemeClr w14:val="tx1"/>
            </w14:solidFill>
          </w14:textFill>
        </w:rPr>
        <w:t xml:space="preserve"> </w:t>
      </w:r>
      <w:r>
        <w:rPr>
          <w:rFonts w:ascii="Book Antiqua" w:hAnsi="Book Antiqua"/>
          <w:bCs/>
          <w:color w:val="000000" w:themeColor="text1"/>
          <w:spacing w:val="-4"/>
          <w:lang w:bidi="ar-EG"/>
          <w14:textFill>
            <w14:solidFill>
              <w14:schemeClr w14:val="tx1"/>
            </w14:solidFill>
          </w14:textFill>
        </w:rPr>
        <w:t xml:space="preserve">1 </w:t>
      </w:r>
      <w:bookmarkEnd w:id="9"/>
      <w:r>
        <w:rPr>
          <w:rFonts w:ascii="Book Antiqua" w:hAnsi="Book Antiqua"/>
          <w:bCs/>
          <w:color w:val="000000" w:themeColor="text1"/>
          <w:spacing w:val="-8"/>
          <w:lang w:eastAsia="zh-CN" w:bidi="ar-EG"/>
          <w14:textFill>
            <w14:solidFill>
              <w14:schemeClr w14:val="tx1"/>
            </w14:solidFill>
          </w14:textFill>
        </w:rPr>
        <w:t xml:space="preserve">(mean </w:t>
      </w:r>
      <w:r>
        <w:rPr>
          <w:rFonts w:ascii="Book Antiqua" w:hAnsi="Book Antiqua"/>
          <w:bCs/>
          <w:color w:val="000000" w:themeColor="text1"/>
          <w:spacing w:val="-8"/>
          <w:lang w:bidi="ar-EG"/>
          <w14:textFill>
            <w14:solidFill>
              <w14:schemeClr w14:val="tx1"/>
            </w14:solidFill>
          </w14:textFill>
        </w:rPr>
        <w:t>±</w:t>
      </w:r>
      <w:r>
        <w:rPr>
          <w:rFonts w:ascii="Book Antiqua" w:hAnsi="Book Antiqua"/>
          <w:bCs/>
          <w:color w:val="000000" w:themeColor="text1"/>
          <w:spacing w:val="-8"/>
          <w:lang w:eastAsia="zh-CN" w:bidi="ar-EG"/>
          <w14:textFill>
            <w14:solidFill>
              <w14:schemeClr w14:val="tx1"/>
            </w14:solidFill>
          </w14:textFill>
        </w:rPr>
        <w:t xml:space="preserve"> </w:t>
      </w:r>
      <w:r>
        <w:rPr>
          <w:rFonts w:ascii="Book Antiqua" w:hAnsi="Book Antiqua"/>
          <w:bCs/>
          <w:color w:val="000000" w:themeColor="text1"/>
          <w:spacing w:val="-8"/>
          <w:lang w:bidi="ar-EG"/>
          <w14:textFill>
            <w14:solidFill>
              <w14:schemeClr w14:val="tx1"/>
            </w14:solidFill>
          </w14:textFill>
        </w:rPr>
        <w:t>SD</w:t>
      </w:r>
      <w:r>
        <w:rPr>
          <w:rFonts w:ascii="Book Antiqua" w:hAnsi="Book Antiqua"/>
          <w:bCs/>
          <w:color w:val="000000" w:themeColor="text1"/>
          <w:spacing w:val="-8"/>
          <w:lang w:eastAsia="zh-CN" w:bidi="ar-EG"/>
          <w14:textFill>
            <w14:solidFill>
              <w14:schemeClr w14:val="tx1"/>
            </w14:solidFill>
          </w14:textFill>
        </w:rPr>
        <w:t>)</w:t>
      </w:r>
      <w:r>
        <w:rPr>
          <w:rFonts w:ascii="Book Antiqua" w:hAnsi="Book Antiqua"/>
          <w:bCs/>
          <w:color w:val="000000" w:themeColor="text1"/>
          <w:spacing w:val="-4"/>
          <w:lang w:bidi="ar-EG"/>
          <w14:textFill>
            <w14:solidFill>
              <w14:schemeClr w14:val="tx1"/>
            </w14:solidFill>
          </w14:textFill>
        </w:rPr>
        <w:t>.</w:t>
      </w:r>
      <w:r>
        <w:rPr>
          <w:rFonts w:ascii="Book Antiqua" w:hAnsi="Book Antiqua"/>
          <w:bCs/>
          <w:color w:val="000000" w:themeColor="text1"/>
          <w:spacing w:val="-4"/>
          <w:lang w:eastAsia="zh-CN" w:bidi="ar-EG"/>
          <w14:textFill>
            <w14:solidFill>
              <w14:schemeClr w14:val="tx1"/>
            </w14:solidFill>
          </w14:textFill>
        </w:rPr>
        <w:t xml:space="preserve"> </w:t>
      </w:r>
      <w:r>
        <w:rPr>
          <w:rFonts w:hint="eastAsia" w:ascii="Book Antiqua" w:hAnsi="Book Antiqua"/>
          <w:bCs/>
          <w:color w:val="000000" w:themeColor="text1"/>
          <w:spacing w:val="-4"/>
          <w:lang w:eastAsia="zh-CN" w:bidi="ar-EG"/>
          <w14:textFill>
            <w14:solidFill>
              <w14:schemeClr w14:val="tx1"/>
            </w14:solidFill>
          </w14:textFill>
        </w:rPr>
        <w:t xml:space="preserve">DDCT: </w:t>
      </w:r>
      <w:r>
        <w:rPr>
          <w:rFonts w:hint="eastAsia" w:ascii="Book Antiqua" w:hAnsi="Book Antiqua" w:cs="Book Antiqua"/>
          <w:color w:val="000000" w:themeColor="text1"/>
          <w:lang w:eastAsia="zh-CN"/>
          <w14:textFill>
            <w14:solidFill>
              <w14:schemeClr w14:val="tx1"/>
            </w14:solidFill>
          </w14:textFill>
        </w:rPr>
        <w:t>D</w:t>
      </w:r>
      <w:r>
        <w:rPr>
          <w:rFonts w:ascii="Book Antiqua" w:hAnsi="Book Antiqua" w:eastAsia="Book Antiqua" w:cs="Book Antiqua"/>
          <w:color w:val="000000" w:themeColor="text1"/>
          <w14:textFill>
            <w14:solidFill>
              <w14:schemeClr w14:val="tx1"/>
            </w14:solidFill>
          </w14:textFill>
        </w:rPr>
        <w:t>elta–delta threshold cycle</w:t>
      </w:r>
      <w:r>
        <w:rPr>
          <w:rFonts w:hint="eastAsia" w:ascii="Book Antiqua" w:hAnsi="Book Antiqua" w:cs="Book Antiqua"/>
          <w:color w:val="000000" w:themeColor="text1"/>
          <w:lang w:eastAsia="zh-CN"/>
          <w14:textFill>
            <w14:solidFill>
              <w14:schemeClr w14:val="tx1"/>
            </w14:solidFill>
          </w14:textFill>
        </w:rPr>
        <w:t>; HCC: H</w:t>
      </w:r>
      <w:r>
        <w:rPr>
          <w:rFonts w:ascii="Book Antiqua" w:hAnsi="Book Antiqua" w:eastAsia="Book Antiqua" w:cs="Book Antiqua"/>
          <w:color w:val="000000" w:themeColor="text1"/>
          <w14:textFill>
            <w14:solidFill>
              <w14:schemeClr w14:val="tx1"/>
            </w14:solidFill>
          </w14:textFill>
        </w:rPr>
        <w:t>epatocellular carcinoma</w:t>
      </w:r>
      <w:r>
        <w:rPr>
          <w:rFonts w:hint="eastAsia" w:ascii="Book Antiqua" w:hAnsi="Book Antiqua" w:cs="Book Antiqua"/>
          <w:color w:val="000000" w:themeColor="text1"/>
          <w:lang w:eastAsia="zh-CN"/>
          <w14:textFill>
            <w14:solidFill>
              <w14:schemeClr w14:val="tx1"/>
            </w14:solidFill>
          </w14:textFill>
        </w:rPr>
        <w:t>.</w:t>
      </w:r>
    </w:p>
    <w:p>
      <w:pPr>
        <w:spacing w:line="360" w:lineRule="auto"/>
        <w:jc w:val="both"/>
        <w:rPr>
          <w:rFonts w:ascii="Book Antiqua" w:hAnsi="Book Antiqua"/>
          <w:bCs/>
          <w:color w:val="000000" w:themeColor="text1"/>
          <w:spacing w:val="-4"/>
          <w:lang w:eastAsia="zh-CN" w:bidi="ar-EG"/>
          <w14:textFill>
            <w14:solidFill>
              <w14:schemeClr w14:val="tx1"/>
            </w14:solidFill>
          </w14:textFill>
        </w:rPr>
      </w:pPr>
      <w:r>
        <w:rPr>
          <w:rFonts w:ascii="Book Antiqua" w:hAnsi="Book Antiqua"/>
          <w:bCs/>
          <w:color w:val="000000" w:themeColor="text1"/>
          <w:spacing w:val="-4"/>
          <w:lang w:eastAsia="zh-CN" w:bidi="ar-EG"/>
          <w14:textFill>
            <w14:solidFill>
              <w14:schemeClr w14:val="tx1"/>
            </w14:solidFill>
          </w14:textFill>
        </w:rPr>
        <w:br w:type="page"/>
      </w:r>
      <w:r>
        <w:rPr>
          <w:rFonts w:ascii="Book Antiqua" w:hAnsi="Book Antiqua"/>
          <w:color w:val="000000" w:themeColor="text1"/>
          <w:lang w:eastAsia="zh-CN"/>
          <w14:textFill>
            <w14:solidFill>
              <w14:schemeClr w14:val="tx1"/>
            </w14:solidFill>
          </w14:textFill>
        </w:rPr>
        <w:t xml:space="preserve"> </w:t>
      </w:r>
      <w:r>
        <w:rPr>
          <w:rFonts w:ascii="Book Antiqua" w:hAnsi="Book Antiqua"/>
          <w:color w:val="000000" w:themeColor="text1"/>
          <w:lang w:eastAsia="zh-CN"/>
          <w14:textFill>
            <w14:solidFill>
              <w14:schemeClr w14:val="tx1"/>
            </w14:solidFill>
          </w14:textFill>
        </w:rPr>
        <w:drawing>
          <wp:inline distT="0" distB="0" distL="0" distR="0">
            <wp:extent cx="5810250" cy="2724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810250" cy="2724150"/>
                    </a:xfrm>
                    <a:prstGeom prst="rect">
                      <a:avLst/>
                    </a:prstGeom>
                    <a:noFill/>
                    <a:ln>
                      <a:noFill/>
                    </a:ln>
                  </pic:spPr>
                </pic:pic>
              </a:graphicData>
            </a:graphic>
          </wp:inline>
        </w:drawing>
      </w:r>
    </w:p>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
          <w:bCs/>
          <w:color w:val="000000" w:themeColor="text1"/>
          <w:spacing w:val="-8"/>
          <w:lang w:bidi="ar-EG"/>
          <w14:textFill>
            <w14:solidFill>
              <w14:schemeClr w14:val="tx1"/>
            </w14:solidFill>
          </w14:textFill>
        </w:rPr>
        <w:t xml:space="preserve">Figure 3 </w:t>
      </w:r>
      <w:r>
        <w:rPr>
          <w:rFonts w:ascii="Book Antiqua" w:hAnsi="Book Antiqua"/>
          <w:b/>
          <w:bCs/>
          <w:color w:val="000000" w:themeColor="text1"/>
          <w:lang w:bidi="ar-EG"/>
          <w14:textFill>
            <w14:solidFill>
              <w14:schemeClr w14:val="tx1"/>
            </w14:solidFill>
          </w14:textFill>
        </w:rPr>
        <w:t>Receiver operating characteristic</w:t>
      </w:r>
      <w:r>
        <w:rPr>
          <w:rFonts w:ascii="Book Antiqua" w:hAnsi="Book Antiqua"/>
          <w:b/>
          <w:bCs/>
          <w:color w:val="000000" w:themeColor="text1"/>
          <w:spacing w:val="-8"/>
          <w:lang w:bidi="ar-EG"/>
          <w14:textFill>
            <w14:solidFill>
              <w14:schemeClr w14:val="tx1"/>
            </w14:solidFill>
          </w14:textFill>
        </w:rPr>
        <w:t xml:space="preserve"> curves of the new diagnostic biomarkers studied to differentiate</w:t>
      </w:r>
      <w:r>
        <w:rPr>
          <w:rFonts w:ascii="Book Antiqua" w:hAnsi="Book Antiqua"/>
          <w:b/>
          <w:bCs/>
          <w:color w:val="000000" w:themeColor="text1"/>
          <w:lang w:bidi="ar-EG"/>
          <w14:textFill>
            <w14:solidFill>
              <w14:schemeClr w14:val="tx1"/>
            </w14:solidFill>
          </w14:textFill>
        </w:rPr>
        <w:t xml:space="preserve"> between hepatocellular carcinoma and chronic liver infection groups.</w:t>
      </w:r>
      <w:r>
        <w:rPr>
          <w:rFonts w:ascii="Book Antiqua" w:hAnsi="Book Antiqua"/>
          <w:b/>
          <w:bCs/>
          <w:color w:val="000000" w:themeColor="text1"/>
          <w:lang w:eastAsia="zh-CN" w:bidi="ar-EG"/>
          <w14:textFill>
            <w14:solidFill>
              <w14:schemeClr w14:val="tx1"/>
            </w14:solidFill>
          </w14:textFill>
        </w:rPr>
        <w:t xml:space="preserve"> </w:t>
      </w:r>
      <w:bookmarkStart w:id="10" w:name="_Toc51106453"/>
      <w:r>
        <w:rPr>
          <w:rFonts w:ascii="Book Antiqua" w:hAnsi="Book Antiqua"/>
          <w:bCs/>
          <w:color w:val="000000" w:themeColor="text1"/>
          <w:lang w:eastAsia="zh-CN"/>
          <w14:textFill>
            <w14:solidFill>
              <w14:schemeClr w14:val="tx1"/>
            </w14:solidFill>
          </w14:textFill>
        </w:rPr>
        <w:t>A</w:t>
      </w:r>
      <w:r>
        <w:rPr>
          <w:rFonts w:ascii="Book Antiqua" w:hAnsi="Book Antiqua"/>
          <w:bCs/>
          <w:color w:val="000000" w:themeColor="text1"/>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 xml:space="preserve">Receiver operating characteristic (ROC) curve for assessing the validity of the RQ results of </w:t>
      </w:r>
      <w:r>
        <w:rPr>
          <w:rFonts w:ascii="Book Antiqua" w:hAnsi="Book Antiqua" w:cs="Book Antiqua"/>
          <w:bCs/>
          <w:color w:val="000000" w:themeColor="text1"/>
          <w:lang w:eastAsia="zh-CN"/>
          <w14:textFill>
            <w14:solidFill>
              <w14:schemeClr w14:val="tx1"/>
            </w14:solidFill>
          </w14:textFill>
        </w:rPr>
        <w:t>q</w:t>
      </w:r>
      <w:r>
        <w:rPr>
          <w:rFonts w:ascii="Book Antiqua" w:hAnsi="Book Antiqua" w:eastAsia="Book Antiqua" w:cs="Book Antiqua"/>
          <w:bCs/>
          <w:color w:val="000000" w:themeColor="text1"/>
          <w14:textFill>
            <w14:solidFill>
              <w14:schemeClr w14:val="tx1"/>
            </w14:solidFill>
          </w14:textFill>
        </w:rPr>
        <w:t xml:space="preserve">uantitative </w:t>
      </w:r>
      <w:r>
        <w:rPr>
          <w:rFonts w:ascii="Book Antiqua" w:hAnsi="Book Antiqua" w:cs="Book Antiqua"/>
          <w:bCs/>
          <w:color w:val="000000" w:themeColor="text1"/>
          <w:lang w:eastAsia="zh-CN"/>
          <w14:textFill>
            <w14:solidFill>
              <w14:schemeClr w14:val="tx1"/>
            </w14:solidFill>
          </w14:textFill>
        </w:rPr>
        <w:t>r</w:t>
      </w:r>
      <w:r>
        <w:rPr>
          <w:rFonts w:ascii="Book Antiqua" w:hAnsi="Book Antiqua" w:eastAsia="Book Antiqua" w:cs="Book Antiqua"/>
          <w:bCs/>
          <w:color w:val="000000" w:themeColor="text1"/>
          <w14:textFill>
            <w14:solidFill>
              <w14:schemeClr w14:val="tx1"/>
            </w14:solidFill>
          </w14:textFill>
        </w:rPr>
        <w:t>eal-</w:t>
      </w:r>
      <w:r>
        <w:rPr>
          <w:rFonts w:ascii="Book Antiqua" w:hAnsi="Book Antiqua" w:cs="Book Antiqua"/>
          <w:bCs/>
          <w:color w:val="000000" w:themeColor="text1"/>
          <w:lang w:eastAsia="zh-CN"/>
          <w14:textFill>
            <w14:solidFill>
              <w14:schemeClr w14:val="tx1"/>
            </w14:solidFill>
          </w14:textFill>
        </w:rPr>
        <w:t>t</w:t>
      </w:r>
      <w:r>
        <w:rPr>
          <w:rFonts w:ascii="Book Antiqua" w:hAnsi="Book Antiqua" w:eastAsia="Book Antiqua" w:cs="Book Antiqua"/>
          <w:bCs/>
          <w:color w:val="000000" w:themeColor="text1"/>
          <w14:textFill>
            <w14:solidFill>
              <w14:schemeClr w14:val="tx1"/>
            </w14:solidFill>
          </w14:textFill>
        </w:rPr>
        <w:t>ime polymerase chain reaction</w:t>
      </w:r>
      <w:r>
        <w:rPr>
          <w:rFonts w:ascii="Book Antiqua" w:hAnsi="Book Antiqua"/>
          <w:bCs/>
          <w:color w:val="000000" w:themeColor="text1"/>
          <w:spacing w:val="-8"/>
          <w:lang w:bidi="ar-EG"/>
          <w14:textFill>
            <w14:solidFill>
              <w14:schemeClr w14:val="tx1"/>
            </w14:solidFill>
          </w14:textFill>
        </w:rPr>
        <w:t xml:space="preserve"> </w:t>
      </w:r>
      <w:r>
        <w:rPr>
          <w:rFonts w:ascii="Book Antiqua" w:hAnsi="Book Antiqua"/>
          <w:bCs/>
          <w:color w:val="000000" w:themeColor="text1"/>
          <w:spacing w:val="-8"/>
          <w:lang w:eastAsia="zh-CN" w:bidi="ar-EG"/>
          <w14:textFill>
            <w14:solidFill>
              <w14:schemeClr w14:val="tx1"/>
            </w14:solidFill>
          </w14:textFill>
        </w:rPr>
        <w:t>(</w:t>
      </w:r>
      <w:r>
        <w:rPr>
          <w:rFonts w:ascii="Book Antiqua" w:hAnsi="Book Antiqua"/>
          <w:bCs/>
          <w:color w:val="000000" w:themeColor="text1"/>
          <w:spacing w:val="-8"/>
          <w:lang w:bidi="ar-EG"/>
          <w14:textFill>
            <w14:solidFill>
              <w14:schemeClr w14:val="tx1"/>
            </w14:solidFill>
          </w14:textFill>
        </w:rPr>
        <w:t>qRT-PCR</w:t>
      </w:r>
      <w:r>
        <w:rPr>
          <w:rFonts w:ascii="Book Antiqua" w:hAnsi="Book Antiqua"/>
          <w:bCs/>
          <w:color w:val="000000" w:themeColor="text1"/>
          <w:spacing w:val="-8"/>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for hsa-miR-519d in the serum to differentiate the </w:t>
      </w:r>
      <w:r>
        <w:rPr>
          <w:rFonts w:ascii="Book Antiqua" w:hAnsi="Book Antiqua" w:eastAsia="Book Antiqua" w:cs="Book Antiqua"/>
          <w:color w:val="000000" w:themeColor="text1"/>
          <w14:textFill>
            <w14:solidFill>
              <w14:schemeClr w14:val="tx1"/>
            </w14:solidFill>
          </w14:textFill>
        </w:rPr>
        <w:t>hepatocellular carcinoma</w:t>
      </w:r>
      <w:r>
        <w:rPr>
          <w:rFonts w:ascii="Book Antiqua" w:hAnsi="Book Antiqua"/>
          <w:bCs/>
          <w:color w:val="000000" w:themeColor="text1"/>
          <w:lang w:bidi="ar-EG"/>
          <w14:textFill>
            <w14:solidFill>
              <w14:schemeClr w14:val="tx1"/>
            </w14:solidFill>
          </w14:textFill>
        </w:rPr>
        <w:t xml:space="preserve"> and chronic liver infection groups</w:t>
      </w:r>
      <w:bookmarkEnd w:id="10"/>
      <w:r>
        <w:rPr>
          <w:rFonts w:ascii="Book Antiqua" w:hAnsi="Book Antiqua"/>
          <w:bCs/>
          <w:color w:val="000000" w:themeColor="text1"/>
          <w:lang w:eastAsia="zh-CN" w:bidi="ar-EG"/>
          <w14:textFill>
            <w14:solidFill>
              <w14:schemeClr w14:val="tx1"/>
            </w14:solidFill>
          </w14:textFill>
        </w:rPr>
        <w:t xml:space="preserve">; </w:t>
      </w:r>
      <w:bookmarkStart w:id="11" w:name="_Toc51106456"/>
      <w:r>
        <w:rPr>
          <w:rFonts w:ascii="Book Antiqua" w:hAnsi="Book Antiqua"/>
          <w:bCs/>
          <w:color w:val="000000" w:themeColor="text1"/>
          <w:lang w:eastAsia="zh-CN"/>
          <w14:textFill>
            <w14:solidFill>
              <w14:schemeClr w14:val="tx1"/>
            </w14:solidFill>
          </w14:textFill>
        </w:rPr>
        <w:t>B</w:t>
      </w:r>
      <w:r>
        <w:rPr>
          <w:rFonts w:ascii="Book Antiqua" w:hAnsi="Book Antiqua"/>
          <w:bCs/>
          <w:color w:val="000000" w:themeColor="text1"/>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ROC curve assessing the validity of the RQ results of qRT-PCR for mRNA of </w:t>
      </w:r>
      <w:r>
        <w:rPr>
          <w:rFonts w:ascii="Book Antiqua" w:hAnsi="Book Antiqua"/>
          <w:i/>
          <w:iCs/>
          <w:color w:val="000000" w:themeColor="text1"/>
          <w:shd w:val="clear" w:color="auto" w:fill="FFFFFF"/>
          <w14:textFill>
            <w14:solidFill>
              <w14:schemeClr w14:val="tx1"/>
            </w14:solidFill>
          </w14:textFill>
        </w:rPr>
        <w:t>SQSTM1</w:t>
      </w:r>
      <w:r>
        <w:rPr>
          <w:rFonts w:ascii="Book Antiqua" w:hAnsi="Book Antiqua"/>
          <w:bCs/>
          <w:i/>
          <w:iCs/>
          <w:color w:val="000000" w:themeColor="text1"/>
          <w:lang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in the serum between hepatocellular carcinoma and chronic liver infection groups.</w:t>
      </w:r>
      <w:bookmarkEnd w:id="11"/>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ROC</w:t>
      </w:r>
      <w:r>
        <w:rPr>
          <w:rFonts w:hint="eastAsia"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Receiver operating characteristic</w:t>
      </w:r>
      <w:r>
        <w:rPr>
          <w:rFonts w:hint="eastAsia" w:ascii="Book Antiqua" w:hAnsi="Book Antiqua"/>
          <w:bCs/>
          <w:color w:val="000000" w:themeColor="text1"/>
          <w:lang w:eastAsia="zh-CN" w:bidi="ar-EG"/>
          <w14:textFill>
            <w14:solidFill>
              <w14:schemeClr w14:val="tx1"/>
            </w14:solidFill>
          </w14:textFill>
        </w:rPr>
        <w:t>.</w:t>
      </w:r>
    </w:p>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eastAsia="zh-CN" w:bidi="ar-EG"/>
          <w14:textFill>
            <w14:solidFill>
              <w14:schemeClr w14:val="tx1"/>
            </w14:solidFill>
          </w14:textFill>
        </w:rPr>
        <w:br w:type="page"/>
      </w:r>
      <w:r>
        <w:rPr>
          <w:rFonts w:ascii="Book Antiqua" w:hAnsi="Book Antiqua"/>
          <w:color w:val="000000" w:themeColor="text1"/>
          <w:lang w:eastAsia="zh-CN"/>
          <w14:textFill>
            <w14:solidFill>
              <w14:schemeClr w14:val="tx1"/>
            </w14:solidFill>
          </w14:textFill>
        </w:rPr>
        <w:drawing>
          <wp:inline distT="0" distB="0" distL="0" distR="0">
            <wp:extent cx="5943600" cy="27146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3600" cy="2714625"/>
                    </a:xfrm>
                    <a:prstGeom prst="rect">
                      <a:avLst/>
                    </a:prstGeom>
                    <a:noFill/>
                    <a:ln>
                      <a:noFill/>
                    </a:ln>
                  </pic:spPr>
                </pic:pic>
              </a:graphicData>
            </a:graphic>
          </wp:inline>
        </w:drawing>
      </w:r>
      <w:r>
        <w:rPr>
          <w:rFonts w:ascii="Book Antiqua" w:hAnsi="Book Antiqua"/>
          <w:b/>
          <w:bCs/>
          <w:color w:val="000000" w:themeColor="text1"/>
          <w:spacing w:val="-8"/>
          <w:lang w:bidi="ar-EG"/>
          <w14:textFill>
            <w14:solidFill>
              <w14:schemeClr w14:val="tx1"/>
            </w14:solidFill>
          </w14:textFill>
        </w:rPr>
        <w:t xml:space="preserve">Figure 4 </w:t>
      </w:r>
      <w:r>
        <w:rPr>
          <w:rFonts w:ascii="Book Antiqua" w:hAnsi="Book Antiqua"/>
          <w:b/>
          <w:bCs/>
          <w:color w:val="000000" w:themeColor="text1"/>
          <w:lang w:bidi="ar-EG"/>
          <w14:textFill>
            <w14:solidFill>
              <w14:schemeClr w14:val="tx1"/>
            </w14:solidFill>
          </w14:textFill>
        </w:rPr>
        <w:t>Receiver operating characteristic</w:t>
      </w:r>
      <w:r>
        <w:rPr>
          <w:rFonts w:ascii="Book Antiqua" w:hAnsi="Book Antiqua"/>
          <w:b/>
          <w:bCs/>
          <w:color w:val="000000" w:themeColor="text1"/>
          <w:spacing w:val="-8"/>
          <w:lang w:bidi="ar-EG"/>
          <w14:textFill>
            <w14:solidFill>
              <w14:schemeClr w14:val="tx1"/>
            </w14:solidFill>
          </w14:textFill>
        </w:rPr>
        <w:t xml:space="preserve"> curves of the new diagnostic biomarkers studied to differentiate</w:t>
      </w:r>
      <w:r>
        <w:rPr>
          <w:rFonts w:ascii="Book Antiqua" w:hAnsi="Book Antiqua"/>
          <w:b/>
          <w:bCs/>
          <w:color w:val="000000" w:themeColor="text1"/>
          <w:lang w:bidi="ar-EG"/>
          <w14:textFill>
            <w14:solidFill>
              <w14:schemeClr w14:val="tx1"/>
            </w14:solidFill>
          </w14:textFill>
        </w:rPr>
        <w:t xml:space="preserve"> between the malignant and non-malignant groups.</w:t>
      </w:r>
      <w:bookmarkStart w:id="12" w:name="_Toc51106454"/>
      <w:r>
        <w:rPr>
          <w:rFonts w:ascii="Book Antiqua" w:hAnsi="Book Antiqua"/>
          <w:b/>
          <w:bCs/>
          <w:color w:val="000000" w:themeColor="text1"/>
          <w:lang w:eastAsia="zh-CN"/>
          <w14:textFill>
            <w14:solidFill>
              <w14:schemeClr w14:val="tx1"/>
            </w14:solidFill>
          </w14:textFill>
        </w:rPr>
        <w:t xml:space="preserve"> </w:t>
      </w:r>
      <w:r>
        <w:rPr>
          <w:rFonts w:ascii="Book Antiqua" w:hAnsi="Book Antiqua"/>
          <w:bCs/>
          <w:color w:val="000000" w:themeColor="text1"/>
          <w:lang w:eastAsia="zh-CN"/>
          <w14:textFill>
            <w14:solidFill>
              <w14:schemeClr w14:val="tx1"/>
            </w14:solidFill>
          </w14:textFill>
        </w:rPr>
        <w:t>A</w:t>
      </w:r>
      <w:r>
        <w:rPr>
          <w:rFonts w:ascii="Book Antiqua" w:hAnsi="Book Antiqua"/>
          <w:bCs/>
          <w:color w:val="000000" w:themeColor="text1"/>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 xml:space="preserve">Receiver operating characteristic (ROC) curve assessing the validity of the RQ results of </w:t>
      </w:r>
      <w:r>
        <w:rPr>
          <w:rFonts w:ascii="Book Antiqua" w:hAnsi="Book Antiqua" w:cs="Book Antiqua"/>
          <w:bCs/>
          <w:color w:val="000000" w:themeColor="text1"/>
          <w:lang w:eastAsia="zh-CN"/>
          <w14:textFill>
            <w14:solidFill>
              <w14:schemeClr w14:val="tx1"/>
            </w14:solidFill>
          </w14:textFill>
        </w:rPr>
        <w:t>q</w:t>
      </w:r>
      <w:r>
        <w:rPr>
          <w:rFonts w:ascii="Book Antiqua" w:hAnsi="Book Antiqua" w:eastAsia="Book Antiqua" w:cs="Book Antiqua"/>
          <w:bCs/>
          <w:color w:val="000000" w:themeColor="text1"/>
          <w14:textFill>
            <w14:solidFill>
              <w14:schemeClr w14:val="tx1"/>
            </w14:solidFill>
          </w14:textFill>
        </w:rPr>
        <w:t xml:space="preserve">uantitative </w:t>
      </w:r>
      <w:r>
        <w:rPr>
          <w:rFonts w:ascii="Book Antiqua" w:hAnsi="Book Antiqua" w:cs="Book Antiqua"/>
          <w:bCs/>
          <w:color w:val="000000" w:themeColor="text1"/>
          <w:lang w:eastAsia="zh-CN"/>
          <w14:textFill>
            <w14:solidFill>
              <w14:schemeClr w14:val="tx1"/>
            </w14:solidFill>
          </w14:textFill>
        </w:rPr>
        <w:t>r</w:t>
      </w:r>
      <w:r>
        <w:rPr>
          <w:rFonts w:ascii="Book Antiqua" w:hAnsi="Book Antiqua" w:eastAsia="Book Antiqua" w:cs="Book Antiqua"/>
          <w:bCs/>
          <w:color w:val="000000" w:themeColor="text1"/>
          <w14:textFill>
            <w14:solidFill>
              <w14:schemeClr w14:val="tx1"/>
            </w14:solidFill>
          </w14:textFill>
        </w:rPr>
        <w:t>eal-</w:t>
      </w:r>
      <w:r>
        <w:rPr>
          <w:rFonts w:ascii="Book Antiqua" w:hAnsi="Book Antiqua" w:cs="Book Antiqua"/>
          <w:bCs/>
          <w:color w:val="000000" w:themeColor="text1"/>
          <w:lang w:eastAsia="zh-CN"/>
          <w14:textFill>
            <w14:solidFill>
              <w14:schemeClr w14:val="tx1"/>
            </w14:solidFill>
          </w14:textFill>
        </w:rPr>
        <w:t>t</w:t>
      </w:r>
      <w:r>
        <w:rPr>
          <w:rFonts w:ascii="Book Antiqua" w:hAnsi="Book Antiqua" w:eastAsia="Book Antiqua" w:cs="Book Antiqua"/>
          <w:bCs/>
          <w:color w:val="000000" w:themeColor="text1"/>
          <w14:textFill>
            <w14:solidFill>
              <w14:schemeClr w14:val="tx1"/>
            </w14:solidFill>
          </w14:textFill>
        </w:rPr>
        <w:t>ime polymerase chain reaction</w:t>
      </w:r>
      <w:r>
        <w:rPr>
          <w:rFonts w:ascii="Book Antiqua" w:hAnsi="Book Antiqua"/>
          <w:bCs/>
          <w:color w:val="000000" w:themeColor="text1"/>
          <w:spacing w:val="-8"/>
          <w:lang w:bidi="ar-EG"/>
          <w14:textFill>
            <w14:solidFill>
              <w14:schemeClr w14:val="tx1"/>
            </w14:solidFill>
          </w14:textFill>
        </w:rPr>
        <w:t xml:space="preserve"> </w:t>
      </w:r>
      <w:r>
        <w:rPr>
          <w:rFonts w:ascii="Book Antiqua" w:hAnsi="Book Antiqua"/>
          <w:bCs/>
          <w:color w:val="000000" w:themeColor="text1"/>
          <w:spacing w:val="-8"/>
          <w:lang w:eastAsia="zh-CN" w:bidi="ar-EG"/>
          <w14:textFill>
            <w14:solidFill>
              <w14:schemeClr w14:val="tx1"/>
            </w14:solidFill>
          </w14:textFill>
        </w:rPr>
        <w:t>(</w:t>
      </w:r>
      <w:r>
        <w:rPr>
          <w:rFonts w:ascii="Book Antiqua" w:hAnsi="Book Antiqua"/>
          <w:bCs/>
          <w:color w:val="000000" w:themeColor="text1"/>
          <w:spacing w:val="-8"/>
          <w:lang w:bidi="ar-EG"/>
          <w14:textFill>
            <w14:solidFill>
              <w14:schemeClr w14:val="tx1"/>
            </w14:solidFill>
          </w14:textFill>
        </w:rPr>
        <w:t>qRT-PCR</w:t>
      </w:r>
      <w:r>
        <w:rPr>
          <w:rFonts w:ascii="Book Antiqua" w:hAnsi="Book Antiqua"/>
          <w:bCs/>
          <w:color w:val="000000" w:themeColor="text1"/>
          <w:spacing w:val="-8"/>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for hsa-miR-519d in the serum among the malignant and non-malignant groups</w:t>
      </w:r>
      <w:bookmarkEnd w:id="12"/>
      <w:r>
        <w:rPr>
          <w:rFonts w:ascii="Book Antiqua" w:hAnsi="Book Antiqua"/>
          <w:bCs/>
          <w:color w:val="000000" w:themeColor="text1"/>
          <w:lang w:eastAsia="zh-CN" w:bidi="ar-EG"/>
          <w14:textFill>
            <w14:solidFill>
              <w14:schemeClr w14:val="tx1"/>
            </w14:solidFill>
          </w14:textFill>
        </w:rPr>
        <w:t xml:space="preserve">; </w:t>
      </w:r>
      <w:bookmarkStart w:id="13" w:name="_Toc51106457"/>
      <w:r>
        <w:rPr>
          <w:rFonts w:ascii="Book Antiqua" w:hAnsi="Book Antiqua"/>
          <w:bCs/>
          <w:color w:val="000000" w:themeColor="text1"/>
          <w:lang w:eastAsia="zh-CN"/>
          <w14:textFill>
            <w14:solidFill>
              <w14:schemeClr w14:val="tx1"/>
            </w14:solidFill>
          </w14:textFill>
        </w:rPr>
        <w:t>B</w:t>
      </w:r>
      <w:r>
        <w:rPr>
          <w:rFonts w:ascii="Book Antiqua" w:hAnsi="Book Antiqua"/>
          <w:bCs/>
          <w:color w:val="000000" w:themeColor="text1"/>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 xml:space="preserve">ROC curve assessing the validity of the RQ results of qRT-PCR for mRNA of </w:t>
      </w:r>
      <w:r>
        <w:rPr>
          <w:rFonts w:ascii="Book Antiqua" w:hAnsi="Book Antiqua"/>
          <w:i/>
          <w:color w:val="000000" w:themeColor="text1"/>
          <w14:textFill>
            <w14:solidFill>
              <w14:schemeClr w14:val="tx1"/>
            </w14:solidFill>
          </w14:textFill>
        </w:rPr>
        <w:t xml:space="preserve">SQSTM1 </w:t>
      </w:r>
      <w:r>
        <w:rPr>
          <w:rFonts w:ascii="Book Antiqua" w:hAnsi="Book Antiqua"/>
          <w:bCs/>
          <w:color w:val="000000" w:themeColor="text1"/>
          <w:lang w:bidi="ar-EG"/>
          <w14:textFill>
            <w14:solidFill>
              <w14:schemeClr w14:val="tx1"/>
            </w14:solidFill>
          </w14:textFill>
        </w:rPr>
        <w:t>in the serum among the malignant and non-malignant groups.</w:t>
      </w:r>
      <w:bookmarkEnd w:id="13"/>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ROC</w:t>
      </w:r>
      <w:r>
        <w:rPr>
          <w:rFonts w:hint="eastAsia"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Receiver operating characteristic</w:t>
      </w:r>
      <w:r>
        <w:rPr>
          <w:rFonts w:hint="eastAsia" w:ascii="Book Antiqua" w:hAnsi="Book Antiqua"/>
          <w:bCs/>
          <w:color w:val="000000" w:themeColor="text1"/>
          <w:lang w:eastAsia="zh-CN" w:bidi="ar-EG"/>
          <w14:textFill>
            <w14:solidFill>
              <w14:schemeClr w14:val="tx1"/>
            </w14:solidFill>
          </w14:textFill>
        </w:rPr>
        <w:t>.</w:t>
      </w:r>
    </w:p>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eastAsia="zh-CN" w:bidi="ar-EG"/>
          <w14:textFill>
            <w14:solidFill>
              <w14:schemeClr w14:val="tx1"/>
            </w14:solidFill>
          </w14:textFill>
        </w:rPr>
        <w:br w:type="page"/>
      </w:r>
      <w:r>
        <w:rPr>
          <w:rFonts w:ascii="Book Antiqua" w:hAnsi="Book Antiqua"/>
          <w:bCs/>
          <w:color w:val="000000" w:themeColor="text1"/>
          <w:lang w:eastAsia="zh-CN"/>
          <w14:textFill>
            <w14:solidFill>
              <w14:schemeClr w14:val="tx1"/>
            </w14:solidFill>
          </w14:textFill>
        </w:rPr>
        <w:drawing>
          <wp:inline distT="0" distB="0" distL="0" distR="0">
            <wp:extent cx="5742940" cy="2778125"/>
            <wp:effectExtent l="0" t="0" r="0" b="3175"/>
            <wp:docPr id="14" name="图片 14" descr="D:\樊佳茹-工作文件\第二次定稿\稿件编辑加工\稿件\已编稿件\待排版\64333\64333-PDF\64333-Figures\64333-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樊佳茹-工作文件\第二次定稿\稿件编辑加工\稿件\已编稿件\待排版\64333\64333-PDF\64333-Figures\64333-g0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42940" cy="2778125"/>
                    </a:xfrm>
                    <a:prstGeom prst="rect">
                      <a:avLst/>
                    </a:prstGeom>
                    <a:noFill/>
                    <a:ln>
                      <a:noFill/>
                    </a:ln>
                  </pic:spPr>
                </pic:pic>
              </a:graphicData>
            </a:graphic>
          </wp:inline>
        </w:drawing>
      </w:r>
      <w:r>
        <w:rPr>
          <w:rFonts w:ascii="Book Antiqua" w:hAnsi="Book Antiqua"/>
          <w:b/>
          <w:bCs/>
          <w:color w:val="000000" w:themeColor="text1"/>
          <w:spacing w:val="-8"/>
          <w:lang w:bidi="ar-EG"/>
          <w14:textFill>
            <w14:solidFill>
              <w14:schemeClr w14:val="tx1"/>
            </w14:solidFill>
          </w14:textFill>
        </w:rPr>
        <w:t xml:space="preserve">Figure 5 </w:t>
      </w:r>
      <w:r>
        <w:rPr>
          <w:rFonts w:ascii="Book Antiqua" w:hAnsi="Book Antiqua"/>
          <w:b/>
          <w:bCs/>
          <w:color w:val="000000" w:themeColor="text1"/>
          <w:lang w:bidi="ar-EG"/>
          <w14:textFill>
            <w14:solidFill>
              <w14:schemeClr w14:val="tx1"/>
            </w14:solidFill>
          </w14:textFill>
        </w:rPr>
        <w:t>Receiver operating characteristic</w:t>
      </w:r>
      <w:r>
        <w:rPr>
          <w:rFonts w:ascii="Book Antiqua" w:hAnsi="Book Antiqua"/>
          <w:b/>
          <w:bCs/>
          <w:color w:val="000000" w:themeColor="text1"/>
          <w:spacing w:val="-8"/>
          <w:lang w:bidi="ar-EG"/>
          <w14:textFill>
            <w14:solidFill>
              <w14:schemeClr w14:val="tx1"/>
            </w14:solidFill>
          </w14:textFill>
        </w:rPr>
        <w:t xml:space="preserve"> curves of the </w:t>
      </w:r>
      <w:r>
        <w:rPr>
          <w:rFonts w:ascii="Book Antiqua" w:hAnsi="Book Antiqua"/>
          <w:b/>
          <w:bCs/>
          <w:color w:val="000000" w:themeColor="text1"/>
          <w:spacing w:val="-8"/>
          <w:lang w:eastAsia="zh-CN" w:bidi="ar-EG"/>
          <w14:textFill>
            <w14:solidFill>
              <w14:schemeClr w14:val="tx1"/>
            </w14:solidFill>
          </w14:textFill>
        </w:rPr>
        <w:t>a</w:t>
      </w:r>
      <w:r>
        <w:rPr>
          <w:rFonts w:ascii="Book Antiqua" w:hAnsi="Book Antiqua"/>
          <w:b/>
          <w:bCs/>
          <w:color w:val="000000" w:themeColor="text1"/>
          <w:spacing w:val="-8"/>
          <w:lang w:bidi="ar-EG"/>
          <w14:textFill>
            <w14:solidFill>
              <w14:schemeClr w14:val="tx1"/>
            </w14:solidFill>
          </w14:textFill>
        </w:rPr>
        <w:t>lpha</w:t>
      </w:r>
      <w:r>
        <w:rPr>
          <w:rFonts w:ascii="Book Antiqua" w:hAnsi="Book Antiqua"/>
          <w:b/>
          <w:bCs/>
          <w:color w:val="000000" w:themeColor="text1"/>
          <w:spacing w:val="-8"/>
          <w:lang w:eastAsia="zh-CN" w:bidi="ar-EG"/>
          <w14:textFill>
            <w14:solidFill>
              <w14:schemeClr w14:val="tx1"/>
            </w14:solidFill>
          </w14:textFill>
        </w:rPr>
        <w:t>-</w:t>
      </w:r>
      <w:r>
        <w:rPr>
          <w:rFonts w:ascii="Book Antiqua" w:hAnsi="Book Antiqua"/>
          <w:b/>
          <w:bCs/>
          <w:color w:val="000000" w:themeColor="text1"/>
          <w:spacing w:val="-8"/>
          <w:lang w:bidi="ar-EG"/>
          <w14:textFill>
            <w14:solidFill>
              <w14:schemeClr w14:val="tx1"/>
            </w14:solidFill>
          </w14:textFill>
        </w:rPr>
        <w:t>fetoprotein studied to differentiate</w:t>
      </w:r>
      <w:r>
        <w:rPr>
          <w:rFonts w:ascii="Book Antiqua" w:hAnsi="Book Antiqua"/>
          <w:b/>
          <w:bCs/>
          <w:color w:val="000000" w:themeColor="text1"/>
          <w:lang w:bidi="ar-EG"/>
          <w14:textFill>
            <w14:solidFill>
              <w14:schemeClr w14:val="tx1"/>
            </w14:solidFill>
          </w14:textFill>
        </w:rPr>
        <w:t xml:space="preserve"> between the </w:t>
      </w:r>
      <w:r>
        <w:rPr>
          <w:rFonts w:ascii="Book Antiqua" w:hAnsi="Book Antiqua" w:eastAsia="Book Antiqua" w:cs="Book Antiqua"/>
          <w:b/>
          <w:color w:val="000000" w:themeColor="text1"/>
          <w14:textFill>
            <w14:solidFill>
              <w14:schemeClr w14:val="tx1"/>
            </w14:solidFill>
          </w14:textFill>
        </w:rPr>
        <w:t>hepatocellular carcinoma</w:t>
      </w:r>
      <w:r>
        <w:rPr>
          <w:rFonts w:ascii="Book Antiqua" w:hAnsi="Book Antiqua"/>
          <w:b/>
          <w:bCs/>
          <w:color w:val="000000" w:themeColor="text1"/>
          <w:lang w:bidi="ar-EG"/>
          <w14:textFill>
            <w14:solidFill>
              <w14:schemeClr w14:val="tx1"/>
            </w14:solidFill>
          </w14:textFill>
        </w:rPr>
        <w:t xml:space="preserve"> and chronic liver disease groups/malignant and non-malignant groups.</w:t>
      </w:r>
      <w:bookmarkStart w:id="14" w:name="_Toc51106450"/>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Cs/>
          <w:color w:val="000000" w:themeColor="text1"/>
          <w:lang w:eastAsia="zh-CN"/>
          <w14:textFill>
            <w14:solidFill>
              <w14:schemeClr w14:val="tx1"/>
            </w14:solidFill>
          </w14:textFill>
        </w:rPr>
        <w:t>A</w:t>
      </w:r>
      <w:r>
        <w:rPr>
          <w:rFonts w:ascii="Book Antiqua" w:hAnsi="Book Antiqua"/>
          <w:bCs/>
          <w:color w:val="000000" w:themeColor="text1"/>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Receiver operating characteristic (</w:t>
      </w:r>
      <w:r>
        <w:rPr>
          <w:rFonts w:ascii="Book Antiqua" w:hAnsi="Book Antiqua"/>
          <w:bCs/>
          <w:color w:val="000000" w:themeColor="text1"/>
          <w:spacing w:val="-8"/>
          <w:lang w:bidi="ar-EG"/>
          <w14:textFill>
            <w14:solidFill>
              <w14:schemeClr w14:val="tx1"/>
            </w14:solidFill>
          </w14:textFill>
        </w:rPr>
        <w:t>ROC)</w:t>
      </w:r>
      <w:r>
        <w:rPr>
          <w:rFonts w:ascii="Book Antiqua" w:hAnsi="Book Antiqua"/>
          <w:bCs/>
          <w:color w:val="000000" w:themeColor="text1"/>
          <w:lang w:bidi="ar-EG"/>
          <w14:textFill>
            <w14:solidFill>
              <w14:schemeClr w14:val="tx1"/>
            </w14:solidFill>
          </w14:textFill>
        </w:rPr>
        <w:t xml:space="preserve"> curve to assess the validity of </w:t>
      </w:r>
      <w:r>
        <w:rPr>
          <w:rFonts w:ascii="Book Antiqua" w:hAnsi="Book Antiqua"/>
          <w:bCs/>
          <w:color w:val="000000" w:themeColor="text1"/>
          <w:spacing w:val="-8"/>
          <w:lang w:eastAsia="zh-CN" w:bidi="ar-EG"/>
          <w14:textFill>
            <w14:solidFill>
              <w14:schemeClr w14:val="tx1"/>
            </w14:solidFill>
          </w14:textFill>
        </w:rPr>
        <w:t>a</w:t>
      </w:r>
      <w:r>
        <w:rPr>
          <w:rFonts w:ascii="Book Antiqua" w:hAnsi="Book Antiqua"/>
          <w:bCs/>
          <w:color w:val="000000" w:themeColor="text1"/>
          <w:spacing w:val="-8"/>
          <w:lang w:bidi="ar-EG"/>
          <w14:textFill>
            <w14:solidFill>
              <w14:schemeClr w14:val="tx1"/>
            </w14:solidFill>
          </w14:textFill>
        </w:rPr>
        <w:t>lpha</w:t>
      </w:r>
      <w:r>
        <w:rPr>
          <w:rFonts w:ascii="Book Antiqua" w:hAnsi="Book Antiqua"/>
          <w:bCs/>
          <w:color w:val="000000" w:themeColor="text1"/>
          <w:spacing w:val="-8"/>
          <w:lang w:eastAsia="zh-CN" w:bidi="ar-EG"/>
          <w14:textFill>
            <w14:solidFill>
              <w14:schemeClr w14:val="tx1"/>
            </w14:solidFill>
          </w14:textFill>
        </w:rPr>
        <w:t>-</w:t>
      </w:r>
      <w:r>
        <w:rPr>
          <w:rFonts w:ascii="Book Antiqua" w:hAnsi="Book Antiqua"/>
          <w:bCs/>
          <w:color w:val="000000" w:themeColor="text1"/>
          <w:spacing w:val="-8"/>
          <w:lang w:bidi="ar-EG"/>
          <w14:textFill>
            <w14:solidFill>
              <w14:schemeClr w14:val="tx1"/>
            </w14:solidFill>
          </w14:textFill>
        </w:rPr>
        <w:t>fetoprotein (AFP)</w:t>
      </w:r>
      <w:r>
        <w:rPr>
          <w:rFonts w:ascii="Book Antiqua" w:hAnsi="Book Antiqua"/>
          <w:bCs/>
          <w:color w:val="000000" w:themeColor="text1"/>
          <w:lang w:bidi="ar-EG"/>
          <w14:textFill>
            <w14:solidFill>
              <w14:schemeClr w14:val="tx1"/>
            </w14:solidFill>
          </w14:textFill>
        </w:rPr>
        <w:t xml:space="preserve"> for the differentiation between the </w:t>
      </w:r>
      <w:r>
        <w:rPr>
          <w:rFonts w:ascii="Book Antiqua" w:hAnsi="Book Antiqua" w:eastAsia="Book Antiqua" w:cs="Book Antiqua"/>
          <w:color w:val="000000" w:themeColor="text1"/>
          <w14:textFill>
            <w14:solidFill>
              <w14:schemeClr w14:val="tx1"/>
            </w14:solidFill>
          </w14:textFill>
        </w:rPr>
        <w:t>hepatocellular carcinoma</w:t>
      </w:r>
      <w:r>
        <w:rPr>
          <w:rFonts w:ascii="Book Antiqua" w:hAnsi="Book Antiqua"/>
          <w:bCs/>
          <w:color w:val="000000" w:themeColor="text1"/>
          <w:lang w:bidi="ar-EG"/>
          <w14:textFill>
            <w14:solidFill>
              <w14:schemeClr w14:val="tx1"/>
            </w14:solidFill>
          </w14:textFill>
        </w:rPr>
        <w:t xml:space="preserve"> and chronic liver disease groups</w:t>
      </w:r>
      <w:bookmarkEnd w:id="14"/>
      <w:r>
        <w:rPr>
          <w:rFonts w:ascii="Book Antiqua" w:hAnsi="Book Antiqua"/>
          <w:bCs/>
          <w:color w:val="000000" w:themeColor="text1"/>
          <w:lang w:eastAsia="zh-CN" w:bidi="ar-EG"/>
          <w14:textFill>
            <w14:solidFill>
              <w14:schemeClr w14:val="tx1"/>
            </w14:solidFill>
          </w14:textFill>
        </w:rPr>
        <w:t xml:space="preserve">; </w:t>
      </w:r>
      <w:bookmarkStart w:id="15" w:name="_Hlk42630620"/>
      <w:bookmarkStart w:id="16" w:name="_Toc51106451"/>
      <w:r>
        <w:rPr>
          <w:rFonts w:ascii="Book Antiqua" w:hAnsi="Book Antiqua"/>
          <w:bCs/>
          <w:color w:val="000000" w:themeColor="text1"/>
          <w:lang w:eastAsia="zh-CN"/>
          <w14:textFill>
            <w14:solidFill>
              <w14:schemeClr w14:val="tx1"/>
            </w14:solidFill>
          </w14:textFill>
        </w:rPr>
        <w:t>B</w:t>
      </w:r>
      <w:r>
        <w:rPr>
          <w:rFonts w:ascii="Book Antiqua" w:hAnsi="Book Antiqua"/>
          <w:bCs/>
          <w:color w:val="000000" w:themeColor="text1"/>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 xml:space="preserve">ROC curve </w:t>
      </w:r>
      <w:bookmarkEnd w:id="15"/>
      <w:r>
        <w:rPr>
          <w:rFonts w:ascii="Book Antiqua" w:hAnsi="Book Antiqua"/>
          <w:bCs/>
          <w:color w:val="000000" w:themeColor="text1"/>
          <w:lang w:bidi="ar-EG"/>
          <w14:textFill>
            <w14:solidFill>
              <w14:schemeClr w14:val="tx1"/>
            </w14:solidFill>
          </w14:textFill>
        </w:rPr>
        <w:t xml:space="preserve">assessing the validity of </w:t>
      </w:r>
      <w:r>
        <w:rPr>
          <w:rFonts w:ascii="Book Antiqua" w:hAnsi="Book Antiqua"/>
          <w:bCs/>
          <w:color w:val="000000" w:themeColor="text1"/>
          <w:spacing w:val="-8"/>
          <w:lang w:eastAsia="zh-CN" w:bidi="ar-EG"/>
          <w14:textFill>
            <w14:solidFill>
              <w14:schemeClr w14:val="tx1"/>
            </w14:solidFill>
          </w14:textFill>
        </w:rPr>
        <w:t>AFP</w:t>
      </w:r>
      <w:r>
        <w:rPr>
          <w:rFonts w:ascii="Book Antiqua" w:hAnsi="Book Antiqua"/>
          <w:bCs/>
          <w:color w:val="000000" w:themeColor="text1"/>
          <w:lang w:bidi="ar-EG"/>
          <w14:textFill>
            <w14:solidFill>
              <w14:schemeClr w14:val="tx1"/>
            </w14:solidFill>
          </w14:textFill>
        </w:rPr>
        <w:t xml:space="preserve"> for differentiating between the malignant and non-malignant groups.</w:t>
      </w:r>
      <w:bookmarkEnd w:id="16"/>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ROC</w:t>
      </w:r>
      <w:r>
        <w:rPr>
          <w:rFonts w:hint="eastAsia"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Receiver operating characteristic</w:t>
      </w:r>
      <w:r>
        <w:rPr>
          <w:rFonts w:hint="eastAsia" w:ascii="Book Antiqua" w:hAnsi="Book Antiqua"/>
          <w:bCs/>
          <w:color w:val="000000" w:themeColor="text1"/>
          <w:lang w:eastAsia="zh-CN" w:bidi="ar-EG"/>
          <w14:textFill>
            <w14:solidFill>
              <w14:schemeClr w14:val="tx1"/>
            </w14:solidFill>
          </w14:textFill>
        </w:rPr>
        <w:t>.</w:t>
      </w:r>
    </w:p>
    <w:p>
      <w:pPr>
        <w:spacing w:line="360" w:lineRule="auto"/>
        <w:jc w:val="both"/>
        <w:rPr>
          <w:rFonts w:ascii="Book Antiqua" w:hAnsi="Book Antiqua"/>
          <w:bCs/>
          <w:color w:val="000000" w:themeColor="text1"/>
          <w:lang w:bidi="ar-EG"/>
          <w14:textFill>
            <w14:solidFill>
              <w14:schemeClr w14:val="tx1"/>
            </w14:solidFill>
          </w14:textFill>
        </w:rPr>
      </w:pPr>
    </w:p>
    <w:p>
      <w:pPr>
        <w:spacing w:line="360" w:lineRule="auto"/>
        <w:jc w:val="both"/>
        <w:rPr>
          <w:rFonts w:ascii="Book Antiqua" w:hAnsi="Book Antiqua"/>
          <w:b/>
          <w:bCs/>
          <w:color w:val="000000" w:themeColor="text1"/>
          <w:u w:val="single"/>
          <w:lang w:eastAsia="zh-CN" w:bidi="ar-EG"/>
          <w14:textFill>
            <w14:solidFill>
              <w14:schemeClr w14:val="tx1"/>
            </w14:solidFill>
          </w14:textFill>
        </w:rPr>
      </w:pPr>
      <w:r>
        <w:rPr>
          <w:rFonts w:ascii="Book Antiqua" w:hAnsi="Book Antiqua"/>
          <w:bCs/>
          <w:color w:val="000000" w:themeColor="text1"/>
          <w:lang w:eastAsia="zh-CN" w:bidi="ar-EG"/>
          <w14:textFill>
            <w14:solidFill>
              <w14:schemeClr w14:val="tx1"/>
            </w14:solidFill>
          </w14:textFill>
        </w:rPr>
        <w:br w:type="page"/>
      </w:r>
      <w:bookmarkStart w:id="17" w:name="_Toc51106803"/>
      <w:r>
        <w:rPr>
          <w:rFonts w:ascii="Book Antiqua" w:hAnsi="Book Antiqua"/>
          <w:b/>
          <w:bCs/>
          <w:color w:val="000000" w:themeColor="text1"/>
          <w14:textFill>
            <w14:solidFill>
              <w14:schemeClr w14:val="tx1"/>
            </w14:solidFill>
          </w14:textFill>
        </w:rPr>
        <w:t xml:space="preserve">Table </w:t>
      </w:r>
      <w:r>
        <w:rPr>
          <w:rFonts w:ascii="Book Antiqua" w:hAnsi="Book Antiqua"/>
          <w:b/>
          <w:bCs/>
          <w:color w:val="000000" w:themeColor="text1"/>
          <w14:textFill>
            <w14:solidFill>
              <w14:schemeClr w14:val="tx1"/>
            </w14:solidFill>
          </w14:textFill>
        </w:rPr>
        <w:fldChar w:fldCharType="begin"/>
      </w:r>
      <w:r>
        <w:rPr>
          <w:rFonts w:ascii="Book Antiqua" w:hAnsi="Book Antiqua"/>
          <w:b/>
          <w:bCs/>
          <w:color w:val="000000" w:themeColor="text1"/>
          <w14:textFill>
            <w14:solidFill>
              <w14:schemeClr w14:val="tx1"/>
            </w14:solidFill>
          </w14:textFill>
        </w:rPr>
        <w:instrText xml:space="preserve"> SEQ Table \* ARABIC </w:instrText>
      </w:r>
      <w:r>
        <w:rPr>
          <w:rFonts w:ascii="Book Antiqua" w:hAnsi="Book Antiqua"/>
          <w:b/>
          <w:bCs/>
          <w:color w:val="000000" w:themeColor="text1"/>
          <w14:textFill>
            <w14:solidFill>
              <w14:schemeClr w14:val="tx1"/>
            </w14:solidFill>
          </w14:textFill>
        </w:rPr>
        <w:fldChar w:fldCharType="separate"/>
      </w:r>
      <w:r>
        <w:rPr>
          <w:rFonts w:ascii="Book Antiqua" w:hAnsi="Book Antiqua"/>
          <w:b/>
          <w:bCs/>
          <w:color w:val="000000" w:themeColor="text1"/>
          <w14:textFill>
            <w14:solidFill>
              <w14:schemeClr w14:val="tx1"/>
            </w14:solidFill>
          </w14:textFill>
        </w:rPr>
        <w:t>1</w:t>
      </w:r>
      <w:r>
        <w:rPr>
          <w:rFonts w:ascii="Book Antiqua" w:hAnsi="Book Antiqua"/>
          <w:b/>
          <w:bCs/>
          <w:color w:val="000000" w:themeColor="text1"/>
          <w14:textFill>
            <w14:solidFill>
              <w14:schemeClr w14:val="tx1"/>
            </w14:solidFill>
          </w14:textFill>
        </w:rPr>
        <w:fldChar w:fldCharType="end"/>
      </w:r>
      <w:r>
        <w:rPr>
          <w:rFonts w:ascii="Book Antiqua" w:hAnsi="Book Antiqua"/>
          <w:b/>
          <w:bCs/>
          <w:color w:val="000000" w:themeColor="text1"/>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The ages in the different groups of the study</w:t>
      </w:r>
      <w:bookmarkEnd w:id="17"/>
      <w:r>
        <w:rPr>
          <w:rFonts w:hint="eastAsia"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eastAsia="zh-CN" w:bidi="ar-EG"/>
          <w14:textFill>
            <w14:solidFill>
              <w14:schemeClr w14:val="tx1"/>
            </w14:solidFill>
          </w14:textFill>
        </w:rPr>
        <w:t>m</w:t>
      </w:r>
      <w:r>
        <w:rPr>
          <w:rFonts w:ascii="Book Antiqua" w:hAnsi="Book Antiqua"/>
          <w:b/>
          <w:bCs/>
          <w:color w:val="000000" w:themeColor="text1"/>
          <w:lang w:bidi="ar-EG"/>
          <w14:textFill>
            <w14:solidFill>
              <w14:schemeClr w14:val="tx1"/>
            </w14:solidFill>
          </w14:textFill>
        </w:rPr>
        <w:t>ean</w:t>
      </w:r>
      <w:r>
        <w:rPr>
          <w:rFonts w:ascii="Book Antiqua" w:hAnsi="Book Antiqua"/>
          <w:b/>
          <w:bCs/>
          <w:color w:val="000000" w:themeColor="text1"/>
          <w:lang w:eastAsia="zh-CN" w:bidi="ar-EG"/>
          <w14:textFill>
            <w14:solidFill>
              <w14:schemeClr w14:val="tx1"/>
            </w14:solidFill>
          </w14:textFill>
        </w:rPr>
        <w:t xml:space="preserve"> ± SD</w:t>
      </w:r>
      <w:r>
        <w:rPr>
          <w:rFonts w:hint="eastAsia" w:ascii="Book Antiqua" w:hAnsi="Book Antiqua"/>
          <w:b/>
          <w:bCs/>
          <w:color w:val="000000" w:themeColor="text1"/>
          <w:lang w:eastAsia="zh-CN" w:bidi="ar-EG"/>
          <w14:textFill>
            <w14:solidFill>
              <w14:schemeClr w14:val="tx1"/>
            </w14:solidFill>
          </w14:textFill>
        </w:rPr>
        <w:t>)</w:t>
      </w:r>
    </w:p>
    <w:tbl>
      <w:tblPr>
        <w:tblStyle w:val="7"/>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57" w:type="dxa"/>
          <w:bottom w:w="0" w:type="dxa"/>
          <w:right w:w="57" w:type="dxa"/>
        </w:tblCellMar>
      </w:tblPr>
      <w:tblGrid>
        <w:gridCol w:w="1533"/>
        <w:gridCol w:w="1671"/>
        <w:gridCol w:w="1942"/>
        <w:gridCol w:w="1758"/>
        <w:gridCol w:w="1288"/>
        <w:gridCol w:w="128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cantSplit/>
        </w:trPr>
        <w:tc>
          <w:tcPr>
            <w:tcW w:w="809"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Age</w:t>
            </w:r>
          </w:p>
        </w:tc>
        <w:tc>
          <w:tcPr>
            <w:tcW w:w="882"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eastAsia="zh-CN"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HCC</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w:t>
            </w:r>
            <w:r>
              <w:rPr>
                <w:rFonts w:ascii="Book Antiqua" w:hAnsi="Book Antiqua"/>
                <w:b/>
                <w:bCs/>
                <w:i/>
                <w:color w:val="000000" w:themeColor="text1"/>
                <w:lang w:eastAsia="zh-CN" w:bidi="ar-EG"/>
                <w14:textFill>
                  <w14:solidFill>
                    <w14:schemeClr w14:val="tx1"/>
                  </w14:solidFill>
                </w14:textFill>
              </w:rPr>
              <w:t>n</w:t>
            </w:r>
            <w:r>
              <w:rPr>
                <w:rFonts w:ascii="Book Antiqua" w:hAnsi="Book Antiqua"/>
                <w:b/>
                <w:bCs/>
                <w:color w:val="000000" w:themeColor="text1"/>
                <w:lang w:bidi="ar-EG"/>
                <w14:textFill>
                  <w14:solidFill>
                    <w14:schemeClr w14:val="tx1"/>
                  </w14:solidFill>
                </w14:textFill>
              </w:rPr>
              <w:t xml:space="preserve"> = 34)</w:t>
            </w:r>
          </w:p>
        </w:tc>
        <w:tc>
          <w:tcPr>
            <w:tcW w:w="1025"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eastAsia="zh-CN"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Chronic liver infection</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w:t>
            </w:r>
            <w:r>
              <w:rPr>
                <w:rFonts w:ascii="Book Antiqua" w:hAnsi="Book Antiqua"/>
                <w:b/>
                <w:bCs/>
                <w:i/>
                <w:color w:val="000000" w:themeColor="text1"/>
                <w:lang w:eastAsia="zh-CN" w:bidi="ar-EG"/>
                <w14:textFill>
                  <w14:solidFill>
                    <w14:schemeClr w14:val="tx1"/>
                  </w14:solidFill>
                </w14:textFill>
              </w:rPr>
              <w:t>n</w:t>
            </w:r>
            <w:r>
              <w:rPr>
                <w:rFonts w:ascii="Book Antiqua" w:hAnsi="Book Antiqua"/>
                <w:b/>
                <w:bCs/>
                <w:color w:val="000000" w:themeColor="text1"/>
                <w:lang w:bidi="ar-EG"/>
                <w14:textFill>
                  <w14:solidFill>
                    <w14:schemeClr w14:val="tx1"/>
                  </w14:solidFill>
                </w14:textFill>
              </w:rPr>
              <w:t xml:space="preserve"> = 11)</w:t>
            </w:r>
          </w:p>
        </w:tc>
        <w:tc>
          <w:tcPr>
            <w:tcW w:w="928"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Control</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w:t>
            </w:r>
            <w:r>
              <w:rPr>
                <w:rFonts w:ascii="Book Antiqua" w:hAnsi="Book Antiqua"/>
                <w:b/>
                <w:bCs/>
                <w:i/>
                <w:color w:val="000000" w:themeColor="text1"/>
                <w:lang w:eastAsia="zh-CN" w:bidi="ar-EG"/>
                <w14:textFill>
                  <w14:solidFill>
                    <w14:schemeClr w14:val="tx1"/>
                  </w14:solidFill>
                </w14:textFill>
              </w:rPr>
              <w:t>n</w:t>
            </w:r>
            <w:r>
              <w:rPr>
                <w:rFonts w:ascii="Book Antiqua" w:hAnsi="Book Antiqua"/>
                <w:b/>
                <w:bCs/>
                <w:color w:val="000000" w:themeColor="text1"/>
                <w:lang w:bidi="ar-EG"/>
                <w14:textFill>
                  <w14:solidFill>
                    <w14:schemeClr w14:val="tx1"/>
                  </w14:solidFill>
                </w14:textFill>
              </w:rPr>
              <w:t xml:space="preserve"> = 5)</w:t>
            </w:r>
          </w:p>
        </w:tc>
        <w:tc>
          <w:tcPr>
            <w:tcW w:w="680"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F</w:t>
            </w:r>
            <w:r>
              <w:rPr>
                <w:rFonts w:ascii="Book Antiqua" w:hAnsi="Book Antiqua"/>
                <w:b/>
                <w:bCs/>
                <w:color w:val="000000" w:themeColor="text1"/>
                <w:vertAlign w:val="superscript"/>
                <w:lang w:eastAsia="zh-CN" w:bidi="ar-EG"/>
                <w14:textFill>
                  <w14:solidFill>
                    <w14:schemeClr w14:val="tx1"/>
                  </w14:solidFill>
                </w14:textFill>
              </w:rPr>
              <w:t>1</w:t>
            </w:r>
          </w:p>
        </w:tc>
        <w:tc>
          <w:tcPr>
            <w:tcW w:w="676"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r>
              <w:rPr>
                <w:rFonts w:ascii="Book Antiqua" w:hAnsi="Book Antiqua"/>
                <w:b/>
                <w:i/>
                <w:color w:val="000000" w:themeColor="text1"/>
                <w14:textFill>
                  <w14:solidFill>
                    <w14:schemeClr w14:val="tx1"/>
                  </w14:solidFill>
                </w14:textFill>
              </w:rPr>
              <w:t>P</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trPr>
        <w:tc>
          <w:tcPr>
            <w:tcW w:w="809" w:type="pct"/>
            <w:tcBorders>
              <w:top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p>
        </w:tc>
        <w:tc>
          <w:tcPr>
            <w:tcW w:w="882" w:type="pct"/>
            <w:tcBorders>
              <w:top w:val="single" w:color="auto" w:sz="4" w:space="0"/>
            </w:tcBorders>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58.88</w:t>
            </w:r>
            <w:r>
              <w:rPr>
                <w:rFonts w:ascii="Book Antiqua" w:hAnsi="Book Antiqua"/>
                <w:bCs/>
                <w:color w:val="000000" w:themeColor="text1"/>
                <w:lang w:eastAsia="zh-CN" w:bidi="ar-EG"/>
                <w14:textFill>
                  <w14:solidFill>
                    <w14:schemeClr w14:val="tx1"/>
                  </w14:solidFill>
                </w14:textFill>
              </w:rPr>
              <w:t xml:space="preserve"> ± </w:t>
            </w:r>
            <w:r>
              <w:rPr>
                <w:rFonts w:ascii="Book Antiqua" w:hAnsi="Book Antiqua"/>
                <w:bCs/>
                <w:color w:val="000000" w:themeColor="text1"/>
                <w:lang w:bidi="ar-EG"/>
                <w14:textFill>
                  <w14:solidFill>
                    <w14:schemeClr w14:val="tx1"/>
                  </w14:solidFill>
                </w14:textFill>
              </w:rPr>
              <w:t>8.08</w:t>
            </w:r>
          </w:p>
        </w:tc>
        <w:tc>
          <w:tcPr>
            <w:tcW w:w="1025" w:type="pct"/>
            <w:tcBorders>
              <w:top w:val="single" w:color="auto" w:sz="4" w:space="0"/>
            </w:tcBorders>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56.18</w:t>
            </w:r>
            <w:r>
              <w:rPr>
                <w:rFonts w:ascii="Book Antiqua" w:hAnsi="Book Antiqua"/>
                <w:bCs/>
                <w:color w:val="000000" w:themeColor="text1"/>
                <w:lang w:eastAsia="zh-CN" w:bidi="ar-EG"/>
                <w14:textFill>
                  <w14:solidFill>
                    <w14:schemeClr w14:val="tx1"/>
                  </w14:solidFill>
                </w14:textFill>
              </w:rPr>
              <w:t xml:space="preserve"> ± </w:t>
            </w:r>
            <w:r>
              <w:rPr>
                <w:rFonts w:ascii="Book Antiqua" w:hAnsi="Book Antiqua"/>
                <w:bCs/>
                <w:color w:val="000000" w:themeColor="text1"/>
                <w:lang w:bidi="ar-EG"/>
                <w14:textFill>
                  <w14:solidFill>
                    <w14:schemeClr w14:val="tx1"/>
                  </w14:solidFill>
                </w14:textFill>
              </w:rPr>
              <w:t>16.26</w:t>
            </w:r>
          </w:p>
        </w:tc>
        <w:tc>
          <w:tcPr>
            <w:tcW w:w="928" w:type="pct"/>
            <w:tcBorders>
              <w:top w:val="single" w:color="auto" w:sz="4" w:space="0"/>
            </w:tcBorders>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55.40</w:t>
            </w:r>
            <w:r>
              <w:rPr>
                <w:rFonts w:ascii="Book Antiqua" w:hAnsi="Book Antiqua"/>
                <w:bCs/>
                <w:color w:val="000000" w:themeColor="text1"/>
                <w:lang w:eastAsia="zh-CN" w:bidi="ar-EG"/>
                <w14:textFill>
                  <w14:solidFill>
                    <w14:schemeClr w14:val="tx1"/>
                  </w14:solidFill>
                </w14:textFill>
              </w:rPr>
              <w:t xml:space="preserve"> ± </w:t>
            </w:r>
            <w:r>
              <w:rPr>
                <w:rFonts w:ascii="Book Antiqua" w:hAnsi="Book Antiqua"/>
                <w:bCs/>
                <w:color w:val="000000" w:themeColor="text1"/>
                <w:lang w:bidi="ar-EG"/>
                <w14:textFill>
                  <w14:solidFill>
                    <w14:schemeClr w14:val="tx1"/>
                  </w14:solidFill>
                </w14:textFill>
              </w:rPr>
              <w:t>22.09</w:t>
            </w:r>
          </w:p>
        </w:tc>
        <w:tc>
          <w:tcPr>
            <w:tcW w:w="680" w:type="pct"/>
            <w:tcBorders>
              <w:top w:val="single" w:color="auto" w:sz="4" w:space="0"/>
            </w:tcBorders>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0.34</w:t>
            </w:r>
          </w:p>
        </w:tc>
        <w:tc>
          <w:tcPr>
            <w:tcW w:w="676" w:type="pct"/>
            <w:tcBorders>
              <w:top w:val="single" w:color="auto" w:sz="4" w:space="0"/>
            </w:tcBorders>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0.72 NS</w:t>
            </w:r>
          </w:p>
        </w:tc>
      </w:tr>
    </w:tbl>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vertAlign w:val="superscript"/>
          <w:lang w:eastAsia="zh-CN" w:bidi="ar-EG"/>
          <w14:textFill>
            <w14:solidFill>
              <w14:schemeClr w14:val="tx1"/>
            </w14:solidFill>
          </w14:textFill>
        </w:rPr>
        <w:t>1</w:t>
      </w:r>
      <w:r>
        <w:rPr>
          <w:rFonts w:ascii="Book Antiqua" w:hAnsi="Book Antiqua"/>
          <w:bCs/>
          <w:color w:val="000000" w:themeColor="text1"/>
          <w:lang w:bidi="ar-EG"/>
          <w14:textFill>
            <w14:solidFill>
              <w14:schemeClr w14:val="tx1"/>
            </w14:solidFill>
          </w14:textFill>
        </w:rPr>
        <w:t>One-way analysis of variance</w:t>
      </w:r>
      <w:r>
        <w:rPr>
          <w:rFonts w:ascii="Book Antiqua" w:hAnsi="Book Antiqua"/>
          <w:bCs/>
          <w:color w:val="000000" w:themeColor="text1"/>
          <w:lang w:eastAsia="zh-CN" w:bidi="ar-EG"/>
          <w14:textFill>
            <w14:solidFill>
              <w14:schemeClr w14:val="tx1"/>
            </w14:solidFill>
          </w14:textFill>
        </w:rPr>
        <w:t>.</w:t>
      </w:r>
    </w:p>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HCC</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H</w:t>
      </w:r>
      <w:r>
        <w:rPr>
          <w:rFonts w:ascii="Book Antiqua" w:hAnsi="Book Antiqua"/>
          <w:bCs/>
          <w:color w:val="000000" w:themeColor="text1"/>
          <w:lang w:bidi="ar-EG"/>
          <w14:textFill>
            <w14:solidFill>
              <w14:schemeClr w14:val="tx1"/>
            </w14:solidFill>
          </w14:textFill>
        </w:rPr>
        <w:t>epatocellular carcinoma; NS</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N</w:t>
      </w:r>
      <w:r>
        <w:rPr>
          <w:rFonts w:ascii="Book Antiqua" w:hAnsi="Book Antiqua"/>
          <w:bCs/>
          <w:color w:val="000000" w:themeColor="text1"/>
          <w:lang w:bidi="ar-EG"/>
          <w14:textFill>
            <w14:solidFill>
              <w14:schemeClr w14:val="tx1"/>
            </w14:solidFill>
          </w14:textFill>
        </w:rPr>
        <w:t>on-significant; SD</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S</w:t>
      </w:r>
      <w:r>
        <w:rPr>
          <w:rFonts w:ascii="Book Antiqua" w:hAnsi="Book Antiqua"/>
          <w:bCs/>
          <w:color w:val="000000" w:themeColor="text1"/>
          <w:lang w:bidi="ar-EG"/>
          <w14:textFill>
            <w14:solidFill>
              <w14:schemeClr w14:val="tx1"/>
            </w14:solidFill>
          </w14:textFill>
        </w:rPr>
        <w:t>tandard deviation.</w:t>
      </w:r>
    </w:p>
    <w:p>
      <w:pPr>
        <w:spacing w:line="360" w:lineRule="auto"/>
        <w:jc w:val="both"/>
        <w:rPr>
          <w:rFonts w:ascii="Book Antiqua" w:hAnsi="Book Antiqua"/>
          <w:b/>
          <w:bCs/>
          <w:color w:val="000000" w:themeColor="text1"/>
          <w:lang w:eastAsia="zh-CN" w:bidi="ar-EG"/>
          <w14:textFill>
            <w14:solidFill>
              <w14:schemeClr w14:val="tx1"/>
            </w14:solidFill>
          </w14:textFill>
        </w:rPr>
      </w:pPr>
      <w:bookmarkStart w:id="18" w:name="_Toc51106806"/>
      <w:r>
        <w:rPr>
          <w:rFonts w:ascii="Book Antiqua" w:hAnsi="Book Antiqua"/>
          <w:b/>
          <w:bCs/>
          <w:color w:val="000000" w:themeColor="text1"/>
          <w14:textFill>
            <w14:solidFill>
              <w14:schemeClr w14:val="tx1"/>
            </w14:solidFill>
          </w14:textFill>
        </w:rPr>
        <w:br w:type="page"/>
      </w:r>
      <w:r>
        <w:rPr>
          <w:rFonts w:ascii="Book Antiqua" w:hAnsi="Book Antiqua"/>
          <w:b/>
          <w:bCs/>
          <w:color w:val="000000" w:themeColor="text1"/>
          <w14:textFill>
            <w14:solidFill>
              <w14:schemeClr w14:val="tx1"/>
            </w14:solidFill>
          </w14:textFill>
        </w:rPr>
        <w:t xml:space="preserve">Table </w:t>
      </w:r>
      <w:r>
        <w:rPr>
          <w:rFonts w:ascii="Book Antiqua" w:hAnsi="Book Antiqua"/>
          <w:b/>
          <w:bCs/>
          <w:color w:val="000000" w:themeColor="text1"/>
          <w14:textFill>
            <w14:solidFill>
              <w14:schemeClr w14:val="tx1"/>
            </w14:solidFill>
          </w14:textFill>
        </w:rPr>
        <w:fldChar w:fldCharType="begin"/>
      </w:r>
      <w:r>
        <w:rPr>
          <w:rFonts w:ascii="Book Antiqua" w:hAnsi="Book Antiqua"/>
          <w:b/>
          <w:bCs/>
          <w:color w:val="000000" w:themeColor="text1"/>
          <w14:textFill>
            <w14:solidFill>
              <w14:schemeClr w14:val="tx1"/>
            </w14:solidFill>
          </w14:textFill>
        </w:rPr>
        <w:instrText xml:space="preserve"> SEQ Table \* ARABIC </w:instrText>
      </w:r>
      <w:r>
        <w:rPr>
          <w:rFonts w:ascii="Book Antiqua" w:hAnsi="Book Antiqua"/>
          <w:b/>
          <w:bCs/>
          <w:color w:val="000000" w:themeColor="text1"/>
          <w14:textFill>
            <w14:solidFill>
              <w14:schemeClr w14:val="tx1"/>
            </w14:solidFill>
          </w14:textFill>
        </w:rPr>
        <w:fldChar w:fldCharType="separate"/>
      </w:r>
      <w:r>
        <w:rPr>
          <w:rFonts w:ascii="Book Antiqua" w:hAnsi="Book Antiqua"/>
          <w:b/>
          <w:bCs/>
          <w:color w:val="000000" w:themeColor="text1"/>
          <w14:textFill>
            <w14:solidFill>
              <w14:schemeClr w14:val="tx1"/>
            </w14:solidFill>
          </w14:textFill>
        </w:rPr>
        <w:t>2</w:t>
      </w:r>
      <w:r>
        <w:rPr>
          <w:rFonts w:ascii="Book Antiqua" w:hAnsi="Book Antiqua"/>
          <w:b/>
          <w:bCs/>
          <w:color w:val="000000" w:themeColor="text1"/>
          <w14:textFill>
            <w14:solidFill>
              <w14:schemeClr w14:val="tx1"/>
            </w14:solidFill>
          </w14:textFill>
        </w:rPr>
        <w:fldChar w:fldCharType="end"/>
      </w:r>
      <w:r>
        <w:rPr>
          <w:rFonts w:ascii="Book Antiqua" w:hAnsi="Book Antiqua"/>
          <w:b/>
          <w:bCs/>
          <w:color w:val="000000" w:themeColor="text1"/>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Significance of the differences in laboratory data between the three study groups</w:t>
      </w:r>
      <w:bookmarkEnd w:id="18"/>
      <w:r>
        <w:rPr>
          <w:rFonts w:hint="eastAsia"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eastAsia="zh-CN" w:bidi="ar-EG"/>
          <w14:textFill>
            <w14:solidFill>
              <w14:schemeClr w14:val="tx1"/>
            </w14:solidFill>
          </w14:textFill>
        </w:rPr>
        <w:t>m</w:t>
      </w:r>
      <w:r>
        <w:rPr>
          <w:rFonts w:ascii="Book Antiqua" w:hAnsi="Book Antiqua"/>
          <w:b/>
          <w:bCs/>
          <w:color w:val="000000" w:themeColor="text1"/>
          <w:lang w:bidi="ar-EG"/>
          <w14:textFill>
            <w14:solidFill>
              <w14:schemeClr w14:val="tx1"/>
            </w14:solidFill>
          </w14:textFill>
        </w:rPr>
        <w:t>ean</w:t>
      </w:r>
      <w:r>
        <w:rPr>
          <w:rFonts w:ascii="Book Antiqua" w:hAnsi="Book Antiqua"/>
          <w:b/>
          <w:bCs/>
          <w:color w:val="000000" w:themeColor="text1"/>
          <w:lang w:eastAsia="zh-CN" w:bidi="ar-EG"/>
          <w14:textFill>
            <w14:solidFill>
              <w14:schemeClr w14:val="tx1"/>
            </w14:solidFill>
          </w14:textFill>
        </w:rPr>
        <w:t xml:space="preserve"> ± SD</w:t>
      </w:r>
      <w:r>
        <w:rPr>
          <w:rFonts w:hint="eastAsia" w:ascii="Book Antiqua" w:hAnsi="Book Antiqua"/>
          <w:b/>
          <w:bCs/>
          <w:color w:val="000000" w:themeColor="text1"/>
          <w:lang w:eastAsia="zh-CN" w:bidi="ar-EG"/>
          <w14:textFill>
            <w14:solidFill>
              <w14:schemeClr w14:val="tx1"/>
            </w14:solidFill>
          </w14:textFill>
        </w:rPr>
        <w:t>)</w:t>
      </w:r>
    </w:p>
    <w:tbl>
      <w:tblPr>
        <w:tblStyle w:val="7"/>
        <w:tblW w:w="5977" w:type="pct"/>
        <w:tblInd w:w="-846"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985"/>
        <w:gridCol w:w="1978"/>
        <w:gridCol w:w="2981"/>
        <w:gridCol w:w="1839"/>
        <w:gridCol w:w="991"/>
        <w:gridCol w:w="141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Pr>
        <w:tc>
          <w:tcPr>
            <w:tcW w:w="887"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Variable</w:t>
            </w:r>
          </w:p>
        </w:tc>
        <w:tc>
          <w:tcPr>
            <w:tcW w:w="884"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HCC</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w:t>
            </w:r>
            <w:r>
              <w:rPr>
                <w:rFonts w:ascii="Book Antiqua" w:hAnsi="Book Antiqua"/>
                <w:b/>
                <w:bCs/>
                <w:i/>
                <w:color w:val="000000" w:themeColor="text1"/>
                <w:lang w:eastAsia="zh-CN" w:bidi="ar-EG"/>
                <w14:textFill>
                  <w14:solidFill>
                    <w14:schemeClr w14:val="tx1"/>
                  </w14:solidFill>
                </w14:textFill>
              </w:rPr>
              <w:t>n</w:t>
            </w:r>
            <w:r>
              <w:rPr>
                <w:rFonts w:ascii="Book Antiqua" w:hAnsi="Book Antiqua"/>
                <w:b/>
                <w:bCs/>
                <w:color w:val="000000" w:themeColor="text1"/>
                <w:lang w:bidi="ar-EG"/>
                <w14:textFill>
                  <w14:solidFill>
                    <w14:schemeClr w14:val="tx1"/>
                  </w14:solidFill>
                </w14:textFill>
              </w:rPr>
              <w:t xml:space="preserve"> = 34)</w:t>
            </w:r>
          </w:p>
        </w:tc>
        <w:tc>
          <w:tcPr>
            <w:tcW w:w="1332"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Chronic liver infection (</w:t>
            </w:r>
            <w:r>
              <w:rPr>
                <w:rFonts w:ascii="Book Antiqua" w:hAnsi="Book Antiqua"/>
                <w:b/>
                <w:bCs/>
                <w:i/>
                <w:color w:val="000000" w:themeColor="text1"/>
                <w:lang w:eastAsia="zh-CN" w:bidi="ar-EG"/>
                <w14:textFill>
                  <w14:solidFill>
                    <w14:schemeClr w14:val="tx1"/>
                  </w14:solidFill>
                </w14:textFill>
              </w:rPr>
              <w:t>n</w:t>
            </w:r>
            <w:r>
              <w:rPr>
                <w:rFonts w:ascii="Book Antiqua" w:hAnsi="Book Antiqua"/>
                <w:b/>
                <w:bCs/>
                <w:color w:val="000000" w:themeColor="text1"/>
                <w:lang w:bidi="ar-EG"/>
                <w14:textFill>
                  <w14:solidFill>
                    <w14:schemeClr w14:val="tx1"/>
                  </w14:solidFill>
                </w14:textFill>
              </w:rPr>
              <w:t xml:space="preserve"> = 11)</w:t>
            </w:r>
          </w:p>
        </w:tc>
        <w:tc>
          <w:tcPr>
            <w:tcW w:w="822"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Control</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w:t>
            </w:r>
            <w:r>
              <w:rPr>
                <w:rFonts w:ascii="Book Antiqua" w:hAnsi="Book Antiqua"/>
                <w:b/>
                <w:bCs/>
                <w:i/>
                <w:color w:val="000000" w:themeColor="text1"/>
                <w:lang w:eastAsia="zh-CN" w:bidi="ar-EG"/>
                <w14:textFill>
                  <w14:solidFill>
                    <w14:schemeClr w14:val="tx1"/>
                  </w14:solidFill>
                </w14:textFill>
              </w:rPr>
              <w:t>n</w:t>
            </w:r>
            <w:r>
              <w:rPr>
                <w:rFonts w:ascii="Book Antiqua" w:hAnsi="Book Antiqua"/>
                <w:b/>
                <w:bCs/>
                <w:color w:val="000000" w:themeColor="text1"/>
                <w:lang w:bidi="ar-EG"/>
                <w14:textFill>
                  <w14:solidFill>
                    <w14:schemeClr w14:val="tx1"/>
                  </w14:solidFill>
                </w14:textFill>
              </w:rPr>
              <w:t xml:space="preserve"> = 5)</w:t>
            </w:r>
          </w:p>
        </w:tc>
        <w:tc>
          <w:tcPr>
            <w:tcW w:w="443"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eastAsia="zh-CN"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F</w:t>
            </w:r>
            <w:r>
              <w:rPr>
                <w:rFonts w:ascii="Book Antiqua" w:hAnsi="Book Antiqua"/>
                <w:b/>
                <w:bCs/>
                <w:color w:val="000000" w:themeColor="text1"/>
                <w:vertAlign w:val="superscript"/>
                <w:lang w:eastAsia="zh-CN" w:bidi="ar-EG"/>
                <w14:textFill>
                  <w14:solidFill>
                    <w14:schemeClr w14:val="tx1"/>
                  </w14:solidFill>
                </w14:textFill>
              </w:rPr>
              <w:t>1</w:t>
            </w:r>
          </w:p>
        </w:tc>
        <w:tc>
          <w:tcPr>
            <w:tcW w:w="632"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r>
              <w:rPr>
                <w:rFonts w:ascii="Book Antiqua" w:hAnsi="Book Antiqua"/>
                <w:b/>
                <w:i/>
                <w:color w:val="000000" w:themeColor="text1"/>
                <w14:textFill>
                  <w14:solidFill>
                    <w14:schemeClr w14:val="tx1"/>
                  </w14:solidFill>
                </w14:textFill>
              </w:rPr>
              <w:t>P</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Pr>
        <w:tc>
          <w:tcPr>
            <w:tcW w:w="887" w:type="pct"/>
            <w:tcBorders>
              <w:top w:val="single" w:color="auto" w:sz="4" w:space="0"/>
            </w:tcBorders>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bookmarkStart w:id="19" w:name="_Hlk43252239"/>
            <w:r>
              <w:rPr>
                <w:rFonts w:ascii="Book Antiqua" w:hAnsi="Book Antiqua"/>
                <w:bCs/>
                <w:color w:val="000000" w:themeColor="text1"/>
                <w:lang w:bidi="ar-EG"/>
                <w14:textFill>
                  <w14:solidFill>
                    <w14:schemeClr w14:val="tx1"/>
                  </w14:solidFill>
                </w14:textFill>
              </w:rPr>
              <w:t>INR</w:t>
            </w:r>
          </w:p>
        </w:tc>
        <w:tc>
          <w:tcPr>
            <w:tcW w:w="884" w:type="pct"/>
            <w:tcBorders>
              <w:top w:val="single" w:color="auto" w:sz="4" w:space="0"/>
            </w:tcBorders>
            <w:shd w:val="clear" w:color="auto" w:fill="auto"/>
          </w:tcPr>
          <w:p>
            <w:pPr>
              <w:spacing w:line="360" w:lineRule="auto"/>
              <w:jc w:val="both"/>
              <w:rPr>
                <w:rFonts w:ascii="Book Antiqua" w:hAnsi="Book Antiqua"/>
                <w:bCs/>
                <w:color w:val="000000" w:themeColor="text1"/>
                <w:vertAlign w:val="superscript"/>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1.37</w:t>
            </w:r>
            <w:r>
              <w:rPr>
                <w:rFonts w:ascii="Book Antiqua" w:hAnsi="Book Antiqua"/>
                <w:bCs/>
                <w:color w:val="000000" w:themeColor="text1"/>
                <w:vertAlign w:val="superscript"/>
                <w:lang w:eastAsia="zh-CN" w:bidi="ar-EG"/>
                <w14:textFill>
                  <w14:solidFill>
                    <w14:schemeClr w14:val="tx1"/>
                  </w14:solidFill>
                </w14:textFill>
              </w:rPr>
              <w:t xml:space="preserve">a </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0.20</w:t>
            </w:r>
          </w:p>
        </w:tc>
        <w:tc>
          <w:tcPr>
            <w:tcW w:w="1332" w:type="pct"/>
            <w:tcBorders>
              <w:top w:val="single" w:color="auto" w:sz="4" w:space="0"/>
            </w:tcBorders>
            <w:shd w:val="clear" w:color="auto" w:fill="auto"/>
          </w:tcPr>
          <w:p>
            <w:pPr>
              <w:spacing w:line="360" w:lineRule="auto"/>
              <w:jc w:val="both"/>
              <w:rPr>
                <w:rFonts w:ascii="Book Antiqua" w:hAnsi="Book Antiqua"/>
                <w:bCs/>
                <w:color w:val="000000" w:themeColor="text1"/>
                <w:vertAlign w:val="superscript"/>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1.35</w:t>
            </w:r>
            <w:r>
              <w:rPr>
                <w:rFonts w:ascii="Book Antiqua" w:hAnsi="Book Antiqua"/>
                <w:bCs/>
                <w:color w:val="000000" w:themeColor="text1"/>
                <w:vertAlign w:val="superscript"/>
                <w:lang w:eastAsia="zh-CN" w:bidi="ar-EG"/>
                <w14:textFill>
                  <w14:solidFill>
                    <w14:schemeClr w14:val="tx1"/>
                  </w14:solidFill>
                </w14:textFill>
              </w:rPr>
              <w:t xml:space="preserve">a </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0.30</w:t>
            </w:r>
          </w:p>
        </w:tc>
        <w:tc>
          <w:tcPr>
            <w:tcW w:w="822" w:type="pct"/>
            <w:tcBorders>
              <w:top w:val="single" w:color="auto" w:sz="4" w:space="0"/>
            </w:tcBorders>
            <w:shd w:val="clear" w:color="auto" w:fill="auto"/>
          </w:tcPr>
          <w:p>
            <w:pPr>
              <w:spacing w:line="360" w:lineRule="auto"/>
              <w:jc w:val="both"/>
              <w:rPr>
                <w:rFonts w:ascii="Book Antiqua" w:hAnsi="Book Antiqua"/>
                <w:bCs/>
                <w:color w:val="000000" w:themeColor="text1"/>
                <w:vertAlign w:val="superscript"/>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1.07</w:t>
            </w:r>
            <w:r>
              <w:rPr>
                <w:rFonts w:ascii="Book Antiqua" w:hAnsi="Book Antiqua"/>
                <w:bCs/>
                <w:color w:val="000000" w:themeColor="text1"/>
                <w:vertAlign w:val="superscript"/>
                <w:lang w:eastAsia="zh-CN" w:bidi="ar-EG"/>
                <w14:textFill>
                  <w14:solidFill>
                    <w14:schemeClr w14:val="tx1"/>
                  </w14:solidFill>
                </w14:textFill>
              </w:rPr>
              <w:t xml:space="preserve">b </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w:t>
            </w:r>
            <w:r>
              <w:rPr>
                <w:rFonts w:ascii="Book Antiqua" w:hAnsi="Book Antiqua"/>
                <w:bCs/>
                <w:color w:val="000000" w:themeColor="text1"/>
                <w:lang w:eastAsia="zh-CN" w:bidi="ar-EG"/>
                <w14:textFill>
                  <w14:solidFill>
                    <w14:schemeClr w14:val="tx1"/>
                  </w14:solidFill>
                </w14:textFill>
              </w:rPr>
              <w:t>08</w:t>
            </w:r>
          </w:p>
        </w:tc>
        <w:tc>
          <w:tcPr>
            <w:tcW w:w="443" w:type="pct"/>
            <w:tcBorders>
              <w:top w:val="single" w:color="auto" w:sz="4" w:space="0"/>
            </w:tcBorders>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3.93</w:t>
            </w:r>
          </w:p>
        </w:tc>
        <w:tc>
          <w:tcPr>
            <w:tcW w:w="632" w:type="pct"/>
            <w:tcBorders>
              <w:top w:val="single" w:color="auto" w:sz="4" w:space="0"/>
            </w:tcBorders>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0.03 S</w:t>
            </w:r>
          </w:p>
        </w:tc>
      </w:tr>
      <w:bookmarkEnd w:id="19"/>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Pr>
        <w:tc>
          <w:tcPr>
            <w:tcW w:w="887"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bookmarkStart w:id="20" w:name="_Hlk43253439"/>
            <w:r>
              <w:rPr>
                <w:rFonts w:ascii="Book Antiqua" w:hAnsi="Book Antiqua"/>
                <w:bCs/>
                <w:color w:val="000000" w:themeColor="text1"/>
                <w:lang w:bidi="ar-EG"/>
                <w14:textFill>
                  <w14:solidFill>
                    <w14:schemeClr w14:val="tx1"/>
                  </w14:solidFill>
                </w14:textFill>
              </w:rPr>
              <w:t>Serum albumin</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(g/dL)</w:t>
            </w:r>
          </w:p>
        </w:tc>
        <w:tc>
          <w:tcPr>
            <w:tcW w:w="884"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2.94</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0.42</w:t>
            </w:r>
          </w:p>
        </w:tc>
        <w:tc>
          <w:tcPr>
            <w:tcW w:w="1332"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3.03</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0.73</w:t>
            </w:r>
          </w:p>
        </w:tc>
        <w:tc>
          <w:tcPr>
            <w:tcW w:w="822"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3.40</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0.25</w:t>
            </w:r>
          </w:p>
        </w:tc>
        <w:tc>
          <w:tcPr>
            <w:tcW w:w="443"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1.95</w:t>
            </w:r>
          </w:p>
        </w:tc>
        <w:tc>
          <w:tcPr>
            <w:tcW w:w="632"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0.15 NS</w:t>
            </w:r>
          </w:p>
        </w:tc>
      </w:tr>
      <w:bookmarkEnd w:id="20"/>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Pr>
        <w:tc>
          <w:tcPr>
            <w:tcW w:w="887"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bookmarkStart w:id="21" w:name="_Hlk43250719"/>
            <w:r>
              <w:rPr>
                <w:rFonts w:ascii="Book Antiqua" w:hAnsi="Book Antiqua"/>
                <w:bCs/>
                <w:color w:val="000000" w:themeColor="text1"/>
                <w:lang w:bidi="ar-EG"/>
                <w14:textFill>
                  <w14:solidFill>
                    <w14:schemeClr w14:val="tx1"/>
                  </w14:solidFill>
                </w14:textFill>
              </w:rPr>
              <w:t>AST</w:t>
            </w:r>
            <w:r>
              <w:rPr>
                <w:rFonts w:ascii="Book Antiqua" w:hAnsi="Book Antiqua"/>
                <w:bCs/>
                <w:color w:val="000000" w:themeColor="text1"/>
                <w:vertAlign w:val="superscript"/>
                <w:lang w:eastAsia="zh-CN" w:bidi="ar-EG"/>
                <w14:textFill>
                  <w14:solidFill>
                    <w14:schemeClr w14:val="tx1"/>
                  </w14:solidFill>
                </w14:textFill>
              </w:rPr>
              <w:t>2</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(IU/L)</w:t>
            </w:r>
          </w:p>
        </w:tc>
        <w:tc>
          <w:tcPr>
            <w:tcW w:w="884"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50.00</w:t>
            </w:r>
            <w:r>
              <w:rPr>
                <w:rFonts w:ascii="Book Antiqua" w:hAnsi="Book Antiqua"/>
                <w:bCs/>
                <w:color w:val="000000" w:themeColor="text1"/>
                <w:vertAlign w:val="superscript"/>
                <w:lang w:eastAsia="zh-CN" w:bidi="ar-EG"/>
                <w14:textFill>
                  <w14:solidFill>
                    <w14:schemeClr w14:val="tx1"/>
                  </w14:solidFill>
                </w14:textFill>
              </w:rPr>
              <w:t xml:space="preserve">a </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38.00–102.00</w:t>
            </w:r>
          </w:p>
        </w:tc>
        <w:tc>
          <w:tcPr>
            <w:tcW w:w="1332"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23.00</w:t>
            </w:r>
            <w:r>
              <w:rPr>
                <w:rFonts w:ascii="Book Antiqua" w:hAnsi="Book Antiqua"/>
                <w:bCs/>
                <w:color w:val="000000" w:themeColor="text1"/>
                <w:vertAlign w:val="superscript"/>
                <w:lang w:eastAsia="zh-CN" w:bidi="ar-EG"/>
                <w14:textFill>
                  <w14:solidFill>
                    <w14:schemeClr w14:val="tx1"/>
                  </w14:solidFill>
                </w14:textFill>
              </w:rPr>
              <w:t xml:space="preserve">b </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15.00–39.00</w:t>
            </w:r>
          </w:p>
        </w:tc>
        <w:tc>
          <w:tcPr>
            <w:tcW w:w="822"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15.00</w:t>
            </w:r>
            <w:r>
              <w:rPr>
                <w:rFonts w:ascii="Book Antiqua" w:hAnsi="Book Antiqua"/>
                <w:bCs/>
                <w:color w:val="000000" w:themeColor="text1"/>
                <w:vertAlign w:val="superscript"/>
                <w:lang w:eastAsia="zh-CN" w:bidi="ar-EG"/>
                <w14:textFill>
                  <w14:solidFill>
                    <w14:schemeClr w14:val="tx1"/>
                  </w14:solidFill>
                </w14:textFill>
              </w:rPr>
              <w:t xml:space="preserve">b </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14.00–18.00</w:t>
            </w:r>
          </w:p>
        </w:tc>
        <w:tc>
          <w:tcPr>
            <w:tcW w:w="443"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16.21</w:t>
            </w:r>
          </w:p>
        </w:tc>
        <w:tc>
          <w:tcPr>
            <w:tcW w:w="632"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&lt;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0.001 HS</w:t>
            </w:r>
          </w:p>
        </w:tc>
      </w:tr>
      <w:bookmarkEnd w:id="21"/>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Pr>
        <w:tc>
          <w:tcPr>
            <w:tcW w:w="887"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bookmarkStart w:id="22" w:name="_Hlk43251129"/>
            <w:r>
              <w:rPr>
                <w:rFonts w:ascii="Book Antiqua" w:hAnsi="Book Antiqua"/>
                <w:bCs/>
                <w:color w:val="000000" w:themeColor="text1"/>
                <w:lang w:bidi="ar-EG"/>
                <w14:textFill>
                  <w14:solidFill>
                    <w14:schemeClr w14:val="tx1"/>
                  </w14:solidFill>
                </w14:textFill>
              </w:rPr>
              <w:t>ALT</w:t>
            </w:r>
            <w:r>
              <w:rPr>
                <w:rFonts w:ascii="Book Antiqua" w:hAnsi="Book Antiqua"/>
                <w:bCs/>
                <w:color w:val="000000" w:themeColor="text1"/>
                <w:vertAlign w:val="superscript"/>
                <w:lang w:eastAsia="zh-CN" w:bidi="ar-EG"/>
                <w14:textFill>
                  <w14:solidFill>
                    <w14:schemeClr w14:val="tx1"/>
                  </w14:solidFill>
                </w14:textFill>
              </w:rPr>
              <w:t>2</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(IU/L)</w:t>
            </w:r>
          </w:p>
        </w:tc>
        <w:tc>
          <w:tcPr>
            <w:tcW w:w="884"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40.50</w:t>
            </w:r>
            <w:r>
              <w:rPr>
                <w:rFonts w:ascii="Book Antiqua" w:hAnsi="Book Antiqua"/>
                <w:bCs/>
                <w:color w:val="000000" w:themeColor="text1"/>
                <w:vertAlign w:val="superscript"/>
                <w:lang w:eastAsia="zh-CN" w:bidi="ar-EG"/>
                <w14:textFill>
                  <w14:solidFill>
                    <w14:schemeClr w14:val="tx1"/>
                  </w14:solidFill>
                </w14:textFill>
              </w:rPr>
              <w:t xml:space="preserve">a </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28.00–73.30</w:t>
            </w:r>
          </w:p>
        </w:tc>
        <w:tc>
          <w:tcPr>
            <w:tcW w:w="1332"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22.00</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15.00–38.00</w:t>
            </w:r>
          </w:p>
        </w:tc>
        <w:tc>
          <w:tcPr>
            <w:tcW w:w="822"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10.00</w:t>
            </w:r>
            <w:r>
              <w:rPr>
                <w:rFonts w:ascii="Book Antiqua" w:hAnsi="Book Antiqua"/>
                <w:bCs/>
                <w:color w:val="000000" w:themeColor="text1"/>
                <w:vertAlign w:val="superscript"/>
                <w:lang w:eastAsia="zh-CN" w:bidi="ar-EG"/>
                <w14:textFill>
                  <w14:solidFill>
                    <w14:schemeClr w14:val="tx1"/>
                  </w14:solidFill>
                </w14:textFill>
              </w:rPr>
              <w:t xml:space="preserve">b </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8.00–15.00</w:t>
            </w:r>
          </w:p>
        </w:tc>
        <w:tc>
          <w:tcPr>
            <w:tcW w:w="443"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12.69</w:t>
            </w:r>
          </w:p>
        </w:tc>
        <w:tc>
          <w:tcPr>
            <w:tcW w:w="632"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0.002 HS</w:t>
            </w:r>
          </w:p>
        </w:tc>
      </w:tr>
      <w:bookmarkEnd w:id="22"/>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Pr>
        <w:tc>
          <w:tcPr>
            <w:tcW w:w="887"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bookmarkStart w:id="23" w:name="_Hlk43251561"/>
            <w:r>
              <w:rPr>
                <w:rFonts w:ascii="Book Antiqua" w:hAnsi="Book Antiqua"/>
                <w:bCs/>
                <w:color w:val="000000" w:themeColor="text1"/>
                <w:lang w:bidi="ar-EG"/>
                <w14:textFill>
                  <w14:solidFill>
                    <w14:schemeClr w14:val="tx1"/>
                  </w14:solidFill>
                </w14:textFill>
              </w:rPr>
              <w:t>Total bilirubin</w:t>
            </w:r>
            <w:r>
              <w:rPr>
                <w:rFonts w:ascii="Book Antiqua" w:hAnsi="Book Antiqua"/>
                <w:bCs/>
                <w:color w:val="000000" w:themeColor="text1"/>
                <w:vertAlign w:val="superscript"/>
                <w:lang w:eastAsia="zh-CN" w:bidi="ar-EG"/>
                <w14:textFill>
                  <w14:solidFill>
                    <w14:schemeClr w14:val="tx1"/>
                  </w14:solidFill>
                </w14:textFill>
              </w:rPr>
              <w:t>2</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(mg/dL)</w:t>
            </w:r>
          </w:p>
        </w:tc>
        <w:tc>
          <w:tcPr>
            <w:tcW w:w="884"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1.60</w:t>
            </w:r>
            <w:r>
              <w:rPr>
                <w:rFonts w:ascii="Book Antiqua" w:hAnsi="Book Antiqua"/>
                <w:bCs/>
                <w:color w:val="000000" w:themeColor="text1"/>
                <w:vertAlign w:val="superscript"/>
                <w:lang w:eastAsia="zh-CN" w:bidi="ar-EG"/>
                <w14:textFill>
                  <w14:solidFill>
                    <w14:schemeClr w14:val="tx1"/>
                  </w14:solidFill>
                </w14:textFill>
              </w:rPr>
              <w:t xml:space="preserve">a </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1.10–2.20</w:t>
            </w:r>
          </w:p>
        </w:tc>
        <w:tc>
          <w:tcPr>
            <w:tcW w:w="1332"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1.10</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0.50–1.60</w:t>
            </w:r>
          </w:p>
        </w:tc>
        <w:tc>
          <w:tcPr>
            <w:tcW w:w="822"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0.40</w:t>
            </w:r>
            <w:r>
              <w:rPr>
                <w:rFonts w:ascii="Book Antiqua" w:hAnsi="Book Antiqua"/>
                <w:bCs/>
                <w:color w:val="000000" w:themeColor="text1"/>
                <w:vertAlign w:val="superscript"/>
                <w:lang w:eastAsia="zh-CN" w:bidi="ar-EG"/>
                <w14:textFill>
                  <w14:solidFill>
                    <w14:schemeClr w14:val="tx1"/>
                  </w14:solidFill>
                </w14:textFill>
              </w:rPr>
              <w:t xml:space="preserve">b </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0.30–0.50</w:t>
            </w:r>
          </w:p>
        </w:tc>
        <w:tc>
          <w:tcPr>
            <w:tcW w:w="443"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14.91</w:t>
            </w:r>
          </w:p>
        </w:tc>
        <w:tc>
          <w:tcPr>
            <w:tcW w:w="632"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0.001 HS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Pr>
        <w:tc>
          <w:tcPr>
            <w:tcW w:w="887"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Direct bilirubin</w:t>
            </w:r>
            <w:r>
              <w:rPr>
                <w:rFonts w:ascii="Book Antiqua" w:hAnsi="Book Antiqua"/>
                <w:bCs/>
                <w:color w:val="000000" w:themeColor="text1"/>
                <w:vertAlign w:val="superscript"/>
                <w:lang w:eastAsia="zh-CN" w:bidi="ar-EG"/>
                <w14:textFill>
                  <w14:solidFill>
                    <w14:schemeClr w14:val="tx1"/>
                  </w14:solidFill>
                </w14:textFill>
              </w:rPr>
              <w:t>2</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(mg/dL)</w:t>
            </w:r>
          </w:p>
        </w:tc>
        <w:tc>
          <w:tcPr>
            <w:tcW w:w="884"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0.70</w:t>
            </w:r>
            <w:r>
              <w:rPr>
                <w:rFonts w:ascii="Book Antiqua" w:hAnsi="Book Antiqua"/>
                <w:bCs/>
                <w:color w:val="000000" w:themeColor="text1"/>
                <w:vertAlign w:val="superscript"/>
                <w:lang w:eastAsia="zh-CN" w:bidi="ar-EG"/>
                <w14:textFill>
                  <w14:solidFill>
                    <w14:schemeClr w14:val="tx1"/>
                  </w14:solidFill>
                </w14:textFill>
              </w:rPr>
              <w:t xml:space="preserve">a </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0.50–1.10</w:t>
            </w:r>
          </w:p>
        </w:tc>
        <w:tc>
          <w:tcPr>
            <w:tcW w:w="1332"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0.30</w:t>
            </w:r>
            <w:r>
              <w:rPr>
                <w:rFonts w:ascii="Book Antiqua" w:hAnsi="Book Antiqua"/>
                <w:bCs/>
                <w:color w:val="000000" w:themeColor="text1"/>
                <w:vertAlign w:val="superscript"/>
                <w:lang w:eastAsia="zh-CN" w:bidi="ar-EG"/>
                <w14:textFill>
                  <w14:solidFill>
                    <w14:schemeClr w14:val="tx1"/>
                  </w14:solidFill>
                </w14:textFill>
              </w:rPr>
              <w:t xml:space="preserve">b </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0.10–0.60</w:t>
            </w:r>
          </w:p>
        </w:tc>
        <w:tc>
          <w:tcPr>
            <w:tcW w:w="822"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0.10</w:t>
            </w:r>
            <w:r>
              <w:rPr>
                <w:rFonts w:ascii="Book Antiqua" w:hAnsi="Book Antiqua"/>
                <w:bCs/>
                <w:color w:val="000000" w:themeColor="text1"/>
                <w:vertAlign w:val="superscript"/>
                <w:lang w:eastAsia="zh-CN" w:bidi="ar-EG"/>
                <w14:textFill>
                  <w14:solidFill>
                    <w14:schemeClr w14:val="tx1"/>
                  </w14:solidFill>
                </w14:textFill>
              </w:rPr>
              <w:t xml:space="preserve">b </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0.10–0.20</w:t>
            </w:r>
          </w:p>
        </w:tc>
        <w:tc>
          <w:tcPr>
            <w:tcW w:w="443"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15.84</w:t>
            </w:r>
          </w:p>
        </w:tc>
        <w:tc>
          <w:tcPr>
            <w:tcW w:w="632"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&lt;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0.001 HS</w:t>
            </w:r>
          </w:p>
        </w:tc>
      </w:tr>
      <w:bookmarkEnd w:id="23"/>
    </w:tbl>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vertAlign w:val="superscript"/>
          <w:lang w:eastAsia="zh-CN" w:bidi="ar-EG"/>
          <w14:textFill>
            <w14:solidFill>
              <w14:schemeClr w14:val="tx1"/>
            </w14:solidFill>
          </w14:textFill>
        </w:rPr>
        <w:t>1</w:t>
      </w:r>
      <w:r>
        <w:rPr>
          <w:rFonts w:ascii="Book Antiqua" w:hAnsi="Book Antiqua"/>
          <w:bCs/>
          <w:color w:val="000000" w:themeColor="text1"/>
          <w:lang w:bidi="ar-EG"/>
          <w14:textFill>
            <w14:solidFill>
              <w14:schemeClr w14:val="tx1"/>
            </w14:solidFill>
          </w14:textFill>
        </w:rPr>
        <w:t>One-way analysis of variance (</w:t>
      </w:r>
      <w:r>
        <w:rPr>
          <w:rFonts w:ascii="Book Antiqua" w:hAnsi="Book Antiqua"/>
          <w:bCs/>
          <w:color w:val="000000" w:themeColor="text1"/>
          <w:lang w:eastAsia="zh-CN" w:bidi="ar-EG"/>
          <w14:textFill>
            <w14:solidFill>
              <w14:schemeClr w14:val="tx1"/>
            </w14:solidFill>
          </w14:textFill>
        </w:rPr>
        <w:t>a</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 xml:space="preserve"> b P</w:t>
      </w:r>
      <w:r>
        <w:rPr>
          <w:rFonts w:ascii="Book Antiqua" w:hAnsi="Book Antiqua"/>
          <w:bCs/>
          <w:color w:val="000000" w:themeColor="text1"/>
          <w:lang w:bidi="ar-EG"/>
          <w14:textFill>
            <w14:solidFill>
              <w14:schemeClr w14:val="tx1"/>
            </w14:solidFill>
          </w14:textFill>
        </w:rPr>
        <w:t>ost-hoc test)</w:t>
      </w:r>
      <w:r>
        <w:rPr>
          <w:rFonts w:hint="eastAsia" w:ascii="Book Antiqua" w:hAnsi="Book Antiqua"/>
          <w:bCs/>
          <w:color w:val="000000" w:themeColor="text1"/>
          <w:lang w:eastAsia="zh-CN" w:bidi="ar-EG"/>
          <w14:textFill>
            <w14:solidFill>
              <w14:schemeClr w14:val="tx1"/>
            </w14:solidFill>
          </w14:textFill>
        </w:rPr>
        <w:t xml:space="preserve">. </w:t>
      </w:r>
    </w:p>
    <w:p>
      <w:pPr>
        <w:spacing w:line="360" w:lineRule="auto"/>
        <w:jc w:val="both"/>
        <w:rPr>
          <w:rFonts w:ascii="Book Antiqua" w:hAnsi="Book Antiqua"/>
          <w:bCs/>
          <w:color w:val="000000" w:themeColor="text1"/>
          <w:vertAlign w:val="superscript"/>
          <w:lang w:eastAsia="zh-CN" w:bidi="ar-EG"/>
          <w14:textFill>
            <w14:solidFill>
              <w14:schemeClr w14:val="tx1"/>
            </w14:solidFill>
          </w14:textFill>
        </w:rPr>
      </w:pPr>
      <w:r>
        <w:rPr>
          <w:rFonts w:ascii="Book Antiqua" w:hAnsi="Book Antiqua"/>
          <w:bCs/>
          <w:color w:val="000000" w:themeColor="text1"/>
          <w:vertAlign w:val="superscript"/>
          <w:lang w:eastAsia="zh-CN" w:bidi="ar-EG"/>
          <w14:textFill>
            <w14:solidFill>
              <w14:schemeClr w14:val="tx1"/>
            </w14:solidFill>
          </w14:textFill>
        </w:rPr>
        <w:t>2</w:t>
      </w:r>
      <w:r>
        <w:rPr>
          <w:rFonts w:ascii="Book Antiqua" w:hAnsi="Book Antiqua"/>
          <w:bCs/>
          <w:color w:val="000000" w:themeColor="text1"/>
          <w:lang w:bidi="ar-EG"/>
          <w14:textFill>
            <w14:solidFill>
              <w14:schemeClr w14:val="tx1"/>
            </w14:solidFill>
          </w14:textFill>
        </w:rPr>
        <w:t xml:space="preserve">Kruskal–Wallis test (median and </w:t>
      </w:r>
      <w:bookmarkStart w:id="24" w:name="_Hlk42214822"/>
      <w:r>
        <w:rPr>
          <w:rFonts w:ascii="Book Antiqua" w:hAnsi="Book Antiqua" w:eastAsia="Book Antiqua" w:cs="Book Antiqua"/>
          <w:color w:val="000000" w:themeColor="text1"/>
          <w14:textFill>
            <w14:solidFill>
              <w14:schemeClr w14:val="tx1"/>
            </w14:solidFill>
          </w14:textFill>
        </w:rPr>
        <w:t>interquartile range</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vertAlign w:val="superscript"/>
          <w:lang w:eastAsia="zh-CN" w:bidi="ar-EG"/>
          <w14:textFill>
            <w14:solidFill>
              <w14:schemeClr w14:val="tx1"/>
            </w14:solidFill>
          </w14:textFill>
        </w:rPr>
        <w:t xml:space="preserve"> </w:t>
      </w:r>
    </w:p>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vertAlign w:val="superscript"/>
          <w:lang w:eastAsia="zh-CN" w:bidi="ar-EG"/>
          <w14:textFill>
            <w14:solidFill>
              <w14:schemeClr w14:val="tx1"/>
            </w14:solidFill>
          </w14:textFill>
        </w:rPr>
        <w:t>a</w:t>
      </w:r>
      <w:r>
        <w:rPr>
          <w:rFonts w:ascii="Book Antiqua" w:hAnsi="Book Antiqua"/>
          <w:bCs/>
          <w:i/>
          <w:color w:val="000000" w:themeColor="text1"/>
          <w:lang w:eastAsia="zh-CN" w:bidi="ar-EG"/>
          <w14:textFill>
            <w14:solidFill>
              <w14:schemeClr w14:val="tx1"/>
            </w14:solidFill>
          </w14:textFill>
        </w:rPr>
        <w:t>P</w:t>
      </w:r>
      <w:r>
        <w:rPr>
          <w:rFonts w:ascii="Book Antiqua" w:hAnsi="Book Antiqua"/>
          <w:bCs/>
          <w:color w:val="000000" w:themeColor="text1"/>
          <w:lang w:eastAsia="zh-CN" w:bidi="ar-EG"/>
          <w14:textFill>
            <w14:solidFill>
              <w14:schemeClr w14:val="tx1"/>
            </w14:solidFill>
          </w14:textFill>
        </w:rPr>
        <w:t xml:space="preserve"> &lt; 0.05</w:t>
      </w:r>
      <w:r>
        <w:rPr>
          <w:rFonts w:hint="eastAsia" w:ascii="Book Antiqua" w:hAnsi="Book Antiqua"/>
          <w:bCs/>
          <w:color w:val="000000" w:themeColor="text1"/>
          <w:lang w:eastAsia="zh-CN" w:bidi="ar-EG"/>
          <w14:textFill>
            <w14:solidFill>
              <w14:schemeClr w14:val="tx1"/>
            </w14:solidFill>
          </w14:textFill>
        </w:rPr>
        <w:t>.</w:t>
      </w:r>
    </w:p>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vertAlign w:val="superscript"/>
          <w:lang w:eastAsia="zh-CN" w:bidi="ar-EG"/>
          <w14:textFill>
            <w14:solidFill>
              <w14:schemeClr w14:val="tx1"/>
            </w14:solidFill>
          </w14:textFill>
        </w:rPr>
        <w:t>b</w:t>
      </w:r>
      <w:r>
        <w:rPr>
          <w:rFonts w:ascii="Book Antiqua" w:hAnsi="Book Antiqua"/>
          <w:bCs/>
          <w:i/>
          <w:color w:val="000000" w:themeColor="text1"/>
          <w:lang w:eastAsia="zh-CN" w:bidi="ar-EG"/>
          <w14:textFill>
            <w14:solidFill>
              <w14:schemeClr w14:val="tx1"/>
            </w14:solidFill>
          </w14:textFill>
        </w:rPr>
        <w:t>P</w:t>
      </w:r>
      <w:r>
        <w:rPr>
          <w:rFonts w:ascii="Book Antiqua" w:hAnsi="Book Antiqua"/>
          <w:bCs/>
          <w:color w:val="000000" w:themeColor="text1"/>
          <w:lang w:eastAsia="zh-CN" w:bidi="ar-EG"/>
          <w14:textFill>
            <w14:solidFill>
              <w14:schemeClr w14:val="tx1"/>
            </w14:solidFill>
          </w14:textFill>
        </w:rPr>
        <w:t xml:space="preserve"> &lt; 0.0</w:t>
      </w:r>
      <w:r>
        <w:rPr>
          <w:rFonts w:hint="eastAsia" w:ascii="Book Antiqua" w:hAnsi="Book Antiqua"/>
          <w:bCs/>
          <w:color w:val="000000" w:themeColor="text1"/>
          <w:lang w:eastAsia="zh-CN" w:bidi="ar-EG"/>
          <w14:textFill>
            <w14:solidFill>
              <w14:schemeClr w14:val="tx1"/>
            </w14:solidFill>
          </w14:textFill>
        </w:rPr>
        <w:t>1</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bookmarkStart w:id="25" w:name="_Hlk42125478"/>
    </w:p>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ALT</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A</w:t>
      </w:r>
      <w:r>
        <w:rPr>
          <w:rFonts w:ascii="Book Antiqua" w:hAnsi="Book Antiqua"/>
          <w:bCs/>
          <w:color w:val="000000" w:themeColor="text1"/>
          <w:lang w:bidi="ar-EG"/>
          <w14:textFill>
            <w14:solidFill>
              <w14:schemeClr w14:val="tx1"/>
            </w14:solidFill>
          </w14:textFill>
        </w:rPr>
        <w:t xml:space="preserve">lanine transaminase; </w:t>
      </w:r>
      <w:bookmarkEnd w:id="25"/>
      <w:r>
        <w:rPr>
          <w:rFonts w:ascii="Book Antiqua" w:hAnsi="Book Antiqua"/>
          <w:bCs/>
          <w:color w:val="000000" w:themeColor="text1"/>
          <w:lang w:bidi="ar-EG"/>
          <w14:textFill>
            <w14:solidFill>
              <w14:schemeClr w14:val="tx1"/>
            </w14:solidFill>
          </w14:textFill>
        </w:rPr>
        <w:t>AST</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A</w:t>
      </w:r>
      <w:r>
        <w:rPr>
          <w:rFonts w:ascii="Book Antiqua" w:hAnsi="Book Antiqua"/>
          <w:bCs/>
          <w:color w:val="000000" w:themeColor="text1"/>
          <w:lang w:bidi="ar-EG"/>
          <w14:textFill>
            <w14:solidFill>
              <w14:schemeClr w14:val="tx1"/>
            </w14:solidFill>
          </w14:textFill>
        </w:rPr>
        <w:t>spartate transaminase; HCC</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H</w:t>
      </w:r>
      <w:r>
        <w:rPr>
          <w:rFonts w:ascii="Book Antiqua" w:hAnsi="Book Antiqua"/>
          <w:bCs/>
          <w:color w:val="000000" w:themeColor="text1"/>
          <w:lang w:bidi="ar-EG"/>
          <w14:textFill>
            <w14:solidFill>
              <w14:schemeClr w14:val="tx1"/>
            </w14:solidFill>
          </w14:textFill>
        </w:rPr>
        <w:t>epatocellular carcinoma; HS</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H</w:t>
      </w:r>
      <w:r>
        <w:rPr>
          <w:rFonts w:ascii="Book Antiqua" w:hAnsi="Book Antiqua"/>
          <w:bCs/>
          <w:color w:val="000000" w:themeColor="text1"/>
          <w:lang w:bidi="ar-EG"/>
          <w14:textFill>
            <w14:solidFill>
              <w14:schemeClr w14:val="tx1"/>
            </w14:solidFill>
          </w14:textFill>
        </w:rPr>
        <w:t>ighly significant; INR</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I</w:t>
      </w:r>
      <w:r>
        <w:rPr>
          <w:rFonts w:ascii="Book Antiqua" w:hAnsi="Book Antiqua"/>
          <w:bCs/>
          <w:color w:val="000000" w:themeColor="text1"/>
          <w:lang w:bidi="ar-EG"/>
          <w14:textFill>
            <w14:solidFill>
              <w14:schemeClr w14:val="tx1"/>
            </w14:solidFill>
          </w14:textFill>
        </w:rPr>
        <w:t>nternational normalized ratio; NS</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N</w:t>
      </w:r>
      <w:r>
        <w:rPr>
          <w:rFonts w:ascii="Book Antiqua" w:hAnsi="Book Antiqua"/>
          <w:bCs/>
          <w:color w:val="000000" w:themeColor="text1"/>
          <w:lang w:bidi="ar-EG"/>
          <w14:textFill>
            <w14:solidFill>
              <w14:schemeClr w14:val="tx1"/>
            </w14:solidFill>
          </w14:textFill>
        </w:rPr>
        <w:t>on-significant; SD</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S</w:t>
      </w:r>
      <w:r>
        <w:rPr>
          <w:rFonts w:ascii="Book Antiqua" w:hAnsi="Book Antiqua"/>
          <w:bCs/>
          <w:color w:val="000000" w:themeColor="text1"/>
          <w:lang w:bidi="ar-EG"/>
          <w14:textFill>
            <w14:solidFill>
              <w14:schemeClr w14:val="tx1"/>
            </w14:solidFill>
          </w14:textFill>
        </w:rPr>
        <w:t>tandard deviation.</w:t>
      </w:r>
      <w:bookmarkEnd w:id="24"/>
    </w:p>
    <w:p>
      <w:pPr>
        <w:spacing w:line="360" w:lineRule="auto"/>
        <w:jc w:val="both"/>
        <w:rPr>
          <w:rFonts w:ascii="Book Antiqua" w:hAnsi="Book Antiqua"/>
          <w:b/>
          <w:bCs/>
          <w:color w:val="000000" w:themeColor="text1"/>
          <w:lang w:bidi="ar-EG"/>
          <w14:textFill>
            <w14:solidFill>
              <w14:schemeClr w14:val="tx1"/>
            </w14:solidFill>
          </w14:textFill>
        </w:rPr>
      </w:pPr>
    </w:p>
    <w:p>
      <w:pPr>
        <w:spacing w:line="360" w:lineRule="auto"/>
        <w:jc w:val="both"/>
        <w:rPr>
          <w:rFonts w:ascii="Book Antiqua" w:hAnsi="Book Antiqua"/>
          <w:b/>
          <w:bCs/>
          <w:color w:val="000000" w:themeColor="text1"/>
          <w:lang w:eastAsia="zh-CN" w:bidi="ar-EG"/>
          <w14:textFill>
            <w14:solidFill>
              <w14:schemeClr w14:val="tx1"/>
            </w14:solidFill>
          </w14:textFill>
        </w:rPr>
      </w:pPr>
      <w:bookmarkStart w:id="26" w:name="_Toc51106808"/>
      <w:r>
        <w:rPr>
          <w:rFonts w:ascii="Book Antiqua" w:hAnsi="Book Antiqua"/>
          <w:b/>
          <w:bCs/>
          <w:color w:val="000000" w:themeColor="text1"/>
          <w14:textFill>
            <w14:solidFill>
              <w14:schemeClr w14:val="tx1"/>
            </w14:solidFill>
          </w14:textFill>
        </w:rPr>
        <w:br w:type="page"/>
      </w:r>
      <w:r>
        <w:rPr>
          <w:rFonts w:ascii="Book Antiqua" w:hAnsi="Book Antiqua"/>
          <w:b/>
          <w:bCs/>
          <w:color w:val="000000" w:themeColor="text1"/>
          <w14:textFill>
            <w14:solidFill>
              <w14:schemeClr w14:val="tx1"/>
            </w14:solidFill>
          </w14:textFill>
        </w:rPr>
        <w:t xml:space="preserve">Table </w:t>
      </w:r>
      <w:r>
        <w:rPr>
          <w:rFonts w:ascii="Book Antiqua" w:hAnsi="Book Antiqua"/>
          <w:b/>
          <w:bCs/>
          <w:color w:val="000000" w:themeColor="text1"/>
          <w14:textFill>
            <w14:solidFill>
              <w14:schemeClr w14:val="tx1"/>
            </w14:solidFill>
          </w14:textFill>
        </w:rPr>
        <w:fldChar w:fldCharType="begin"/>
      </w:r>
      <w:r>
        <w:rPr>
          <w:rFonts w:ascii="Book Antiqua" w:hAnsi="Book Antiqua"/>
          <w:b/>
          <w:bCs/>
          <w:color w:val="000000" w:themeColor="text1"/>
          <w14:textFill>
            <w14:solidFill>
              <w14:schemeClr w14:val="tx1"/>
            </w14:solidFill>
          </w14:textFill>
        </w:rPr>
        <w:instrText xml:space="preserve"> SEQ Table \* ARABIC </w:instrText>
      </w:r>
      <w:r>
        <w:rPr>
          <w:rFonts w:ascii="Book Antiqua" w:hAnsi="Book Antiqua"/>
          <w:b/>
          <w:bCs/>
          <w:color w:val="000000" w:themeColor="text1"/>
          <w14:textFill>
            <w14:solidFill>
              <w14:schemeClr w14:val="tx1"/>
            </w14:solidFill>
          </w14:textFill>
        </w:rPr>
        <w:fldChar w:fldCharType="separate"/>
      </w:r>
      <w:r>
        <w:rPr>
          <w:rFonts w:ascii="Book Antiqua" w:hAnsi="Book Antiqua"/>
          <w:b/>
          <w:bCs/>
          <w:color w:val="000000" w:themeColor="text1"/>
          <w14:textFill>
            <w14:solidFill>
              <w14:schemeClr w14:val="tx1"/>
            </w14:solidFill>
          </w14:textFill>
        </w:rPr>
        <w:t>3</w:t>
      </w:r>
      <w:r>
        <w:rPr>
          <w:rFonts w:ascii="Book Antiqua" w:hAnsi="Book Antiqua"/>
          <w:b/>
          <w:bCs/>
          <w:color w:val="000000" w:themeColor="text1"/>
          <w14:textFill>
            <w14:solidFill>
              <w14:schemeClr w14:val="tx1"/>
            </w14:solidFill>
          </w14:textFill>
        </w:rPr>
        <w:fldChar w:fldCharType="end"/>
      </w:r>
      <w:r>
        <w:rPr>
          <w:rFonts w:ascii="Book Antiqua" w:hAnsi="Book Antiqua"/>
          <w:b/>
          <w:bCs/>
          <w:color w:val="000000" w:themeColor="text1"/>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Hepatitis virus B and C infections in the three study groups</w:t>
      </w:r>
      <w:bookmarkEnd w:id="26"/>
    </w:p>
    <w:tbl>
      <w:tblPr>
        <w:tblStyle w:val="7"/>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647"/>
        <w:gridCol w:w="1415"/>
        <w:gridCol w:w="1067"/>
        <w:gridCol w:w="1426"/>
        <w:gridCol w:w="1217"/>
        <w:gridCol w:w="970"/>
        <w:gridCol w:w="161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1636" w:type="pct"/>
            <w:gridSpan w:val="2"/>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Variable</w:t>
            </w:r>
          </w:p>
        </w:tc>
        <w:tc>
          <w:tcPr>
            <w:tcW w:w="570"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eastAsia="zh-CN"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HCC</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w:t>
            </w:r>
            <w:r>
              <w:rPr>
                <w:rFonts w:ascii="Book Antiqua" w:hAnsi="Book Antiqua"/>
                <w:b/>
                <w:bCs/>
                <w:i/>
                <w:color w:val="000000" w:themeColor="text1"/>
                <w:lang w:eastAsia="zh-CN" w:bidi="ar-EG"/>
                <w14:textFill>
                  <w14:solidFill>
                    <w14:schemeClr w14:val="tx1"/>
                  </w14:solidFill>
                </w14:textFill>
              </w:rPr>
              <w:t>n</w:t>
            </w:r>
            <w:r>
              <w:rPr>
                <w:rFonts w:ascii="Book Antiqua" w:hAnsi="Book Antiqua"/>
                <w:b/>
                <w:bCs/>
                <w:color w:val="000000" w:themeColor="text1"/>
                <w:lang w:bidi="ar-EG"/>
                <w14:textFill>
                  <w14:solidFill>
                    <w14:schemeClr w14:val="tx1"/>
                  </w14:solidFill>
                </w14:textFill>
              </w:rPr>
              <w:t xml:space="preserve"> = 34)</w:t>
            </w:r>
            <w:r>
              <w:rPr>
                <w:rFonts w:ascii="Book Antiqua" w:hAnsi="Book Antiqua"/>
                <w:b/>
                <w:bCs/>
                <w:color w:val="000000" w:themeColor="text1"/>
                <w:lang w:eastAsia="zh-CN" w:bidi="ar-EG"/>
                <w14:textFill>
                  <w14:solidFill>
                    <w14:schemeClr w14:val="tx1"/>
                  </w14:solidFill>
                </w14:textFill>
              </w:rPr>
              <w:t>, (%)</w:t>
            </w:r>
          </w:p>
        </w:tc>
        <w:tc>
          <w:tcPr>
            <w:tcW w:w="762"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Chronic liver infection (</w:t>
            </w:r>
            <w:r>
              <w:rPr>
                <w:rFonts w:ascii="Book Antiqua" w:hAnsi="Book Antiqua"/>
                <w:b/>
                <w:bCs/>
                <w:i/>
                <w:color w:val="000000" w:themeColor="text1"/>
                <w:lang w:eastAsia="zh-CN" w:bidi="ar-EG"/>
                <w14:textFill>
                  <w14:solidFill>
                    <w14:schemeClr w14:val="tx1"/>
                  </w14:solidFill>
                </w14:textFill>
              </w:rPr>
              <w:t>n</w:t>
            </w:r>
            <w:r>
              <w:rPr>
                <w:rFonts w:ascii="Book Antiqua" w:hAnsi="Book Antiqua"/>
                <w:b/>
                <w:bCs/>
                <w:color w:val="000000" w:themeColor="text1"/>
                <w:lang w:bidi="ar-EG"/>
                <w14:textFill>
                  <w14:solidFill>
                    <w14:schemeClr w14:val="tx1"/>
                  </w14:solidFill>
                </w14:textFill>
              </w:rPr>
              <w:t xml:space="preserve"> = 11)</w:t>
            </w:r>
            <w:r>
              <w:rPr>
                <w:rFonts w:ascii="Book Antiqua" w:hAnsi="Book Antiqua"/>
                <w:b/>
                <w:bCs/>
                <w:color w:val="000000" w:themeColor="text1"/>
                <w:lang w:eastAsia="zh-CN" w:bidi="ar-EG"/>
                <w14:textFill>
                  <w14:solidFill>
                    <w14:schemeClr w14:val="tx1"/>
                  </w14:solidFill>
                </w14:textFill>
              </w:rPr>
              <w:t>, (%)</w:t>
            </w:r>
          </w:p>
        </w:tc>
        <w:tc>
          <w:tcPr>
            <w:tcW w:w="650"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Control</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w:t>
            </w:r>
            <w:r>
              <w:rPr>
                <w:rFonts w:ascii="Book Antiqua" w:hAnsi="Book Antiqua"/>
                <w:b/>
                <w:bCs/>
                <w:i/>
                <w:color w:val="000000" w:themeColor="text1"/>
                <w:lang w:eastAsia="zh-CN" w:bidi="ar-EG"/>
                <w14:textFill>
                  <w14:solidFill>
                    <w14:schemeClr w14:val="tx1"/>
                  </w14:solidFill>
                </w14:textFill>
              </w:rPr>
              <w:t>n</w:t>
            </w:r>
            <w:r>
              <w:rPr>
                <w:rFonts w:ascii="Book Antiqua" w:hAnsi="Book Antiqua"/>
                <w:b/>
                <w:bCs/>
                <w:color w:val="000000" w:themeColor="text1"/>
                <w:lang w:bidi="ar-EG"/>
                <w14:textFill>
                  <w14:solidFill>
                    <w14:schemeClr w14:val="tx1"/>
                  </w14:solidFill>
                </w14:textFill>
              </w:rPr>
              <w:t xml:space="preserve"> = 5)</w:t>
            </w:r>
            <w:r>
              <w:rPr>
                <w:rFonts w:ascii="Book Antiqua" w:hAnsi="Book Antiqua"/>
                <w:b/>
                <w:bCs/>
                <w:color w:val="000000" w:themeColor="text1"/>
                <w:lang w:eastAsia="zh-CN" w:bidi="ar-EG"/>
                <w14:textFill>
                  <w14:solidFill>
                    <w14:schemeClr w14:val="tx1"/>
                  </w14:solidFill>
                </w14:textFill>
              </w:rPr>
              <w:t>, (%)</w:t>
            </w:r>
          </w:p>
        </w:tc>
        <w:tc>
          <w:tcPr>
            <w:tcW w:w="518"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eastAsia="zh-CN" w:bidi="ar-EG"/>
                <w14:textFill>
                  <w14:solidFill>
                    <w14:schemeClr w14:val="tx1"/>
                  </w14:solidFill>
                </w14:textFill>
              </w:rPr>
            </w:pPr>
            <w:r>
              <w:rPr>
                <w:rFonts w:hint="eastAsia" w:ascii="Book Antiqua" w:hAnsi="Book Antiqua"/>
                <w:b/>
                <w:bCs/>
                <w:color w:val="000000" w:themeColor="text1"/>
                <w:lang w:eastAsia="zh-CN" w:bidi="ar-EG"/>
                <w14:textFill>
                  <w14:solidFill>
                    <w14:schemeClr w14:val="tx1"/>
                  </w14:solidFill>
                </w14:textFill>
              </w:rPr>
              <w:t>(</w:t>
            </w:r>
            <w:r>
              <w:rPr>
                <w:rFonts w:ascii="Book Antiqua" w:hAnsi="Book Antiqua"/>
                <w:b/>
                <w:bCs/>
                <w:color w:val="000000" w:themeColor="text1"/>
                <w:lang w:bidi="ar-EG"/>
                <w14:textFill>
                  <w14:solidFill>
                    <w14:schemeClr w14:val="tx1"/>
                  </w14:solidFill>
                </w14:textFill>
              </w:rPr>
              <w:t>X</w:t>
            </w:r>
            <w:r>
              <w:rPr>
                <w:rFonts w:ascii="Book Antiqua" w:hAnsi="Book Antiqua"/>
                <w:b/>
                <w:bCs/>
                <w:color w:val="000000" w:themeColor="text1"/>
                <w:vertAlign w:val="superscript"/>
                <w:lang w:bidi="ar-EG"/>
                <w14:textFill>
                  <w14:solidFill>
                    <w14:schemeClr w14:val="tx1"/>
                  </w14:solidFill>
                </w14:textFill>
              </w:rPr>
              <w:t>2</w:t>
            </w:r>
            <w:r>
              <w:rPr>
                <w:rFonts w:hint="eastAsia" w:ascii="Book Antiqua" w:hAnsi="Book Antiqua"/>
                <w:b/>
                <w:bCs/>
                <w:color w:val="000000" w:themeColor="text1"/>
                <w:lang w:eastAsia="zh-CN" w:bidi="ar-EG"/>
                <w14:textFill>
                  <w14:solidFill>
                    <w14:schemeClr w14:val="tx1"/>
                  </w14:solidFill>
                </w14:textFill>
              </w:rPr>
              <w:t>)</w:t>
            </w:r>
            <w:r>
              <w:rPr>
                <w:rFonts w:ascii="Book Antiqua" w:hAnsi="Book Antiqua"/>
                <w:b/>
                <w:bCs/>
                <w:color w:val="000000" w:themeColor="text1"/>
                <w:vertAlign w:val="superscript"/>
                <w:lang w:eastAsia="zh-CN" w:bidi="ar-EG"/>
                <w14:textFill>
                  <w14:solidFill>
                    <w14:schemeClr w14:val="tx1"/>
                  </w14:solidFill>
                </w14:textFill>
              </w:rPr>
              <w:t>1</w:t>
            </w:r>
          </w:p>
        </w:tc>
        <w:tc>
          <w:tcPr>
            <w:tcW w:w="864" w:type="pct"/>
            <w:tcBorders>
              <w:top w:val="single" w:color="auto" w:sz="4" w:space="0"/>
              <w:bottom w:val="single" w:color="auto" w:sz="4" w:space="0"/>
            </w:tcBorders>
            <w:shd w:val="clear" w:color="auto" w:fill="auto"/>
          </w:tcPr>
          <w:p>
            <w:pPr>
              <w:spacing w:line="360" w:lineRule="auto"/>
              <w:jc w:val="both"/>
              <w:rPr>
                <w:rFonts w:ascii="Book Antiqua" w:hAnsi="Book Antiqua"/>
                <w:b/>
                <w:i/>
                <w:color w:val="000000" w:themeColor="text1"/>
                <w14:textFill>
                  <w14:solidFill>
                    <w14:schemeClr w14:val="tx1"/>
                  </w14:solidFill>
                </w14:textFill>
              </w:rPr>
            </w:pPr>
            <w:r>
              <w:rPr>
                <w:rFonts w:ascii="Book Antiqua" w:hAnsi="Book Antiqua"/>
                <w:b/>
                <w:i/>
                <w:color w:val="000000" w:themeColor="text1"/>
                <w14:textFill>
                  <w14:solidFill>
                    <w14:schemeClr w14:val="tx1"/>
                  </w14:solidFill>
                </w14:textFill>
              </w:rPr>
              <w:t>P</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880" w:type="pct"/>
            <w:vMerge w:val="restart"/>
            <w:tcBorders>
              <w:top w:val="single" w:color="auto" w:sz="4" w:space="0"/>
            </w:tcBorders>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HCVAb</w:t>
            </w:r>
          </w:p>
        </w:tc>
        <w:tc>
          <w:tcPr>
            <w:tcW w:w="756" w:type="pct"/>
            <w:tcBorders>
              <w:top w:val="single" w:color="auto" w:sz="4" w:space="0"/>
            </w:tcBorders>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Positive</w:t>
            </w:r>
          </w:p>
        </w:tc>
        <w:tc>
          <w:tcPr>
            <w:tcW w:w="570" w:type="pct"/>
            <w:tcBorders>
              <w:top w:val="single" w:color="auto" w:sz="4" w:space="0"/>
            </w:tcBorders>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30</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88.2</w:t>
            </w:r>
            <w:r>
              <w:rPr>
                <w:rFonts w:ascii="Book Antiqua" w:hAnsi="Book Antiqua"/>
                <w:bCs/>
                <w:color w:val="000000" w:themeColor="text1"/>
                <w:lang w:eastAsia="zh-CN" w:bidi="ar-EG"/>
                <w14:textFill>
                  <w14:solidFill>
                    <w14:schemeClr w14:val="tx1"/>
                  </w14:solidFill>
                </w14:textFill>
              </w:rPr>
              <w:t>)</w:t>
            </w:r>
          </w:p>
        </w:tc>
        <w:tc>
          <w:tcPr>
            <w:tcW w:w="762" w:type="pct"/>
            <w:tcBorders>
              <w:top w:val="single" w:color="auto" w:sz="4" w:space="0"/>
            </w:tcBorders>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11</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100.0</w:t>
            </w:r>
            <w:r>
              <w:rPr>
                <w:rFonts w:ascii="Book Antiqua" w:hAnsi="Book Antiqua"/>
                <w:bCs/>
                <w:color w:val="000000" w:themeColor="text1"/>
                <w:lang w:eastAsia="zh-CN" w:bidi="ar-EG"/>
                <w14:textFill>
                  <w14:solidFill>
                    <w14:schemeClr w14:val="tx1"/>
                  </w14:solidFill>
                </w14:textFill>
              </w:rPr>
              <w:t>)</w:t>
            </w:r>
          </w:p>
        </w:tc>
        <w:tc>
          <w:tcPr>
            <w:tcW w:w="650" w:type="pct"/>
            <w:tcBorders>
              <w:top w:val="single" w:color="auto" w:sz="4" w:space="0"/>
            </w:tcBorders>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0.0</w:t>
            </w:r>
            <w:r>
              <w:rPr>
                <w:rFonts w:ascii="Book Antiqua" w:hAnsi="Book Antiqua"/>
                <w:bCs/>
                <w:color w:val="000000" w:themeColor="text1"/>
                <w:lang w:eastAsia="zh-CN" w:bidi="ar-EG"/>
                <w14:textFill>
                  <w14:solidFill>
                    <w14:schemeClr w14:val="tx1"/>
                  </w14:solidFill>
                </w14:textFill>
              </w:rPr>
              <w:t>)</w:t>
            </w:r>
          </w:p>
        </w:tc>
        <w:tc>
          <w:tcPr>
            <w:tcW w:w="518" w:type="pct"/>
            <w:vMerge w:val="restart"/>
            <w:tcBorders>
              <w:top w:val="single" w:color="auto" w:sz="4" w:space="0"/>
            </w:tcBorders>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18.32</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FE</w:t>
            </w:r>
          </w:p>
        </w:tc>
        <w:tc>
          <w:tcPr>
            <w:tcW w:w="864" w:type="pct"/>
            <w:vMerge w:val="restart"/>
            <w:tcBorders>
              <w:top w:val="single" w:color="auto" w:sz="4" w:space="0"/>
            </w:tcBorders>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&lt;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0.001 HS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880" w:type="pct"/>
            <w:vMerge w:val="continue"/>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p>
        </w:tc>
        <w:tc>
          <w:tcPr>
            <w:tcW w:w="756"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Negative</w:t>
            </w:r>
          </w:p>
        </w:tc>
        <w:tc>
          <w:tcPr>
            <w:tcW w:w="570" w:type="pct"/>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4</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11.8</w:t>
            </w:r>
            <w:r>
              <w:rPr>
                <w:rFonts w:ascii="Book Antiqua" w:hAnsi="Book Antiqua"/>
                <w:bCs/>
                <w:color w:val="000000" w:themeColor="text1"/>
                <w:lang w:eastAsia="zh-CN" w:bidi="ar-EG"/>
                <w14:textFill>
                  <w14:solidFill>
                    <w14:schemeClr w14:val="tx1"/>
                  </w14:solidFill>
                </w14:textFill>
              </w:rPr>
              <w:t>)</w:t>
            </w:r>
          </w:p>
        </w:tc>
        <w:tc>
          <w:tcPr>
            <w:tcW w:w="762" w:type="pct"/>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0.0</w:t>
            </w:r>
            <w:r>
              <w:rPr>
                <w:rFonts w:ascii="Book Antiqua" w:hAnsi="Book Antiqua"/>
                <w:bCs/>
                <w:color w:val="000000" w:themeColor="text1"/>
                <w:lang w:eastAsia="zh-CN" w:bidi="ar-EG"/>
                <w14:textFill>
                  <w14:solidFill>
                    <w14:schemeClr w14:val="tx1"/>
                  </w14:solidFill>
                </w14:textFill>
              </w:rPr>
              <w:t>)</w:t>
            </w:r>
          </w:p>
        </w:tc>
        <w:tc>
          <w:tcPr>
            <w:tcW w:w="650" w:type="pct"/>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5</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100.0</w:t>
            </w:r>
            <w:r>
              <w:rPr>
                <w:rFonts w:ascii="Book Antiqua" w:hAnsi="Book Antiqua"/>
                <w:bCs/>
                <w:color w:val="000000" w:themeColor="text1"/>
                <w:lang w:eastAsia="zh-CN" w:bidi="ar-EG"/>
                <w14:textFill>
                  <w14:solidFill>
                    <w14:schemeClr w14:val="tx1"/>
                  </w14:solidFill>
                </w14:textFill>
              </w:rPr>
              <w:t>)</w:t>
            </w:r>
          </w:p>
        </w:tc>
        <w:tc>
          <w:tcPr>
            <w:tcW w:w="518" w:type="pct"/>
            <w:vMerge w:val="continue"/>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p>
        </w:tc>
        <w:tc>
          <w:tcPr>
            <w:tcW w:w="864" w:type="pct"/>
            <w:vMerge w:val="continue"/>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880" w:type="pct"/>
            <w:vMerge w:val="restar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HBsAg</w:t>
            </w:r>
          </w:p>
        </w:tc>
        <w:tc>
          <w:tcPr>
            <w:tcW w:w="756"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Positive</w:t>
            </w:r>
          </w:p>
        </w:tc>
        <w:tc>
          <w:tcPr>
            <w:tcW w:w="570" w:type="pct"/>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2</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5.9</w:t>
            </w:r>
            <w:r>
              <w:rPr>
                <w:rFonts w:ascii="Book Antiqua" w:hAnsi="Book Antiqua"/>
                <w:bCs/>
                <w:color w:val="000000" w:themeColor="text1"/>
                <w:lang w:eastAsia="zh-CN" w:bidi="ar-EG"/>
                <w14:textFill>
                  <w14:solidFill>
                    <w14:schemeClr w14:val="tx1"/>
                  </w14:solidFill>
                </w14:textFill>
              </w:rPr>
              <w:t>)</w:t>
            </w:r>
          </w:p>
        </w:tc>
        <w:tc>
          <w:tcPr>
            <w:tcW w:w="762" w:type="pct"/>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0.0</w:t>
            </w:r>
            <w:r>
              <w:rPr>
                <w:rFonts w:ascii="Book Antiqua" w:hAnsi="Book Antiqua"/>
                <w:bCs/>
                <w:color w:val="000000" w:themeColor="text1"/>
                <w:lang w:eastAsia="zh-CN" w:bidi="ar-EG"/>
                <w14:textFill>
                  <w14:solidFill>
                    <w14:schemeClr w14:val="tx1"/>
                  </w14:solidFill>
                </w14:textFill>
              </w:rPr>
              <w:t>)</w:t>
            </w:r>
          </w:p>
        </w:tc>
        <w:tc>
          <w:tcPr>
            <w:tcW w:w="650" w:type="pct"/>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0.0</w:t>
            </w:r>
            <w:r>
              <w:rPr>
                <w:rFonts w:ascii="Book Antiqua" w:hAnsi="Book Antiqua"/>
                <w:bCs/>
                <w:color w:val="000000" w:themeColor="text1"/>
                <w:lang w:eastAsia="zh-CN" w:bidi="ar-EG"/>
                <w14:textFill>
                  <w14:solidFill>
                    <w14:schemeClr w14:val="tx1"/>
                  </w14:solidFill>
                </w14:textFill>
              </w:rPr>
              <w:t>)</w:t>
            </w:r>
          </w:p>
        </w:tc>
        <w:tc>
          <w:tcPr>
            <w:tcW w:w="518" w:type="pct"/>
            <w:vMerge w:val="restar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0.78</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FE</w:t>
            </w:r>
          </w:p>
        </w:tc>
        <w:tc>
          <w:tcPr>
            <w:tcW w:w="864" w:type="pct"/>
            <w:vMerge w:val="restar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1.00 NS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jc w:val="center"/>
        </w:trPr>
        <w:tc>
          <w:tcPr>
            <w:tcW w:w="880" w:type="pct"/>
            <w:vMerge w:val="continue"/>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p>
        </w:tc>
        <w:tc>
          <w:tcPr>
            <w:tcW w:w="756"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Negative</w:t>
            </w:r>
          </w:p>
        </w:tc>
        <w:tc>
          <w:tcPr>
            <w:tcW w:w="570" w:type="pct"/>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32</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94.1</w:t>
            </w:r>
            <w:r>
              <w:rPr>
                <w:rFonts w:ascii="Book Antiqua" w:hAnsi="Book Antiqua"/>
                <w:bCs/>
                <w:color w:val="000000" w:themeColor="text1"/>
                <w:lang w:eastAsia="zh-CN" w:bidi="ar-EG"/>
                <w14:textFill>
                  <w14:solidFill>
                    <w14:schemeClr w14:val="tx1"/>
                  </w14:solidFill>
                </w14:textFill>
              </w:rPr>
              <w:t>)</w:t>
            </w:r>
          </w:p>
        </w:tc>
        <w:tc>
          <w:tcPr>
            <w:tcW w:w="762" w:type="pct"/>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11</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100.0</w:t>
            </w:r>
            <w:r>
              <w:rPr>
                <w:rFonts w:ascii="Book Antiqua" w:hAnsi="Book Antiqua"/>
                <w:bCs/>
                <w:color w:val="000000" w:themeColor="text1"/>
                <w:lang w:eastAsia="zh-CN" w:bidi="ar-EG"/>
                <w14:textFill>
                  <w14:solidFill>
                    <w14:schemeClr w14:val="tx1"/>
                  </w14:solidFill>
                </w14:textFill>
              </w:rPr>
              <w:t>)</w:t>
            </w:r>
          </w:p>
        </w:tc>
        <w:tc>
          <w:tcPr>
            <w:tcW w:w="650" w:type="pct"/>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5</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100.0</w:t>
            </w:r>
            <w:r>
              <w:rPr>
                <w:rFonts w:ascii="Book Antiqua" w:hAnsi="Book Antiqua"/>
                <w:bCs/>
                <w:color w:val="000000" w:themeColor="text1"/>
                <w:lang w:eastAsia="zh-CN" w:bidi="ar-EG"/>
                <w14:textFill>
                  <w14:solidFill>
                    <w14:schemeClr w14:val="tx1"/>
                  </w14:solidFill>
                </w14:textFill>
              </w:rPr>
              <w:t>)</w:t>
            </w:r>
          </w:p>
        </w:tc>
        <w:tc>
          <w:tcPr>
            <w:tcW w:w="518" w:type="pct"/>
            <w:vMerge w:val="continue"/>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p>
        </w:tc>
        <w:tc>
          <w:tcPr>
            <w:tcW w:w="864" w:type="pct"/>
            <w:vMerge w:val="continue"/>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p>
        </w:tc>
      </w:tr>
    </w:tbl>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vertAlign w:val="superscript"/>
          <w:lang w:eastAsia="zh-CN" w:bidi="ar-EG"/>
          <w14:textFill>
            <w14:solidFill>
              <w14:schemeClr w14:val="tx1"/>
            </w14:solidFill>
          </w14:textFill>
        </w:rPr>
        <w:t>1</w:t>
      </w:r>
      <w:r>
        <w:rPr>
          <w:rFonts w:ascii="Book Antiqua" w:hAnsi="Book Antiqua"/>
          <w:bCs/>
          <w:color w:val="000000" w:themeColor="text1"/>
          <w:lang w:bidi="ar-EG"/>
          <w14:textFill>
            <w14:solidFill>
              <w14:schemeClr w14:val="tx1"/>
            </w14:solidFill>
          </w14:textFill>
        </w:rPr>
        <w:t>The chi-square test (FE: Fisher’s exact test).</w:t>
      </w:r>
    </w:p>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HBsAg</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H</w:t>
      </w:r>
      <w:r>
        <w:rPr>
          <w:rFonts w:ascii="Book Antiqua" w:hAnsi="Book Antiqua"/>
          <w:bCs/>
          <w:color w:val="000000" w:themeColor="text1"/>
          <w:lang w:bidi="ar-EG"/>
          <w14:textFill>
            <w14:solidFill>
              <w14:schemeClr w14:val="tx1"/>
            </w14:solidFill>
          </w14:textFill>
        </w:rPr>
        <w:t>epatitis B virus surface antigen; HCC</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H</w:t>
      </w:r>
      <w:r>
        <w:rPr>
          <w:rFonts w:ascii="Book Antiqua" w:hAnsi="Book Antiqua"/>
          <w:bCs/>
          <w:color w:val="000000" w:themeColor="text1"/>
          <w:lang w:bidi="ar-EG"/>
          <w14:textFill>
            <w14:solidFill>
              <w14:schemeClr w14:val="tx1"/>
            </w14:solidFill>
          </w14:textFill>
        </w:rPr>
        <w:t>epatocellular carcinoma; HCVAb</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H</w:t>
      </w:r>
      <w:r>
        <w:rPr>
          <w:rFonts w:ascii="Book Antiqua" w:hAnsi="Book Antiqua"/>
          <w:bCs/>
          <w:color w:val="000000" w:themeColor="text1"/>
          <w:lang w:bidi="ar-EG"/>
          <w14:textFill>
            <w14:solidFill>
              <w14:schemeClr w14:val="tx1"/>
            </w14:solidFill>
          </w14:textFill>
        </w:rPr>
        <w:t>epatitis C virus antibody; HS</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H</w:t>
      </w:r>
      <w:r>
        <w:rPr>
          <w:rFonts w:ascii="Book Antiqua" w:hAnsi="Book Antiqua"/>
          <w:bCs/>
          <w:color w:val="000000" w:themeColor="text1"/>
          <w:lang w:bidi="ar-EG"/>
          <w14:textFill>
            <w14:solidFill>
              <w14:schemeClr w14:val="tx1"/>
            </w14:solidFill>
          </w14:textFill>
        </w:rPr>
        <w:t>ighly significant; NS</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N</w:t>
      </w:r>
      <w:r>
        <w:rPr>
          <w:rFonts w:ascii="Book Antiqua" w:hAnsi="Book Antiqua"/>
          <w:bCs/>
          <w:color w:val="000000" w:themeColor="text1"/>
          <w:lang w:bidi="ar-EG"/>
          <w14:textFill>
            <w14:solidFill>
              <w14:schemeClr w14:val="tx1"/>
            </w14:solidFill>
          </w14:textFill>
        </w:rPr>
        <w:t>on-significant</w:t>
      </w:r>
      <w:r>
        <w:rPr>
          <w:rFonts w:ascii="Book Antiqua" w:hAnsi="Book Antiqua"/>
          <w:bCs/>
          <w:color w:val="000000" w:themeColor="text1"/>
          <w:lang w:eastAsia="zh-CN" w:bidi="ar-EG"/>
          <w14:textFill>
            <w14:solidFill>
              <w14:schemeClr w14:val="tx1"/>
            </w14:solidFill>
          </w14:textFill>
        </w:rPr>
        <w:t>.</w:t>
      </w:r>
    </w:p>
    <w:p>
      <w:pPr>
        <w:spacing w:line="360" w:lineRule="auto"/>
        <w:jc w:val="both"/>
        <w:rPr>
          <w:rFonts w:ascii="Book Antiqua" w:hAnsi="Book Antiqua"/>
          <w:color w:val="000000" w:themeColor="text1"/>
          <w:lang w:eastAsia="zh-CN" w:bidi="ar-EG"/>
          <w14:textFill>
            <w14:solidFill>
              <w14:schemeClr w14:val="tx1"/>
            </w14:solidFill>
          </w14:textFill>
        </w:rPr>
      </w:pPr>
      <w:bookmarkStart w:id="27" w:name="_Toc51106810"/>
      <w:r>
        <w:rPr>
          <w:rFonts w:ascii="Book Antiqua" w:hAnsi="Book Antiqua"/>
          <w:b/>
          <w:bCs/>
          <w:color w:val="000000" w:themeColor="text1"/>
          <w14:textFill>
            <w14:solidFill>
              <w14:schemeClr w14:val="tx1"/>
            </w14:solidFill>
          </w14:textFill>
        </w:rPr>
        <w:br w:type="page"/>
      </w:r>
      <w:bookmarkEnd w:id="27"/>
      <w:bookmarkStart w:id="28" w:name="_Toc51106814"/>
      <w:r>
        <w:rPr>
          <w:rFonts w:ascii="Book Antiqua" w:hAnsi="Book Antiqua"/>
          <w:b/>
          <w:bCs/>
          <w:color w:val="000000" w:themeColor="text1"/>
          <w14:textFill>
            <w14:solidFill>
              <w14:schemeClr w14:val="tx1"/>
            </w14:solidFill>
          </w14:textFill>
        </w:rPr>
        <w:t xml:space="preserve">Table </w:t>
      </w:r>
      <w:r>
        <w:rPr>
          <w:rFonts w:ascii="Book Antiqua" w:hAnsi="Book Antiqua"/>
          <w:b/>
          <w:bCs/>
          <w:color w:val="000000" w:themeColor="text1"/>
          <w:lang w:eastAsia="zh-CN"/>
          <w14:textFill>
            <w14:solidFill>
              <w14:schemeClr w14:val="tx1"/>
            </w14:solidFill>
          </w14:textFill>
        </w:rPr>
        <w:t>4</w:t>
      </w:r>
      <w:r>
        <w:rPr>
          <w:rFonts w:ascii="Book Antiqua" w:hAnsi="Book Antiqua"/>
          <w:b/>
          <w:bCs/>
          <w:color w:val="000000" w:themeColor="text1"/>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 xml:space="preserve">Expression level of hsa-miR-519d-3p, </w:t>
      </w:r>
      <w:r>
        <w:rPr>
          <w:rFonts w:ascii="Book Antiqua" w:hAnsi="Book Antiqua"/>
          <w:b/>
          <w:i/>
          <w:color w:val="000000" w:themeColor="text1"/>
          <w14:textFill>
            <w14:solidFill>
              <w14:schemeClr w14:val="tx1"/>
            </w14:solidFill>
          </w14:textFill>
        </w:rPr>
        <w:t>ACTB</w:t>
      </w:r>
      <w:r>
        <w:rPr>
          <w:rFonts w:ascii="Book Antiqua" w:hAnsi="Book Antiqua"/>
          <w:b/>
          <w:bCs/>
          <w:color w:val="000000" w:themeColor="text1"/>
          <w:lang w:bidi="ar-EG"/>
          <w14:textFill>
            <w14:solidFill>
              <w14:schemeClr w14:val="tx1"/>
            </w14:solidFill>
          </w14:textFill>
        </w:rPr>
        <w:t xml:space="preserve">, </w:t>
      </w:r>
      <w:r>
        <w:rPr>
          <w:rFonts w:ascii="Book Antiqua" w:hAnsi="Book Antiqua"/>
          <w:b/>
          <w:i/>
          <w:color w:val="000000" w:themeColor="text1"/>
          <w14:textFill>
            <w14:solidFill>
              <w14:schemeClr w14:val="tx1"/>
            </w14:solidFill>
          </w14:textFill>
        </w:rPr>
        <w:t>RNU6</w:t>
      </w:r>
      <w:r>
        <w:rPr>
          <w:rFonts w:ascii="Book Antiqua" w:hAnsi="Book Antiqua"/>
          <w:b/>
          <w:bCs/>
          <w:color w:val="000000" w:themeColor="text1"/>
          <w:lang w:bidi="ar-EG"/>
          <w14:textFill>
            <w14:solidFill>
              <w14:schemeClr w14:val="tx1"/>
            </w14:solidFill>
          </w14:textFill>
        </w:rPr>
        <w:t xml:space="preserve">, and </w:t>
      </w:r>
      <w:r>
        <w:rPr>
          <w:rFonts w:ascii="Book Antiqua" w:hAnsi="Book Antiqua"/>
          <w:b/>
          <w:i/>
          <w:color w:val="000000" w:themeColor="text1"/>
          <w14:textFill>
            <w14:solidFill>
              <w14:schemeClr w14:val="tx1"/>
            </w14:solidFill>
          </w14:textFill>
        </w:rPr>
        <w:t>SQSTM1</w:t>
      </w:r>
      <w:r>
        <w:rPr>
          <w:rFonts w:ascii="Book Antiqua" w:hAnsi="Book Antiqua"/>
          <w:b/>
          <w:bCs/>
          <w:color w:val="000000" w:themeColor="text1"/>
          <w:lang w:bidi="ar-EG"/>
          <w14:textFill>
            <w14:solidFill>
              <w14:schemeClr w14:val="tx1"/>
            </w14:solidFill>
          </w14:textFill>
        </w:rPr>
        <w:t xml:space="preserve"> between the three study groups</w:t>
      </w:r>
      <w:bookmarkEnd w:id="28"/>
      <w:r>
        <w:rPr>
          <w:rFonts w:hint="eastAsia"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eastAsia="zh-CN" w:bidi="ar-EG"/>
          <w14:textFill>
            <w14:solidFill>
              <w14:schemeClr w14:val="tx1"/>
            </w14:solidFill>
          </w14:textFill>
        </w:rPr>
        <w:t>m</w:t>
      </w:r>
      <w:r>
        <w:rPr>
          <w:rFonts w:ascii="Book Antiqua" w:hAnsi="Book Antiqua"/>
          <w:b/>
          <w:bCs/>
          <w:color w:val="000000" w:themeColor="text1"/>
          <w:lang w:bidi="ar-EG"/>
          <w14:textFill>
            <w14:solidFill>
              <w14:schemeClr w14:val="tx1"/>
            </w14:solidFill>
          </w14:textFill>
        </w:rPr>
        <w:t>ean</w:t>
      </w:r>
      <w:r>
        <w:rPr>
          <w:rFonts w:ascii="Book Antiqua" w:hAnsi="Book Antiqua"/>
          <w:b/>
          <w:bCs/>
          <w:color w:val="000000" w:themeColor="text1"/>
          <w:lang w:eastAsia="zh-CN" w:bidi="ar-EG"/>
          <w14:textFill>
            <w14:solidFill>
              <w14:schemeClr w14:val="tx1"/>
            </w14:solidFill>
          </w14:textFill>
        </w:rPr>
        <w:t xml:space="preserve"> ± SD</w:t>
      </w:r>
      <w:r>
        <w:rPr>
          <w:rFonts w:hint="eastAsia" w:ascii="Book Antiqua" w:hAnsi="Book Antiqua"/>
          <w:b/>
          <w:bCs/>
          <w:color w:val="000000" w:themeColor="text1"/>
          <w:lang w:eastAsia="zh-CN" w:bidi="ar-EG"/>
          <w14:textFill>
            <w14:solidFill>
              <w14:schemeClr w14:val="tx1"/>
            </w14:solidFill>
          </w14:textFill>
        </w:rPr>
        <w:t>)</w:t>
      </w:r>
    </w:p>
    <w:tbl>
      <w:tblPr>
        <w:tblStyle w:val="7"/>
        <w:tblW w:w="5402"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57" w:type="dxa"/>
          <w:bottom w:w="0" w:type="dxa"/>
          <w:right w:w="57" w:type="dxa"/>
        </w:tblCellMar>
      </w:tblPr>
      <w:tblGrid>
        <w:gridCol w:w="1445"/>
        <w:gridCol w:w="1990"/>
        <w:gridCol w:w="2674"/>
        <w:gridCol w:w="1701"/>
        <w:gridCol w:w="1132"/>
        <w:gridCol w:w="129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jc w:val="center"/>
        </w:trPr>
        <w:tc>
          <w:tcPr>
            <w:tcW w:w="706"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Variable</w:t>
            </w:r>
          </w:p>
        </w:tc>
        <w:tc>
          <w:tcPr>
            <w:tcW w:w="972"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HCC</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w:t>
            </w:r>
            <w:r>
              <w:rPr>
                <w:rFonts w:ascii="Book Antiqua" w:hAnsi="Book Antiqua"/>
                <w:b/>
                <w:bCs/>
                <w:i/>
                <w:color w:val="000000" w:themeColor="text1"/>
                <w:lang w:eastAsia="zh-CN" w:bidi="ar-EG"/>
                <w14:textFill>
                  <w14:solidFill>
                    <w14:schemeClr w14:val="tx1"/>
                  </w14:solidFill>
                </w14:textFill>
              </w:rPr>
              <w:t>n</w:t>
            </w:r>
            <w:r>
              <w:rPr>
                <w:rFonts w:ascii="Book Antiqua" w:hAnsi="Book Antiqua"/>
                <w:b/>
                <w:bCs/>
                <w:color w:val="000000" w:themeColor="text1"/>
                <w:lang w:bidi="ar-EG"/>
                <w14:textFill>
                  <w14:solidFill>
                    <w14:schemeClr w14:val="tx1"/>
                  </w14:solidFill>
                </w14:textFill>
              </w:rPr>
              <w:t xml:space="preserve"> = 34)</w:t>
            </w:r>
          </w:p>
        </w:tc>
        <w:tc>
          <w:tcPr>
            <w:tcW w:w="1306"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Chronic liver infection</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w:t>
            </w:r>
            <w:r>
              <w:rPr>
                <w:rFonts w:ascii="Book Antiqua" w:hAnsi="Book Antiqua"/>
                <w:b/>
                <w:bCs/>
                <w:i/>
                <w:color w:val="000000" w:themeColor="text1"/>
                <w:lang w:eastAsia="zh-CN" w:bidi="ar-EG"/>
                <w14:textFill>
                  <w14:solidFill>
                    <w14:schemeClr w14:val="tx1"/>
                  </w14:solidFill>
                </w14:textFill>
              </w:rPr>
              <w:t>n</w:t>
            </w:r>
            <w:r>
              <w:rPr>
                <w:rFonts w:ascii="Book Antiqua" w:hAnsi="Book Antiqua"/>
                <w:b/>
                <w:bCs/>
                <w:color w:val="000000" w:themeColor="text1"/>
                <w:lang w:bidi="ar-EG"/>
                <w14:textFill>
                  <w14:solidFill>
                    <w14:schemeClr w14:val="tx1"/>
                  </w14:solidFill>
                </w14:textFill>
              </w:rPr>
              <w:t xml:space="preserve"> = 11)</w:t>
            </w:r>
          </w:p>
        </w:tc>
        <w:tc>
          <w:tcPr>
            <w:tcW w:w="831"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Control</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w:t>
            </w:r>
            <w:r>
              <w:rPr>
                <w:rFonts w:ascii="Book Antiqua" w:hAnsi="Book Antiqua"/>
                <w:b/>
                <w:bCs/>
                <w:i/>
                <w:color w:val="000000" w:themeColor="text1"/>
                <w:lang w:eastAsia="zh-CN" w:bidi="ar-EG"/>
                <w14:textFill>
                  <w14:solidFill>
                    <w14:schemeClr w14:val="tx1"/>
                  </w14:solidFill>
                </w14:textFill>
              </w:rPr>
              <w:t>n</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5)</w:t>
            </w:r>
          </w:p>
        </w:tc>
        <w:tc>
          <w:tcPr>
            <w:tcW w:w="553"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eastAsia="zh-CN"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F</w:t>
            </w:r>
            <w:r>
              <w:rPr>
                <w:rFonts w:ascii="Book Antiqua" w:hAnsi="Book Antiqua"/>
                <w:b/>
                <w:bCs/>
                <w:color w:val="000000" w:themeColor="text1"/>
                <w:vertAlign w:val="superscript"/>
                <w:lang w:eastAsia="zh-CN" w:bidi="ar-EG"/>
                <w14:textFill>
                  <w14:solidFill>
                    <w14:schemeClr w14:val="tx1"/>
                  </w14:solidFill>
                </w14:textFill>
              </w:rPr>
              <w:t>1</w:t>
            </w:r>
          </w:p>
        </w:tc>
        <w:tc>
          <w:tcPr>
            <w:tcW w:w="632"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r>
              <w:rPr>
                <w:rFonts w:ascii="Book Antiqua" w:hAnsi="Book Antiqua"/>
                <w:b/>
                <w:i/>
                <w:color w:val="000000" w:themeColor="text1"/>
                <w14:textFill>
                  <w14:solidFill>
                    <w14:schemeClr w14:val="tx1"/>
                  </w14:solidFill>
                </w14:textFill>
              </w:rPr>
              <w:t>P</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jc w:val="center"/>
        </w:trPr>
        <w:tc>
          <w:tcPr>
            <w:tcW w:w="706" w:type="pct"/>
            <w:tcBorders>
              <w:top w:val="single" w:color="auto" w:sz="4" w:space="0"/>
            </w:tcBorders>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Ct (ACTB)</w:t>
            </w:r>
          </w:p>
        </w:tc>
        <w:tc>
          <w:tcPr>
            <w:tcW w:w="972" w:type="pct"/>
            <w:tcBorders>
              <w:top w:val="single" w:color="auto" w:sz="4" w:space="0"/>
            </w:tcBorders>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30.65</w:t>
            </w:r>
            <w:r>
              <w:rPr>
                <w:rFonts w:ascii="Book Antiqua" w:hAnsi="Book Antiqua"/>
                <w:bCs/>
                <w:color w:val="000000" w:themeColor="text1"/>
                <w:vertAlign w:val="superscript"/>
                <w:lang w:bidi="ar-EG"/>
                <w14:textFill>
                  <w14:solidFill>
                    <w14:schemeClr w14:val="tx1"/>
                  </w14:solidFill>
                </w14:textFill>
              </w:rPr>
              <w:t>a</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4.21</w:t>
            </w:r>
          </w:p>
        </w:tc>
        <w:tc>
          <w:tcPr>
            <w:tcW w:w="1306" w:type="pct"/>
            <w:tcBorders>
              <w:top w:val="single" w:color="auto" w:sz="4" w:space="0"/>
            </w:tcBorders>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25.82</w:t>
            </w:r>
            <w:r>
              <w:rPr>
                <w:rFonts w:ascii="Book Antiqua" w:hAnsi="Book Antiqua"/>
                <w:bCs/>
                <w:color w:val="000000" w:themeColor="text1"/>
                <w:vertAlign w:val="superscript"/>
                <w:lang w:bidi="ar-EG"/>
                <w14:textFill>
                  <w14:solidFill>
                    <w14:schemeClr w14:val="tx1"/>
                  </w14:solidFill>
                </w14:textFill>
              </w:rPr>
              <w:t>b</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2.31</w:t>
            </w:r>
          </w:p>
        </w:tc>
        <w:tc>
          <w:tcPr>
            <w:tcW w:w="831" w:type="pct"/>
            <w:tcBorders>
              <w:top w:val="single" w:color="auto" w:sz="4" w:space="0"/>
            </w:tcBorders>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27.34</w:t>
            </w:r>
            <w:r>
              <w:rPr>
                <w:rFonts w:ascii="Book Antiqua" w:hAnsi="Book Antiqua"/>
                <w:bCs/>
                <w:color w:val="000000" w:themeColor="text1"/>
                <w:vertAlign w:val="superscript"/>
                <w:lang w:bidi="ar-EG"/>
                <w14:textFill>
                  <w14:solidFill>
                    <w14:schemeClr w14:val="tx1"/>
                  </w14:solidFill>
                </w14:textFill>
              </w:rPr>
              <w:t>b</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2.00</w:t>
            </w:r>
          </w:p>
        </w:tc>
        <w:tc>
          <w:tcPr>
            <w:tcW w:w="553" w:type="pct"/>
            <w:tcBorders>
              <w:top w:val="single" w:color="auto" w:sz="4" w:space="0"/>
            </w:tcBorders>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7.69</w:t>
            </w:r>
          </w:p>
        </w:tc>
        <w:tc>
          <w:tcPr>
            <w:tcW w:w="632" w:type="pct"/>
            <w:tcBorders>
              <w:top w:val="single" w:color="auto" w:sz="4" w:space="0"/>
            </w:tcBorders>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0.001 HS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jc w:val="center"/>
        </w:trPr>
        <w:tc>
          <w:tcPr>
            <w:tcW w:w="706"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Ct (RNU6)</w:t>
            </w:r>
          </w:p>
        </w:tc>
        <w:tc>
          <w:tcPr>
            <w:tcW w:w="972"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36.03</w:t>
            </w:r>
            <w:r>
              <w:rPr>
                <w:rFonts w:ascii="Book Antiqua" w:hAnsi="Book Antiqua"/>
                <w:bCs/>
                <w:color w:val="000000" w:themeColor="text1"/>
                <w:lang w:eastAsia="zh-CN" w:bidi="ar-EG"/>
                <w14:textFill>
                  <w14:solidFill>
                    <w14:schemeClr w14:val="tx1"/>
                  </w14:solidFill>
                </w14:textFill>
              </w:rPr>
              <w:t xml:space="preserve"> ± </w:t>
            </w:r>
            <w:r>
              <w:rPr>
                <w:rFonts w:ascii="Book Antiqua" w:hAnsi="Book Antiqua"/>
                <w:bCs/>
                <w:color w:val="000000" w:themeColor="text1"/>
                <w:lang w:bidi="ar-EG"/>
                <w14:textFill>
                  <w14:solidFill>
                    <w14:schemeClr w14:val="tx1"/>
                  </w14:solidFill>
                </w14:textFill>
              </w:rPr>
              <w:t>2.92</w:t>
            </w:r>
          </w:p>
        </w:tc>
        <w:tc>
          <w:tcPr>
            <w:tcW w:w="1306"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36.36</w:t>
            </w:r>
            <w:r>
              <w:rPr>
                <w:rFonts w:ascii="Book Antiqua" w:hAnsi="Book Antiqua"/>
                <w:bCs/>
                <w:color w:val="000000" w:themeColor="text1"/>
                <w:lang w:eastAsia="zh-CN" w:bidi="ar-EG"/>
                <w14:textFill>
                  <w14:solidFill>
                    <w14:schemeClr w14:val="tx1"/>
                  </w14:solidFill>
                </w14:textFill>
              </w:rPr>
              <w:t xml:space="preserve"> ± </w:t>
            </w:r>
            <w:r>
              <w:rPr>
                <w:rFonts w:ascii="Book Antiqua" w:hAnsi="Book Antiqua"/>
                <w:bCs/>
                <w:color w:val="000000" w:themeColor="text1"/>
                <w:lang w:bidi="ar-EG"/>
                <w14:textFill>
                  <w14:solidFill>
                    <w14:schemeClr w14:val="tx1"/>
                  </w14:solidFill>
                </w14:textFill>
              </w:rPr>
              <w:t>2.82</w:t>
            </w:r>
          </w:p>
        </w:tc>
        <w:tc>
          <w:tcPr>
            <w:tcW w:w="831"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38.55</w:t>
            </w:r>
            <w:r>
              <w:rPr>
                <w:rFonts w:ascii="Book Antiqua" w:hAnsi="Book Antiqua"/>
                <w:bCs/>
                <w:color w:val="000000" w:themeColor="text1"/>
                <w:lang w:eastAsia="zh-CN" w:bidi="ar-EG"/>
                <w14:textFill>
                  <w14:solidFill>
                    <w14:schemeClr w14:val="tx1"/>
                  </w14:solidFill>
                </w14:textFill>
              </w:rPr>
              <w:t xml:space="preserve"> ± </w:t>
            </w:r>
            <w:r>
              <w:rPr>
                <w:rFonts w:ascii="Book Antiqua" w:hAnsi="Book Antiqua"/>
                <w:bCs/>
                <w:color w:val="000000" w:themeColor="text1"/>
                <w:lang w:bidi="ar-EG"/>
                <w14:textFill>
                  <w14:solidFill>
                    <w14:schemeClr w14:val="tx1"/>
                  </w14:solidFill>
                </w14:textFill>
              </w:rPr>
              <w:t>0.96</w:t>
            </w:r>
          </w:p>
        </w:tc>
        <w:tc>
          <w:tcPr>
            <w:tcW w:w="553"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1.78</w:t>
            </w:r>
          </w:p>
        </w:tc>
        <w:tc>
          <w:tcPr>
            <w:tcW w:w="632"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0.18 NS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jc w:val="center"/>
        </w:trPr>
        <w:tc>
          <w:tcPr>
            <w:tcW w:w="706"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Ct (miR-519d)</w:t>
            </w:r>
          </w:p>
        </w:tc>
        <w:tc>
          <w:tcPr>
            <w:tcW w:w="972"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30.08</w:t>
            </w:r>
            <w:r>
              <w:rPr>
                <w:rFonts w:ascii="Book Antiqua" w:hAnsi="Book Antiqua"/>
                <w:bCs/>
                <w:color w:val="000000" w:themeColor="text1"/>
                <w:vertAlign w:val="superscript"/>
                <w:lang w:bidi="ar-EG"/>
                <w14:textFill>
                  <w14:solidFill>
                    <w14:schemeClr w14:val="tx1"/>
                  </w14:solidFill>
                </w14:textFill>
              </w:rPr>
              <w:t>a</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3.00</w:t>
            </w:r>
          </w:p>
        </w:tc>
        <w:tc>
          <w:tcPr>
            <w:tcW w:w="1306"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33.61</w:t>
            </w:r>
            <w:r>
              <w:rPr>
                <w:rFonts w:ascii="Book Antiqua" w:hAnsi="Book Antiqua"/>
                <w:bCs/>
                <w:color w:val="000000" w:themeColor="text1"/>
                <w:vertAlign w:val="superscript"/>
                <w:lang w:bidi="ar-EG"/>
                <w14:textFill>
                  <w14:solidFill>
                    <w14:schemeClr w14:val="tx1"/>
                  </w14:solidFill>
                </w14:textFill>
              </w:rPr>
              <w:t>b</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2.78</w:t>
            </w:r>
          </w:p>
        </w:tc>
        <w:tc>
          <w:tcPr>
            <w:tcW w:w="831"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38.05</w:t>
            </w:r>
            <w:r>
              <w:rPr>
                <w:rFonts w:ascii="Book Antiqua" w:hAnsi="Book Antiqua"/>
                <w:bCs/>
                <w:color w:val="000000" w:themeColor="text1"/>
                <w:vertAlign w:val="superscript"/>
                <w:lang w:bidi="ar-EG"/>
                <w14:textFill>
                  <w14:solidFill>
                    <w14:schemeClr w14:val="tx1"/>
                  </w14:solidFill>
                </w14:textFill>
              </w:rPr>
              <w:t>c</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1.08</w:t>
            </w:r>
          </w:p>
        </w:tc>
        <w:tc>
          <w:tcPr>
            <w:tcW w:w="553"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20.48</w:t>
            </w:r>
          </w:p>
        </w:tc>
        <w:tc>
          <w:tcPr>
            <w:tcW w:w="632"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&lt;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0.001 HS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jc w:val="center"/>
        </w:trPr>
        <w:tc>
          <w:tcPr>
            <w:tcW w:w="706"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mRNA-</w:t>
            </w:r>
            <w:r>
              <w:rPr>
                <w:rFonts w:ascii="Book Antiqua" w:hAnsi="Book Antiqua"/>
                <w:bCs/>
                <w:i/>
                <w:iCs/>
                <w:color w:val="000000" w:themeColor="text1"/>
                <w:lang w:bidi="ar-EG"/>
                <w14:textFill>
                  <w14:solidFill>
                    <w14:schemeClr w14:val="tx1"/>
                  </w14:solidFill>
                </w14:textFill>
              </w:rPr>
              <w:t>SQSTM1</w:t>
            </w:r>
          </w:p>
        </w:tc>
        <w:tc>
          <w:tcPr>
            <w:tcW w:w="972"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36.14</w:t>
            </w:r>
            <w:r>
              <w:rPr>
                <w:rFonts w:ascii="Book Antiqua" w:hAnsi="Book Antiqua"/>
                <w:bCs/>
                <w:color w:val="000000" w:themeColor="text1"/>
                <w:lang w:eastAsia="zh-CN" w:bidi="ar-EG"/>
                <w14:textFill>
                  <w14:solidFill>
                    <w14:schemeClr w14:val="tx1"/>
                  </w14:solidFill>
                </w14:textFill>
              </w:rPr>
              <w:t xml:space="preserve"> ± </w:t>
            </w:r>
            <w:r>
              <w:rPr>
                <w:rFonts w:ascii="Book Antiqua" w:hAnsi="Book Antiqua"/>
                <w:bCs/>
                <w:color w:val="000000" w:themeColor="text1"/>
                <w:lang w:bidi="ar-EG"/>
                <w14:textFill>
                  <w14:solidFill>
                    <w14:schemeClr w14:val="tx1"/>
                  </w14:solidFill>
                </w14:textFill>
              </w:rPr>
              <w:t>3.17</w:t>
            </w:r>
          </w:p>
        </w:tc>
        <w:tc>
          <w:tcPr>
            <w:tcW w:w="1306"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34.89</w:t>
            </w:r>
            <w:r>
              <w:rPr>
                <w:rFonts w:ascii="Book Antiqua" w:hAnsi="Book Antiqua"/>
                <w:bCs/>
                <w:color w:val="000000" w:themeColor="text1"/>
                <w:lang w:eastAsia="zh-CN" w:bidi="ar-EG"/>
                <w14:textFill>
                  <w14:solidFill>
                    <w14:schemeClr w14:val="tx1"/>
                  </w14:solidFill>
                </w14:textFill>
              </w:rPr>
              <w:t xml:space="preserve"> ± </w:t>
            </w:r>
            <w:r>
              <w:rPr>
                <w:rFonts w:ascii="Book Antiqua" w:hAnsi="Book Antiqua"/>
                <w:bCs/>
                <w:color w:val="000000" w:themeColor="text1"/>
                <w:lang w:bidi="ar-EG"/>
                <w14:textFill>
                  <w14:solidFill>
                    <w14:schemeClr w14:val="tx1"/>
                  </w14:solidFill>
                </w14:textFill>
              </w:rPr>
              <w:t>2.30</w:t>
            </w:r>
          </w:p>
        </w:tc>
        <w:tc>
          <w:tcPr>
            <w:tcW w:w="831"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38.38</w:t>
            </w:r>
            <w:r>
              <w:rPr>
                <w:rFonts w:ascii="Book Antiqua" w:hAnsi="Book Antiqua"/>
                <w:bCs/>
                <w:color w:val="000000" w:themeColor="text1"/>
                <w:lang w:eastAsia="zh-CN" w:bidi="ar-EG"/>
                <w14:textFill>
                  <w14:solidFill>
                    <w14:schemeClr w14:val="tx1"/>
                  </w14:solidFill>
                </w14:textFill>
              </w:rPr>
              <w:t xml:space="preserve"> ± </w:t>
            </w:r>
            <w:r>
              <w:rPr>
                <w:rFonts w:ascii="Book Antiqua" w:hAnsi="Book Antiqua"/>
                <w:bCs/>
                <w:color w:val="000000" w:themeColor="text1"/>
                <w:lang w:bidi="ar-EG"/>
                <w14:textFill>
                  <w14:solidFill>
                    <w14:schemeClr w14:val="tx1"/>
                  </w14:solidFill>
                </w14:textFill>
              </w:rPr>
              <w:t>1.86</w:t>
            </w:r>
          </w:p>
        </w:tc>
        <w:tc>
          <w:tcPr>
            <w:tcW w:w="553"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2.48</w:t>
            </w:r>
          </w:p>
        </w:tc>
        <w:tc>
          <w:tcPr>
            <w:tcW w:w="632"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0.10 NS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jc w:val="center"/>
        </w:trPr>
        <w:tc>
          <w:tcPr>
            <w:tcW w:w="706"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DCT (miR-519d)</w:t>
            </w:r>
          </w:p>
        </w:tc>
        <w:tc>
          <w:tcPr>
            <w:tcW w:w="972"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cs="Lucida Grande"/>
                <w:bCs/>
                <w:color w:val="000000" w:themeColor="text1"/>
                <w:lang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5.95</w:t>
            </w:r>
            <w:r>
              <w:rPr>
                <w:rFonts w:ascii="Book Antiqua" w:hAnsi="Book Antiqua"/>
                <w:bCs/>
                <w:color w:val="000000" w:themeColor="text1"/>
                <w:vertAlign w:val="superscript"/>
                <w:lang w:bidi="ar-EG"/>
                <w14:textFill>
                  <w14:solidFill>
                    <w14:schemeClr w14:val="tx1"/>
                  </w14:solidFill>
                </w14:textFill>
              </w:rPr>
              <w:t>a</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1.98</w:t>
            </w:r>
          </w:p>
        </w:tc>
        <w:tc>
          <w:tcPr>
            <w:tcW w:w="1306"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cs="Lucida Grande"/>
                <w:bCs/>
                <w:color w:val="000000" w:themeColor="text1"/>
                <w:lang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2.75</w:t>
            </w:r>
            <w:r>
              <w:rPr>
                <w:rFonts w:ascii="Book Antiqua" w:hAnsi="Book Antiqua"/>
                <w:bCs/>
                <w:color w:val="000000" w:themeColor="text1"/>
                <w:vertAlign w:val="superscript"/>
                <w:lang w:bidi="ar-EG"/>
                <w14:textFill>
                  <w14:solidFill>
                    <w14:schemeClr w14:val="tx1"/>
                  </w14:solidFill>
                </w14:textFill>
              </w:rPr>
              <w:t>b</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0.89</w:t>
            </w:r>
          </w:p>
        </w:tc>
        <w:tc>
          <w:tcPr>
            <w:tcW w:w="831"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cs="Lucida Grande"/>
                <w:bCs/>
                <w:color w:val="000000" w:themeColor="text1"/>
                <w:lang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0.50</w:t>
            </w:r>
            <w:r>
              <w:rPr>
                <w:rFonts w:ascii="Book Antiqua" w:hAnsi="Book Antiqua"/>
                <w:bCs/>
                <w:color w:val="000000" w:themeColor="text1"/>
                <w:vertAlign w:val="superscript"/>
                <w:lang w:bidi="ar-EG"/>
                <w14:textFill>
                  <w14:solidFill>
                    <w14:schemeClr w14:val="tx1"/>
                  </w14:solidFill>
                </w14:textFill>
              </w:rPr>
              <w:t>c</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0.40</w:t>
            </w:r>
          </w:p>
        </w:tc>
        <w:tc>
          <w:tcPr>
            <w:tcW w:w="553"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31.17</w:t>
            </w:r>
          </w:p>
        </w:tc>
        <w:tc>
          <w:tcPr>
            <w:tcW w:w="632"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&lt;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0.001 HS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jc w:val="center"/>
        </w:trPr>
        <w:tc>
          <w:tcPr>
            <w:tcW w:w="706"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DDCT (miR-519d)</w:t>
            </w:r>
          </w:p>
        </w:tc>
        <w:tc>
          <w:tcPr>
            <w:tcW w:w="972"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cs="Lucida Grande"/>
                <w:bCs/>
                <w:color w:val="000000" w:themeColor="text1"/>
                <w:lang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5.59</w:t>
            </w:r>
            <w:r>
              <w:rPr>
                <w:rFonts w:ascii="Book Antiqua" w:hAnsi="Book Antiqua"/>
                <w:bCs/>
                <w:color w:val="000000" w:themeColor="text1"/>
                <w:vertAlign w:val="superscript"/>
                <w:lang w:bidi="ar-EG"/>
                <w14:textFill>
                  <w14:solidFill>
                    <w14:schemeClr w14:val="tx1"/>
                  </w14:solidFill>
                </w14:textFill>
              </w:rPr>
              <w:t>a</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1.98</w:t>
            </w:r>
          </w:p>
        </w:tc>
        <w:tc>
          <w:tcPr>
            <w:tcW w:w="1306"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cs="Lucida Grande"/>
                <w:bCs/>
                <w:color w:val="000000" w:themeColor="text1"/>
                <w:lang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2.39</w:t>
            </w:r>
            <w:r>
              <w:rPr>
                <w:rFonts w:ascii="Book Antiqua" w:hAnsi="Book Antiqua"/>
                <w:bCs/>
                <w:color w:val="000000" w:themeColor="text1"/>
                <w:vertAlign w:val="superscript"/>
                <w:lang w:bidi="ar-EG"/>
                <w14:textFill>
                  <w14:solidFill>
                    <w14:schemeClr w14:val="tx1"/>
                  </w14:solidFill>
                </w14:textFill>
              </w:rPr>
              <w:t>b</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0.89</w:t>
            </w:r>
          </w:p>
        </w:tc>
        <w:tc>
          <w:tcPr>
            <w:tcW w:w="831"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cs="Lucida Grande"/>
                <w:bCs/>
                <w:color w:val="000000" w:themeColor="text1"/>
                <w:lang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0.14</w:t>
            </w:r>
            <w:r>
              <w:rPr>
                <w:rFonts w:ascii="Book Antiqua" w:hAnsi="Book Antiqua"/>
                <w:bCs/>
                <w:color w:val="000000" w:themeColor="text1"/>
                <w:vertAlign w:val="superscript"/>
                <w:lang w:bidi="ar-EG"/>
                <w14:textFill>
                  <w14:solidFill>
                    <w14:schemeClr w14:val="tx1"/>
                  </w14:solidFill>
                </w14:textFill>
              </w:rPr>
              <w:t>c</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0.40</w:t>
            </w:r>
          </w:p>
        </w:tc>
        <w:tc>
          <w:tcPr>
            <w:tcW w:w="553"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31.17</w:t>
            </w:r>
          </w:p>
        </w:tc>
        <w:tc>
          <w:tcPr>
            <w:tcW w:w="632"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&lt;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0.001 HS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jc w:val="center"/>
        </w:trPr>
        <w:tc>
          <w:tcPr>
            <w:tcW w:w="706" w:type="pct"/>
            <w:shd w:val="clear" w:color="auto" w:fill="auto"/>
          </w:tcPr>
          <w:p>
            <w:pPr>
              <w:spacing w:line="360" w:lineRule="auto"/>
              <w:jc w:val="both"/>
              <w:rPr>
                <w:rFonts w:ascii="Book Antiqua" w:hAnsi="Book Antiqua"/>
                <w:bCs/>
                <w:color w:val="000000" w:themeColor="text1"/>
                <w:vertAlign w:val="superscript"/>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RQ (miR-519d)</w:t>
            </w:r>
            <w:r>
              <w:rPr>
                <w:rFonts w:ascii="Book Antiqua" w:hAnsi="Book Antiqua"/>
                <w:bCs/>
                <w:color w:val="000000" w:themeColor="text1"/>
                <w:vertAlign w:val="superscript"/>
                <w:lang w:eastAsia="zh-CN" w:bidi="ar-EG"/>
                <w14:textFill>
                  <w14:solidFill>
                    <w14:schemeClr w14:val="tx1"/>
                  </w14:solidFill>
                </w14:textFill>
              </w:rPr>
              <w:t>2</w:t>
            </w:r>
          </w:p>
        </w:tc>
        <w:tc>
          <w:tcPr>
            <w:tcW w:w="972"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41.94</w:t>
            </w:r>
            <w:r>
              <w:rPr>
                <w:rFonts w:ascii="Book Antiqua" w:hAnsi="Book Antiqua"/>
                <w:bCs/>
                <w:color w:val="000000" w:themeColor="text1"/>
                <w:vertAlign w:val="superscript"/>
                <w:lang w:bidi="ar-EG"/>
                <w14:textFill>
                  <w14:solidFill>
                    <w14:schemeClr w14:val="tx1"/>
                  </w14:solidFill>
                </w14:textFill>
              </w:rPr>
              <w:t>a</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18.25–139.10</w:t>
            </w:r>
          </w:p>
        </w:tc>
        <w:tc>
          <w:tcPr>
            <w:tcW w:w="1306"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5.98</w:t>
            </w:r>
            <w:r>
              <w:rPr>
                <w:rFonts w:ascii="Book Antiqua" w:hAnsi="Book Antiqua"/>
                <w:bCs/>
                <w:color w:val="000000" w:themeColor="text1"/>
                <w:vertAlign w:val="superscript"/>
                <w:lang w:bidi="ar-EG"/>
                <w14:textFill>
                  <w14:solidFill>
                    <w14:schemeClr w14:val="tx1"/>
                  </w14:solidFill>
                </w14:textFill>
              </w:rPr>
              <w:t>b</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3.14–8.28</w:t>
            </w:r>
          </w:p>
        </w:tc>
        <w:tc>
          <w:tcPr>
            <w:tcW w:w="831"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1.17</w:t>
            </w:r>
            <w:r>
              <w:rPr>
                <w:rFonts w:ascii="Book Antiqua" w:hAnsi="Book Antiqua"/>
                <w:bCs/>
                <w:color w:val="000000" w:themeColor="text1"/>
                <w:vertAlign w:val="superscript"/>
                <w:lang w:bidi="ar-EG"/>
                <w14:textFill>
                  <w14:solidFill>
                    <w14:schemeClr w14:val="tx1"/>
                  </w14:solidFill>
                </w14:textFill>
              </w:rPr>
              <w:t>c</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1.16–1.21</w:t>
            </w:r>
          </w:p>
        </w:tc>
        <w:tc>
          <w:tcPr>
            <w:tcW w:w="553"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28.46</w:t>
            </w:r>
          </w:p>
        </w:tc>
        <w:tc>
          <w:tcPr>
            <w:tcW w:w="632"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&lt;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0.001 HS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jc w:val="center"/>
        </w:trPr>
        <w:tc>
          <w:tcPr>
            <w:tcW w:w="706"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DCT (</w:t>
            </w:r>
            <w:r>
              <w:rPr>
                <w:rFonts w:ascii="Book Antiqua" w:hAnsi="Book Antiqua"/>
                <w:bCs/>
                <w:i/>
                <w:iCs/>
                <w:color w:val="000000" w:themeColor="text1"/>
                <w:lang w:bidi="ar-EG"/>
                <w14:textFill>
                  <w14:solidFill>
                    <w14:schemeClr w14:val="tx1"/>
                  </w14:solidFill>
                </w14:textFill>
              </w:rPr>
              <w:t>SQSTM1</w:t>
            </w:r>
            <w:r>
              <w:rPr>
                <w:rFonts w:ascii="Book Antiqua" w:hAnsi="Book Antiqua"/>
                <w:bCs/>
                <w:color w:val="000000" w:themeColor="text1"/>
                <w:lang w:bidi="ar-EG"/>
                <w14:textFill>
                  <w14:solidFill>
                    <w14:schemeClr w14:val="tx1"/>
                  </w14:solidFill>
                </w14:textFill>
              </w:rPr>
              <w:t>)</w:t>
            </w:r>
          </w:p>
        </w:tc>
        <w:tc>
          <w:tcPr>
            <w:tcW w:w="972"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5.49</w:t>
            </w:r>
            <w:r>
              <w:rPr>
                <w:rFonts w:ascii="Book Antiqua" w:hAnsi="Book Antiqua"/>
                <w:bCs/>
                <w:color w:val="000000" w:themeColor="text1"/>
                <w:vertAlign w:val="superscript"/>
                <w:lang w:bidi="ar-EG"/>
                <w14:textFill>
                  <w14:solidFill>
                    <w14:schemeClr w14:val="tx1"/>
                  </w14:solidFill>
                </w14:textFill>
              </w:rPr>
              <w:t>a</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1.83</w:t>
            </w:r>
          </w:p>
        </w:tc>
        <w:tc>
          <w:tcPr>
            <w:tcW w:w="1306"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9.07</w:t>
            </w:r>
            <w:r>
              <w:rPr>
                <w:rFonts w:ascii="Book Antiqua" w:hAnsi="Book Antiqua"/>
                <w:bCs/>
                <w:color w:val="000000" w:themeColor="text1"/>
                <w:vertAlign w:val="superscript"/>
                <w:lang w:bidi="ar-EG"/>
                <w14:textFill>
                  <w14:solidFill>
                    <w14:schemeClr w14:val="tx1"/>
                  </w14:solidFill>
                </w14:textFill>
              </w:rPr>
              <w:t>b</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0.70</w:t>
            </w:r>
          </w:p>
        </w:tc>
        <w:tc>
          <w:tcPr>
            <w:tcW w:w="831"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11.04</w:t>
            </w:r>
            <w:r>
              <w:rPr>
                <w:rFonts w:ascii="Book Antiqua" w:hAnsi="Book Antiqua"/>
                <w:bCs/>
                <w:color w:val="000000" w:themeColor="text1"/>
                <w:vertAlign w:val="superscript"/>
                <w:lang w:bidi="ar-EG"/>
                <w14:textFill>
                  <w14:solidFill>
                    <w14:schemeClr w14:val="tx1"/>
                  </w14:solidFill>
                </w14:textFill>
              </w:rPr>
              <w:t>c</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0.58</w:t>
            </w:r>
          </w:p>
        </w:tc>
        <w:tc>
          <w:tcPr>
            <w:tcW w:w="553"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41.08</w:t>
            </w:r>
          </w:p>
        </w:tc>
        <w:tc>
          <w:tcPr>
            <w:tcW w:w="632"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&lt;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0.001 HS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jc w:val="center"/>
        </w:trPr>
        <w:tc>
          <w:tcPr>
            <w:tcW w:w="706"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DDCT (</w:t>
            </w:r>
            <w:r>
              <w:rPr>
                <w:rFonts w:ascii="Book Antiqua" w:hAnsi="Book Antiqua"/>
                <w:bCs/>
                <w:i/>
                <w:iCs/>
                <w:color w:val="000000" w:themeColor="text1"/>
                <w:lang w:bidi="ar-EG"/>
                <w14:textFill>
                  <w14:solidFill>
                    <w14:schemeClr w14:val="tx1"/>
                  </w14:solidFill>
                </w14:textFill>
              </w:rPr>
              <w:t>SQSTM1</w:t>
            </w:r>
            <w:r>
              <w:rPr>
                <w:rFonts w:ascii="Book Antiqua" w:hAnsi="Book Antiqua"/>
                <w:bCs/>
                <w:color w:val="000000" w:themeColor="text1"/>
                <w:lang w:bidi="ar-EG"/>
                <w14:textFill>
                  <w14:solidFill>
                    <w14:schemeClr w14:val="tx1"/>
                  </w14:solidFill>
                </w14:textFill>
              </w:rPr>
              <w:t>)</w:t>
            </w:r>
          </w:p>
        </w:tc>
        <w:tc>
          <w:tcPr>
            <w:tcW w:w="972"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cs="Lucida Grande"/>
                <w:bCs/>
                <w:color w:val="000000" w:themeColor="text1"/>
                <w:lang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5.51</w:t>
            </w:r>
            <w:r>
              <w:rPr>
                <w:rFonts w:ascii="Book Antiqua" w:hAnsi="Book Antiqua"/>
                <w:bCs/>
                <w:color w:val="000000" w:themeColor="text1"/>
                <w:vertAlign w:val="superscript"/>
                <w:lang w:bidi="ar-EG"/>
                <w14:textFill>
                  <w14:solidFill>
                    <w14:schemeClr w14:val="tx1"/>
                  </w14:solidFill>
                </w14:textFill>
              </w:rPr>
              <w:t>a</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1.83</w:t>
            </w:r>
          </w:p>
        </w:tc>
        <w:tc>
          <w:tcPr>
            <w:tcW w:w="1306"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cs="Lucida Grande"/>
                <w:bCs/>
                <w:color w:val="000000" w:themeColor="text1"/>
                <w:lang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1.93</w:t>
            </w:r>
            <w:r>
              <w:rPr>
                <w:rFonts w:ascii="Book Antiqua" w:hAnsi="Book Antiqua"/>
                <w:bCs/>
                <w:color w:val="000000" w:themeColor="text1"/>
                <w:vertAlign w:val="superscript"/>
                <w:lang w:bidi="ar-EG"/>
                <w14:textFill>
                  <w14:solidFill>
                    <w14:schemeClr w14:val="tx1"/>
                  </w14:solidFill>
                </w14:textFill>
              </w:rPr>
              <w:t>b</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0.70</w:t>
            </w:r>
          </w:p>
        </w:tc>
        <w:tc>
          <w:tcPr>
            <w:tcW w:w="831"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0.04</w:t>
            </w:r>
            <w:r>
              <w:rPr>
                <w:rFonts w:ascii="Book Antiqua" w:hAnsi="Book Antiqua"/>
                <w:bCs/>
                <w:color w:val="000000" w:themeColor="text1"/>
                <w:vertAlign w:val="superscript"/>
                <w:lang w:bidi="ar-EG"/>
                <w14:textFill>
                  <w14:solidFill>
                    <w14:schemeClr w14:val="tx1"/>
                  </w14:solidFill>
                </w14:textFill>
              </w:rPr>
              <w:t>c</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0.58</w:t>
            </w:r>
          </w:p>
        </w:tc>
        <w:tc>
          <w:tcPr>
            <w:tcW w:w="553"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41.08</w:t>
            </w:r>
          </w:p>
        </w:tc>
        <w:tc>
          <w:tcPr>
            <w:tcW w:w="632"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&lt;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0.001 HS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jc w:val="center"/>
        </w:trPr>
        <w:tc>
          <w:tcPr>
            <w:tcW w:w="706" w:type="pct"/>
            <w:shd w:val="clear" w:color="auto" w:fill="auto"/>
          </w:tcPr>
          <w:p>
            <w:pPr>
              <w:spacing w:line="360" w:lineRule="auto"/>
              <w:jc w:val="both"/>
              <w:rPr>
                <w:rFonts w:ascii="Book Antiqua" w:hAnsi="Book Antiqua"/>
                <w:bCs/>
                <w:color w:val="000000" w:themeColor="text1"/>
                <w:vertAlign w:val="superscript"/>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RQ (</w:t>
            </w:r>
            <w:r>
              <w:rPr>
                <w:rFonts w:ascii="Book Antiqua" w:hAnsi="Book Antiqua"/>
                <w:bCs/>
                <w:i/>
                <w:iCs/>
                <w:color w:val="000000" w:themeColor="text1"/>
                <w:lang w:bidi="ar-EG"/>
                <w14:textFill>
                  <w14:solidFill>
                    <w14:schemeClr w14:val="tx1"/>
                  </w14:solidFill>
                </w14:textFill>
              </w:rPr>
              <w:t>SQSTM1</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vertAlign w:val="superscript"/>
                <w:lang w:eastAsia="zh-CN" w:bidi="ar-EG"/>
                <w14:textFill>
                  <w14:solidFill>
                    <w14:schemeClr w14:val="tx1"/>
                  </w14:solidFill>
                </w14:textFill>
              </w:rPr>
              <w:t>2</w:t>
            </w:r>
          </w:p>
        </w:tc>
        <w:tc>
          <w:tcPr>
            <w:tcW w:w="972"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33.91</w:t>
            </w:r>
            <w:r>
              <w:rPr>
                <w:rFonts w:ascii="Book Antiqua" w:hAnsi="Book Antiqua"/>
                <w:bCs/>
                <w:color w:val="000000" w:themeColor="text1"/>
                <w:vertAlign w:val="superscript"/>
                <w:lang w:bidi="ar-EG"/>
                <w14:textFill>
                  <w14:solidFill>
                    <w14:schemeClr w14:val="tx1"/>
                  </w14:solidFill>
                </w14:textFill>
              </w:rPr>
              <w:t>a</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14.83–132.51</w:t>
            </w:r>
          </w:p>
        </w:tc>
        <w:tc>
          <w:tcPr>
            <w:tcW w:w="1306"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3.68</w:t>
            </w:r>
            <w:r>
              <w:rPr>
                <w:rFonts w:ascii="Book Antiqua" w:hAnsi="Book Antiqua"/>
                <w:bCs/>
                <w:color w:val="000000" w:themeColor="text1"/>
                <w:vertAlign w:val="superscript"/>
                <w:lang w:bidi="ar-EG"/>
                <w14:textFill>
                  <w14:solidFill>
                    <w14:schemeClr w14:val="tx1"/>
                  </w14:solidFill>
                </w14:textFill>
              </w:rPr>
              <w:t>b</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2.28–5.50</w:t>
            </w:r>
          </w:p>
        </w:tc>
        <w:tc>
          <w:tcPr>
            <w:tcW w:w="831" w:type="pct"/>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0.84</w:t>
            </w:r>
            <w:r>
              <w:rPr>
                <w:rFonts w:ascii="Book Antiqua" w:hAnsi="Book Antiqua"/>
                <w:bCs/>
                <w:color w:val="000000" w:themeColor="text1"/>
                <w:vertAlign w:val="superscript"/>
                <w:lang w:bidi="ar-EG"/>
                <w14:textFill>
                  <w14:solidFill>
                    <w14:schemeClr w14:val="tx1"/>
                  </w14:solidFill>
                </w14:textFill>
              </w:rPr>
              <w:t>c</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0.76–0.99</w:t>
            </w:r>
          </w:p>
        </w:tc>
        <w:tc>
          <w:tcPr>
            <w:tcW w:w="553"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32.54</w:t>
            </w:r>
          </w:p>
        </w:tc>
        <w:tc>
          <w:tcPr>
            <w:tcW w:w="632"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&lt;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0.001 HS</w:t>
            </w:r>
          </w:p>
        </w:tc>
      </w:tr>
    </w:tbl>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vertAlign w:val="superscript"/>
          <w:lang w:eastAsia="zh-CN" w:bidi="ar-EG"/>
          <w14:textFill>
            <w14:solidFill>
              <w14:schemeClr w14:val="tx1"/>
            </w14:solidFill>
          </w14:textFill>
        </w:rPr>
        <w:t>1</w:t>
      </w:r>
      <w:r>
        <w:rPr>
          <w:rFonts w:ascii="Book Antiqua" w:hAnsi="Book Antiqua"/>
          <w:bCs/>
          <w:color w:val="000000" w:themeColor="text1"/>
          <w:lang w:bidi="ar-EG"/>
          <w14:textFill>
            <w14:solidFill>
              <w14:schemeClr w14:val="tx1"/>
            </w14:solidFill>
          </w14:textFill>
        </w:rPr>
        <w:t>One-way analysis of variance (a, b post-hoc test)</w:t>
      </w:r>
      <w:r>
        <w:rPr>
          <w:rFonts w:hint="eastAsia"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p>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vertAlign w:val="superscript"/>
          <w:lang w:eastAsia="zh-CN" w:bidi="ar-EG"/>
          <w14:textFill>
            <w14:solidFill>
              <w14:schemeClr w14:val="tx1"/>
            </w14:solidFill>
          </w14:textFill>
        </w:rPr>
        <w:t>2</w:t>
      </w:r>
      <w:r>
        <w:rPr>
          <w:rFonts w:ascii="Book Antiqua" w:hAnsi="Book Antiqua"/>
          <w:bCs/>
          <w:color w:val="000000" w:themeColor="text1"/>
          <w:lang w:bidi="ar-EG"/>
          <w14:textFill>
            <w14:solidFill>
              <w14:schemeClr w14:val="tx1"/>
            </w14:solidFill>
          </w14:textFill>
        </w:rPr>
        <w:t xml:space="preserve">Kruskal–Wallis test (median and </w:t>
      </w:r>
      <w:r>
        <w:rPr>
          <w:rFonts w:ascii="Book Antiqua" w:hAnsi="Book Antiqua" w:eastAsia="Book Antiqua" w:cs="Book Antiqua"/>
          <w:color w:val="000000" w:themeColor="text1"/>
          <w14:textFill>
            <w14:solidFill>
              <w14:schemeClr w14:val="tx1"/>
            </w14:solidFill>
          </w14:textFill>
        </w:rPr>
        <w:t>interquartile range</w:t>
      </w:r>
      <w:r>
        <w:rPr>
          <w:rFonts w:ascii="Book Antiqua" w:hAnsi="Book Antiqua"/>
          <w:bCs/>
          <w:color w:val="000000" w:themeColor="text1"/>
          <w:lang w:bidi="ar-EG"/>
          <w14:textFill>
            <w14:solidFill>
              <w14:schemeClr w14:val="tx1"/>
            </w14:solidFill>
          </w14:textFill>
        </w:rPr>
        <w:t>).</w:t>
      </w:r>
      <w:r>
        <w:rPr>
          <w:rFonts w:ascii="Book Antiqua" w:hAnsi="Book Antiqua"/>
          <w:bCs/>
          <w:color w:val="000000" w:themeColor="text1"/>
          <w:lang w:eastAsia="zh-CN" w:bidi="ar-EG"/>
          <w14:textFill>
            <w14:solidFill>
              <w14:schemeClr w14:val="tx1"/>
            </w14:solidFill>
          </w14:textFill>
        </w:rPr>
        <w:t xml:space="preserve"> </w:t>
      </w:r>
    </w:p>
    <w:p>
      <w:pPr>
        <w:spacing w:line="360" w:lineRule="auto"/>
        <w:jc w:val="both"/>
        <w:rPr>
          <w:rFonts w:ascii="Book Antiqua" w:hAnsi="Book Antiqua"/>
          <w:bCs/>
          <w:color w:val="000000" w:themeColor="text1"/>
          <w:vertAlign w:val="superscript"/>
          <w:lang w:eastAsia="zh-CN" w:bidi="ar-EG"/>
          <w14:textFill>
            <w14:solidFill>
              <w14:schemeClr w14:val="tx1"/>
            </w14:solidFill>
          </w14:textFill>
        </w:rPr>
      </w:pPr>
      <w:r>
        <w:rPr>
          <w:rFonts w:ascii="Book Antiqua" w:hAnsi="Book Antiqua"/>
          <w:bCs/>
          <w:color w:val="000000" w:themeColor="text1"/>
          <w:vertAlign w:val="superscript"/>
          <w:lang w:eastAsia="zh-CN" w:bidi="ar-EG"/>
          <w14:textFill>
            <w14:solidFill>
              <w14:schemeClr w14:val="tx1"/>
            </w14:solidFill>
          </w14:textFill>
        </w:rPr>
        <w:t>a</w:t>
      </w:r>
      <w:r>
        <w:rPr>
          <w:rFonts w:ascii="Book Antiqua" w:hAnsi="Book Antiqua"/>
          <w:bCs/>
          <w:i/>
          <w:color w:val="000000" w:themeColor="text1"/>
          <w:lang w:eastAsia="zh-CN" w:bidi="ar-EG"/>
          <w14:textFill>
            <w14:solidFill>
              <w14:schemeClr w14:val="tx1"/>
            </w14:solidFill>
          </w14:textFill>
        </w:rPr>
        <w:t>P</w:t>
      </w:r>
      <w:r>
        <w:rPr>
          <w:rFonts w:ascii="Book Antiqua" w:hAnsi="Book Antiqua"/>
          <w:bCs/>
          <w:color w:val="000000" w:themeColor="text1"/>
          <w:lang w:eastAsia="zh-CN" w:bidi="ar-EG"/>
          <w14:textFill>
            <w14:solidFill>
              <w14:schemeClr w14:val="tx1"/>
            </w14:solidFill>
          </w14:textFill>
        </w:rPr>
        <w:t xml:space="preserve"> &lt; 0.05</w:t>
      </w:r>
      <w:r>
        <w:rPr>
          <w:rFonts w:hint="eastAsia"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vertAlign w:val="superscript"/>
          <w:lang w:eastAsia="zh-CN" w:bidi="ar-EG"/>
          <w14:textFill>
            <w14:solidFill>
              <w14:schemeClr w14:val="tx1"/>
            </w14:solidFill>
          </w14:textFill>
        </w:rPr>
        <w:t xml:space="preserve"> </w:t>
      </w:r>
    </w:p>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vertAlign w:val="superscript"/>
          <w:lang w:eastAsia="zh-CN" w:bidi="ar-EG"/>
          <w14:textFill>
            <w14:solidFill>
              <w14:schemeClr w14:val="tx1"/>
            </w14:solidFill>
          </w14:textFill>
        </w:rPr>
        <w:t>b</w:t>
      </w:r>
      <w:r>
        <w:rPr>
          <w:rFonts w:ascii="Book Antiqua" w:hAnsi="Book Antiqua"/>
          <w:bCs/>
          <w:i/>
          <w:color w:val="000000" w:themeColor="text1"/>
          <w:lang w:eastAsia="zh-CN" w:bidi="ar-EG"/>
          <w14:textFill>
            <w14:solidFill>
              <w14:schemeClr w14:val="tx1"/>
            </w14:solidFill>
          </w14:textFill>
        </w:rPr>
        <w:t>P</w:t>
      </w:r>
      <w:r>
        <w:rPr>
          <w:rFonts w:ascii="Book Antiqua" w:hAnsi="Book Antiqua"/>
          <w:bCs/>
          <w:color w:val="000000" w:themeColor="text1"/>
          <w:lang w:eastAsia="zh-CN" w:bidi="ar-EG"/>
          <w14:textFill>
            <w14:solidFill>
              <w14:schemeClr w14:val="tx1"/>
            </w14:solidFill>
          </w14:textFill>
        </w:rPr>
        <w:t xml:space="preserve"> &lt; 0.0</w:t>
      </w:r>
      <w:r>
        <w:rPr>
          <w:rFonts w:hint="eastAsia" w:ascii="Book Antiqua" w:hAnsi="Book Antiqua"/>
          <w:bCs/>
          <w:color w:val="000000" w:themeColor="text1"/>
          <w:lang w:eastAsia="zh-CN" w:bidi="ar-EG"/>
          <w14:textFill>
            <w14:solidFill>
              <w14:schemeClr w14:val="tx1"/>
            </w14:solidFill>
          </w14:textFill>
        </w:rPr>
        <w:t xml:space="preserve">1. </w:t>
      </w:r>
    </w:p>
    <w:p>
      <w:pPr>
        <w:spacing w:line="360" w:lineRule="auto"/>
        <w:jc w:val="both"/>
        <w:rPr>
          <w:rFonts w:ascii="Book Antiqua" w:hAnsi="Book Antiqua"/>
          <w:bCs/>
          <w:color w:val="000000" w:themeColor="text1"/>
          <w:lang w:eastAsia="zh-CN" w:bidi="ar-EG"/>
          <w14:textFill>
            <w14:solidFill>
              <w14:schemeClr w14:val="tx1"/>
            </w14:solidFill>
          </w14:textFill>
        </w:rPr>
      </w:pPr>
      <w:r>
        <w:rPr>
          <w:rFonts w:hint="eastAsia" w:ascii="Book Antiqua" w:hAnsi="Book Antiqua"/>
          <w:bCs/>
          <w:color w:val="000000" w:themeColor="text1"/>
          <w:vertAlign w:val="superscript"/>
          <w:lang w:eastAsia="zh-CN" w:bidi="ar-EG"/>
          <w14:textFill>
            <w14:solidFill>
              <w14:schemeClr w14:val="tx1"/>
            </w14:solidFill>
          </w14:textFill>
        </w:rPr>
        <w:t>c</w:t>
      </w:r>
      <w:r>
        <w:rPr>
          <w:rFonts w:ascii="Book Antiqua" w:hAnsi="Book Antiqua"/>
          <w:bCs/>
          <w:i/>
          <w:color w:val="000000" w:themeColor="text1"/>
          <w:lang w:eastAsia="zh-CN" w:bidi="ar-EG"/>
          <w14:textFill>
            <w14:solidFill>
              <w14:schemeClr w14:val="tx1"/>
            </w14:solidFill>
          </w14:textFill>
        </w:rPr>
        <w:t>P</w:t>
      </w:r>
      <w:r>
        <w:rPr>
          <w:rFonts w:ascii="Book Antiqua" w:hAnsi="Book Antiqua"/>
          <w:bCs/>
          <w:color w:val="000000" w:themeColor="text1"/>
          <w:lang w:eastAsia="zh-CN" w:bidi="ar-EG"/>
          <w14:textFill>
            <w14:solidFill>
              <w14:schemeClr w14:val="tx1"/>
            </w14:solidFill>
          </w14:textFill>
        </w:rPr>
        <w:t xml:space="preserve"> &lt; 0.0</w:t>
      </w:r>
      <w:r>
        <w:rPr>
          <w:rFonts w:hint="eastAsia" w:ascii="Book Antiqua" w:hAnsi="Book Antiqua"/>
          <w:bCs/>
          <w:color w:val="000000" w:themeColor="text1"/>
          <w:lang w:eastAsia="zh-CN" w:bidi="ar-EG"/>
          <w14:textFill>
            <w14:solidFill>
              <w14:schemeClr w14:val="tx1"/>
            </w14:solidFill>
          </w14:textFill>
        </w:rPr>
        <w:t>01</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p>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 xml:space="preserve">Ct: </w:t>
      </w:r>
      <w:r>
        <w:rPr>
          <w:rFonts w:ascii="Book Antiqua" w:hAnsi="Book Antiqua" w:eastAsia="Book Antiqua" w:cs="Book Antiqua"/>
          <w:color w:val="000000" w:themeColor="text1"/>
          <w14:textFill>
            <w14:solidFill>
              <w14:schemeClr w14:val="tx1"/>
            </w14:solidFill>
          </w14:textFill>
        </w:rPr>
        <w:t>Threshold cycle</w:t>
      </w:r>
      <w:r>
        <w:rPr>
          <w:rFonts w:ascii="Book Antiqua" w:hAnsi="Book Antiqua"/>
          <w:bCs/>
          <w:color w:val="000000" w:themeColor="text1"/>
          <w:lang w:bidi="ar-EG"/>
          <w14:textFill>
            <w14:solidFill>
              <w14:schemeClr w14:val="tx1"/>
            </w14:solidFill>
          </w14:textFill>
        </w:rPr>
        <w:t>; HS</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H</w:t>
      </w:r>
      <w:r>
        <w:rPr>
          <w:rFonts w:ascii="Book Antiqua" w:hAnsi="Book Antiqua"/>
          <w:bCs/>
          <w:color w:val="000000" w:themeColor="text1"/>
          <w:lang w:bidi="ar-EG"/>
          <w14:textFill>
            <w14:solidFill>
              <w14:schemeClr w14:val="tx1"/>
            </w14:solidFill>
          </w14:textFill>
        </w:rPr>
        <w:t>ighly significant; NS</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N</w:t>
      </w:r>
      <w:r>
        <w:rPr>
          <w:rFonts w:ascii="Book Antiqua" w:hAnsi="Book Antiqua"/>
          <w:bCs/>
          <w:color w:val="000000" w:themeColor="text1"/>
          <w:lang w:bidi="ar-EG"/>
          <w14:textFill>
            <w14:solidFill>
              <w14:schemeClr w14:val="tx1"/>
            </w14:solidFill>
          </w14:textFill>
        </w:rPr>
        <w:t>on-significant</w:t>
      </w:r>
      <w:r>
        <w:rPr>
          <w:rFonts w:ascii="Book Antiqua" w:hAnsi="Book Antiqua"/>
          <w:color w:val="000000" w:themeColor="text1"/>
          <w:shd w:val="clear" w:color="auto" w:fill="FFFFFF"/>
          <w14:textFill>
            <w14:solidFill>
              <w14:schemeClr w14:val="tx1"/>
            </w14:solidFill>
          </w14:textFill>
        </w:rPr>
        <w:t>.</w:t>
      </w:r>
    </w:p>
    <w:p>
      <w:pPr>
        <w:spacing w:line="360" w:lineRule="auto"/>
        <w:jc w:val="both"/>
        <w:rPr>
          <w:rFonts w:ascii="Book Antiqua" w:hAnsi="Book Antiqua"/>
          <w:b/>
          <w:bCs/>
          <w:color w:val="000000" w:themeColor="text1"/>
          <w:lang w:eastAsia="zh-CN" w:bidi="ar-EG"/>
          <w14:textFill>
            <w14:solidFill>
              <w14:schemeClr w14:val="tx1"/>
            </w14:solidFill>
          </w14:textFill>
        </w:rPr>
      </w:pPr>
      <w:r>
        <w:rPr>
          <w:rFonts w:ascii="Book Antiqua" w:hAnsi="Book Antiqua"/>
          <w:bCs/>
          <w:color w:val="000000" w:themeColor="text1"/>
          <w:lang w:eastAsia="zh-CN" w:bidi="ar-EG"/>
          <w14:textFill>
            <w14:solidFill>
              <w14:schemeClr w14:val="tx1"/>
            </w14:solidFill>
          </w14:textFill>
        </w:rPr>
        <w:br w:type="page"/>
      </w:r>
      <w:r>
        <w:rPr>
          <w:rFonts w:ascii="Book Antiqua" w:hAnsi="Book Antiqua"/>
          <w:b/>
          <w:bCs/>
          <w:color w:val="000000" w:themeColor="text1"/>
          <w14:textFill>
            <w14:solidFill>
              <w14:schemeClr w14:val="tx1"/>
            </w14:solidFill>
          </w14:textFill>
        </w:rPr>
        <w:t xml:space="preserve">Table </w:t>
      </w:r>
      <w:r>
        <w:rPr>
          <w:rFonts w:ascii="Book Antiqua" w:hAnsi="Book Antiqua"/>
          <w:b/>
          <w:bCs/>
          <w:color w:val="000000" w:themeColor="text1"/>
          <w:lang w:eastAsia="zh-CN"/>
          <w14:textFill>
            <w14:solidFill>
              <w14:schemeClr w14:val="tx1"/>
            </w14:solidFill>
          </w14:textFill>
        </w:rPr>
        <w:t>5</w:t>
      </w:r>
      <w:r>
        <w:rPr>
          <w:rFonts w:ascii="Book Antiqua" w:hAnsi="Book Antiqua"/>
          <w:b/>
          <w:bCs/>
          <w:color w:val="000000" w:themeColor="text1"/>
          <w14:textFill>
            <w14:solidFill>
              <w14:schemeClr w14:val="tx1"/>
            </w14:solidFill>
          </w14:textFill>
        </w:rPr>
        <w:t xml:space="preserve"> </w:t>
      </w:r>
      <w:r>
        <w:rPr>
          <w:rFonts w:ascii="Book Antiqua" w:hAnsi="Book Antiqua"/>
          <w:b/>
          <w:bCs/>
          <w:color w:val="000000" w:themeColor="text1"/>
          <w:lang w:eastAsia="zh-CN" w:bidi="ar-EG"/>
          <w14:textFill>
            <w14:solidFill>
              <w14:schemeClr w14:val="tx1"/>
            </w14:solidFill>
          </w14:textFill>
        </w:rPr>
        <w:t>A</w:t>
      </w:r>
      <w:r>
        <w:rPr>
          <w:rFonts w:ascii="Book Antiqua" w:hAnsi="Book Antiqua"/>
          <w:b/>
          <w:bCs/>
          <w:color w:val="000000" w:themeColor="text1"/>
          <w:lang w:bidi="ar-EG"/>
          <w14:textFill>
            <w14:solidFill>
              <w14:schemeClr w14:val="tx1"/>
            </w14:solidFill>
          </w14:textFill>
        </w:rPr>
        <w:t>lpha-fetoprotein laboratory results in the three subgroups</w:t>
      </w:r>
    </w:p>
    <w:tbl>
      <w:tblPr>
        <w:tblStyle w:val="7"/>
        <w:tblW w:w="5379" w:type="pct"/>
        <w:tblInd w:w="-709"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985"/>
        <w:gridCol w:w="1843"/>
        <w:gridCol w:w="2692"/>
        <w:gridCol w:w="1414"/>
        <w:gridCol w:w="856"/>
        <w:gridCol w:w="127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691" w:hRule="atLeast"/>
        </w:trPr>
        <w:tc>
          <w:tcPr>
            <w:tcW w:w="986"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Variable</w:t>
            </w:r>
          </w:p>
        </w:tc>
        <w:tc>
          <w:tcPr>
            <w:tcW w:w="915" w:type="pct"/>
            <w:tcBorders>
              <w:top w:val="single" w:color="auto" w:sz="4" w:space="0"/>
              <w:bottom w:val="single" w:color="auto" w:sz="4" w:space="0"/>
            </w:tcBorders>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HCC</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w:t>
            </w:r>
            <w:r>
              <w:rPr>
                <w:rFonts w:ascii="Book Antiqua" w:hAnsi="Book Antiqua"/>
                <w:b/>
                <w:bCs/>
                <w:i/>
                <w:color w:val="000000" w:themeColor="text1"/>
                <w:lang w:eastAsia="zh-CN" w:bidi="ar-EG"/>
                <w14:textFill>
                  <w14:solidFill>
                    <w14:schemeClr w14:val="tx1"/>
                  </w14:solidFill>
                </w14:textFill>
              </w:rPr>
              <w:t>n</w:t>
            </w:r>
            <w:r>
              <w:rPr>
                <w:rFonts w:ascii="Book Antiqua" w:hAnsi="Book Antiqua"/>
                <w:b/>
                <w:bCs/>
                <w:color w:val="000000" w:themeColor="text1"/>
                <w:lang w:bidi="ar-EG"/>
                <w14:textFill>
                  <w14:solidFill>
                    <w14:schemeClr w14:val="tx1"/>
                  </w14:solidFill>
                </w14:textFill>
              </w:rPr>
              <w:t xml:space="preserve"> = 34)</w:t>
            </w:r>
            <w:r>
              <w:rPr>
                <w:rFonts w:ascii="Book Antiqua" w:hAnsi="Book Antiqua"/>
                <w:b/>
                <w:bCs/>
                <w:color w:val="000000" w:themeColor="text1"/>
                <w:lang w:eastAsia="zh-CN" w:bidi="ar-EG"/>
                <w14:textFill>
                  <w14:solidFill>
                    <w14:schemeClr w14:val="tx1"/>
                  </w14:solidFill>
                </w14:textFill>
              </w:rPr>
              <w:t>, m</w:t>
            </w:r>
            <w:r>
              <w:rPr>
                <w:rFonts w:ascii="Book Antiqua" w:hAnsi="Book Antiqua"/>
                <w:b/>
                <w:bCs/>
                <w:color w:val="000000" w:themeColor="text1"/>
                <w:lang w:bidi="ar-EG"/>
                <w14:textFill>
                  <w14:solidFill>
                    <w14:schemeClr w14:val="tx1"/>
                  </w14:solidFill>
                </w14:textFill>
              </w:rPr>
              <w:t>edian</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IQR</w:t>
            </w:r>
            <w:r>
              <w:rPr>
                <w:rFonts w:ascii="Book Antiqua" w:hAnsi="Book Antiqua"/>
                <w:b/>
                <w:bCs/>
                <w:color w:val="000000" w:themeColor="text1"/>
                <w:lang w:eastAsia="zh-CN" w:bidi="ar-EG"/>
                <w14:textFill>
                  <w14:solidFill>
                    <w14:schemeClr w14:val="tx1"/>
                  </w14:solidFill>
                </w14:textFill>
              </w:rPr>
              <w:t>)</w:t>
            </w:r>
          </w:p>
        </w:tc>
        <w:tc>
          <w:tcPr>
            <w:tcW w:w="1337" w:type="pct"/>
            <w:tcBorders>
              <w:top w:val="single" w:color="auto" w:sz="4" w:space="0"/>
              <w:bottom w:val="single" w:color="auto" w:sz="4" w:space="0"/>
            </w:tcBorders>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 xml:space="preserve"> Chronic</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liver disease</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w:t>
            </w:r>
            <w:r>
              <w:rPr>
                <w:rFonts w:ascii="Book Antiqua" w:hAnsi="Book Antiqua"/>
                <w:b/>
                <w:bCs/>
                <w:i/>
                <w:color w:val="000000" w:themeColor="text1"/>
                <w:lang w:eastAsia="zh-CN" w:bidi="ar-EG"/>
                <w14:textFill>
                  <w14:solidFill>
                    <w14:schemeClr w14:val="tx1"/>
                  </w14:solidFill>
                </w14:textFill>
              </w:rPr>
              <w:t xml:space="preserve">n </w:t>
            </w:r>
            <w:r>
              <w:rPr>
                <w:rFonts w:ascii="Book Antiqua" w:hAnsi="Book Antiqua"/>
                <w:b/>
                <w:bCs/>
                <w:color w:val="000000" w:themeColor="text1"/>
                <w:lang w:bidi="ar-EG"/>
                <w14:textFill>
                  <w14:solidFill>
                    <w14:schemeClr w14:val="tx1"/>
                  </w14:solidFill>
                </w14:textFill>
              </w:rPr>
              <w:t>=</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11)</w:t>
            </w:r>
            <w:r>
              <w:rPr>
                <w:rFonts w:ascii="Book Antiqua" w:hAnsi="Book Antiqua"/>
                <w:b/>
                <w:bCs/>
                <w:color w:val="000000" w:themeColor="text1"/>
                <w:lang w:eastAsia="zh-CN" w:bidi="ar-EG"/>
                <w14:textFill>
                  <w14:solidFill>
                    <w14:schemeClr w14:val="tx1"/>
                  </w14:solidFill>
                </w14:textFill>
              </w:rPr>
              <w:t>, m</w:t>
            </w:r>
            <w:r>
              <w:rPr>
                <w:rFonts w:ascii="Book Antiqua" w:hAnsi="Book Antiqua"/>
                <w:b/>
                <w:bCs/>
                <w:color w:val="000000" w:themeColor="text1"/>
                <w:lang w:bidi="ar-EG"/>
                <w14:textFill>
                  <w14:solidFill>
                    <w14:schemeClr w14:val="tx1"/>
                  </w14:solidFill>
                </w14:textFill>
              </w:rPr>
              <w:t>edian</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IQR</w:t>
            </w:r>
            <w:r>
              <w:rPr>
                <w:rFonts w:ascii="Book Antiqua" w:hAnsi="Book Antiqua"/>
                <w:b/>
                <w:bCs/>
                <w:color w:val="000000" w:themeColor="text1"/>
                <w:lang w:eastAsia="zh-CN" w:bidi="ar-EG"/>
                <w14:textFill>
                  <w14:solidFill>
                    <w14:schemeClr w14:val="tx1"/>
                  </w14:solidFill>
                </w14:textFill>
              </w:rPr>
              <w:t>)</w:t>
            </w:r>
          </w:p>
        </w:tc>
        <w:tc>
          <w:tcPr>
            <w:tcW w:w="702"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Control</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w:t>
            </w:r>
            <w:r>
              <w:rPr>
                <w:rFonts w:ascii="Book Antiqua" w:hAnsi="Book Antiqua"/>
                <w:b/>
                <w:bCs/>
                <w:i/>
                <w:color w:val="000000" w:themeColor="text1"/>
                <w:lang w:eastAsia="zh-CN" w:bidi="ar-EG"/>
                <w14:textFill>
                  <w14:solidFill>
                    <w14:schemeClr w14:val="tx1"/>
                  </w14:solidFill>
                </w14:textFill>
              </w:rPr>
              <w:t>n</w:t>
            </w:r>
            <w:r>
              <w:rPr>
                <w:rFonts w:ascii="Book Antiqua" w:hAnsi="Book Antiqua"/>
                <w:b/>
                <w:bCs/>
                <w:color w:val="000000" w:themeColor="text1"/>
                <w:lang w:bidi="ar-EG"/>
                <w14:textFill>
                  <w14:solidFill>
                    <w14:schemeClr w14:val="tx1"/>
                  </w14:solidFill>
                </w14:textFill>
              </w:rPr>
              <w:t xml:space="preserve"> =</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5)</w:t>
            </w:r>
            <w:r>
              <w:rPr>
                <w:rFonts w:ascii="Book Antiqua" w:hAnsi="Book Antiqua"/>
                <w:b/>
                <w:bCs/>
                <w:color w:val="000000" w:themeColor="text1"/>
                <w:lang w:eastAsia="zh-CN" w:bidi="ar-EG"/>
                <w14:textFill>
                  <w14:solidFill>
                    <w14:schemeClr w14:val="tx1"/>
                  </w14:solidFill>
                </w14:textFill>
              </w:rPr>
              <w:t>, m</w:t>
            </w:r>
            <w:r>
              <w:rPr>
                <w:rFonts w:ascii="Book Antiqua" w:hAnsi="Book Antiqua"/>
                <w:b/>
                <w:bCs/>
                <w:color w:val="000000" w:themeColor="text1"/>
                <w:lang w:bidi="ar-EG"/>
                <w14:textFill>
                  <w14:solidFill>
                    <w14:schemeClr w14:val="tx1"/>
                  </w14:solidFill>
                </w14:textFill>
              </w:rPr>
              <w:t>edian</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IQR</w:t>
            </w:r>
            <w:r>
              <w:rPr>
                <w:rFonts w:ascii="Book Antiqua" w:hAnsi="Book Antiqua"/>
                <w:b/>
                <w:bCs/>
                <w:color w:val="000000" w:themeColor="text1"/>
                <w:lang w:eastAsia="zh-CN" w:bidi="ar-EG"/>
                <w14:textFill>
                  <w14:solidFill>
                    <w14:schemeClr w14:val="tx1"/>
                  </w14:solidFill>
                </w14:textFill>
              </w:rPr>
              <w:t>)</w:t>
            </w:r>
          </w:p>
        </w:tc>
        <w:tc>
          <w:tcPr>
            <w:tcW w:w="425" w:type="pct"/>
            <w:tcBorders>
              <w:top w:val="single" w:color="auto" w:sz="4" w:space="0"/>
              <w:bottom w:val="single" w:color="auto" w:sz="4" w:space="0"/>
            </w:tcBorders>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p>
        </w:tc>
        <w:tc>
          <w:tcPr>
            <w:tcW w:w="635" w:type="pct"/>
            <w:tcBorders>
              <w:top w:val="single" w:color="auto" w:sz="4" w:space="0"/>
              <w:bottom w:val="single" w:color="auto" w:sz="4" w:space="0"/>
            </w:tcBorders>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
                <w:i/>
                <w:color w:val="000000" w:themeColor="text1"/>
                <w14:textFill>
                  <w14:solidFill>
                    <w14:schemeClr w14:val="tx1"/>
                  </w14:solidFill>
                </w14:textFill>
              </w:rPr>
              <w:t>P</w:t>
            </w:r>
            <w:r>
              <w:rPr>
                <w:rFonts w:ascii="Book Antiqua" w:hAnsi="Book Antiqua"/>
                <w:b/>
                <w:bCs/>
                <w:color w:val="000000" w:themeColor="text1"/>
                <w:lang w:eastAsia="zh-CN" w:bidi="ar-EG"/>
                <w14:textFill>
                  <w14:solidFill>
                    <w14:schemeClr w14:val="tx1"/>
                  </w14:solidFill>
                </w14:textFill>
              </w:rPr>
              <w:t xml:space="preserve"> </w:t>
            </w:r>
            <w:r>
              <w:rPr>
                <w:rFonts w:ascii="Book Antiqua" w:hAnsi="Book Antiqua"/>
                <w:b/>
                <w:bCs/>
                <w:color w:val="000000" w:themeColor="text1"/>
                <w:lang w:bidi="ar-EG"/>
                <w14:textFill>
                  <w14:solidFill>
                    <w14:schemeClr w14:val="tx1"/>
                  </w14:solidFill>
                </w14:textFill>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0" w:type="dxa"/>
            <w:bottom w:w="0" w:type="dxa"/>
            <w:right w:w="0" w:type="dxa"/>
          </w:tblCellMar>
        </w:tblPrEx>
        <w:trPr>
          <w:cantSplit/>
          <w:trHeight w:val="691" w:hRule="atLeast"/>
        </w:trPr>
        <w:tc>
          <w:tcPr>
            <w:tcW w:w="986" w:type="pct"/>
            <w:tcBorders>
              <w:top w:val="single" w:color="auto" w:sz="4" w:space="0"/>
            </w:tcBorders>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bookmarkStart w:id="29" w:name="_Hlk43650307"/>
            <w:r>
              <w:rPr>
                <w:rFonts w:ascii="Book Antiqua" w:hAnsi="Book Antiqua"/>
                <w:bCs/>
                <w:color w:val="000000" w:themeColor="text1"/>
                <w:lang w:bidi="ar-EG"/>
                <w14:textFill>
                  <w14:solidFill>
                    <w14:schemeClr w14:val="tx1"/>
                  </w14:solidFill>
                </w14:textFill>
              </w:rPr>
              <w:t>AFP</w:t>
            </w:r>
            <w:r>
              <w:rPr>
                <w:rFonts w:hint="eastAsia" w:ascii="Book Antiqua" w:hAnsi="Book Antiqua"/>
                <w:bCs/>
                <w:color w:val="000000" w:themeColor="text1"/>
                <w:vertAlign w:val="superscript"/>
                <w:lang w:eastAsia="zh-CN" w:bidi="ar-EG"/>
                <w14:textFill>
                  <w14:solidFill>
                    <w14:schemeClr w14:val="tx1"/>
                  </w14:solidFill>
                </w14:textFill>
              </w:rPr>
              <w:t>1</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(ng/mL)</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by ELISA</w:t>
            </w:r>
          </w:p>
        </w:tc>
        <w:tc>
          <w:tcPr>
            <w:tcW w:w="915" w:type="pct"/>
            <w:tcBorders>
              <w:top w:val="single" w:color="auto" w:sz="4" w:space="0"/>
            </w:tcBorders>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62.60</w:t>
            </w:r>
            <w:r>
              <w:rPr>
                <w:rFonts w:ascii="Book Antiqua" w:hAnsi="Book Antiqua"/>
                <w:bCs/>
                <w:color w:val="000000" w:themeColor="text1"/>
                <w:vertAlign w:val="superscript"/>
                <w:lang w:bidi="ar-EG"/>
                <w14:textFill>
                  <w14:solidFill>
                    <w14:schemeClr w14:val="tx1"/>
                  </w14:solidFill>
                </w14:textFill>
              </w:rPr>
              <w:t>a</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8.20–600.80</w:t>
            </w:r>
            <w:r>
              <w:rPr>
                <w:rFonts w:ascii="Book Antiqua" w:hAnsi="Book Antiqua"/>
                <w:bCs/>
                <w:color w:val="000000" w:themeColor="text1"/>
                <w:lang w:eastAsia="zh-CN" w:bidi="ar-EG"/>
                <w14:textFill>
                  <w14:solidFill>
                    <w14:schemeClr w14:val="tx1"/>
                  </w14:solidFill>
                </w14:textFill>
              </w:rPr>
              <w:t>)</w:t>
            </w:r>
          </w:p>
        </w:tc>
        <w:tc>
          <w:tcPr>
            <w:tcW w:w="1337" w:type="pct"/>
            <w:tcBorders>
              <w:top w:val="single" w:color="auto" w:sz="4" w:space="0"/>
            </w:tcBorders>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3.50</w:t>
            </w:r>
            <w:r>
              <w:rPr>
                <w:rFonts w:ascii="Book Antiqua" w:hAnsi="Book Antiqua"/>
                <w:bCs/>
                <w:color w:val="000000" w:themeColor="text1"/>
                <w:vertAlign w:val="superscript"/>
                <w:lang w:bidi="ar-EG"/>
                <w14:textFill>
                  <w14:solidFill>
                    <w14:schemeClr w14:val="tx1"/>
                  </w14:solidFill>
                </w14:textFill>
              </w:rPr>
              <w:t>b</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2.50–20.00</w:t>
            </w:r>
            <w:r>
              <w:rPr>
                <w:rFonts w:ascii="Book Antiqua" w:hAnsi="Book Antiqua"/>
                <w:bCs/>
                <w:color w:val="000000" w:themeColor="text1"/>
                <w:lang w:eastAsia="zh-CN" w:bidi="ar-EG"/>
                <w14:textFill>
                  <w14:solidFill>
                    <w14:schemeClr w14:val="tx1"/>
                  </w14:solidFill>
                </w14:textFill>
              </w:rPr>
              <w:t>)</w:t>
            </w:r>
          </w:p>
        </w:tc>
        <w:tc>
          <w:tcPr>
            <w:tcW w:w="702" w:type="pct"/>
            <w:tcBorders>
              <w:top w:val="single" w:color="auto" w:sz="4" w:space="0"/>
            </w:tcBorders>
            <w:shd w:val="clear" w:color="auto" w:fill="auto"/>
          </w:tcPr>
          <w:p>
            <w:pPr>
              <w:spacing w:line="360" w:lineRule="auto"/>
              <w:jc w:val="both"/>
              <w:rPr>
                <w:rFonts w:ascii="Book Antiqua" w:hAnsi="Book Antiqua"/>
                <w:bCs/>
                <w:color w:val="000000" w:themeColor="text1"/>
                <w:vertAlign w:val="superscript"/>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0.70</w:t>
            </w:r>
            <w:r>
              <w:rPr>
                <w:rFonts w:ascii="Book Antiqua" w:hAnsi="Book Antiqua"/>
                <w:bCs/>
                <w:color w:val="000000" w:themeColor="text1"/>
                <w:vertAlign w:val="superscript"/>
                <w:lang w:bidi="ar-EG"/>
                <w14:textFill>
                  <w14:solidFill>
                    <w14:schemeClr w14:val="tx1"/>
                  </w14:solidFill>
                </w14:textFill>
              </w:rPr>
              <w:t>c</w:t>
            </w:r>
            <w:r>
              <w:rPr>
                <w:rFonts w:ascii="Book Antiqua" w:hAnsi="Book Antiqua"/>
                <w:bCs/>
                <w:color w:val="000000" w:themeColor="text1"/>
                <w:vertAlign w:val="superscript"/>
                <w:lang w:eastAsia="zh-CN"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0.50–1.00</w:t>
            </w:r>
            <w:r>
              <w:rPr>
                <w:rFonts w:ascii="Book Antiqua" w:hAnsi="Book Antiqua"/>
                <w:bCs/>
                <w:color w:val="000000" w:themeColor="text1"/>
                <w:lang w:eastAsia="zh-CN" w:bidi="ar-EG"/>
                <w14:textFill>
                  <w14:solidFill>
                    <w14:schemeClr w14:val="tx1"/>
                  </w14:solidFill>
                </w14:textFill>
              </w:rPr>
              <w:t>)</w:t>
            </w:r>
          </w:p>
        </w:tc>
        <w:tc>
          <w:tcPr>
            <w:tcW w:w="425" w:type="pct"/>
            <w:tcBorders>
              <w:top w:val="single" w:color="auto" w:sz="4" w:space="0"/>
            </w:tcBorders>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19.17</w:t>
            </w:r>
          </w:p>
        </w:tc>
        <w:tc>
          <w:tcPr>
            <w:tcW w:w="635" w:type="pct"/>
            <w:tcBorders>
              <w:top w:val="single" w:color="auto" w:sz="4" w:space="0"/>
            </w:tcBorders>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&lt;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0.001 HS</w:t>
            </w:r>
          </w:p>
        </w:tc>
      </w:tr>
      <w:bookmarkEnd w:id="29"/>
    </w:tbl>
    <w:p>
      <w:pPr>
        <w:spacing w:line="360" w:lineRule="auto"/>
        <w:jc w:val="both"/>
        <w:rPr>
          <w:rFonts w:ascii="Book Antiqua" w:hAnsi="Book Antiqua"/>
          <w:bCs/>
          <w:color w:val="000000" w:themeColor="text1"/>
          <w:vertAlign w:val="superscript"/>
          <w:lang w:eastAsia="zh-CN" w:bidi="ar-EG"/>
          <w14:textFill>
            <w14:solidFill>
              <w14:schemeClr w14:val="tx1"/>
            </w14:solidFill>
          </w14:textFill>
        </w:rPr>
      </w:pPr>
      <w:r>
        <w:rPr>
          <w:rFonts w:hint="eastAsia" w:ascii="Book Antiqua" w:hAnsi="Book Antiqua"/>
          <w:bCs/>
          <w:color w:val="000000" w:themeColor="text1"/>
          <w:vertAlign w:val="superscript"/>
          <w:lang w:eastAsia="zh-CN" w:bidi="ar-EG"/>
          <w14:textFill>
            <w14:solidFill>
              <w14:schemeClr w14:val="tx1"/>
            </w14:solidFill>
          </w14:textFill>
        </w:rPr>
        <w:t>1</w:t>
      </w:r>
      <w:r>
        <w:rPr>
          <w:rFonts w:ascii="Book Antiqua" w:hAnsi="Book Antiqua"/>
          <w:bCs/>
          <w:color w:val="000000" w:themeColor="text1"/>
          <w:lang w:bidi="ar-EG"/>
          <w14:textFill>
            <w14:solidFill>
              <w14:schemeClr w14:val="tx1"/>
            </w14:solidFill>
          </w14:textFill>
        </w:rPr>
        <w:t>Kruskal–Wallis test (median and interquartile range)</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vertAlign w:val="superscript"/>
          <w:lang w:eastAsia="zh-CN" w:bidi="ar-EG"/>
          <w14:textFill>
            <w14:solidFill>
              <w14:schemeClr w14:val="tx1"/>
            </w14:solidFill>
          </w14:textFill>
        </w:rPr>
        <w:t xml:space="preserve"> </w:t>
      </w:r>
    </w:p>
    <w:p>
      <w:pPr>
        <w:spacing w:line="360" w:lineRule="auto"/>
        <w:jc w:val="both"/>
        <w:rPr>
          <w:rFonts w:ascii="Book Antiqua" w:hAnsi="Book Antiqua"/>
          <w:bCs/>
          <w:color w:val="000000" w:themeColor="text1"/>
          <w:vertAlign w:val="superscript"/>
          <w:lang w:eastAsia="zh-CN" w:bidi="ar-EG"/>
          <w14:textFill>
            <w14:solidFill>
              <w14:schemeClr w14:val="tx1"/>
            </w14:solidFill>
          </w14:textFill>
        </w:rPr>
      </w:pPr>
      <w:r>
        <w:rPr>
          <w:rFonts w:ascii="Book Antiqua" w:hAnsi="Book Antiqua"/>
          <w:bCs/>
          <w:color w:val="000000" w:themeColor="text1"/>
          <w:vertAlign w:val="superscript"/>
          <w:lang w:eastAsia="zh-CN" w:bidi="ar-EG"/>
          <w14:textFill>
            <w14:solidFill>
              <w14:schemeClr w14:val="tx1"/>
            </w14:solidFill>
          </w14:textFill>
        </w:rPr>
        <w:t>a</w:t>
      </w:r>
      <w:r>
        <w:rPr>
          <w:rFonts w:ascii="Book Antiqua" w:hAnsi="Book Antiqua"/>
          <w:bCs/>
          <w:i/>
          <w:color w:val="000000" w:themeColor="text1"/>
          <w:lang w:eastAsia="zh-CN" w:bidi="ar-EG"/>
          <w14:textFill>
            <w14:solidFill>
              <w14:schemeClr w14:val="tx1"/>
            </w14:solidFill>
          </w14:textFill>
        </w:rPr>
        <w:t>P</w:t>
      </w:r>
      <w:r>
        <w:rPr>
          <w:rFonts w:ascii="Book Antiqua" w:hAnsi="Book Antiqua"/>
          <w:bCs/>
          <w:color w:val="000000" w:themeColor="text1"/>
          <w:lang w:eastAsia="zh-CN" w:bidi="ar-EG"/>
          <w14:textFill>
            <w14:solidFill>
              <w14:schemeClr w14:val="tx1"/>
            </w14:solidFill>
          </w14:textFill>
        </w:rPr>
        <w:t xml:space="preserve"> &lt; 0.05</w:t>
      </w:r>
      <w:r>
        <w:rPr>
          <w:rFonts w:hint="eastAsia"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vertAlign w:val="superscript"/>
          <w:lang w:eastAsia="zh-CN" w:bidi="ar-EG"/>
          <w14:textFill>
            <w14:solidFill>
              <w14:schemeClr w14:val="tx1"/>
            </w14:solidFill>
          </w14:textFill>
        </w:rPr>
        <w:t xml:space="preserve"> </w:t>
      </w:r>
    </w:p>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vertAlign w:val="superscript"/>
          <w:lang w:eastAsia="zh-CN" w:bidi="ar-EG"/>
          <w14:textFill>
            <w14:solidFill>
              <w14:schemeClr w14:val="tx1"/>
            </w14:solidFill>
          </w14:textFill>
        </w:rPr>
        <w:t>b</w:t>
      </w:r>
      <w:r>
        <w:rPr>
          <w:rFonts w:ascii="Book Antiqua" w:hAnsi="Book Antiqua"/>
          <w:bCs/>
          <w:i/>
          <w:color w:val="000000" w:themeColor="text1"/>
          <w:lang w:eastAsia="zh-CN" w:bidi="ar-EG"/>
          <w14:textFill>
            <w14:solidFill>
              <w14:schemeClr w14:val="tx1"/>
            </w14:solidFill>
          </w14:textFill>
        </w:rPr>
        <w:t>P</w:t>
      </w:r>
      <w:r>
        <w:rPr>
          <w:rFonts w:ascii="Book Antiqua" w:hAnsi="Book Antiqua"/>
          <w:bCs/>
          <w:color w:val="000000" w:themeColor="text1"/>
          <w:lang w:eastAsia="zh-CN" w:bidi="ar-EG"/>
          <w14:textFill>
            <w14:solidFill>
              <w14:schemeClr w14:val="tx1"/>
            </w14:solidFill>
          </w14:textFill>
        </w:rPr>
        <w:t xml:space="preserve"> &lt; 0.0</w:t>
      </w:r>
      <w:r>
        <w:rPr>
          <w:rFonts w:hint="eastAsia" w:ascii="Book Antiqua" w:hAnsi="Book Antiqua"/>
          <w:bCs/>
          <w:color w:val="000000" w:themeColor="text1"/>
          <w:lang w:eastAsia="zh-CN" w:bidi="ar-EG"/>
          <w14:textFill>
            <w14:solidFill>
              <w14:schemeClr w14:val="tx1"/>
            </w14:solidFill>
          </w14:textFill>
        </w:rPr>
        <w:t xml:space="preserve">1. </w:t>
      </w:r>
    </w:p>
    <w:p>
      <w:pPr>
        <w:spacing w:line="360" w:lineRule="auto"/>
        <w:jc w:val="both"/>
        <w:rPr>
          <w:rFonts w:ascii="Book Antiqua" w:hAnsi="Book Antiqua"/>
          <w:bCs/>
          <w:color w:val="000000" w:themeColor="text1"/>
          <w:lang w:eastAsia="zh-CN" w:bidi="ar-EG"/>
          <w14:textFill>
            <w14:solidFill>
              <w14:schemeClr w14:val="tx1"/>
            </w14:solidFill>
          </w14:textFill>
        </w:rPr>
      </w:pPr>
      <w:r>
        <w:rPr>
          <w:rFonts w:hint="eastAsia" w:ascii="Book Antiqua" w:hAnsi="Book Antiqua"/>
          <w:bCs/>
          <w:color w:val="000000" w:themeColor="text1"/>
          <w:vertAlign w:val="superscript"/>
          <w:lang w:eastAsia="zh-CN" w:bidi="ar-EG"/>
          <w14:textFill>
            <w14:solidFill>
              <w14:schemeClr w14:val="tx1"/>
            </w14:solidFill>
          </w14:textFill>
        </w:rPr>
        <w:t>c</w:t>
      </w:r>
      <w:r>
        <w:rPr>
          <w:rFonts w:ascii="Book Antiqua" w:hAnsi="Book Antiqua"/>
          <w:bCs/>
          <w:i/>
          <w:color w:val="000000" w:themeColor="text1"/>
          <w:lang w:eastAsia="zh-CN" w:bidi="ar-EG"/>
          <w14:textFill>
            <w14:solidFill>
              <w14:schemeClr w14:val="tx1"/>
            </w14:solidFill>
          </w14:textFill>
        </w:rPr>
        <w:t>P</w:t>
      </w:r>
      <w:r>
        <w:rPr>
          <w:rFonts w:ascii="Book Antiqua" w:hAnsi="Book Antiqua"/>
          <w:bCs/>
          <w:color w:val="000000" w:themeColor="text1"/>
          <w:lang w:eastAsia="zh-CN" w:bidi="ar-EG"/>
          <w14:textFill>
            <w14:solidFill>
              <w14:schemeClr w14:val="tx1"/>
            </w14:solidFill>
          </w14:textFill>
        </w:rPr>
        <w:t xml:space="preserve"> &lt; 0.0</w:t>
      </w:r>
      <w:r>
        <w:rPr>
          <w:rFonts w:hint="eastAsia" w:ascii="Book Antiqua" w:hAnsi="Book Antiqua"/>
          <w:bCs/>
          <w:color w:val="000000" w:themeColor="text1"/>
          <w:lang w:eastAsia="zh-CN" w:bidi="ar-EG"/>
          <w14:textFill>
            <w14:solidFill>
              <w14:schemeClr w14:val="tx1"/>
            </w14:solidFill>
          </w14:textFill>
        </w:rPr>
        <w:t>01</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p>
    <w:p>
      <w:pPr>
        <w:spacing w:line="360" w:lineRule="auto"/>
        <w:jc w:val="both"/>
        <w:rPr>
          <w:rFonts w:ascii="Book Antiqua" w:hAnsi="Book Antiqua"/>
          <w:bCs/>
          <w:color w:val="000000" w:themeColor="text1"/>
          <w:vertAlign w:val="superscript"/>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AFP</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A</w:t>
      </w:r>
      <w:r>
        <w:rPr>
          <w:rFonts w:ascii="Book Antiqua" w:hAnsi="Book Antiqua"/>
          <w:bCs/>
          <w:color w:val="000000" w:themeColor="text1"/>
          <w:lang w:bidi="ar-EG"/>
          <w14:textFill>
            <w14:solidFill>
              <w14:schemeClr w14:val="tx1"/>
            </w14:solidFill>
          </w14:textFill>
        </w:rPr>
        <w:t>lpha-fetoprotein; ELISA</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E</w:t>
      </w:r>
      <w:r>
        <w:rPr>
          <w:rFonts w:ascii="Book Antiqua" w:hAnsi="Book Antiqua"/>
          <w:bCs/>
          <w:color w:val="000000" w:themeColor="text1"/>
          <w:lang w:bidi="ar-EG"/>
          <w14:textFill>
            <w14:solidFill>
              <w14:schemeClr w14:val="tx1"/>
            </w14:solidFill>
          </w14:textFill>
        </w:rPr>
        <w:t>nzyme-linked immunosorbent assay; HCC</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H</w:t>
      </w:r>
      <w:r>
        <w:rPr>
          <w:rFonts w:ascii="Book Antiqua" w:hAnsi="Book Antiqua"/>
          <w:bCs/>
          <w:color w:val="000000" w:themeColor="text1"/>
          <w:lang w:bidi="ar-EG"/>
          <w14:textFill>
            <w14:solidFill>
              <w14:schemeClr w14:val="tx1"/>
            </w14:solidFill>
          </w14:textFill>
        </w:rPr>
        <w:t>epatocellular carcinoma; HS</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H</w:t>
      </w:r>
      <w:r>
        <w:rPr>
          <w:rFonts w:ascii="Book Antiqua" w:hAnsi="Book Antiqua"/>
          <w:bCs/>
          <w:color w:val="000000" w:themeColor="text1"/>
          <w:lang w:bidi="ar-EG"/>
          <w14:textFill>
            <w14:solidFill>
              <w14:schemeClr w14:val="tx1"/>
            </w14:solidFill>
          </w14:textFill>
        </w:rPr>
        <w:t>ighly significant; IQR</w:t>
      </w:r>
      <w:r>
        <w:rPr>
          <w:rFonts w:ascii="Book Antiqua" w:hAnsi="Book Antiqua"/>
          <w:bCs/>
          <w:color w:val="000000" w:themeColor="text1"/>
          <w:lang w:eastAsia="zh-CN" w:bidi="ar-EG"/>
          <w14:textFill>
            <w14:solidFill>
              <w14:schemeClr w14:val="tx1"/>
            </w14:solidFill>
          </w14:textFill>
        </w:rPr>
        <w:t>:</w:t>
      </w:r>
      <w:r>
        <w:rPr>
          <w:rFonts w:ascii="Book Antiqua" w:hAnsi="Book Antiqua"/>
          <w:bCs/>
          <w:color w:val="000000" w:themeColor="text1"/>
          <w:lang w:bidi="ar-EG"/>
          <w14:textFill>
            <w14:solidFill>
              <w14:schemeClr w14:val="tx1"/>
            </w14:solidFill>
          </w14:textFill>
        </w:rPr>
        <w:t xml:space="preserve"> </w:t>
      </w:r>
      <w:r>
        <w:rPr>
          <w:rFonts w:ascii="Book Antiqua" w:hAnsi="Book Antiqua"/>
          <w:bCs/>
          <w:color w:val="000000" w:themeColor="text1"/>
          <w:lang w:eastAsia="zh-CN" w:bidi="ar-EG"/>
          <w14:textFill>
            <w14:solidFill>
              <w14:schemeClr w14:val="tx1"/>
            </w14:solidFill>
          </w14:textFill>
        </w:rPr>
        <w:t>I</w:t>
      </w:r>
      <w:r>
        <w:rPr>
          <w:rFonts w:ascii="Book Antiqua" w:hAnsi="Book Antiqua"/>
          <w:bCs/>
          <w:color w:val="000000" w:themeColor="text1"/>
          <w:lang w:bidi="ar-EG"/>
          <w14:textFill>
            <w14:solidFill>
              <w14:schemeClr w14:val="tx1"/>
            </w14:solidFill>
          </w14:textFill>
        </w:rPr>
        <w:t>nterquartile range.</w:t>
      </w:r>
    </w:p>
    <w:p>
      <w:pPr>
        <w:spacing w:line="360" w:lineRule="auto"/>
        <w:jc w:val="both"/>
        <w:rPr>
          <w:rFonts w:ascii="Book Antiqua" w:hAnsi="Book Antiqua"/>
          <w:b/>
          <w:bCs/>
          <w:color w:val="000000" w:themeColor="text1"/>
          <w:u w:val="single"/>
          <w:lang w:bidi="ar-EG"/>
          <w14:textFill>
            <w14:solidFill>
              <w14:schemeClr w14:val="tx1"/>
            </w14:solidFill>
          </w14:textFill>
        </w:rPr>
      </w:pPr>
      <w:bookmarkStart w:id="30" w:name="_Toc51106809"/>
      <w:r>
        <w:rPr>
          <w:rFonts w:ascii="Book Antiqua" w:hAnsi="Book Antiqua"/>
          <w:b/>
          <w:bCs/>
          <w:color w:val="000000" w:themeColor="text1"/>
          <w14:textFill>
            <w14:solidFill>
              <w14:schemeClr w14:val="tx1"/>
            </w14:solidFill>
          </w14:textFill>
        </w:rPr>
        <w:br w:type="page"/>
      </w:r>
      <w:r>
        <w:rPr>
          <w:rFonts w:ascii="Book Antiqua" w:hAnsi="Book Antiqua"/>
          <w:b/>
          <w:bCs/>
          <w:color w:val="000000" w:themeColor="text1"/>
          <w14:textFill>
            <w14:solidFill>
              <w14:schemeClr w14:val="tx1"/>
            </w14:solidFill>
          </w14:textFill>
        </w:rPr>
        <w:t xml:space="preserve">Table </w:t>
      </w:r>
      <w:r>
        <w:rPr>
          <w:rFonts w:ascii="Book Antiqua" w:hAnsi="Book Antiqua"/>
          <w:b/>
          <w:bCs/>
          <w:color w:val="000000" w:themeColor="text1"/>
          <w:lang w:eastAsia="zh-CN"/>
          <w14:textFill>
            <w14:solidFill>
              <w14:schemeClr w14:val="tx1"/>
            </w14:solidFill>
          </w14:textFill>
        </w:rPr>
        <w:t>6</w:t>
      </w:r>
      <w:r>
        <w:rPr>
          <w:rFonts w:ascii="Book Antiqua" w:hAnsi="Book Antiqua"/>
          <w:b/>
          <w:bCs/>
          <w:color w:val="000000" w:themeColor="text1"/>
          <w14:textFill>
            <w14:solidFill>
              <w14:schemeClr w14:val="tx1"/>
            </w14:solidFill>
          </w14:textFill>
        </w:rPr>
        <w:t xml:space="preserve"> Clinical and </w:t>
      </w:r>
      <w:r>
        <w:rPr>
          <w:rFonts w:ascii="Book Antiqua" w:hAnsi="Book Antiqua"/>
          <w:b/>
          <w:bCs/>
          <w:color w:val="000000" w:themeColor="text1"/>
          <w:lang w:bidi="ar-EG"/>
          <w14:textFill>
            <w14:solidFill>
              <w14:schemeClr w14:val="tx1"/>
            </w14:solidFill>
          </w14:textFill>
        </w:rPr>
        <w:t xml:space="preserve">radiological characteristics of </w:t>
      </w:r>
      <w:r>
        <w:rPr>
          <w:rFonts w:ascii="Book Antiqua" w:hAnsi="Book Antiqua" w:eastAsia="Book Antiqua" w:cs="Book Antiqua"/>
          <w:b/>
          <w:color w:val="000000" w:themeColor="text1"/>
          <w14:textFill>
            <w14:solidFill>
              <w14:schemeClr w14:val="tx1"/>
            </w14:solidFill>
          </w14:textFill>
        </w:rPr>
        <w:t>hepatocellular carcinoma</w:t>
      </w:r>
      <w:r>
        <w:rPr>
          <w:rFonts w:ascii="Book Antiqua" w:hAnsi="Book Antiqua"/>
          <w:b/>
          <w:bCs/>
          <w:color w:val="000000" w:themeColor="text1"/>
          <w:lang w:bidi="ar-EG"/>
          <w14:textFill>
            <w14:solidFill>
              <w14:schemeClr w14:val="tx1"/>
            </w14:solidFill>
          </w14:textFill>
        </w:rPr>
        <w:t xml:space="preserve"> lesions. </w:t>
      </w:r>
      <w:bookmarkEnd w:id="30"/>
    </w:p>
    <w:tbl>
      <w:tblPr>
        <w:tblStyle w:val="7"/>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57" w:type="dxa"/>
          <w:bottom w:w="0" w:type="dxa"/>
          <w:right w:w="57" w:type="dxa"/>
        </w:tblCellMar>
      </w:tblPr>
      <w:tblGrid>
        <w:gridCol w:w="2446"/>
        <w:gridCol w:w="4413"/>
        <w:gridCol w:w="261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trPr>
        <w:tc>
          <w:tcPr>
            <w:tcW w:w="3620" w:type="pct"/>
            <w:gridSpan w:val="2"/>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bidi="ar-EG"/>
                <w14:textFill>
                  <w14:solidFill>
                    <w14:schemeClr w14:val="tx1"/>
                  </w14:solidFill>
                </w14:textFill>
              </w:rPr>
            </w:pPr>
            <w:r>
              <w:rPr>
                <w:rFonts w:ascii="Book Antiqua" w:hAnsi="Book Antiqua"/>
                <w:b/>
                <w:bCs/>
                <w:color w:val="000000" w:themeColor="text1"/>
                <w:lang w:bidi="ar-EG"/>
                <w14:textFill>
                  <w14:solidFill>
                    <w14:schemeClr w14:val="tx1"/>
                  </w14:solidFill>
                </w14:textFill>
              </w:rPr>
              <w:t>Variable</w:t>
            </w:r>
          </w:p>
        </w:tc>
        <w:tc>
          <w:tcPr>
            <w:tcW w:w="1380" w:type="pct"/>
            <w:tcBorders>
              <w:top w:val="single" w:color="auto" w:sz="4" w:space="0"/>
              <w:bottom w:val="single" w:color="auto" w:sz="4" w:space="0"/>
            </w:tcBorders>
            <w:shd w:val="clear" w:color="auto" w:fill="auto"/>
          </w:tcPr>
          <w:p>
            <w:pPr>
              <w:spacing w:line="360" w:lineRule="auto"/>
              <w:jc w:val="both"/>
              <w:rPr>
                <w:rFonts w:ascii="Book Antiqua" w:hAnsi="Book Antiqua"/>
                <w:b/>
                <w:bCs/>
                <w:color w:val="000000" w:themeColor="text1"/>
                <w:lang w:eastAsia="zh-CN" w:bidi="ar-EG"/>
                <w14:textFill>
                  <w14:solidFill>
                    <w14:schemeClr w14:val="tx1"/>
                  </w14:solidFill>
                </w14:textFill>
              </w:rPr>
            </w:pPr>
            <w:r>
              <w:rPr>
                <w:rFonts w:ascii="Book Antiqua" w:hAnsi="Book Antiqua"/>
                <w:b/>
                <w:bCs/>
                <w:color w:val="000000" w:themeColor="text1"/>
                <w:highlight w:val="yellow"/>
                <w:lang w:bidi="ar-EG"/>
                <w14:textFill>
                  <w14:solidFill>
                    <w14:schemeClr w14:val="tx1"/>
                  </w14:solidFill>
                </w14:textFill>
              </w:rPr>
              <w:t>m</w:t>
            </w:r>
            <w:r>
              <w:rPr>
                <w:rFonts w:ascii="Book Antiqua" w:hAnsi="Book Antiqua"/>
                <w:b/>
                <w:bCs/>
                <w:color w:val="000000" w:themeColor="text1"/>
                <w:lang w:bidi="ar-EG"/>
                <w14:textFill>
                  <w14:solidFill>
                    <w14:schemeClr w14:val="tx1"/>
                  </w14:solidFill>
                </w14:textFill>
              </w:rPr>
              <w:t>ean</w:t>
            </w:r>
            <w:r>
              <w:rPr>
                <w:rFonts w:ascii="Book Antiqua" w:hAnsi="Book Antiqua"/>
                <w:b/>
                <w:bCs/>
                <w:color w:val="000000" w:themeColor="text1"/>
                <w:lang w:eastAsia="zh-CN" w:bidi="ar-EG"/>
                <w14:textFill>
                  <w14:solidFill>
                    <w14:schemeClr w14:val="tx1"/>
                  </w14:solidFill>
                </w14:textFill>
              </w:rPr>
              <w:t xml:space="preserve"> ± </w:t>
            </w:r>
            <w:r>
              <w:rPr>
                <w:rFonts w:ascii="Book Antiqua" w:hAnsi="Book Antiqua"/>
                <w:b/>
                <w:bCs/>
                <w:color w:val="000000" w:themeColor="text1"/>
                <w:lang w:bidi="ar-EG"/>
                <w14:textFill>
                  <w14:solidFill>
                    <w14:schemeClr w14:val="tx1"/>
                  </w14:solidFill>
                </w14:textFill>
              </w:rPr>
              <w:t>SD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trPr>
        <w:tc>
          <w:tcPr>
            <w:tcW w:w="3620" w:type="pct"/>
            <w:gridSpan w:val="2"/>
            <w:tcBorders>
              <w:top w:val="single" w:color="auto" w:sz="4" w:space="0"/>
              <w:bottom w:val="nil"/>
            </w:tcBorders>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Child–Pugh score</w:t>
            </w:r>
          </w:p>
        </w:tc>
        <w:tc>
          <w:tcPr>
            <w:tcW w:w="1380" w:type="pct"/>
            <w:tcBorders>
              <w:top w:val="single" w:color="auto" w:sz="4" w:space="0"/>
              <w:bottom w:val="nil"/>
            </w:tcBorders>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6.76</w:t>
            </w:r>
            <w:r>
              <w:rPr>
                <w:rFonts w:ascii="Book Antiqua" w:hAnsi="Book Antiqua"/>
                <w:bCs/>
                <w:color w:val="000000" w:themeColor="text1"/>
                <w:lang w:eastAsia="zh-CN" w:bidi="ar-EG"/>
                <w14:textFill>
                  <w14:solidFill>
                    <w14:schemeClr w14:val="tx1"/>
                  </w14:solidFill>
                </w14:textFill>
              </w:rPr>
              <w:t xml:space="preserve"> ± </w:t>
            </w:r>
            <w:r>
              <w:rPr>
                <w:rFonts w:ascii="Book Antiqua" w:hAnsi="Book Antiqua"/>
                <w:bCs/>
                <w:color w:val="000000" w:themeColor="text1"/>
                <w:lang w:bidi="ar-EG"/>
                <w14:textFill>
                  <w14:solidFill>
                    <w14:schemeClr w14:val="tx1"/>
                  </w14:solidFill>
                </w14:textFill>
              </w:rPr>
              <w:t>1.44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trPr>
        <w:tc>
          <w:tcPr>
            <w:tcW w:w="3620" w:type="pct"/>
            <w:gridSpan w:val="2"/>
            <w:tcBorders>
              <w:top w:val="nil"/>
            </w:tcBorders>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p>
        </w:tc>
        <w:tc>
          <w:tcPr>
            <w:tcW w:w="1380" w:type="pct"/>
            <w:tcBorders>
              <w:top w:val="nil"/>
            </w:tcBorders>
            <w:shd w:val="clear" w:color="auto" w:fill="auto"/>
          </w:tcPr>
          <w:p>
            <w:pPr>
              <w:spacing w:line="360" w:lineRule="auto"/>
              <w:jc w:val="both"/>
              <w:rPr>
                <w:rFonts w:ascii="Book Antiqua" w:hAnsi="Book Antiqua"/>
                <w:b/>
                <w:bCs/>
                <w:color w:val="000000" w:themeColor="text1"/>
                <w:lang w:eastAsia="zh-CN" w:bidi="ar-EG"/>
                <w14:textFill>
                  <w14:solidFill>
                    <w14:schemeClr w14:val="tx1"/>
                  </w14:solidFill>
                </w14:textFill>
              </w:rPr>
            </w:pPr>
            <w:r>
              <w:rPr>
                <w:rFonts w:ascii="Book Antiqua" w:hAnsi="Book Antiqua"/>
                <w:b/>
                <w:bCs/>
                <w:i/>
                <w:color w:val="000000" w:themeColor="text1"/>
                <w:lang w:eastAsia="zh-CN" w:bidi="ar-EG"/>
                <w14:textFill>
                  <w14:solidFill>
                    <w14:schemeClr w14:val="tx1"/>
                  </w14:solidFill>
                </w14:textFill>
              </w:rPr>
              <w:t>n</w:t>
            </w:r>
            <w:r>
              <w:rPr>
                <w:rFonts w:ascii="Book Antiqua" w:hAnsi="Book Antiqua"/>
                <w:b/>
                <w:bCs/>
                <w:color w:val="000000" w:themeColor="text1"/>
                <w:lang w:eastAsia="zh-CN" w:bidi="ar-EG"/>
                <w14:textFill>
                  <w14:solidFill>
                    <w14:schemeClr w14:val="tx1"/>
                  </w14:solidFill>
                </w14:textFill>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trPr>
        <w:tc>
          <w:tcPr>
            <w:tcW w:w="1291" w:type="pct"/>
            <w:vMerge w:val="restar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Cirrhosis</w:t>
            </w:r>
          </w:p>
        </w:tc>
        <w:tc>
          <w:tcPr>
            <w:tcW w:w="2329"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Cirrhosis</w:t>
            </w:r>
          </w:p>
        </w:tc>
        <w:tc>
          <w:tcPr>
            <w:tcW w:w="1380" w:type="pct"/>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27</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79.4</w:t>
            </w:r>
            <w:r>
              <w:rPr>
                <w:rFonts w:ascii="Book Antiqua" w:hAnsi="Book Antiqua"/>
                <w:bCs/>
                <w:color w:val="000000" w:themeColor="text1"/>
                <w:lang w:eastAsia="zh-CN" w:bidi="ar-EG"/>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trPr>
        <w:tc>
          <w:tcPr>
            <w:tcW w:w="1291" w:type="pct"/>
            <w:vMerge w:val="continue"/>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p>
        </w:tc>
        <w:tc>
          <w:tcPr>
            <w:tcW w:w="2329"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No cirrhosis</w:t>
            </w:r>
          </w:p>
        </w:tc>
        <w:tc>
          <w:tcPr>
            <w:tcW w:w="1380" w:type="pct"/>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7</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20.6</w:t>
            </w:r>
            <w:r>
              <w:rPr>
                <w:rFonts w:ascii="Book Antiqua" w:hAnsi="Book Antiqua"/>
                <w:bCs/>
                <w:color w:val="000000" w:themeColor="text1"/>
                <w:lang w:eastAsia="zh-CN" w:bidi="ar-EG"/>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trPr>
        <w:tc>
          <w:tcPr>
            <w:tcW w:w="1291" w:type="pct"/>
            <w:vMerge w:val="restar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BCLC stage</w:t>
            </w:r>
          </w:p>
        </w:tc>
        <w:tc>
          <w:tcPr>
            <w:tcW w:w="2329"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Stage A (early)</w:t>
            </w:r>
          </w:p>
        </w:tc>
        <w:tc>
          <w:tcPr>
            <w:tcW w:w="1380" w:type="pct"/>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31</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91.2</w:t>
            </w:r>
            <w:r>
              <w:rPr>
                <w:rFonts w:ascii="Book Antiqua" w:hAnsi="Book Antiqua"/>
                <w:bCs/>
                <w:color w:val="000000" w:themeColor="text1"/>
                <w:lang w:eastAsia="zh-CN" w:bidi="ar-EG"/>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trPr>
        <w:tc>
          <w:tcPr>
            <w:tcW w:w="1291" w:type="pct"/>
            <w:vMerge w:val="continue"/>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p>
        </w:tc>
        <w:tc>
          <w:tcPr>
            <w:tcW w:w="2329"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Stage D (late)</w:t>
            </w:r>
          </w:p>
        </w:tc>
        <w:tc>
          <w:tcPr>
            <w:tcW w:w="1380" w:type="pct"/>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8.8</w:t>
            </w:r>
            <w:r>
              <w:rPr>
                <w:rFonts w:ascii="Book Antiqua" w:hAnsi="Book Antiqua"/>
                <w:bCs/>
                <w:color w:val="000000" w:themeColor="text1"/>
                <w:lang w:eastAsia="zh-CN" w:bidi="ar-EG"/>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trPr>
        <w:tc>
          <w:tcPr>
            <w:tcW w:w="1291" w:type="pct"/>
            <w:vMerge w:val="restar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Child–Pugh classification</w:t>
            </w:r>
          </w:p>
        </w:tc>
        <w:tc>
          <w:tcPr>
            <w:tcW w:w="2329"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A</w:t>
            </w:r>
          </w:p>
        </w:tc>
        <w:tc>
          <w:tcPr>
            <w:tcW w:w="1380" w:type="pct"/>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17</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50.0</w:t>
            </w:r>
            <w:r>
              <w:rPr>
                <w:rFonts w:ascii="Book Antiqua" w:hAnsi="Book Antiqua"/>
                <w:bCs/>
                <w:color w:val="000000" w:themeColor="text1"/>
                <w:lang w:eastAsia="zh-CN" w:bidi="ar-EG"/>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trPr>
        <w:tc>
          <w:tcPr>
            <w:tcW w:w="1291" w:type="pct"/>
            <w:vMerge w:val="continue"/>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p>
        </w:tc>
        <w:tc>
          <w:tcPr>
            <w:tcW w:w="2329"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B</w:t>
            </w:r>
          </w:p>
        </w:tc>
        <w:tc>
          <w:tcPr>
            <w:tcW w:w="1380" w:type="pct"/>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14</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41.2</w:t>
            </w:r>
            <w:r>
              <w:rPr>
                <w:rFonts w:ascii="Book Antiqua" w:hAnsi="Book Antiqua"/>
                <w:bCs/>
                <w:color w:val="000000" w:themeColor="text1"/>
                <w:lang w:eastAsia="zh-CN" w:bidi="ar-EG"/>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trPr>
        <w:tc>
          <w:tcPr>
            <w:tcW w:w="1291" w:type="pct"/>
            <w:vMerge w:val="continue"/>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p>
        </w:tc>
        <w:tc>
          <w:tcPr>
            <w:tcW w:w="2329"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C</w:t>
            </w:r>
          </w:p>
        </w:tc>
        <w:tc>
          <w:tcPr>
            <w:tcW w:w="1380" w:type="pct"/>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8.8</w:t>
            </w:r>
            <w:r>
              <w:rPr>
                <w:rFonts w:ascii="Book Antiqua" w:hAnsi="Book Antiqua"/>
                <w:bCs/>
                <w:color w:val="000000" w:themeColor="text1"/>
                <w:lang w:eastAsia="zh-CN" w:bidi="ar-EG"/>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trPr>
        <w:tc>
          <w:tcPr>
            <w:tcW w:w="1291" w:type="pct"/>
            <w:vMerge w:val="restar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Average tumor size</w:t>
            </w:r>
          </w:p>
        </w:tc>
        <w:tc>
          <w:tcPr>
            <w:tcW w:w="2329"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&gt;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3 cm</w:t>
            </w:r>
          </w:p>
        </w:tc>
        <w:tc>
          <w:tcPr>
            <w:tcW w:w="1380" w:type="pct"/>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8.8</w:t>
            </w:r>
            <w:r>
              <w:rPr>
                <w:rFonts w:ascii="Book Antiqua" w:hAnsi="Book Antiqua"/>
                <w:bCs/>
                <w:color w:val="000000" w:themeColor="text1"/>
                <w:lang w:eastAsia="zh-CN" w:bidi="ar-EG"/>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trPr>
        <w:tc>
          <w:tcPr>
            <w:tcW w:w="1291" w:type="pct"/>
            <w:vMerge w:val="continue"/>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p>
        </w:tc>
        <w:tc>
          <w:tcPr>
            <w:tcW w:w="2329" w:type="pct"/>
            <w:shd w:val="clear" w:color="auto" w:fill="auto"/>
          </w:tcPr>
          <w:p>
            <w:pPr>
              <w:spacing w:line="360" w:lineRule="auto"/>
              <w:jc w:val="both"/>
              <w:rPr>
                <w:rFonts w:ascii="Book Antiqua" w:hAnsi="Book Antiqua"/>
                <w:bCs/>
                <w:color w:val="000000" w:themeColor="text1"/>
                <w:lang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&lt;</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3 cm</w:t>
            </w:r>
          </w:p>
        </w:tc>
        <w:tc>
          <w:tcPr>
            <w:tcW w:w="1380" w:type="pct"/>
            <w:shd w:val="clear" w:color="auto" w:fill="auto"/>
          </w:tcPr>
          <w:p>
            <w:pPr>
              <w:spacing w:line="360" w:lineRule="auto"/>
              <w:jc w:val="both"/>
              <w:rPr>
                <w:rFonts w:ascii="Book Antiqua" w:hAnsi="Book Antiqua"/>
                <w:bCs/>
                <w:color w:val="000000" w:themeColor="text1"/>
                <w:lang w:eastAsia="zh-CN" w:bidi="ar-EG"/>
                <w14:textFill>
                  <w14:solidFill>
                    <w14:schemeClr w14:val="tx1"/>
                  </w14:solidFill>
                </w14:textFill>
              </w:rPr>
            </w:pPr>
            <w:r>
              <w:rPr>
                <w:rFonts w:ascii="Book Antiqua" w:hAnsi="Book Antiqua"/>
                <w:bCs/>
                <w:color w:val="000000" w:themeColor="text1"/>
                <w:lang w:bidi="ar-EG"/>
                <w14:textFill>
                  <w14:solidFill>
                    <w14:schemeClr w14:val="tx1"/>
                  </w14:solidFill>
                </w14:textFill>
              </w:rPr>
              <w:t>31</w:t>
            </w:r>
            <w:r>
              <w:rPr>
                <w:rFonts w:ascii="Book Antiqua" w:hAnsi="Book Antiqua"/>
                <w:bCs/>
                <w:color w:val="000000" w:themeColor="text1"/>
                <w:lang w:eastAsia="zh-CN" w:bidi="ar-EG"/>
                <w14:textFill>
                  <w14:solidFill>
                    <w14:schemeClr w14:val="tx1"/>
                  </w14:solidFill>
                </w14:textFill>
              </w:rPr>
              <w:t xml:space="preserve"> (</w:t>
            </w:r>
            <w:r>
              <w:rPr>
                <w:rFonts w:ascii="Book Antiqua" w:hAnsi="Book Antiqua"/>
                <w:bCs/>
                <w:color w:val="000000" w:themeColor="text1"/>
                <w:lang w:bidi="ar-EG"/>
                <w14:textFill>
                  <w14:solidFill>
                    <w14:schemeClr w14:val="tx1"/>
                  </w14:solidFill>
                </w14:textFill>
              </w:rPr>
              <w:t>91.2</w:t>
            </w:r>
            <w:r>
              <w:rPr>
                <w:rFonts w:ascii="Book Antiqua" w:hAnsi="Book Antiqua"/>
                <w:bCs/>
                <w:color w:val="000000" w:themeColor="text1"/>
                <w:lang w:eastAsia="zh-CN" w:bidi="ar-EG"/>
                <w14:textFill>
                  <w14:solidFill>
                    <w14:schemeClr w14:val="tx1"/>
                  </w14:solidFill>
                </w14:textFill>
              </w:rPr>
              <w:t>)</w:t>
            </w:r>
          </w:p>
        </w:tc>
      </w:tr>
    </w:tbl>
    <w:p>
      <w:pPr>
        <w:spacing w:line="360" w:lineRule="auto"/>
        <w:jc w:val="both"/>
        <w:rPr>
          <w:rFonts w:ascii="Book Antiqua" w:hAnsi="Book Antiqua"/>
          <w:color w:val="000000" w:themeColor="text1"/>
          <w:lang w:bidi="ar-EG"/>
          <w14:textFill>
            <w14:solidFill>
              <w14:schemeClr w14:val="tx1"/>
            </w14:solidFill>
          </w14:textFill>
        </w:rPr>
      </w:pPr>
      <w:r>
        <w:rPr>
          <w:rFonts w:ascii="Book Antiqua" w:hAnsi="Book Antiqua"/>
          <w:color w:val="000000" w:themeColor="text1"/>
          <w:lang w:bidi="ar-EG"/>
          <w14:textFill>
            <w14:solidFill>
              <w14:schemeClr w14:val="tx1"/>
            </w14:solidFill>
          </w14:textFill>
        </w:rPr>
        <w:t>BCLC</w:t>
      </w:r>
      <w:r>
        <w:rPr>
          <w:rFonts w:ascii="Book Antiqua" w:hAnsi="Book Antiqua"/>
          <w:color w:val="000000" w:themeColor="text1"/>
          <w:lang w:eastAsia="zh-CN" w:bidi="ar-EG"/>
          <w14:textFill>
            <w14:solidFill>
              <w14:schemeClr w14:val="tx1"/>
            </w14:solidFill>
          </w14:textFill>
        </w:rPr>
        <w:t>:</w:t>
      </w:r>
      <w:r>
        <w:rPr>
          <w:rFonts w:ascii="Book Antiqua" w:hAnsi="Book Antiqua"/>
          <w:color w:val="000000" w:themeColor="text1"/>
          <w:lang w:bidi="ar-EG"/>
          <w14:textFill>
            <w14:solidFill>
              <w14:schemeClr w14:val="tx1"/>
            </w14:solidFill>
          </w14:textFill>
        </w:rPr>
        <w:t xml:space="preserve"> Barcelona Clinic Liver Cancer; SD</w:t>
      </w:r>
      <w:r>
        <w:rPr>
          <w:rFonts w:ascii="Book Antiqua" w:hAnsi="Book Antiqua"/>
          <w:color w:val="000000" w:themeColor="text1"/>
          <w:lang w:eastAsia="zh-CN" w:bidi="ar-EG"/>
          <w14:textFill>
            <w14:solidFill>
              <w14:schemeClr w14:val="tx1"/>
            </w14:solidFill>
          </w14:textFill>
        </w:rPr>
        <w:t>:</w:t>
      </w:r>
      <w:r>
        <w:rPr>
          <w:rFonts w:ascii="Book Antiqua" w:hAnsi="Book Antiqua"/>
          <w:color w:val="000000" w:themeColor="text1"/>
          <w:lang w:bidi="ar-EG"/>
          <w14:textFill>
            <w14:solidFill>
              <w14:schemeClr w14:val="tx1"/>
            </w14:solidFill>
          </w14:textFill>
        </w:rPr>
        <w:t xml:space="preserve"> </w:t>
      </w:r>
      <w:r>
        <w:rPr>
          <w:rFonts w:ascii="Book Antiqua" w:hAnsi="Book Antiqua"/>
          <w:color w:val="000000" w:themeColor="text1"/>
          <w:lang w:eastAsia="zh-CN" w:bidi="ar-EG"/>
          <w14:textFill>
            <w14:solidFill>
              <w14:schemeClr w14:val="tx1"/>
            </w14:solidFill>
          </w14:textFill>
        </w:rPr>
        <w:t>S</w:t>
      </w:r>
      <w:r>
        <w:rPr>
          <w:rFonts w:ascii="Book Antiqua" w:hAnsi="Book Antiqua"/>
          <w:color w:val="000000" w:themeColor="text1"/>
          <w:lang w:bidi="ar-EG"/>
          <w14:textFill>
            <w14:solidFill>
              <w14:schemeClr w14:val="tx1"/>
            </w14:solidFill>
          </w14:textFill>
        </w:rPr>
        <w:t>tandard deviation.</w:t>
      </w:r>
    </w:p>
    <w:p>
      <w:pPr>
        <w:spacing w:line="360" w:lineRule="auto"/>
        <w:jc w:val="both"/>
        <w:rPr>
          <w:rFonts w:ascii="Book Antiqua" w:hAnsi="Book Antiqua"/>
          <w:bCs/>
          <w:color w:val="000000" w:themeColor="text1"/>
          <w:lang w:eastAsia="zh-CN" w:bidi="ar-EG"/>
          <w14:textFill>
            <w14:solidFill>
              <w14:schemeClr w14:val="tx1"/>
            </w14:solidFill>
          </w14:textFill>
        </w:rPr>
      </w:pPr>
    </w:p>
    <w:p>
      <w:pPr>
        <w:spacing w:line="360" w:lineRule="auto"/>
        <w:jc w:val="both"/>
        <w:rPr>
          <w:rFonts w:ascii="Book Antiqua" w:hAnsi="Book Antiqua"/>
          <w:color w:val="000000" w:themeColor="text1"/>
          <w:lang w:eastAsia="zh-CN"/>
          <w14:textFill>
            <w14:solidFill>
              <w14:schemeClr w14:val="tx1"/>
            </w14:solidFill>
          </w14:textFill>
        </w:rPr>
        <w:sectPr>
          <w:footerReference r:id="rId3" w:type="default"/>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olor w:val="000000" w:themeColor="text1"/>
          <w:lang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Lucida Grande">
    <w:altName w:val="Arial"/>
    <w:panose1 w:val="00000000000000000000"/>
    <w:charset w:val="00"/>
    <w:family w:val="swiss"/>
    <w:pitch w:val="default"/>
    <w:sig w:usb0="00000000" w:usb1="00000000" w:usb2="00000000" w:usb3="00000000" w:csb0="000001B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104659"/>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32</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36B8"/>
    <w:rsid w:val="00005098"/>
    <w:rsid w:val="000179CF"/>
    <w:rsid w:val="00031D46"/>
    <w:rsid w:val="000328A9"/>
    <w:rsid w:val="000334A4"/>
    <w:rsid w:val="000342CD"/>
    <w:rsid w:val="00057AB9"/>
    <w:rsid w:val="000706FC"/>
    <w:rsid w:val="000714C8"/>
    <w:rsid w:val="00075F64"/>
    <w:rsid w:val="00094050"/>
    <w:rsid w:val="00095907"/>
    <w:rsid w:val="00096506"/>
    <w:rsid w:val="000A01A6"/>
    <w:rsid w:val="000A39C7"/>
    <w:rsid w:val="000A43E0"/>
    <w:rsid w:val="000A7860"/>
    <w:rsid w:val="000B4B6B"/>
    <w:rsid w:val="000B58F8"/>
    <w:rsid w:val="000B7B3B"/>
    <w:rsid w:val="000E631D"/>
    <w:rsid w:val="000E7225"/>
    <w:rsid w:val="000F366F"/>
    <w:rsid w:val="001043FE"/>
    <w:rsid w:val="00113F2C"/>
    <w:rsid w:val="00116857"/>
    <w:rsid w:val="001212D8"/>
    <w:rsid w:val="00141757"/>
    <w:rsid w:val="001523FB"/>
    <w:rsid w:val="001563B3"/>
    <w:rsid w:val="0017565B"/>
    <w:rsid w:val="00177ED2"/>
    <w:rsid w:val="001806D5"/>
    <w:rsid w:val="00181F58"/>
    <w:rsid w:val="00197EA5"/>
    <w:rsid w:val="001A6581"/>
    <w:rsid w:val="001B288C"/>
    <w:rsid w:val="001B5923"/>
    <w:rsid w:val="001C115B"/>
    <w:rsid w:val="001C155A"/>
    <w:rsid w:val="001D7CE2"/>
    <w:rsid w:val="001E65AB"/>
    <w:rsid w:val="001F5AA1"/>
    <w:rsid w:val="00201430"/>
    <w:rsid w:val="0020418F"/>
    <w:rsid w:val="00216783"/>
    <w:rsid w:val="002213B0"/>
    <w:rsid w:val="0023072D"/>
    <w:rsid w:val="00232015"/>
    <w:rsid w:val="00234E1D"/>
    <w:rsid w:val="00240502"/>
    <w:rsid w:val="00244BA4"/>
    <w:rsid w:val="00247D37"/>
    <w:rsid w:val="0025477F"/>
    <w:rsid w:val="0026211B"/>
    <w:rsid w:val="00263888"/>
    <w:rsid w:val="0026458D"/>
    <w:rsid w:val="0027493B"/>
    <w:rsid w:val="002758A7"/>
    <w:rsid w:val="00276868"/>
    <w:rsid w:val="00293EAE"/>
    <w:rsid w:val="002B4426"/>
    <w:rsid w:val="002E274D"/>
    <w:rsid w:val="002E40F2"/>
    <w:rsid w:val="002F4B9C"/>
    <w:rsid w:val="003233A1"/>
    <w:rsid w:val="003310A3"/>
    <w:rsid w:val="003321A0"/>
    <w:rsid w:val="003577D0"/>
    <w:rsid w:val="00363DE7"/>
    <w:rsid w:val="00375675"/>
    <w:rsid w:val="00377BD5"/>
    <w:rsid w:val="00393B63"/>
    <w:rsid w:val="003A1E4C"/>
    <w:rsid w:val="003B18E4"/>
    <w:rsid w:val="003C0437"/>
    <w:rsid w:val="003D088E"/>
    <w:rsid w:val="003E201F"/>
    <w:rsid w:val="003E5A18"/>
    <w:rsid w:val="003F698D"/>
    <w:rsid w:val="004067F8"/>
    <w:rsid w:val="00414040"/>
    <w:rsid w:val="00415431"/>
    <w:rsid w:val="00416262"/>
    <w:rsid w:val="00453D61"/>
    <w:rsid w:val="00457CF7"/>
    <w:rsid w:val="004643E2"/>
    <w:rsid w:val="004763BE"/>
    <w:rsid w:val="004821B2"/>
    <w:rsid w:val="00482C3A"/>
    <w:rsid w:val="00484C54"/>
    <w:rsid w:val="004A407C"/>
    <w:rsid w:val="004A7F2A"/>
    <w:rsid w:val="004B5A7B"/>
    <w:rsid w:val="004C2903"/>
    <w:rsid w:val="004C5316"/>
    <w:rsid w:val="004D1B23"/>
    <w:rsid w:val="004E3CF5"/>
    <w:rsid w:val="004E66BC"/>
    <w:rsid w:val="004F4D59"/>
    <w:rsid w:val="005017F3"/>
    <w:rsid w:val="005073C0"/>
    <w:rsid w:val="00507510"/>
    <w:rsid w:val="00507784"/>
    <w:rsid w:val="00512D82"/>
    <w:rsid w:val="005177CF"/>
    <w:rsid w:val="00522898"/>
    <w:rsid w:val="00524F70"/>
    <w:rsid w:val="00527715"/>
    <w:rsid w:val="00530A96"/>
    <w:rsid w:val="00532494"/>
    <w:rsid w:val="005335C5"/>
    <w:rsid w:val="005455BD"/>
    <w:rsid w:val="005575D6"/>
    <w:rsid w:val="00573C50"/>
    <w:rsid w:val="0059459D"/>
    <w:rsid w:val="005A1A47"/>
    <w:rsid w:val="005A50AE"/>
    <w:rsid w:val="005B786A"/>
    <w:rsid w:val="005D5CF0"/>
    <w:rsid w:val="005F0076"/>
    <w:rsid w:val="00601DFD"/>
    <w:rsid w:val="00616556"/>
    <w:rsid w:val="00664438"/>
    <w:rsid w:val="00680169"/>
    <w:rsid w:val="0068201E"/>
    <w:rsid w:val="0069006F"/>
    <w:rsid w:val="00692235"/>
    <w:rsid w:val="006A18A0"/>
    <w:rsid w:val="006A1E94"/>
    <w:rsid w:val="006B264A"/>
    <w:rsid w:val="006B77B7"/>
    <w:rsid w:val="006C4C22"/>
    <w:rsid w:val="006D77B9"/>
    <w:rsid w:val="006D7D06"/>
    <w:rsid w:val="006F75C1"/>
    <w:rsid w:val="0070645F"/>
    <w:rsid w:val="00712D43"/>
    <w:rsid w:val="00716D1F"/>
    <w:rsid w:val="00721AAC"/>
    <w:rsid w:val="0073609F"/>
    <w:rsid w:val="0074236E"/>
    <w:rsid w:val="00744655"/>
    <w:rsid w:val="007528BB"/>
    <w:rsid w:val="0075450A"/>
    <w:rsid w:val="00772553"/>
    <w:rsid w:val="00774501"/>
    <w:rsid w:val="0078766F"/>
    <w:rsid w:val="00795F08"/>
    <w:rsid w:val="007C1EF1"/>
    <w:rsid w:val="007D3ECF"/>
    <w:rsid w:val="007D442C"/>
    <w:rsid w:val="007F50AF"/>
    <w:rsid w:val="008077A7"/>
    <w:rsid w:val="00811753"/>
    <w:rsid w:val="00820EB7"/>
    <w:rsid w:val="008323C2"/>
    <w:rsid w:val="008410C5"/>
    <w:rsid w:val="00841E76"/>
    <w:rsid w:val="0085199E"/>
    <w:rsid w:val="00852340"/>
    <w:rsid w:val="00864CDA"/>
    <w:rsid w:val="00866542"/>
    <w:rsid w:val="00866AA4"/>
    <w:rsid w:val="00867435"/>
    <w:rsid w:val="008755D6"/>
    <w:rsid w:val="00881D28"/>
    <w:rsid w:val="008828D6"/>
    <w:rsid w:val="00890BD0"/>
    <w:rsid w:val="008911E0"/>
    <w:rsid w:val="00892958"/>
    <w:rsid w:val="008B09D3"/>
    <w:rsid w:val="008B1189"/>
    <w:rsid w:val="008B3542"/>
    <w:rsid w:val="008B49F2"/>
    <w:rsid w:val="008B4ABA"/>
    <w:rsid w:val="008C2CEF"/>
    <w:rsid w:val="008C7C21"/>
    <w:rsid w:val="008F6FF2"/>
    <w:rsid w:val="008F73BB"/>
    <w:rsid w:val="00903342"/>
    <w:rsid w:val="009122AB"/>
    <w:rsid w:val="009458E8"/>
    <w:rsid w:val="00950A28"/>
    <w:rsid w:val="009526DD"/>
    <w:rsid w:val="0096130A"/>
    <w:rsid w:val="009641CE"/>
    <w:rsid w:val="009810CF"/>
    <w:rsid w:val="00987254"/>
    <w:rsid w:val="00990784"/>
    <w:rsid w:val="00997E5C"/>
    <w:rsid w:val="009A07BE"/>
    <w:rsid w:val="009B499C"/>
    <w:rsid w:val="009E0BCC"/>
    <w:rsid w:val="009E4663"/>
    <w:rsid w:val="009F0138"/>
    <w:rsid w:val="009F4928"/>
    <w:rsid w:val="00A02FFD"/>
    <w:rsid w:val="00A07A2F"/>
    <w:rsid w:val="00A13439"/>
    <w:rsid w:val="00A16660"/>
    <w:rsid w:val="00A225A0"/>
    <w:rsid w:val="00A36FDB"/>
    <w:rsid w:val="00A40FB7"/>
    <w:rsid w:val="00A67A55"/>
    <w:rsid w:val="00A70369"/>
    <w:rsid w:val="00A71D77"/>
    <w:rsid w:val="00A77B3E"/>
    <w:rsid w:val="00A80503"/>
    <w:rsid w:val="00AC5B48"/>
    <w:rsid w:val="00AD7032"/>
    <w:rsid w:val="00AD7A7B"/>
    <w:rsid w:val="00AE26A1"/>
    <w:rsid w:val="00AE3C0C"/>
    <w:rsid w:val="00AE49CA"/>
    <w:rsid w:val="00AF3AFC"/>
    <w:rsid w:val="00AF7238"/>
    <w:rsid w:val="00B0579B"/>
    <w:rsid w:val="00B05C42"/>
    <w:rsid w:val="00B1659A"/>
    <w:rsid w:val="00B24767"/>
    <w:rsid w:val="00B27EAA"/>
    <w:rsid w:val="00B324F6"/>
    <w:rsid w:val="00B456CE"/>
    <w:rsid w:val="00B5425E"/>
    <w:rsid w:val="00B56AB9"/>
    <w:rsid w:val="00B611CD"/>
    <w:rsid w:val="00B6667A"/>
    <w:rsid w:val="00B746AA"/>
    <w:rsid w:val="00B80172"/>
    <w:rsid w:val="00BA0849"/>
    <w:rsid w:val="00BA0F64"/>
    <w:rsid w:val="00BA2145"/>
    <w:rsid w:val="00BA5E92"/>
    <w:rsid w:val="00BA62E0"/>
    <w:rsid w:val="00BA7740"/>
    <w:rsid w:val="00BB13CB"/>
    <w:rsid w:val="00BC675F"/>
    <w:rsid w:val="00BD2CC1"/>
    <w:rsid w:val="00BE3703"/>
    <w:rsid w:val="00BF0D53"/>
    <w:rsid w:val="00BF3D74"/>
    <w:rsid w:val="00BF5971"/>
    <w:rsid w:val="00BF71DF"/>
    <w:rsid w:val="00C07B63"/>
    <w:rsid w:val="00C11CF6"/>
    <w:rsid w:val="00C13CB4"/>
    <w:rsid w:val="00C142AF"/>
    <w:rsid w:val="00C208C7"/>
    <w:rsid w:val="00C27CE6"/>
    <w:rsid w:val="00C34EB2"/>
    <w:rsid w:val="00C61A7E"/>
    <w:rsid w:val="00C62FBD"/>
    <w:rsid w:val="00C643E4"/>
    <w:rsid w:val="00C73A81"/>
    <w:rsid w:val="00C77320"/>
    <w:rsid w:val="00CA0B05"/>
    <w:rsid w:val="00CA1983"/>
    <w:rsid w:val="00CA2A55"/>
    <w:rsid w:val="00CB20AB"/>
    <w:rsid w:val="00CC0334"/>
    <w:rsid w:val="00CF2A75"/>
    <w:rsid w:val="00D012EF"/>
    <w:rsid w:val="00D1666E"/>
    <w:rsid w:val="00D34E83"/>
    <w:rsid w:val="00D41BB9"/>
    <w:rsid w:val="00D41DB7"/>
    <w:rsid w:val="00D435BA"/>
    <w:rsid w:val="00D464A5"/>
    <w:rsid w:val="00D54FB8"/>
    <w:rsid w:val="00D820E0"/>
    <w:rsid w:val="00D9786D"/>
    <w:rsid w:val="00DA510A"/>
    <w:rsid w:val="00DA60D5"/>
    <w:rsid w:val="00DB0F13"/>
    <w:rsid w:val="00DB2ED2"/>
    <w:rsid w:val="00DC4149"/>
    <w:rsid w:val="00DD0134"/>
    <w:rsid w:val="00DD1C0D"/>
    <w:rsid w:val="00DD468E"/>
    <w:rsid w:val="00DD538A"/>
    <w:rsid w:val="00E33EF8"/>
    <w:rsid w:val="00E34AF5"/>
    <w:rsid w:val="00E43D46"/>
    <w:rsid w:val="00E50A7E"/>
    <w:rsid w:val="00E72EA9"/>
    <w:rsid w:val="00E8124D"/>
    <w:rsid w:val="00E873CA"/>
    <w:rsid w:val="00E9607C"/>
    <w:rsid w:val="00EB2AC1"/>
    <w:rsid w:val="00EC1FFA"/>
    <w:rsid w:val="00EC5EE7"/>
    <w:rsid w:val="00ED6CD9"/>
    <w:rsid w:val="00EE5F18"/>
    <w:rsid w:val="00F01D3C"/>
    <w:rsid w:val="00F02A1B"/>
    <w:rsid w:val="00F30547"/>
    <w:rsid w:val="00F30B8E"/>
    <w:rsid w:val="00F51487"/>
    <w:rsid w:val="00F53553"/>
    <w:rsid w:val="00F544B6"/>
    <w:rsid w:val="00F57AC5"/>
    <w:rsid w:val="00F843FD"/>
    <w:rsid w:val="00F9745C"/>
    <w:rsid w:val="00FB063B"/>
    <w:rsid w:val="00FC1636"/>
    <w:rsid w:val="00FE4850"/>
    <w:rsid w:val="53C23B14"/>
    <w:rsid w:val="7C88429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uiPriority w:val="0"/>
  </w:style>
  <w:style w:type="paragraph" w:styleId="3">
    <w:name w:val="Balloon Text"/>
    <w:basedOn w:val="1"/>
    <w:link w:val="13"/>
    <w:qFormat/>
    <w:uiPriority w:val="0"/>
    <w:rPr>
      <w:sz w:val="18"/>
      <w:szCs w:val="18"/>
    </w:rPr>
  </w:style>
  <w:style w:type="paragraph" w:styleId="4">
    <w:name w:val="footer"/>
    <w:basedOn w:val="1"/>
    <w:link w:val="12"/>
    <w:qFormat/>
    <w:uiPriority w:val="99"/>
    <w:pPr>
      <w:tabs>
        <w:tab w:val="center" w:pos="4320"/>
        <w:tab w:val="right" w:pos="8640"/>
      </w:tabs>
      <w:snapToGrid w:val="0"/>
    </w:pPr>
    <w:rPr>
      <w:sz w:val="18"/>
      <w:szCs w:val="18"/>
    </w:rPr>
  </w:style>
  <w:style w:type="paragraph" w:styleId="5">
    <w:name w:val="header"/>
    <w:basedOn w:val="1"/>
    <w:link w:val="11"/>
    <w:qFormat/>
    <w:uiPriority w:val="0"/>
    <w:pPr>
      <w:pBdr>
        <w:bottom w:val="single" w:color="auto" w:sz="6" w:space="1"/>
      </w:pBdr>
      <w:tabs>
        <w:tab w:val="center" w:pos="4320"/>
        <w:tab w:val="right" w:pos="8640"/>
      </w:tabs>
      <w:snapToGrid w:val="0"/>
      <w:jc w:val="center"/>
    </w:pPr>
    <w:rPr>
      <w:sz w:val="18"/>
      <w:szCs w:val="18"/>
    </w:rPr>
  </w:style>
  <w:style w:type="paragraph" w:styleId="6">
    <w:name w:val="annotation subject"/>
    <w:basedOn w:val="2"/>
    <w:next w:val="2"/>
    <w:link w:val="15"/>
    <w:qFormat/>
    <w:uiPriority w:val="0"/>
    <w:rPr>
      <w:b/>
      <w:bCs/>
    </w:rPr>
  </w:style>
  <w:style w:type="character" w:styleId="9">
    <w:name w:val="Hyperlink"/>
    <w:basedOn w:val="8"/>
    <w:qFormat/>
    <w:uiPriority w:val="0"/>
    <w:rPr>
      <w:color w:val="0000FF" w:themeColor="hyperlink"/>
      <w:u w:val="single"/>
      <w14:textFill>
        <w14:solidFill>
          <w14:schemeClr w14:val="hlink"/>
        </w14:solidFill>
      </w14:textFill>
    </w:rPr>
  </w:style>
  <w:style w:type="character" w:styleId="10">
    <w:name w:val="annotation reference"/>
    <w:basedOn w:val="8"/>
    <w:qFormat/>
    <w:uiPriority w:val="0"/>
    <w:rPr>
      <w:sz w:val="21"/>
      <w:szCs w:val="21"/>
    </w:rPr>
  </w:style>
  <w:style w:type="character" w:customStyle="1" w:styleId="11">
    <w:name w:val="页眉 字符"/>
    <w:basedOn w:val="8"/>
    <w:link w:val="5"/>
    <w:uiPriority w:val="0"/>
    <w:rPr>
      <w:sz w:val="18"/>
      <w:szCs w:val="18"/>
    </w:rPr>
  </w:style>
  <w:style w:type="character" w:customStyle="1" w:styleId="12">
    <w:name w:val="页脚 字符"/>
    <w:basedOn w:val="8"/>
    <w:link w:val="4"/>
    <w:qFormat/>
    <w:uiPriority w:val="99"/>
    <w:rPr>
      <w:sz w:val="18"/>
      <w:szCs w:val="18"/>
    </w:rPr>
  </w:style>
  <w:style w:type="character" w:customStyle="1" w:styleId="13">
    <w:name w:val="批注框文本 字符"/>
    <w:basedOn w:val="8"/>
    <w:link w:val="3"/>
    <w:uiPriority w:val="0"/>
    <w:rPr>
      <w:sz w:val="18"/>
      <w:szCs w:val="18"/>
    </w:rPr>
  </w:style>
  <w:style w:type="character" w:customStyle="1" w:styleId="14">
    <w:name w:val="批注文字 字符"/>
    <w:basedOn w:val="8"/>
    <w:link w:val="2"/>
    <w:qFormat/>
    <w:uiPriority w:val="0"/>
    <w:rPr>
      <w:sz w:val="24"/>
      <w:szCs w:val="24"/>
    </w:rPr>
  </w:style>
  <w:style w:type="character" w:customStyle="1" w:styleId="15">
    <w:name w:val="批注主题 字符"/>
    <w:basedOn w:val="14"/>
    <w:link w:val="6"/>
    <w:uiPriority w:val="0"/>
    <w:rPr>
      <w:b/>
      <w:bCs/>
      <w:sz w:val="24"/>
      <w:szCs w:val="24"/>
    </w:rPr>
  </w:style>
  <w:style w:type="character" w:customStyle="1" w:styleId="16">
    <w:name w:val="viiyi"/>
    <w:basedOn w:val="8"/>
    <w:uiPriority w:val="0"/>
  </w:style>
  <w:style w:type="character" w:customStyle="1" w:styleId="17">
    <w:name w:val="jlqj4b"/>
    <w:basedOn w:val="8"/>
    <w:qFormat/>
    <w:uiPriority w:val="0"/>
  </w:style>
  <w:style w:type="character" w:customStyle="1" w:styleId="18">
    <w:name w:val="hgkelc"/>
    <w:basedOn w:val="8"/>
    <w:qFormat/>
    <w:uiPriority w:val="0"/>
  </w:style>
  <w:style w:type="paragraph" w:customStyle="1" w:styleId="19">
    <w:name w:val="Revision"/>
    <w:hidden/>
    <w:semiHidden/>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5226EF-7A1A-4012-BAB7-D8282658B548}">
  <ds:schemaRefs/>
</ds:datastoreItem>
</file>

<file path=docProps/app.xml><?xml version="1.0" encoding="utf-8"?>
<Properties xmlns="http://schemas.openxmlformats.org/officeDocument/2006/extended-properties" xmlns:vt="http://schemas.openxmlformats.org/officeDocument/2006/docPropsVTypes">
  <Template>Normal</Template>
  <Pages>32</Pages>
  <Words>6329</Words>
  <Characters>36077</Characters>
  <Lines>300</Lines>
  <Paragraphs>84</Paragraphs>
  <TotalTime>0</TotalTime>
  <ScaleCrop>false</ScaleCrop>
  <LinksUpToDate>false</LinksUpToDate>
  <CharactersWithSpaces>42322</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2021-10-26T22:15:00Z</dcterms:created>
  <dc:creator>Jennifer Benavides</dc:creator>
  <cp:lastModifiedBy>晓晨</cp:lastModifiedBy>
  <cp:lastPrinted>2021-09-26T15:43:00Z</cp:lastPrinted>
  <dcterms:modified xsi:type="dcterms:W3CDTF">2021-12-22T13:28:39Z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E770511B746F4ACBB90C66DC53386B8F</vt:lpwstr>
  </property>
</Properties>
</file>