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898E9"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Name of Journal: </w:t>
      </w:r>
      <w:r w:rsidRPr="00151BD6">
        <w:rPr>
          <w:rFonts w:ascii="Book Antiqua" w:eastAsia="Book Antiqua" w:hAnsi="Book Antiqua" w:cs="Book Antiqua"/>
          <w:i/>
          <w:color w:val="000000"/>
        </w:rPr>
        <w:t>World Journal of Hepatology</w:t>
      </w:r>
    </w:p>
    <w:p w14:paraId="75EEF3A4"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Manuscript NO: </w:t>
      </w:r>
      <w:r w:rsidRPr="00151BD6">
        <w:rPr>
          <w:rFonts w:ascii="Book Antiqua" w:eastAsia="Book Antiqua" w:hAnsi="Book Antiqua" w:cs="Book Antiqua"/>
          <w:color w:val="000000"/>
        </w:rPr>
        <w:t>64647</w:t>
      </w:r>
    </w:p>
    <w:p w14:paraId="6B05C1FA"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Manuscript Type: </w:t>
      </w:r>
      <w:r w:rsidRPr="00151BD6">
        <w:rPr>
          <w:rFonts w:ascii="Book Antiqua" w:eastAsia="Book Antiqua" w:hAnsi="Book Antiqua" w:cs="Book Antiqua"/>
          <w:color w:val="000000"/>
        </w:rPr>
        <w:t>MINIREVIEWS</w:t>
      </w:r>
    </w:p>
    <w:p w14:paraId="56EF8722" w14:textId="77777777" w:rsidR="00A77B3E" w:rsidRPr="00151BD6" w:rsidRDefault="00A77B3E" w:rsidP="00861CDC">
      <w:pPr>
        <w:spacing w:line="360" w:lineRule="auto"/>
        <w:jc w:val="both"/>
        <w:rPr>
          <w:rFonts w:ascii="Book Antiqua" w:hAnsi="Book Antiqua"/>
        </w:rPr>
      </w:pPr>
    </w:p>
    <w:p w14:paraId="3E20122C"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Antibiotic prophylaxis in patients with cirrhosis: </w:t>
      </w:r>
      <w:r w:rsidR="00FC1A9F" w:rsidRPr="00151BD6">
        <w:rPr>
          <w:rFonts w:ascii="Book Antiqua" w:hAnsi="Book Antiqua" w:cs="Book Antiqua"/>
          <w:b/>
          <w:color w:val="000000"/>
          <w:lang w:eastAsia="zh-CN"/>
        </w:rPr>
        <w:t>C</w:t>
      </w:r>
      <w:r w:rsidRPr="00151BD6">
        <w:rPr>
          <w:rFonts w:ascii="Book Antiqua" w:eastAsia="Book Antiqua" w:hAnsi="Book Antiqua" w:cs="Book Antiqua"/>
          <w:b/>
          <w:color w:val="000000"/>
        </w:rPr>
        <w:t>urrent evidence for clinical practice</w:t>
      </w:r>
    </w:p>
    <w:p w14:paraId="6F65EE42" w14:textId="77777777" w:rsidR="00A77B3E" w:rsidRPr="00151BD6" w:rsidRDefault="00A77B3E" w:rsidP="00861CDC">
      <w:pPr>
        <w:spacing w:line="360" w:lineRule="auto"/>
        <w:jc w:val="both"/>
        <w:rPr>
          <w:rFonts w:ascii="Book Antiqua" w:hAnsi="Book Antiqua"/>
        </w:rPr>
      </w:pPr>
    </w:p>
    <w:p w14:paraId="347256BC" w14:textId="77777777" w:rsidR="00A77B3E" w:rsidRPr="00BB658C" w:rsidRDefault="00BD0224" w:rsidP="00861CDC">
      <w:pPr>
        <w:spacing w:line="360" w:lineRule="auto"/>
        <w:jc w:val="both"/>
        <w:rPr>
          <w:rFonts w:ascii="Book Antiqua" w:hAnsi="Book Antiqua"/>
          <w:lang w:val="it-IT"/>
        </w:rPr>
      </w:pPr>
      <w:r w:rsidRPr="00BB658C">
        <w:rPr>
          <w:rFonts w:ascii="Book Antiqua" w:eastAsia="Book Antiqua" w:hAnsi="Book Antiqua" w:cs="Book Antiqua"/>
          <w:color w:val="000000"/>
          <w:lang w:val="it-IT"/>
        </w:rPr>
        <w:t xml:space="preserve">Ferrarese </w:t>
      </w:r>
      <w:r w:rsidRPr="00BB658C">
        <w:rPr>
          <w:rFonts w:ascii="Book Antiqua" w:hAnsi="Book Antiqua" w:cs="Book Antiqua"/>
          <w:color w:val="000000"/>
          <w:lang w:val="it-IT" w:eastAsia="zh-CN"/>
        </w:rPr>
        <w:t>A</w:t>
      </w:r>
      <w:r w:rsidRPr="00BB658C">
        <w:rPr>
          <w:rFonts w:ascii="Book Antiqua" w:hAnsi="Book Antiqua" w:cs="Book Antiqua"/>
          <w:i/>
          <w:color w:val="000000"/>
          <w:lang w:val="it-IT" w:eastAsia="zh-CN"/>
        </w:rPr>
        <w:t xml:space="preserve"> et al</w:t>
      </w:r>
      <w:r w:rsidRPr="00BB658C">
        <w:rPr>
          <w:rFonts w:ascii="Book Antiqua" w:hAnsi="Book Antiqua" w:cs="Book Antiqua"/>
          <w:color w:val="000000"/>
          <w:lang w:val="it-IT" w:eastAsia="zh-CN"/>
        </w:rPr>
        <w:t xml:space="preserve">. </w:t>
      </w:r>
      <w:r w:rsidR="00252B19" w:rsidRPr="00BB658C">
        <w:rPr>
          <w:rFonts w:ascii="Book Antiqua" w:eastAsia="Book Antiqua" w:hAnsi="Book Antiqua" w:cs="Book Antiqua"/>
          <w:color w:val="000000"/>
          <w:lang w:val="it-IT"/>
        </w:rPr>
        <w:t>Antibiotic prophylaxis in liver disease</w:t>
      </w:r>
    </w:p>
    <w:p w14:paraId="21762E69" w14:textId="77777777" w:rsidR="00A77B3E" w:rsidRPr="00BB658C" w:rsidRDefault="00A77B3E" w:rsidP="00861CDC">
      <w:pPr>
        <w:spacing w:line="360" w:lineRule="auto"/>
        <w:jc w:val="both"/>
        <w:rPr>
          <w:rFonts w:ascii="Book Antiqua" w:hAnsi="Book Antiqua"/>
          <w:lang w:val="it-IT"/>
        </w:rPr>
      </w:pPr>
    </w:p>
    <w:p w14:paraId="4DDF29E4" w14:textId="77777777" w:rsidR="00A77B3E" w:rsidRPr="00BB658C" w:rsidRDefault="00252B19" w:rsidP="00861CDC">
      <w:pPr>
        <w:spacing w:line="360" w:lineRule="auto"/>
        <w:jc w:val="both"/>
        <w:rPr>
          <w:rFonts w:ascii="Book Antiqua" w:hAnsi="Book Antiqua"/>
          <w:lang w:val="it-IT"/>
        </w:rPr>
      </w:pPr>
      <w:r w:rsidRPr="00BB658C">
        <w:rPr>
          <w:rFonts w:ascii="Book Antiqua" w:eastAsia="Book Antiqua" w:hAnsi="Book Antiqua" w:cs="Book Antiqua"/>
          <w:color w:val="000000"/>
          <w:lang w:val="it-IT"/>
        </w:rPr>
        <w:t>Alberto Ferrarese, Nicola Passigato, Caterina Cusumano, Stefano Gemini, Angelo Tonon, Elton Dajti, Giovanni Marasco, Federico Ravaioli, Antonio Colecchia</w:t>
      </w:r>
    </w:p>
    <w:p w14:paraId="0556EF11" w14:textId="77777777" w:rsidR="00A77B3E" w:rsidRPr="00BB658C" w:rsidRDefault="00A77B3E" w:rsidP="00861CDC">
      <w:pPr>
        <w:spacing w:line="360" w:lineRule="auto"/>
        <w:jc w:val="both"/>
        <w:rPr>
          <w:rFonts w:ascii="Book Antiqua" w:hAnsi="Book Antiqua"/>
          <w:lang w:val="it-IT"/>
        </w:rPr>
      </w:pPr>
    </w:p>
    <w:p w14:paraId="1A77636C" w14:textId="77777777" w:rsidR="00CD12CC" w:rsidRPr="00BB658C" w:rsidRDefault="00CD12CC" w:rsidP="00CD12CC">
      <w:pPr>
        <w:spacing w:line="360" w:lineRule="auto"/>
        <w:jc w:val="both"/>
        <w:rPr>
          <w:rFonts w:ascii="Book Antiqua" w:hAnsi="Book Antiqua"/>
          <w:lang w:val="it-IT"/>
        </w:rPr>
      </w:pPr>
      <w:r w:rsidRPr="00BB658C">
        <w:rPr>
          <w:rFonts w:ascii="Book Antiqua" w:eastAsia="Book Antiqua" w:hAnsi="Book Antiqua" w:cs="Book Antiqua"/>
          <w:b/>
          <w:bCs/>
          <w:color w:val="000000"/>
          <w:lang w:val="it-IT"/>
        </w:rPr>
        <w:t xml:space="preserve">Alberto Ferrarese, Nicola Passigato, Caterina Cusumano, Stefano Gemini, Angelo Tonon, </w:t>
      </w:r>
      <w:r w:rsidRPr="00034CE2">
        <w:rPr>
          <w:rFonts w:ascii="Book Antiqua" w:eastAsia="Book Antiqua" w:hAnsi="Book Antiqua" w:cs="Book Antiqua"/>
          <w:b/>
          <w:bCs/>
          <w:color w:val="000000"/>
          <w:lang w:val="it-IT"/>
        </w:rPr>
        <w:t>Antonio Colecchia</w:t>
      </w:r>
      <w:r>
        <w:rPr>
          <w:rFonts w:ascii="Book Antiqua" w:eastAsia="Book Antiqua" w:hAnsi="Book Antiqua" w:cs="Book Antiqua"/>
          <w:color w:val="000000"/>
          <w:lang w:val="it-IT"/>
        </w:rPr>
        <w:t xml:space="preserve">, </w:t>
      </w:r>
      <w:r w:rsidRPr="00BB658C">
        <w:rPr>
          <w:rFonts w:ascii="Book Antiqua" w:eastAsia="Book Antiqua" w:hAnsi="Book Antiqua" w:cs="Book Antiqua"/>
          <w:color w:val="000000"/>
          <w:lang w:val="it-IT"/>
        </w:rPr>
        <w:t>Department of Gastroenterology, Verona University Hospital, Verona 37124, Italy</w:t>
      </w:r>
    </w:p>
    <w:p w14:paraId="712DED0A" w14:textId="77777777" w:rsidR="00CD12CC" w:rsidRPr="00BB658C" w:rsidRDefault="00CD12CC" w:rsidP="00CD12CC">
      <w:pPr>
        <w:spacing w:line="360" w:lineRule="auto"/>
        <w:jc w:val="both"/>
        <w:rPr>
          <w:rFonts w:ascii="Book Antiqua" w:hAnsi="Book Antiqua"/>
          <w:lang w:val="it-IT"/>
        </w:rPr>
      </w:pPr>
    </w:p>
    <w:p w14:paraId="09EB8B6D" w14:textId="77777777" w:rsidR="00CD12CC" w:rsidRPr="00151BD6" w:rsidRDefault="00CD12CC" w:rsidP="00CD12CC">
      <w:pPr>
        <w:spacing w:line="360" w:lineRule="auto"/>
        <w:jc w:val="both"/>
        <w:rPr>
          <w:rFonts w:ascii="Book Antiqua" w:hAnsi="Book Antiqua"/>
        </w:rPr>
      </w:pPr>
      <w:r w:rsidRPr="00151BD6">
        <w:rPr>
          <w:rFonts w:ascii="Book Antiqua" w:eastAsia="Book Antiqua" w:hAnsi="Book Antiqua" w:cs="Book Antiqua"/>
          <w:b/>
          <w:bCs/>
          <w:color w:val="000000"/>
        </w:rPr>
        <w:t>Elton Dajti, Federico Ravaioli, Giovanni Marasco</w:t>
      </w:r>
      <w:r>
        <w:rPr>
          <w:rFonts w:ascii="Book Antiqua" w:eastAsia="Book Antiqua" w:hAnsi="Book Antiqua" w:cs="Book Antiqua"/>
          <w:b/>
          <w:bCs/>
          <w:color w:val="000000"/>
        </w:rPr>
        <w:t>,</w:t>
      </w:r>
      <w:r w:rsidRPr="00151BD6">
        <w:rPr>
          <w:rFonts w:ascii="Book Antiqua" w:eastAsia="Book Antiqua" w:hAnsi="Book Antiqua" w:cs="Book Antiqua"/>
          <w:color w:val="000000"/>
        </w:rPr>
        <w:t xml:space="preserve"> Department of Medical and Surgical Sciences, University of Bologna, Bologna 40138, Italy</w:t>
      </w:r>
    </w:p>
    <w:p w14:paraId="32D5E552" w14:textId="77777777" w:rsidR="00A77B3E" w:rsidRPr="00151BD6" w:rsidRDefault="00A77B3E" w:rsidP="00861CDC">
      <w:pPr>
        <w:spacing w:line="360" w:lineRule="auto"/>
        <w:jc w:val="both"/>
        <w:rPr>
          <w:rFonts w:ascii="Book Antiqua" w:hAnsi="Book Antiqua"/>
        </w:rPr>
      </w:pPr>
    </w:p>
    <w:p w14:paraId="52CB378E" w14:textId="1A7A80D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bCs/>
          <w:color w:val="000000"/>
        </w:rPr>
        <w:t xml:space="preserve">Author contributions: </w:t>
      </w:r>
      <w:r w:rsidR="00E875C3" w:rsidRPr="00151BD6">
        <w:rPr>
          <w:rFonts w:ascii="Book Antiqua" w:eastAsia="Book Antiqua" w:hAnsi="Book Antiqua" w:cs="Book Antiqua"/>
          <w:color w:val="000000"/>
        </w:rPr>
        <w:t>Ferrarese A</w:t>
      </w:r>
      <w:r w:rsidR="00EE0728">
        <w:rPr>
          <w:rFonts w:ascii="Book Antiqua" w:eastAsia="Book Antiqua" w:hAnsi="Book Antiqua" w:cs="Book Antiqua"/>
          <w:color w:val="000000"/>
        </w:rPr>
        <w:t xml:space="preserve"> and</w:t>
      </w:r>
      <w:r w:rsidRPr="00151BD6">
        <w:rPr>
          <w:rFonts w:ascii="Book Antiqua" w:eastAsia="Book Antiqua" w:hAnsi="Book Antiqua" w:cs="Book Antiqua"/>
          <w:color w:val="000000"/>
        </w:rPr>
        <w:t xml:space="preserve"> </w:t>
      </w:r>
      <w:r w:rsidR="00E875C3" w:rsidRPr="00151BD6">
        <w:rPr>
          <w:rFonts w:ascii="Book Antiqua" w:eastAsia="Book Antiqua" w:hAnsi="Book Antiqua" w:cs="Book Antiqua"/>
          <w:color w:val="000000"/>
        </w:rPr>
        <w:t>Colecchia A</w:t>
      </w:r>
      <w:r w:rsidRPr="00151BD6">
        <w:rPr>
          <w:rFonts w:ascii="Book Antiqua" w:eastAsia="Book Antiqua" w:hAnsi="Book Antiqua" w:cs="Book Antiqua"/>
          <w:color w:val="000000"/>
        </w:rPr>
        <w:t xml:space="preserve"> participated in research design, performance of the research, data analysis, and writing of the manuscript; </w:t>
      </w:r>
      <w:r w:rsidR="00E875C3" w:rsidRPr="00151BD6">
        <w:rPr>
          <w:rFonts w:ascii="Book Antiqua" w:eastAsia="Book Antiqua" w:hAnsi="Book Antiqua" w:cs="Book Antiqua"/>
          <w:color w:val="000000"/>
        </w:rPr>
        <w:t>Passigato N</w:t>
      </w:r>
      <w:r w:rsidRPr="00151BD6">
        <w:rPr>
          <w:rFonts w:ascii="Book Antiqua" w:eastAsia="Book Antiqua" w:hAnsi="Book Antiqua" w:cs="Book Antiqua"/>
          <w:color w:val="000000"/>
        </w:rPr>
        <w:t xml:space="preserve">, </w:t>
      </w:r>
      <w:r w:rsidR="00E875C3" w:rsidRPr="00151BD6">
        <w:rPr>
          <w:rFonts w:ascii="Book Antiqua" w:eastAsia="Book Antiqua" w:hAnsi="Book Antiqua" w:cs="Book Antiqua"/>
          <w:color w:val="000000"/>
        </w:rPr>
        <w:t>Cusumano C</w:t>
      </w:r>
      <w:r w:rsidRPr="00151BD6">
        <w:rPr>
          <w:rFonts w:ascii="Book Antiqua" w:eastAsia="Book Antiqua" w:hAnsi="Book Antiqua" w:cs="Book Antiqua"/>
          <w:color w:val="000000"/>
        </w:rPr>
        <w:t xml:space="preserve">, </w:t>
      </w:r>
      <w:r w:rsidR="00E875C3" w:rsidRPr="00151BD6">
        <w:rPr>
          <w:rFonts w:ascii="Book Antiqua" w:eastAsia="Book Antiqua" w:hAnsi="Book Antiqua" w:cs="Book Antiqua"/>
          <w:color w:val="000000"/>
        </w:rPr>
        <w:t xml:space="preserve">Gemini </w:t>
      </w:r>
      <w:r w:rsidRPr="00151BD6">
        <w:rPr>
          <w:rFonts w:ascii="Book Antiqua" w:eastAsia="Book Antiqua" w:hAnsi="Book Antiqua" w:cs="Book Antiqua"/>
          <w:color w:val="000000"/>
        </w:rPr>
        <w:t xml:space="preserve">S, </w:t>
      </w:r>
      <w:r w:rsidR="00E875C3" w:rsidRPr="00151BD6">
        <w:rPr>
          <w:rFonts w:ascii="Book Antiqua" w:eastAsia="Book Antiqua" w:hAnsi="Book Antiqua" w:cs="Book Antiqua"/>
          <w:color w:val="000000"/>
        </w:rPr>
        <w:t xml:space="preserve">Tonon </w:t>
      </w:r>
      <w:r w:rsidRPr="00151BD6">
        <w:rPr>
          <w:rFonts w:ascii="Book Antiqua" w:eastAsia="Book Antiqua" w:hAnsi="Book Antiqua" w:cs="Book Antiqua"/>
          <w:color w:val="000000"/>
        </w:rPr>
        <w:t xml:space="preserve">A, </w:t>
      </w:r>
      <w:r w:rsidR="00E875C3" w:rsidRPr="00151BD6">
        <w:rPr>
          <w:rFonts w:ascii="Book Antiqua" w:eastAsia="Book Antiqua" w:hAnsi="Book Antiqua" w:cs="Book Antiqua"/>
          <w:color w:val="000000"/>
        </w:rPr>
        <w:t>Dajti E</w:t>
      </w:r>
      <w:r w:rsidRPr="00151BD6">
        <w:rPr>
          <w:rFonts w:ascii="Book Antiqua" w:eastAsia="Book Antiqua" w:hAnsi="Book Antiqua" w:cs="Book Antiqua"/>
          <w:color w:val="000000"/>
        </w:rPr>
        <w:t xml:space="preserve">, </w:t>
      </w:r>
      <w:r w:rsidR="00E875C3" w:rsidRPr="00151BD6">
        <w:rPr>
          <w:rFonts w:ascii="Book Antiqua" w:eastAsia="Book Antiqua" w:hAnsi="Book Antiqua" w:cs="Book Antiqua"/>
          <w:color w:val="000000"/>
        </w:rPr>
        <w:t>Marasco G</w:t>
      </w:r>
      <w:r w:rsidRPr="00151BD6">
        <w:rPr>
          <w:rFonts w:ascii="Book Antiqua" w:eastAsia="Book Antiqua" w:hAnsi="Book Antiqua" w:cs="Book Antiqua"/>
          <w:color w:val="000000"/>
        </w:rPr>
        <w:t xml:space="preserve">, </w:t>
      </w:r>
      <w:r w:rsidR="00E875C3" w:rsidRPr="00151BD6">
        <w:rPr>
          <w:rFonts w:ascii="Book Antiqua" w:hAnsi="Book Antiqua" w:cs="Book Antiqua"/>
          <w:color w:val="000000"/>
          <w:lang w:eastAsia="zh-CN"/>
        </w:rPr>
        <w:t xml:space="preserve">and </w:t>
      </w:r>
      <w:r w:rsidR="00E875C3" w:rsidRPr="00151BD6">
        <w:rPr>
          <w:rFonts w:ascii="Book Antiqua" w:eastAsia="Book Antiqua" w:hAnsi="Book Antiqua" w:cs="Book Antiqua"/>
          <w:color w:val="000000"/>
        </w:rPr>
        <w:t>Ravaioli F</w:t>
      </w:r>
      <w:r w:rsidRPr="00151BD6">
        <w:rPr>
          <w:rFonts w:ascii="Book Antiqua" w:eastAsia="Book Antiqua" w:hAnsi="Book Antiqua" w:cs="Book Antiqua"/>
          <w:color w:val="000000"/>
        </w:rPr>
        <w:t xml:space="preserve"> participated in research design</w:t>
      </w:r>
      <w:r w:rsidR="00D72C8A" w:rsidRPr="00151BD6">
        <w:rPr>
          <w:rFonts w:ascii="Book Antiqua" w:hAnsi="Book Antiqua" w:cs="Book Antiqua"/>
          <w:color w:val="000000"/>
          <w:lang w:eastAsia="zh-CN"/>
        </w:rPr>
        <w:t>;</w:t>
      </w:r>
      <w:r w:rsidRPr="00151BD6">
        <w:rPr>
          <w:rFonts w:ascii="Book Antiqua" w:eastAsia="Book Antiqua" w:hAnsi="Book Antiqua" w:cs="Book Antiqua"/>
          <w:color w:val="000000"/>
        </w:rPr>
        <w:t xml:space="preserve"> </w:t>
      </w:r>
      <w:r w:rsidR="00F26CB0">
        <w:rPr>
          <w:rFonts w:ascii="Book Antiqua" w:hAnsi="Book Antiqua" w:cs="Book Antiqua"/>
          <w:color w:val="000000"/>
          <w:lang w:eastAsia="zh-CN"/>
        </w:rPr>
        <w:t>A</w:t>
      </w:r>
      <w:r w:rsidRPr="00151BD6">
        <w:rPr>
          <w:rFonts w:ascii="Book Antiqua" w:eastAsia="Book Antiqua" w:hAnsi="Book Antiqua" w:cs="Book Antiqua"/>
          <w:color w:val="000000"/>
        </w:rPr>
        <w:t>ll authors have contributed to</w:t>
      </w:r>
      <w:r w:rsidR="00EE0728">
        <w:rPr>
          <w:rFonts w:ascii="Book Antiqua" w:eastAsia="Book Antiqua" w:hAnsi="Book Antiqua" w:cs="Book Antiqua"/>
          <w:color w:val="000000"/>
        </w:rPr>
        <w:t>,</w:t>
      </w:r>
      <w:r w:rsidRPr="00151BD6">
        <w:rPr>
          <w:rFonts w:ascii="Book Antiqua" w:eastAsia="Book Antiqua" w:hAnsi="Book Antiqua" w:cs="Book Antiqua"/>
          <w:color w:val="000000"/>
        </w:rPr>
        <w:t xml:space="preserve"> read</w:t>
      </w:r>
      <w:r w:rsidR="00EE0728">
        <w:rPr>
          <w:rFonts w:ascii="Book Antiqua" w:eastAsia="Book Antiqua" w:hAnsi="Book Antiqua" w:cs="Book Antiqua"/>
          <w:color w:val="000000"/>
        </w:rPr>
        <w:t>,</w:t>
      </w:r>
      <w:r w:rsidRPr="00151BD6">
        <w:rPr>
          <w:rFonts w:ascii="Book Antiqua" w:eastAsia="Book Antiqua" w:hAnsi="Book Antiqua" w:cs="Book Antiqua"/>
          <w:color w:val="000000"/>
        </w:rPr>
        <w:t xml:space="preserve"> and approved the manuscript.</w:t>
      </w:r>
    </w:p>
    <w:p w14:paraId="591F2856" w14:textId="77777777" w:rsidR="00A77B3E" w:rsidRPr="00151BD6" w:rsidRDefault="00A77B3E" w:rsidP="00861CDC">
      <w:pPr>
        <w:spacing w:line="360" w:lineRule="auto"/>
        <w:jc w:val="both"/>
        <w:rPr>
          <w:rFonts w:ascii="Book Antiqua" w:hAnsi="Book Antiqua"/>
        </w:rPr>
      </w:pPr>
    </w:p>
    <w:p w14:paraId="1B5B5EB6" w14:textId="7032DC6A" w:rsidR="00A77B3E" w:rsidRPr="00506C5D" w:rsidRDefault="00252B19" w:rsidP="00861CDC">
      <w:pPr>
        <w:spacing w:line="360" w:lineRule="auto"/>
        <w:jc w:val="both"/>
        <w:rPr>
          <w:rFonts w:ascii="Book Antiqua" w:hAnsi="Book Antiqua"/>
          <w:lang w:eastAsia="zh-CN"/>
        </w:rPr>
      </w:pPr>
      <w:r w:rsidRPr="00151BD6">
        <w:rPr>
          <w:rFonts w:ascii="Book Antiqua" w:eastAsia="Book Antiqua" w:hAnsi="Book Antiqua" w:cs="Book Antiqua"/>
          <w:b/>
          <w:bCs/>
          <w:color w:val="000000"/>
        </w:rPr>
        <w:t xml:space="preserve">Corresponding author: Alberto Ferrarese, MD, </w:t>
      </w:r>
      <w:r w:rsidR="00D3239E" w:rsidRPr="00151BD6">
        <w:rPr>
          <w:rFonts w:ascii="Book Antiqua" w:eastAsia="Book Antiqua" w:hAnsi="Book Antiqua" w:cs="Book Antiqua"/>
          <w:color w:val="000000"/>
        </w:rPr>
        <w:t xml:space="preserve">Department of </w:t>
      </w:r>
      <w:r w:rsidRPr="00151BD6">
        <w:rPr>
          <w:rFonts w:ascii="Book Antiqua" w:eastAsia="Book Antiqua" w:hAnsi="Book Antiqua" w:cs="Book Antiqua"/>
          <w:color w:val="000000"/>
        </w:rPr>
        <w:t>Gastroenterology, Verona Un</w:t>
      </w:r>
      <w:r w:rsidR="00D3239E" w:rsidRPr="00151BD6">
        <w:rPr>
          <w:rFonts w:ascii="Book Antiqua" w:eastAsia="Book Antiqua" w:hAnsi="Book Antiqua" w:cs="Book Antiqua"/>
          <w:color w:val="000000"/>
        </w:rPr>
        <w:t>iversity Hospital, p.le Stefani</w:t>
      </w:r>
      <w:r w:rsidRPr="00151BD6">
        <w:rPr>
          <w:rFonts w:ascii="Book Antiqua" w:eastAsia="Book Antiqua" w:hAnsi="Book Antiqua" w:cs="Book Antiqua"/>
          <w:color w:val="000000"/>
        </w:rPr>
        <w:t xml:space="preserve"> 1, Verona 37124, Italy. alberto.ferrarese@aovr.veneto.it</w:t>
      </w:r>
    </w:p>
    <w:p w14:paraId="1B4D1C13" w14:textId="77777777" w:rsidR="00A77B3E" w:rsidRPr="00151BD6" w:rsidRDefault="00A77B3E" w:rsidP="00861CDC">
      <w:pPr>
        <w:spacing w:line="360" w:lineRule="auto"/>
        <w:jc w:val="both"/>
        <w:rPr>
          <w:rFonts w:ascii="Book Antiqua" w:hAnsi="Book Antiqua"/>
        </w:rPr>
      </w:pPr>
    </w:p>
    <w:p w14:paraId="783AC1F7"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bCs/>
          <w:color w:val="000000"/>
        </w:rPr>
        <w:t xml:space="preserve">Received: </w:t>
      </w:r>
      <w:r w:rsidRPr="00151BD6">
        <w:rPr>
          <w:rFonts w:ascii="Book Antiqua" w:eastAsia="Book Antiqua" w:hAnsi="Book Antiqua" w:cs="Book Antiqua"/>
          <w:color w:val="000000"/>
        </w:rPr>
        <w:t>February 24, 2021</w:t>
      </w:r>
    </w:p>
    <w:p w14:paraId="0130225C"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bCs/>
          <w:color w:val="000000"/>
        </w:rPr>
        <w:lastRenderedPageBreak/>
        <w:t xml:space="preserve">Revised: </w:t>
      </w:r>
      <w:r w:rsidRPr="00151BD6">
        <w:rPr>
          <w:rFonts w:ascii="Book Antiqua" w:eastAsia="Book Antiqua" w:hAnsi="Book Antiqua" w:cs="Book Antiqua"/>
          <w:color w:val="000000"/>
        </w:rPr>
        <w:t>June 8, 2021</w:t>
      </w:r>
    </w:p>
    <w:p w14:paraId="2EA2E031" w14:textId="247B86CC"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bCs/>
          <w:color w:val="000000"/>
        </w:rPr>
        <w:t xml:space="preserve">Accepted: </w:t>
      </w:r>
      <w:bookmarkStart w:id="0" w:name="OLE_LINK15"/>
      <w:bookmarkStart w:id="1" w:name="OLE_LINK33"/>
      <w:bookmarkStart w:id="2" w:name="OLE_LINK48"/>
      <w:r w:rsidR="00C74DA4">
        <w:rPr>
          <w:rFonts w:ascii="Book Antiqua" w:eastAsia="宋体" w:hAnsi="Book Antiqua"/>
          <w:color w:val="000000" w:themeColor="text1"/>
        </w:rPr>
        <w:t>J</w:t>
      </w:r>
      <w:r w:rsidR="00C74DA4">
        <w:rPr>
          <w:rFonts w:ascii="Book Antiqua" w:eastAsia="宋体" w:hAnsi="Book Antiqua" w:hint="eastAsia"/>
          <w:color w:val="000000" w:themeColor="text1"/>
        </w:rPr>
        <w:t>u</w:t>
      </w:r>
      <w:r w:rsidR="00C74DA4">
        <w:rPr>
          <w:rFonts w:ascii="Book Antiqua" w:eastAsia="宋体" w:hAnsi="Book Antiqua"/>
          <w:color w:val="000000" w:themeColor="text1"/>
        </w:rPr>
        <w:t>ly</w:t>
      </w:r>
      <w:r w:rsidR="00C74DA4" w:rsidRPr="00F06907">
        <w:rPr>
          <w:rFonts w:ascii="Book Antiqua" w:eastAsia="宋体" w:hAnsi="Book Antiqua"/>
          <w:color w:val="000000" w:themeColor="text1"/>
        </w:rPr>
        <w:t xml:space="preserve"> </w:t>
      </w:r>
      <w:r w:rsidR="00C74DA4">
        <w:rPr>
          <w:rFonts w:ascii="Book Antiqua" w:eastAsia="宋体" w:hAnsi="Book Antiqua"/>
          <w:color w:val="000000" w:themeColor="text1"/>
        </w:rPr>
        <w:t>28</w:t>
      </w:r>
      <w:r w:rsidR="00C74DA4" w:rsidRPr="00F06907">
        <w:rPr>
          <w:rFonts w:ascii="Book Antiqua" w:eastAsia="宋体" w:hAnsi="Book Antiqua"/>
          <w:color w:val="000000" w:themeColor="text1"/>
        </w:rPr>
        <w:t>, 2021</w:t>
      </w:r>
      <w:bookmarkEnd w:id="0"/>
      <w:bookmarkEnd w:id="1"/>
      <w:bookmarkEnd w:id="2"/>
    </w:p>
    <w:p w14:paraId="397F7731" w14:textId="25C4348D"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bCs/>
          <w:color w:val="000000"/>
        </w:rPr>
        <w:t xml:space="preserve">Published online: </w:t>
      </w:r>
      <w:r w:rsidR="0041259F" w:rsidRPr="005529F2">
        <w:rPr>
          <w:rFonts w:ascii="Book Antiqua" w:eastAsia="Book Antiqua" w:hAnsi="Book Antiqua" w:cs="Book Antiqua"/>
          <w:bCs/>
          <w:color w:val="000000"/>
        </w:rPr>
        <w:t>August 2</w:t>
      </w:r>
      <w:r w:rsidR="0041259F">
        <w:rPr>
          <w:rFonts w:ascii="Book Antiqua" w:hAnsi="Book Antiqua" w:cs="Book Antiqua" w:hint="eastAsia"/>
          <w:bCs/>
          <w:color w:val="000000"/>
          <w:lang w:eastAsia="zh-CN"/>
        </w:rPr>
        <w:t>7</w:t>
      </w:r>
      <w:r w:rsidR="0041259F" w:rsidRPr="005529F2">
        <w:rPr>
          <w:rFonts w:ascii="Book Antiqua" w:hAnsi="Book Antiqua" w:cs="Book Antiqua" w:hint="eastAsia"/>
          <w:bCs/>
          <w:color w:val="000000"/>
          <w:lang w:eastAsia="zh-CN"/>
        </w:rPr>
        <w:t>, 2021</w:t>
      </w:r>
    </w:p>
    <w:p w14:paraId="6A0C6B67" w14:textId="77777777" w:rsidR="00A77B3E" w:rsidRPr="00151BD6" w:rsidRDefault="00A77B3E" w:rsidP="00861CDC">
      <w:pPr>
        <w:spacing w:line="360" w:lineRule="auto"/>
        <w:jc w:val="both"/>
        <w:rPr>
          <w:rFonts w:ascii="Book Antiqua" w:hAnsi="Book Antiqua"/>
        </w:rPr>
        <w:sectPr w:rsidR="00A77B3E" w:rsidRPr="00151BD6">
          <w:footerReference w:type="default" r:id="rId8"/>
          <w:pgSz w:w="12240" w:h="15840"/>
          <w:pgMar w:top="1440" w:right="1440" w:bottom="1440" w:left="1440" w:header="720" w:footer="720" w:gutter="0"/>
          <w:cols w:space="720"/>
          <w:docGrid w:linePitch="360"/>
        </w:sectPr>
      </w:pPr>
    </w:p>
    <w:p w14:paraId="7981336B"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Abstract</w:t>
      </w:r>
    </w:p>
    <w:p w14:paraId="6C9E8A60" w14:textId="2D9FB7DA" w:rsidR="00A77B3E" w:rsidRPr="00151BD6" w:rsidRDefault="00252B19" w:rsidP="00861CDC">
      <w:pPr>
        <w:spacing w:line="360" w:lineRule="auto"/>
        <w:jc w:val="both"/>
        <w:rPr>
          <w:rFonts w:ascii="Book Antiqua" w:hAnsi="Book Antiqua"/>
          <w:lang w:eastAsia="zh-CN"/>
        </w:rPr>
      </w:pPr>
      <w:r w:rsidRPr="00151BD6">
        <w:rPr>
          <w:rFonts w:ascii="Book Antiqua" w:eastAsia="Book Antiqua" w:hAnsi="Book Antiqua" w:cs="Book Antiqua"/>
          <w:color w:val="000000"/>
        </w:rPr>
        <w:t>Patients with cirrhosis show an increased susceptibility to infection due to disease-related immune-dysfunction. Bacterial infection therefore represents a common, often detrimental event in patients with advanced liver disease, since it can worsen portal hypertension and impair the function of hepatic and extra-hepatic organs. Among pharmacological strategies to prevent infection, antibiotic prophylaxis remains the first-choice, especially in high-risk groups, such as patients with acute variceal bleeding, low ascitic fluid proteins</w:t>
      </w:r>
      <w:r w:rsidR="008134EC">
        <w:rPr>
          <w:rFonts w:ascii="Book Antiqua" w:eastAsia="Book Antiqua" w:hAnsi="Book Antiqua" w:cs="Book Antiqua"/>
          <w:color w:val="000000"/>
        </w:rPr>
        <w:t>,</w:t>
      </w:r>
      <w:r w:rsidRPr="00151BD6">
        <w:rPr>
          <w:rFonts w:ascii="Book Antiqua" w:eastAsia="Book Antiqua" w:hAnsi="Book Antiqua" w:cs="Book Antiqua"/>
          <w:color w:val="000000"/>
        </w:rPr>
        <w:t xml:space="preserve"> and prior episodes of spontaneous bacterial peritonitis. Nevertheless, antibiotic prophylaxis has to deal with the changing bact</w:t>
      </w:r>
      <w:r w:rsidR="002B0272" w:rsidRPr="00151BD6">
        <w:rPr>
          <w:rFonts w:ascii="Book Antiqua" w:eastAsia="Book Antiqua" w:hAnsi="Book Antiqua" w:cs="Book Antiqua"/>
          <w:color w:val="000000"/>
        </w:rPr>
        <w:t>erial epidemiology in cirrhosis</w:t>
      </w:r>
      <w:r w:rsidR="008134EC">
        <w:rPr>
          <w:rFonts w:ascii="Book Antiqua" w:eastAsia="Book Antiqua" w:hAnsi="Book Antiqua" w:cs="Book Antiqua"/>
          <w:color w:val="000000"/>
        </w:rPr>
        <w:t xml:space="preserve">, </w:t>
      </w:r>
      <w:r w:rsidRPr="00151BD6">
        <w:rPr>
          <w:rFonts w:ascii="Book Antiqua" w:eastAsia="Book Antiqua" w:hAnsi="Book Antiqua" w:cs="Book Antiqua"/>
          <w:color w:val="000000"/>
        </w:rPr>
        <w:t>with increased rates of gram-positive bacter</w:t>
      </w:r>
      <w:r w:rsidR="002B0272" w:rsidRPr="00151BD6">
        <w:rPr>
          <w:rFonts w:ascii="Book Antiqua" w:eastAsia="Book Antiqua" w:hAnsi="Book Antiqua" w:cs="Book Antiqua"/>
          <w:color w:val="000000"/>
        </w:rPr>
        <w:t>ia and multidrug resistant rods</w:t>
      </w:r>
      <w:r w:rsidRPr="00151BD6">
        <w:rPr>
          <w:rFonts w:ascii="Book Antiqua" w:eastAsia="Book Antiqua" w:hAnsi="Book Antiqua" w:cs="Book Antiqua"/>
          <w:color w:val="000000"/>
        </w:rPr>
        <w:t>, warnings about quinolones-related side effects, and low prescription adherence. Short-term antibiotic prophylaxis is applied in many other s</w:t>
      </w:r>
      <w:r w:rsidR="002B0272" w:rsidRPr="00151BD6">
        <w:rPr>
          <w:rFonts w:ascii="Book Antiqua" w:eastAsia="Book Antiqua" w:hAnsi="Book Antiqua" w:cs="Book Antiqua"/>
          <w:color w:val="000000"/>
        </w:rPr>
        <w:t>ettings during hospitalization</w:t>
      </w:r>
      <w:r w:rsidR="008134EC">
        <w:rPr>
          <w:rFonts w:ascii="Book Antiqua" w:eastAsia="Book Antiqua" w:hAnsi="Book Antiqua" w:cs="Book Antiqua"/>
          <w:color w:val="000000"/>
        </w:rPr>
        <w:t xml:space="preserve">, </w:t>
      </w:r>
      <w:r w:rsidRPr="00151BD6">
        <w:rPr>
          <w:rFonts w:ascii="Book Antiqua" w:eastAsia="Book Antiqua" w:hAnsi="Book Antiqua" w:cs="Book Antiqua"/>
          <w:color w:val="000000"/>
        </w:rPr>
        <w:t>such as before interve</w:t>
      </w:r>
      <w:r w:rsidR="002B0272" w:rsidRPr="00151BD6">
        <w:rPr>
          <w:rFonts w:ascii="Book Antiqua" w:eastAsia="Book Antiqua" w:hAnsi="Book Antiqua" w:cs="Book Antiqua"/>
          <w:color w:val="000000"/>
        </w:rPr>
        <w:t>ntional or surgical procedures</w:t>
      </w:r>
      <w:r w:rsidRPr="00151BD6">
        <w:rPr>
          <w:rFonts w:ascii="Book Antiqua" w:eastAsia="Book Antiqua" w:hAnsi="Book Antiqua" w:cs="Book Antiqua"/>
          <w:color w:val="000000"/>
        </w:rPr>
        <w:t>, but often without knowledge of local bacterial epidemiology and without strict adherence to antimicrobial stewardship. This paper offers a detailed overview on the application of antibiotic prophylaxis in cirrhosis, according to the current evidence.</w:t>
      </w:r>
    </w:p>
    <w:p w14:paraId="192F847B" w14:textId="77777777" w:rsidR="00A77B3E" w:rsidRPr="00151BD6" w:rsidRDefault="00A77B3E" w:rsidP="00861CDC">
      <w:pPr>
        <w:spacing w:line="360" w:lineRule="auto"/>
        <w:jc w:val="both"/>
        <w:rPr>
          <w:rFonts w:ascii="Book Antiqua" w:hAnsi="Book Antiqua"/>
        </w:rPr>
      </w:pPr>
    </w:p>
    <w:p w14:paraId="4EFA230C" w14:textId="77777777" w:rsidR="00A77B3E" w:rsidRPr="00151BD6" w:rsidRDefault="00252B19" w:rsidP="00861CDC">
      <w:pPr>
        <w:spacing w:line="360" w:lineRule="auto"/>
        <w:jc w:val="both"/>
        <w:rPr>
          <w:rFonts w:ascii="Book Antiqua" w:hAnsi="Book Antiqua"/>
          <w:lang w:eastAsia="zh-CN"/>
        </w:rPr>
      </w:pPr>
      <w:r w:rsidRPr="00151BD6">
        <w:rPr>
          <w:rFonts w:ascii="Book Antiqua" w:eastAsia="Book Antiqua" w:hAnsi="Book Antiqua" w:cs="Book Antiqua"/>
          <w:b/>
          <w:bCs/>
          <w:color w:val="000000"/>
        </w:rPr>
        <w:t xml:space="preserve">Key Words: </w:t>
      </w:r>
      <w:r w:rsidR="009271C1" w:rsidRPr="00151BD6">
        <w:rPr>
          <w:rFonts w:ascii="Book Antiqua" w:hAnsi="Book Antiqua" w:cs="Book Antiqua"/>
          <w:color w:val="000000"/>
          <w:lang w:eastAsia="zh-CN"/>
        </w:rPr>
        <w:t>C</w:t>
      </w:r>
      <w:r w:rsidRPr="00151BD6">
        <w:rPr>
          <w:rFonts w:ascii="Book Antiqua" w:eastAsia="Book Antiqua" w:hAnsi="Book Antiqua" w:cs="Book Antiqua"/>
          <w:color w:val="000000"/>
        </w:rPr>
        <w:t>irrhosis</w:t>
      </w:r>
      <w:r w:rsidRPr="00151BD6">
        <w:rPr>
          <w:rFonts w:ascii="Book Antiqua" w:eastAsia="Book Antiqua" w:hAnsi="Book Antiqua" w:cs="Book Antiqua"/>
          <w:bCs/>
          <w:color w:val="000000"/>
        </w:rPr>
        <w:t>;</w:t>
      </w:r>
      <w:r w:rsidRPr="00151BD6">
        <w:rPr>
          <w:rFonts w:ascii="Book Antiqua" w:eastAsia="Book Antiqua" w:hAnsi="Book Antiqua" w:cs="Book Antiqua"/>
          <w:b/>
          <w:bCs/>
          <w:color w:val="000000"/>
        </w:rPr>
        <w:t xml:space="preserve"> </w:t>
      </w:r>
      <w:r w:rsidR="009271C1" w:rsidRPr="00151BD6">
        <w:rPr>
          <w:rFonts w:ascii="Book Antiqua" w:hAnsi="Book Antiqua" w:cs="Book Antiqua"/>
          <w:color w:val="000000"/>
          <w:lang w:eastAsia="zh-CN"/>
        </w:rPr>
        <w:t>Q</w:t>
      </w:r>
      <w:r w:rsidRPr="00151BD6">
        <w:rPr>
          <w:rFonts w:ascii="Book Antiqua" w:eastAsia="Book Antiqua" w:hAnsi="Book Antiqua" w:cs="Book Antiqua"/>
          <w:color w:val="000000"/>
        </w:rPr>
        <w:t xml:space="preserve">uinolones; </w:t>
      </w:r>
      <w:r w:rsidR="009271C1" w:rsidRPr="00151BD6">
        <w:rPr>
          <w:rFonts w:ascii="Book Antiqua" w:hAnsi="Book Antiqua" w:cs="Book Antiqua"/>
          <w:color w:val="000000"/>
          <w:lang w:eastAsia="zh-CN"/>
        </w:rPr>
        <w:t>S</w:t>
      </w:r>
      <w:r w:rsidRPr="00151BD6">
        <w:rPr>
          <w:rFonts w:ascii="Book Antiqua" w:eastAsia="Book Antiqua" w:hAnsi="Book Antiqua" w:cs="Book Antiqua"/>
          <w:color w:val="000000"/>
        </w:rPr>
        <w:t xml:space="preserve">pontaneous bacterial peritonitis; </w:t>
      </w:r>
      <w:r w:rsidR="009271C1" w:rsidRPr="00151BD6">
        <w:rPr>
          <w:rFonts w:ascii="Book Antiqua" w:hAnsi="Book Antiqua" w:cs="Book Antiqua"/>
          <w:color w:val="000000"/>
          <w:lang w:eastAsia="zh-CN"/>
        </w:rPr>
        <w:t>L</w:t>
      </w:r>
      <w:r w:rsidRPr="00151BD6">
        <w:rPr>
          <w:rFonts w:ascii="Book Antiqua" w:eastAsia="Book Antiqua" w:hAnsi="Book Antiqua" w:cs="Book Antiqua"/>
          <w:color w:val="000000"/>
        </w:rPr>
        <w:t xml:space="preserve">iver transplantation; </w:t>
      </w:r>
      <w:r w:rsidR="009271C1" w:rsidRPr="00151BD6">
        <w:rPr>
          <w:rFonts w:ascii="Book Antiqua" w:hAnsi="Book Antiqua" w:cs="Book Antiqua"/>
          <w:color w:val="000000"/>
          <w:lang w:eastAsia="zh-CN"/>
        </w:rPr>
        <w:t>T</w:t>
      </w:r>
      <w:r w:rsidRPr="00151BD6">
        <w:rPr>
          <w:rFonts w:ascii="Book Antiqua" w:eastAsia="Book Antiqua" w:hAnsi="Book Antiqua" w:cs="Book Antiqua"/>
          <w:color w:val="000000"/>
        </w:rPr>
        <w:t xml:space="preserve">rans-jugular intrahepatic portosystemic shunt; </w:t>
      </w:r>
      <w:r w:rsidR="009271C1" w:rsidRPr="00151BD6">
        <w:rPr>
          <w:rFonts w:ascii="Book Antiqua" w:hAnsi="Book Antiqua" w:cs="Book Antiqua"/>
          <w:color w:val="000000"/>
          <w:lang w:eastAsia="zh-CN"/>
        </w:rPr>
        <w:t>V</w:t>
      </w:r>
      <w:r w:rsidRPr="00151BD6">
        <w:rPr>
          <w:rFonts w:ascii="Book Antiqua" w:eastAsia="Book Antiqua" w:hAnsi="Book Antiqua" w:cs="Book Antiqua"/>
          <w:color w:val="000000"/>
        </w:rPr>
        <w:t>ariceal bleeding</w:t>
      </w:r>
    </w:p>
    <w:p w14:paraId="662C677D" w14:textId="77777777" w:rsidR="006B6551" w:rsidRDefault="006B6551" w:rsidP="006B6551">
      <w:pPr>
        <w:spacing w:line="360" w:lineRule="auto"/>
        <w:jc w:val="both"/>
        <w:rPr>
          <w:lang w:eastAsia="zh-CN"/>
        </w:rPr>
      </w:pPr>
    </w:p>
    <w:p w14:paraId="508B02DF" w14:textId="77777777" w:rsidR="006B6551" w:rsidRPr="00026CB8" w:rsidRDefault="006B6551" w:rsidP="006B655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D1F5E52" w14:textId="77777777" w:rsidR="00A77B3E" w:rsidRPr="00151BD6" w:rsidRDefault="00A77B3E" w:rsidP="00861CDC">
      <w:pPr>
        <w:spacing w:line="360" w:lineRule="auto"/>
        <w:jc w:val="both"/>
        <w:rPr>
          <w:rFonts w:ascii="Book Antiqua" w:hAnsi="Book Antiqua"/>
        </w:rPr>
      </w:pPr>
    </w:p>
    <w:p w14:paraId="411FAB73" w14:textId="4F5A8517" w:rsidR="007B50C7" w:rsidRDefault="007B50C7" w:rsidP="00861CDC">
      <w:pPr>
        <w:spacing w:line="360" w:lineRule="auto"/>
        <w:jc w:val="both"/>
        <w:rPr>
          <w:rFonts w:ascii="Book Antiqua" w:hAnsi="Book Antiqua"/>
          <w:lang w:eastAsia="zh-CN"/>
        </w:rPr>
      </w:pPr>
      <w:r w:rsidRPr="007B50C7">
        <w:rPr>
          <w:rFonts w:ascii="Book Antiqua" w:hAnsi="Book Antiqua" w:cs="Book Antiqua" w:hint="eastAsia"/>
          <w:b/>
          <w:color w:val="000000"/>
          <w:lang w:eastAsia="zh-CN"/>
        </w:rPr>
        <w:t xml:space="preserve">Citation: </w:t>
      </w:r>
      <w:r w:rsidR="00252B19" w:rsidRPr="00151BD6">
        <w:rPr>
          <w:rFonts w:ascii="Book Antiqua" w:eastAsia="Book Antiqua" w:hAnsi="Book Antiqua" w:cs="Book Antiqua"/>
          <w:color w:val="000000"/>
        </w:rPr>
        <w:t xml:space="preserve">Ferrarese A, Passigato N, Cusumano C, Gemini S, Tonon A, Dajti E, Marasco G, Ravaioli F, Colecchia A. Antibiotic prophylaxis in patients with cirrhosis: </w:t>
      </w:r>
      <w:r w:rsidR="00FC1A9F" w:rsidRPr="00151BD6">
        <w:rPr>
          <w:rFonts w:ascii="Book Antiqua" w:hAnsi="Book Antiqua" w:cs="Book Antiqua"/>
          <w:color w:val="000000"/>
          <w:lang w:eastAsia="zh-CN"/>
        </w:rPr>
        <w:t>C</w:t>
      </w:r>
      <w:r w:rsidR="00252B19" w:rsidRPr="00151BD6">
        <w:rPr>
          <w:rFonts w:ascii="Book Antiqua" w:eastAsia="Book Antiqua" w:hAnsi="Book Antiqua" w:cs="Book Antiqua"/>
          <w:color w:val="000000"/>
        </w:rPr>
        <w:t xml:space="preserve">urrent evidence for clinical practice. </w:t>
      </w:r>
      <w:r w:rsidR="00252B19" w:rsidRPr="00151BD6">
        <w:rPr>
          <w:rFonts w:ascii="Book Antiqua" w:eastAsia="Book Antiqua" w:hAnsi="Book Antiqua" w:cs="Book Antiqua"/>
          <w:i/>
          <w:iCs/>
          <w:color w:val="000000"/>
        </w:rPr>
        <w:t>World J Hepatol</w:t>
      </w:r>
      <w:r w:rsidR="00252B19" w:rsidRPr="00151BD6">
        <w:rPr>
          <w:rFonts w:ascii="Book Antiqua" w:eastAsia="Book Antiqua" w:hAnsi="Book Antiqua" w:cs="Book Antiqua"/>
          <w:color w:val="000000"/>
        </w:rPr>
        <w:t xml:space="preserve"> </w:t>
      </w:r>
      <w:r w:rsidR="009946C5" w:rsidRPr="00EE6A3B">
        <w:rPr>
          <w:rFonts w:ascii="Book Antiqua" w:hAnsi="Book Antiqua"/>
        </w:rPr>
        <w:t>202</w:t>
      </w:r>
      <w:r w:rsidR="009946C5">
        <w:rPr>
          <w:rFonts w:ascii="Book Antiqua" w:hAnsi="Book Antiqua" w:hint="eastAsia"/>
          <w:lang w:eastAsia="zh-CN"/>
        </w:rPr>
        <w:t>1</w:t>
      </w:r>
      <w:r w:rsidR="009946C5" w:rsidRPr="00EE6A3B">
        <w:rPr>
          <w:rFonts w:ascii="Book Antiqua" w:hAnsi="Book Antiqua"/>
        </w:rPr>
        <w:t xml:space="preserve">; </w:t>
      </w:r>
      <w:r w:rsidR="009946C5">
        <w:rPr>
          <w:rFonts w:ascii="Book Antiqua" w:hAnsi="Book Antiqua" w:hint="eastAsia"/>
          <w:lang w:eastAsia="zh-CN"/>
        </w:rPr>
        <w:t>13</w:t>
      </w:r>
      <w:r w:rsidR="009946C5" w:rsidRPr="00EE6A3B">
        <w:rPr>
          <w:rFonts w:ascii="Book Antiqua" w:hAnsi="Book Antiqua"/>
        </w:rPr>
        <w:t>(</w:t>
      </w:r>
      <w:r w:rsidR="009946C5">
        <w:rPr>
          <w:rFonts w:ascii="Book Antiqua" w:hAnsi="Book Antiqua" w:hint="eastAsia"/>
          <w:lang w:eastAsia="zh-CN"/>
        </w:rPr>
        <w:t>8</w:t>
      </w:r>
      <w:r w:rsidR="009946C5" w:rsidRPr="00EE6A3B">
        <w:rPr>
          <w:rFonts w:ascii="Book Antiqua" w:hAnsi="Book Antiqua"/>
        </w:rPr>
        <w:t xml:space="preserve">): </w:t>
      </w:r>
      <w:r w:rsidRPr="007B50C7">
        <w:rPr>
          <w:rFonts w:ascii="Book Antiqua" w:hAnsi="Book Antiqua"/>
        </w:rPr>
        <w:t>840-852</w:t>
      </w:r>
      <w:r w:rsidR="009946C5" w:rsidRPr="00EE6A3B">
        <w:rPr>
          <w:rFonts w:ascii="Book Antiqua" w:hAnsi="Book Antiqua"/>
        </w:rPr>
        <w:t xml:space="preserve"> </w:t>
      </w:r>
    </w:p>
    <w:p w14:paraId="0443C376" w14:textId="3E85E393" w:rsidR="007B50C7" w:rsidRDefault="009946C5" w:rsidP="00861CDC">
      <w:pPr>
        <w:spacing w:line="360" w:lineRule="auto"/>
        <w:jc w:val="both"/>
        <w:rPr>
          <w:rFonts w:ascii="Book Antiqua" w:hAnsi="Book Antiqua"/>
          <w:lang w:eastAsia="zh-CN"/>
        </w:rPr>
      </w:pPr>
      <w:r w:rsidRPr="007B50C7">
        <w:rPr>
          <w:rFonts w:ascii="Book Antiqua" w:hAnsi="Book Antiqua"/>
          <w:b/>
        </w:rPr>
        <w:t>URL:</w:t>
      </w:r>
      <w:r w:rsidRPr="00EE6A3B">
        <w:rPr>
          <w:rFonts w:ascii="Book Antiqua" w:hAnsi="Book Antiqua"/>
        </w:rPr>
        <w:t xml:space="preserve"> https://www.wjgnet.com/</w:t>
      </w:r>
      <w:r w:rsidR="005A1BFC" w:rsidRPr="000E2EB3">
        <w:rPr>
          <w:rFonts w:ascii="Book Antiqua" w:hAnsi="Book Antiqua"/>
        </w:rPr>
        <w:t>1948-5182</w:t>
      </w:r>
      <w:r w:rsidRPr="00EE6A3B">
        <w:rPr>
          <w:rFonts w:ascii="Book Antiqua" w:hAnsi="Book Antiqua"/>
        </w:rPr>
        <w:t>/full/v</w:t>
      </w:r>
      <w:r>
        <w:rPr>
          <w:rFonts w:ascii="Book Antiqua" w:hAnsi="Book Antiqua" w:hint="eastAsia"/>
          <w:lang w:eastAsia="zh-CN"/>
        </w:rPr>
        <w:t>13</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sidR="007B50C7" w:rsidRPr="007B50C7">
        <w:rPr>
          <w:rFonts w:ascii="Book Antiqua" w:hAnsi="Book Antiqua"/>
        </w:rPr>
        <w:t>840</w:t>
      </w:r>
      <w:r w:rsidRPr="00EE6A3B">
        <w:rPr>
          <w:rFonts w:ascii="Book Antiqua" w:hAnsi="Book Antiqua"/>
        </w:rPr>
        <w:t xml:space="preserve">.htm  </w:t>
      </w:r>
    </w:p>
    <w:p w14:paraId="67725D42" w14:textId="294CBEEE" w:rsidR="00A77B3E" w:rsidRPr="00151BD6" w:rsidRDefault="009946C5" w:rsidP="00861CDC">
      <w:pPr>
        <w:spacing w:line="360" w:lineRule="auto"/>
        <w:jc w:val="both"/>
        <w:rPr>
          <w:rFonts w:ascii="Book Antiqua" w:hAnsi="Book Antiqua"/>
        </w:rPr>
      </w:pPr>
      <w:r w:rsidRPr="007B50C7">
        <w:rPr>
          <w:rFonts w:ascii="Book Antiqua" w:hAnsi="Book Antiqua"/>
          <w:b/>
        </w:rPr>
        <w:t>DOI:</w:t>
      </w:r>
      <w:r w:rsidRPr="00EE6A3B">
        <w:rPr>
          <w:rFonts w:ascii="Book Antiqua" w:hAnsi="Book Antiqua"/>
        </w:rPr>
        <w:t xml:space="preserve"> https://dx.doi.org/10.</w:t>
      </w:r>
      <w:r w:rsidR="005A1BFC" w:rsidRPr="000E2EB3">
        <w:rPr>
          <w:rFonts w:ascii="Book Antiqua" w:hAnsi="Book Antiqua"/>
        </w:rPr>
        <w:t>4254</w:t>
      </w:r>
      <w:r>
        <w:rPr>
          <w:rFonts w:ascii="Book Antiqua" w:hAnsi="Book Antiqua"/>
        </w:rPr>
        <w:t>/wj</w:t>
      </w:r>
      <w:r w:rsidR="005A1BFC">
        <w:rPr>
          <w:rFonts w:ascii="Book Antiqua" w:hAnsi="Book Antiqua" w:hint="eastAsia"/>
          <w:lang w:eastAsia="zh-CN"/>
        </w:rPr>
        <w:t>h</w:t>
      </w:r>
      <w:bookmarkStart w:id="3" w:name="_GoBack"/>
      <w:bookmarkEnd w:id="3"/>
      <w:r w:rsidRPr="00EE6A3B">
        <w:rPr>
          <w:rFonts w:ascii="Book Antiqua" w:hAnsi="Book Antiqua"/>
        </w:rPr>
        <w:t>.v</w:t>
      </w:r>
      <w:r>
        <w:rPr>
          <w:rFonts w:ascii="Book Antiqua" w:hAnsi="Book Antiqua" w:hint="eastAsia"/>
          <w:lang w:eastAsia="zh-CN"/>
        </w:rPr>
        <w:t>13</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sidR="007B50C7" w:rsidRPr="007B50C7">
        <w:rPr>
          <w:rFonts w:ascii="Book Antiqua" w:hAnsi="Book Antiqua"/>
        </w:rPr>
        <w:t>840</w:t>
      </w:r>
    </w:p>
    <w:p w14:paraId="2970955A" w14:textId="77777777" w:rsidR="00A77B3E" w:rsidRPr="00151BD6" w:rsidRDefault="00A77B3E" w:rsidP="00861CDC">
      <w:pPr>
        <w:spacing w:line="360" w:lineRule="auto"/>
        <w:jc w:val="both"/>
        <w:rPr>
          <w:rFonts w:ascii="Book Antiqua" w:hAnsi="Book Antiqua"/>
        </w:rPr>
      </w:pPr>
    </w:p>
    <w:p w14:paraId="5F1E7882" w14:textId="635CFE29"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bCs/>
          <w:color w:val="000000"/>
        </w:rPr>
        <w:t xml:space="preserve">Core Tip: </w:t>
      </w:r>
      <w:r w:rsidRPr="00151BD6">
        <w:rPr>
          <w:rFonts w:ascii="Book Antiqua" w:eastAsia="Book Antiqua" w:hAnsi="Book Antiqua" w:cs="Book Antiqua"/>
          <w:color w:val="000000"/>
        </w:rPr>
        <w:t>Antibiotic prophylaxis represents a cornerstone for the management of several complications of decompensated cirrhosis, as spontaneous bacterial peritonitis and variceal bleeding. Short-term antibiotic prophylaxis is often applied in many other settings during hospitaliza</w:t>
      </w:r>
      <w:r w:rsidR="00F90F41" w:rsidRPr="00151BD6">
        <w:rPr>
          <w:rFonts w:ascii="Book Antiqua" w:eastAsia="Book Antiqua" w:hAnsi="Book Antiqua" w:cs="Book Antiqua"/>
          <w:color w:val="000000"/>
        </w:rPr>
        <w:t>tion of patients with cirrhosis</w:t>
      </w:r>
      <w:r w:rsidR="008134EC">
        <w:rPr>
          <w:rFonts w:ascii="Book Antiqua" w:eastAsia="Book Antiqua" w:hAnsi="Book Antiqua" w:cs="Book Antiqua"/>
          <w:color w:val="000000"/>
        </w:rPr>
        <w:t xml:space="preserve">, </w:t>
      </w:r>
      <w:r w:rsidRPr="00151BD6">
        <w:rPr>
          <w:rFonts w:ascii="Book Antiqua" w:eastAsia="Book Antiqua" w:hAnsi="Book Antiqua" w:cs="Book Antiqua"/>
          <w:color w:val="000000"/>
        </w:rPr>
        <w:t xml:space="preserve">such as before interventional </w:t>
      </w:r>
      <w:r w:rsidR="00F90F41" w:rsidRPr="00151BD6">
        <w:rPr>
          <w:rFonts w:ascii="Book Antiqua" w:eastAsia="Book Antiqua" w:hAnsi="Book Antiqua" w:cs="Book Antiqua"/>
          <w:color w:val="000000"/>
        </w:rPr>
        <w:t>or surgical procedures</w:t>
      </w:r>
      <w:r w:rsidRPr="00151BD6">
        <w:rPr>
          <w:rFonts w:ascii="Book Antiqua" w:eastAsia="Book Antiqua" w:hAnsi="Book Antiqua" w:cs="Book Antiqua"/>
          <w:color w:val="000000"/>
        </w:rPr>
        <w:t>, but often without knowledge of local bacterial epidemiology and without strict adherence to antimicrobial stewardship.</w:t>
      </w:r>
    </w:p>
    <w:p w14:paraId="2F01F2C3" w14:textId="77777777" w:rsidR="00A77B3E" w:rsidRPr="00151BD6" w:rsidRDefault="00A77B3E" w:rsidP="00861CDC">
      <w:pPr>
        <w:spacing w:line="360" w:lineRule="auto"/>
        <w:jc w:val="both"/>
        <w:rPr>
          <w:rFonts w:ascii="Book Antiqua" w:hAnsi="Book Antiqua"/>
        </w:rPr>
      </w:pPr>
    </w:p>
    <w:p w14:paraId="78CAED04" w14:textId="77777777" w:rsidR="00A77B3E" w:rsidRPr="00151BD6" w:rsidRDefault="00F90F41" w:rsidP="00861CDC">
      <w:pPr>
        <w:spacing w:line="360" w:lineRule="auto"/>
        <w:jc w:val="both"/>
        <w:rPr>
          <w:rFonts w:ascii="Book Antiqua" w:hAnsi="Book Antiqua"/>
        </w:rPr>
      </w:pPr>
      <w:r w:rsidRPr="00151BD6">
        <w:rPr>
          <w:rFonts w:ascii="Book Antiqua" w:eastAsia="Book Antiqua" w:hAnsi="Book Antiqua" w:cs="Book Antiqua"/>
          <w:b/>
          <w:caps/>
          <w:color w:val="000000"/>
          <w:u w:val="single"/>
        </w:rPr>
        <w:br w:type="page"/>
      </w:r>
      <w:r w:rsidR="00252B19" w:rsidRPr="00151BD6">
        <w:rPr>
          <w:rFonts w:ascii="Book Antiqua" w:eastAsia="Book Antiqua" w:hAnsi="Book Antiqua" w:cs="Book Antiqua"/>
          <w:b/>
          <w:caps/>
          <w:color w:val="000000"/>
          <w:u w:val="single"/>
        </w:rPr>
        <w:t>INTRODUCTION</w:t>
      </w:r>
    </w:p>
    <w:p w14:paraId="1BF3ABEA" w14:textId="018F4E2E"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Progress has been made on the pathogenetic and prognostic role of bacterial infection (BI) in many clinical settings of liver cirrhosis. Bacterial translocation from the int</w:t>
      </w:r>
      <w:r w:rsidR="004A0B27" w:rsidRPr="00151BD6">
        <w:rPr>
          <w:rFonts w:ascii="Book Antiqua" w:eastAsia="Book Antiqua" w:hAnsi="Book Antiqua" w:cs="Book Antiqua"/>
          <w:color w:val="000000"/>
        </w:rPr>
        <w:t>estinal lumen is now considered</w:t>
      </w:r>
      <w:r w:rsidRPr="00151BD6">
        <w:rPr>
          <w:rFonts w:ascii="Book Antiqua" w:eastAsia="Book Antiqua" w:hAnsi="Book Antiqua" w:cs="Book Antiqua"/>
          <w:color w:val="000000"/>
        </w:rPr>
        <w:t xml:space="preserve"> key factor for the development and worsening of portal </w:t>
      </w:r>
      <w:r w:rsidR="00151BD6" w:rsidRPr="00151BD6">
        <w:rPr>
          <w:rFonts w:ascii="Book Antiqua" w:eastAsia="Book Antiqua" w:hAnsi="Book Antiqua" w:cs="Book Antiqua"/>
          <w:color w:val="000000"/>
        </w:rPr>
        <w:t>hypertension</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1]</w:t>
      </w:r>
      <w:r w:rsidRPr="00151BD6">
        <w:rPr>
          <w:rFonts w:ascii="Book Antiqua" w:eastAsia="Book Antiqua" w:hAnsi="Book Antiqua" w:cs="Book Antiqua"/>
          <w:color w:val="000000"/>
        </w:rPr>
        <w:t xml:space="preserve">. Moreover, cirrhotic patients, especially at advanced disease stages, experience an impaired immune-surveillance, with reduced response to pathogens and a contemporary “exhausted” systemic </w:t>
      </w:r>
      <w:r w:rsidR="00151BD6" w:rsidRPr="00151BD6">
        <w:rPr>
          <w:rFonts w:ascii="Book Antiqua" w:eastAsia="Book Antiqua" w:hAnsi="Book Antiqua" w:cs="Book Antiqua"/>
          <w:color w:val="000000"/>
        </w:rPr>
        <w:t>inflammation</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2]</w:t>
      </w:r>
      <w:r w:rsidRPr="00151BD6">
        <w:rPr>
          <w:rFonts w:ascii="Book Antiqua" w:eastAsia="Book Antiqua" w:hAnsi="Book Antiqua" w:cs="Book Antiqua"/>
          <w:color w:val="000000"/>
        </w:rPr>
        <w:t xml:space="preserve">. Both the high susceptibility to BI and the exaggerated systemic response trigger hepatic and extra-hepatic organs dysfunction, </w:t>
      </w:r>
      <w:r w:rsidR="00151BD6" w:rsidRPr="00151BD6">
        <w:rPr>
          <w:rFonts w:ascii="Book Antiqua" w:eastAsia="Book Antiqua" w:hAnsi="Book Antiqua" w:cs="Book Antiqua"/>
          <w:color w:val="000000"/>
        </w:rPr>
        <w:t>favoring</w:t>
      </w:r>
      <w:r w:rsidRPr="00151BD6">
        <w:rPr>
          <w:rFonts w:ascii="Book Antiqua" w:eastAsia="Book Antiqua" w:hAnsi="Book Antiqua" w:cs="Book Antiqua"/>
          <w:color w:val="000000"/>
        </w:rPr>
        <w:t xml:space="preserve"> the development of acute-on-chronic liver </w:t>
      </w:r>
      <w:r w:rsidR="00151BD6" w:rsidRPr="00151BD6">
        <w:rPr>
          <w:rFonts w:ascii="Book Antiqua" w:eastAsia="Book Antiqua" w:hAnsi="Book Antiqua" w:cs="Book Antiqua"/>
          <w:color w:val="000000"/>
        </w:rPr>
        <w:t>failure</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3]</w:t>
      </w:r>
      <w:r w:rsidRPr="00151BD6">
        <w:rPr>
          <w:rFonts w:ascii="Book Antiqua" w:eastAsia="Book Antiqua" w:hAnsi="Book Antiqua" w:cs="Book Antiqua"/>
          <w:color w:val="000000"/>
        </w:rPr>
        <w:t>, and a sudden worsening of portal hypertension. Therefore, it is not unusual that an episode of BI impairs the natural course of the disease, increasing morbidity, mortality, and the risk of drop-out from the liver transplant</w:t>
      </w:r>
      <w:r w:rsidR="004A0B27" w:rsidRPr="00151BD6">
        <w:rPr>
          <w:rFonts w:ascii="Book Antiqua" w:hAnsi="Book Antiqua" w:cs="Book Antiqua"/>
          <w:color w:val="000000"/>
          <w:lang w:eastAsia="zh-CN"/>
        </w:rPr>
        <w:t>ation</w:t>
      </w:r>
      <w:r w:rsidRPr="00151BD6">
        <w:rPr>
          <w:rFonts w:ascii="Book Antiqua" w:eastAsia="Book Antiqua" w:hAnsi="Book Antiqua" w:cs="Book Antiqua"/>
          <w:color w:val="000000"/>
        </w:rPr>
        <w:t xml:space="preserve"> (LT) waiting </w:t>
      </w:r>
      <w:r w:rsidR="00151BD6" w:rsidRPr="00151BD6">
        <w:rPr>
          <w:rFonts w:ascii="Book Antiqua" w:eastAsia="Book Antiqua" w:hAnsi="Book Antiqua" w:cs="Book Antiqua"/>
          <w:color w:val="000000"/>
        </w:rPr>
        <w:t>list</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4-6]</w:t>
      </w:r>
      <w:r w:rsidRPr="00151BD6">
        <w:rPr>
          <w:rFonts w:ascii="Book Antiqua" w:eastAsia="Book Antiqua" w:hAnsi="Book Antiqua" w:cs="Book Antiqua"/>
          <w:color w:val="000000"/>
        </w:rPr>
        <w:t xml:space="preserve">. </w:t>
      </w:r>
    </w:p>
    <w:p w14:paraId="6E16F46A" w14:textId="0FFC6EB6" w:rsidR="00A77B3E" w:rsidRPr="00151BD6" w:rsidRDefault="00252B19" w:rsidP="004A0B27">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 xml:space="preserve">The development of aggressive, tailored strategies against BI has become a cornerstone in several fields of hepatology. It has been demonstrated that every hour of inappropriate antibiotic use was associated with </w:t>
      </w:r>
      <w:r w:rsidR="00151BD6" w:rsidRPr="00151BD6">
        <w:rPr>
          <w:rFonts w:ascii="Book Antiqua" w:eastAsia="Book Antiqua" w:hAnsi="Book Antiqua" w:cs="Book Antiqua"/>
          <w:color w:val="000000"/>
        </w:rPr>
        <w:t>1.9 higher odds of death</w:t>
      </w:r>
      <w:r w:rsidRPr="00151BD6">
        <w:rPr>
          <w:rFonts w:ascii="Book Antiqua" w:eastAsia="Book Antiqua" w:hAnsi="Book Antiqua" w:cs="Book Antiqua"/>
          <w:color w:val="000000"/>
        </w:rPr>
        <w:t xml:space="preserve"> in patients with cirrhosis and septic </w:t>
      </w:r>
      <w:r w:rsidR="00151BD6" w:rsidRPr="00151BD6">
        <w:rPr>
          <w:rFonts w:ascii="Book Antiqua" w:eastAsia="Book Antiqua" w:hAnsi="Book Antiqua" w:cs="Book Antiqua"/>
          <w:color w:val="000000"/>
        </w:rPr>
        <w:t>shock</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7]</w:t>
      </w:r>
      <w:r w:rsidRPr="00151BD6">
        <w:rPr>
          <w:rFonts w:ascii="Book Antiqua" w:eastAsia="Book Antiqua" w:hAnsi="Book Antiqua" w:cs="Book Antiqua"/>
          <w:color w:val="000000"/>
        </w:rPr>
        <w:t xml:space="preserve">. Therefore, a timely, </w:t>
      </w:r>
      <w:r w:rsidR="004A0B27" w:rsidRPr="00151BD6">
        <w:rPr>
          <w:rFonts w:ascii="Book Antiqua" w:eastAsia="Book Antiqua" w:hAnsi="Book Antiqua" w:cs="Book Antiqua"/>
          <w:color w:val="000000"/>
        </w:rPr>
        <w:t>adequate antibiotic stewardship</w:t>
      </w:r>
      <w:r w:rsidR="00C61EBD">
        <w:rPr>
          <w:rFonts w:ascii="Book Antiqua" w:eastAsia="Book Antiqua" w:hAnsi="Book Antiqua" w:cs="Book Antiqua"/>
          <w:color w:val="000000"/>
        </w:rPr>
        <w:t xml:space="preserve">, </w:t>
      </w:r>
      <w:r w:rsidRPr="00151BD6">
        <w:rPr>
          <w:rFonts w:ascii="Book Antiqua" w:eastAsia="Book Antiqua" w:hAnsi="Book Antiqua" w:cs="Book Antiqua"/>
          <w:color w:val="000000"/>
        </w:rPr>
        <w:t>defined as the optimal selection, dosage, and dura</w:t>
      </w:r>
      <w:r w:rsidR="004A0B27" w:rsidRPr="00151BD6">
        <w:rPr>
          <w:rFonts w:ascii="Book Antiqua" w:eastAsia="Book Antiqua" w:hAnsi="Book Antiqua" w:cs="Book Antiqua"/>
          <w:color w:val="000000"/>
        </w:rPr>
        <w:t>tion of antimicrobial treatment</w:t>
      </w:r>
      <w:r w:rsidR="00C61EBD">
        <w:rPr>
          <w:rFonts w:ascii="Book Antiqua" w:eastAsia="Book Antiqua" w:hAnsi="Book Antiqua" w:cs="Book Antiqua"/>
          <w:color w:val="000000"/>
        </w:rPr>
        <w:t xml:space="preserve">, </w:t>
      </w:r>
      <w:r w:rsidRPr="00151BD6">
        <w:rPr>
          <w:rFonts w:ascii="Book Antiqua" w:eastAsia="Book Antiqua" w:hAnsi="Book Antiqua" w:cs="Book Antiqua"/>
          <w:color w:val="000000"/>
        </w:rPr>
        <w:t xml:space="preserve">saves lives. </w:t>
      </w:r>
    </w:p>
    <w:p w14:paraId="01AB807F" w14:textId="0FE161A4" w:rsidR="00A77B3E" w:rsidRPr="00151BD6" w:rsidRDefault="00252B19" w:rsidP="004A0B27">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 xml:space="preserve">To date, among pharmacological options, antibiotic prophylaxis appears the most effective preventive </w:t>
      </w:r>
      <w:r w:rsidR="00151BD6" w:rsidRPr="00151BD6">
        <w:rPr>
          <w:rFonts w:ascii="Book Antiqua" w:eastAsia="Book Antiqua" w:hAnsi="Book Antiqua" w:cs="Book Antiqua"/>
          <w:color w:val="000000"/>
        </w:rPr>
        <w:t>measure</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8]</w:t>
      </w:r>
      <w:r w:rsidRPr="00151BD6">
        <w:rPr>
          <w:rFonts w:ascii="Book Antiqua" w:eastAsia="Book Antiqua" w:hAnsi="Book Antiqua" w:cs="Book Antiqua"/>
          <w:color w:val="000000"/>
        </w:rPr>
        <w:t xml:space="preserve">. Indeed, its wise use has improved prognosis in many settings, such as spontaneous bacterial peritonitis (SBP) or acute variceal bleeding (AVB), becoming standard of </w:t>
      </w:r>
      <w:r w:rsidR="00151BD6" w:rsidRPr="00151BD6">
        <w:rPr>
          <w:rFonts w:ascii="Book Antiqua" w:eastAsia="Book Antiqua" w:hAnsi="Book Antiqua" w:cs="Book Antiqua"/>
          <w:color w:val="000000"/>
        </w:rPr>
        <w:t>care</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9]</w:t>
      </w:r>
      <w:r w:rsidRPr="00151BD6">
        <w:rPr>
          <w:rFonts w:ascii="Book Antiqua" w:eastAsia="Book Antiqua" w:hAnsi="Book Antiqua" w:cs="Book Antiqua"/>
          <w:color w:val="000000"/>
        </w:rPr>
        <w:t xml:space="preserve">. </w:t>
      </w:r>
    </w:p>
    <w:p w14:paraId="2B6D3086" w14:textId="0F029F2A" w:rsidR="00A77B3E" w:rsidRPr="00151BD6" w:rsidRDefault="00252B19" w:rsidP="004A0B27">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Nevertheless, the wide and prolon</w:t>
      </w:r>
      <w:r w:rsidR="004A0B27" w:rsidRPr="00151BD6">
        <w:rPr>
          <w:rFonts w:ascii="Book Antiqua" w:eastAsia="Book Antiqua" w:hAnsi="Book Antiqua" w:cs="Book Antiqua"/>
          <w:color w:val="000000"/>
        </w:rPr>
        <w:t>ged use of systemic antibiotics</w:t>
      </w:r>
      <w:r w:rsidR="00C61EBD">
        <w:rPr>
          <w:rFonts w:ascii="Book Antiqua" w:eastAsia="Book Antiqua" w:hAnsi="Book Antiqua" w:cs="Book Antiqua"/>
          <w:color w:val="000000"/>
        </w:rPr>
        <w:t xml:space="preserve"> (</w:t>
      </w:r>
      <w:r w:rsidR="004A0B27" w:rsidRPr="00151BD6">
        <w:rPr>
          <w:rFonts w:ascii="Book Antiqua" w:eastAsia="Book Antiqua" w:hAnsi="Book Antiqua" w:cs="Book Antiqua"/>
          <w:color w:val="000000"/>
        </w:rPr>
        <w:t>not only for prophylaxis</w:t>
      </w:r>
      <w:r w:rsidR="00C61EBD">
        <w:rPr>
          <w:rFonts w:ascii="Book Antiqua" w:eastAsia="Book Antiqua" w:hAnsi="Book Antiqua" w:cs="Book Antiqua"/>
          <w:color w:val="000000"/>
        </w:rPr>
        <w:t xml:space="preserve">) </w:t>
      </w:r>
      <w:r w:rsidRPr="00151BD6">
        <w:rPr>
          <w:rFonts w:ascii="Book Antiqua" w:eastAsia="Book Antiqua" w:hAnsi="Book Antiqua" w:cs="Book Antiqua"/>
          <w:color w:val="000000"/>
        </w:rPr>
        <w:t xml:space="preserve">has brought lights and shadows in cirrhosis. Indeed, there has been the spread of multidrug resistant (MDR) bacteria, a huge healthcare problem </w:t>
      </w:r>
      <w:r w:rsidR="00C61EBD">
        <w:rPr>
          <w:rFonts w:ascii="Book Antiqua" w:eastAsia="Book Antiqua" w:hAnsi="Book Antiqua" w:cs="Book Antiqua"/>
          <w:color w:val="000000"/>
        </w:rPr>
        <w:t>that</w:t>
      </w:r>
      <w:r w:rsidR="00C61EBD" w:rsidRPr="00151BD6">
        <w:rPr>
          <w:rFonts w:ascii="Book Antiqua" w:eastAsia="Book Antiqua" w:hAnsi="Book Antiqua" w:cs="Book Antiqua"/>
          <w:color w:val="000000"/>
        </w:rPr>
        <w:t xml:space="preserve"> </w:t>
      </w:r>
      <w:r w:rsidRPr="00151BD6">
        <w:rPr>
          <w:rFonts w:ascii="Book Antiqua" w:eastAsia="Book Antiqua" w:hAnsi="Book Antiqua" w:cs="Book Antiqua"/>
          <w:color w:val="000000"/>
        </w:rPr>
        <w:t xml:space="preserve">involves many fields of </w:t>
      </w:r>
      <w:r w:rsidR="00C61EBD">
        <w:rPr>
          <w:rFonts w:ascii="Book Antiqua" w:eastAsia="Book Antiqua" w:hAnsi="Book Antiqua" w:cs="Book Antiqua"/>
          <w:color w:val="000000"/>
        </w:rPr>
        <w:t>m</w:t>
      </w:r>
      <w:r w:rsidRPr="00151BD6">
        <w:rPr>
          <w:rFonts w:ascii="Book Antiqua" w:eastAsia="Book Antiqua" w:hAnsi="Book Antiqua" w:cs="Book Antiqua"/>
          <w:color w:val="000000"/>
        </w:rPr>
        <w:t xml:space="preserve">edicine with significant heterogeneity and prevalence across </w:t>
      </w:r>
      <w:r w:rsidR="00C61EBD">
        <w:rPr>
          <w:rFonts w:ascii="Book Antiqua" w:eastAsia="Book Antiqua" w:hAnsi="Book Antiqua" w:cs="Book Antiqua"/>
          <w:color w:val="000000"/>
        </w:rPr>
        <w:t>c</w:t>
      </w:r>
      <w:r w:rsidRPr="00151BD6">
        <w:rPr>
          <w:rFonts w:ascii="Book Antiqua" w:eastAsia="Book Antiqua" w:hAnsi="Book Antiqua" w:cs="Book Antiqua"/>
          <w:color w:val="000000"/>
        </w:rPr>
        <w:t xml:space="preserve">ountries and </w:t>
      </w:r>
      <w:r w:rsidR="00C61EBD">
        <w:rPr>
          <w:rFonts w:ascii="Book Antiqua" w:eastAsia="Book Antiqua" w:hAnsi="Book Antiqua" w:cs="Book Antiqua"/>
          <w:color w:val="000000"/>
        </w:rPr>
        <w:t>c</w:t>
      </w:r>
      <w:r w:rsidRPr="00151BD6">
        <w:rPr>
          <w:rFonts w:ascii="Book Antiqua" w:eastAsia="Book Antiqua" w:hAnsi="Book Antiqua" w:cs="Book Antiqua"/>
          <w:color w:val="000000"/>
        </w:rPr>
        <w:t xml:space="preserve">enters, but exerting a highly negative prognostic impact in the setting of decompensated </w:t>
      </w:r>
      <w:r w:rsidR="00151BD6" w:rsidRPr="00151BD6">
        <w:rPr>
          <w:rFonts w:ascii="Book Antiqua" w:eastAsia="Book Antiqua" w:hAnsi="Book Antiqua" w:cs="Book Antiqua"/>
          <w:color w:val="000000"/>
        </w:rPr>
        <w:t>cirrhosis</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10]</w:t>
      </w:r>
      <w:r w:rsidRPr="00151BD6">
        <w:rPr>
          <w:rFonts w:ascii="Book Antiqua" w:eastAsia="Book Antiqua" w:hAnsi="Book Antiqua" w:cs="Book Antiqua"/>
          <w:color w:val="000000"/>
        </w:rPr>
        <w:t xml:space="preserve">. Moreover, </w:t>
      </w:r>
      <w:r w:rsidRPr="00151BD6">
        <w:rPr>
          <w:rFonts w:ascii="Book Antiqua" w:eastAsia="Book Antiqua" w:hAnsi="Book Antiqua" w:cs="Book Antiqua"/>
          <w:i/>
          <w:iCs/>
          <w:color w:val="000000"/>
        </w:rPr>
        <w:t xml:space="preserve">Clostridioides </w:t>
      </w:r>
      <w:r w:rsidR="00C74DA4">
        <w:rPr>
          <w:rFonts w:ascii="Book Antiqua" w:eastAsia="Book Antiqua" w:hAnsi="Book Antiqua" w:cs="Book Antiqua"/>
          <w:i/>
          <w:iCs/>
          <w:color w:val="000000"/>
        </w:rPr>
        <w:t>d</w:t>
      </w:r>
      <w:r w:rsidRPr="00151BD6">
        <w:rPr>
          <w:rFonts w:ascii="Book Antiqua" w:eastAsia="Book Antiqua" w:hAnsi="Book Antiqua" w:cs="Book Antiqua"/>
          <w:i/>
          <w:iCs/>
          <w:color w:val="000000"/>
        </w:rPr>
        <w:t>ifficile</w:t>
      </w:r>
      <w:r w:rsidRPr="00151BD6">
        <w:rPr>
          <w:rFonts w:ascii="Book Antiqua" w:eastAsia="Book Antiqua" w:hAnsi="Book Antiqua" w:cs="Book Antiqua"/>
          <w:color w:val="000000"/>
        </w:rPr>
        <w:t xml:space="preserve"> infection has been increasingly seen in cirrhotic patients, with prolonged hospitalization and higher in-hospital mortality when compared with non-cirrhotic patients with similar burden of </w:t>
      </w:r>
      <w:r w:rsidR="00151BD6" w:rsidRPr="00151BD6">
        <w:rPr>
          <w:rFonts w:ascii="Book Antiqua" w:eastAsia="Book Antiqua" w:hAnsi="Book Antiqua" w:cs="Book Antiqua"/>
          <w:color w:val="000000"/>
        </w:rPr>
        <w:t>comorbidities</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11-13]</w:t>
      </w:r>
      <w:r w:rsidRPr="00151BD6">
        <w:rPr>
          <w:rFonts w:ascii="Book Antiqua" w:eastAsia="Book Antiqua" w:hAnsi="Book Antiqua" w:cs="Book Antiqua"/>
          <w:color w:val="000000"/>
        </w:rPr>
        <w:t>. Moreover, the onset of such infection raises an already known intestinal dysbiosis, whose prevalence aligns with the severity of liver dysfunction. This may increase the risk of a refractory infection or impair the effectiveness of several treatments, as fecal microbiota transplantation</w:t>
      </w:r>
      <w:r w:rsidRPr="00151BD6">
        <w:rPr>
          <w:rFonts w:ascii="Book Antiqua" w:eastAsia="Book Antiqua" w:hAnsi="Book Antiqua" w:cs="Book Antiqua"/>
          <w:color w:val="000000"/>
          <w:vertAlign w:val="superscript"/>
        </w:rPr>
        <w:t>[14]</w:t>
      </w:r>
      <w:r w:rsidRPr="00151BD6">
        <w:rPr>
          <w:rFonts w:ascii="Book Antiqua" w:eastAsia="Book Antiqua" w:hAnsi="Book Antiqua" w:cs="Book Antiqua"/>
          <w:color w:val="000000"/>
        </w:rPr>
        <w:t>.</w:t>
      </w:r>
    </w:p>
    <w:p w14:paraId="16EB5ADA" w14:textId="1EA7BEC7" w:rsidR="00A77B3E" w:rsidRPr="00151BD6" w:rsidRDefault="00252B19" w:rsidP="004A0B27">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 xml:space="preserve">Several other issues, such as the optimal length of prophylaxis, the preferable antibiotic class to use, </w:t>
      </w:r>
      <w:r w:rsidR="0061221F">
        <w:rPr>
          <w:rFonts w:ascii="Book Antiqua" w:eastAsia="Book Antiqua" w:hAnsi="Book Antiqua" w:cs="Book Antiqua"/>
          <w:color w:val="000000"/>
        </w:rPr>
        <w:t xml:space="preserve">and </w:t>
      </w:r>
      <w:r w:rsidRPr="00151BD6">
        <w:rPr>
          <w:rFonts w:ascii="Book Antiqua" w:eastAsia="Book Antiqua" w:hAnsi="Book Antiqua" w:cs="Book Antiqua"/>
          <w:color w:val="000000"/>
        </w:rPr>
        <w:t>potential drug-drug interactions, remain still unexplored areas. These factors may explain the relatively low adherence to antibiotic prophylaxis in some fields. In a recent survey from France</w:t>
      </w:r>
      <w:r w:rsidRPr="00151BD6">
        <w:rPr>
          <w:rFonts w:ascii="Book Antiqua" w:eastAsia="Book Antiqua" w:hAnsi="Book Antiqua" w:cs="Book Antiqua"/>
          <w:color w:val="000000"/>
          <w:vertAlign w:val="superscript"/>
        </w:rPr>
        <w:t>[15]</w:t>
      </w:r>
      <w:r w:rsidRPr="00151BD6">
        <w:rPr>
          <w:rFonts w:ascii="Book Antiqua" w:eastAsia="Book Antiqua" w:hAnsi="Book Antiqua" w:cs="Book Antiqua"/>
          <w:color w:val="000000"/>
        </w:rPr>
        <w:t xml:space="preserve">, almost all physicians prescribed antibiotics during AVB or after an episode of SBP (97.7% and 94.8%, respectively), but </w:t>
      </w:r>
      <w:r w:rsidR="0061221F">
        <w:rPr>
          <w:rFonts w:ascii="Book Antiqua" w:eastAsia="Book Antiqua" w:hAnsi="Book Antiqua" w:cs="Book Antiqua"/>
          <w:color w:val="000000"/>
        </w:rPr>
        <w:t>1</w:t>
      </w:r>
      <w:r w:rsidR="0061221F" w:rsidRPr="00151BD6">
        <w:rPr>
          <w:rFonts w:ascii="Book Antiqua" w:eastAsia="Book Antiqua" w:hAnsi="Book Antiqua" w:cs="Book Antiqua"/>
          <w:color w:val="000000"/>
        </w:rPr>
        <w:t xml:space="preserve"> </w:t>
      </w:r>
      <w:r w:rsidRPr="00151BD6">
        <w:rPr>
          <w:rFonts w:ascii="Book Antiqua" w:eastAsia="Book Antiqua" w:hAnsi="Book Antiqua" w:cs="Book Antiqua"/>
          <w:color w:val="000000"/>
        </w:rPr>
        <w:t xml:space="preserve">out of 4 did not adhere to primary prophylaxis of SBP, without significant differences between workplaces (general </w:t>
      </w:r>
      <w:r w:rsidRPr="00BB658C">
        <w:rPr>
          <w:rFonts w:ascii="Book Antiqua" w:eastAsia="Book Antiqua" w:hAnsi="Book Antiqua" w:cs="Book Antiqua"/>
          <w:i/>
          <w:iCs/>
          <w:color w:val="000000"/>
        </w:rPr>
        <w:t>vs</w:t>
      </w:r>
      <w:r w:rsidRPr="00151BD6">
        <w:rPr>
          <w:rFonts w:ascii="Book Antiqua" w:eastAsia="Book Antiqua" w:hAnsi="Book Antiqua" w:cs="Book Antiqua"/>
          <w:color w:val="000000"/>
        </w:rPr>
        <w:t xml:space="preserve"> university hospitals). In a recently published paper from the United States, investigating potential harmful prescriptions in patients with cirrhosis</w:t>
      </w:r>
      <w:r w:rsidRPr="00151BD6">
        <w:rPr>
          <w:rFonts w:ascii="Book Antiqua" w:eastAsia="Book Antiqua" w:hAnsi="Book Antiqua" w:cs="Book Antiqua"/>
          <w:color w:val="000000"/>
          <w:vertAlign w:val="superscript"/>
        </w:rPr>
        <w:t>[16]</w:t>
      </w:r>
      <w:r w:rsidRPr="00151BD6">
        <w:rPr>
          <w:rFonts w:ascii="Book Antiqua" w:eastAsia="Book Antiqua" w:hAnsi="Book Antiqua" w:cs="Book Antiqua"/>
          <w:color w:val="000000"/>
        </w:rPr>
        <w:t>, nearly half (48.0%) of the patients with prior SBP filled an antibiotic prescription for secondary prophylaxis, but only 8.8% consistently filled this prescription.</w:t>
      </w:r>
    </w:p>
    <w:p w14:paraId="5E092354" w14:textId="77777777" w:rsidR="00A77B3E" w:rsidRPr="00151BD6" w:rsidRDefault="00252B19" w:rsidP="004A0B27">
      <w:pPr>
        <w:spacing w:line="360" w:lineRule="auto"/>
        <w:ind w:firstLineChars="200" w:firstLine="480"/>
        <w:jc w:val="both"/>
        <w:rPr>
          <w:rFonts w:ascii="Book Antiqua" w:hAnsi="Book Antiqua"/>
          <w:lang w:eastAsia="zh-CN"/>
        </w:rPr>
      </w:pPr>
      <w:r w:rsidRPr="00151BD6">
        <w:rPr>
          <w:rFonts w:ascii="Book Antiqua" w:eastAsia="Book Antiqua" w:hAnsi="Book Antiqua" w:cs="Book Antiqua"/>
          <w:color w:val="000000"/>
        </w:rPr>
        <w:t>Apart from these areas, antibiotic prophylaxis may be applied in many other settings during hospitalization of patients with cirrhosis, such as before interventional or surgical procedures. Therefore, this paper offers a detailed overview on the application of antibiotic prophylaxis in cirrhosis, according to current evidence.</w:t>
      </w:r>
    </w:p>
    <w:p w14:paraId="1F9D27F5" w14:textId="77777777" w:rsidR="00A77B3E" w:rsidRPr="00151BD6" w:rsidRDefault="00A77B3E" w:rsidP="00861CDC">
      <w:pPr>
        <w:spacing w:line="360" w:lineRule="auto"/>
        <w:jc w:val="both"/>
        <w:rPr>
          <w:rFonts w:ascii="Book Antiqua" w:hAnsi="Book Antiqua"/>
        </w:rPr>
      </w:pPr>
    </w:p>
    <w:p w14:paraId="6B129EB2" w14:textId="77777777" w:rsidR="00A77B3E" w:rsidRPr="00151BD6" w:rsidRDefault="004A0B27" w:rsidP="00861CDC">
      <w:pPr>
        <w:spacing w:line="360" w:lineRule="auto"/>
        <w:jc w:val="both"/>
        <w:rPr>
          <w:rFonts w:ascii="Book Antiqua" w:eastAsia="Book Antiqua" w:hAnsi="Book Antiqua" w:cs="Book Antiqua"/>
          <w:b/>
          <w:caps/>
          <w:color w:val="000000"/>
          <w:u w:val="single"/>
        </w:rPr>
      </w:pPr>
      <w:r w:rsidRPr="00151BD6">
        <w:rPr>
          <w:rFonts w:ascii="Book Antiqua" w:eastAsia="Book Antiqua" w:hAnsi="Book Antiqua" w:cs="Book Antiqua"/>
          <w:b/>
          <w:caps/>
          <w:color w:val="000000"/>
          <w:u w:val="single"/>
        </w:rPr>
        <w:t xml:space="preserve">Search </w:t>
      </w:r>
      <w:r w:rsidR="00252B19" w:rsidRPr="00151BD6">
        <w:rPr>
          <w:rFonts w:ascii="Book Antiqua" w:eastAsia="Book Antiqua" w:hAnsi="Book Antiqua" w:cs="Book Antiqua"/>
          <w:b/>
          <w:caps/>
          <w:color w:val="000000"/>
          <w:u w:val="single"/>
        </w:rPr>
        <w:t>METHODS</w:t>
      </w:r>
    </w:p>
    <w:p w14:paraId="445EF173" w14:textId="79F8ADC4"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PubMed/Medline until December 2020 was searched in accordance with the Preferred Reporting Items for Systemic Reviews and Meta-Analyses</w:t>
      </w:r>
      <w:r w:rsidRPr="00151BD6">
        <w:rPr>
          <w:rFonts w:ascii="Book Antiqua" w:eastAsia="Book Antiqua" w:hAnsi="Book Antiqua" w:cs="Book Antiqua"/>
          <w:color w:val="000000"/>
          <w:vertAlign w:val="superscript"/>
        </w:rPr>
        <w:t>[17]</w:t>
      </w:r>
      <w:r w:rsidRPr="00151BD6">
        <w:rPr>
          <w:rFonts w:ascii="Book Antiqua" w:eastAsia="Book Antiqua" w:hAnsi="Book Antiqua" w:cs="Book Antiqua"/>
          <w:color w:val="000000"/>
        </w:rPr>
        <w:t xml:space="preserve"> to identify all relevant medical literature included under the following search text terms: (“cirrhosis” OR “liver cirrhosis”) AND (“antibiotic prophylaxis” OR “prophylaxis”) for each of the following items: SBP, variceal bleeding, gastric varices, </w:t>
      </w:r>
      <w:r w:rsidR="0035135C" w:rsidRPr="00151BD6">
        <w:rPr>
          <w:rFonts w:ascii="Book Antiqua" w:hAnsi="Book Antiqua" w:cs="Book Antiqua"/>
          <w:color w:val="000000"/>
          <w:shd w:val="clear" w:color="auto" w:fill="FFFFFF"/>
          <w:lang w:eastAsia="zh-CN"/>
        </w:rPr>
        <w:t>r</w:t>
      </w:r>
      <w:r w:rsidR="0035135C" w:rsidRPr="00151BD6">
        <w:rPr>
          <w:rFonts w:ascii="Book Antiqua" w:eastAsia="Book Antiqua" w:hAnsi="Book Antiqua" w:cs="Book Antiqua"/>
          <w:color w:val="000000"/>
          <w:shd w:val="clear" w:color="auto" w:fill="FFFFFF"/>
        </w:rPr>
        <w:t>adiofrequency ablation (RFA)</w:t>
      </w:r>
      <w:r w:rsidRPr="00151BD6">
        <w:rPr>
          <w:rFonts w:ascii="Book Antiqua" w:eastAsia="Book Antiqua" w:hAnsi="Book Antiqua" w:cs="Book Antiqua"/>
          <w:color w:val="000000"/>
        </w:rPr>
        <w:t xml:space="preserve">, </w:t>
      </w:r>
      <w:r w:rsidR="00151BD6" w:rsidRPr="00151BD6">
        <w:rPr>
          <w:rFonts w:ascii="Book Antiqua" w:eastAsia="Book Antiqua" w:hAnsi="Book Antiqua" w:cs="Book Antiqua"/>
          <w:color w:val="000000"/>
        </w:rPr>
        <w:t>trans arterial</w:t>
      </w:r>
      <w:r w:rsidRPr="00151BD6">
        <w:rPr>
          <w:rFonts w:ascii="Book Antiqua" w:eastAsia="Book Antiqua" w:hAnsi="Book Antiqua" w:cs="Book Antiqua"/>
          <w:color w:val="000000"/>
        </w:rPr>
        <w:t xml:space="preserve"> chemoembolization, endoscopic retrograde cholangiopancreatography, </w:t>
      </w:r>
      <w:r w:rsidR="004A0B27" w:rsidRPr="00151BD6">
        <w:rPr>
          <w:rFonts w:ascii="Book Antiqua" w:eastAsia="Book Antiqua" w:hAnsi="Book Antiqua" w:cs="Book Antiqua"/>
          <w:color w:val="000000"/>
        </w:rPr>
        <w:t>LT</w:t>
      </w:r>
      <w:r w:rsidRPr="00151BD6">
        <w:rPr>
          <w:rFonts w:ascii="Book Antiqua" w:eastAsia="Book Antiqua" w:hAnsi="Book Antiqua" w:cs="Book Antiqua"/>
          <w:color w:val="000000"/>
        </w:rPr>
        <w:t>, acute liver failure,</w:t>
      </w:r>
      <w:r w:rsidR="0061221F">
        <w:rPr>
          <w:rFonts w:ascii="Book Antiqua" w:eastAsia="Book Antiqua" w:hAnsi="Book Antiqua" w:cs="Book Antiqua"/>
          <w:color w:val="000000"/>
        </w:rPr>
        <w:t xml:space="preserve"> and</w:t>
      </w:r>
      <w:r w:rsidRPr="00151BD6">
        <w:rPr>
          <w:rFonts w:ascii="Book Antiqua" w:eastAsia="Book Antiqua" w:hAnsi="Book Antiqua" w:cs="Book Antiqua"/>
          <w:color w:val="000000"/>
        </w:rPr>
        <w:t xml:space="preserve"> alcoholic hepatitis. Only studies involving patients over 18 years of age and in the English language were included. In addition, a full manual search was performed of all relevant review articles and the retrieved original studies. </w:t>
      </w:r>
    </w:p>
    <w:p w14:paraId="09619A14" w14:textId="77777777" w:rsidR="00A77B3E" w:rsidRPr="00151BD6" w:rsidRDefault="00A77B3E" w:rsidP="00861CDC">
      <w:pPr>
        <w:spacing w:line="360" w:lineRule="auto"/>
        <w:jc w:val="both"/>
        <w:rPr>
          <w:rFonts w:ascii="Book Antiqua" w:hAnsi="Book Antiqua"/>
        </w:rPr>
      </w:pPr>
    </w:p>
    <w:p w14:paraId="0060A7D1" w14:textId="77777777" w:rsidR="00A77B3E" w:rsidRPr="00151BD6" w:rsidRDefault="004A0B27" w:rsidP="00861CDC">
      <w:pPr>
        <w:spacing w:line="360" w:lineRule="auto"/>
        <w:jc w:val="both"/>
        <w:rPr>
          <w:rFonts w:ascii="Book Antiqua" w:hAnsi="Book Antiqua"/>
          <w:b/>
          <w:u w:val="single"/>
        </w:rPr>
      </w:pPr>
      <w:r w:rsidRPr="00151BD6">
        <w:rPr>
          <w:rFonts w:ascii="Book Antiqua" w:eastAsia="Book Antiqua" w:hAnsi="Book Antiqua" w:cs="Book Antiqua"/>
          <w:b/>
          <w:color w:val="000000"/>
          <w:u w:val="single"/>
        </w:rPr>
        <w:t>SBP</w:t>
      </w:r>
    </w:p>
    <w:p w14:paraId="1712B965" w14:textId="779C3079"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 xml:space="preserve">According to current </w:t>
      </w:r>
      <w:r w:rsidR="0061221F">
        <w:rPr>
          <w:rFonts w:ascii="Book Antiqua" w:eastAsia="Book Antiqua" w:hAnsi="Book Antiqua" w:cs="Book Antiqua"/>
          <w:color w:val="000000"/>
        </w:rPr>
        <w:t>g</w:t>
      </w:r>
      <w:r w:rsidR="00151BD6" w:rsidRPr="00151BD6">
        <w:rPr>
          <w:rFonts w:ascii="Book Antiqua" w:eastAsia="Book Antiqua" w:hAnsi="Book Antiqua" w:cs="Book Antiqua"/>
          <w:color w:val="000000"/>
        </w:rPr>
        <w:t>uidelines</w:t>
      </w:r>
      <w:r w:rsidR="00151BD6" w:rsidRPr="00151BD6">
        <w:rPr>
          <w:rFonts w:ascii="Book Antiqua" w:eastAsia="Book Antiqua" w:hAnsi="Book Antiqua" w:cs="Book Antiqua"/>
          <w:color w:val="000000"/>
          <w:vertAlign w:val="superscript"/>
        </w:rPr>
        <w:t>[</w:t>
      </w:r>
      <w:r w:rsidR="00C629A8" w:rsidRPr="00151BD6">
        <w:rPr>
          <w:rFonts w:ascii="Book Antiqua" w:eastAsia="Book Antiqua" w:hAnsi="Book Antiqua" w:cs="Book Antiqua"/>
          <w:color w:val="000000"/>
          <w:vertAlign w:val="superscript"/>
        </w:rPr>
        <w:t>9,</w:t>
      </w:r>
      <w:r w:rsidRPr="00151BD6">
        <w:rPr>
          <w:rFonts w:ascii="Book Antiqua" w:eastAsia="Book Antiqua" w:hAnsi="Book Antiqua" w:cs="Book Antiqua"/>
          <w:color w:val="000000"/>
          <w:vertAlign w:val="superscript"/>
        </w:rPr>
        <w:t>18]</w:t>
      </w:r>
      <w:r w:rsidRPr="00151BD6">
        <w:rPr>
          <w:rFonts w:ascii="Book Antiqua" w:eastAsia="Book Antiqua" w:hAnsi="Book Antiqua" w:cs="Book Antiqua"/>
          <w:color w:val="000000"/>
        </w:rPr>
        <w:t>, primary prophylaxis should start in patients with Child–Pugh score ≥</w:t>
      </w:r>
      <w:r w:rsidR="00C629A8" w:rsidRPr="00151BD6">
        <w:rPr>
          <w:rFonts w:ascii="Book Antiqua" w:hAnsi="Book Antiqua" w:cs="Book Antiqua"/>
          <w:color w:val="000000"/>
          <w:lang w:eastAsia="zh-CN"/>
        </w:rPr>
        <w:t xml:space="preserve"> </w:t>
      </w:r>
      <w:r w:rsidRPr="00151BD6">
        <w:rPr>
          <w:rFonts w:ascii="Book Antiqua" w:eastAsia="Book Antiqua" w:hAnsi="Book Antiqua" w:cs="Book Antiqua"/>
          <w:color w:val="000000"/>
        </w:rPr>
        <w:t>9 and serum bilirubin level ≥</w:t>
      </w:r>
      <w:r w:rsidR="00C629A8" w:rsidRPr="00151BD6">
        <w:rPr>
          <w:rFonts w:ascii="Book Antiqua" w:hAnsi="Book Antiqua" w:cs="Book Antiqua"/>
          <w:color w:val="000000"/>
          <w:lang w:eastAsia="zh-CN"/>
        </w:rPr>
        <w:t xml:space="preserve"> </w:t>
      </w:r>
      <w:r w:rsidRPr="00151BD6">
        <w:rPr>
          <w:rFonts w:ascii="Book Antiqua" w:eastAsia="Book Antiqua" w:hAnsi="Book Antiqua" w:cs="Book Antiqua"/>
          <w:color w:val="000000"/>
        </w:rPr>
        <w:t>3 mg/dL, impaired renal function or hyponatremia, and ascitic fluid protein lower than 15 g/dL, in view of previous randomized controlled trials (RCTs)</w:t>
      </w:r>
      <w:r w:rsidRPr="00151BD6">
        <w:rPr>
          <w:rFonts w:ascii="Book Antiqua" w:eastAsia="Book Antiqua" w:hAnsi="Book Antiqua" w:cs="Book Antiqua"/>
          <w:color w:val="000000"/>
          <w:shd w:val="clear" w:color="auto" w:fill="FFFFFF"/>
          <w:vertAlign w:val="superscript"/>
        </w:rPr>
        <w:t>[19-21]</w:t>
      </w:r>
      <w:r w:rsidRPr="00151BD6">
        <w:rPr>
          <w:rFonts w:ascii="Book Antiqua" w:eastAsia="Book Antiqua" w:hAnsi="Book Antiqua" w:cs="Book Antiqua"/>
          <w:color w:val="000000"/>
          <w:shd w:val="clear" w:color="auto" w:fill="FFFFFF"/>
        </w:rPr>
        <w:t>. A meta</w:t>
      </w:r>
      <w:r w:rsidR="0061221F">
        <w:rPr>
          <w:rFonts w:ascii="Book Antiqua" w:eastAsia="Book Antiqua" w:hAnsi="Book Antiqua" w:cs="Book Antiqua"/>
          <w:color w:val="000000"/>
          <w:shd w:val="clear" w:color="auto" w:fill="FFFFFF"/>
        </w:rPr>
        <w:t>-a</w:t>
      </w:r>
      <w:r w:rsidRPr="00151BD6">
        <w:rPr>
          <w:rFonts w:ascii="Book Antiqua" w:eastAsia="Book Antiqua" w:hAnsi="Book Antiqua" w:cs="Book Antiqua"/>
          <w:color w:val="000000"/>
          <w:shd w:val="clear" w:color="auto" w:fill="FFFFFF"/>
        </w:rPr>
        <w:t>nalysis published in 2012 on three studies confirmed the beneficial role of primary prophylaxis in preventing SBP but not in reducing mortality</w:t>
      </w:r>
      <w:r w:rsidRPr="00151BD6">
        <w:rPr>
          <w:rFonts w:ascii="Book Antiqua" w:eastAsia="Book Antiqua" w:hAnsi="Book Antiqua" w:cs="Book Antiqua"/>
          <w:color w:val="000000"/>
          <w:shd w:val="clear" w:color="auto" w:fill="FFFFFF"/>
          <w:vertAlign w:val="superscript"/>
        </w:rPr>
        <w:t>[22]</w:t>
      </w:r>
      <w:r w:rsidRPr="00151BD6">
        <w:rPr>
          <w:rFonts w:ascii="Book Antiqua" w:eastAsia="Book Antiqua" w:hAnsi="Book Antiqua" w:cs="Book Antiqua"/>
          <w:color w:val="000000"/>
          <w:shd w:val="clear" w:color="auto" w:fill="FFFFFF"/>
        </w:rPr>
        <w:t>. Recently, an updated Cochrane meta</w:t>
      </w:r>
      <w:r w:rsidR="0061221F">
        <w:rPr>
          <w:rFonts w:ascii="Book Antiqua" w:eastAsia="Book Antiqua" w:hAnsi="Book Antiqua" w:cs="Book Antiqua"/>
          <w:color w:val="000000"/>
          <w:shd w:val="clear" w:color="auto" w:fill="FFFFFF"/>
        </w:rPr>
        <w:t>-a</w:t>
      </w:r>
      <w:r w:rsidRPr="00151BD6">
        <w:rPr>
          <w:rFonts w:ascii="Book Antiqua" w:eastAsia="Book Antiqua" w:hAnsi="Book Antiqua" w:cs="Book Antiqua"/>
          <w:color w:val="000000"/>
          <w:shd w:val="clear" w:color="auto" w:fill="FFFFFF"/>
        </w:rPr>
        <w:t xml:space="preserve">nalysis did not show any gain </w:t>
      </w:r>
      <w:r w:rsidRPr="00151BD6">
        <w:rPr>
          <w:rFonts w:ascii="Book Antiqua" w:eastAsia="Book Antiqua" w:hAnsi="Book Antiqua" w:cs="Book Antiqua"/>
          <w:color w:val="000000"/>
        </w:rPr>
        <w:t>in survival, in either primary or secondary prophylaxis</w:t>
      </w:r>
      <w:r w:rsidRPr="00151BD6">
        <w:rPr>
          <w:rFonts w:ascii="Book Antiqua" w:eastAsia="Book Antiqua" w:hAnsi="Book Antiqua" w:cs="Book Antiqua"/>
          <w:color w:val="000000"/>
          <w:vertAlign w:val="superscript"/>
        </w:rPr>
        <w:t>[23]</w:t>
      </w:r>
      <w:r w:rsidRPr="00151BD6">
        <w:rPr>
          <w:rFonts w:ascii="Book Antiqua" w:eastAsia="Book Antiqua" w:hAnsi="Book Antiqua" w:cs="Book Antiqua"/>
          <w:color w:val="000000"/>
        </w:rPr>
        <w:t>, but the studies were at high risk of bias. Meta</w:t>
      </w:r>
      <w:r w:rsidR="0061221F">
        <w:rPr>
          <w:rFonts w:ascii="Book Antiqua" w:eastAsia="Book Antiqua" w:hAnsi="Book Antiqua" w:cs="Book Antiqua"/>
          <w:color w:val="000000"/>
        </w:rPr>
        <w:t>-a</w:t>
      </w:r>
      <w:r w:rsidRPr="00151BD6">
        <w:rPr>
          <w:rFonts w:ascii="Book Antiqua" w:eastAsia="Book Antiqua" w:hAnsi="Book Antiqua" w:cs="Book Antiqua"/>
          <w:color w:val="000000"/>
        </w:rPr>
        <w:t>nalysis further clarified that, currently, no antibiotic seemed to be superior to others</w:t>
      </w:r>
      <w:r w:rsidR="00C629A8" w:rsidRPr="00151BD6">
        <w:rPr>
          <w:rFonts w:ascii="Book Antiqua" w:eastAsia="Book Antiqua" w:hAnsi="Book Antiqua" w:cs="Book Antiqua"/>
          <w:color w:val="000000"/>
          <w:vertAlign w:val="superscript"/>
        </w:rPr>
        <w:t>[23,</w:t>
      </w:r>
      <w:r w:rsidRPr="00151BD6">
        <w:rPr>
          <w:rFonts w:ascii="Book Antiqua" w:eastAsia="Book Antiqua" w:hAnsi="Book Antiqua" w:cs="Book Antiqua"/>
          <w:color w:val="000000"/>
          <w:vertAlign w:val="superscript"/>
        </w:rPr>
        <w:t>24]</w:t>
      </w:r>
      <w:r w:rsidRPr="00151BD6">
        <w:rPr>
          <w:rFonts w:ascii="Book Antiqua" w:eastAsia="Book Antiqua" w:hAnsi="Book Antiqua" w:cs="Book Antiqua"/>
          <w:color w:val="000000"/>
        </w:rPr>
        <w:t>.</w:t>
      </w:r>
    </w:p>
    <w:p w14:paraId="445F2192" w14:textId="41493526" w:rsidR="00A77B3E" w:rsidRPr="00151BD6" w:rsidRDefault="00252B19" w:rsidP="00C629A8">
      <w:pPr>
        <w:spacing w:line="360" w:lineRule="auto"/>
        <w:ind w:firstLineChars="200" w:firstLine="480"/>
        <w:jc w:val="both"/>
        <w:rPr>
          <w:rFonts w:ascii="Book Antiqua" w:hAnsi="Book Antiqua"/>
        </w:rPr>
      </w:pPr>
      <w:r w:rsidRPr="00151BD6">
        <w:rPr>
          <w:rFonts w:ascii="Book Antiqua" w:eastAsia="Book Antiqua" w:hAnsi="Book Antiqua" w:cs="Book Antiqua"/>
          <w:color w:val="000000"/>
          <w:shd w:val="clear" w:color="auto" w:fill="FFFFFF"/>
        </w:rPr>
        <w:t xml:space="preserve">Moreau </w:t>
      </w:r>
      <w:r w:rsidRPr="00151BD6">
        <w:rPr>
          <w:rFonts w:ascii="Book Antiqua" w:eastAsia="Book Antiqua" w:hAnsi="Book Antiqua" w:cs="Book Antiqua"/>
          <w:i/>
          <w:iCs/>
          <w:color w:val="000000"/>
          <w:shd w:val="clear" w:color="auto" w:fill="FFFFFF"/>
        </w:rPr>
        <w:t>et al</w:t>
      </w:r>
      <w:r w:rsidRPr="00151BD6">
        <w:rPr>
          <w:rFonts w:ascii="Book Antiqua" w:eastAsia="Book Antiqua" w:hAnsi="Book Antiqua" w:cs="Book Antiqua"/>
          <w:color w:val="000000"/>
          <w:shd w:val="clear" w:color="auto" w:fill="FFFFFF"/>
          <w:vertAlign w:val="superscript"/>
        </w:rPr>
        <w:t>[25]</w:t>
      </w:r>
      <w:r w:rsidRPr="00151BD6">
        <w:rPr>
          <w:rFonts w:ascii="Book Antiqua" w:eastAsia="Book Antiqua" w:hAnsi="Book Antiqua" w:cs="Book Antiqua"/>
          <w:color w:val="000000"/>
          <w:shd w:val="clear" w:color="auto" w:fill="FFFFFF"/>
        </w:rPr>
        <w:t xml:space="preserve"> investigated the role of norfloxacin in Child-Pugh class C cirrhotic patients. In this RCT, 291 patients (95% without prior SBP) were included independently of ascitic fluid protein level and then randomized to norfloxacin (400 m</w:t>
      </w:r>
      <w:r w:rsidR="004729D4" w:rsidRPr="00151BD6">
        <w:rPr>
          <w:rFonts w:ascii="Book Antiqua" w:eastAsia="Book Antiqua" w:hAnsi="Book Antiqua" w:cs="Book Antiqua"/>
          <w:color w:val="000000"/>
          <w:shd w:val="clear" w:color="auto" w:fill="FFFFFF"/>
        </w:rPr>
        <w:t>g/d</w:t>
      </w:r>
      <w:r w:rsidR="00C629A8" w:rsidRPr="00151BD6">
        <w:rPr>
          <w:rFonts w:ascii="Book Antiqua" w:eastAsia="Book Antiqua" w:hAnsi="Book Antiqua" w:cs="Book Antiqua"/>
          <w:color w:val="000000"/>
          <w:shd w:val="clear" w:color="auto" w:fill="FFFFFF"/>
        </w:rPr>
        <w:t xml:space="preserve"> administered for 6 mo) </w:t>
      </w:r>
      <w:r w:rsidR="00C629A8" w:rsidRPr="00151BD6">
        <w:rPr>
          <w:rFonts w:ascii="Book Antiqua" w:eastAsia="Book Antiqua" w:hAnsi="Book Antiqua" w:cs="Book Antiqua"/>
          <w:i/>
          <w:color w:val="000000"/>
          <w:shd w:val="clear" w:color="auto" w:fill="FFFFFF"/>
        </w:rPr>
        <w:t>vs</w:t>
      </w:r>
      <w:r w:rsidRPr="00151BD6">
        <w:rPr>
          <w:rFonts w:ascii="Book Antiqua" w:eastAsia="Book Antiqua" w:hAnsi="Book Antiqua" w:cs="Book Antiqua"/>
          <w:color w:val="000000"/>
          <w:shd w:val="clear" w:color="auto" w:fill="FFFFFF"/>
        </w:rPr>
        <w:t xml:space="preserve"> placebo. The primary endpoint (</w:t>
      </w:r>
      <w:r w:rsidRPr="00151BD6">
        <w:rPr>
          <w:rFonts w:ascii="Book Antiqua" w:eastAsia="Book Antiqua" w:hAnsi="Book Antiqua" w:cs="Book Antiqua"/>
          <w:i/>
          <w:color w:val="000000"/>
          <w:shd w:val="clear" w:color="auto" w:fill="FFFFFF"/>
        </w:rPr>
        <w:t>i.e.</w:t>
      </w:r>
      <w:r w:rsidRPr="00151BD6">
        <w:rPr>
          <w:rFonts w:ascii="Book Antiqua" w:eastAsia="Book Antiqua" w:hAnsi="Book Antiqua" w:cs="Book Antiqua"/>
          <w:color w:val="000000"/>
          <w:shd w:val="clear" w:color="auto" w:fill="FFFFFF"/>
        </w:rPr>
        <w:t xml:space="preserve"> 6-m</w:t>
      </w:r>
      <w:r w:rsidR="00151BD6">
        <w:rPr>
          <w:rFonts w:ascii="Book Antiqua" w:eastAsia="Book Antiqua" w:hAnsi="Book Antiqua" w:cs="Book Antiqua"/>
          <w:color w:val="000000"/>
          <w:shd w:val="clear" w:color="auto" w:fill="FFFFFF"/>
        </w:rPr>
        <w:t>o</w:t>
      </w:r>
      <w:r w:rsidRPr="00151BD6">
        <w:rPr>
          <w:rFonts w:ascii="Book Antiqua" w:eastAsia="Book Antiqua" w:hAnsi="Book Antiqua" w:cs="Book Antiqua"/>
          <w:color w:val="000000"/>
          <w:shd w:val="clear" w:color="auto" w:fill="FFFFFF"/>
        </w:rPr>
        <w:t xml:space="preserve"> survival) was not different between cohorts, neither was the incidence of SBP. When </w:t>
      </w:r>
      <w:r w:rsidR="004A0B27" w:rsidRPr="00151BD6">
        <w:rPr>
          <w:rFonts w:ascii="Book Antiqua" w:eastAsia="Book Antiqua" w:hAnsi="Book Antiqua" w:cs="Book Antiqua"/>
          <w:color w:val="000000"/>
          <w:shd w:val="clear" w:color="auto" w:fill="FFFFFF"/>
        </w:rPr>
        <w:t>LT</w:t>
      </w:r>
      <w:r w:rsidRPr="00151BD6">
        <w:rPr>
          <w:rFonts w:ascii="Book Antiqua" w:eastAsia="Book Antiqua" w:hAnsi="Book Antiqua" w:cs="Book Antiqua"/>
          <w:color w:val="000000"/>
          <w:shd w:val="clear" w:color="auto" w:fill="FFFFFF"/>
        </w:rPr>
        <w:t xml:space="preserve"> was considered as a competing risk of death or survival, patients given norfloxacin and having </w:t>
      </w:r>
      <w:r w:rsidRPr="00151BD6">
        <w:rPr>
          <w:rFonts w:ascii="Book Antiqua" w:eastAsia="Book Antiqua" w:hAnsi="Book Antiqua" w:cs="Book Antiqua"/>
          <w:color w:val="000000"/>
        </w:rPr>
        <w:t>low ascitic fluid proteins</w:t>
      </w:r>
      <w:r w:rsidRPr="00151BD6">
        <w:rPr>
          <w:rFonts w:ascii="Book Antiqua" w:eastAsia="Book Antiqua" w:hAnsi="Book Antiqua" w:cs="Book Antiqua"/>
          <w:color w:val="000000"/>
          <w:shd w:val="clear" w:color="auto" w:fill="FFFFFF"/>
        </w:rPr>
        <w:t xml:space="preserve"> displayed a significantly better outcome (cumulative 6-mo probability of death: </w:t>
      </w:r>
      <w:r w:rsidR="00B27D60" w:rsidRPr="00151BD6">
        <w:rPr>
          <w:rFonts w:ascii="Book Antiqua" w:eastAsia="Book Antiqua" w:hAnsi="Book Antiqua" w:cs="Book Antiqua"/>
          <w:color w:val="000000"/>
        </w:rPr>
        <w:t xml:space="preserve">15.5% </w:t>
      </w:r>
      <w:r w:rsidR="00B27D60" w:rsidRPr="00151BD6">
        <w:rPr>
          <w:rFonts w:ascii="Book Antiqua" w:eastAsia="Book Antiqua" w:hAnsi="Book Antiqua" w:cs="Book Antiqua"/>
          <w:i/>
          <w:color w:val="000000"/>
        </w:rPr>
        <w:t>vs</w:t>
      </w:r>
      <w:r w:rsidRPr="00151BD6">
        <w:rPr>
          <w:rFonts w:ascii="Book Antiqua" w:eastAsia="Book Antiqua" w:hAnsi="Book Antiqua" w:cs="Book Antiqua"/>
          <w:color w:val="000000"/>
        </w:rPr>
        <w:t xml:space="preserve"> 24.8%, </w:t>
      </w:r>
      <w:r w:rsidR="00B27D60" w:rsidRPr="00151BD6">
        <w:rPr>
          <w:rFonts w:ascii="Book Antiqua" w:hAnsi="Book Antiqua" w:cs="Book Antiqua"/>
          <w:i/>
          <w:color w:val="000000"/>
          <w:lang w:eastAsia="zh-CN"/>
        </w:rPr>
        <w:t>P</w:t>
      </w:r>
      <w:r w:rsidR="00B27D60" w:rsidRPr="00151BD6">
        <w:rPr>
          <w:rFonts w:ascii="Book Antiqua" w:hAnsi="Book Antiqua" w:cs="Book Antiqua"/>
          <w:color w:val="000000"/>
          <w:lang w:eastAsia="zh-CN"/>
        </w:rPr>
        <w:t xml:space="preserve"> </w:t>
      </w:r>
      <w:r w:rsidRPr="00151BD6">
        <w:rPr>
          <w:rFonts w:ascii="Book Antiqua" w:eastAsia="Book Antiqua" w:hAnsi="Book Antiqua" w:cs="Book Antiqua"/>
          <w:color w:val="000000"/>
        </w:rPr>
        <w:t>=</w:t>
      </w:r>
      <w:r w:rsidR="00B27D60" w:rsidRPr="00151BD6">
        <w:rPr>
          <w:rFonts w:ascii="Book Antiqua" w:hAnsi="Book Antiqua" w:cs="Book Antiqua"/>
          <w:color w:val="000000"/>
          <w:lang w:eastAsia="zh-CN"/>
        </w:rPr>
        <w:t xml:space="preserve"> 0</w:t>
      </w:r>
      <w:r w:rsidRPr="00151BD6">
        <w:rPr>
          <w:rFonts w:ascii="Book Antiqua" w:eastAsia="Book Antiqua" w:hAnsi="Book Antiqua" w:cs="Book Antiqua"/>
          <w:color w:val="000000"/>
        </w:rPr>
        <w:t xml:space="preserve">.045). Notably, patients on norfloxacin therapy were also at lower risk of developing BI, </w:t>
      </w:r>
      <w:r w:rsidRPr="00151BD6">
        <w:rPr>
          <w:rFonts w:ascii="Book Antiqua" w:eastAsia="Book Antiqua" w:hAnsi="Book Antiqua" w:cs="Book Antiqua"/>
          <w:i/>
          <w:iCs/>
          <w:color w:val="000000"/>
        </w:rPr>
        <w:t>gram-negative</w:t>
      </w:r>
      <w:r w:rsidRPr="00151BD6">
        <w:rPr>
          <w:rFonts w:ascii="Book Antiqua" w:eastAsia="Book Antiqua" w:hAnsi="Book Antiqua" w:cs="Book Antiqua"/>
          <w:color w:val="000000"/>
        </w:rPr>
        <w:t xml:space="preserve"> BI, and MDR infections during therapy. That said, in clinical practice, primary prophylaxis seems to be reasonable for high-risk patients (</w:t>
      </w:r>
      <w:r w:rsidRPr="00151BD6">
        <w:rPr>
          <w:rFonts w:ascii="Book Antiqua" w:eastAsia="Book Antiqua" w:hAnsi="Book Antiqua" w:cs="Book Antiqua"/>
          <w:i/>
          <w:color w:val="000000"/>
        </w:rPr>
        <w:t>i.e.</w:t>
      </w:r>
      <w:r w:rsidRPr="00151BD6">
        <w:rPr>
          <w:rFonts w:ascii="Book Antiqua" w:eastAsia="Book Antiqua" w:hAnsi="Book Antiqua" w:cs="Book Antiqua"/>
          <w:color w:val="000000"/>
        </w:rPr>
        <w:t xml:space="preserve"> those with low ascitic fluid proteins and advanced disease), especially if they are waiting for LT.</w:t>
      </w:r>
    </w:p>
    <w:p w14:paraId="1097C9FF" w14:textId="3088C0F5" w:rsidR="00A77B3E" w:rsidRPr="00151BD6" w:rsidRDefault="00252B19" w:rsidP="00B27D60">
      <w:pPr>
        <w:spacing w:line="360" w:lineRule="auto"/>
        <w:ind w:firstLineChars="200" w:firstLine="480"/>
        <w:jc w:val="both"/>
        <w:rPr>
          <w:rFonts w:ascii="Book Antiqua" w:hAnsi="Book Antiqua"/>
        </w:rPr>
      </w:pPr>
      <w:r w:rsidRPr="00151BD6">
        <w:rPr>
          <w:rFonts w:ascii="Book Antiqua" w:eastAsia="Book Antiqua" w:hAnsi="Book Antiqua" w:cs="Book Antiqua"/>
          <w:color w:val="000000"/>
          <w:shd w:val="clear" w:color="auto" w:fill="FFFFFF"/>
        </w:rPr>
        <w:t>The rationale behind secondary prophylaxis is the high recurrence rate in patients who recover from SBP (69% within a year)</w:t>
      </w:r>
      <w:r w:rsidRPr="00151BD6">
        <w:rPr>
          <w:rFonts w:ascii="Book Antiqua" w:eastAsia="Book Antiqua" w:hAnsi="Book Antiqua" w:cs="Book Antiqua"/>
          <w:color w:val="000000"/>
          <w:shd w:val="clear" w:color="auto" w:fill="FFFFFF"/>
          <w:vertAlign w:val="superscript"/>
        </w:rPr>
        <w:t>[26]</w:t>
      </w:r>
      <w:r w:rsidRPr="00151BD6">
        <w:rPr>
          <w:rFonts w:ascii="Book Antiqua" w:eastAsia="Book Antiqua" w:hAnsi="Book Antiqua" w:cs="Book Antiqua"/>
          <w:color w:val="000000"/>
          <w:shd w:val="clear" w:color="auto" w:fill="FFFFFF"/>
        </w:rPr>
        <w:t>. In a seminal RCT, G</w:t>
      </w:r>
      <w:r w:rsidRPr="00151BD6">
        <w:rPr>
          <w:rFonts w:ascii="Book Antiqua" w:eastAsia="Book Antiqua" w:hAnsi="Book Antiqua" w:cs="Book Antiqua"/>
          <w:color w:val="000000"/>
        </w:rPr>
        <w:t xml:space="preserve">inés </w:t>
      </w:r>
      <w:r w:rsidRPr="00151BD6">
        <w:rPr>
          <w:rFonts w:ascii="Book Antiqua" w:eastAsia="Book Antiqua" w:hAnsi="Book Antiqua" w:cs="Book Antiqua"/>
          <w:i/>
          <w:iCs/>
          <w:color w:val="000000"/>
        </w:rPr>
        <w:t>et al</w:t>
      </w:r>
      <w:r w:rsidR="00B27D60" w:rsidRPr="00151BD6">
        <w:rPr>
          <w:rFonts w:ascii="Book Antiqua" w:eastAsia="Book Antiqua" w:hAnsi="Book Antiqua" w:cs="Book Antiqua"/>
          <w:color w:val="000000"/>
          <w:vertAlign w:val="superscript"/>
        </w:rPr>
        <w:t>[27]</w:t>
      </w:r>
      <w:r w:rsidRPr="00151BD6">
        <w:rPr>
          <w:rFonts w:ascii="Book Antiqua" w:eastAsia="Book Antiqua" w:hAnsi="Book Antiqua" w:cs="Book Antiqua"/>
          <w:color w:val="000000"/>
        </w:rPr>
        <w:t xml:space="preserve"> demonstra</w:t>
      </w:r>
      <w:r w:rsidR="00B27D60" w:rsidRPr="00151BD6">
        <w:rPr>
          <w:rFonts w:ascii="Book Antiqua" w:eastAsia="Book Antiqua" w:hAnsi="Book Antiqua" w:cs="Book Antiqua"/>
          <w:color w:val="000000"/>
        </w:rPr>
        <w:t>ted that norfloxacin (400 mg/d</w:t>
      </w:r>
      <w:r w:rsidRPr="00151BD6">
        <w:rPr>
          <w:rFonts w:ascii="Book Antiqua" w:eastAsia="Book Antiqua" w:hAnsi="Book Antiqua" w:cs="Book Antiqua"/>
          <w:color w:val="000000"/>
        </w:rPr>
        <w:t>) decreased SBP recurrence to 20%</w:t>
      </w:r>
      <w:r w:rsidRPr="00151BD6">
        <w:rPr>
          <w:rFonts w:ascii="Book Antiqua" w:eastAsia="Book Antiqua" w:hAnsi="Book Antiqua" w:cs="Book Antiqua"/>
          <w:color w:val="000000"/>
          <w:vertAlign w:val="superscript"/>
        </w:rPr>
        <w:t>[27]</w:t>
      </w:r>
      <w:r w:rsidRPr="00151BD6">
        <w:rPr>
          <w:rFonts w:ascii="Book Antiqua" w:eastAsia="Book Antiqua" w:hAnsi="Book Antiqua" w:cs="Book Antiqua"/>
          <w:color w:val="000000"/>
        </w:rPr>
        <w:t xml:space="preserve">. As a consequence, current </w:t>
      </w:r>
      <w:r w:rsidR="0061221F">
        <w:rPr>
          <w:rFonts w:ascii="Book Antiqua" w:eastAsia="Book Antiqua" w:hAnsi="Book Antiqua" w:cs="Book Antiqua"/>
          <w:color w:val="000000"/>
        </w:rPr>
        <w:t>g</w:t>
      </w:r>
      <w:r w:rsidRPr="00151BD6">
        <w:rPr>
          <w:rFonts w:ascii="Book Antiqua" w:eastAsia="Book Antiqua" w:hAnsi="Book Antiqua" w:cs="Book Antiqua"/>
          <w:color w:val="000000"/>
        </w:rPr>
        <w:t xml:space="preserve">uidelines recommend secondary prophylaxis with norfloxacin </w:t>
      </w:r>
      <w:r w:rsidR="00B27D60" w:rsidRPr="00151BD6">
        <w:rPr>
          <w:rFonts w:ascii="Book Antiqua" w:eastAsia="Book Antiqua" w:hAnsi="Book Antiqua" w:cs="Book Antiqua"/>
          <w:color w:val="000000"/>
        </w:rPr>
        <w:t>(400 mg/d</w:t>
      </w:r>
      <w:r w:rsidRPr="00151BD6">
        <w:rPr>
          <w:rFonts w:ascii="Book Antiqua" w:eastAsia="Book Antiqua" w:hAnsi="Book Antiqua" w:cs="Book Antiqua"/>
          <w:color w:val="000000"/>
        </w:rPr>
        <w:t>) until death or LT after the first episode of SBP</w:t>
      </w:r>
      <w:r w:rsidR="00B27D60" w:rsidRPr="00151BD6">
        <w:rPr>
          <w:rFonts w:ascii="Book Antiqua" w:eastAsia="Book Antiqua" w:hAnsi="Book Antiqua" w:cs="Book Antiqua"/>
          <w:color w:val="000000"/>
          <w:vertAlign w:val="superscript"/>
        </w:rPr>
        <w:t>[9,</w:t>
      </w:r>
      <w:r w:rsidRPr="00151BD6">
        <w:rPr>
          <w:rFonts w:ascii="Book Antiqua" w:eastAsia="Book Antiqua" w:hAnsi="Book Antiqua" w:cs="Book Antiqua"/>
          <w:color w:val="000000"/>
          <w:vertAlign w:val="superscript"/>
        </w:rPr>
        <w:t>18]</w:t>
      </w:r>
      <w:r w:rsidRPr="00151BD6">
        <w:rPr>
          <w:rFonts w:ascii="Book Antiqua" w:eastAsia="Book Antiqua" w:hAnsi="Book Antiqua" w:cs="Book Antiqua"/>
          <w:color w:val="000000"/>
        </w:rPr>
        <w:t>. Although the previously reported meta</w:t>
      </w:r>
      <w:r w:rsidR="0061221F">
        <w:rPr>
          <w:rFonts w:ascii="Book Antiqua" w:eastAsia="Book Antiqua" w:hAnsi="Book Antiqua" w:cs="Book Antiqua"/>
          <w:color w:val="000000"/>
        </w:rPr>
        <w:t>-a</w:t>
      </w:r>
      <w:r w:rsidRPr="00151BD6">
        <w:rPr>
          <w:rFonts w:ascii="Book Antiqua" w:eastAsia="Book Antiqua" w:hAnsi="Book Antiqua" w:cs="Book Antiqua"/>
          <w:color w:val="000000"/>
        </w:rPr>
        <w:t>nalysis did not strongly support this measure, due to heterogeneity across studies and a high risk of bias</w:t>
      </w:r>
      <w:r w:rsidRPr="00151BD6">
        <w:rPr>
          <w:rFonts w:ascii="Book Antiqua" w:eastAsia="Book Antiqua" w:hAnsi="Book Antiqua" w:cs="Book Antiqua"/>
          <w:color w:val="000000"/>
          <w:vertAlign w:val="superscript"/>
        </w:rPr>
        <w:t>[23]</w:t>
      </w:r>
      <w:r w:rsidRPr="00151BD6">
        <w:rPr>
          <w:rFonts w:ascii="Book Antiqua" w:eastAsia="Book Antiqua" w:hAnsi="Book Antiqua" w:cs="Book Antiqua"/>
          <w:color w:val="000000"/>
        </w:rPr>
        <w:t>, secondary prophylaxis is routinely adopted worldwide.</w:t>
      </w:r>
    </w:p>
    <w:p w14:paraId="2A2CED2A" w14:textId="095F3BCB" w:rsidR="00A77B3E" w:rsidRPr="00151BD6" w:rsidRDefault="00252B19" w:rsidP="00B27D60">
      <w:pPr>
        <w:spacing w:line="360" w:lineRule="auto"/>
        <w:ind w:firstLineChars="200" w:firstLine="480"/>
        <w:jc w:val="both"/>
        <w:rPr>
          <w:rFonts w:ascii="Book Antiqua" w:hAnsi="Book Antiqua" w:cs="Book Antiqua"/>
          <w:color w:val="000000"/>
          <w:shd w:val="clear" w:color="auto" w:fill="FFFFFF"/>
          <w:lang w:eastAsia="zh-CN"/>
        </w:rPr>
      </w:pPr>
      <w:r w:rsidRPr="00151BD6">
        <w:rPr>
          <w:rFonts w:ascii="Book Antiqua" w:eastAsia="Book Antiqua" w:hAnsi="Book Antiqua" w:cs="Book Antiqua"/>
          <w:color w:val="000000"/>
        </w:rPr>
        <w:t xml:space="preserve">Nevertheless, clouds are still on the horizon, as well as grey areas in this field. First, it has been questioned whether fluoroquinolones, widely investigated in such patients due to their potential ability in reducing the translocation of </w:t>
      </w:r>
      <w:r w:rsidRPr="00151BD6">
        <w:rPr>
          <w:rFonts w:ascii="Book Antiqua" w:eastAsia="Book Antiqua" w:hAnsi="Book Antiqua" w:cs="Book Antiqua"/>
          <w:i/>
          <w:iCs/>
          <w:color w:val="000000"/>
        </w:rPr>
        <w:t>gram-negative</w:t>
      </w:r>
      <w:r w:rsidRPr="00151BD6">
        <w:rPr>
          <w:rFonts w:ascii="Book Antiqua" w:eastAsia="Book Antiqua" w:hAnsi="Book Antiqua" w:cs="Book Antiqua"/>
          <w:color w:val="000000"/>
        </w:rPr>
        <w:t xml:space="preserve"> bacteria from the gut lumen, still remain the drugs of choice. Indeed, there has been a changing epidemiology of BI in cirrhosis from </w:t>
      </w:r>
      <w:r w:rsidRPr="00151BD6">
        <w:rPr>
          <w:rFonts w:ascii="Book Antiqua" w:eastAsia="Book Antiqua" w:hAnsi="Book Antiqua" w:cs="Book Antiqua"/>
          <w:i/>
          <w:iCs/>
          <w:color w:val="000000"/>
        </w:rPr>
        <w:t>gram-negative</w:t>
      </w:r>
      <w:r w:rsidRPr="00151BD6">
        <w:rPr>
          <w:rFonts w:ascii="Book Antiqua" w:eastAsia="Book Antiqua" w:hAnsi="Book Antiqua" w:cs="Book Antiqua"/>
          <w:color w:val="000000"/>
        </w:rPr>
        <w:t xml:space="preserve"> to </w:t>
      </w:r>
      <w:r w:rsidRPr="00151BD6">
        <w:rPr>
          <w:rFonts w:ascii="Book Antiqua" w:eastAsia="Book Antiqua" w:hAnsi="Book Antiqua" w:cs="Book Antiqua"/>
          <w:i/>
          <w:iCs/>
          <w:color w:val="000000"/>
        </w:rPr>
        <w:t>gram-positive</w:t>
      </w:r>
      <w:r w:rsidRPr="00151BD6">
        <w:rPr>
          <w:rFonts w:ascii="Book Antiqua" w:eastAsia="Book Antiqua" w:hAnsi="Book Antiqua" w:cs="Book Antiqua"/>
          <w:color w:val="000000"/>
        </w:rPr>
        <w:t xml:space="preserve"> rods (especially in hospitalized patients), with increasing prevalence of </w:t>
      </w:r>
      <w:r w:rsidRPr="00151BD6">
        <w:rPr>
          <w:rFonts w:ascii="Book Antiqua" w:eastAsia="Book Antiqua" w:hAnsi="Book Antiqua" w:cs="Book Antiqua"/>
          <w:i/>
          <w:iCs/>
          <w:color w:val="000000"/>
        </w:rPr>
        <w:t>Enterococci</w:t>
      </w:r>
      <w:r w:rsidRPr="00151BD6">
        <w:rPr>
          <w:rFonts w:ascii="Book Antiqua" w:eastAsia="Book Antiqua" w:hAnsi="Book Antiqua" w:cs="Book Antiqua"/>
          <w:color w:val="000000"/>
        </w:rPr>
        <w:t>. Therefore, quinolones effectiveness after hospital-acquired SBP or after MDR-related SBP appears unclear. Moreover, warnings about their metabolic and cardiovascular side effects were added to previously known effects on joints and nervous system. Apart from trimethoprim-sulfamethoxazole, which has been proposed as a possible second-line drug, or first-line choice in quinolones-intolerant patients</w:t>
      </w:r>
      <w:r w:rsidRPr="00151BD6">
        <w:rPr>
          <w:rFonts w:ascii="Book Antiqua" w:eastAsia="Book Antiqua" w:hAnsi="Book Antiqua" w:cs="Book Antiqua"/>
          <w:color w:val="000000"/>
          <w:vertAlign w:val="superscript"/>
        </w:rPr>
        <w:t>[28]</w:t>
      </w:r>
      <w:r w:rsidRPr="00151BD6">
        <w:rPr>
          <w:rFonts w:ascii="Book Antiqua" w:eastAsia="Book Antiqua" w:hAnsi="Book Antiqua" w:cs="Book Antiqua"/>
          <w:color w:val="000000"/>
        </w:rPr>
        <w:t>, no effective alternatives have been available between systemic antibiotics; head-to-head comparisons between quinolones and other drug classes, even in specific settings, are urgently needed. The use of other molecules such as rifaximin,</w:t>
      </w:r>
      <w:r w:rsidR="0061221F">
        <w:rPr>
          <w:rFonts w:ascii="Book Antiqua" w:eastAsia="Book Antiqua" w:hAnsi="Book Antiqua" w:cs="Book Antiqua"/>
          <w:color w:val="000000"/>
        </w:rPr>
        <w:t xml:space="preserve"> which is</w:t>
      </w:r>
      <w:r w:rsidRPr="00151BD6">
        <w:rPr>
          <w:rFonts w:ascii="Book Antiqua" w:eastAsia="Book Antiqua" w:hAnsi="Book Antiqua" w:cs="Book Antiqua"/>
          <w:color w:val="000000"/>
        </w:rPr>
        <w:t xml:space="preserve"> poorly absorbed in the gastrointestinal tract with high intraluminal levels and already used for prophylaxis of hepatic encephalopathy, is a promising alternative</w:t>
      </w:r>
      <w:r w:rsidRPr="00151BD6">
        <w:rPr>
          <w:rFonts w:ascii="Book Antiqua" w:eastAsia="Book Antiqua" w:hAnsi="Book Antiqua" w:cs="Book Antiqua"/>
          <w:color w:val="000000"/>
          <w:vertAlign w:val="superscript"/>
        </w:rPr>
        <w:t>[29]</w:t>
      </w:r>
      <w:r w:rsidRPr="00151BD6">
        <w:rPr>
          <w:rFonts w:ascii="Book Antiqua" w:eastAsia="Book Antiqua" w:hAnsi="Book Antiqua" w:cs="Book Antiqua"/>
          <w:color w:val="000000"/>
        </w:rPr>
        <w:t xml:space="preserve"> and warrants further investigation through dedicated trials. Moreover, there is some concern about the possible increase in MDR organisms after long-term antibiotic use, but this has not been confirmed in recent studies</w:t>
      </w:r>
      <w:r w:rsidR="00B27D60" w:rsidRPr="00151BD6">
        <w:rPr>
          <w:rFonts w:ascii="Book Antiqua" w:eastAsia="Book Antiqua" w:hAnsi="Book Antiqua" w:cs="Book Antiqua"/>
          <w:color w:val="000000"/>
          <w:vertAlign w:val="superscript"/>
        </w:rPr>
        <w:t>[25,</w:t>
      </w:r>
      <w:r w:rsidRPr="00151BD6">
        <w:rPr>
          <w:rFonts w:ascii="Book Antiqua" w:eastAsia="Book Antiqua" w:hAnsi="Book Antiqua" w:cs="Book Antiqua"/>
          <w:color w:val="000000"/>
          <w:vertAlign w:val="superscript"/>
        </w:rPr>
        <w:t>30]</w:t>
      </w:r>
      <w:r w:rsidRPr="00151BD6">
        <w:rPr>
          <w:rFonts w:ascii="Book Antiqua" w:eastAsia="Book Antiqua" w:hAnsi="Book Antiqua" w:cs="Book Antiqua"/>
          <w:color w:val="000000"/>
        </w:rPr>
        <w:t>. Lastly, adherence to life-long therapy represents a major issue, as mentioned above. A recent multicenter RCT demonstrated non-inferiority of prophylaxis with ciprofloxacin 750 mg once a week when comp</w:t>
      </w:r>
      <w:r w:rsidR="00B27D60" w:rsidRPr="00151BD6">
        <w:rPr>
          <w:rFonts w:ascii="Book Antiqua" w:eastAsia="Book Antiqua" w:hAnsi="Book Antiqua" w:cs="Book Antiqua"/>
          <w:color w:val="000000"/>
        </w:rPr>
        <w:t>ared with norfloxacin 400 mg/d</w:t>
      </w:r>
      <w:r w:rsidRPr="00151BD6">
        <w:rPr>
          <w:rFonts w:ascii="Book Antiqua" w:eastAsia="Book Antiqua" w:hAnsi="Book Antiqua" w:cs="Book Antiqua"/>
          <w:color w:val="000000"/>
        </w:rPr>
        <w:t xml:space="preserve"> in terms of SBP occurrence in a relatively small group of patients with low ascitic fluid protein and previous history of SBP</w:t>
      </w:r>
      <w:r w:rsidRPr="00151BD6">
        <w:rPr>
          <w:rFonts w:ascii="Book Antiqua" w:eastAsia="Book Antiqua" w:hAnsi="Book Antiqua" w:cs="Book Antiqua"/>
          <w:color w:val="000000"/>
          <w:vertAlign w:val="superscript"/>
        </w:rPr>
        <w:t>[31]</w:t>
      </w:r>
      <w:r w:rsidRPr="00151BD6">
        <w:rPr>
          <w:rFonts w:ascii="Book Antiqua" w:eastAsia="Book Antiqua" w:hAnsi="Book Antiqua" w:cs="Book Antiqua"/>
          <w:color w:val="000000"/>
        </w:rPr>
        <w:t xml:space="preserve">. If these results can be confirmed, without determining increased incidence of MDR rods, this new antibiotic schedule may be of help in clinical practice. </w:t>
      </w:r>
      <w:r w:rsidRPr="00151BD6">
        <w:rPr>
          <w:rFonts w:ascii="Book Antiqua" w:eastAsia="Book Antiqua" w:hAnsi="Book Antiqua" w:cs="Book Antiqua"/>
          <w:color w:val="000000"/>
          <w:shd w:val="clear" w:color="auto" w:fill="FFFFFF"/>
        </w:rPr>
        <w:t xml:space="preserve">In summary, patients with cirrhosis at highest risk of SBP development may require primary antibiotic prophylaxis, especially when awaiting LT. Secondary prophylaxis is recommended in view of stronger supporting evidence. Until now, quinolones remain the drugs of choice. </w:t>
      </w:r>
    </w:p>
    <w:p w14:paraId="18934092" w14:textId="77777777" w:rsidR="00B27D60" w:rsidRPr="00151BD6" w:rsidRDefault="00B27D60" w:rsidP="00B27D60">
      <w:pPr>
        <w:spacing w:line="360" w:lineRule="auto"/>
        <w:ind w:firstLineChars="200" w:firstLine="480"/>
        <w:jc w:val="both"/>
        <w:rPr>
          <w:rFonts w:ascii="Book Antiqua" w:hAnsi="Book Antiqua"/>
          <w:lang w:eastAsia="zh-CN"/>
        </w:rPr>
      </w:pPr>
    </w:p>
    <w:p w14:paraId="6420F27C" w14:textId="77777777" w:rsidR="00A77B3E" w:rsidRPr="00151BD6" w:rsidRDefault="00252B19" w:rsidP="00861CDC">
      <w:pPr>
        <w:spacing w:line="360" w:lineRule="auto"/>
        <w:jc w:val="both"/>
        <w:rPr>
          <w:rFonts w:ascii="Book Antiqua" w:eastAsia="Book Antiqua" w:hAnsi="Book Antiqua" w:cs="Book Antiqua"/>
          <w:b/>
          <w:caps/>
          <w:color w:val="000000"/>
          <w:u w:val="single"/>
        </w:rPr>
      </w:pPr>
      <w:r w:rsidRPr="00151BD6">
        <w:rPr>
          <w:rFonts w:ascii="Book Antiqua" w:eastAsia="Book Antiqua" w:hAnsi="Book Antiqua" w:cs="Book Antiqua"/>
          <w:b/>
          <w:caps/>
          <w:color w:val="000000"/>
          <w:u w:val="single"/>
        </w:rPr>
        <w:t>Variceal Bleeding</w:t>
      </w:r>
    </w:p>
    <w:p w14:paraId="5F0369E5" w14:textId="0E384332"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shd w:val="clear" w:color="auto" w:fill="FFFFFF"/>
        </w:rPr>
        <w:t>The beneficial role of antibiotic prophylaxis has been widely demonstrated in patients with decompensated cirrhosis and AVB. The rationale behind antibiotic prophylaxis is that a relevant percentage of bleeding episodes can be due to infection-related worsening of portal hypertension and coagulopathy. Moreover, infection is a causative factor in early variceal rebleeding</w:t>
      </w:r>
      <w:r w:rsidRPr="00151BD6">
        <w:rPr>
          <w:rFonts w:ascii="Book Antiqua" w:eastAsia="Book Antiqua" w:hAnsi="Book Antiqua" w:cs="Book Antiqua"/>
          <w:color w:val="000000"/>
          <w:shd w:val="clear" w:color="auto" w:fill="FFFFFF"/>
          <w:vertAlign w:val="superscript"/>
        </w:rPr>
        <w:t>[32]</w:t>
      </w:r>
      <w:r w:rsidRPr="00151BD6">
        <w:rPr>
          <w:rFonts w:ascii="Book Antiqua" w:eastAsia="Book Antiqua" w:hAnsi="Book Antiqua" w:cs="Book Antiqua"/>
          <w:color w:val="000000"/>
          <w:shd w:val="clear" w:color="auto" w:fill="FFFFFF"/>
        </w:rPr>
        <w:t xml:space="preserve">. </w:t>
      </w:r>
      <w:r w:rsidRPr="00151BD6">
        <w:rPr>
          <w:rFonts w:ascii="Book Antiqua" w:eastAsia="Book Antiqua" w:hAnsi="Book Antiqua" w:cs="Book Antiqua"/>
          <w:color w:val="000000"/>
        </w:rPr>
        <w:t xml:space="preserve">A meta-analysis of 12 </w:t>
      </w:r>
      <w:r w:rsidR="0061221F">
        <w:rPr>
          <w:rFonts w:ascii="Book Antiqua" w:eastAsia="Book Antiqua" w:hAnsi="Book Antiqua" w:cs="Book Antiqua"/>
          <w:color w:val="000000"/>
        </w:rPr>
        <w:t>RCT</w:t>
      </w:r>
      <w:r w:rsidR="0035135C" w:rsidRPr="00151BD6">
        <w:rPr>
          <w:rFonts w:ascii="Book Antiqua" w:eastAsia="Book Antiqua" w:hAnsi="Book Antiqua" w:cs="Book Antiqua"/>
          <w:color w:val="000000"/>
        </w:rPr>
        <w:t>s</w:t>
      </w:r>
      <w:r w:rsidR="0061221F">
        <w:rPr>
          <w:rFonts w:ascii="Book Antiqua" w:eastAsia="Book Antiqua" w:hAnsi="Book Antiqua" w:cs="Book Antiqua"/>
          <w:color w:val="000000"/>
        </w:rPr>
        <w:t>,</w:t>
      </w:r>
      <w:r w:rsidR="0035135C" w:rsidRPr="00151BD6">
        <w:rPr>
          <w:rFonts w:ascii="Book Antiqua" w:eastAsia="Book Antiqua" w:hAnsi="Book Antiqua" w:cs="Book Antiqua"/>
          <w:color w:val="000000"/>
        </w:rPr>
        <w:t xml:space="preserve"> including 1</w:t>
      </w:r>
      <w:r w:rsidRPr="00151BD6">
        <w:rPr>
          <w:rFonts w:ascii="Book Antiqua" w:eastAsia="Book Antiqua" w:hAnsi="Book Antiqua" w:cs="Book Antiqua"/>
          <w:color w:val="000000"/>
        </w:rPr>
        <w:t>241 patients</w:t>
      </w:r>
      <w:r w:rsidR="0061221F">
        <w:rPr>
          <w:rFonts w:ascii="Book Antiqua" w:eastAsia="Book Antiqua" w:hAnsi="Book Antiqua" w:cs="Book Antiqua"/>
          <w:color w:val="000000"/>
        </w:rPr>
        <w:t>,</w:t>
      </w:r>
      <w:r w:rsidRPr="00151BD6">
        <w:rPr>
          <w:rFonts w:ascii="Book Antiqua" w:eastAsia="Book Antiqua" w:hAnsi="Book Antiqua" w:cs="Book Antiqua"/>
          <w:color w:val="000000"/>
        </w:rPr>
        <w:t xml:space="preserve"> confirmed the beneficial role of antibiotic prophylaxis in terms of overall mortality, mortality from </w:t>
      </w:r>
      <w:r w:rsidR="004A0B27" w:rsidRPr="00151BD6">
        <w:rPr>
          <w:rFonts w:ascii="Book Antiqua" w:eastAsia="Book Antiqua" w:hAnsi="Book Antiqua" w:cs="Book Antiqua"/>
          <w:color w:val="000000"/>
        </w:rPr>
        <w:t>BI</w:t>
      </w:r>
      <w:r w:rsidRPr="00151BD6">
        <w:rPr>
          <w:rFonts w:ascii="Book Antiqua" w:eastAsia="Book Antiqua" w:hAnsi="Book Antiqua" w:cs="Book Antiqua"/>
          <w:color w:val="000000"/>
        </w:rPr>
        <w:t xml:space="preserve">s, and overall incidence of </w:t>
      </w:r>
      <w:r w:rsidR="004A0B27" w:rsidRPr="00151BD6">
        <w:rPr>
          <w:rFonts w:ascii="Book Antiqua" w:eastAsia="Book Antiqua" w:hAnsi="Book Antiqua" w:cs="Book Antiqua"/>
          <w:color w:val="000000"/>
        </w:rPr>
        <w:t>BI</w:t>
      </w:r>
      <w:r w:rsidRPr="00151BD6">
        <w:rPr>
          <w:rFonts w:ascii="Book Antiqua" w:eastAsia="Book Antiqua" w:hAnsi="Book Antiqua" w:cs="Book Antiqua"/>
          <w:color w:val="000000"/>
        </w:rPr>
        <w:t>s</w:t>
      </w:r>
      <w:r w:rsidRPr="00151BD6">
        <w:rPr>
          <w:rFonts w:ascii="Book Antiqua" w:eastAsia="Book Antiqua" w:hAnsi="Book Antiqua" w:cs="Book Antiqua"/>
          <w:color w:val="000000"/>
          <w:vertAlign w:val="superscript"/>
        </w:rPr>
        <w:t>[33]</w:t>
      </w:r>
      <w:r w:rsidRPr="00151BD6">
        <w:rPr>
          <w:rFonts w:ascii="Book Antiqua" w:eastAsia="Book Antiqua" w:hAnsi="Book Antiqua" w:cs="Book Antiqua"/>
          <w:color w:val="000000"/>
        </w:rPr>
        <w:t xml:space="preserve">. </w:t>
      </w:r>
    </w:p>
    <w:p w14:paraId="210250C8" w14:textId="0F5BC8B5" w:rsidR="00A77B3E" w:rsidRPr="00151BD6" w:rsidRDefault="00252B19" w:rsidP="0035135C">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 xml:space="preserve">Two major issues have to be addressed in the AVB setting. First, whether one class of antibiotics could be considered more effective than the others. A RCT conducted by </w:t>
      </w:r>
      <w:r w:rsidR="0035135C" w:rsidRPr="00151BD6">
        <w:rPr>
          <w:rFonts w:ascii="Book Antiqua" w:hAnsi="Book Antiqua"/>
          <w:bCs/>
        </w:rPr>
        <w:t>Fernández</w:t>
      </w:r>
      <w:r w:rsidRPr="00151BD6">
        <w:rPr>
          <w:rFonts w:ascii="Book Antiqua" w:eastAsia="Book Antiqua" w:hAnsi="Book Antiqua" w:cs="Book Antiqua"/>
          <w:color w:val="000000"/>
        </w:rPr>
        <w:t xml:space="preserve"> </w:t>
      </w:r>
      <w:r w:rsidRPr="00151BD6">
        <w:rPr>
          <w:rFonts w:ascii="Book Antiqua" w:eastAsia="Book Antiqua" w:hAnsi="Book Antiqua" w:cs="Book Antiqua"/>
          <w:i/>
          <w:iCs/>
          <w:color w:val="000000"/>
        </w:rPr>
        <w:t>et al</w:t>
      </w:r>
      <w:r w:rsidRPr="00151BD6">
        <w:rPr>
          <w:rFonts w:ascii="Book Antiqua" w:eastAsia="Book Antiqua" w:hAnsi="Book Antiqua" w:cs="Book Antiqua"/>
          <w:color w:val="000000"/>
          <w:vertAlign w:val="superscript"/>
        </w:rPr>
        <w:t>[34]</w:t>
      </w:r>
      <w:r w:rsidRPr="00151BD6">
        <w:rPr>
          <w:rFonts w:ascii="Book Antiqua" w:eastAsia="Book Antiqua" w:hAnsi="Book Antiqua" w:cs="Book Antiqua"/>
          <w:color w:val="000000"/>
        </w:rPr>
        <w:t xml:space="preserve"> showed that patients who received norfloxacin had a higher rate of BI than those receiving cephalosporin, quinolone resistance being a major cause of infection breakthrough in these patients. The abovementioned meta</w:t>
      </w:r>
      <w:r w:rsidR="0061221F">
        <w:rPr>
          <w:rFonts w:ascii="Book Antiqua" w:eastAsia="Book Antiqua" w:hAnsi="Book Antiqua" w:cs="Book Antiqua"/>
          <w:color w:val="000000"/>
        </w:rPr>
        <w:t>-a</w:t>
      </w:r>
      <w:r w:rsidRPr="00151BD6">
        <w:rPr>
          <w:rFonts w:ascii="Book Antiqua" w:eastAsia="Book Antiqua" w:hAnsi="Book Antiqua" w:cs="Book Antiqua"/>
          <w:color w:val="000000"/>
        </w:rPr>
        <w:t>nalysis</w:t>
      </w:r>
      <w:r w:rsidRPr="00151BD6">
        <w:rPr>
          <w:rFonts w:ascii="Book Antiqua" w:eastAsia="Book Antiqua" w:hAnsi="Book Antiqua" w:cs="Book Antiqua"/>
          <w:color w:val="000000"/>
          <w:vertAlign w:val="superscript"/>
        </w:rPr>
        <w:t>[33]</w:t>
      </w:r>
      <w:r w:rsidRPr="00151BD6">
        <w:rPr>
          <w:rFonts w:ascii="Book Antiqua" w:eastAsia="Book Antiqua" w:hAnsi="Book Antiqua" w:cs="Book Antiqua"/>
          <w:color w:val="000000"/>
        </w:rPr>
        <w:t xml:space="preserve"> did not show any superiority of a specific class of antibiotics over the others, since these were all superior to the placebo; nevertheless, </w:t>
      </w:r>
      <w:r w:rsidRPr="00151BD6">
        <w:rPr>
          <w:rFonts w:ascii="Book Antiqua" w:eastAsia="Book Antiqua" w:hAnsi="Book Antiqua" w:cs="Book Antiqua"/>
          <w:color w:val="000000"/>
          <w:shd w:val="clear" w:color="auto" w:fill="FFFFFF"/>
        </w:rPr>
        <w:t>the beneficial effect seemed to be more pronounced in trials using cephalosporins (</w:t>
      </w:r>
      <w:r w:rsidR="00596B39">
        <w:rPr>
          <w:rFonts w:ascii="Book Antiqua" w:eastAsia="Book Antiqua" w:hAnsi="Book Antiqua" w:cs="Book Antiqua"/>
          <w:color w:val="000000"/>
          <w:shd w:val="clear" w:color="auto" w:fill="FFFFFF"/>
        </w:rPr>
        <w:t>relative risk</w:t>
      </w:r>
      <w:r w:rsidR="0035135C" w:rsidRPr="00151BD6">
        <w:rPr>
          <w:rFonts w:ascii="Book Antiqua" w:hAnsi="Book Antiqua" w:cs="Book Antiqua"/>
          <w:color w:val="000000"/>
          <w:shd w:val="clear" w:color="auto" w:fill="FFFFFF"/>
          <w:lang w:eastAsia="zh-CN"/>
        </w:rPr>
        <w:t>:</w:t>
      </w:r>
      <w:r w:rsidRPr="00151BD6">
        <w:rPr>
          <w:rFonts w:ascii="Book Antiqua" w:eastAsia="Book Antiqua" w:hAnsi="Book Antiqua" w:cs="Book Antiqua"/>
          <w:color w:val="000000"/>
          <w:shd w:val="clear" w:color="auto" w:fill="FFFFFF"/>
        </w:rPr>
        <w:t xml:space="preserve"> 0.16, 95%</w:t>
      </w:r>
      <w:r w:rsidR="00596B39">
        <w:rPr>
          <w:rFonts w:ascii="Book Antiqua" w:eastAsia="Book Antiqua" w:hAnsi="Book Antiqua" w:cs="Book Antiqua"/>
          <w:color w:val="000000"/>
          <w:shd w:val="clear" w:color="auto" w:fill="FFFFFF"/>
        </w:rPr>
        <w:t xml:space="preserve"> confidence interval</w:t>
      </w:r>
      <w:r w:rsidR="0035135C" w:rsidRPr="00151BD6">
        <w:rPr>
          <w:rFonts w:ascii="Book Antiqua" w:hAnsi="Book Antiqua" w:cs="Book Antiqua"/>
          <w:color w:val="000000"/>
          <w:shd w:val="clear" w:color="auto" w:fill="FFFFFF"/>
          <w:lang w:eastAsia="zh-CN"/>
        </w:rPr>
        <w:t>:</w:t>
      </w:r>
      <w:r w:rsidRPr="00151BD6">
        <w:rPr>
          <w:rFonts w:ascii="Book Antiqua" w:eastAsia="Book Antiqua" w:hAnsi="Book Antiqua" w:cs="Book Antiqua"/>
          <w:color w:val="000000"/>
          <w:shd w:val="clear" w:color="auto" w:fill="FFFFFF"/>
        </w:rPr>
        <w:t xml:space="preserve"> 0.05-0.48), followed by quinolones (</w:t>
      </w:r>
      <w:r w:rsidR="00596B39">
        <w:rPr>
          <w:rFonts w:ascii="Book Antiqua" w:eastAsia="Book Antiqua" w:hAnsi="Book Antiqua" w:cs="Book Antiqua"/>
          <w:color w:val="000000"/>
          <w:shd w:val="clear" w:color="auto" w:fill="FFFFFF"/>
        </w:rPr>
        <w:t>relative risk</w:t>
      </w:r>
      <w:r w:rsidR="0035135C" w:rsidRPr="00151BD6">
        <w:rPr>
          <w:rFonts w:ascii="Book Antiqua" w:hAnsi="Book Antiqua" w:cs="Book Antiqua"/>
          <w:color w:val="000000"/>
          <w:shd w:val="clear" w:color="auto" w:fill="FFFFFF"/>
          <w:lang w:eastAsia="zh-CN"/>
        </w:rPr>
        <w:t>:</w:t>
      </w:r>
      <w:r w:rsidRPr="00151BD6">
        <w:rPr>
          <w:rFonts w:ascii="Book Antiqua" w:eastAsia="Book Antiqua" w:hAnsi="Book Antiqua" w:cs="Book Antiqua"/>
          <w:color w:val="000000"/>
          <w:shd w:val="clear" w:color="auto" w:fill="FFFFFF"/>
        </w:rPr>
        <w:t xml:space="preserve"> 0.27, 95%</w:t>
      </w:r>
      <w:r w:rsidR="00596B39">
        <w:rPr>
          <w:rFonts w:ascii="Book Antiqua" w:eastAsia="Book Antiqua" w:hAnsi="Book Antiqua" w:cs="Book Antiqua"/>
          <w:color w:val="000000"/>
          <w:shd w:val="clear" w:color="auto" w:fill="FFFFFF"/>
        </w:rPr>
        <w:t xml:space="preserve"> confidence interval</w:t>
      </w:r>
      <w:r w:rsidR="0035135C" w:rsidRPr="00151BD6">
        <w:rPr>
          <w:rFonts w:ascii="Book Antiqua" w:hAnsi="Book Antiqua" w:cs="Book Antiqua"/>
          <w:color w:val="000000"/>
          <w:shd w:val="clear" w:color="auto" w:fill="FFFFFF"/>
          <w:lang w:eastAsia="zh-CN"/>
        </w:rPr>
        <w:t>:</w:t>
      </w:r>
      <w:r w:rsidRPr="00151BD6">
        <w:rPr>
          <w:rFonts w:ascii="Book Antiqua" w:eastAsia="Book Antiqua" w:hAnsi="Book Antiqua" w:cs="Book Antiqua"/>
          <w:color w:val="000000"/>
          <w:shd w:val="clear" w:color="auto" w:fill="FFFFFF"/>
        </w:rPr>
        <w:t xml:space="preserve"> 0.18-0.39). </w:t>
      </w:r>
      <w:r w:rsidRPr="00151BD6">
        <w:rPr>
          <w:rFonts w:ascii="Book Antiqua" w:eastAsia="Book Antiqua" w:hAnsi="Book Antiqua" w:cs="Book Antiqua"/>
          <w:color w:val="000000"/>
        </w:rPr>
        <w:t xml:space="preserve">Therefore, current Guidelines recommend the use of </w:t>
      </w:r>
      <w:r w:rsidR="00596B39">
        <w:rPr>
          <w:rFonts w:ascii="Book Antiqua" w:eastAsia="Book Antiqua" w:hAnsi="Book Antiqua" w:cs="Book Antiqua"/>
          <w:color w:val="000000"/>
        </w:rPr>
        <w:t>intravenous</w:t>
      </w:r>
      <w:r w:rsidR="009F212F">
        <w:rPr>
          <w:rFonts w:ascii="Book Antiqua" w:eastAsia="Book Antiqua" w:hAnsi="Book Antiqua" w:cs="Book Antiqua"/>
          <w:color w:val="000000"/>
        </w:rPr>
        <w:t xml:space="preserve"> (i.v.)</w:t>
      </w:r>
      <w:r w:rsidRPr="00151BD6">
        <w:rPr>
          <w:rFonts w:ascii="Book Antiqua" w:eastAsia="Book Antiqua" w:hAnsi="Book Antiqua" w:cs="Book Antiqua"/>
          <w:color w:val="000000"/>
        </w:rPr>
        <w:t xml:space="preserve"> cephalosporins (</w:t>
      </w:r>
      <w:r w:rsidRPr="00151BD6">
        <w:rPr>
          <w:rFonts w:ascii="Book Antiqua" w:eastAsia="Book Antiqua" w:hAnsi="Book Antiqua" w:cs="Book Antiqua"/>
          <w:i/>
          <w:color w:val="000000"/>
        </w:rPr>
        <w:t>i.e.</w:t>
      </w:r>
      <w:r w:rsidR="0035135C" w:rsidRPr="00151BD6">
        <w:rPr>
          <w:rFonts w:ascii="Book Antiqua" w:eastAsia="Book Antiqua" w:hAnsi="Book Antiqua" w:cs="Book Antiqua"/>
          <w:color w:val="000000"/>
        </w:rPr>
        <w:t xml:space="preserve"> ceftriaxone 1 gr/d</w:t>
      </w:r>
      <w:r w:rsidRPr="00151BD6">
        <w:rPr>
          <w:rFonts w:ascii="Book Antiqua" w:eastAsia="Book Antiqua" w:hAnsi="Book Antiqua" w:cs="Book Antiqua"/>
          <w:color w:val="000000"/>
        </w:rPr>
        <w:t>) as the best prophylactic therapy in AVB</w:t>
      </w:r>
      <w:r w:rsidR="0035135C" w:rsidRPr="00151BD6">
        <w:rPr>
          <w:rFonts w:ascii="Book Antiqua" w:eastAsia="Book Antiqua" w:hAnsi="Book Antiqua" w:cs="Book Antiqua"/>
          <w:color w:val="000000"/>
          <w:vertAlign w:val="superscript"/>
        </w:rPr>
        <w:t>[35,</w:t>
      </w:r>
      <w:r w:rsidRPr="00151BD6">
        <w:rPr>
          <w:rFonts w:ascii="Book Antiqua" w:eastAsia="Book Antiqua" w:hAnsi="Book Antiqua" w:cs="Book Antiqua"/>
          <w:color w:val="000000"/>
          <w:vertAlign w:val="superscript"/>
        </w:rPr>
        <w:t>36]</w:t>
      </w:r>
      <w:r w:rsidRPr="00151BD6">
        <w:rPr>
          <w:rFonts w:ascii="Book Antiqua" w:eastAsia="Book Antiqua" w:hAnsi="Book Antiqua" w:cs="Book Antiqua"/>
          <w:color w:val="000000"/>
        </w:rPr>
        <w:t>. In clinical practice, the choice also has to take into account local epidemiology, set</w:t>
      </w:r>
      <w:r w:rsidR="0035135C" w:rsidRPr="00151BD6">
        <w:rPr>
          <w:rFonts w:ascii="Book Antiqua" w:eastAsia="Book Antiqua" w:hAnsi="Book Antiqua" w:cs="Book Antiqua"/>
          <w:color w:val="000000"/>
        </w:rPr>
        <w:t>ting of bleeding (</w:t>
      </w:r>
      <w:r w:rsidR="0035135C" w:rsidRPr="00151BD6">
        <w:rPr>
          <w:rFonts w:ascii="Book Antiqua" w:eastAsia="Book Antiqua" w:hAnsi="Book Antiqua" w:cs="Book Antiqua"/>
          <w:i/>
          <w:color w:val="000000"/>
        </w:rPr>
        <w:t>i.e.</w:t>
      </w:r>
      <w:r w:rsidR="0035135C" w:rsidRPr="00151BD6">
        <w:rPr>
          <w:rFonts w:ascii="Book Antiqua" w:eastAsia="Book Antiqua" w:hAnsi="Book Antiqua" w:cs="Book Antiqua"/>
          <w:color w:val="000000"/>
        </w:rPr>
        <w:t xml:space="preserve"> out- </w:t>
      </w:r>
      <w:r w:rsidR="0035135C" w:rsidRPr="00151BD6">
        <w:rPr>
          <w:rFonts w:ascii="Book Antiqua" w:eastAsia="Book Antiqua" w:hAnsi="Book Antiqua" w:cs="Book Antiqua"/>
          <w:i/>
          <w:color w:val="000000"/>
        </w:rPr>
        <w:t>vs</w:t>
      </w:r>
      <w:r w:rsidRPr="00151BD6">
        <w:rPr>
          <w:rFonts w:ascii="Book Antiqua" w:eastAsia="Book Antiqua" w:hAnsi="Book Antiqua" w:cs="Book Antiqua"/>
          <w:color w:val="000000"/>
        </w:rPr>
        <w:t xml:space="preserve"> in-hospital bleeding)</w:t>
      </w:r>
      <w:r w:rsidR="00596B39">
        <w:rPr>
          <w:rFonts w:ascii="Book Antiqua" w:eastAsia="Book Antiqua" w:hAnsi="Book Antiqua" w:cs="Book Antiqua"/>
          <w:color w:val="000000"/>
        </w:rPr>
        <w:t>,</w:t>
      </w:r>
      <w:r w:rsidRPr="00151BD6">
        <w:rPr>
          <w:rFonts w:ascii="Book Antiqua" w:eastAsia="Book Antiqua" w:hAnsi="Book Antiqua" w:cs="Book Antiqua"/>
          <w:color w:val="000000"/>
        </w:rPr>
        <w:t xml:space="preserve"> and patient’s individual features </w:t>
      </w:r>
      <w:r w:rsidR="0035135C" w:rsidRPr="00151BD6">
        <w:rPr>
          <w:rFonts w:ascii="Book Antiqua" w:hAnsi="Book Antiqua" w:cs="Book Antiqua"/>
          <w:color w:val="000000"/>
          <w:lang w:eastAsia="zh-CN"/>
        </w:rPr>
        <w:t>[</w:t>
      </w:r>
      <w:r w:rsidRPr="00151BD6">
        <w:rPr>
          <w:rFonts w:ascii="Book Antiqua" w:eastAsia="Book Antiqua" w:hAnsi="Book Antiqua" w:cs="Book Antiqua"/>
          <w:color w:val="000000"/>
        </w:rPr>
        <w:t>previous antibiotic therapy; previous known infections or colonization(s)</w:t>
      </w:r>
      <w:r w:rsidR="0035135C" w:rsidRPr="00151BD6">
        <w:rPr>
          <w:rFonts w:ascii="Book Antiqua" w:hAnsi="Book Antiqua" w:cs="Book Antiqua"/>
          <w:color w:val="000000"/>
          <w:lang w:eastAsia="zh-CN"/>
        </w:rPr>
        <w:t>]</w:t>
      </w:r>
      <w:r w:rsidRPr="00151BD6">
        <w:rPr>
          <w:rFonts w:ascii="Book Antiqua" w:eastAsia="Book Antiqua" w:hAnsi="Book Antiqua" w:cs="Book Antiqua"/>
          <w:color w:val="000000"/>
        </w:rPr>
        <w:t xml:space="preserve">. </w:t>
      </w:r>
    </w:p>
    <w:p w14:paraId="70E1D348" w14:textId="6D914157" w:rsidR="00A77B3E" w:rsidRPr="00151BD6" w:rsidRDefault="00252B19" w:rsidP="0035135C">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Second, the need for universal prophylaxis. Data from a propensity-matched cohort of 381 patients with AVB</w:t>
      </w:r>
      <w:r w:rsidRPr="00151BD6">
        <w:rPr>
          <w:rFonts w:ascii="Book Antiqua" w:eastAsia="Book Antiqua" w:hAnsi="Book Antiqua" w:cs="Book Antiqua"/>
          <w:color w:val="000000"/>
          <w:vertAlign w:val="superscript"/>
        </w:rPr>
        <w:t>[37]</w:t>
      </w:r>
      <w:r w:rsidRPr="00151BD6">
        <w:rPr>
          <w:rFonts w:ascii="Book Antiqua" w:eastAsia="Book Antiqua" w:hAnsi="Book Antiqua" w:cs="Book Antiqua"/>
          <w:color w:val="000000"/>
        </w:rPr>
        <w:t xml:space="preserve"> showed that Child-Pugh A patients had a negl</w:t>
      </w:r>
      <w:r w:rsidR="0035135C" w:rsidRPr="00151BD6">
        <w:rPr>
          <w:rFonts w:ascii="Book Antiqua" w:eastAsia="Book Antiqua" w:hAnsi="Book Antiqua" w:cs="Book Antiqua"/>
          <w:color w:val="000000"/>
        </w:rPr>
        <w:t xml:space="preserve">igible risk of infection (2% </w:t>
      </w:r>
      <w:r w:rsidR="0035135C" w:rsidRPr="00151BD6">
        <w:rPr>
          <w:rFonts w:ascii="Book Antiqua" w:eastAsia="Book Antiqua" w:hAnsi="Book Antiqua" w:cs="Book Antiqua"/>
          <w:i/>
          <w:color w:val="000000"/>
        </w:rPr>
        <w:t>vs</w:t>
      </w:r>
      <w:r w:rsidR="0035135C" w:rsidRPr="00151BD6">
        <w:rPr>
          <w:rFonts w:ascii="Book Antiqua" w:hAnsi="Book Antiqua" w:cs="Book Antiqua"/>
          <w:color w:val="000000"/>
          <w:lang w:eastAsia="zh-CN"/>
        </w:rPr>
        <w:t xml:space="preserve"> </w:t>
      </w:r>
      <w:r w:rsidRPr="00151BD6">
        <w:rPr>
          <w:rFonts w:ascii="Book Antiqua" w:eastAsia="Book Antiqua" w:hAnsi="Book Antiqua" w:cs="Book Antiqua"/>
          <w:color w:val="000000"/>
        </w:rPr>
        <w:t xml:space="preserve">1%) and mortality (2.5% </w:t>
      </w:r>
      <w:r w:rsidR="0035135C" w:rsidRPr="00151BD6">
        <w:rPr>
          <w:rFonts w:ascii="Book Antiqua" w:eastAsia="Book Antiqua" w:hAnsi="Book Antiqua" w:cs="Book Antiqua"/>
          <w:i/>
          <w:color w:val="000000"/>
        </w:rPr>
        <w:t>vs</w:t>
      </w:r>
      <w:r w:rsidRPr="00151BD6">
        <w:rPr>
          <w:rFonts w:ascii="Book Antiqua" w:eastAsia="Book Antiqua" w:hAnsi="Book Antiqua" w:cs="Book Antiqua"/>
          <w:color w:val="000000"/>
        </w:rPr>
        <w:t xml:space="preserve"> 0.4%), regardless of prophylaxis. The risk of infection rose in Child-Pugh class B patients, being significantly different in those receiving prophylaxis (6% </w:t>
      </w:r>
      <w:r w:rsidR="0035135C" w:rsidRPr="00151BD6">
        <w:rPr>
          <w:rFonts w:ascii="Book Antiqua" w:eastAsia="Book Antiqua" w:hAnsi="Book Antiqua" w:cs="Book Antiqua"/>
          <w:i/>
          <w:color w:val="000000"/>
        </w:rPr>
        <w:t>vs</w:t>
      </w:r>
      <w:r w:rsidRPr="00151BD6">
        <w:rPr>
          <w:rFonts w:ascii="Book Antiqua" w:eastAsia="Book Antiqua" w:hAnsi="Book Antiqua" w:cs="Book Antiqua"/>
          <w:color w:val="000000"/>
        </w:rPr>
        <w:t xml:space="preserve"> 14%), even if mortality did not change (5% </w:t>
      </w:r>
      <w:r w:rsidR="0035135C" w:rsidRPr="00151BD6">
        <w:rPr>
          <w:rFonts w:ascii="Book Antiqua" w:eastAsia="Book Antiqua" w:hAnsi="Book Antiqua" w:cs="Book Antiqua"/>
          <w:i/>
          <w:color w:val="000000"/>
        </w:rPr>
        <w:t>vs</w:t>
      </w:r>
      <w:r w:rsidRPr="00151BD6">
        <w:rPr>
          <w:rFonts w:ascii="Book Antiqua" w:eastAsia="Book Antiqua" w:hAnsi="Book Antiqua" w:cs="Book Antiqua"/>
          <w:color w:val="000000"/>
        </w:rPr>
        <w:t xml:space="preserve"> 7%). Finally, antibiotics significantly reduced both BI (19% </w:t>
      </w:r>
      <w:r w:rsidR="0035135C" w:rsidRPr="00151BD6">
        <w:rPr>
          <w:rFonts w:ascii="Book Antiqua" w:eastAsia="Book Antiqua" w:hAnsi="Book Antiqua" w:cs="Book Antiqua"/>
          <w:i/>
          <w:color w:val="000000"/>
        </w:rPr>
        <w:t>vs</w:t>
      </w:r>
      <w:r w:rsidRPr="00151BD6">
        <w:rPr>
          <w:rFonts w:ascii="Book Antiqua" w:eastAsia="Book Antiqua" w:hAnsi="Book Antiqua" w:cs="Book Antiqua"/>
          <w:color w:val="000000"/>
        </w:rPr>
        <w:t xml:space="preserve"> 39%) and mortality (35% </w:t>
      </w:r>
      <w:r w:rsidR="0035135C" w:rsidRPr="00151BD6">
        <w:rPr>
          <w:rFonts w:ascii="Book Antiqua" w:eastAsia="Book Antiqua" w:hAnsi="Book Antiqua" w:cs="Book Antiqua"/>
          <w:i/>
          <w:color w:val="000000"/>
        </w:rPr>
        <w:t>vs</w:t>
      </w:r>
      <w:r w:rsidRPr="00151BD6">
        <w:rPr>
          <w:rFonts w:ascii="Book Antiqua" w:eastAsia="Book Antiqua" w:hAnsi="Book Antiqua" w:cs="Book Antiqua"/>
          <w:color w:val="000000"/>
        </w:rPr>
        <w:t xml:space="preserve"> 62%) in Child-Pugh C patients. Therefore, current </w:t>
      </w:r>
      <w:r w:rsidR="00596B39">
        <w:rPr>
          <w:rFonts w:ascii="Book Antiqua" w:eastAsia="Book Antiqua" w:hAnsi="Book Antiqua" w:cs="Book Antiqua"/>
          <w:color w:val="000000"/>
        </w:rPr>
        <w:t>g</w:t>
      </w:r>
      <w:r w:rsidRPr="00151BD6">
        <w:rPr>
          <w:rFonts w:ascii="Book Antiqua" w:eastAsia="Book Antiqua" w:hAnsi="Book Antiqua" w:cs="Book Antiqua"/>
          <w:color w:val="000000"/>
        </w:rPr>
        <w:t xml:space="preserve">uidelines advocate prospective studies to </w:t>
      </w:r>
      <w:r w:rsidR="00596B39">
        <w:rPr>
          <w:rFonts w:ascii="Book Antiqua" w:eastAsia="Book Antiqua" w:hAnsi="Book Antiqua" w:cs="Book Antiqua"/>
          <w:color w:val="000000"/>
        </w:rPr>
        <w:t xml:space="preserve">assess </w:t>
      </w:r>
      <w:r w:rsidRPr="00151BD6">
        <w:rPr>
          <w:rFonts w:ascii="Book Antiqua" w:eastAsia="Book Antiqua" w:hAnsi="Book Antiqua" w:cs="Book Antiqua"/>
          <w:color w:val="000000"/>
        </w:rPr>
        <w:t>properly the effectiveness of antibiotic prophylaxis in compensated patients</w:t>
      </w:r>
      <w:r w:rsidRPr="00151BD6">
        <w:rPr>
          <w:rFonts w:ascii="Book Antiqua" w:eastAsia="Book Antiqua" w:hAnsi="Book Antiqua" w:cs="Book Antiqua"/>
          <w:color w:val="000000"/>
          <w:vertAlign w:val="superscript"/>
        </w:rPr>
        <w:t>[35]</w:t>
      </w:r>
      <w:r w:rsidRPr="00151BD6">
        <w:rPr>
          <w:rFonts w:ascii="Book Antiqua" w:eastAsia="Book Antiqua" w:hAnsi="Book Antiqua" w:cs="Book Antiqua"/>
          <w:color w:val="000000"/>
        </w:rPr>
        <w:t xml:space="preserve">. </w:t>
      </w:r>
    </w:p>
    <w:p w14:paraId="22736E10" w14:textId="7C2397C0" w:rsidR="00A77B3E" w:rsidRPr="00151BD6" w:rsidRDefault="00252B19" w:rsidP="0035135C">
      <w:pPr>
        <w:spacing w:line="360" w:lineRule="auto"/>
        <w:ind w:firstLineChars="200" w:firstLine="480"/>
        <w:jc w:val="both"/>
        <w:rPr>
          <w:rFonts w:ascii="Book Antiqua" w:hAnsi="Book Antiqua"/>
          <w:lang w:eastAsia="zh-CN"/>
        </w:rPr>
      </w:pPr>
      <w:r w:rsidRPr="00151BD6">
        <w:rPr>
          <w:rFonts w:ascii="Book Antiqua" w:eastAsia="Book Antiqua" w:hAnsi="Book Antiqua" w:cs="Book Antiqua"/>
          <w:color w:val="000000"/>
          <w:shd w:val="clear" w:color="auto" w:fill="FFFFFF"/>
        </w:rPr>
        <w:t>In the setting of elective variceal band ligation, antibiotic use is less common. The rationale behind prophylaxis is the risk of bacteremia, which occurs in 3</w:t>
      </w:r>
      <w:r w:rsidR="0035135C" w:rsidRPr="00151BD6">
        <w:rPr>
          <w:rFonts w:ascii="Book Antiqua" w:eastAsia="Book Antiqua" w:hAnsi="Book Antiqua" w:cs="Book Antiqua"/>
          <w:color w:val="000000"/>
          <w:shd w:val="clear" w:color="auto" w:fill="FFFFFF"/>
        </w:rPr>
        <w:t>%</w:t>
      </w:r>
      <w:r w:rsidRPr="00151BD6">
        <w:rPr>
          <w:rFonts w:ascii="Book Antiqua" w:eastAsia="Book Antiqua" w:hAnsi="Book Antiqua" w:cs="Book Antiqua"/>
          <w:color w:val="000000"/>
          <w:shd w:val="clear" w:color="auto" w:fill="FFFFFF"/>
        </w:rPr>
        <w:t>-6% of cases, but it becomes clinically relevant only in a minority. A recently published systematic review and meta</w:t>
      </w:r>
      <w:r w:rsidR="0061221F">
        <w:rPr>
          <w:rFonts w:ascii="Book Antiqua" w:eastAsia="Book Antiqua" w:hAnsi="Book Antiqua" w:cs="Book Antiqua"/>
          <w:color w:val="000000"/>
          <w:shd w:val="clear" w:color="auto" w:fill="FFFFFF"/>
        </w:rPr>
        <w:t>-a</w:t>
      </w:r>
      <w:r w:rsidRPr="00151BD6">
        <w:rPr>
          <w:rFonts w:ascii="Book Antiqua" w:eastAsia="Book Antiqua" w:hAnsi="Book Antiqua" w:cs="Book Antiqua"/>
          <w:color w:val="000000"/>
          <w:shd w:val="clear" w:color="auto" w:fill="FFFFFF"/>
        </w:rPr>
        <w:t>nalysis inve</w:t>
      </w:r>
      <w:r w:rsidR="0035135C" w:rsidRPr="00151BD6">
        <w:rPr>
          <w:rFonts w:ascii="Book Antiqua" w:eastAsia="Book Antiqua" w:hAnsi="Book Antiqua" w:cs="Book Antiqua"/>
          <w:color w:val="000000"/>
          <w:shd w:val="clear" w:color="auto" w:fill="FFFFFF"/>
        </w:rPr>
        <w:t>stigated this topic including 1</w:t>
      </w:r>
      <w:r w:rsidRPr="00151BD6">
        <w:rPr>
          <w:rFonts w:ascii="Book Antiqua" w:eastAsia="Book Antiqua" w:hAnsi="Book Antiqua" w:cs="Book Antiqua"/>
          <w:color w:val="000000"/>
          <w:shd w:val="clear" w:color="auto" w:fill="FFFFFF"/>
        </w:rPr>
        <w:t>001 procedures in 587 patients from 19 studies</w:t>
      </w:r>
      <w:r w:rsidRPr="00151BD6">
        <w:rPr>
          <w:rFonts w:ascii="Book Antiqua" w:eastAsia="Book Antiqua" w:hAnsi="Book Antiqua" w:cs="Book Antiqua"/>
          <w:color w:val="000000"/>
          <w:shd w:val="clear" w:color="auto" w:fill="FFFFFF"/>
          <w:vertAlign w:val="superscript"/>
        </w:rPr>
        <w:t>[38]</w:t>
      </w:r>
      <w:r w:rsidRPr="00151BD6">
        <w:rPr>
          <w:rFonts w:ascii="Book Antiqua" w:eastAsia="Book Antiqua" w:hAnsi="Book Antiqua" w:cs="Book Antiqua"/>
          <w:color w:val="000000"/>
          <w:shd w:val="clear" w:color="auto" w:fill="FFFFFF"/>
        </w:rPr>
        <w:t xml:space="preserve">. Overall, the frequency of bacteremia was 17% and 6% after sclerosis and band ligation, respectively. Comparing elective </w:t>
      </w:r>
      <w:r w:rsidRPr="00BB658C">
        <w:rPr>
          <w:rFonts w:ascii="Book Antiqua" w:eastAsia="Book Antiqua" w:hAnsi="Book Antiqua" w:cs="Book Antiqua"/>
          <w:i/>
          <w:iCs/>
          <w:color w:val="000000"/>
          <w:shd w:val="clear" w:color="auto" w:fill="FFFFFF"/>
        </w:rPr>
        <w:t>vs</w:t>
      </w:r>
      <w:r w:rsidRPr="00151BD6">
        <w:rPr>
          <w:rFonts w:ascii="Book Antiqua" w:eastAsia="Book Antiqua" w:hAnsi="Book Antiqua" w:cs="Book Antiqua"/>
          <w:color w:val="000000"/>
          <w:shd w:val="clear" w:color="auto" w:fill="FFFFFF"/>
        </w:rPr>
        <w:t xml:space="preserve"> emergency procedures, the authors showed a significant difference for sclerosis (13% </w:t>
      </w:r>
      <w:r w:rsidR="0035135C" w:rsidRPr="00151BD6">
        <w:rPr>
          <w:rFonts w:ascii="Book Antiqua" w:eastAsia="Book Antiqua" w:hAnsi="Book Antiqua" w:cs="Book Antiqua"/>
          <w:i/>
          <w:color w:val="000000"/>
          <w:shd w:val="clear" w:color="auto" w:fill="FFFFFF"/>
        </w:rPr>
        <w:t>vs</w:t>
      </w:r>
      <w:r w:rsidRPr="00151BD6">
        <w:rPr>
          <w:rFonts w:ascii="Book Antiqua" w:eastAsia="Book Antiqua" w:hAnsi="Book Antiqua" w:cs="Book Antiqua"/>
          <w:color w:val="000000"/>
          <w:shd w:val="clear" w:color="auto" w:fill="FFFFFF"/>
        </w:rPr>
        <w:t xml:space="preserve"> 22.5%) but not for band ligation (7.6% </w:t>
      </w:r>
      <w:r w:rsidRPr="00151BD6">
        <w:rPr>
          <w:rFonts w:ascii="Book Antiqua" w:eastAsia="Book Antiqua" w:hAnsi="Book Antiqua" w:cs="Book Antiqua"/>
          <w:i/>
          <w:color w:val="000000"/>
          <w:shd w:val="clear" w:color="auto" w:fill="FFFFFF"/>
        </w:rPr>
        <w:t>vs</w:t>
      </w:r>
      <w:r w:rsidRPr="00151BD6">
        <w:rPr>
          <w:rFonts w:ascii="Book Antiqua" w:eastAsia="Book Antiqua" w:hAnsi="Book Antiqua" w:cs="Book Antiqua"/>
          <w:color w:val="000000"/>
          <w:shd w:val="clear" w:color="auto" w:fill="FFFFFF"/>
        </w:rPr>
        <w:t xml:space="preserve"> 3.2%). In summary, data do not currently provide strong recommendations about routine antibiotic prophylaxis for elective variceal therapy</w:t>
      </w:r>
      <w:r w:rsidR="0035135C" w:rsidRPr="00151BD6">
        <w:rPr>
          <w:rFonts w:ascii="Book Antiqua" w:eastAsia="Book Antiqua" w:hAnsi="Book Antiqua" w:cs="Book Antiqua"/>
          <w:color w:val="000000"/>
          <w:shd w:val="clear" w:color="auto" w:fill="FFFFFF"/>
          <w:vertAlign w:val="superscript"/>
        </w:rPr>
        <w:t>[35,</w:t>
      </w:r>
      <w:r w:rsidRPr="00151BD6">
        <w:rPr>
          <w:rFonts w:ascii="Book Antiqua" w:eastAsia="Book Antiqua" w:hAnsi="Book Antiqua" w:cs="Book Antiqua"/>
          <w:color w:val="000000"/>
          <w:shd w:val="clear" w:color="auto" w:fill="FFFFFF"/>
          <w:vertAlign w:val="superscript"/>
        </w:rPr>
        <w:t>39]</w:t>
      </w:r>
      <w:r w:rsidRPr="00151BD6">
        <w:rPr>
          <w:rFonts w:ascii="Book Antiqua" w:eastAsia="Book Antiqua" w:hAnsi="Book Antiqua" w:cs="Book Antiqua"/>
          <w:color w:val="000000"/>
          <w:shd w:val="clear" w:color="auto" w:fill="FFFFFF"/>
        </w:rPr>
        <w:t>. Few data are available on the effectiveness of antibiotic prophylaxis for elective fundal variceal obturation with cyanoacrylate. A study from China</w:t>
      </w:r>
      <w:r w:rsidRPr="00151BD6">
        <w:rPr>
          <w:rFonts w:ascii="Book Antiqua" w:eastAsia="Book Antiqua" w:hAnsi="Book Antiqua" w:cs="Book Antiqua"/>
          <w:color w:val="000000"/>
          <w:shd w:val="clear" w:color="auto" w:fill="FFFFFF"/>
          <w:vertAlign w:val="superscript"/>
        </w:rPr>
        <w:t>[40]</w:t>
      </w:r>
      <w:r w:rsidRPr="00151BD6">
        <w:rPr>
          <w:rFonts w:ascii="Book Antiqua" w:eastAsia="Book Antiqua" w:hAnsi="Book Antiqua" w:cs="Book Antiqua"/>
          <w:color w:val="000000"/>
          <w:shd w:val="clear" w:color="auto" w:fill="FFFFFF"/>
        </w:rPr>
        <w:t xml:space="preserve"> showed that sepsis occurred with a relatively low frequency (0.64%), whereas the risk was four-fold higher in the emergency setting. A further prospective RCT from China</w:t>
      </w:r>
      <w:r w:rsidR="00596B39">
        <w:rPr>
          <w:rFonts w:ascii="Book Antiqua" w:eastAsia="Book Antiqua" w:hAnsi="Book Antiqua" w:cs="Book Antiqua"/>
          <w:color w:val="000000"/>
          <w:shd w:val="clear" w:color="auto" w:fill="FFFFFF"/>
        </w:rPr>
        <w:t>,</w:t>
      </w:r>
      <w:r w:rsidRPr="00151BD6">
        <w:rPr>
          <w:rFonts w:ascii="Book Antiqua" w:eastAsia="Book Antiqua" w:hAnsi="Book Antiqua" w:cs="Book Antiqua"/>
          <w:color w:val="000000"/>
          <w:shd w:val="clear" w:color="auto" w:fill="FFFFFF"/>
        </w:rPr>
        <w:t xml:space="preserve"> including 107 patients undergoing elective cyanoacrylate obturation, showed that 53 who received cefotiam 2 gr i.v. before endoscopy experienced a lower incidence of post-operative complications, even if differences on infectious complications were not exhaustively reported</w:t>
      </w:r>
      <w:r w:rsidRPr="00151BD6">
        <w:rPr>
          <w:rFonts w:ascii="Book Antiqua" w:eastAsia="Book Antiqua" w:hAnsi="Book Antiqua" w:cs="Book Antiqua"/>
          <w:color w:val="000000"/>
          <w:shd w:val="clear" w:color="auto" w:fill="FFFFFF"/>
          <w:vertAlign w:val="superscript"/>
        </w:rPr>
        <w:t>[41]</w:t>
      </w:r>
      <w:r w:rsidRPr="00151BD6">
        <w:rPr>
          <w:rFonts w:ascii="Book Antiqua" w:eastAsia="Book Antiqua" w:hAnsi="Book Antiqua" w:cs="Book Antiqua"/>
          <w:color w:val="000000"/>
          <w:shd w:val="clear" w:color="auto" w:fill="FFFFFF"/>
        </w:rPr>
        <w:t xml:space="preserve">. Finally, a small study from Thailand compared cyanoacrylate injection in urgent </w:t>
      </w:r>
      <w:r w:rsidRPr="00BB658C">
        <w:rPr>
          <w:rFonts w:ascii="Book Antiqua" w:eastAsia="Book Antiqua" w:hAnsi="Book Antiqua" w:cs="Book Antiqua"/>
          <w:i/>
          <w:iCs/>
          <w:color w:val="000000"/>
          <w:shd w:val="clear" w:color="auto" w:fill="FFFFFF"/>
        </w:rPr>
        <w:t>vs</w:t>
      </w:r>
      <w:r w:rsidRPr="00151BD6">
        <w:rPr>
          <w:rFonts w:ascii="Book Antiqua" w:eastAsia="Book Antiqua" w:hAnsi="Book Antiqua" w:cs="Book Antiqua"/>
          <w:color w:val="000000"/>
          <w:shd w:val="clear" w:color="auto" w:fill="FFFFFF"/>
        </w:rPr>
        <w:t xml:space="preserve"> elective setting, showing a negligible rate of peri/post-procedural infectious episodes in the former group (0% </w:t>
      </w:r>
      <w:r w:rsidRPr="00151BD6">
        <w:rPr>
          <w:rFonts w:ascii="Book Antiqua" w:eastAsia="Book Antiqua" w:hAnsi="Book Antiqua" w:cs="Book Antiqua"/>
          <w:i/>
          <w:color w:val="000000"/>
          <w:shd w:val="clear" w:color="auto" w:fill="FFFFFF"/>
        </w:rPr>
        <w:t>vs</w:t>
      </w:r>
      <w:r w:rsidRPr="00151BD6">
        <w:rPr>
          <w:rFonts w:ascii="Book Antiqua" w:eastAsia="Book Antiqua" w:hAnsi="Book Antiqua" w:cs="Book Antiqua"/>
          <w:color w:val="000000"/>
          <w:shd w:val="clear" w:color="auto" w:fill="FFFFFF"/>
        </w:rPr>
        <w:t xml:space="preserve"> 20%)</w:t>
      </w:r>
      <w:r w:rsidRPr="00151BD6">
        <w:rPr>
          <w:rFonts w:ascii="Book Antiqua" w:eastAsia="Book Antiqua" w:hAnsi="Book Antiqua" w:cs="Book Antiqua"/>
          <w:color w:val="000000"/>
          <w:shd w:val="clear" w:color="auto" w:fill="FFFFFF"/>
          <w:vertAlign w:val="superscript"/>
        </w:rPr>
        <w:t>[42]</w:t>
      </w:r>
      <w:r w:rsidRPr="00151BD6">
        <w:rPr>
          <w:rFonts w:ascii="Book Antiqua" w:eastAsia="Book Antiqua" w:hAnsi="Book Antiqua" w:cs="Book Antiqua"/>
          <w:color w:val="000000"/>
          <w:shd w:val="clear" w:color="auto" w:fill="FFFFFF"/>
        </w:rPr>
        <w:t>.</w:t>
      </w:r>
    </w:p>
    <w:p w14:paraId="41522DDC" w14:textId="77777777" w:rsidR="00A77B3E" w:rsidRPr="00151BD6" w:rsidRDefault="00252B19" w:rsidP="0035135C">
      <w:pPr>
        <w:spacing w:line="360" w:lineRule="auto"/>
        <w:ind w:firstLineChars="200" w:firstLine="480"/>
        <w:jc w:val="both"/>
        <w:rPr>
          <w:rFonts w:ascii="Book Antiqua" w:hAnsi="Book Antiqua"/>
        </w:rPr>
      </w:pPr>
      <w:r w:rsidRPr="00151BD6">
        <w:rPr>
          <w:rFonts w:ascii="Book Antiqua" w:eastAsia="Book Antiqua" w:hAnsi="Book Antiqua" w:cs="Book Antiqua"/>
          <w:color w:val="000000"/>
          <w:shd w:val="clear" w:color="auto" w:fill="FFFFFF"/>
        </w:rPr>
        <w:t xml:space="preserve">In summary, antibiotic prophylaxis remains a cornerstone for decompensated cirrhosis with AVB. According to available data, its use may be not routinely used in the non-urgent setting. </w:t>
      </w:r>
    </w:p>
    <w:p w14:paraId="08B626CB" w14:textId="77777777" w:rsidR="00A77B3E" w:rsidRPr="00151BD6" w:rsidRDefault="00A77B3E" w:rsidP="00861CDC">
      <w:pPr>
        <w:spacing w:line="360" w:lineRule="auto"/>
        <w:jc w:val="both"/>
        <w:rPr>
          <w:rFonts w:ascii="Book Antiqua" w:hAnsi="Book Antiqua"/>
        </w:rPr>
      </w:pPr>
    </w:p>
    <w:p w14:paraId="4EFAF35E" w14:textId="77777777" w:rsidR="00A77B3E" w:rsidRPr="00151BD6" w:rsidRDefault="0035135C" w:rsidP="00861CDC">
      <w:pPr>
        <w:spacing w:line="360" w:lineRule="auto"/>
        <w:jc w:val="both"/>
        <w:rPr>
          <w:rFonts w:ascii="Book Antiqua" w:hAnsi="Book Antiqua" w:cs="Book Antiqua"/>
          <w:b/>
          <w:caps/>
          <w:color w:val="000000"/>
          <w:u w:val="single"/>
          <w:lang w:eastAsia="zh-CN"/>
        </w:rPr>
      </w:pPr>
      <w:r w:rsidRPr="00151BD6">
        <w:rPr>
          <w:rFonts w:ascii="Book Antiqua" w:eastAsia="Book Antiqua" w:hAnsi="Book Antiqua" w:cs="Book Antiqua"/>
          <w:b/>
          <w:caps/>
          <w:color w:val="000000"/>
          <w:u w:val="single"/>
        </w:rPr>
        <w:t>Interventional Procedures</w:t>
      </w:r>
    </w:p>
    <w:p w14:paraId="0C572AC7" w14:textId="7330A5CE" w:rsidR="00A77B3E" w:rsidRPr="00151BD6" w:rsidRDefault="00151BD6" w:rsidP="0035135C">
      <w:pPr>
        <w:spacing w:line="360" w:lineRule="auto"/>
        <w:jc w:val="both"/>
        <w:rPr>
          <w:rFonts w:ascii="Book Antiqua" w:hAnsi="Book Antiqua"/>
        </w:rPr>
      </w:pPr>
      <w:r w:rsidRPr="00151BD6">
        <w:rPr>
          <w:rFonts w:ascii="Book Antiqua" w:eastAsia="Book Antiqua" w:hAnsi="Book Antiqua" w:cs="Book Antiqua"/>
          <w:color w:val="000000"/>
          <w:shd w:val="clear" w:color="auto" w:fill="FFFFFF"/>
        </w:rPr>
        <w:t>Trans jugular</w:t>
      </w:r>
      <w:r w:rsidR="00252B19" w:rsidRPr="00151BD6">
        <w:rPr>
          <w:rFonts w:ascii="Book Antiqua" w:eastAsia="Book Antiqua" w:hAnsi="Book Antiqua" w:cs="Book Antiqua"/>
          <w:color w:val="000000"/>
          <w:shd w:val="clear" w:color="auto" w:fill="FFFFFF"/>
        </w:rPr>
        <w:t xml:space="preserve"> intrahepatic portosystemic shunt (TIPS) has been increasingly adopted in patients with cirrhosis, especially for the treatment of refractory ascites and variceal bleeding. Sepsis or bacteremia are quite common complications of TIPS placement, occurring in 2</w:t>
      </w:r>
      <w:r w:rsidR="0035135C" w:rsidRPr="00151BD6">
        <w:rPr>
          <w:rFonts w:ascii="Book Antiqua" w:eastAsia="Book Antiqua" w:hAnsi="Book Antiqua" w:cs="Book Antiqua"/>
          <w:color w:val="000000"/>
          <w:shd w:val="clear" w:color="auto" w:fill="FFFFFF"/>
        </w:rPr>
        <w:t>%</w:t>
      </w:r>
      <w:r w:rsidR="00252B19" w:rsidRPr="00151BD6">
        <w:rPr>
          <w:rFonts w:ascii="Book Antiqua" w:eastAsia="Book Antiqua" w:hAnsi="Book Antiqua" w:cs="Book Antiqua"/>
          <w:color w:val="000000"/>
          <w:shd w:val="clear" w:color="auto" w:fill="FFFFFF"/>
        </w:rPr>
        <w:t>-10% of cases</w:t>
      </w:r>
      <w:r w:rsidR="0035135C" w:rsidRPr="00151BD6">
        <w:rPr>
          <w:rFonts w:ascii="Book Antiqua" w:eastAsia="Book Antiqua" w:hAnsi="Book Antiqua" w:cs="Book Antiqua"/>
          <w:color w:val="000000"/>
          <w:shd w:val="clear" w:color="auto" w:fill="FFFFFF"/>
          <w:vertAlign w:val="superscript"/>
        </w:rPr>
        <w:t>[43,</w:t>
      </w:r>
      <w:r w:rsidR="00252B19" w:rsidRPr="00151BD6">
        <w:rPr>
          <w:rFonts w:ascii="Book Antiqua" w:eastAsia="Book Antiqua" w:hAnsi="Book Antiqua" w:cs="Book Antiqua"/>
          <w:color w:val="000000"/>
          <w:shd w:val="clear" w:color="auto" w:fill="FFFFFF"/>
          <w:vertAlign w:val="superscript"/>
        </w:rPr>
        <w:t>44]</w:t>
      </w:r>
      <w:r w:rsidR="00252B19" w:rsidRPr="00151BD6">
        <w:rPr>
          <w:rFonts w:ascii="Book Antiqua" w:eastAsia="Book Antiqua" w:hAnsi="Book Antiqua" w:cs="Book Antiqua"/>
          <w:color w:val="000000"/>
          <w:shd w:val="clear" w:color="auto" w:fill="FFFFFF"/>
        </w:rPr>
        <w:t>. Stent infection (</w:t>
      </w:r>
      <w:r w:rsidR="00252B19" w:rsidRPr="00151BD6">
        <w:rPr>
          <w:rFonts w:ascii="Book Antiqua" w:eastAsia="Book Antiqua" w:hAnsi="Book Antiqua" w:cs="Book Antiqua"/>
          <w:i/>
          <w:color w:val="000000"/>
          <w:shd w:val="clear" w:color="auto" w:fill="FFFFFF"/>
        </w:rPr>
        <w:t>i.e.</w:t>
      </w:r>
      <w:r w:rsidR="00252B19" w:rsidRPr="00151BD6">
        <w:rPr>
          <w:rFonts w:ascii="Book Antiqua" w:eastAsia="Book Antiqua" w:hAnsi="Book Antiqua" w:cs="Book Antiqua"/>
          <w:color w:val="000000"/>
          <w:shd w:val="clear" w:color="auto" w:fill="FFFFFF"/>
        </w:rPr>
        <w:t xml:space="preserve"> endotipsitis) is a rare condition, caused by either</w:t>
      </w:r>
      <w:r w:rsidR="00252B19" w:rsidRPr="00151BD6">
        <w:rPr>
          <w:rFonts w:ascii="Book Antiqua" w:eastAsia="Book Antiqua" w:hAnsi="Book Antiqua" w:cs="Book Antiqua"/>
          <w:i/>
          <w:iCs/>
          <w:color w:val="000000"/>
          <w:shd w:val="clear" w:color="auto" w:fill="FFFFFF"/>
        </w:rPr>
        <w:t xml:space="preserve"> gram-positive</w:t>
      </w:r>
      <w:r w:rsidR="00252B19" w:rsidRPr="00151BD6">
        <w:rPr>
          <w:rFonts w:ascii="Book Antiqua" w:eastAsia="Book Antiqua" w:hAnsi="Book Antiqua" w:cs="Book Antiqua"/>
          <w:color w:val="000000"/>
          <w:shd w:val="clear" w:color="auto" w:fill="FFFFFF"/>
        </w:rPr>
        <w:t xml:space="preserve"> or </w:t>
      </w:r>
      <w:r w:rsidR="00252B19" w:rsidRPr="00151BD6">
        <w:rPr>
          <w:rFonts w:ascii="Book Antiqua" w:eastAsia="Book Antiqua" w:hAnsi="Book Antiqua" w:cs="Book Antiqua"/>
          <w:i/>
          <w:iCs/>
          <w:color w:val="000000"/>
          <w:shd w:val="clear" w:color="auto" w:fill="FFFFFF"/>
        </w:rPr>
        <w:t>gram-negative</w:t>
      </w:r>
      <w:r w:rsidR="00252B19" w:rsidRPr="00151BD6">
        <w:rPr>
          <w:rFonts w:ascii="Book Antiqua" w:eastAsia="Book Antiqua" w:hAnsi="Book Antiqua" w:cs="Book Antiqua"/>
          <w:color w:val="000000"/>
          <w:shd w:val="clear" w:color="auto" w:fill="FFFFFF"/>
        </w:rPr>
        <w:t xml:space="preserve"> bacteria and can occur early (</w:t>
      </w:r>
      <w:r w:rsidR="00252B19" w:rsidRPr="00151BD6">
        <w:rPr>
          <w:rFonts w:ascii="Book Antiqua" w:eastAsia="Book Antiqua" w:hAnsi="Book Antiqua" w:cs="Book Antiqua"/>
          <w:i/>
          <w:color w:val="000000"/>
          <w:shd w:val="clear" w:color="auto" w:fill="FFFFFF"/>
        </w:rPr>
        <w:t>i.e.</w:t>
      </w:r>
      <w:r w:rsidR="00252B19" w:rsidRPr="00151BD6">
        <w:rPr>
          <w:rFonts w:ascii="Book Antiqua" w:eastAsia="Book Antiqua" w:hAnsi="Book Antiqua" w:cs="Book Antiqua"/>
          <w:color w:val="000000"/>
          <w:shd w:val="clear" w:color="auto" w:fill="FFFFFF"/>
        </w:rPr>
        <w:t xml:space="preserve"> within </w:t>
      </w:r>
      <w:r w:rsidR="009F212F">
        <w:rPr>
          <w:rFonts w:ascii="Book Antiqua" w:eastAsia="Book Antiqua" w:hAnsi="Book Antiqua" w:cs="Book Antiqua"/>
          <w:color w:val="000000"/>
          <w:shd w:val="clear" w:color="auto" w:fill="FFFFFF"/>
        </w:rPr>
        <w:t>3</w:t>
      </w:r>
      <w:r w:rsidR="00252B19" w:rsidRPr="00151BD6">
        <w:rPr>
          <w:rFonts w:ascii="Book Antiqua" w:eastAsia="Book Antiqua" w:hAnsi="Book Antiqua" w:cs="Book Antiqua"/>
          <w:color w:val="000000"/>
          <w:shd w:val="clear" w:color="auto" w:fill="FFFFFF"/>
        </w:rPr>
        <w:t xml:space="preserve"> mo) after stent placement, or in a later period</w:t>
      </w:r>
      <w:r w:rsidR="0035135C" w:rsidRPr="00151BD6">
        <w:rPr>
          <w:rFonts w:ascii="Book Antiqua" w:eastAsia="Book Antiqua" w:hAnsi="Book Antiqua" w:cs="Book Antiqua"/>
          <w:color w:val="000000"/>
          <w:shd w:val="clear" w:color="auto" w:fill="FFFFFF"/>
          <w:vertAlign w:val="superscript"/>
        </w:rPr>
        <w:t>[45,</w:t>
      </w:r>
      <w:r w:rsidR="00252B19" w:rsidRPr="00151BD6">
        <w:rPr>
          <w:rFonts w:ascii="Book Antiqua" w:eastAsia="Book Antiqua" w:hAnsi="Book Antiqua" w:cs="Book Antiqua"/>
          <w:color w:val="000000"/>
          <w:shd w:val="clear" w:color="auto" w:fill="FFFFFF"/>
          <w:vertAlign w:val="superscript"/>
        </w:rPr>
        <w:t>46]</w:t>
      </w:r>
      <w:r w:rsidR="00252B19" w:rsidRPr="00151BD6">
        <w:rPr>
          <w:rFonts w:ascii="Book Antiqua" w:eastAsia="Book Antiqua" w:hAnsi="Book Antiqua" w:cs="Book Antiqua"/>
          <w:color w:val="000000"/>
          <w:shd w:val="clear" w:color="auto" w:fill="FFFFFF"/>
        </w:rPr>
        <w:t>. A single-center randomized study on 105 patients showed a non-significant reduction of post-interventional infections (</w:t>
      </w:r>
      <w:r w:rsidR="0035135C" w:rsidRPr="00151BD6">
        <w:rPr>
          <w:rFonts w:ascii="Book Antiqua" w:eastAsia="Book Antiqua" w:hAnsi="Book Antiqua" w:cs="Book Antiqua"/>
          <w:color w:val="000000"/>
          <w:shd w:val="clear" w:color="auto" w:fill="FFFFFF"/>
        </w:rPr>
        <w:t xml:space="preserve">20% </w:t>
      </w:r>
      <w:r w:rsidR="0035135C" w:rsidRPr="00151BD6">
        <w:rPr>
          <w:rFonts w:ascii="Book Antiqua" w:eastAsia="Book Antiqua" w:hAnsi="Book Antiqua" w:cs="Book Antiqua"/>
          <w:i/>
          <w:color w:val="000000"/>
          <w:shd w:val="clear" w:color="auto" w:fill="FFFFFF"/>
        </w:rPr>
        <w:t>vs</w:t>
      </w:r>
      <w:r w:rsidR="00252B19" w:rsidRPr="00151BD6">
        <w:rPr>
          <w:rFonts w:ascii="Book Antiqua" w:eastAsia="Book Antiqua" w:hAnsi="Book Antiqua" w:cs="Book Antiqua"/>
          <w:color w:val="000000"/>
          <w:shd w:val="clear" w:color="auto" w:fill="FFFFFF"/>
        </w:rPr>
        <w:t xml:space="preserve"> 14%) after prophylactic administration of cephalosporin (cefotiam, 2 g i.v.). At multivariate analysis, multiple stenting, maintenance of central venous line, but not severity of underlying liver disease, had a significant impact on post-TIPS infection</w:t>
      </w:r>
      <w:r w:rsidR="00252B19" w:rsidRPr="00151BD6">
        <w:rPr>
          <w:rFonts w:ascii="Book Antiqua" w:eastAsia="Book Antiqua" w:hAnsi="Book Antiqua" w:cs="Book Antiqua"/>
          <w:color w:val="000000"/>
          <w:shd w:val="clear" w:color="auto" w:fill="FFFFFF"/>
          <w:vertAlign w:val="superscript"/>
        </w:rPr>
        <w:t>[47]</w:t>
      </w:r>
      <w:r w:rsidR="00252B19" w:rsidRPr="00151BD6">
        <w:rPr>
          <w:rFonts w:ascii="Book Antiqua" w:eastAsia="Book Antiqua" w:hAnsi="Book Antiqua" w:cs="Book Antiqua"/>
          <w:color w:val="000000"/>
          <w:shd w:val="clear" w:color="auto" w:fill="FFFFFF"/>
        </w:rPr>
        <w:t>. The same group further demonstrated that different antibiotic dosages for prophylaxis (sing</w:t>
      </w:r>
      <w:r w:rsidR="0035135C" w:rsidRPr="00151BD6">
        <w:rPr>
          <w:rFonts w:ascii="Book Antiqua" w:eastAsia="Book Antiqua" w:hAnsi="Book Antiqua" w:cs="Book Antiqua"/>
          <w:color w:val="000000"/>
          <w:shd w:val="clear" w:color="auto" w:fill="FFFFFF"/>
        </w:rPr>
        <w:t xml:space="preserve">le dose of ceftriaxone, 1 gr </w:t>
      </w:r>
      <w:r w:rsidR="0035135C" w:rsidRPr="00151BD6">
        <w:rPr>
          <w:rFonts w:ascii="Book Antiqua" w:eastAsia="Book Antiqua" w:hAnsi="Book Antiqua" w:cs="Book Antiqua"/>
          <w:i/>
          <w:color w:val="000000"/>
          <w:shd w:val="clear" w:color="auto" w:fill="FFFFFF"/>
        </w:rPr>
        <w:t>vs</w:t>
      </w:r>
      <w:r w:rsidR="00252B19" w:rsidRPr="00151BD6">
        <w:rPr>
          <w:rFonts w:ascii="Book Antiqua" w:eastAsia="Book Antiqua" w:hAnsi="Book Antiqua" w:cs="Book Antiqua"/>
          <w:color w:val="000000"/>
          <w:shd w:val="clear" w:color="auto" w:fill="FFFFFF"/>
        </w:rPr>
        <w:t xml:space="preserve"> 2 gr i.v.) were not associated with different outcomes in terms of post-procedural infections in 82 patients undergoing elective TIPS (2.6% BI occurrence within 1 wk, in both groups)</w:t>
      </w:r>
      <w:r w:rsidR="00252B19" w:rsidRPr="00151BD6">
        <w:rPr>
          <w:rFonts w:ascii="Book Antiqua" w:eastAsia="Book Antiqua" w:hAnsi="Book Antiqua" w:cs="Book Antiqua"/>
          <w:color w:val="000000"/>
          <w:shd w:val="clear" w:color="auto" w:fill="FFFFFF"/>
          <w:vertAlign w:val="superscript"/>
        </w:rPr>
        <w:t>[48]</w:t>
      </w:r>
      <w:r w:rsidR="00252B19" w:rsidRPr="00151BD6">
        <w:rPr>
          <w:rFonts w:ascii="Book Antiqua" w:eastAsia="Book Antiqua" w:hAnsi="Book Antiqua" w:cs="Book Antiqua"/>
          <w:color w:val="000000"/>
          <w:shd w:val="clear" w:color="auto" w:fill="FFFFFF"/>
        </w:rPr>
        <w:t>.</w:t>
      </w:r>
      <w:r w:rsidR="00252B19" w:rsidRPr="00151BD6">
        <w:rPr>
          <w:rFonts w:ascii="Book Antiqua" w:eastAsia="Book Antiqua" w:hAnsi="Book Antiqua" w:cs="Book Antiqua"/>
          <w:color w:val="000000"/>
        </w:rPr>
        <w:t xml:space="preserve"> </w:t>
      </w:r>
      <w:r w:rsidR="00252B19" w:rsidRPr="00151BD6">
        <w:rPr>
          <w:rFonts w:ascii="Book Antiqua" w:eastAsia="Book Antiqua" w:hAnsi="Book Antiqua" w:cs="Book Antiqua"/>
          <w:color w:val="000000"/>
          <w:shd w:val="clear" w:color="auto" w:fill="FFFFFF"/>
        </w:rPr>
        <w:t xml:space="preserve">That said, current </w:t>
      </w:r>
      <w:r w:rsidR="009F212F">
        <w:rPr>
          <w:rFonts w:ascii="Book Antiqua" w:eastAsia="Book Antiqua" w:hAnsi="Book Antiqua" w:cs="Book Antiqua"/>
          <w:color w:val="000000"/>
          <w:shd w:val="clear" w:color="auto" w:fill="FFFFFF"/>
        </w:rPr>
        <w:t>g</w:t>
      </w:r>
      <w:r w:rsidR="00252B19" w:rsidRPr="00151BD6">
        <w:rPr>
          <w:rFonts w:ascii="Book Antiqua" w:eastAsia="Book Antiqua" w:hAnsi="Book Antiqua" w:cs="Book Antiqua"/>
          <w:color w:val="000000"/>
          <w:shd w:val="clear" w:color="auto" w:fill="FFFFFF"/>
        </w:rPr>
        <w:t>uidelines do not suggest the routine use of antibiotic prophylaxis for TIPS placement</w:t>
      </w:r>
      <w:r w:rsidR="0035135C" w:rsidRPr="00151BD6">
        <w:rPr>
          <w:rFonts w:ascii="Book Antiqua" w:eastAsia="Book Antiqua" w:hAnsi="Book Antiqua" w:cs="Book Antiqua"/>
          <w:color w:val="000000"/>
          <w:shd w:val="clear" w:color="auto" w:fill="FFFFFF"/>
          <w:vertAlign w:val="superscript"/>
        </w:rPr>
        <w:t>[49,</w:t>
      </w:r>
      <w:r w:rsidR="00252B19" w:rsidRPr="00151BD6">
        <w:rPr>
          <w:rFonts w:ascii="Book Antiqua" w:eastAsia="Book Antiqua" w:hAnsi="Book Antiqua" w:cs="Book Antiqua"/>
          <w:color w:val="000000"/>
          <w:shd w:val="clear" w:color="auto" w:fill="FFFFFF"/>
          <w:vertAlign w:val="superscript"/>
        </w:rPr>
        <w:t>50]</w:t>
      </w:r>
      <w:r w:rsidR="00252B19" w:rsidRPr="00151BD6">
        <w:rPr>
          <w:rFonts w:ascii="Book Antiqua" w:eastAsia="Book Antiqua" w:hAnsi="Book Antiqua" w:cs="Book Antiqua"/>
          <w:color w:val="000000"/>
          <w:shd w:val="clear" w:color="auto" w:fill="FFFFFF"/>
        </w:rPr>
        <w:t>, mainly because strong evidence for this is still lacking</w:t>
      </w:r>
      <w:r w:rsidR="00252B19" w:rsidRPr="00151BD6">
        <w:rPr>
          <w:rFonts w:ascii="Book Antiqua" w:eastAsia="Book Antiqua" w:hAnsi="Book Antiqua" w:cs="Book Antiqua"/>
          <w:color w:val="000000"/>
          <w:shd w:val="clear" w:color="auto" w:fill="FFFFFF"/>
          <w:vertAlign w:val="superscript"/>
        </w:rPr>
        <w:t>[51]</w:t>
      </w:r>
      <w:r w:rsidR="00252B19" w:rsidRPr="00151BD6">
        <w:rPr>
          <w:rFonts w:ascii="Book Antiqua" w:eastAsia="Book Antiqua" w:hAnsi="Book Antiqua" w:cs="Book Antiqua"/>
          <w:color w:val="000000"/>
          <w:shd w:val="clear" w:color="auto" w:fill="FFFFFF"/>
        </w:rPr>
        <w:t>. Nevertheless, this must be weighed against the risk of serious post-procedural septic events. Therefore, antibiotic prophylaxis may be considered at least for expected technically difficult procedures or in patients with previous biliary interventions</w:t>
      </w:r>
      <w:r w:rsidR="00252B19" w:rsidRPr="00151BD6">
        <w:rPr>
          <w:rFonts w:ascii="Book Antiqua" w:eastAsia="Book Antiqua" w:hAnsi="Book Antiqua" w:cs="Book Antiqua"/>
          <w:color w:val="000000"/>
        </w:rPr>
        <w:t xml:space="preserve">. </w:t>
      </w:r>
    </w:p>
    <w:p w14:paraId="0710CEAA" w14:textId="7558CA8E" w:rsidR="00A77B3E" w:rsidRPr="00151BD6" w:rsidRDefault="00252B19" w:rsidP="0035135C">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 xml:space="preserve">Considering </w:t>
      </w:r>
      <w:r w:rsidRPr="00151BD6">
        <w:rPr>
          <w:rFonts w:ascii="Book Antiqua" w:eastAsia="Book Antiqua" w:hAnsi="Book Antiqua" w:cs="Book Antiqua"/>
          <w:color w:val="000000"/>
          <w:shd w:val="clear" w:color="auto" w:fill="FFFFFF"/>
        </w:rPr>
        <w:t>endotipsitis,</w:t>
      </w:r>
      <w:r w:rsidRPr="00151BD6">
        <w:rPr>
          <w:rFonts w:ascii="Book Antiqua" w:eastAsia="Book Antiqua" w:hAnsi="Book Antiqua" w:cs="Book Antiqua"/>
          <w:color w:val="000000"/>
        </w:rPr>
        <w:t xml:space="preserve"> t</w:t>
      </w:r>
      <w:r w:rsidRPr="00151BD6">
        <w:rPr>
          <w:rFonts w:ascii="Book Antiqua" w:eastAsia="Book Antiqua" w:hAnsi="Book Antiqua" w:cs="Book Antiqua"/>
          <w:color w:val="000000"/>
          <w:shd w:val="clear" w:color="auto" w:fill="FFFFFF"/>
        </w:rPr>
        <w:t>here is no evidence for adopting long-term prophylaxis</w:t>
      </w:r>
      <w:r w:rsidRPr="00151BD6">
        <w:rPr>
          <w:rFonts w:ascii="Book Antiqua" w:eastAsia="Book Antiqua" w:hAnsi="Book Antiqua" w:cs="Book Antiqua"/>
          <w:color w:val="000000"/>
        </w:rPr>
        <w:t xml:space="preserve"> given the rarity of the condition and the absence of robust microbiological data</w:t>
      </w:r>
      <w:r w:rsidRPr="00151BD6">
        <w:rPr>
          <w:rFonts w:ascii="Book Antiqua" w:eastAsia="Book Antiqua" w:hAnsi="Book Antiqua" w:cs="Book Antiqua"/>
          <w:color w:val="000000"/>
          <w:shd w:val="clear" w:color="auto" w:fill="FFFFFF"/>
        </w:rPr>
        <w:t xml:space="preserve">. Lastly, it has been proposed that </w:t>
      </w:r>
      <w:r w:rsidRPr="00151BD6">
        <w:rPr>
          <w:rFonts w:ascii="Book Antiqua" w:eastAsia="Book Antiqua" w:hAnsi="Book Antiqua" w:cs="Book Antiqua"/>
          <w:color w:val="000000"/>
        </w:rPr>
        <w:t>antibiotic prophylaxis may be considered in patients having a diagnosis of a thrombosed TIPS, before invasive procedures (</w:t>
      </w:r>
      <w:r w:rsidRPr="00151BD6">
        <w:rPr>
          <w:rFonts w:ascii="Book Antiqua" w:eastAsia="Book Antiqua" w:hAnsi="Book Antiqua" w:cs="Book Antiqua"/>
          <w:i/>
          <w:color w:val="000000"/>
        </w:rPr>
        <w:t>e.g.</w:t>
      </w:r>
      <w:r w:rsidRPr="00151BD6">
        <w:rPr>
          <w:rFonts w:ascii="Book Antiqua" w:eastAsia="Book Antiqua" w:hAnsi="Book Antiqua" w:cs="Book Antiqua"/>
          <w:color w:val="000000"/>
        </w:rPr>
        <w:t xml:space="preserve">, </w:t>
      </w:r>
      <w:r w:rsidR="00894DD5" w:rsidRPr="00151BD6">
        <w:rPr>
          <w:rFonts w:ascii="Book Antiqua" w:eastAsia="Book Antiqua" w:hAnsi="Book Antiqua" w:cs="Book Antiqua"/>
          <w:color w:val="000000"/>
        </w:rPr>
        <w:t>gastrointestinal</w:t>
      </w:r>
      <w:r w:rsidRPr="00151BD6">
        <w:rPr>
          <w:rFonts w:ascii="Book Antiqua" w:eastAsia="Book Antiqua" w:hAnsi="Book Antiqua" w:cs="Book Antiqua"/>
          <w:color w:val="000000"/>
        </w:rPr>
        <w:t xml:space="preserve"> endoscopy), but larger studies are needed to properly assess this</w:t>
      </w:r>
      <w:r w:rsidRPr="00151BD6">
        <w:rPr>
          <w:rFonts w:ascii="Book Antiqua" w:eastAsia="Book Antiqua" w:hAnsi="Book Antiqua" w:cs="Book Antiqua"/>
          <w:color w:val="000000"/>
          <w:vertAlign w:val="superscript"/>
        </w:rPr>
        <w:t>[46]</w:t>
      </w:r>
      <w:r w:rsidRPr="00151BD6">
        <w:rPr>
          <w:rFonts w:ascii="Book Antiqua" w:eastAsia="Book Antiqua" w:hAnsi="Book Antiqua" w:cs="Book Antiqua"/>
          <w:color w:val="000000"/>
        </w:rPr>
        <w:t xml:space="preserve">. </w:t>
      </w:r>
    </w:p>
    <w:p w14:paraId="2AD51658" w14:textId="7109F92C" w:rsidR="00A77B3E" w:rsidRPr="00151BD6" w:rsidRDefault="00252B19" w:rsidP="0035135C">
      <w:pPr>
        <w:spacing w:line="360" w:lineRule="auto"/>
        <w:ind w:firstLineChars="200" w:firstLine="480"/>
        <w:jc w:val="both"/>
        <w:rPr>
          <w:rFonts w:ascii="Book Antiqua" w:hAnsi="Book Antiqua"/>
        </w:rPr>
      </w:pPr>
      <w:r w:rsidRPr="00151BD6">
        <w:rPr>
          <w:rFonts w:ascii="Book Antiqua" w:eastAsia="Book Antiqua" w:hAnsi="Book Antiqua" w:cs="Book Antiqua"/>
          <w:color w:val="000000"/>
          <w:shd w:val="clear" w:color="auto" w:fill="FFFFFF"/>
        </w:rPr>
        <w:t xml:space="preserve">Endoscopic retrograde cholangiopancreatography (ERCP) is a commonly used procedure for many benign and malignant diseases of the biliary tract. A </w:t>
      </w:r>
      <w:r w:rsidRPr="00151BD6">
        <w:rPr>
          <w:rFonts w:ascii="Book Antiqua" w:eastAsia="Book Antiqua" w:hAnsi="Book Antiqua" w:cs="Book Antiqua"/>
          <w:color w:val="000000"/>
        </w:rPr>
        <w:t xml:space="preserve">systematic review of </w:t>
      </w:r>
      <w:r w:rsidR="00D56D2E">
        <w:rPr>
          <w:rFonts w:ascii="Book Antiqua" w:eastAsia="Book Antiqua" w:hAnsi="Book Antiqua" w:cs="Book Antiqua"/>
          <w:color w:val="000000"/>
        </w:rPr>
        <w:t>nine</w:t>
      </w:r>
      <w:r w:rsidRPr="00151BD6">
        <w:rPr>
          <w:rFonts w:ascii="Book Antiqua" w:eastAsia="Book Antiqua" w:hAnsi="Book Antiqua" w:cs="Book Antiqua"/>
          <w:color w:val="000000"/>
        </w:rPr>
        <w:t xml:space="preserve"> RCT</w:t>
      </w:r>
      <w:r w:rsidR="00D56D2E">
        <w:rPr>
          <w:rFonts w:ascii="Book Antiqua" w:eastAsia="Book Antiqua" w:hAnsi="Book Antiqua" w:cs="Book Antiqua"/>
          <w:color w:val="000000"/>
        </w:rPr>
        <w:t>s</w:t>
      </w:r>
      <w:r w:rsidRPr="00151BD6">
        <w:rPr>
          <w:rFonts w:ascii="Book Antiqua" w:eastAsia="Book Antiqua" w:hAnsi="Book Antiqua" w:cs="Book Antiqua"/>
          <w:color w:val="000000"/>
        </w:rPr>
        <w:t xml:space="preserve"> showed that antibiotic prophylaxis reduced bacteremia in patients undergoing elective ERCP, but in the subgroup of patients with uncomplicated ERCP, the effect of antibiotics was less pronounced</w:t>
      </w:r>
      <w:r w:rsidRPr="00151BD6">
        <w:rPr>
          <w:rFonts w:ascii="Book Antiqua" w:eastAsia="Book Antiqua" w:hAnsi="Book Antiqua" w:cs="Book Antiqua"/>
          <w:color w:val="000000"/>
          <w:vertAlign w:val="superscript"/>
        </w:rPr>
        <w:t>[52]</w:t>
      </w:r>
      <w:r w:rsidRPr="00151BD6">
        <w:rPr>
          <w:rFonts w:ascii="Book Antiqua" w:eastAsia="Book Antiqua" w:hAnsi="Book Antiqua" w:cs="Book Antiqua"/>
          <w:color w:val="000000"/>
        </w:rPr>
        <w:t xml:space="preserve">. Therefore, </w:t>
      </w:r>
      <w:r w:rsidRPr="00151BD6">
        <w:rPr>
          <w:rFonts w:ascii="Book Antiqua" w:eastAsia="Book Antiqua" w:hAnsi="Book Antiqua" w:cs="Book Antiqua"/>
          <w:color w:val="000000"/>
          <w:shd w:val="clear" w:color="auto" w:fill="FFFFFF"/>
        </w:rPr>
        <w:t xml:space="preserve">American </w:t>
      </w:r>
      <w:r w:rsidR="00D56D2E">
        <w:rPr>
          <w:rFonts w:ascii="Book Antiqua" w:eastAsia="Book Antiqua" w:hAnsi="Book Antiqua" w:cs="Book Antiqua"/>
          <w:color w:val="000000"/>
          <w:shd w:val="clear" w:color="auto" w:fill="FFFFFF"/>
        </w:rPr>
        <w:t>g</w:t>
      </w:r>
      <w:r w:rsidRPr="00151BD6">
        <w:rPr>
          <w:rFonts w:ascii="Book Antiqua" w:eastAsia="Book Antiqua" w:hAnsi="Book Antiqua" w:cs="Book Antiqua"/>
          <w:color w:val="000000"/>
          <w:shd w:val="clear" w:color="auto" w:fill="FFFFFF"/>
        </w:rPr>
        <w:t>uidelines recommend antibiotic prophylaxis for prevention of cholangitis in cases of biliary duct obstruction and incomplete drainage</w:t>
      </w:r>
      <w:r w:rsidRPr="00151BD6">
        <w:rPr>
          <w:rFonts w:ascii="Book Antiqua" w:eastAsia="Book Antiqua" w:hAnsi="Book Antiqua" w:cs="Book Antiqua"/>
          <w:color w:val="000000"/>
          <w:shd w:val="clear" w:color="auto" w:fill="FFFFFF"/>
          <w:vertAlign w:val="superscript"/>
        </w:rPr>
        <w:t>[53]</w:t>
      </w:r>
      <w:r w:rsidRPr="00151BD6">
        <w:rPr>
          <w:rFonts w:ascii="Book Antiqua" w:eastAsia="Book Antiqua" w:hAnsi="Book Antiqua" w:cs="Book Antiqua"/>
          <w:color w:val="000000"/>
          <w:shd w:val="clear" w:color="auto" w:fill="FFFFFF"/>
        </w:rPr>
        <w:t>. Endoscopic procedures in patients with primary sclerosing cholangitis fall in this special group, due to multiple strictures and frequent prevalence of bacteriobilia, therefore antibiotic prophylaxis is recommended</w:t>
      </w:r>
      <w:r w:rsidR="0035135C" w:rsidRPr="00151BD6">
        <w:rPr>
          <w:rFonts w:ascii="Book Antiqua" w:eastAsia="Book Antiqua" w:hAnsi="Book Antiqua" w:cs="Book Antiqua"/>
          <w:color w:val="000000"/>
          <w:shd w:val="clear" w:color="auto" w:fill="FFFFFF"/>
          <w:vertAlign w:val="superscript"/>
        </w:rPr>
        <w:t>[54,</w:t>
      </w:r>
      <w:r w:rsidRPr="00151BD6">
        <w:rPr>
          <w:rFonts w:ascii="Book Antiqua" w:eastAsia="Book Antiqua" w:hAnsi="Book Antiqua" w:cs="Book Antiqua"/>
          <w:color w:val="000000"/>
          <w:shd w:val="clear" w:color="auto" w:fill="FFFFFF"/>
          <w:vertAlign w:val="superscript"/>
        </w:rPr>
        <w:t>55]</w:t>
      </w:r>
      <w:r w:rsidRPr="00151BD6">
        <w:rPr>
          <w:rFonts w:ascii="Book Antiqua" w:eastAsia="Book Antiqua" w:hAnsi="Book Antiqua" w:cs="Book Antiqua"/>
          <w:color w:val="000000"/>
          <w:shd w:val="clear" w:color="auto" w:fill="FFFFFF"/>
        </w:rPr>
        <w:t xml:space="preserve">. </w:t>
      </w:r>
    </w:p>
    <w:p w14:paraId="4BC6E57D" w14:textId="26A90AB7" w:rsidR="00A77B3E" w:rsidRPr="00151BD6" w:rsidRDefault="0035135C" w:rsidP="0035135C">
      <w:pPr>
        <w:spacing w:line="360" w:lineRule="auto"/>
        <w:ind w:firstLineChars="200" w:firstLine="480"/>
        <w:jc w:val="both"/>
        <w:rPr>
          <w:rFonts w:ascii="Book Antiqua" w:hAnsi="Book Antiqua"/>
        </w:rPr>
      </w:pPr>
      <w:r w:rsidRPr="00151BD6">
        <w:rPr>
          <w:rFonts w:ascii="Book Antiqua" w:eastAsia="Book Antiqua" w:hAnsi="Book Antiqua" w:cs="Book Antiqua"/>
          <w:color w:val="000000"/>
          <w:shd w:val="clear" w:color="auto" w:fill="FFFFFF"/>
        </w:rPr>
        <w:t>RFA</w:t>
      </w:r>
      <w:r w:rsidR="00252B19" w:rsidRPr="00151BD6">
        <w:rPr>
          <w:rFonts w:ascii="Book Antiqua" w:eastAsia="Book Antiqua" w:hAnsi="Book Antiqua" w:cs="Book Antiqua"/>
          <w:color w:val="000000"/>
          <w:shd w:val="clear" w:color="auto" w:fill="FFFFFF"/>
        </w:rPr>
        <w:t xml:space="preserve"> and trans-arterial chemoembolization (TACE) are interventional procedures for the treatment of hepatocellular carcinoma. </w:t>
      </w:r>
      <w:r w:rsidR="00252B19" w:rsidRPr="00151BD6">
        <w:rPr>
          <w:rFonts w:ascii="Book Antiqua" w:eastAsia="Book Antiqua" w:hAnsi="Book Antiqua" w:cs="Book Antiqua"/>
          <w:color w:val="000000"/>
        </w:rPr>
        <w:t>RFA has been classified as a clean procedure in such patients, not requiring routine antibiotic administration</w:t>
      </w:r>
      <w:r w:rsidR="00252B19" w:rsidRPr="00151BD6">
        <w:rPr>
          <w:rFonts w:ascii="Book Antiqua" w:eastAsia="Book Antiqua" w:hAnsi="Book Antiqua" w:cs="Book Antiqua"/>
          <w:color w:val="000000"/>
          <w:vertAlign w:val="superscript"/>
        </w:rPr>
        <w:t>[56]</w:t>
      </w:r>
      <w:r w:rsidR="00252B19" w:rsidRPr="00151BD6">
        <w:rPr>
          <w:rFonts w:ascii="Book Antiqua" w:eastAsia="Book Antiqua" w:hAnsi="Book Antiqua" w:cs="Book Antiqua"/>
          <w:color w:val="000000"/>
        </w:rPr>
        <w:t>. The incidence of post-procedural abscess is equal to 0.8%, according to available case series</w:t>
      </w:r>
      <w:r w:rsidRPr="00151BD6">
        <w:rPr>
          <w:rFonts w:ascii="Book Antiqua" w:eastAsia="Book Antiqua" w:hAnsi="Book Antiqua" w:cs="Book Antiqua"/>
          <w:color w:val="000000"/>
          <w:vertAlign w:val="superscript"/>
        </w:rPr>
        <w:t>[57,</w:t>
      </w:r>
      <w:r w:rsidR="00252B19" w:rsidRPr="00151BD6">
        <w:rPr>
          <w:rFonts w:ascii="Book Antiqua" w:eastAsia="Book Antiqua" w:hAnsi="Book Antiqua" w:cs="Book Antiqua"/>
          <w:color w:val="000000"/>
          <w:vertAlign w:val="superscript"/>
        </w:rPr>
        <w:t>58]</w:t>
      </w:r>
      <w:r w:rsidR="00252B19" w:rsidRPr="00151BD6">
        <w:rPr>
          <w:rFonts w:ascii="Book Antiqua" w:eastAsia="Book Antiqua" w:hAnsi="Book Antiqua" w:cs="Book Antiqua"/>
          <w:color w:val="000000"/>
        </w:rPr>
        <w:t xml:space="preserve">. </w:t>
      </w:r>
    </w:p>
    <w:p w14:paraId="285EDD1B" w14:textId="7BD8E16D" w:rsidR="00A77B3E" w:rsidRPr="00151BD6" w:rsidRDefault="00252B19" w:rsidP="0035135C">
      <w:pPr>
        <w:spacing w:line="360" w:lineRule="auto"/>
        <w:ind w:firstLineChars="200" w:firstLine="480"/>
        <w:jc w:val="both"/>
        <w:rPr>
          <w:rFonts w:ascii="Book Antiqua" w:hAnsi="Book Antiqua"/>
        </w:rPr>
      </w:pPr>
      <w:r w:rsidRPr="00151BD6">
        <w:rPr>
          <w:rFonts w:ascii="Book Antiqua" w:eastAsia="Book Antiqua" w:hAnsi="Book Antiqua" w:cs="Book Antiqua"/>
          <w:color w:val="000000"/>
          <w:shd w:val="clear" w:color="auto" w:fill="FFFFFF"/>
        </w:rPr>
        <w:t xml:space="preserve">Thermal ablation determines heat-induced coagulative necrosis of the tumor. Therefore, bacterial superinfection may be a quite common complication, due to bacterial colonization of the necrotic area; moreover, thermal injury can connect biliary ducts with the ablation zone, creating a route for contamination from enteric bacteria in patients with underlying </w:t>
      </w:r>
      <w:r w:rsidRPr="00151BD6">
        <w:rPr>
          <w:rFonts w:ascii="Book Antiqua" w:eastAsia="Book Antiqua" w:hAnsi="Book Antiqua" w:cs="Book Antiqua"/>
          <w:color w:val="000000"/>
        </w:rPr>
        <w:t>altered biliary anatomy (</w:t>
      </w:r>
      <w:r w:rsidRPr="00151BD6">
        <w:rPr>
          <w:rFonts w:ascii="Book Antiqua" w:eastAsia="Book Antiqua" w:hAnsi="Book Antiqua" w:cs="Book Antiqua"/>
          <w:i/>
          <w:color w:val="000000"/>
        </w:rPr>
        <w:t>e.g.</w:t>
      </w:r>
      <w:r w:rsidRPr="00151BD6">
        <w:rPr>
          <w:rFonts w:ascii="Book Antiqua" w:eastAsia="Book Antiqua" w:hAnsi="Book Antiqua" w:cs="Book Antiqua"/>
          <w:color w:val="000000"/>
        </w:rPr>
        <w:t xml:space="preserve">, choledocho-jejunostomy, prior endoscopic sphincterotomy). Current evidence therefore suggests that antibiotic prophylaxis may be used in such </w:t>
      </w:r>
      <w:r w:rsidR="00151BD6" w:rsidRPr="00151BD6">
        <w:rPr>
          <w:rFonts w:ascii="Book Antiqua" w:eastAsia="Book Antiqua" w:hAnsi="Book Antiqua" w:cs="Book Antiqua"/>
          <w:color w:val="000000"/>
        </w:rPr>
        <w:t>patients</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59-63]</w:t>
      </w:r>
      <w:r w:rsidRPr="00151BD6">
        <w:rPr>
          <w:rFonts w:ascii="Book Antiqua" w:eastAsia="Book Antiqua" w:hAnsi="Book Antiqua" w:cs="Book Antiqua"/>
          <w:color w:val="000000"/>
        </w:rPr>
        <w:t xml:space="preserve">. </w:t>
      </w:r>
    </w:p>
    <w:p w14:paraId="5A550F7A" w14:textId="380E7AA1" w:rsidR="00A77B3E" w:rsidRPr="00151BD6" w:rsidRDefault="00252B19" w:rsidP="0035135C">
      <w:pPr>
        <w:spacing w:line="360" w:lineRule="auto"/>
        <w:ind w:firstLineChars="200" w:firstLine="480"/>
        <w:jc w:val="both"/>
        <w:rPr>
          <w:rFonts w:ascii="Book Antiqua" w:hAnsi="Book Antiqua"/>
        </w:rPr>
      </w:pPr>
      <w:r w:rsidRPr="00151BD6">
        <w:rPr>
          <w:rFonts w:ascii="Book Antiqua" w:eastAsia="Book Antiqua" w:hAnsi="Book Antiqua" w:cs="Book Antiqua"/>
          <w:color w:val="000000"/>
          <w:shd w:val="clear" w:color="auto" w:fill="FFFFFF"/>
        </w:rPr>
        <w:t xml:space="preserve">The rationale of TACE is to reduce arterial feeding to a malignant nodule, adding local </w:t>
      </w:r>
      <w:r w:rsidR="00151BD6" w:rsidRPr="00151BD6">
        <w:rPr>
          <w:rFonts w:ascii="Book Antiqua" w:eastAsia="Book Antiqua" w:hAnsi="Book Antiqua" w:cs="Book Antiqua"/>
          <w:color w:val="000000"/>
          <w:shd w:val="clear" w:color="auto" w:fill="FFFFFF"/>
        </w:rPr>
        <w:t>chemotherapy</w:t>
      </w:r>
      <w:r w:rsidRPr="00151BD6">
        <w:rPr>
          <w:rFonts w:ascii="Book Antiqua" w:eastAsia="Book Antiqua" w:hAnsi="Book Antiqua" w:cs="Book Antiqua"/>
          <w:color w:val="000000"/>
          <w:shd w:val="clear" w:color="auto" w:fill="FFFFFF"/>
        </w:rPr>
        <w:t xml:space="preserve">, such as </w:t>
      </w:r>
      <w:r w:rsidR="00151BD6" w:rsidRPr="00151BD6">
        <w:rPr>
          <w:rFonts w:ascii="Book Antiqua" w:eastAsia="Book Antiqua" w:hAnsi="Book Antiqua" w:cs="Book Antiqua"/>
          <w:color w:val="000000"/>
          <w:shd w:val="clear" w:color="auto" w:fill="FFFFFF"/>
        </w:rPr>
        <w:t>doxorubicin</w:t>
      </w:r>
      <w:r w:rsidRPr="00151BD6">
        <w:rPr>
          <w:rFonts w:ascii="Book Antiqua" w:eastAsia="Book Antiqua" w:hAnsi="Book Antiqua" w:cs="Book Antiqua"/>
          <w:color w:val="000000"/>
        </w:rPr>
        <w:t>. A recent retrospective, single-center study from the U</w:t>
      </w:r>
      <w:r w:rsidR="0035135C" w:rsidRPr="00151BD6">
        <w:rPr>
          <w:rFonts w:ascii="Book Antiqua" w:hAnsi="Book Antiqua" w:cs="Book Antiqua"/>
          <w:color w:val="000000"/>
          <w:lang w:eastAsia="zh-CN"/>
        </w:rPr>
        <w:t xml:space="preserve">nited </w:t>
      </w:r>
      <w:r w:rsidRPr="00151BD6">
        <w:rPr>
          <w:rFonts w:ascii="Book Antiqua" w:eastAsia="Book Antiqua" w:hAnsi="Book Antiqua" w:cs="Book Antiqua"/>
          <w:color w:val="000000"/>
        </w:rPr>
        <w:t>S</w:t>
      </w:r>
      <w:r w:rsidR="0035135C" w:rsidRPr="00151BD6">
        <w:rPr>
          <w:rFonts w:ascii="Book Antiqua" w:hAnsi="Book Antiqua" w:cs="Book Antiqua"/>
          <w:color w:val="000000"/>
          <w:lang w:eastAsia="zh-CN"/>
        </w:rPr>
        <w:t>tates</w:t>
      </w:r>
      <w:r w:rsidRPr="00151BD6">
        <w:rPr>
          <w:rFonts w:ascii="Book Antiqua" w:eastAsia="Book Antiqua" w:hAnsi="Book Antiqua" w:cs="Book Antiqua"/>
          <w:color w:val="000000"/>
        </w:rPr>
        <w:t xml:space="preserve"> analyzing the outcome of 171 patients who underwent 253 TACE without antibiotic </w:t>
      </w:r>
      <w:r w:rsidR="00151BD6" w:rsidRPr="00151BD6">
        <w:rPr>
          <w:rFonts w:ascii="Book Antiqua" w:eastAsia="Book Antiqua" w:hAnsi="Book Antiqua" w:cs="Book Antiqua"/>
          <w:color w:val="000000"/>
        </w:rPr>
        <w:t>prophylaxis</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64]</w:t>
      </w:r>
      <w:r w:rsidRPr="00151BD6">
        <w:rPr>
          <w:rFonts w:ascii="Book Antiqua" w:eastAsia="Book Antiqua" w:hAnsi="Book Antiqua" w:cs="Book Antiqua"/>
          <w:color w:val="000000"/>
        </w:rPr>
        <w:t xml:space="preserve"> reported no infectious complications. A meta</w:t>
      </w:r>
      <w:r w:rsidR="0061221F">
        <w:rPr>
          <w:rFonts w:ascii="Book Antiqua" w:eastAsia="Book Antiqua" w:hAnsi="Book Antiqua" w:cs="Book Antiqua"/>
          <w:color w:val="000000"/>
        </w:rPr>
        <w:t>-a</w:t>
      </w:r>
      <w:r w:rsidRPr="00151BD6">
        <w:rPr>
          <w:rFonts w:ascii="Book Antiqua" w:eastAsia="Book Antiqua" w:hAnsi="Book Antiqua" w:cs="Book Antiqua"/>
          <w:color w:val="000000"/>
        </w:rPr>
        <w:t xml:space="preserve">nalysis on </w:t>
      </w:r>
      <w:r w:rsidR="00D56D2E">
        <w:rPr>
          <w:rFonts w:ascii="Book Antiqua" w:eastAsia="Book Antiqua" w:hAnsi="Book Antiqua" w:cs="Book Antiqua"/>
          <w:color w:val="000000"/>
        </w:rPr>
        <w:t>four</w:t>
      </w:r>
      <w:r w:rsidRPr="00151BD6">
        <w:rPr>
          <w:rFonts w:ascii="Book Antiqua" w:eastAsia="Book Antiqua" w:hAnsi="Book Antiqua" w:cs="Book Antiqua"/>
          <w:color w:val="000000"/>
        </w:rPr>
        <w:t xml:space="preserve"> studies reported no significant difference between patients undergoing antibiotic prophylaxis and patients without</w:t>
      </w:r>
      <w:r w:rsidRPr="00151BD6">
        <w:rPr>
          <w:rFonts w:ascii="Book Antiqua" w:eastAsia="Book Antiqua" w:hAnsi="Book Antiqua" w:cs="Book Antiqua"/>
          <w:color w:val="000000"/>
          <w:vertAlign w:val="superscript"/>
        </w:rPr>
        <w:t>[65]</w:t>
      </w:r>
      <w:r w:rsidRPr="00151BD6">
        <w:rPr>
          <w:rFonts w:ascii="Book Antiqua" w:eastAsia="Book Antiqua" w:hAnsi="Book Antiqua" w:cs="Book Antiqua"/>
          <w:color w:val="000000"/>
        </w:rPr>
        <w:t>, but interventional techniques were not homogeneous across studies and some endpoints (</w:t>
      </w:r>
      <w:r w:rsidRPr="00151BD6">
        <w:rPr>
          <w:rFonts w:ascii="Book Antiqua" w:eastAsia="Book Antiqua" w:hAnsi="Book Antiqua" w:cs="Book Antiqua"/>
          <w:i/>
          <w:color w:val="000000"/>
        </w:rPr>
        <w:t>e.</w:t>
      </w:r>
      <w:r w:rsidR="00D56D2E">
        <w:rPr>
          <w:rFonts w:ascii="Book Antiqua" w:eastAsia="Book Antiqua" w:hAnsi="Book Antiqua" w:cs="Book Antiqua"/>
          <w:i/>
          <w:color w:val="000000"/>
        </w:rPr>
        <w:t>g.</w:t>
      </w:r>
      <w:r w:rsidRPr="00151BD6">
        <w:rPr>
          <w:rFonts w:ascii="Book Antiqua" w:eastAsia="Book Antiqua" w:hAnsi="Book Antiqua" w:cs="Book Antiqua"/>
          <w:color w:val="000000"/>
        </w:rPr>
        <w:t>, post-procedural fever) may unmask inflammatory response rather than true infectious complications. Local instillation of antibiotic particles during interventional procedures has recently been proposed</w:t>
      </w:r>
      <w:r w:rsidRPr="00151BD6">
        <w:rPr>
          <w:rFonts w:ascii="Book Antiqua" w:eastAsia="Book Antiqua" w:hAnsi="Book Antiqua" w:cs="Book Antiqua"/>
          <w:color w:val="000000"/>
          <w:vertAlign w:val="superscript"/>
        </w:rPr>
        <w:t>[66]</w:t>
      </w:r>
      <w:r w:rsidRPr="00151BD6">
        <w:rPr>
          <w:rFonts w:ascii="Book Antiqua" w:eastAsia="Book Antiqua" w:hAnsi="Book Antiqua" w:cs="Book Antiqua"/>
          <w:color w:val="000000"/>
        </w:rPr>
        <w:t xml:space="preserve"> but requires further investigations. </w:t>
      </w:r>
    </w:p>
    <w:p w14:paraId="0C3F9DC8" w14:textId="2C3F7945" w:rsidR="00A77B3E" w:rsidRPr="00151BD6" w:rsidRDefault="00252B19" w:rsidP="0035135C">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Yttrium</w:t>
      </w:r>
      <w:r w:rsidRPr="00151BD6">
        <w:rPr>
          <w:rFonts w:ascii="Book Antiqua" w:eastAsia="Book Antiqua" w:hAnsi="Book Antiqua" w:cs="Book Antiqua"/>
          <w:color w:val="000000"/>
          <w:vertAlign w:val="superscript"/>
        </w:rPr>
        <w:t>90</w:t>
      </w:r>
      <w:r w:rsidRPr="00151BD6">
        <w:rPr>
          <w:rFonts w:ascii="Book Antiqua" w:eastAsia="Book Antiqua" w:hAnsi="Book Antiqua" w:cs="Book Antiqua"/>
          <w:color w:val="000000"/>
        </w:rPr>
        <w:t xml:space="preserve"> embolization is a relatively novel interventional technique for the treatment of </w:t>
      </w:r>
      <w:r w:rsidR="00D56D2E" w:rsidRPr="00151BD6">
        <w:rPr>
          <w:rFonts w:ascii="Book Antiqua" w:eastAsia="Book Antiqua" w:hAnsi="Book Antiqua" w:cs="Book Antiqua"/>
          <w:color w:val="000000"/>
          <w:shd w:val="clear" w:color="auto" w:fill="FFFFFF"/>
        </w:rPr>
        <w:t xml:space="preserve">hepatocellular carcinoma </w:t>
      </w:r>
      <w:r w:rsidRPr="00151BD6">
        <w:rPr>
          <w:rFonts w:ascii="Book Antiqua" w:eastAsia="Book Antiqua" w:hAnsi="Book Antiqua" w:cs="Book Antiqua"/>
          <w:color w:val="000000"/>
        </w:rPr>
        <w:t xml:space="preserve">or liver metastases. Few data are currently available about antibiotic prophylaxis in this setting, also in view of heterogeneous patients’ characteristics, such as presence or absence of cirrhosis. A recently published survey from 45 European </w:t>
      </w:r>
      <w:r w:rsidR="00D56D2E">
        <w:rPr>
          <w:rFonts w:ascii="Book Antiqua" w:eastAsia="Book Antiqua" w:hAnsi="Book Antiqua" w:cs="Book Antiqua"/>
          <w:color w:val="000000"/>
        </w:rPr>
        <w:t>c</w:t>
      </w:r>
      <w:r w:rsidRPr="00151BD6">
        <w:rPr>
          <w:rFonts w:ascii="Book Antiqua" w:eastAsia="Book Antiqua" w:hAnsi="Book Antiqua" w:cs="Book Antiqua"/>
          <w:color w:val="000000"/>
        </w:rPr>
        <w:t xml:space="preserve">enters </w:t>
      </w:r>
      <w:r w:rsidR="0035135C" w:rsidRPr="00151BD6">
        <w:rPr>
          <w:rFonts w:ascii="Book Antiqua" w:eastAsia="Book Antiqua" w:hAnsi="Book Antiqua" w:cs="Book Antiqua"/>
          <w:color w:val="000000"/>
        </w:rPr>
        <w:t xml:space="preserve">confirmed different strategies </w:t>
      </w:r>
      <w:r w:rsidRPr="00151BD6">
        <w:rPr>
          <w:rFonts w:ascii="Book Antiqua" w:eastAsia="Book Antiqua" w:hAnsi="Book Antiqua" w:cs="Book Antiqua"/>
          <w:color w:val="000000"/>
        </w:rPr>
        <w:t>regarding antibiotic prophylaxis, which was routinely adopted in 8% of cases</w:t>
      </w:r>
      <w:r w:rsidRPr="00151BD6">
        <w:rPr>
          <w:rFonts w:ascii="Book Antiqua" w:eastAsia="Book Antiqua" w:hAnsi="Book Antiqua" w:cs="Book Antiqua"/>
          <w:color w:val="000000"/>
          <w:vertAlign w:val="superscript"/>
        </w:rPr>
        <w:t>[67]</w:t>
      </w:r>
      <w:r w:rsidRPr="00151BD6">
        <w:rPr>
          <w:rFonts w:ascii="Book Antiqua" w:eastAsia="Book Antiqua" w:hAnsi="Book Antiqua" w:cs="Book Antiqua"/>
          <w:color w:val="000000"/>
        </w:rPr>
        <w:t>. However, as for chemoembolization, patients with a history of biliary endoscopic or surgical interventions seemed to be those who may receive antibiotic prophylaxis</w:t>
      </w:r>
      <w:r w:rsidRPr="00151BD6">
        <w:rPr>
          <w:rFonts w:ascii="Book Antiqua" w:eastAsia="Book Antiqua" w:hAnsi="Book Antiqua" w:cs="Book Antiqua"/>
          <w:color w:val="000000"/>
          <w:vertAlign w:val="superscript"/>
        </w:rPr>
        <w:t>[68]</w:t>
      </w:r>
      <w:r w:rsidRPr="00151BD6">
        <w:rPr>
          <w:rFonts w:ascii="Book Antiqua" w:eastAsia="Book Antiqua" w:hAnsi="Book Antiqua" w:cs="Book Antiqua"/>
          <w:color w:val="000000"/>
        </w:rPr>
        <w:t>.</w:t>
      </w:r>
    </w:p>
    <w:p w14:paraId="7F94A8B1" w14:textId="4793F9EA" w:rsidR="00A77B3E" w:rsidRPr="00151BD6" w:rsidRDefault="00252B19" w:rsidP="0035135C">
      <w:pPr>
        <w:spacing w:line="360" w:lineRule="auto"/>
        <w:ind w:firstLineChars="200" w:firstLine="480"/>
        <w:jc w:val="both"/>
        <w:rPr>
          <w:rFonts w:ascii="Book Antiqua" w:hAnsi="Book Antiqua"/>
          <w:lang w:eastAsia="zh-CN"/>
        </w:rPr>
      </w:pPr>
      <w:r w:rsidRPr="00151BD6">
        <w:rPr>
          <w:rFonts w:ascii="Book Antiqua" w:eastAsia="Book Antiqua" w:hAnsi="Book Antiqua" w:cs="Book Antiqua"/>
          <w:color w:val="000000"/>
        </w:rPr>
        <w:t xml:space="preserve">In summary, antibiotic prophylaxis is not routinely recommended for elective interventional procedures in patients with cirrhosis. It should be carefully considered in high-risk patients, such as those with </w:t>
      </w:r>
      <w:r w:rsidR="00151BD6" w:rsidRPr="00151BD6">
        <w:rPr>
          <w:rFonts w:ascii="Book Antiqua" w:eastAsia="Book Antiqua" w:hAnsi="Book Antiqua" w:cs="Book Antiqua"/>
          <w:color w:val="000000"/>
        </w:rPr>
        <w:t>bilio</w:t>
      </w:r>
      <w:r w:rsidRPr="00151BD6">
        <w:rPr>
          <w:rFonts w:ascii="Book Antiqua" w:eastAsia="Book Antiqua" w:hAnsi="Book Antiqua" w:cs="Book Antiqua"/>
          <w:color w:val="000000"/>
        </w:rPr>
        <w:t>-enteric anastomosis, whereas it should be routinely adopted in patients with primary sclerosing cholangitis undergoing ERCP.</w:t>
      </w:r>
    </w:p>
    <w:p w14:paraId="0518807F" w14:textId="77777777" w:rsidR="00A77B3E" w:rsidRPr="00151BD6" w:rsidRDefault="00A77B3E" w:rsidP="00861CDC">
      <w:pPr>
        <w:spacing w:line="360" w:lineRule="auto"/>
        <w:ind w:firstLine="708"/>
        <w:jc w:val="both"/>
        <w:rPr>
          <w:rFonts w:ascii="Book Antiqua" w:hAnsi="Book Antiqua"/>
        </w:rPr>
      </w:pPr>
    </w:p>
    <w:p w14:paraId="180634B9" w14:textId="77777777" w:rsidR="00A77B3E" w:rsidRPr="00151BD6" w:rsidRDefault="004A0B27" w:rsidP="00861CDC">
      <w:pPr>
        <w:spacing w:line="360" w:lineRule="auto"/>
        <w:jc w:val="both"/>
        <w:rPr>
          <w:rFonts w:ascii="Book Antiqua" w:hAnsi="Book Antiqua"/>
          <w:b/>
          <w:u w:val="single"/>
          <w:lang w:eastAsia="zh-CN"/>
        </w:rPr>
      </w:pPr>
      <w:r w:rsidRPr="00151BD6">
        <w:rPr>
          <w:rFonts w:ascii="Book Antiqua" w:eastAsia="Book Antiqua" w:hAnsi="Book Antiqua" w:cs="Book Antiqua"/>
          <w:b/>
          <w:color w:val="000000"/>
          <w:u w:val="single"/>
        </w:rPr>
        <w:t>LT</w:t>
      </w:r>
    </w:p>
    <w:p w14:paraId="4121539B" w14:textId="4F735F34"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Infection remains a major cause of morbidity and mortality in liver transplant recipients, with a significant burden on short-term post-operative graft and patient survival. Length of surgery, prior transplant or abdominal surgery, severity of liver disease at time of transplantation, and post-operative complications represent the most important risk factors for post-LT surgical site infection (SSI).</w:t>
      </w:r>
      <w:r w:rsidRPr="00151BD6">
        <w:rPr>
          <w:rFonts w:ascii="Book Antiqua" w:eastAsia="Book Antiqua" w:hAnsi="Book Antiqua" w:cs="Book Antiqua"/>
          <w:color w:val="000000"/>
          <w:shd w:val="clear" w:color="auto" w:fill="FFFFFF"/>
        </w:rPr>
        <w:t xml:space="preserve"> The pathogens most commonly associated with early SSIs are </w:t>
      </w:r>
      <w:r w:rsidRPr="00151BD6">
        <w:rPr>
          <w:rFonts w:ascii="Book Antiqua" w:eastAsia="Book Antiqua" w:hAnsi="Book Antiqua" w:cs="Book Antiqua"/>
          <w:i/>
          <w:iCs/>
          <w:color w:val="000000"/>
          <w:shd w:val="clear" w:color="auto" w:fill="FFFFFF"/>
        </w:rPr>
        <w:t>Escherichia coli, Klebsiella, Enterobacter, Acinetobacter</w:t>
      </w:r>
      <w:r w:rsidRPr="00151BD6">
        <w:rPr>
          <w:rFonts w:ascii="Book Antiqua" w:eastAsia="Book Antiqua" w:hAnsi="Book Antiqua" w:cs="Book Antiqua"/>
          <w:color w:val="000000"/>
          <w:shd w:val="clear" w:color="auto" w:fill="FFFFFF"/>
        </w:rPr>
        <w:t xml:space="preserve">, but also </w:t>
      </w:r>
      <w:r w:rsidRPr="00151BD6">
        <w:rPr>
          <w:rFonts w:ascii="Book Antiqua" w:eastAsia="Book Antiqua" w:hAnsi="Book Antiqua" w:cs="Book Antiqua"/>
          <w:i/>
          <w:iCs/>
          <w:color w:val="000000"/>
          <w:shd w:val="clear" w:color="auto" w:fill="FFFFFF"/>
        </w:rPr>
        <w:t>Enterococci</w:t>
      </w:r>
      <w:r w:rsidR="0035135C" w:rsidRPr="00151BD6">
        <w:rPr>
          <w:rFonts w:ascii="Book Antiqua" w:eastAsia="Book Antiqua" w:hAnsi="Book Antiqua" w:cs="Book Antiqua"/>
          <w:color w:val="000000"/>
          <w:shd w:val="clear" w:color="auto" w:fill="FFFFFF"/>
          <w:vertAlign w:val="superscript"/>
        </w:rPr>
        <w:t>[69,</w:t>
      </w:r>
      <w:r w:rsidRPr="00151BD6">
        <w:rPr>
          <w:rFonts w:ascii="Book Antiqua" w:eastAsia="Book Antiqua" w:hAnsi="Book Antiqua" w:cs="Book Antiqua"/>
          <w:color w:val="000000"/>
          <w:shd w:val="clear" w:color="auto" w:fill="FFFFFF"/>
          <w:vertAlign w:val="superscript"/>
        </w:rPr>
        <w:t>70]</w:t>
      </w:r>
      <w:r w:rsidRPr="00151BD6">
        <w:rPr>
          <w:rFonts w:ascii="Book Antiqua" w:eastAsia="Book Antiqua" w:hAnsi="Book Antiqua" w:cs="Book Antiqua"/>
          <w:color w:val="000000"/>
          <w:shd w:val="clear" w:color="auto" w:fill="FFFFFF"/>
        </w:rPr>
        <w:t xml:space="preserve">. </w:t>
      </w:r>
    </w:p>
    <w:p w14:paraId="36913634" w14:textId="4AC81EA7" w:rsidR="00A77B3E" w:rsidRPr="00151BD6" w:rsidRDefault="00252B19" w:rsidP="0035135C">
      <w:pPr>
        <w:spacing w:line="360" w:lineRule="auto"/>
        <w:ind w:firstLineChars="200" w:firstLine="480"/>
        <w:jc w:val="both"/>
        <w:rPr>
          <w:rFonts w:ascii="Book Antiqua" w:hAnsi="Book Antiqua"/>
          <w:lang w:eastAsia="zh-CN"/>
        </w:rPr>
      </w:pPr>
      <w:r w:rsidRPr="00151BD6">
        <w:rPr>
          <w:rFonts w:ascii="Book Antiqua" w:eastAsia="Book Antiqua" w:hAnsi="Book Antiqua" w:cs="Book Antiqua"/>
          <w:color w:val="000000"/>
          <w:shd w:val="clear" w:color="auto" w:fill="FFFFFF"/>
        </w:rPr>
        <w:t>Theoretically, the main role of pre-operative prophylaxis would be to prevent SSI. Although a Cochrane meta</w:t>
      </w:r>
      <w:r w:rsidR="0061221F">
        <w:rPr>
          <w:rFonts w:ascii="Book Antiqua" w:eastAsia="Book Antiqua" w:hAnsi="Book Antiqua" w:cs="Book Antiqua"/>
          <w:color w:val="000000"/>
          <w:shd w:val="clear" w:color="auto" w:fill="FFFFFF"/>
        </w:rPr>
        <w:t>-a</w:t>
      </w:r>
      <w:r w:rsidRPr="00151BD6">
        <w:rPr>
          <w:rFonts w:ascii="Book Antiqua" w:eastAsia="Book Antiqua" w:hAnsi="Book Antiqua" w:cs="Book Antiqua"/>
          <w:color w:val="000000"/>
          <w:shd w:val="clear" w:color="auto" w:fill="FFFFFF"/>
        </w:rPr>
        <w:t>nalysis, after including only one RCT (at high risk of bias), concluded that b</w:t>
      </w:r>
      <w:r w:rsidRPr="00151BD6">
        <w:rPr>
          <w:rFonts w:ascii="Book Antiqua" w:eastAsia="Book Antiqua" w:hAnsi="Book Antiqua" w:cs="Book Antiqua"/>
          <w:color w:val="000000"/>
        </w:rPr>
        <w:t>enefits and harms of prophylactic regimens were difficult to assess</w:t>
      </w:r>
      <w:r w:rsidRPr="00151BD6">
        <w:rPr>
          <w:rFonts w:ascii="Book Antiqua" w:eastAsia="Book Antiqua" w:hAnsi="Book Antiqua" w:cs="Book Antiqua"/>
          <w:color w:val="000000"/>
          <w:shd w:val="clear" w:color="auto" w:fill="FFFFFF"/>
          <w:vertAlign w:val="superscript"/>
        </w:rPr>
        <w:t>[71]</w:t>
      </w:r>
      <w:r w:rsidRPr="00151BD6">
        <w:rPr>
          <w:rFonts w:ascii="Book Antiqua" w:eastAsia="Book Antiqua" w:hAnsi="Book Antiqua" w:cs="Book Antiqua"/>
          <w:color w:val="000000"/>
        </w:rPr>
        <w:t>; antibiotic prophylaxis has been widely used before LT, being justified by high infection rates (even during ongoing prophylaxis) and complexity of surgery.</w:t>
      </w:r>
    </w:p>
    <w:p w14:paraId="7BD93B02" w14:textId="39524A21" w:rsidR="00A77B3E" w:rsidRPr="00151BD6" w:rsidRDefault="00252B19" w:rsidP="00926578">
      <w:pPr>
        <w:spacing w:line="360" w:lineRule="auto"/>
        <w:ind w:firstLineChars="200" w:firstLine="480"/>
        <w:jc w:val="both"/>
        <w:rPr>
          <w:rFonts w:ascii="Book Antiqua" w:hAnsi="Book Antiqua"/>
          <w:lang w:eastAsia="zh-CN"/>
        </w:rPr>
      </w:pPr>
      <w:r w:rsidRPr="00151BD6">
        <w:rPr>
          <w:rFonts w:ascii="Book Antiqua" w:eastAsia="Book Antiqua" w:hAnsi="Book Antiqua" w:cs="Book Antiqua"/>
          <w:color w:val="000000"/>
          <w:shd w:val="clear" w:color="auto" w:fill="FFFFFF"/>
        </w:rPr>
        <w:t xml:space="preserve">Data on the type and length of peri-operative LT prophylaxis are scant. In a survey from 61 European LT </w:t>
      </w:r>
      <w:r w:rsidR="00203BE2" w:rsidRPr="00151BD6">
        <w:rPr>
          <w:rFonts w:ascii="Book Antiqua" w:hAnsi="Book Antiqua" w:cs="Book Antiqua"/>
          <w:color w:val="000000"/>
          <w:shd w:val="clear" w:color="auto" w:fill="FFFFFF"/>
          <w:lang w:eastAsia="zh-CN"/>
        </w:rPr>
        <w:t>c</w:t>
      </w:r>
      <w:r w:rsidRPr="00151BD6">
        <w:rPr>
          <w:rFonts w:ascii="Book Antiqua" w:eastAsia="Book Antiqua" w:hAnsi="Book Antiqua" w:cs="Book Antiqua"/>
          <w:color w:val="000000"/>
          <w:shd w:val="clear" w:color="auto" w:fill="FFFFFF"/>
        </w:rPr>
        <w:t xml:space="preserve">enters, Vandecasteele </w:t>
      </w:r>
      <w:r w:rsidRPr="00151BD6">
        <w:rPr>
          <w:rFonts w:ascii="Book Antiqua" w:eastAsia="Book Antiqua" w:hAnsi="Book Antiqua" w:cs="Book Antiqua"/>
          <w:i/>
          <w:iCs/>
          <w:color w:val="000000"/>
          <w:shd w:val="clear" w:color="auto" w:fill="FFFFFF"/>
        </w:rPr>
        <w:t>et al</w:t>
      </w:r>
      <w:r w:rsidRPr="00151BD6">
        <w:rPr>
          <w:rFonts w:ascii="Book Antiqua" w:eastAsia="Book Antiqua" w:hAnsi="Book Antiqua" w:cs="Book Antiqua"/>
          <w:color w:val="000000"/>
          <w:shd w:val="clear" w:color="auto" w:fill="FFFFFF"/>
          <w:vertAlign w:val="superscript"/>
        </w:rPr>
        <w:t>[72]</w:t>
      </w:r>
      <w:r w:rsidRPr="00151BD6">
        <w:rPr>
          <w:rFonts w:ascii="Book Antiqua" w:eastAsia="Book Antiqua" w:hAnsi="Book Antiqua" w:cs="Book Antiqua"/>
          <w:color w:val="000000"/>
          <w:shd w:val="clear" w:color="auto" w:fill="FFFFFF"/>
        </w:rPr>
        <w:t xml:space="preserve"> reported that the type of antibiotic prophylaxis was heterogeneously chosen among centers. An extended spectrum antibiotic regimen was reported in the majority of cases (73%) for elective LT. Notably, 25% </w:t>
      </w:r>
      <w:r w:rsidR="00926578" w:rsidRPr="00151BD6">
        <w:rPr>
          <w:rFonts w:ascii="Book Antiqua" w:hAnsi="Book Antiqua" w:cs="Book Antiqua"/>
          <w:color w:val="000000"/>
          <w:shd w:val="clear" w:color="auto" w:fill="FFFFFF"/>
          <w:lang w:eastAsia="zh-CN"/>
        </w:rPr>
        <w:t>c</w:t>
      </w:r>
      <w:r w:rsidRPr="00151BD6">
        <w:rPr>
          <w:rFonts w:ascii="Book Antiqua" w:eastAsia="Book Antiqua" w:hAnsi="Book Antiqua" w:cs="Book Antiqua"/>
          <w:color w:val="000000"/>
          <w:shd w:val="clear" w:color="auto" w:fill="FFFFFF"/>
        </w:rPr>
        <w:t>enters reported a change in prophylactic schedule (in terms of drug class and length) for the sickest candidates (</w:t>
      </w:r>
      <w:r w:rsidRPr="00151BD6">
        <w:rPr>
          <w:rFonts w:ascii="Book Antiqua" w:eastAsia="Book Antiqua" w:hAnsi="Book Antiqua" w:cs="Book Antiqua"/>
          <w:i/>
          <w:color w:val="000000"/>
          <w:shd w:val="clear" w:color="auto" w:fill="FFFFFF"/>
        </w:rPr>
        <w:t>i.e.</w:t>
      </w:r>
      <w:r w:rsidRPr="00151BD6">
        <w:rPr>
          <w:rFonts w:ascii="Book Antiqua" w:eastAsia="Book Antiqua" w:hAnsi="Book Antiqua" w:cs="Book Antiqua"/>
          <w:color w:val="000000"/>
          <w:shd w:val="clear" w:color="auto" w:fill="FFFFFF"/>
        </w:rPr>
        <w:t xml:space="preserve"> those with acute-on-chronic liver failure). The survey further demonstrated that one</w:t>
      </w:r>
      <w:r w:rsidR="00593965">
        <w:rPr>
          <w:rFonts w:ascii="Book Antiqua" w:eastAsia="Book Antiqua" w:hAnsi="Book Antiqua" w:cs="Book Antiqua"/>
          <w:color w:val="000000"/>
          <w:shd w:val="clear" w:color="auto" w:fill="FFFFFF"/>
        </w:rPr>
        <w:t>-</w:t>
      </w:r>
      <w:r w:rsidRPr="00151BD6">
        <w:rPr>
          <w:rFonts w:ascii="Book Antiqua" w:eastAsia="Book Antiqua" w:hAnsi="Book Antiqua" w:cs="Book Antiqua"/>
          <w:color w:val="000000"/>
          <w:shd w:val="clear" w:color="auto" w:fill="FFFFFF"/>
        </w:rPr>
        <w:t xml:space="preserve">third of </w:t>
      </w:r>
      <w:r w:rsidR="00593965">
        <w:rPr>
          <w:rFonts w:ascii="Book Antiqua" w:eastAsia="Book Antiqua" w:hAnsi="Book Antiqua" w:cs="Book Antiqua"/>
          <w:color w:val="000000"/>
          <w:shd w:val="clear" w:color="auto" w:fill="FFFFFF"/>
        </w:rPr>
        <w:t>c</w:t>
      </w:r>
      <w:r w:rsidRPr="00151BD6">
        <w:rPr>
          <w:rFonts w:ascii="Book Antiqua" w:eastAsia="Book Antiqua" w:hAnsi="Book Antiqua" w:cs="Book Antiqua"/>
          <w:color w:val="000000"/>
          <w:shd w:val="clear" w:color="auto" w:fill="FFFFFF"/>
        </w:rPr>
        <w:t>enters used to change antibiotic prophylaxis in the presence of LT for candidates with acute liver failure (ALF).</w:t>
      </w:r>
    </w:p>
    <w:p w14:paraId="57B9BEED" w14:textId="5BAE50ED" w:rsidR="00A77B3E" w:rsidRPr="00151BD6" w:rsidRDefault="00252B19" w:rsidP="00203BE2">
      <w:pPr>
        <w:spacing w:line="360" w:lineRule="auto"/>
        <w:ind w:firstLineChars="200" w:firstLine="480"/>
        <w:jc w:val="both"/>
        <w:rPr>
          <w:rFonts w:ascii="Book Antiqua" w:hAnsi="Book Antiqua"/>
        </w:rPr>
      </w:pPr>
      <w:r w:rsidRPr="00151BD6">
        <w:rPr>
          <w:rFonts w:ascii="Book Antiqua" w:eastAsia="Book Antiqua" w:hAnsi="Book Antiqua" w:cs="Book Antiqua"/>
          <w:color w:val="000000"/>
          <w:shd w:val="clear" w:color="auto" w:fill="FFFFFF"/>
        </w:rPr>
        <w:t xml:space="preserve">Current American </w:t>
      </w:r>
      <w:r w:rsidR="00593965">
        <w:rPr>
          <w:rFonts w:ascii="Book Antiqua" w:eastAsia="Book Antiqua" w:hAnsi="Book Antiqua" w:cs="Book Antiqua"/>
          <w:color w:val="000000"/>
          <w:shd w:val="clear" w:color="auto" w:fill="FFFFFF"/>
        </w:rPr>
        <w:t>g</w:t>
      </w:r>
      <w:r w:rsidRPr="00151BD6">
        <w:rPr>
          <w:rFonts w:ascii="Book Antiqua" w:eastAsia="Book Antiqua" w:hAnsi="Book Antiqua" w:cs="Book Antiqua"/>
          <w:color w:val="000000"/>
          <w:shd w:val="clear" w:color="auto" w:fill="FFFFFF"/>
        </w:rPr>
        <w:t>uidelines recommend the use of piperacillin–tazobactam, or cefotaxime plus ampicillin as routine prophylaxis during LT</w:t>
      </w:r>
      <w:r w:rsidRPr="00151BD6">
        <w:rPr>
          <w:rFonts w:ascii="Book Antiqua" w:eastAsia="Book Antiqua" w:hAnsi="Book Antiqua" w:cs="Book Antiqua"/>
          <w:color w:val="000000"/>
          <w:vertAlign w:val="superscript"/>
        </w:rPr>
        <w:t>[73]</w:t>
      </w:r>
      <w:r w:rsidRPr="00151BD6">
        <w:rPr>
          <w:rFonts w:ascii="Book Antiqua" w:eastAsia="Book Antiqua" w:hAnsi="Book Antiqua" w:cs="Book Antiqua"/>
          <w:color w:val="000000"/>
        </w:rPr>
        <w:t xml:space="preserve">, </w:t>
      </w:r>
      <w:r w:rsidRPr="00151BD6">
        <w:rPr>
          <w:rFonts w:ascii="Book Antiqua" w:eastAsia="Book Antiqua" w:hAnsi="Book Antiqua" w:cs="Book Antiqua"/>
          <w:color w:val="000000"/>
          <w:shd w:val="clear" w:color="auto" w:fill="FFFFFF"/>
        </w:rPr>
        <w:t>considering cefuroxime, metronidazole, clindamycin</w:t>
      </w:r>
      <w:r w:rsidR="00593965">
        <w:rPr>
          <w:rFonts w:ascii="Book Antiqua" w:eastAsia="Book Antiqua" w:hAnsi="Book Antiqua" w:cs="Book Antiqua"/>
          <w:color w:val="000000"/>
          <w:shd w:val="clear" w:color="auto" w:fill="FFFFFF"/>
        </w:rPr>
        <w:t>,</w:t>
      </w:r>
      <w:r w:rsidRPr="00151BD6">
        <w:rPr>
          <w:rFonts w:ascii="Book Antiqua" w:eastAsia="Book Antiqua" w:hAnsi="Book Antiqua" w:cs="Book Antiqua"/>
          <w:color w:val="000000"/>
          <w:shd w:val="clear" w:color="auto" w:fill="FFFFFF"/>
        </w:rPr>
        <w:t xml:space="preserve"> or quinolones as important alternatives in candidates with allergy to B-lactams. Notably, the </w:t>
      </w:r>
      <w:r w:rsidR="00593965">
        <w:rPr>
          <w:rFonts w:ascii="Book Antiqua" w:eastAsia="Book Antiqua" w:hAnsi="Book Antiqua" w:cs="Book Antiqua"/>
          <w:color w:val="000000"/>
          <w:shd w:val="clear" w:color="auto" w:fill="FFFFFF"/>
        </w:rPr>
        <w:t>g</w:t>
      </w:r>
      <w:r w:rsidRPr="00151BD6">
        <w:rPr>
          <w:rFonts w:ascii="Book Antiqua" w:eastAsia="Book Antiqua" w:hAnsi="Book Antiqua" w:cs="Book Antiqua"/>
          <w:color w:val="000000"/>
          <w:shd w:val="clear" w:color="auto" w:fill="FFFFFF"/>
        </w:rPr>
        <w:t>uidelines highlight correct timing of prophylaxis (60</w:t>
      </w:r>
      <w:r w:rsidR="00593965">
        <w:rPr>
          <w:rFonts w:ascii="Book Antiqua" w:eastAsia="Book Antiqua" w:hAnsi="Book Antiqua" w:cs="Book Antiqua"/>
          <w:color w:val="000000"/>
          <w:shd w:val="clear" w:color="auto" w:fill="FFFFFF"/>
        </w:rPr>
        <w:t xml:space="preserve"> min</w:t>
      </w:r>
      <w:r w:rsidRPr="00151BD6">
        <w:rPr>
          <w:rFonts w:ascii="Book Antiqua" w:eastAsia="Book Antiqua" w:hAnsi="Book Antiqua" w:cs="Book Antiqua"/>
          <w:color w:val="000000"/>
          <w:shd w:val="clear" w:color="auto" w:fill="FFFFFF"/>
        </w:rPr>
        <w:t xml:space="preserve"> before surgical incision for most antibiotics)</w:t>
      </w:r>
      <w:r w:rsidR="00593965">
        <w:rPr>
          <w:rFonts w:ascii="Book Antiqua" w:eastAsia="Book Antiqua" w:hAnsi="Book Antiqua" w:cs="Book Antiqua"/>
          <w:color w:val="000000"/>
          <w:shd w:val="clear" w:color="auto" w:fill="FFFFFF"/>
        </w:rPr>
        <w:t xml:space="preserve"> and</w:t>
      </w:r>
      <w:r w:rsidRPr="00151BD6">
        <w:rPr>
          <w:rFonts w:ascii="Book Antiqua" w:eastAsia="Book Antiqua" w:hAnsi="Book Antiqua" w:cs="Book Antiqua"/>
          <w:color w:val="000000"/>
          <w:shd w:val="clear" w:color="auto" w:fill="FFFFFF"/>
        </w:rPr>
        <w:t xml:space="preserve"> the need to repeat the dose in cases of prolonged surgery and suggest against the routine use of vancomycin, since it may increase the risk of post-transplant MDR rods. Pre-transplant surveillance for ruling-out colonization(s), as well as updates on local bacterial epidemiology, represent further important measures for tailoring prophylaxis to prevent antibiotic failure and reduce MDR development</w:t>
      </w:r>
      <w:r w:rsidR="00203BE2" w:rsidRPr="00151BD6">
        <w:rPr>
          <w:rFonts w:ascii="Book Antiqua" w:eastAsia="Book Antiqua" w:hAnsi="Book Antiqua" w:cs="Book Antiqua"/>
          <w:color w:val="000000"/>
          <w:shd w:val="clear" w:color="auto" w:fill="FFFFFF"/>
          <w:vertAlign w:val="superscript"/>
        </w:rPr>
        <w:t>[74,</w:t>
      </w:r>
      <w:r w:rsidRPr="00151BD6">
        <w:rPr>
          <w:rFonts w:ascii="Book Antiqua" w:eastAsia="Book Antiqua" w:hAnsi="Book Antiqua" w:cs="Book Antiqua"/>
          <w:color w:val="000000"/>
          <w:shd w:val="clear" w:color="auto" w:fill="FFFFFF"/>
          <w:vertAlign w:val="superscript"/>
        </w:rPr>
        <w:t>75]</w:t>
      </w:r>
      <w:r w:rsidRPr="00151BD6">
        <w:rPr>
          <w:rFonts w:ascii="Book Antiqua" w:eastAsia="Book Antiqua" w:hAnsi="Book Antiqua" w:cs="Book Antiqua"/>
          <w:color w:val="000000"/>
          <w:shd w:val="clear" w:color="auto" w:fill="FFFFFF"/>
        </w:rPr>
        <w:t xml:space="preserve">. The length of antibiotic prophylaxis remains debated, with heterogeneous courses </w:t>
      </w:r>
      <w:r w:rsidR="00203BE2" w:rsidRPr="00151BD6">
        <w:rPr>
          <w:rFonts w:ascii="Book Antiqua" w:eastAsia="Book Antiqua" w:hAnsi="Book Antiqua" w:cs="Book Antiqua"/>
          <w:color w:val="000000"/>
          <w:shd w:val="clear" w:color="auto" w:fill="FFFFFF"/>
        </w:rPr>
        <w:t>ranging from 24</w:t>
      </w:r>
      <w:r w:rsidR="00782500" w:rsidRPr="00151BD6">
        <w:rPr>
          <w:rFonts w:ascii="Book Antiqua" w:hAnsi="Book Antiqua" w:cs="Book Antiqua"/>
          <w:color w:val="000000"/>
          <w:shd w:val="clear" w:color="auto" w:fill="FFFFFF"/>
          <w:lang w:eastAsia="zh-CN"/>
        </w:rPr>
        <w:t xml:space="preserve"> </w:t>
      </w:r>
      <w:r w:rsidR="00203BE2" w:rsidRPr="00151BD6">
        <w:rPr>
          <w:rFonts w:ascii="Book Antiqua" w:eastAsia="Book Antiqua" w:hAnsi="Book Antiqua" w:cs="Book Antiqua"/>
          <w:color w:val="000000"/>
          <w:shd w:val="clear" w:color="auto" w:fill="FFFFFF"/>
        </w:rPr>
        <w:t>h to 5 d</w:t>
      </w:r>
      <w:r w:rsidRPr="00151BD6">
        <w:rPr>
          <w:rFonts w:ascii="Book Antiqua" w:eastAsia="Book Antiqua" w:hAnsi="Book Antiqua" w:cs="Book Antiqua"/>
          <w:color w:val="000000"/>
          <w:shd w:val="clear" w:color="auto" w:fill="FFFFFF"/>
        </w:rPr>
        <w:t>. Recently, a RCT from the U</w:t>
      </w:r>
      <w:r w:rsidR="00203BE2" w:rsidRPr="00151BD6">
        <w:rPr>
          <w:rFonts w:ascii="Book Antiqua" w:hAnsi="Book Antiqua" w:cs="Book Antiqua"/>
          <w:color w:val="000000"/>
          <w:shd w:val="clear" w:color="auto" w:fill="FFFFFF"/>
          <w:lang w:eastAsia="zh-CN"/>
        </w:rPr>
        <w:t xml:space="preserve">nited </w:t>
      </w:r>
      <w:r w:rsidRPr="00151BD6">
        <w:rPr>
          <w:rFonts w:ascii="Book Antiqua" w:eastAsia="Book Antiqua" w:hAnsi="Book Antiqua" w:cs="Book Antiqua"/>
          <w:color w:val="000000"/>
          <w:shd w:val="clear" w:color="auto" w:fill="FFFFFF"/>
        </w:rPr>
        <w:t>S</w:t>
      </w:r>
      <w:r w:rsidR="00203BE2" w:rsidRPr="00151BD6">
        <w:rPr>
          <w:rFonts w:ascii="Book Antiqua" w:hAnsi="Book Antiqua" w:cs="Book Antiqua"/>
          <w:color w:val="000000"/>
          <w:shd w:val="clear" w:color="auto" w:fill="FFFFFF"/>
          <w:lang w:eastAsia="zh-CN"/>
        </w:rPr>
        <w:t>tates</w:t>
      </w:r>
      <w:r w:rsidRPr="00151BD6">
        <w:rPr>
          <w:rFonts w:ascii="Book Antiqua" w:eastAsia="Book Antiqua" w:hAnsi="Book Antiqua" w:cs="Book Antiqua"/>
          <w:color w:val="000000"/>
          <w:shd w:val="clear" w:color="auto" w:fill="FFFFFF"/>
        </w:rPr>
        <w:t xml:space="preserve"> compared short-course (</w:t>
      </w:r>
      <w:r w:rsidRPr="00151BD6">
        <w:rPr>
          <w:rFonts w:ascii="Book Antiqua" w:eastAsia="Book Antiqua" w:hAnsi="Book Antiqua" w:cs="Book Antiqua"/>
          <w:i/>
          <w:color w:val="000000"/>
          <w:shd w:val="clear" w:color="auto" w:fill="FFFFFF"/>
        </w:rPr>
        <w:t>i.e.</w:t>
      </w:r>
      <w:r w:rsidRPr="00151BD6">
        <w:rPr>
          <w:rFonts w:ascii="Book Antiqua" w:eastAsia="Book Antiqua" w:hAnsi="Book Antiqua" w:cs="Book Antiqua"/>
          <w:color w:val="000000"/>
          <w:shd w:val="clear" w:color="auto" w:fill="FFFFFF"/>
        </w:rPr>
        <w:t xml:space="preserve"> intraoperative doses) and 72-h extended course in 97 adult LT recipients</w:t>
      </w:r>
      <w:r w:rsidRPr="00151BD6">
        <w:rPr>
          <w:rFonts w:ascii="Book Antiqua" w:eastAsia="Book Antiqua" w:hAnsi="Book Antiqua" w:cs="Book Antiqua"/>
          <w:color w:val="000000"/>
          <w:shd w:val="clear" w:color="auto" w:fill="FFFFFF"/>
          <w:vertAlign w:val="superscript"/>
        </w:rPr>
        <w:t>[76]</w:t>
      </w:r>
      <w:r w:rsidRPr="00151BD6">
        <w:rPr>
          <w:rFonts w:ascii="Book Antiqua" w:eastAsia="Book Antiqua" w:hAnsi="Book Antiqua" w:cs="Book Antiqua"/>
          <w:color w:val="000000"/>
          <w:shd w:val="clear" w:color="auto" w:fill="FFFFFF"/>
        </w:rPr>
        <w:t>. The authors did not find any differen</w:t>
      </w:r>
      <w:r w:rsidR="00203BE2" w:rsidRPr="00151BD6">
        <w:rPr>
          <w:rFonts w:ascii="Book Antiqua" w:eastAsia="Book Antiqua" w:hAnsi="Book Antiqua" w:cs="Book Antiqua"/>
          <w:color w:val="000000"/>
          <w:shd w:val="clear" w:color="auto" w:fill="FFFFFF"/>
        </w:rPr>
        <w:t xml:space="preserve">ce in prevalence of SSI (19% </w:t>
      </w:r>
      <w:r w:rsidR="00203BE2" w:rsidRPr="00151BD6">
        <w:rPr>
          <w:rFonts w:ascii="Book Antiqua" w:eastAsia="Book Antiqua" w:hAnsi="Book Antiqua" w:cs="Book Antiqua"/>
          <w:i/>
          <w:color w:val="000000"/>
          <w:shd w:val="clear" w:color="auto" w:fill="FFFFFF"/>
        </w:rPr>
        <w:t>vs</w:t>
      </w:r>
      <w:r w:rsidRPr="00151BD6">
        <w:rPr>
          <w:rFonts w:ascii="Book Antiqua" w:eastAsia="Book Antiqua" w:hAnsi="Book Antiqua" w:cs="Book Antiqua"/>
          <w:color w:val="000000"/>
          <w:shd w:val="clear" w:color="auto" w:fill="FFFFFF"/>
        </w:rPr>
        <w:t xml:space="preserve"> 27%) or overall infectio</w:t>
      </w:r>
      <w:r w:rsidR="00203BE2" w:rsidRPr="00151BD6">
        <w:rPr>
          <w:rFonts w:ascii="Book Antiqua" w:eastAsia="Book Antiqua" w:hAnsi="Book Antiqua" w:cs="Book Antiqua"/>
          <w:color w:val="000000"/>
          <w:shd w:val="clear" w:color="auto" w:fill="FFFFFF"/>
        </w:rPr>
        <w:t xml:space="preserve">n (35% </w:t>
      </w:r>
      <w:r w:rsidR="00203BE2" w:rsidRPr="00151BD6">
        <w:rPr>
          <w:rFonts w:ascii="Book Antiqua" w:eastAsia="Book Antiqua" w:hAnsi="Book Antiqua" w:cs="Book Antiqua"/>
          <w:i/>
          <w:color w:val="000000"/>
          <w:shd w:val="clear" w:color="auto" w:fill="FFFFFF"/>
        </w:rPr>
        <w:t>vs</w:t>
      </w:r>
      <w:r w:rsidRPr="00151BD6">
        <w:rPr>
          <w:rFonts w:ascii="Book Antiqua" w:eastAsia="Book Antiqua" w:hAnsi="Book Antiqua" w:cs="Book Antiqua"/>
          <w:color w:val="000000"/>
          <w:shd w:val="clear" w:color="auto" w:fill="FFFFFF"/>
        </w:rPr>
        <w:t xml:space="preserve"> 37%) between groups, providing evidence in favor of a shorter antibiotic schedule. Larger studies are warranted to </w:t>
      </w:r>
      <w:r w:rsidR="00593965">
        <w:rPr>
          <w:rFonts w:ascii="Book Antiqua" w:eastAsia="Book Antiqua" w:hAnsi="Book Antiqua" w:cs="Book Antiqua"/>
          <w:color w:val="000000"/>
          <w:shd w:val="clear" w:color="auto" w:fill="FFFFFF"/>
        </w:rPr>
        <w:t xml:space="preserve">confirm </w:t>
      </w:r>
      <w:r w:rsidRPr="00151BD6">
        <w:rPr>
          <w:rFonts w:ascii="Book Antiqua" w:eastAsia="Book Antiqua" w:hAnsi="Book Antiqua" w:cs="Book Antiqua"/>
          <w:color w:val="000000"/>
          <w:shd w:val="clear" w:color="auto" w:fill="FFFFFF"/>
        </w:rPr>
        <w:t>properly these hypotheses. Recently, antibiotics have been investigated as factors potentially changing post-surgical ischemia-reperfusion injury. In mice, antibiotics prior to LT reduced the gut microbiota, decreasing the inflammatory response and promoting homeostatic responses</w:t>
      </w:r>
      <w:r w:rsidRPr="00151BD6">
        <w:rPr>
          <w:rFonts w:ascii="Book Antiqua" w:eastAsia="Book Antiqua" w:hAnsi="Book Antiqua" w:cs="Book Antiqua"/>
          <w:color w:val="000000"/>
          <w:shd w:val="clear" w:color="auto" w:fill="FFFFFF"/>
          <w:vertAlign w:val="superscript"/>
        </w:rPr>
        <w:t>[77]</w:t>
      </w:r>
      <w:r w:rsidRPr="00151BD6">
        <w:rPr>
          <w:rFonts w:ascii="Book Antiqua" w:eastAsia="Book Antiqua" w:hAnsi="Book Antiqua" w:cs="Book Antiqua"/>
          <w:color w:val="000000"/>
          <w:shd w:val="clear" w:color="auto" w:fill="FFFFFF"/>
        </w:rPr>
        <w:t xml:space="preserve">. These data were confirmed in a retrospective group of LT recipients, confirming that pretreatment with antibiotics was associated with improved hepatocellular function and a decreased incidence of early allograft dysfunction. Further data are needed to </w:t>
      </w:r>
      <w:r w:rsidR="00593965">
        <w:rPr>
          <w:rFonts w:ascii="Book Antiqua" w:eastAsia="Book Antiqua" w:hAnsi="Book Antiqua" w:cs="Book Antiqua"/>
          <w:color w:val="000000"/>
          <w:shd w:val="clear" w:color="auto" w:fill="FFFFFF"/>
        </w:rPr>
        <w:t xml:space="preserve">confirm </w:t>
      </w:r>
      <w:r w:rsidRPr="00151BD6">
        <w:rPr>
          <w:rFonts w:ascii="Book Antiqua" w:eastAsia="Book Antiqua" w:hAnsi="Book Antiqua" w:cs="Book Antiqua"/>
          <w:color w:val="000000"/>
          <w:shd w:val="clear" w:color="auto" w:fill="FFFFFF"/>
        </w:rPr>
        <w:t xml:space="preserve">properly the effectiveness of antibiotic therapy in LT recipients, beyond its preventive role against SSI. </w:t>
      </w:r>
    </w:p>
    <w:p w14:paraId="0BDE660A" w14:textId="77777777" w:rsidR="00A77B3E" w:rsidRPr="00151BD6" w:rsidRDefault="00A77B3E" w:rsidP="00861CDC">
      <w:pPr>
        <w:spacing w:line="360" w:lineRule="auto"/>
        <w:jc w:val="both"/>
        <w:rPr>
          <w:rFonts w:ascii="Book Antiqua" w:hAnsi="Book Antiqua"/>
        </w:rPr>
      </w:pPr>
    </w:p>
    <w:p w14:paraId="6DFD3C3C" w14:textId="77777777" w:rsidR="00A77B3E" w:rsidRPr="00151BD6" w:rsidRDefault="00252B19" w:rsidP="00861CDC">
      <w:pPr>
        <w:spacing w:line="360" w:lineRule="auto"/>
        <w:jc w:val="both"/>
        <w:rPr>
          <w:rFonts w:ascii="Book Antiqua" w:eastAsia="Book Antiqua" w:hAnsi="Book Antiqua" w:cs="Book Antiqua"/>
          <w:b/>
          <w:caps/>
          <w:color w:val="000000"/>
          <w:u w:val="single"/>
        </w:rPr>
      </w:pPr>
      <w:r w:rsidRPr="00151BD6">
        <w:rPr>
          <w:rFonts w:ascii="Book Antiqua" w:eastAsia="Book Antiqua" w:hAnsi="Book Antiqua" w:cs="Book Antiqua"/>
          <w:b/>
          <w:caps/>
          <w:color w:val="000000"/>
          <w:u w:val="single"/>
        </w:rPr>
        <w:t>Special conditions</w:t>
      </w:r>
    </w:p>
    <w:p w14:paraId="26FCC940" w14:textId="77777777" w:rsidR="00A77B3E" w:rsidRPr="00151BD6" w:rsidRDefault="00252B19" w:rsidP="00861CDC">
      <w:pPr>
        <w:spacing w:line="360" w:lineRule="auto"/>
        <w:jc w:val="both"/>
        <w:rPr>
          <w:rFonts w:ascii="Book Antiqua" w:hAnsi="Book Antiqua"/>
          <w:i/>
        </w:rPr>
      </w:pPr>
      <w:r w:rsidRPr="00151BD6">
        <w:rPr>
          <w:rFonts w:ascii="Book Antiqua" w:eastAsia="Book Antiqua" w:hAnsi="Book Antiqua" w:cs="Book Antiqua"/>
          <w:b/>
          <w:bCs/>
          <w:i/>
          <w:color w:val="000000"/>
        </w:rPr>
        <w:t xml:space="preserve">Severe </w:t>
      </w:r>
      <w:r w:rsidR="00203BE2" w:rsidRPr="00151BD6">
        <w:rPr>
          <w:rFonts w:ascii="Book Antiqua" w:hAnsi="Book Antiqua" w:cs="Book Antiqua"/>
          <w:b/>
          <w:bCs/>
          <w:i/>
          <w:color w:val="000000"/>
          <w:lang w:eastAsia="zh-CN"/>
        </w:rPr>
        <w:t>a</w:t>
      </w:r>
      <w:r w:rsidRPr="00151BD6">
        <w:rPr>
          <w:rFonts w:ascii="Book Antiqua" w:eastAsia="Book Antiqua" w:hAnsi="Book Antiqua" w:cs="Book Antiqua"/>
          <w:b/>
          <w:bCs/>
          <w:i/>
          <w:color w:val="000000"/>
        </w:rPr>
        <w:t xml:space="preserve">lcoholic </w:t>
      </w:r>
      <w:r w:rsidR="00203BE2" w:rsidRPr="00151BD6">
        <w:rPr>
          <w:rFonts w:ascii="Book Antiqua" w:hAnsi="Book Antiqua" w:cs="Book Antiqua"/>
          <w:b/>
          <w:bCs/>
          <w:i/>
          <w:color w:val="000000"/>
          <w:lang w:eastAsia="zh-CN"/>
        </w:rPr>
        <w:t>h</w:t>
      </w:r>
      <w:r w:rsidRPr="00151BD6">
        <w:rPr>
          <w:rFonts w:ascii="Book Antiqua" w:eastAsia="Book Antiqua" w:hAnsi="Book Antiqua" w:cs="Book Antiqua"/>
          <w:b/>
          <w:bCs/>
          <w:i/>
          <w:color w:val="000000"/>
        </w:rPr>
        <w:t>epatitis</w:t>
      </w:r>
    </w:p>
    <w:p w14:paraId="4AC1750A" w14:textId="53F4633C" w:rsidR="00A77B3E" w:rsidRPr="00151BD6" w:rsidRDefault="00252B19" w:rsidP="00861CDC">
      <w:pPr>
        <w:spacing w:line="360" w:lineRule="auto"/>
        <w:jc w:val="both"/>
        <w:rPr>
          <w:rFonts w:ascii="Book Antiqua" w:hAnsi="Book Antiqua"/>
          <w:lang w:eastAsia="zh-CN"/>
        </w:rPr>
      </w:pPr>
      <w:r w:rsidRPr="00151BD6">
        <w:rPr>
          <w:rFonts w:ascii="Book Antiqua" w:eastAsia="Book Antiqua" w:hAnsi="Book Antiqua" w:cs="Book Antiqua"/>
          <w:color w:val="000000"/>
        </w:rPr>
        <w:t>Patients with severe alcoholic hepatitis (sAH) are prone to develop infection due to their severe state of immunosuppression</w:t>
      </w:r>
      <w:r w:rsidRPr="00151BD6">
        <w:rPr>
          <w:rFonts w:ascii="Book Antiqua" w:eastAsia="Book Antiqua" w:hAnsi="Book Antiqua" w:cs="Book Antiqua"/>
          <w:color w:val="000000"/>
          <w:vertAlign w:val="superscript"/>
        </w:rPr>
        <w:t>[78]</w:t>
      </w:r>
      <w:r w:rsidRPr="00151BD6">
        <w:rPr>
          <w:rFonts w:ascii="Book Antiqua" w:eastAsia="Book Antiqua" w:hAnsi="Book Antiqua" w:cs="Book Antiqua"/>
          <w:color w:val="000000"/>
        </w:rPr>
        <w:t>. BI account</w:t>
      </w:r>
      <w:r w:rsidR="00A54183">
        <w:rPr>
          <w:rFonts w:ascii="Book Antiqua" w:eastAsia="Book Antiqua" w:hAnsi="Book Antiqua" w:cs="Book Antiqua"/>
          <w:color w:val="000000"/>
        </w:rPr>
        <w:t>s</w:t>
      </w:r>
      <w:r w:rsidRPr="00151BD6">
        <w:rPr>
          <w:rFonts w:ascii="Book Antiqua" w:eastAsia="Book Antiqua" w:hAnsi="Book Antiqua" w:cs="Book Antiqua"/>
          <w:color w:val="000000"/>
        </w:rPr>
        <w:t xml:space="preserve"> for nearly 80% of overall invasive infections, although growing attention has been paid to fungal infection, </w:t>
      </w:r>
      <w:r w:rsidRPr="00151BD6">
        <w:rPr>
          <w:rFonts w:ascii="Book Antiqua" w:eastAsia="Book Antiqua" w:hAnsi="Book Antiqua" w:cs="Book Antiqua"/>
          <w:color w:val="000000"/>
          <w:shd w:val="clear" w:color="auto" w:fill="FFFFFF"/>
        </w:rPr>
        <w:t>especially Aspergillosis. The prevalence of BI at hospital admission and during hospitalization is up to 30% and 60%, respectively</w:t>
      </w:r>
      <w:r w:rsidRPr="00151BD6">
        <w:rPr>
          <w:rFonts w:ascii="Book Antiqua" w:eastAsia="Book Antiqua" w:hAnsi="Book Antiqua" w:cs="Book Antiqua"/>
          <w:color w:val="000000"/>
          <w:shd w:val="clear" w:color="auto" w:fill="FFFFFF"/>
          <w:vertAlign w:val="superscript"/>
        </w:rPr>
        <w:t>[79,80]</w:t>
      </w:r>
      <w:r w:rsidRPr="00151BD6">
        <w:rPr>
          <w:rFonts w:ascii="Book Antiqua" w:eastAsia="Book Antiqua" w:hAnsi="Book Antiqua" w:cs="Book Antiqua"/>
          <w:color w:val="000000"/>
          <w:shd w:val="clear" w:color="auto" w:fill="FFFFFF"/>
        </w:rPr>
        <w:t xml:space="preserve">. Urinary </w:t>
      </w:r>
      <w:r w:rsidRPr="00151BD6">
        <w:rPr>
          <w:rFonts w:ascii="Book Antiqua" w:eastAsia="Book Antiqua" w:hAnsi="Book Antiqua" w:cs="Book Antiqua"/>
          <w:color w:val="000000"/>
        </w:rPr>
        <w:t xml:space="preserve">tract and airways are the </w:t>
      </w:r>
      <w:r w:rsidR="00A54183">
        <w:rPr>
          <w:rFonts w:ascii="Book Antiqua" w:eastAsia="Book Antiqua" w:hAnsi="Book Antiqua" w:cs="Book Antiqua"/>
          <w:color w:val="000000"/>
        </w:rPr>
        <w:t xml:space="preserve">most </w:t>
      </w:r>
      <w:r w:rsidRPr="00151BD6">
        <w:rPr>
          <w:rFonts w:ascii="Book Antiqua" w:eastAsia="Book Antiqua" w:hAnsi="Book Antiqua" w:cs="Book Antiqua"/>
          <w:color w:val="000000"/>
        </w:rPr>
        <w:t>common infectious sites in such a cohort, the latter being highly prevalent after corticosteroid treatment, probably due to an increasing need for mechanical ventilation and intensive care management.</w:t>
      </w:r>
    </w:p>
    <w:p w14:paraId="7AB3E3D6" w14:textId="618FE21E" w:rsidR="00A77B3E" w:rsidRPr="00151BD6" w:rsidRDefault="00252B19" w:rsidP="00203BE2">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 xml:space="preserve">Corticosteroid therapy has been proven effective in improving short-term survival in sAH and currently represents the first-choice medical therapy. </w:t>
      </w:r>
    </w:p>
    <w:p w14:paraId="62387576" w14:textId="7011A7C1" w:rsidR="00A77B3E" w:rsidRPr="00151BD6" w:rsidRDefault="00252B19" w:rsidP="00203BE2">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Given the high prevalence of BI at baseline, and the theoretical immunosuppressive role of corticosteroids, several studies investigated whether they would increase infectious risk, and whether infection occurring during corticosteroid therapy would significantly impair survival</w:t>
      </w:r>
      <w:r w:rsidRPr="00151BD6">
        <w:rPr>
          <w:rFonts w:ascii="Book Antiqua" w:eastAsia="Book Antiqua" w:hAnsi="Book Antiqua" w:cs="Book Antiqua"/>
          <w:color w:val="000000"/>
          <w:vertAlign w:val="superscript"/>
        </w:rPr>
        <w:t>[81]</w:t>
      </w:r>
      <w:r w:rsidRPr="00151BD6">
        <w:rPr>
          <w:rFonts w:ascii="Book Antiqua" w:eastAsia="Book Antiqua" w:hAnsi="Book Antiqua" w:cs="Book Antiqua"/>
          <w:color w:val="000000"/>
        </w:rPr>
        <w:t>. A study on a large cohort of patients with sAH confirmed an increasing rate of BI during c</w:t>
      </w:r>
      <w:r w:rsidR="00203BE2" w:rsidRPr="00151BD6">
        <w:rPr>
          <w:rFonts w:ascii="Book Antiqua" w:eastAsia="Book Antiqua" w:hAnsi="Book Antiqua" w:cs="Book Antiqua"/>
          <w:color w:val="000000"/>
        </w:rPr>
        <w:t xml:space="preserve">orticosteroid treatment (23% </w:t>
      </w:r>
      <w:r w:rsidR="00203BE2" w:rsidRPr="00151BD6">
        <w:rPr>
          <w:rFonts w:ascii="Book Antiqua" w:eastAsia="Book Antiqua" w:hAnsi="Book Antiqua" w:cs="Book Antiqua"/>
          <w:i/>
          <w:color w:val="000000"/>
        </w:rPr>
        <w:t>vs</w:t>
      </w:r>
      <w:r w:rsidRPr="00151BD6">
        <w:rPr>
          <w:rFonts w:ascii="Book Antiqua" w:eastAsia="Book Antiqua" w:hAnsi="Book Antiqua" w:cs="Book Antiqua"/>
          <w:color w:val="000000"/>
        </w:rPr>
        <w:t xml:space="preserve"> 12% at baseline)</w:t>
      </w:r>
      <w:r w:rsidRPr="00151BD6">
        <w:rPr>
          <w:rFonts w:ascii="Book Antiqua" w:eastAsia="Book Antiqua" w:hAnsi="Book Antiqua" w:cs="Book Antiqua"/>
          <w:color w:val="000000"/>
          <w:vertAlign w:val="superscript"/>
        </w:rPr>
        <w:t>[82]</w:t>
      </w:r>
      <w:r w:rsidRPr="00151BD6">
        <w:rPr>
          <w:rFonts w:ascii="Book Antiqua" w:eastAsia="Book Antiqua" w:hAnsi="Book Antiqua" w:cs="Book Antiqua"/>
          <w:color w:val="000000"/>
        </w:rPr>
        <w:t>, but the actual role of corticosteroids was difficult to ascertain. Considering prognosis, a landmark study from France</w:t>
      </w:r>
      <w:r w:rsidRPr="00151BD6">
        <w:rPr>
          <w:rFonts w:ascii="Book Antiqua" w:eastAsia="Book Antiqua" w:hAnsi="Book Antiqua" w:cs="Book Antiqua"/>
          <w:color w:val="000000"/>
          <w:vertAlign w:val="superscript"/>
        </w:rPr>
        <w:t>[79]</w:t>
      </w:r>
      <w:r w:rsidRPr="00151BD6">
        <w:rPr>
          <w:rFonts w:ascii="Book Antiqua" w:eastAsia="Book Antiqua" w:hAnsi="Book Antiqua" w:cs="Book Antiqua"/>
          <w:color w:val="000000"/>
        </w:rPr>
        <w:t xml:space="preserve"> demonstrated that the probability of being infected after/during corticosteroids reduced the survival benefit given by medical therapy. A further meta</w:t>
      </w:r>
      <w:r w:rsidR="0061221F">
        <w:rPr>
          <w:rFonts w:ascii="Book Antiqua" w:eastAsia="Book Antiqua" w:hAnsi="Book Antiqua" w:cs="Book Antiqua"/>
          <w:color w:val="000000"/>
        </w:rPr>
        <w:t>-a</w:t>
      </w:r>
      <w:r w:rsidRPr="00151BD6">
        <w:rPr>
          <w:rFonts w:ascii="Book Antiqua" w:eastAsia="Book Antiqua" w:hAnsi="Book Antiqua" w:cs="Book Antiqua"/>
          <w:color w:val="000000"/>
        </w:rPr>
        <w:t>na</w:t>
      </w:r>
      <w:r w:rsidR="00203BE2" w:rsidRPr="00151BD6">
        <w:rPr>
          <w:rFonts w:ascii="Book Antiqua" w:eastAsia="Book Antiqua" w:hAnsi="Book Antiqua" w:cs="Book Antiqua"/>
          <w:color w:val="000000"/>
        </w:rPr>
        <w:t>lysis on 12 studies involving 1</w:t>
      </w:r>
      <w:r w:rsidRPr="00151BD6">
        <w:rPr>
          <w:rFonts w:ascii="Book Antiqua" w:eastAsia="Book Antiqua" w:hAnsi="Book Antiqua" w:cs="Book Antiqua"/>
          <w:color w:val="000000"/>
        </w:rPr>
        <w:t>062 patients did not show a higher short-term risk of death for infection in those receiving corticosteroids, when compared with those receiving a placebo</w:t>
      </w:r>
      <w:r w:rsidRPr="00151BD6">
        <w:rPr>
          <w:rFonts w:ascii="Book Antiqua" w:eastAsia="Book Antiqua" w:hAnsi="Book Antiqua" w:cs="Book Antiqua"/>
          <w:color w:val="000000"/>
          <w:vertAlign w:val="superscript"/>
        </w:rPr>
        <w:t>[83]</w:t>
      </w:r>
      <w:r w:rsidRPr="00151BD6">
        <w:rPr>
          <w:rFonts w:ascii="Book Antiqua" w:eastAsia="Book Antiqua" w:hAnsi="Book Antiqua" w:cs="Book Antiqua"/>
          <w:color w:val="000000"/>
        </w:rPr>
        <w:t xml:space="preserve">. </w:t>
      </w:r>
    </w:p>
    <w:p w14:paraId="2AFF1F4A" w14:textId="67E27343" w:rsidR="00A77B3E" w:rsidRPr="00151BD6" w:rsidRDefault="00252B19" w:rsidP="00203BE2">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 xml:space="preserve">That said, antibiotic prophylaxis has been proposed in such a setting. Vergis </w:t>
      </w:r>
      <w:r w:rsidRPr="00151BD6">
        <w:rPr>
          <w:rFonts w:ascii="Book Antiqua" w:eastAsia="Book Antiqua" w:hAnsi="Book Antiqua" w:cs="Book Antiqua"/>
          <w:i/>
          <w:iCs/>
          <w:color w:val="000000"/>
        </w:rPr>
        <w:t>et al</w:t>
      </w:r>
      <w:r w:rsidRPr="00151BD6">
        <w:rPr>
          <w:rFonts w:ascii="Book Antiqua" w:eastAsia="Book Antiqua" w:hAnsi="Book Antiqua" w:cs="Book Antiqua"/>
          <w:color w:val="000000"/>
          <w:vertAlign w:val="superscript"/>
        </w:rPr>
        <w:t>[82]</w:t>
      </w:r>
      <w:r w:rsidRPr="00151BD6">
        <w:rPr>
          <w:rFonts w:ascii="Book Antiqua" w:eastAsia="Book Antiqua" w:hAnsi="Book Antiqua" w:cs="Book Antiqua"/>
          <w:color w:val="000000"/>
        </w:rPr>
        <w:t xml:space="preserve"> demonstrated that an infection occurring prior to corticosteroid introduction has a more favorable course if the antibiotic is continued also during steroid therapy. Moreover, the use of prophylactic antibiotics (prescribed in 45% of cases) was associated with a lower risk of death than that in patients who did not receive prophylactic antibiotics (13% </w:t>
      </w:r>
      <w:r w:rsidRPr="00151BD6">
        <w:rPr>
          <w:rFonts w:ascii="Book Antiqua" w:eastAsia="Book Antiqua" w:hAnsi="Book Antiqua" w:cs="Book Antiqua"/>
          <w:i/>
          <w:color w:val="000000"/>
        </w:rPr>
        <w:t>vs</w:t>
      </w:r>
      <w:r w:rsidRPr="00151BD6">
        <w:rPr>
          <w:rFonts w:ascii="Book Antiqua" w:eastAsia="Book Antiqua" w:hAnsi="Book Antiqua" w:cs="Book Antiqua"/>
          <w:color w:val="000000"/>
        </w:rPr>
        <w:t xml:space="preserve"> 52%)</w:t>
      </w:r>
      <w:r w:rsidRPr="00151BD6">
        <w:rPr>
          <w:rFonts w:ascii="Book Antiqua" w:eastAsia="Book Antiqua" w:hAnsi="Book Antiqua" w:cs="Book Antiqua"/>
          <w:color w:val="000000"/>
          <w:vertAlign w:val="superscript"/>
        </w:rPr>
        <w:t>[82]</w:t>
      </w:r>
      <w:r w:rsidRPr="00151BD6">
        <w:rPr>
          <w:rFonts w:ascii="Book Antiqua" w:eastAsia="Book Antiqua" w:hAnsi="Book Antiqua" w:cs="Book Antiqua"/>
          <w:color w:val="000000"/>
        </w:rPr>
        <w:t>. Summarizing the available data, infection is highly prevalent in patients with sAH, both in those receiving steroids and not. The impact of steroids as a potential risk factor for infection is currently debated and not supported by robust data. An ongoing clinical trial (</w:t>
      </w:r>
      <w:r w:rsidRPr="00151BD6">
        <w:rPr>
          <w:rFonts w:ascii="Book Antiqua" w:eastAsia="Book Antiqua" w:hAnsi="Book Antiqua" w:cs="Book Antiqua"/>
          <w:color w:val="000000"/>
          <w:shd w:val="clear" w:color="auto" w:fill="FFFFFF"/>
        </w:rPr>
        <w:t xml:space="preserve">NCT02281929) assessing the prophylactic role of amoxicillin-clavulanic acid will probably clarify this point. </w:t>
      </w:r>
    </w:p>
    <w:p w14:paraId="1860112F" w14:textId="77777777" w:rsidR="00A77B3E" w:rsidRPr="00151BD6" w:rsidRDefault="00A77B3E" w:rsidP="00861CDC">
      <w:pPr>
        <w:spacing w:line="360" w:lineRule="auto"/>
        <w:jc w:val="both"/>
        <w:rPr>
          <w:rFonts w:ascii="Book Antiqua" w:hAnsi="Book Antiqua"/>
        </w:rPr>
      </w:pPr>
    </w:p>
    <w:p w14:paraId="387FED80" w14:textId="77777777" w:rsidR="00A77B3E" w:rsidRPr="00151BD6" w:rsidRDefault="00252B19" w:rsidP="00861CDC">
      <w:pPr>
        <w:spacing w:line="360" w:lineRule="auto"/>
        <w:jc w:val="both"/>
        <w:rPr>
          <w:rFonts w:ascii="Book Antiqua" w:hAnsi="Book Antiqua"/>
          <w:u w:val="single"/>
        </w:rPr>
      </w:pPr>
      <w:r w:rsidRPr="00151BD6">
        <w:rPr>
          <w:rFonts w:ascii="Book Antiqua" w:eastAsia="Book Antiqua" w:hAnsi="Book Antiqua" w:cs="Book Antiqua"/>
          <w:b/>
          <w:bCs/>
          <w:color w:val="000000"/>
          <w:u w:val="single"/>
        </w:rPr>
        <w:t>ALF</w:t>
      </w:r>
    </w:p>
    <w:p w14:paraId="1EC70E89" w14:textId="3912F024"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In a similar fashion to sAH and acute-on-chronic liver failure, ALF is characterized by a severe state of immunosuppression. Moreover, the rapidly evolving scenario of ALF, including the changing neurological status</w:t>
      </w:r>
      <w:r w:rsidR="003C0DE3">
        <w:rPr>
          <w:rFonts w:ascii="Book Antiqua" w:eastAsia="Book Antiqua" w:hAnsi="Book Antiqua" w:cs="Book Antiqua"/>
          <w:color w:val="000000"/>
        </w:rPr>
        <w:t xml:space="preserve"> and</w:t>
      </w:r>
      <w:r w:rsidRPr="00151BD6">
        <w:rPr>
          <w:rFonts w:ascii="Book Antiqua" w:eastAsia="Book Antiqua" w:hAnsi="Book Antiqua" w:cs="Book Antiqua"/>
          <w:color w:val="000000"/>
        </w:rPr>
        <w:t xml:space="preserve"> need for circulatory support and mechanical ventilation, makes diagnosis of </w:t>
      </w:r>
      <w:r w:rsidR="004A0B27" w:rsidRPr="00151BD6">
        <w:rPr>
          <w:rFonts w:ascii="Book Antiqua" w:eastAsia="Book Antiqua" w:hAnsi="Book Antiqua" w:cs="Book Antiqua"/>
          <w:color w:val="000000"/>
        </w:rPr>
        <w:t>BI</w:t>
      </w:r>
      <w:r w:rsidRPr="00151BD6">
        <w:rPr>
          <w:rFonts w:ascii="Book Antiqua" w:eastAsia="Book Antiqua" w:hAnsi="Book Antiqua" w:cs="Book Antiqua"/>
          <w:color w:val="000000"/>
        </w:rPr>
        <w:t xml:space="preserve"> even more difficult. The prevalence of BI is nearly 30</w:t>
      </w:r>
      <w:r w:rsidR="00203BE2" w:rsidRPr="00151BD6">
        <w:rPr>
          <w:rFonts w:ascii="Book Antiqua" w:eastAsia="Book Antiqua" w:hAnsi="Book Antiqua" w:cs="Book Antiqua"/>
          <w:color w:val="000000"/>
        </w:rPr>
        <w:t>%</w:t>
      </w:r>
      <w:r w:rsidRPr="00151BD6">
        <w:rPr>
          <w:rFonts w:ascii="Book Antiqua" w:eastAsia="Book Antiqua" w:hAnsi="Book Antiqua" w:cs="Book Antiqua"/>
          <w:color w:val="000000"/>
        </w:rPr>
        <w:t>-34%, according to recent studies</w:t>
      </w:r>
      <w:r w:rsidR="00203BE2" w:rsidRPr="00151BD6">
        <w:rPr>
          <w:rFonts w:ascii="Book Antiqua" w:eastAsia="Book Antiqua" w:hAnsi="Book Antiqua" w:cs="Book Antiqua"/>
          <w:color w:val="000000"/>
          <w:vertAlign w:val="superscript"/>
        </w:rPr>
        <w:t>[84,</w:t>
      </w:r>
      <w:r w:rsidRPr="00151BD6">
        <w:rPr>
          <w:rFonts w:ascii="Book Antiqua" w:eastAsia="Book Antiqua" w:hAnsi="Book Antiqua" w:cs="Book Antiqua"/>
          <w:color w:val="000000"/>
          <w:vertAlign w:val="superscript"/>
        </w:rPr>
        <w:t>85]</w:t>
      </w:r>
      <w:r w:rsidRPr="00151BD6">
        <w:rPr>
          <w:rFonts w:ascii="Book Antiqua" w:eastAsia="Book Antiqua" w:hAnsi="Book Antiqua" w:cs="Book Antiqua"/>
          <w:color w:val="000000"/>
        </w:rPr>
        <w:t>. Severity of the underlying condition and presence of cerebral edema seem to be associated with infection development. Occurrence of infection is obviously associated with worse outcome in ALF, since it may further derange hepatic and extra-hepatic organ(s) failure and may delay or contra-indicate LT. Recently, a retrospective analysis of a large U</w:t>
      </w:r>
      <w:r w:rsidR="00203BE2" w:rsidRPr="00151BD6">
        <w:rPr>
          <w:rFonts w:ascii="Book Antiqua" w:hAnsi="Book Antiqua" w:cs="Book Antiqua"/>
          <w:color w:val="000000"/>
          <w:lang w:eastAsia="zh-CN"/>
        </w:rPr>
        <w:t xml:space="preserve">nited </w:t>
      </w:r>
      <w:r w:rsidRPr="00151BD6">
        <w:rPr>
          <w:rFonts w:ascii="Book Antiqua" w:eastAsia="Book Antiqua" w:hAnsi="Book Antiqua" w:cs="Book Antiqua"/>
          <w:color w:val="000000"/>
        </w:rPr>
        <w:t>S</w:t>
      </w:r>
      <w:r w:rsidR="00203BE2" w:rsidRPr="00151BD6">
        <w:rPr>
          <w:rFonts w:ascii="Book Antiqua" w:hAnsi="Book Antiqua" w:cs="Book Antiqua"/>
          <w:color w:val="000000"/>
          <w:lang w:eastAsia="zh-CN"/>
        </w:rPr>
        <w:t>tates</w:t>
      </w:r>
      <w:r w:rsidRPr="00151BD6">
        <w:rPr>
          <w:rFonts w:ascii="Book Antiqua" w:eastAsia="Book Antiqua" w:hAnsi="Book Antiqua" w:cs="Book Antiqua"/>
          <w:color w:val="000000"/>
        </w:rPr>
        <w:t xml:space="preserve"> cohort by Karvellas </w:t>
      </w:r>
      <w:r w:rsidRPr="00151BD6">
        <w:rPr>
          <w:rFonts w:ascii="Book Antiqua" w:eastAsia="Book Antiqua" w:hAnsi="Book Antiqua" w:cs="Book Antiqua"/>
          <w:i/>
          <w:iCs/>
          <w:color w:val="000000"/>
        </w:rPr>
        <w:t>et al</w:t>
      </w:r>
      <w:r w:rsidRPr="00151BD6">
        <w:rPr>
          <w:rFonts w:ascii="Book Antiqua" w:eastAsia="Book Antiqua" w:hAnsi="Book Antiqua" w:cs="Book Antiqua"/>
          <w:color w:val="000000"/>
          <w:vertAlign w:val="superscript"/>
        </w:rPr>
        <w:t>[86]</w:t>
      </w:r>
      <w:r w:rsidRPr="00151BD6">
        <w:rPr>
          <w:rFonts w:ascii="Book Antiqua" w:eastAsia="Book Antiqua" w:hAnsi="Book Antiqua" w:cs="Book Antiqua"/>
          <w:color w:val="000000"/>
        </w:rPr>
        <w:t xml:space="preserve"> did not show any significant improvement with administration of antibiotic prophylaxis in 600 patients with ALF, if compared with the 951 patients who did not receive antibiotics. Indeed, there was no significant difference in the probability of having bloodstream infection based on receiving prophylaxis (12.8%) or not (15.7% </w:t>
      </w:r>
      <w:r w:rsidRPr="00151BD6">
        <w:rPr>
          <w:rFonts w:ascii="Book Antiqua" w:eastAsia="Book Antiqua" w:hAnsi="Book Antiqua" w:cs="Book Antiqua"/>
          <w:i/>
          <w:iCs/>
          <w:color w:val="000000"/>
        </w:rPr>
        <w:t>P</w:t>
      </w:r>
      <w:r w:rsidRPr="00151BD6">
        <w:rPr>
          <w:rFonts w:ascii="Book Antiqua" w:eastAsia="Book Antiqua" w:hAnsi="Book Antiqua" w:cs="Book Antiqua"/>
          <w:color w:val="000000"/>
        </w:rPr>
        <w:t xml:space="preserve"> = 0.12). Notably, the timing of prophylaxis was not homogeneous, nor were the clinical characteristics between cohorts, such as type of prophylaxis (47% extended spectrum beta-lactam, 39% vancomycin, 27% fluoroquinolones, and 20% </w:t>
      </w:r>
      <w:r w:rsidR="003C0DE3">
        <w:rPr>
          <w:rFonts w:ascii="Book Antiqua" w:eastAsia="Book Antiqua" w:hAnsi="Book Antiqua" w:cs="Book Antiqua"/>
          <w:color w:val="000000"/>
        </w:rPr>
        <w:t>third and fourth</w:t>
      </w:r>
      <w:r w:rsidRPr="00151BD6">
        <w:rPr>
          <w:rFonts w:ascii="Book Antiqua" w:eastAsia="Book Antiqua" w:hAnsi="Book Antiqua" w:cs="Book Antiqua"/>
          <w:color w:val="000000"/>
        </w:rPr>
        <w:t xml:space="preserve"> generation cephalosporins). Other strategies, such as selective bowel decontamination, did not show any significant benefit either</w:t>
      </w:r>
      <w:r w:rsidRPr="00151BD6">
        <w:rPr>
          <w:rFonts w:ascii="Book Antiqua" w:eastAsia="Book Antiqua" w:hAnsi="Book Antiqua" w:cs="Book Antiqua"/>
          <w:color w:val="000000"/>
          <w:vertAlign w:val="superscript"/>
        </w:rPr>
        <w:t>[87]</w:t>
      </w:r>
      <w:r w:rsidRPr="00151BD6">
        <w:rPr>
          <w:rFonts w:ascii="Book Antiqua" w:eastAsia="Book Antiqua" w:hAnsi="Book Antiqua" w:cs="Book Antiqua"/>
          <w:color w:val="000000"/>
        </w:rPr>
        <w:t xml:space="preserve">. In summary, current </w:t>
      </w:r>
      <w:r w:rsidR="008D23A6" w:rsidRPr="00151BD6">
        <w:rPr>
          <w:rFonts w:ascii="Book Antiqua" w:hAnsi="Book Antiqua" w:cs="Book Antiqua"/>
          <w:color w:val="000000"/>
          <w:lang w:eastAsia="zh-CN"/>
        </w:rPr>
        <w:t>g</w:t>
      </w:r>
      <w:r w:rsidRPr="00151BD6">
        <w:rPr>
          <w:rFonts w:ascii="Book Antiqua" w:eastAsia="Book Antiqua" w:hAnsi="Book Antiqua" w:cs="Book Antiqua"/>
          <w:color w:val="000000"/>
        </w:rPr>
        <w:t>uidelines say that, even the routine use of prophylactic antibiotics does not increase survival in such patients, a strict surveillance for infection should be provided in order to start antibiotic therapy as early as possible</w:t>
      </w:r>
      <w:r w:rsidR="00203BE2" w:rsidRPr="00151BD6">
        <w:rPr>
          <w:rFonts w:ascii="Book Antiqua" w:eastAsia="Book Antiqua" w:hAnsi="Book Antiqua" w:cs="Book Antiqua"/>
          <w:color w:val="000000"/>
          <w:vertAlign w:val="superscript"/>
        </w:rPr>
        <w:t>[88,</w:t>
      </w:r>
      <w:r w:rsidRPr="00151BD6">
        <w:rPr>
          <w:rFonts w:ascii="Book Antiqua" w:eastAsia="Book Antiqua" w:hAnsi="Book Antiqua" w:cs="Book Antiqua"/>
          <w:color w:val="000000"/>
          <w:vertAlign w:val="superscript"/>
        </w:rPr>
        <w:t>89]</w:t>
      </w:r>
      <w:r w:rsidRPr="00151BD6">
        <w:rPr>
          <w:rFonts w:ascii="Book Antiqua" w:eastAsia="Book Antiqua" w:hAnsi="Book Antiqua" w:cs="Book Antiqua"/>
          <w:color w:val="000000"/>
        </w:rPr>
        <w:t>. Prophylaxis should be considered in cases where illness progression is considered likely, as in those with worsening encephalopathy, signs of systemic inflammation, or awaiting LT</w:t>
      </w:r>
      <w:r w:rsidR="00203BE2" w:rsidRPr="00151BD6">
        <w:rPr>
          <w:rFonts w:ascii="Book Antiqua" w:eastAsia="Book Antiqua" w:hAnsi="Book Antiqua" w:cs="Book Antiqua"/>
          <w:color w:val="000000"/>
          <w:vertAlign w:val="superscript"/>
        </w:rPr>
        <w:t>[90,</w:t>
      </w:r>
      <w:r w:rsidRPr="00151BD6">
        <w:rPr>
          <w:rFonts w:ascii="Book Antiqua" w:eastAsia="Book Antiqua" w:hAnsi="Book Antiqua" w:cs="Book Antiqua"/>
          <w:color w:val="000000"/>
          <w:vertAlign w:val="superscript"/>
        </w:rPr>
        <w:t>91]</w:t>
      </w:r>
      <w:r w:rsidRPr="00151BD6">
        <w:rPr>
          <w:rFonts w:ascii="Book Antiqua" w:eastAsia="Book Antiqua" w:hAnsi="Book Antiqua" w:cs="Book Antiqua"/>
          <w:color w:val="000000"/>
        </w:rPr>
        <w:t>. The choice of antibiotic class is even more debated, probably due to heterogeneous epidemiology across studies and the relevant number of culture-negative infections. That said, the high prevalence of pneumonia</w:t>
      </w:r>
      <w:r w:rsidRPr="00151BD6">
        <w:rPr>
          <w:rFonts w:ascii="Book Antiqua" w:eastAsia="Book Antiqua" w:hAnsi="Book Antiqua" w:cs="Book Antiqua"/>
          <w:color w:val="000000"/>
          <w:vertAlign w:val="superscript"/>
        </w:rPr>
        <w:t>[87]</w:t>
      </w:r>
      <w:r w:rsidRPr="00151BD6">
        <w:rPr>
          <w:rFonts w:ascii="Book Antiqua" w:eastAsia="Book Antiqua" w:hAnsi="Book Antiqua" w:cs="Book Antiqua"/>
          <w:color w:val="000000"/>
        </w:rPr>
        <w:t xml:space="preserve">, as well as the presence of indwelling catheters and invasive procedures should be taken into account. </w:t>
      </w:r>
    </w:p>
    <w:p w14:paraId="558558BD" w14:textId="77777777" w:rsidR="00A77B3E" w:rsidRPr="00151BD6" w:rsidRDefault="00A77B3E" w:rsidP="00861CDC">
      <w:pPr>
        <w:spacing w:line="360" w:lineRule="auto"/>
        <w:jc w:val="both"/>
        <w:rPr>
          <w:rFonts w:ascii="Book Antiqua" w:hAnsi="Book Antiqua"/>
        </w:rPr>
      </w:pPr>
    </w:p>
    <w:p w14:paraId="77AA229F"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aps/>
          <w:color w:val="000000"/>
          <w:u w:val="single"/>
        </w:rPr>
        <w:t>CONCLUSION</w:t>
      </w:r>
    </w:p>
    <w:p w14:paraId="54FF3767" w14:textId="648EB9AA" w:rsidR="00A77B3E" w:rsidRPr="00151BD6" w:rsidRDefault="004A0B27" w:rsidP="00861CDC">
      <w:pPr>
        <w:spacing w:line="360" w:lineRule="auto"/>
        <w:jc w:val="both"/>
        <w:rPr>
          <w:rFonts w:ascii="Book Antiqua" w:hAnsi="Book Antiqua"/>
        </w:rPr>
      </w:pPr>
      <w:r w:rsidRPr="00151BD6">
        <w:rPr>
          <w:rFonts w:ascii="Book Antiqua" w:eastAsia="Book Antiqua" w:hAnsi="Book Antiqua" w:cs="Book Antiqua"/>
          <w:color w:val="000000"/>
        </w:rPr>
        <w:t>BI</w:t>
      </w:r>
      <w:r w:rsidR="00252B19" w:rsidRPr="00151BD6">
        <w:rPr>
          <w:rFonts w:ascii="Book Antiqua" w:eastAsia="Book Antiqua" w:hAnsi="Book Antiqua" w:cs="Book Antiqua"/>
          <w:color w:val="000000"/>
        </w:rPr>
        <w:t xml:space="preserve"> represents a common complication in patients with cirrhosis due to disease-related immune dysfunction. In this setting, antibiotic prophylaxis plays a major role, especially in high-risk patients. Type and length of prophylaxis are supported by low quality data in several fields of hepatology and </w:t>
      </w:r>
      <w:r w:rsidRPr="00151BD6">
        <w:rPr>
          <w:rFonts w:ascii="Book Antiqua" w:eastAsia="Book Antiqua" w:hAnsi="Book Antiqua" w:cs="Book Antiqua"/>
          <w:color w:val="000000"/>
        </w:rPr>
        <w:t>LT</w:t>
      </w:r>
      <w:r w:rsidR="00252B19" w:rsidRPr="00151BD6">
        <w:rPr>
          <w:rFonts w:ascii="Book Antiqua" w:eastAsia="Book Antiqua" w:hAnsi="Book Antiqua" w:cs="Book Antiqua"/>
          <w:color w:val="000000"/>
        </w:rPr>
        <w:t xml:space="preserve"> (Table 1) and are currently heterogeneously adopted across </w:t>
      </w:r>
      <w:r w:rsidR="003C0DE3">
        <w:rPr>
          <w:rFonts w:ascii="Book Antiqua" w:eastAsia="Book Antiqua" w:hAnsi="Book Antiqua" w:cs="Book Antiqua"/>
          <w:color w:val="000000"/>
        </w:rPr>
        <w:t>c</w:t>
      </w:r>
      <w:r w:rsidR="00252B19" w:rsidRPr="00151BD6">
        <w:rPr>
          <w:rFonts w:ascii="Book Antiqua" w:eastAsia="Book Antiqua" w:hAnsi="Book Antiqua" w:cs="Book Antiqua"/>
          <w:color w:val="000000"/>
        </w:rPr>
        <w:t>enters. Since unnecessary prophylaxis or prolonged schedules may increase the risk of anaphylaxis and development of MDR rods, a wise adherence to current recommendations and a rigorous application of antibiotic stewardship are of utmost importance. Other important remarks should be offered to the reader. First, this paper does not include prophylaxis against invasive fungal infection, which is another serious complication in cirrhosis, having an increasing prevalence and a dreadful outcome</w:t>
      </w:r>
      <w:r w:rsidR="00252B19" w:rsidRPr="00151BD6">
        <w:rPr>
          <w:rFonts w:ascii="Book Antiqua" w:eastAsia="Book Antiqua" w:hAnsi="Book Antiqua" w:cs="Book Antiqua"/>
          <w:color w:val="000000"/>
          <w:vertAlign w:val="superscript"/>
        </w:rPr>
        <w:t>[92]</w:t>
      </w:r>
      <w:r w:rsidR="00252B19" w:rsidRPr="00151BD6">
        <w:rPr>
          <w:rFonts w:ascii="Book Antiqua" w:eastAsia="Book Antiqua" w:hAnsi="Book Antiqua" w:cs="Book Antiqua"/>
          <w:color w:val="000000"/>
        </w:rPr>
        <w:t>. Second, although we have focused on systemic antibiotic prophylaxis, growing evidence on non-antibiotic prophylaxis against BI in cirrhosis has to be mentioned. The role of rifaximin, a nonabsorbable antibiotic, has been largely demonstrated for patients with prior episodes of hepatic encephalopathy. Other emerging selective gut decontamination modalities, including prebiotics and probiotics, and fecal microbiota transplant are in the pipeline</w:t>
      </w:r>
      <w:r w:rsidR="00252B19" w:rsidRPr="00151BD6">
        <w:rPr>
          <w:rFonts w:ascii="Book Antiqua" w:eastAsia="Book Antiqua" w:hAnsi="Book Antiqua" w:cs="Book Antiqua"/>
          <w:color w:val="000000"/>
          <w:vertAlign w:val="superscript"/>
        </w:rPr>
        <w:t>[93]</w:t>
      </w:r>
      <w:r w:rsidR="00252B19" w:rsidRPr="00151BD6">
        <w:rPr>
          <w:rFonts w:ascii="Book Antiqua" w:eastAsia="Book Antiqua" w:hAnsi="Book Antiqua" w:cs="Book Antiqua"/>
          <w:color w:val="000000"/>
        </w:rPr>
        <w:t xml:space="preserve">. Future studies are therefore warranted to investigate whether these modifications to gut microbiota will reduce the occurrence of BI (especially SBP), </w:t>
      </w:r>
      <w:r w:rsidR="0098121B" w:rsidRPr="00151BD6">
        <w:rPr>
          <w:rFonts w:ascii="Book Antiqua" w:hAnsi="Book Antiqua" w:cs="Book Antiqua"/>
          <w:color w:val="000000"/>
          <w:lang w:eastAsia="zh-CN"/>
        </w:rPr>
        <w:t>a</w:t>
      </w:r>
      <w:r w:rsidR="00252B19" w:rsidRPr="00151BD6">
        <w:rPr>
          <w:rFonts w:ascii="Book Antiqua" w:eastAsia="Book Antiqua" w:hAnsi="Book Antiqua" w:cs="Book Antiqua"/>
          <w:color w:val="000000"/>
        </w:rPr>
        <w:t>cting as prophylactic strategies. Moreover, the preventive role of non-selective beta blockers and albumin has to be robustly confirmed, according to underlying liver function and setting</w:t>
      </w:r>
      <w:r w:rsidR="00203BE2" w:rsidRPr="00151BD6">
        <w:rPr>
          <w:rFonts w:ascii="Book Antiqua" w:eastAsia="Book Antiqua" w:hAnsi="Book Antiqua" w:cs="Book Antiqua"/>
          <w:color w:val="000000"/>
          <w:vertAlign w:val="superscript"/>
        </w:rPr>
        <w:t>[94,</w:t>
      </w:r>
      <w:r w:rsidR="00252B19" w:rsidRPr="00151BD6">
        <w:rPr>
          <w:rFonts w:ascii="Book Antiqua" w:eastAsia="Book Antiqua" w:hAnsi="Book Antiqua" w:cs="Book Antiqua"/>
          <w:color w:val="000000"/>
          <w:vertAlign w:val="superscript"/>
        </w:rPr>
        <w:t>95]</w:t>
      </w:r>
      <w:r w:rsidR="00252B19" w:rsidRPr="00151BD6">
        <w:rPr>
          <w:rFonts w:ascii="Book Antiqua" w:eastAsia="Book Antiqua" w:hAnsi="Book Antiqua" w:cs="Book Antiqua"/>
          <w:color w:val="000000"/>
        </w:rPr>
        <w:t xml:space="preserve">. </w:t>
      </w:r>
    </w:p>
    <w:p w14:paraId="5DFD5E2E" w14:textId="5275981B" w:rsidR="00A77B3E" w:rsidRPr="00151BD6" w:rsidRDefault="00252B19" w:rsidP="00203BE2">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Finally, we strongly encourage an updated review of local bacterial epidemiology in clinical practice, and a strong liaison with infectious disease specialists, pharmacologists, microbiologists</w:t>
      </w:r>
      <w:r w:rsidR="003C0DE3">
        <w:rPr>
          <w:rFonts w:ascii="Book Antiqua" w:eastAsia="Book Antiqua" w:hAnsi="Book Antiqua" w:cs="Book Antiqua"/>
          <w:color w:val="000000"/>
        </w:rPr>
        <w:t>,</w:t>
      </w:r>
      <w:r w:rsidRPr="00151BD6">
        <w:rPr>
          <w:rFonts w:ascii="Book Antiqua" w:eastAsia="Book Antiqua" w:hAnsi="Book Antiqua" w:cs="Book Antiqua"/>
          <w:color w:val="000000"/>
        </w:rPr>
        <w:t xml:space="preserve"> and epidemiologists, in order to use tailored prophylaxis regime</w:t>
      </w:r>
      <w:r w:rsidR="00BE4325">
        <w:rPr>
          <w:rFonts w:ascii="Book Antiqua" w:eastAsia="Book Antiqua" w:hAnsi="Book Antiqua" w:cs="Book Antiqua"/>
          <w:color w:val="000000"/>
        </w:rPr>
        <w:t>n</w:t>
      </w:r>
      <w:r w:rsidRPr="00151BD6">
        <w:rPr>
          <w:rFonts w:ascii="Book Antiqua" w:eastAsia="Book Antiqua" w:hAnsi="Book Antiqua" w:cs="Book Antiqua"/>
          <w:color w:val="000000"/>
        </w:rPr>
        <w:t xml:space="preserve">s, because </w:t>
      </w:r>
      <w:r w:rsidR="00BE4325">
        <w:rPr>
          <w:rFonts w:ascii="Book Antiqua" w:eastAsia="Book Antiqua" w:hAnsi="Book Antiqua" w:cs="Book Antiqua"/>
          <w:color w:val="000000"/>
        </w:rPr>
        <w:t>the</w:t>
      </w:r>
      <w:r w:rsidRPr="00151BD6">
        <w:rPr>
          <w:rFonts w:ascii="Book Antiqua" w:eastAsia="Book Antiqua" w:hAnsi="Book Antiqua" w:cs="Book Antiqua"/>
          <w:color w:val="000000"/>
        </w:rPr>
        <w:t xml:space="preserve"> right prevention works better than a cure.</w:t>
      </w:r>
    </w:p>
    <w:p w14:paraId="5C12FCE6" w14:textId="77777777" w:rsidR="00A77B3E" w:rsidRPr="00151BD6" w:rsidRDefault="00A77B3E" w:rsidP="00861CDC">
      <w:pPr>
        <w:spacing w:line="360" w:lineRule="auto"/>
        <w:jc w:val="both"/>
        <w:rPr>
          <w:rFonts w:ascii="Book Antiqua" w:hAnsi="Book Antiqua"/>
        </w:rPr>
      </w:pPr>
    </w:p>
    <w:p w14:paraId="5F7CFCDD"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REFERENCES</w:t>
      </w:r>
    </w:p>
    <w:p w14:paraId="58FD870C" w14:textId="77777777" w:rsidR="00861CDC" w:rsidRPr="00151BD6" w:rsidRDefault="00861CDC" w:rsidP="00861CDC">
      <w:pPr>
        <w:spacing w:line="360" w:lineRule="auto"/>
        <w:jc w:val="both"/>
        <w:rPr>
          <w:rFonts w:ascii="Book Antiqua" w:hAnsi="Book Antiqua"/>
        </w:rPr>
      </w:pPr>
      <w:bookmarkStart w:id="4" w:name="OLE_LINK11"/>
      <w:r w:rsidRPr="00151BD6">
        <w:rPr>
          <w:rFonts w:ascii="Book Antiqua" w:hAnsi="Book Antiqua"/>
        </w:rPr>
        <w:t xml:space="preserve">1 </w:t>
      </w:r>
      <w:r w:rsidRPr="00151BD6">
        <w:rPr>
          <w:rFonts w:ascii="Book Antiqua" w:hAnsi="Book Antiqua"/>
          <w:b/>
          <w:bCs/>
        </w:rPr>
        <w:t>Bernardi M</w:t>
      </w:r>
      <w:r w:rsidRPr="00151BD6">
        <w:rPr>
          <w:rFonts w:ascii="Book Antiqua" w:hAnsi="Book Antiqua"/>
        </w:rPr>
        <w:t xml:space="preserve">, Moreau R, Angeli P, Schnabl B, Arroyo V. Mechanisms of decompensation and organ failure in cirrhosis: From peripheral arterial vasodilation to systemic inflammation hypothesis. </w:t>
      </w:r>
      <w:r w:rsidRPr="00151BD6">
        <w:rPr>
          <w:rFonts w:ascii="Book Antiqua" w:hAnsi="Book Antiqua"/>
          <w:i/>
          <w:iCs/>
        </w:rPr>
        <w:t>J Hepatol</w:t>
      </w:r>
      <w:r w:rsidRPr="00151BD6">
        <w:rPr>
          <w:rFonts w:ascii="Book Antiqua" w:hAnsi="Book Antiqua"/>
        </w:rPr>
        <w:t xml:space="preserve"> 2015; </w:t>
      </w:r>
      <w:r w:rsidRPr="00151BD6">
        <w:rPr>
          <w:rFonts w:ascii="Book Antiqua" w:hAnsi="Book Antiqua"/>
          <w:b/>
          <w:bCs/>
        </w:rPr>
        <w:t>63</w:t>
      </w:r>
      <w:r w:rsidRPr="00151BD6">
        <w:rPr>
          <w:rFonts w:ascii="Book Antiqua" w:hAnsi="Book Antiqua"/>
        </w:rPr>
        <w:t>: 1272-1284 [PMID: 26192220 DOI: 10.1016/j.jhep.2015.07.004]</w:t>
      </w:r>
    </w:p>
    <w:p w14:paraId="1132AC42"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 </w:t>
      </w:r>
      <w:r w:rsidRPr="00151BD6">
        <w:rPr>
          <w:rFonts w:ascii="Book Antiqua" w:hAnsi="Book Antiqua"/>
          <w:b/>
          <w:bCs/>
        </w:rPr>
        <w:t>Albillos A</w:t>
      </w:r>
      <w:r w:rsidRPr="00151BD6">
        <w:rPr>
          <w:rFonts w:ascii="Book Antiqua" w:hAnsi="Book Antiqua"/>
        </w:rPr>
        <w:t xml:space="preserve">, Lario M, Álvarez-Mon M. Cirrhosis-associated immune dysfunction: distinctive features and clinical relevance. </w:t>
      </w:r>
      <w:r w:rsidRPr="00151BD6">
        <w:rPr>
          <w:rFonts w:ascii="Book Antiqua" w:hAnsi="Book Antiqua"/>
          <w:i/>
          <w:iCs/>
        </w:rPr>
        <w:t>J Hepatol</w:t>
      </w:r>
      <w:r w:rsidRPr="00151BD6">
        <w:rPr>
          <w:rFonts w:ascii="Book Antiqua" w:hAnsi="Book Antiqua"/>
        </w:rPr>
        <w:t xml:space="preserve"> 2014; </w:t>
      </w:r>
      <w:r w:rsidRPr="00151BD6">
        <w:rPr>
          <w:rFonts w:ascii="Book Antiqua" w:hAnsi="Book Antiqua"/>
          <w:b/>
          <w:bCs/>
        </w:rPr>
        <w:t>61</w:t>
      </w:r>
      <w:r w:rsidRPr="00151BD6">
        <w:rPr>
          <w:rFonts w:ascii="Book Antiqua" w:hAnsi="Book Antiqua"/>
        </w:rPr>
        <w:t>: 1385-1396 [PMID: 25135860 DOI: 10.1016/j.jhep.2014.08.010]</w:t>
      </w:r>
    </w:p>
    <w:p w14:paraId="60070BBC"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 </w:t>
      </w:r>
      <w:r w:rsidRPr="00151BD6">
        <w:rPr>
          <w:rFonts w:ascii="Book Antiqua" w:hAnsi="Book Antiqua"/>
          <w:b/>
          <w:bCs/>
        </w:rPr>
        <w:t>Fernández J</w:t>
      </w:r>
      <w:r w:rsidRPr="00151BD6">
        <w:rPr>
          <w:rFonts w:ascii="Book Antiqua" w:hAnsi="Book Antiqua"/>
        </w:rPr>
        <w:t xml:space="preserve">, Acevedo J, Wiest R, Gustot T, Amoros A, Deulofeu C, Reverter E, Martínez J, Saliba F, Jalan R, Welzel T, Pavesi M, Hernández-Tejero M, Ginès P, Arroyo V; European Foundation for the Study of Chronic Liver Failure. Bacterial and fungal infections in acute-on-chronic liver failure: prevalence, characteristics and impact on prognosis. </w:t>
      </w:r>
      <w:r w:rsidRPr="00151BD6">
        <w:rPr>
          <w:rFonts w:ascii="Book Antiqua" w:hAnsi="Book Antiqua"/>
          <w:i/>
          <w:iCs/>
        </w:rPr>
        <w:t>Gut</w:t>
      </w:r>
      <w:r w:rsidRPr="00151BD6">
        <w:rPr>
          <w:rFonts w:ascii="Book Antiqua" w:hAnsi="Book Antiqua"/>
        </w:rPr>
        <w:t xml:space="preserve"> 2018; </w:t>
      </w:r>
      <w:r w:rsidRPr="00151BD6">
        <w:rPr>
          <w:rFonts w:ascii="Book Antiqua" w:hAnsi="Book Antiqua"/>
          <w:b/>
          <w:bCs/>
        </w:rPr>
        <w:t>67</w:t>
      </w:r>
      <w:r w:rsidRPr="00151BD6">
        <w:rPr>
          <w:rFonts w:ascii="Book Antiqua" w:hAnsi="Book Antiqua"/>
        </w:rPr>
        <w:t>: 1870-1880 [PMID: 28847867 DOI: 10.1136/gutjnl-2017-314240]</w:t>
      </w:r>
    </w:p>
    <w:p w14:paraId="095A0823"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4 </w:t>
      </w:r>
      <w:r w:rsidRPr="00151BD6">
        <w:rPr>
          <w:rFonts w:ascii="Book Antiqua" w:hAnsi="Book Antiqua"/>
          <w:b/>
          <w:bCs/>
        </w:rPr>
        <w:t>Arvaniti V</w:t>
      </w:r>
      <w:r w:rsidRPr="00151BD6">
        <w:rPr>
          <w:rFonts w:ascii="Book Antiqua" w:hAnsi="Book Antiqua"/>
        </w:rPr>
        <w:t xml:space="preserve">, D'Amico G, Fede G, Manousou P, Tsochatzis E, Pleguezuelo M, Burroughs AK. Infections in patients with cirrhosis increase mortality four-fold and should be used in determining prognosis. </w:t>
      </w:r>
      <w:r w:rsidRPr="00151BD6">
        <w:rPr>
          <w:rFonts w:ascii="Book Antiqua" w:hAnsi="Book Antiqua"/>
          <w:i/>
          <w:iCs/>
        </w:rPr>
        <w:t>Gastroenterology</w:t>
      </w:r>
      <w:r w:rsidRPr="00151BD6">
        <w:rPr>
          <w:rFonts w:ascii="Book Antiqua" w:hAnsi="Book Antiqua"/>
        </w:rPr>
        <w:t xml:space="preserve"> 2010; </w:t>
      </w:r>
      <w:r w:rsidRPr="00151BD6">
        <w:rPr>
          <w:rFonts w:ascii="Book Antiqua" w:hAnsi="Book Antiqua"/>
          <w:b/>
          <w:bCs/>
        </w:rPr>
        <w:t>139</w:t>
      </w:r>
      <w:r w:rsidRPr="00151BD6">
        <w:rPr>
          <w:rFonts w:ascii="Book Antiqua" w:hAnsi="Book Antiqua"/>
        </w:rPr>
        <w:t>: 1246-1256, 1256.e1-1256.e5 [PMID: 20558165 DOI: 10.1053/j.gastro.2010.06.019]</w:t>
      </w:r>
    </w:p>
    <w:p w14:paraId="5DF6DC36"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 </w:t>
      </w:r>
      <w:r w:rsidRPr="00151BD6">
        <w:rPr>
          <w:rFonts w:ascii="Book Antiqua" w:hAnsi="Book Antiqua"/>
          <w:b/>
          <w:bCs/>
        </w:rPr>
        <w:t>Ferrarese A</w:t>
      </w:r>
      <w:r w:rsidRPr="00151BD6">
        <w:rPr>
          <w:rFonts w:ascii="Book Antiqua" w:hAnsi="Book Antiqua"/>
        </w:rPr>
        <w:t xml:space="preserve">, Vitale A, Sgarabotto D, Russo FP, Germani G, Gambato M, Cattelan AM, Angeli P, Cillo U, Burra P, Senzolo M. Outcome of a First Episode of Bacterial Infection in Candidates for Liver Transplantation. </w:t>
      </w:r>
      <w:r w:rsidRPr="00151BD6">
        <w:rPr>
          <w:rFonts w:ascii="Book Antiqua" w:hAnsi="Book Antiqua"/>
          <w:i/>
          <w:iCs/>
        </w:rPr>
        <w:t>Liver Transpl</w:t>
      </w:r>
      <w:r w:rsidRPr="00151BD6">
        <w:rPr>
          <w:rFonts w:ascii="Book Antiqua" w:hAnsi="Book Antiqua"/>
        </w:rPr>
        <w:t xml:space="preserve"> 2019; </w:t>
      </w:r>
      <w:r w:rsidRPr="00151BD6">
        <w:rPr>
          <w:rFonts w:ascii="Book Antiqua" w:hAnsi="Book Antiqua"/>
          <w:b/>
          <w:bCs/>
        </w:rPr>
        <w:t>25</w:t>
      </w:r>
      <w:r w:rsidRPr="00151BD6">
        <w:rPr>
          <w:rFonts w:ascii="Book Antiqua" w:hAnsi="Book Antiqua"/>
        </w:rPr>
        <w:t>: 1187-1197 [PMID: 31021050 DOI: 10.1002/lt.25479]</w:t>
      </w:r>
    </w:p>
    <w:p w14:paraId="626AF7FB"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 </w:t>
      </w:r>
      <w:r w:rsidRPr="00151BD6">
        <w:rPr>
          <w:rFonts w:ascii="Book Antiqua" w:hAnsi="Book Antiqua"/>
          <w:b/>
          <w:bCs/>
        </w:rPr>
        <w:t>Reddy KR</w:t>
      </w:r>
      <w:r w:rsidRPr="00151BD6">
        <w:rPr>
          <w:rFonts w:ascii="Book Antiqua" w:hAnsi="Book Antiqua"/>
        </w:rPr>
        <w:t xml:space="preserve">, O'Leary JG, Kamath PS, Fallon MB, Biggins SW, Wong F, Patton HM, Garcia-Tsao G, Subramanian RM, Thacker LR, Bajaj JS; North American Consortium for the Study of End-Stage Liver Disease. High risk of delisting or death in liver transplant candidates following infections: Results from the North American Consortium for the Study of End-Stage Liver Disease. </w:t>
      </w:r>
      <w:r w:rsidRPr="00151BD6">
        <w:rPr>
          <w:rFonts w:ascii="Book Antiqua" w:hAnsi="Book Antiqua"/>
          <w:i/>
          <w:iCs/>
        </w:rPr>
        <w:t>Liver Transpl</w:t>
      </w:r>
      <w:r w:rsidRPr="00151BD6">
        <w:rPr>
          <w:rFonts w:ascii="Book Antiqua" w:hAnsi="Book Antiqua"/>
        </w:rPr>
        <w:t xml:space="preserve"> 2015; </w:t>
      </w:r>
      <w:r w:rsidRPr="00151BD6">
        <w:rPr>
          <w:rFonts w:ascii="Book Antiqua" w:hAnsi="Book Antiqua"/>
          <w:b/>
          <w:bCs/>
        </w:rPr>
        <w:t>21</w:t>
      </w:r>
      <w:r w:rsidRPr="00151BD6">
        <w:rPr>
          <w:rFonts w:ascii="Book Antiqua" w:hAnsi="Book Antiqua"/>
        </w:rPr>
        <w:t>: 881-888 [PMID: 25845966 DOI: 10.1002/</w:t>
      </w:r>
      <w:r w:rsidR="00CD5C35" w:rsidRPr="00151BD6">
        <w:rPr>
          <w:rFonts w:ascii="Book Antiqua" w:hAnsi="Book Antiqua"/>
          <w:lang w:eastAsia="zh-CN"/>
        </w:rPr>
        <w:t>l</w:t>
      </w:r>
      <w:r w:rsidRPr="00151BD6">
        <w:rPr>
          <w:rFonts w:ascii="Book Antiqua" w:hAnsi="Book Antiqua"/>
        </w:rPr>
        <w:t>t.24139]</w:t>
      </w:r>
    </w:p>
    <w:p w14:paraId="3CB83565"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 </w:t>
      </w:r>
      <w:r w:rsidRPr="00151BD6">
        <w:rPr>
          <w:rFonts w:ascii="Book Antiqua" w:hAnsi="Book Antiqua"/>
          <w:b/>
          <w:bCs/>
        </w:rPr>
        <w:t>Karvellas CJ</w:t>
      </w:r>
      <w:r w:rsidRPr="00151BD6">
        <w:rPr>
          <w:rFonts w:ascii="Book Antiqua" w:hAnsi="Book Antiqua"/>
        </w:rPr>
        <w:t xml:space="preserve">, Abraldes JG, Arabi YM, Kumar A; Cooperative Antimicrobial Therapy of Septic Shock (CATSS) Database Research Group. Appropriate and timely antimicrobial therapy in cirrhotic patients with spontaneous bacterial peritonitis-associated septic shock: a retrospective cohort study. </w:t>
      </w:r>
      <w:r w:rsidRPr="00151BD6">
        <w:rPr>
          <w:rFonts w:ascii="Book Antiqua" w:hAnsi="Book Antiqua"/>
          <w:i/>
          <w:iCs/>
        </w:rPr>
        <w:t>Aliment Pharmacol Ther</w:t>
      </w:r>
      <w:r w:rsidRPr="00151BD6">
        <w:rPr>
          <w:rFonts w:ascii="Book Antiqua" w:hAnsi="Book Antiqua"/>
        </w:rPr>
        <w:t xml:space="preserve"> 2015; </w:t>
      </w:r>
      <w:r w:rsidRPr="00151BD6">
        <w:rPr>
          <w:rFonts w:ascii="Book Antiqua" w:hAnsi="Book Antiqua"/>
          <w:b/>
          <w:bCs/>
        </w:rPr>
        <w:t>41</w:t>
      </w:r>
      <w:r w:rsidRPr="00151BD6">
        <w:rPr>
          <w:rFonts w:ascii="Book Antiqua" w:hAnsi="Book Antiqua"/>
        </w:rPr>
        <w:t>: 747-757 [PMID: 25703246 DOI: 10.1111/apt.13135]</w:t>
      </w:r>
    </w:p>
    <w:p w14:paraId="01E53C09"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 </w:t>
      </w:r>
      <w:r w:rsidRPr="00151BD6">
        <w:rPr>
          <w:rFonts w:ascii="Book Antiqua" w:hAnsi="Book Antiqua"/>
          <w:b/>
          <w:bCs/>
        </w:rPr>
        <w:t>Fernández J</w:t>
      </w:r>
      <w:r w:rsidRPr="00151BD6">
        <w:rPr>
          <w:rFonts w:ascii="Book Antiqua" w:hAnsi="Book Antiqua"/>
        </w:rPr>
        <w:t xml:space="preserve">, Tandon P, Mensa J, Garcia-Tsao G. Antibiotic prophylaxis in cirrhosis: Good and bad. </w:t>
      </w:r>
      <w:r w:rsidRPr="00151BD6">
        <w:rPr>
          <w:rFonts w:ascii="Book Antiqua" w:hAnsi="Book Antiqua"/>
          <w:i/>
          <w:iCs/>
        </w:rPr>
        <w:t>Hepatology</w:t>
      </w:r>
      <w:r w:rsidRPr="00151BD6">
        <w:rPr>
          <w:rFonts w:ascii="Book Antiqua" w:hAnsi="Book Antiqua"/>
        </w:rPr>
        <w:t xml:space="preserve"> 2016; </w:t>
      </w:r>
      <w:r w:rsidRPr="00151BD6">
        <w:rPr>
          <w:rFonts w:ascii="Book Antiqua" w:hAnsi="Book Antiqua"/>
          <w:b/>
          <w:bCs/>
        </w:rPr>
        <w:t>63</w:t>
      </w:r>
      <w:r w:rsidRPr="00151BD6">
        <w:rPr>
          <w:rFonts w:ascii="Book Antiqua" w:hAnsi="Book Antiqua"/>
        </w:rPr>
        <w:t>: 2019-2031 [PMID: 26528864 DOI: 10.1002/hep.28330]</w:t>
      </w:r>
    </w:p>
    <w:p w14:paraId="523CDEAA"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9 European Association for the Study of the Liver. Electronic address: easloffice@easloffice.eu.; European Association for the Study of the Liver. EASL Clinical Practice Guidelines for the management of patients with decompensated cirrhosis. </w:t>
      </w:r>
      <w:r w:rsidRPr="00151BD6">
        <w:rPr>
          <w:rFonts w:ascii="Book Antiqua" w:hAnsi="Book Antiqua"/>
          <w:i/>
        </w:rPr>
        <w:t xml:space="preserve">J Hepatol </w:t>
      </w:r>
      <w:r w:rsidRPr="00151BD6">
        <w:rPr>
          <w:rFonts w:ascii="Book Antiqua" w:hAnsi="Book Antiqua"/>
        </w:rPr>
        <w:t xml:space="preserve">2018; </w:t>
      </w:r>
      <w:r w:rsidRPr="00151BD6">
        <w:rPr>
          <w:rFonts w:ascii="Book Antiqua" w:hAnsi="Book Antiqua"/>
          <w:b/>
        </w:rPr>
        <w:t>69</w:t>
      </w:r>
      <w:r w:rsidRPr="00C74DA4">
        <w:rPr>
          <w:rFonts w:ascii="Book Antiqua" w:hAnsi="Book Antiqua"/>
          <w:bCs/>
        </w:rPr>
        <w:t>:</w:t>
      </w:r>
      <w:r w:rsidRPr="00151BD6">
        <w:rPr>
          <w:rFonts w:ascii="Book Antiqua" w:hAnsi="Book Antiqua"/>
        </w:rPr>
        <w:t xml:space="preserve"> 406-460 [DOI:</w:t>
      </w:r>
      <w:r w:rsidR="00CD5C35" w:rsidRPr="00151BD6">
        <w:rPr>
          <w:rFonts w:ascii="Book Antiqua" w:hAnsi="Book Antiqua"/>
          <w:lang w:eastAsia="zh-CN"/>
        </w:rPr>
        <w:t xml:space="preserve"> </w:t>
      </w:r>
      <w:r w:rsidRPr="00151BD6">
        <w:rPr>
          <w:rFonts w:ascii="Book Antiqua" w:hAnsi="Book Antiqua"/>
        </w:rPr>
        <w:t>10.1007/s00125-016-3902-y]</w:t>
      </w:r>
    </w:p>
    <w:p w14:paraId="0436FED9"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10 </w:t>
      </w:r>
      <w:r w:rsidRPr="00151BD6">
        <w:rPr>
          <w:rFonts w:ascii="Book Antiqua" w:hAnsi="Book Antiqua"/>
          <w:b/>
          <w:bCs/>
        </w:rPr>
        <w:t>Fernández J</w:t>
      </w:r>
      <w:r w:rsidRPr="00151BD6">
        <w:rPr>
          <w:rFonts w:ascii="Book Antiqua" w:hAnsi="Book Antiqua"/>
        </w:rPr>
        <w:t xml:space="preserve">, Piano S, Bartoletti M, Wey EQ. Management of bacterial and fungal infections in cirrhosis: The MDRO challenge. </w:t>
      </w:r>
      <w:r w:rsidRPr="00151BD6">
        <w:rPr>
          <w:rFonts w:ascii="Book Antiqua" w:hAnsi="Book Antiqua"/>
          <w:i/>
          <w:iCs/>
        </w:rPr>
        <w:t>J Hepatol</w:t>
      </w:r>
      <w:r w:rsidRPr="00151BD6">
        <w:rPr>
          <w:rFonts w:ascii="Book Antiqua" w:hAnsi="Book Antiqua"/>
        </w:rPr>
        <w:t xml:space="preserve"> 2021; </w:t>
      </w:r>
      <w:r w:rsidRPr="00151BD6">
        <w:rPr>
          <w:rFonts w:ascii="Book Antiqua" w:hAnsi="Book Antiqua"/>
          <w:b/>
          <w:bCs/>
        </w:rPr>
        <w:t>75 Suppl 1</w:t>
      </w:r>
      <w:r w:rsidRPr="00151BD6">
        <w:rPr>
          <w:rFonts w:ascii="Book Antiqua" w:hAnsi="Book Antiqua"/>
        </w:rPr>
        <w:t>: S101-S117 [PMID: 34039482 DOI: 10.1016/j.jhep.2020.11.010]</w:t>
      </w:r>
    </w:p>
    <w:p w14:paraId="4CDB8234"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11 </w:t>
      </w:r>
      <w:r w:rsidRPr="00151BD6">
        <w:rPr>
          <w:rFonts w:ascii="Book Antiqua" w:hAnsi="Book Antiqua"/>
          <w:b/>
          <w:bCs/>
        </w:rPr>
        <w:t>Bajaj JS</w:t>
      </w:r>
      <w:r w:rsidRPr="00151BD6">
        <w:rPr>
          <w:rFonts w:ascii="Book Antiqua" w:hAnsi="Book Antiqua"/>
        </w:rPr>
        <w:t xml:space="preserve">, Ananthakrishnan AN, Hafeezullah M, Zadvornova Y, Dye A, McGinley EL, Saeian K, Heuman D, Sanyal AJ, Hoffmann RG. Clostridium difficile is associated with poor outcomes in patients with cirrhosis: A national and tertiary center perspective. </w:t>
      </w:r>
      <w:r w:rsidRPr="00151BD6">
        <w:rPr>
          <w:rFonts w:ascii="Book Antiqua" w:hAnsi="Book Antiqua"/>
          <w:i/>
          <w:iCs/>
        </w:rPr>
        <w:t>Am J Gastroenterol</w:t>
      </w:r>
      <w:r w:rsidRPr="00151BD6">
        <w:rPr>
          <w:rFonts w:ascii="Book Antiqua" w:hAnsi="Book Antiqua"/>
        </w:rPr>
        <w:t xml:space="preserve"> 2010; </w:t>
      </w:r>
      <w:r w:rsidRPr="00151BD6">
        <w:rPr>
          <w:rFonts w:ascii="Book Antiqua" w:hAnsi="Book Antiqua"/>
          <w:b/>
          <w:bCs/>
        </w:rPr>
        <w:t>105</w:t>
      </w:r>
      <w:r w:rsidRPr="00151BD6">
        <w:rPr>
          <w:rFonts w:ascii="Book Antiqua" w:hAnsi="Book Antiqua"/>
        </w:rPr>
        <w:t>: 106-113 [PMID: 19844204 DOI: 10.1038/ajg.2009.615]</w:t>
      </w:r>
    </w:p>
    <w:p w14:paraId="1C1EE7A6"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12 </w:t>
      </w:r>
      <w:r w:rsidRPr="00151BD6">
        <w:rPr>
          <w:rFonts w:ascii="Book Antiqua" w:hAnsi="Book Antiqua"/>
          <w:b/>
          <w:bCs/>
        </w:rPr>
        <w:t>Kim D</w:t>
      </w:r>
      <w:r w:rsidRPr="00151BD6">
        <w:rPr>
          <w:rFonts w:ascii="Book Antiqua" w:hAnsi="Book Antiqua"/>
        </w:rPr>
        <w:t xml:space="preserve">, Yoo ER, Li AA, Tighe SP, Cholankeril G, Ahmed A. Trends in Hospitalizations for Clostridioides difficile Infection in End-Stage Liver Disease, 2005-2014. </w:t>
      </w:r>
      <w:r w:rsidRPr="00151BD6">
        <w:rPr>
          <w:rFonts w:ascii="Book Antiqua" w:hAnsi="Book Antiqua"/>
          <w:i/>
          <w:iCs/>
        </w:rPr>
        <w:t>Dig Dis Sci</w:t>
      </w:r>
      <w:r w:rsidRPr="00151BD6">
        <w:rPr>
          <w:rFonts w:ascii="Book Antiqua" w:hAnsi="Book Antiqua"/>
        </w:rPr>
        <w:t xml:space="preserve"> 2021; </w:t>
      </w:r>
      <w:r w:rsidRPr="00151BD6">
        <w:rPr>
          <w:rFonts w:ascii="Book Antiqua" w:hAnsi="Book Antiqua"/>
          <w:b/>
          <w:bCs/>
        </w:rPr>
        <w:t>66</w:t>
      </w:r>
      <w:r w:rsidRPr="00151BD6">
        <w:rPr>
          <w:rFonts w:ascii="Book Antiqua" w:hAnsi="Book Antiqua"/>
        </w:rPr>
        <w:t>: 296-307 [PMID: 32124196 DOI: 10.1007/s10620-020-06162-0]</w:t>
      </w:r>
    </w:p>
    <w:p w14:paraId="68A98E37"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13 </w:t>
      </w:r>
      <w:r w:rsidRPr="00151BD6">
        <w:rPr>
          <w:rFonts w:ascii="Book Antiqua" w:hAnsi="Book Antiqua"/>
          <w:b/>
          <w:bCs/>
        </w:rPr>
        <w:t>Dotson KM</w:t>
      </w:r>
      <w:r w:rsidRPr="00151BD6">
        <w:rPr>
          <w:rFonts w:ascii="Book Antiqua" w:hAnsi="Book Antiqua"/>
        </w:rPr>
        <w:t xml:space="preserve">, Aitken SL, Sofjan AK, Shah DN, Aparasu RR, Garey KW. Outcomes associated with Clostridium difficile infection in patients with chronic liver disease. </w:t>
      </w:r>
      <w:r w:rsidRPr="00151BD6">
        <w:rPr>
          <w:rFonts w:ascii="Book Antiqua" w:hAnsi="Book Antiqua"/>
          <w:i/>
          <w:iCs/>
        </w:rPr>
        <w:t>Epidemiol Infect</w:t>
      </w:r>
      <w:r w:rsidRPr="00151BD6">
        <w:rPr>
          <w:rFonts w:ascii="Book Antiqua" w:hAnsi="Book Antiqua"/>
        </w:rPr>
        <w:t xml:space="preserve"> 2018; </w:t>
      </w:r>
      <w:r w:rsidRPr="00151BD6">
        <w:rPr>
          <w:rFonts w:ascii="Book Antiqua" w:hAnsi="Book Antiqua"/>
          <w:b/>
          <w:bCs/>
        </w:rPr>
        <w:t>146</w:t>
      </w:r>
      <w:r w:rsidRPr="00151BD6">
        <w:rPr>
          <w:rFonts w:ascii="Book Antiqua" w:hAnsi="Book Antiqua"/>
        </w:rPr>
        <w:t>: 1101-1105 [PMID: 29739486 DOI: 10.1017/S0950268818001036]</w:t>
      </w:r>
    </w:p>
    <w:p w14:paraId="4BC1B5B0"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14 </w:t>
      </w:r>
      <w:r w:rsidRPr="00151BD6">
        <w:rPr>
          <w:rFonts w:ascii="Book Antiqua" w:hAnsi="Book Antiqua"/>
          <w:b/>
          <w:bCs/>
        </w:rPr>
        <w:t>Pringle PL</w:t>
      </w:r>
      <w:r w:rsidRPr="00151BD6">
        <w:rPr>
          <w:rFonts w:ascii="Book Antiqua" w:hAnsi="Book Antiqua"/>
        </w:rPr>
        <w:t xml:space="preserve">, Soto MT, Chung RT, Hohmann E. Patients With Cirrhosis Require More Fecal Microbiota Capsules to Cure Refractory and Recurrent Clostridium difficile Infections. </w:t>
      </w:r>
      <w:r w:rsidRPr="00151BD6">
        <w:rPr>
          <w:rFonts w:ascii="Book Antiqua" w:hAnsi="Book Antiqua"/>
          <w:i/>
          <w:iCs/>
        </w:rPr>
        <w:t>Clin Gastroenterol Hepatol</w:t>
      </w:r>
      <w:r w:rsidRPr="00151BD6">
        <w:rPr>
          <w:rFonts w:ascii="Book Antiqua" w:hAnsi="Book Antiqua"/>
        </w:rPr>
        <w:t xml:space="preserve"> 2019; </w:t>
      </w:r>
      <w:r w:rsidRPr="00151BD6">
        <w:rPr>
          <w:rFonts w:ascii="Book Antiqua" w:hAnsi="Book Antiqua"/>
          <w:b/>
          <w:bCs/>
        </w:rPr>
        <w:t>17</w:t>
      </w:r>
      <w:r w:rsidRPr="00151BD6">
        <w:rPr>
          <w:rFonts w:ascii="Book Antiqua" w:hAnsi="Book Antiqua"/>
        </w:rPr>
        <w:t>: 791-793 [PMID: 29859984 DOI: 10.1016/j.cgh.2018.05.038]</w:t>
      </w:r>
    </w:p>
    <w:p w14:paraId="6163F561"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15 </w:t>
      </w:r>
      <w:r w:rsidRPr="00151BD6">
        <w:rPr>
          <w:rFonts w:ascii="Book Antiqua" w:hAnsi="Book Antiqua"/>
          <w:b/>
          <w:bCs/>
        </w:rPr>
        <w:t>Thevenot T</w:t>
      </w:r>
      <w:r w:rsidRPr="00151BD6">
        <w:rPr>
          <w:rFonts w:ascii="Book Antiqua" w:hAnsi="Book Antiqua"/>
        </w:rPr>
        <w:t xml:space="preserve">, Degand T, Grelat N, Elkrief L, Christol C, Moreau R, Henrion J, Cadranel JF, Sheppard F, Bureau C, di Martino V, Pauwels A; National Association of General Hospital Hepatogastroenterologists. A French national survey on the use of antibiotic prophylaxis in cirrhotic patients. </w:t>
      </w:r>
      <w:r w:rsidRPr="00151BD6">
        <w:rPr>
          <w:rFonts w:ascii="Book Antiqua" w:hAnsi="Book Antiqua"/>
          <w:i/>
          <w:iCs/>
        </w:rPr>
        <w:t>Liver Int</w:t>
      </w:r>
      <w:r w:rsidRPr="00151BD6">
        <w:rPr>
          <w:rFonts w:ascii="Book Antiqua" w:hAnsi="Book Antiqua"/>
        </w:rPr>
        <w:t xml:space="preserve"> 2013; </w:t>
      </w:r>
      <w:r w:rsidRPr="00151BD6">
        <w:rPr>
          <w:rFonts w:ascii="Book Antiqua" w:hAnsi="Book Antiqua"/>
          <w:b/>
          <w:bCs/>
        </w:rPr>
        <w:t>33</w:t>
      </w:r>
      <w:r w:rsidRPr="00151BD6">
        <w:rPr>
          <w:rFonts w:ascii="Book Antiqua" w:hAnsi="Book Antiqua"/>
        </w:rPr>
        <w:t>: 389-397 [PMID: 23302021 DOI: 10.1111/liv.12093]</w:t>
      </w:r>
    </w:p>
    <w:p w14:paraId="52C97F47"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16 </w:t>
      </w:r>
      <w:r w:rsidRPr="00151BD6">
        <w:rPr>
          <w:rFonts w:ascii="Book Antiqua" w:hAnsi="Book Antiqua"/>
          <w:b/>
          <w:bCs/>
        </w:rPr>
        <w:t>Thomson MJ</w:t>
      </w:r>
      <w:r w:rsidRPr="00151BD6">
        <w:rPr>
          <w:rFonts w:ascii="Book Antiqua" w:hAnsi="Book Antiqua"/>
        </w:rPr>
        <w:t xml:space="preserve">, Lok ASF, Tapper EB. Appropriate and Potentially Inappropriate Medication Use in Decompensated Cirrhosis. </w:t>
      </w:r>
      <w:r w:rsidRPr="00151BD6">
        <w:rPr>
          <w:rFonts w:ascii="Book Antiqua" w:hAnsi="Book Antiqua"/>
          <w:i/>
          <w:iCs/>
        </w:rPr>
        <w:t>Hepatology</w:t>
      </w:r>
      <w:r w:rsidRPr="00151BD6">
        <w:rPr>
          <w:rFonts w:ascii="Book Antiqua" w:hAnsi="Book Antiqua"/>
        </w:rPr>
        <w:t xml:space="preserve"> 2021; </w:t>
      </w:r>
      <w:r w:rsidRPr="00151BD6">
        <w:rPr>
          <w:rFonts w:ascii="Book Antiqua" w:hAnsi="Book Antiqua"/>
          <w:b/>
          <w:bCs/>
        </w:rPr>
        <w:t>73</w:t>
      </w:r>
      <w:r w:rsidRPr="00151BD6">
        <w:rPr>
          <w:rFonts w:ascii="Book Antiqua" w:hAnsi="Book Antiqua"/>
        </w:rPr>
        <w:t>: 2429-2440 [PMID: 32911564 DOI: 10.1002/hep.31548]</w:t>
      </w:r>
    </w:p>
    <w:p w14:paraId="172495FF"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17 </w:t>
      </w:r>
      <w:r w:rsidRPr="00151BD6">
        <w:rPr>
          <w:rFonts w:ascii="Book Antiqua" w:hAnsi="Book Antiqua"/>
          <w:b/>
          <w:bCs/>
        </w:rPr>
        <w:t>Liberati A</w:t>
      </w:r>
      <w:r w:rsidRPr="00151BD6">
        <w:rPr>
          <w:rFonts w:ascii="Book Antiqua" w:hAnsi="Book Antiqua"/>
        </w:rPr>
        <w:t xml:space="preserve">, Altman DG, Tetzlaff J, Mulrow C, Gøtzsche PC, Ioannidis JP, Clarke M, Devereaux PJ, Kleijnen J, Moher D. The PRISMA statement for reporting systematic reviews and meta-analyses of studies that evaluate health care interventions: explanation and elaboration. </w:t>
      </w:r>
      <w:r w:rsidRPr="00151BD6">
        <w:rPr>
          <w:rFonts w:ascii="Book Antiqua" w:hAnsi="Book Antiqua"/>
          <w:i/>
          <w:iCs/>
        </w:rPr>
        <w:t>J Clin Epidemiol</w:t>
      </w:r>
      <w:r w:rsidRPr="00151BD6">
        <w:rPr>
          <w:rFonts w:ascii="Book Antiqua" w:hAnsi="Book Antiqua"/>
        </w:rPr>
        <w:t xml:space="preserve"> 2009; </w:t>
      </w:r>
      <w:r w:rsidRPr="00151BD6">
        <w:rPr>
          <w:rFonts w:ascii="Book Antiqua" w:hAnsi="Book Antiqua"/>
          <w:b/>
          <w:bCs/>
        </w:rPr>
        <w:t>62</w:t>
      </w:r>
      <w:r w:rsidRPr="00151BD6">
        <w:rPr>
          <w:rFonts w:ascii="Book Antiqua" w:hAnsi="Book Antiqua"/>
        </w:rPr>
        <w:t>: e1-34 [PMID: 19631507 DOI: 10.1016/j.jclinepi.2009.06.006]</w:t>
      </w:r>
    </w:p>
    <w:p w14:paraId="719B0AE3"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18 </w:t>
      </w:r>
      <w:r w:rsidRPr="00151BD6">
        <w:rPr>
          <w:rFonts w:ascii="Book Antiqua" w:hAnsi="Book Antiqua"/>
          <w:b/>
          <w:bCs/>
        </w:rPr>
        <w:t>Runyon BA</w:t>
      </w:r>
      <w:r w:rsidRPr="00151BD6">
        <w:rPr>
          <w:rFonts w:ascii="Book Antiqua" w:hAnsi="Book Antiqua"/>
        </w:rPr>
        <w:t xml:space="preserve">; AASLD Practice Guidelines Committee. Management of adult patients with ascites due to cirrhosis: an update. </w:t>
      </w:r>
      <w:r w:rsidRPr="00151BD6">
        <w:rPr>
          <w:rFonts w:ascii="Book Antiqua" w:hAnsi="Book Antiqua"/>
          <w:i/>
          <w:iCs/>
        </w:rPr>
        <w:t>Hepatology</w:t>
      </w:r>
      <w:r w:rsidRPr="00151BD6">
        <w:rPr>
          <w:rFonts w:ascii="Book Antiqua" w:hAnsi="Book Antiqua"/>
        </w:rPr>
        <w:t xml:space="preserve"> 2009; </w:t>
      </w:r>
      <w:r w:rsidRPr="00151BD6">
        <w:rPr>
          <w:rFonts w:ascii="Book Antiqua" w:hAnsi="Book Antiqua"/>
          <w:b/>
          <w:bCs/>
        </w:rPr>
        <w:t>49</w:t>
      </w:r>
      <w:r w:rsidRPr="00151BD6">
        <w:rPr>
          <w:rFonts w:ascii="Book Antiqua" w:hAnsi="Book Antiqua"/>
        </w:rPr>
        <w:t>: 2087-2107 [PMID: 19475696 DOI: 10.1002/hep.22853]</w:t>
      </w:r>
    </w:p>
    <w:p w14:paraId="63FD8998"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19 </w:t>
      </w:r>
      <w:r w:rsidRPr="00151BD6">
        <w:rPr>
          <w:rFonts w:ascii="Book Antiqua" w:hAnsi="Book Antiqua"/>
          <w:b/>
          <w:bCs/>
        </w:rPr>
        <w:t>Singh N</w:t>
      </w:r>
      <w:r w:rsidRPr="00151BD6">
        <w:rPr>
          <w:rFonts w:ascii="Book Antiqua" w:hAnsi="Book Antiqua"/>
        </w:rPr>
        <w:t xml:space="preserve">, Gayowski T, Yu VL, Wagener MM. Trimethoprim-sulfamethoxazole for the prevention of spontaneous bacterial peritonitis in cirrhosis: a randomized trial. </w:t>
      </w:r>
      <w:r w:rsidRPr="00151BD6">
        <w:rPr>
          <w:rFonts w:ascii="Book Antiqua" w:hAnsi="Book Antiqua"/>
          <w:i/>
          <w:iCs/>
        </w:rPr>
        <w:t>Ann Intern Med</w:t>
      </w:r>
      <w:r w:rsidRPr="00151BD6">
        <w:rPr>
          <w:rFonts w:ascii="Book Antiqua" w:hAnsi="Book Antiqua"/>
        </w:rPr>
        <w:t xml:space="preserve"> 1995; </w:t>
      </w:r>
      <w:r w:rsidRPr="00151BD6">
        <w:rPr>
          <w:rFonts w:ascii="Book Antiqua" w:hAnsi="Book Antiqua"/>
          <w:b/>
          <w:bCs/>
        </w:rPr>
        <w:t>122</w:t>
      </w:r>
      <w:r w:rsidRPr="00151BD6">
        <w:rPr>
          <w:rFonts w:ascii="Book Antiqua" w:hAnsi="Book Antiqua"/>
        </w:rPr>
        <w:t>: 595-598 [PMID: 7887554 DOI: 10.7326/0003-4819-122-8-199504150-00007]</w:t>
      </w:r>
    </w:p>
    <w:p w14:paraId="1094720D"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20 </w:t>
      </w:r>
      <w:r w:rsidRPr="00151BD6">
        <w:rPr>
          <w:rFonts w:ascii="Book Antiqua" w:hAnsi="Book Antiqua"/>
          <w:b/>
          <w:bCs/>
        </w:rPr>
        <w:t>Fernández J</w:t>
      </w:r>
      <w:r w:rsidRPr="00151BD6">
        <w:rPr>
          <w:rFonts w:ascii="Book Antiqua" w:hAnsi="Book Antiqua"/>
        </w:rPr>
        <w:t xml:space="preserve">, Navasa M, Planas R, Montoliu S, Monfort D, Soriano G, Vila C, Pardo A, Quintero E, Vargas V, Such J, Ginès P, Arroyo V. Primary prophylaxis of spontaneous bacterial peritonitis delays hepatorenal syndrome and improves survival in cirrhosis. </w:t>
      </w:r>
      <w:r w:rsidRPr="00151BD6">
        <w:rPr>
          <w:rFonts w:ascii="Book Antiqua" w:hAnsi="Book Antiqua"/>
          <w:i/>
          <w:iCs/>
        </w:rPr>
        <w:t>Gastroenterology</w:t>
      </w:r>
      <w:r w:rsidRPr="00151BD6">
        <w:rPr>
          <w:rFonts w:ascii="Book Antiqua" w:hAnsi="Book Antiqua"/>
        </w:rPr>
        <w:t xml:space="preserve"> 2007; </w:t>
      </w:r>
      <w:r w:rsidRPr="00151BD6">
        <w:rPr>
          <w:rFonts w:ascii="Book Antiqua" w:hAnsi="Book Antiqua"/>
          <w:b/>
          <w:bCs/>
        </w:rPr>
        <w:t>133</w:t>
      </w:r>
      <w:r w:rsidRPr="00151BD6">
        <w:rPr>
          <w:rFonts w:ascii="Book Antiqua" w:hAnsi="Book Antiqua"/>
        </w:rPr>
        <w:t>: 818-824 [PMID: 17854593 DOI: 10.1053/j.gastro.2007.06.065]</w:t>
      </w:r>
    </w:p>
    <w:p w14:paraId="29E80A6E"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21 </w:t>
      </w:r>
      <w:r w:rsidRPr="00151BD6">
        <w:rPr>
          <w:rFonts w:ascii="Book Antiqua" w:hAnsi="Book Antiqua"/>
          <w:b/>
          <w:bCs/>
        </w:rPr>
        <w:t>Terg R</w:t>
      </w:r>
      <w:r w:rsidRPr="00151BD6">
        <w:rPr>
          <w:rFonts w:ascii="Book Antiqua" w:hAnsi="Book Antiqua"/>
        </w:rPr>
        <w:t xml:space="preserve">, Fassio E, Guevara M, Cartier M, Longo C, Lucero R, Landeira C, Romero G, Dominguez N, Muñoz A, Levi D, Miguez C, Abecasis R. Ciprofloxacin in primary prophylaxis of spontaneous bacterial peritonitis: a randomized, placebo-controlled study. </w:t>
      </w:r>
      <w:r w:rsidRPr="00151BD6">
        <w:rPr>
          <w:rFonts w:ascii="Book Antiqua" w:hAnsi="Book Antiqua"/>
          <w:i/>
          <w:iCs/>
        </w:rPr>
        <w:t>J Hepatol</w:t>
      </w:r>
      <w:r w:rsidRPr="00151BD6">
        <w:rPr>
          <w:rFonts w:ascii="Book Antiqua" w:hAnsi="Book Antiqua"/>
        </w:rPr>
        <w:t xml:space="preserve"> 2008; </w:t>
      </w:r>
      <w:r w:rsidRPr="00151BD6">
        <w:rPr>
          <w:rFonts w:ascii="Book Antiqua" w:hAnsi="Book Antiqua"/>
          <w:b/>
          <w:bCs/>
        </w:rPr>
        <w:t>48</w:t>
      </w:r>
      <w:r w:rsidRPr="00151BD6">
        <w:rPr>
          <w:rFonts w:ascii="Book Antiqua" w:hAnsi="Book Antiqua"/>
        </w:rPr>
        <w:t>: 774-779 [PMID: 18316137 DOI: 10.1016/j.jhep.2008.01.024]</w:t>
      </w:r>
    </w:p>
    <w:p w14:paraId="45E4F028"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22 </w:t>
      </w:r>
      <w:r w:rsidRPr="00151BD6">
        <w:rPr>
          <w:rFonts w:ascii="Book Antiqua" w:hAnsi="Book Antiqua"/>
          <w:b/>
          <w:bCs/>
        </w:rPr>
        <w:t>Wiest R</w:t>
      </w:r>
      <w:r w:rsidRPr="00151BD6">
        <w:rPr>
          <w:rFonts w:ascii="Book Antiqua" w:hAnsi="Book Antiqua"/>
        </w:rPr>
        <w:t xml:space="preserve">, Krag A, Gerbes A. Spontaneous bacterial peritonitis: recent guidelines and beyond. </w:t>
      </w:r>
      <w:r w:rsidRPr="00151BD6">
        <w:rPr>
          <w:rFonts w:ascii="Book Antiqua" w:hAnsi="Book Antiqua"/>
          <w:i/>
          <w:iCs/>
        </w:rPr>
        <w:t>Gut</w:t>
      </w:r>
      <w:r w:rsidRPr="00151BD6">
        <w:rPr>
          <w:rFonts w:ascii="Book Antiqua" w:hAnsi="Book Antiqua"/>
        </w:rPr>
        <w:t xml:space="preserve"> 2012; </w:t>
      </w:r>
      <w:r w:rsidRPr="00151BD6">
        <w:rPr>
          <w:rFonts w:ascii="Book Antiqua" w:hAnsi="Book Antiqua"/>
          <w:b/>
          <w:bCs/>
        </w:rPr>
        <w:t>61</w:t>
      </w:r>
      <w:r w:rsidRPr="00151BD6">
        <w:rPr>
          <w:rFonts w:ascii="Book Antiqua" w:hAnsi="Book Antiqua"/>
        </w:rPr>
        <w:t>: 297-310 [PMID: 22147550 DOI: 10.1136/gutjnl-2011-300779]</w:t>
      </w:r>
    </w:p>
    <w:p w14:paraId="7ADE1255"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23 </w:t>
      </w:r>
      <w:r w:rsidRPr="00151BD6">
        <w:rPr>
          <w:rFonts w:ascii="Book Antiqua" w:hAnsi="Book Antiqua"/>
          <w:b/>
          <w:bCs/>
        </w:rPr>
        <w:t>Komolafe O</w:t>
      </w:r>
      <w:r w:rsidRPr="00151BD6">
        <w:rPr>
          <w:rFonts w:ascii="Book Antiqua" w:hAnsi="Book Antiqua"/>
        </w:rPr>
        <w:t xml:space="preserve">, Roberts D, Freeman SC, Wilson P, Sutton AJ, Cooper NJ, Pavlov CS, Milne EJ, Hawkins N, Cowlin M, Thorburn D, Davidson BR, Tsochatzis E, Gurusamy KS. Antibiotic prophylaxis to prevent spontaneous bacterial peritonitis in people with liver cirrhosis: a network meta-analysis. </w:t>
      </w:r>
      <w:r w:rsidRPr="00151BD6">
        <w:rPr>
          <w:rFonts w:ascii="Book Antiqua" w:hAnsi="Book Antiqua"/>
          <w:i/>
          <w:iCs/>
        </w:rPr>
        <w:t>Cochrane Database Syst Rev</w:t>
      </w:r>
      <w:r w:rsidRPr="00151BD6">
        <w:rPr>
          <w:rFonts w:ascii="Book Antiqua" w:hAnsi="Book Antiqua"/>
        </w:rPr>
        <w:t xml:space="preserve"> 2020; </w:t>
      </w:r>
      <w:r w:rsidRPr="00151BD6">
        <w:rPr>
          <w:rFonts w:ascii="Book Antiqua" w:hAnsi="Book Antiqua"/>
          <w:b/>
          <w:bCs/>
        </w:rPr>
        <w:t>1</w:t>
      </w:r>
      <w:r w:rsidRPr="00151BD6">
        <w:rPr>
          <w:rFonts w:ascii="Book Antiqua" w:hAnsi="Book Antiqua"/>
        </w:rPr>
        <w:t>: CD013125 [PMID: 31978256 DOI: 10.1002/14651858.CD013125.pub2]</w:t>
      </w:r>
    </w:p>
    <w:p w14:paraId="347244FC"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24 </w:t>
      </w:r>
      <w:r w:rsidRPr="00151BD6">
        <w:rPr>
          <w:rFonts w:ascii="Book Antiqua" w:hAnsi="Book Antiqua"/>
          <w:b/>
          <w:bCs/>
        </w:rPr>
        <w:t>Mücke MM</w:t>
      </w:r>
      <w:r w:rsidRPr="00151BD6">
        <w:rPr>
          <w:rFonts w:ascii="Book Antiqua" w:hAnsi="Book Antiqua"/>
        </w:rPr>
        <w:t xml:space="preserve">, Mücke VT, Graf C, Schwarzkopf KM, Ferstl PG, Fernandez J, Zeuzem S, Trebicka J, Lange CM, Herrmann E. Efficacy of Norfloxacin Prophylaxis to Prevent Spontaneous Bacterial Peritonitis: A Systematic Review and Meta-Analysis. </w:t>
      </w:r>
      <w:r w:rsidRPr="00151BD6">
        <w:rPr>
          <w:rFonts w:ascii="Book Antiqua" w:hAnsi="Book Antiqua"/>
          <w:i/>
          <w:iCs/>
        </w:rPr>
        <w:t>Clin Transl Gastroenterol</w:t>
      </w:r>
      <w:r w:rsidRPr="00151BD6">
        <w:rPr>
          <w:rFonts w:ascii="Book Antiqua" w:hAnsi="Book Antiqua"/>
        </w:rPr>
        <w:t xml:space="preserve"> 2020; </w:t>
      </w:r>
      <w:r w:rsidRPr="00151BD6">
        <w:rPr>
          <w:rFonts w:ascii="Book Antiqua" w:hAnsi="Book Antiqua"/>
          <w:b/>
          <w:bCs/>
        </w:rPr>
        <w:t>11</w:t>
      </w:r>
      <w:r w:rsidRPr="00151BD6">
        <w:rPr>
          <w:rFonts w:ascii="Book Antiqua" w:hAnsi="Book Antiqua"/>
        </w:rPr>
        <w:t>: e00223 [PMID: 32955202 DOI: 10.14309/ctg.0000000000000223]</w:t>
      </w:r>
    </w:p>
    <w:p w14:paraId="1ECD4600"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25 </w:t>
      </w:r>
      <w:r w:rsidRPr="00151BD6">
        <w:rPr>
          <w:rFonts w:ascii="Book Antiqua" w:hAnsi="Book Antiqua"/>
          <w:b/>
          <w:bCs/>
        </w:rPr>
        <w:t>Moreau R</w:t>
      </w:r>
      <w:r w:rsidRPr="00151BD6">
        <w:rPr>
          <w:rFonts w:ascii="Book Antiqua" w:hAnsi="Book Antiqua"/>
        </w:rPr>
        <w:t xml:space="preserve">, Elkrief L, Bureau C, Perarnau JM, Thévenot T, Saliba F, Louvet A, Nahon P, Lannes A, Anty R, Hillaire S, Pasquet B, Ozenne V, Rudler M, Ollivier-Hourmand I, Robic MA, d'Alteroche L, Di Martino V, Ripault MP, Pauwels A, Grangé JD, Carbonell N, Bronowicki JP, Payancé A, Rautou PE, Valla D, Gault N, Lebrec D; NORFLOCIR Trial Investigators. Effects of Long-term Norfloxacin Therapy in Patients With Advanced Cirrhosis. </w:t>
      </w:r>
      <w:r w:rsidRPr="00151BD6">
        <w:rPr>
          <w:rFonts w:ascii="Book Antiqua" w:hAnsi="Book Antiqua"/>
          <w:i/>
          <w:iCs/>
        </w:rPr>
        <w:t>Gastroenterology</w:t>
      </w:r>
      <w:r w:rsidRPr="00151BD6">
        <w:rPr>
          <w:rFonts w:ascii="Book Antiqua" w:hAnsi="Book Antiqua"/>
        </w:rPr>
        <w:t xml:space="preserve"> 2018; </w:t>
      </w:r>
      <w:r w:rsidRPr="00151BD6">
        <w:rPr>
          <w:rFonts w:ascii="Book Antiqua" w:hAnsi="Book Antiqua"/>
          <w:b/>
          <w:bCs/>
        </w:rPr>
        <w:t>155</w:t>
      </w:r>
      <w:r w:rsidRPr="00151BD6">
        <w:rPr>
          <w:rFonts w:ascii="Book Antiqua" w:hAnsi="Book Antiqua"/>
        </w:rPr>
        <w:t>: 1816-1827.e9 [PMID: 30144431 DOI: 10.1053/j.gastro.2018.08.026]</w:t>
      </w:r>
    </w:p>
    <w:p w14:paraId="4403284B"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26 </w:t>
      </w:r>
      <w:r w:rsidRPr="00151BD6">
        <w:rPr>
          <w:rFonts w:ascii="Book Antiqua" w:hAnsi="Book Antiqua"/>
          <w:b/>
          <w:bCs/>
        </w:rPr>
        <w:t>Titó L</w:t>
      </w:r>
      <w:r w:rsidRPr="00151BD6">
        <w:rPr>
          <w:rFonts w:ascii="Book Antiqua" w:hAnsi="Book Antiqua"/>
        </w:rPr>
        <w:t xml:space="preserve">, Rimola A, Ginès P, Llach J, Arroyo V, Rodés J. Recurrence of spontaneous bacterial peritonitis in cirrhosis: frequency and predictive factors. </w:t>
      </w:r>
      <w:r w:rsidRPr="00151BD6">
        <w:rPr>
          <w:rFonts w:ascii="Book Antiqua" w:hAnsi="Book Antiqua"/>
          <w:i/>
          <w:iCs/>
        </w:rPr>
        <w:t>Hepatology</w:t>
      </w:r>
      <w:r w:rsidRPr="00151BD6">
        <w:rPr>
          <w:rFonts w:ascii="Book Antiqua" w:hAnsi="Book Antiqua"/>
        </w:rPr>
        <w:t xml:space="preserve"> 1988; </w:t>
      </w:r>
      <w:r w:rsidRPr="00151BD6">
        <w:rPr>
          <w:rFonts w:ascii="Book Antiqua" w:hAnsi="Book Antiqua"/>
          <w:b/>
          <w:bCs/>
        </w:rPr>
        <w:t>8</w:t>
      </w:r>
      <w:r w:rsidRPr="00151BD6">
        <w:rPr>
          <w:rFonts w:ascii="Book Antiqua" w:hAnsi="Book Antiqua"/>
        </w:rPr>
        <w:t>: 27-31 [PMID: 3257456 DOI: 10.1002/hep.1840080107]</w:t>
      </w:r>
    </w:p>
    <w:p w14:paraId="482DAB39"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27 </w:t>
      </w:r>
      <w:r w:rsidRPr="00151BD6">
        <w:rPr>
          <w:rFonts w:ascii="Book Antiqua" w:hAnsi="Book Antiqua"/>
          <w:b/>
          <w:bCs/>
        </w:rPr>
        <w:t>Ginés P</w:t>
      </w:r>
      <w:r w:rsidRPr="00151BD6">
        <w:rPr>
          <w:rFonts w:ascii="Book Antiqua" w:hAnsi="Book Antiqua"/>
        </w:rPr>
        <w:t xml:space="preserve">, Rimola A, Planas R, Vargas V, Marco F, Almela M, Forné M, Miranda ML, Llach J, Salmerón JM. Norfloxacin prevents spontaneous bacterial peritonitis recurrence in cirrhosis: results of a double-blind, placebo-controlled trial. </w:t>
      </w:r>
      <w:r w:rsidRPr="00151BD6">
        <w:rPr>
          <w:rFonts w:ascii="Book Antiqua" w:hAnsi="Book Antiqua"/>
          <w:i/>
          <w:iCs/>
        </w:rPr>
        <w:t>Hepatology</w:t>
      </w:r>
      <w:r w:rsidRPr="00151BD6">
        <w:rPr>
          <w:rFonts w:ascii="Book Antiqua" w:hAnsi="Book Antiqua"/>
        </w:rPr>
        <w:t xml:space="preserve"> 1990; </w:t>
      </w:r>
      <w:r w:rsidRPr="00151BD6">
        <w:rPr>
          <w:rFonts w:ascii="Book Antiqua" w:hAnsi="Book Antiqua"/>
          <w:b/>
          <w:bCs/>
        </w:rPr>
        <w:t>12</w:t>
      </w:r>
      <w:r w:rsidRPr="00151BD6">
        <w:rPr>
          <w:rFonts w:ascii="Book Antiqua" w:hAnsi="Book Antiqua"/>
        </w:rPr>
        <w:t>: 716-724 [PMID: 2210673 DOI: 10.1002/hep.1840120416]</w:t>
      </w:r>
    </w:p>
    <w:p w14:paraId="1B0E8BB7"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28 </w:t>
      </w:r>
      <w:r w:rsidRPr="00151BD6">
        <w:rPr>
          <w:rFonts w:ascii="Book Antiqua" w:hAnsi="Book Antiqua"/>
          <w:b/>
          <w:bCs/>
        </w:rPr>
        <w:t>Lontos S</w:t>
      </w:r>
      <w:r w:rsidRPr="00151BD6">
        <w:rPr>
          <w:rFonts w:ascii="Book Antiqua" w:hAnsi="Book Antiqua"/>
        </w:rPr>
        <w:t xml:space="preserve">, Shelton E, Angus PW, Vaughan R, Roberts SK, Gordon A, Gow PJ. A randomized controlled study of trimethoprim-sulfamethoxazole versus norfloxacin for the prevention of infection in cirrhotic patients. </w:t>
      </w:r>
      <w:r w:rsidRPr="00151BD6">
        <w:rPr>
          <w:rFonts w:ascii="Book Antiqua" w:hAnsi="Book Antiqua"/>
          <w:i/>
          <w:iCs/>
        </w:rPr>
        <w:t>J Dig Dis</w:t>
      </w:r>
      <w:r w:rsidRPr="00151BD6">
        <w:rPr>
          <w:rFonts w:ascii="Book Antiqua" w:hAnsi="Book Antiqua"/>
        </w:rPr>
        <w:t xml:space="preserve"> 2014; </w:t>
      </w:r>
      <w:r w:rsidRPr="00151BD6">
        <w:rPr>
          <w:rFonts w:ascii="Book Antiqua" w:hAnsi="Book Antiqua"/>
          <w:b/>
          <w:bCs/>
        </w:rPr>
        <w:t>15</w:t>
      </w:r>
      <w:r w:rsidRPr="00151BD6">
        <w:rPr>
          <w:rFonts w:ascii="Book Antiqua" w:hAnsi="Book Antiqua"/>
        </w:rPr>
        <w:t>: 260-267 [PMID: 24612987 DOI: 10.1111/1751-2980.12132]</w:t>
      </w:r>
    </w:p>
    <w:p w14:paraId="1812B570"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29 </w:t>
      </w:r>
      <w:r w:rsidRPr="00151BD6">
        <w:rPr>
          <w:rFonts w:ascii="Book Antiqua" w:hAnsi="Book Antiqua"/>
          <w:b/>
          <w:bCs/>
        </w:rPr>
        <w:t>Salehi S</w:t>
      </w:r>
      <w:r w:rsidRPr="00151BD6">
        <w:rPr>
          <w:rFonts w:ascii="Book Antiqua" w:hAnsi="Book Antiqua"/>
        </w:rPr>
        <w:t xml:space="preserve">, Tranah TH, Lim S, Heaton N, Heneghan M, Aluvihare V, Patel VC, Shawcross DL. Rifaximin reduces the incidence of spontaneous bacterial peritonitis, variceal bleeding and all-cause admissions in patients on the liver transplant waiting list. </w:t>
      </w:r>
      <w:r w:rsidRPr="00151BD6">
        <w:rPr>
          <w:rFonts w:ascii="Book Antiqua" w:hAnsi="Book Antiqua"/>
          <w:i/>
          <w:iCs/>
        </w:rPr>
        <w:t>Aliment Pharmacol Ther</w:t>
      </w:r>
      <w:r w:rsidRPr="00151BD6">
        <w:rPr>
          <w:rFonts w:ascii="Book Antiqua" w:hAnsi="Book Antiqua"/>
        </w:rPr>
        <w:t xml:space="preserve"> 2019; </w:t>
      </w:r>
      <w:r w:rsidRPr="00151BD6">
        <w:rPr>
          <w:rFonts w:ascii="Book Antiqua" w:hAnsi="Book Antiqua"/>
          <w:b/>
          <w:bCs/>
        </w:rPr>
        <w:t>50</w:t>
      </w:r>
      <w:r w:rsidRPr="00151BD6">
        <w:rPr>
          <w:rFonts w:ascii="Book Antiqua" w:hAnsi="Book Antiqua"/>
        </w:rPr>
        <w:t>: 435-441 [PMID: 31169941 DOI: 10.1111/apt.15326]</w:t>
      </w:r>
    </w:p>
    <w:p w14:paraId="20C747E1"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30 </w:t>
      </w:r>
      <w:r w:rsidRPr="00151BD6">
        <w:rPr>
          <w:rFonts w:ascii="Book Antiqua" w:hAnsi="Book Antiqua"/>
          <w:b/>
          <w:bCs/>
        </w:rPr>
        <w:t>Piano S</w:t>
      </w:r>
      <w:r w:rsidRPr="00151BD6">
        <w:rPr>
          <w:rFonts w:ascii="Book Antiqua" w:hAnsi="Book Antiqua"/>
        </w:rPr>
        <w:t xml:space="preserve">, Singh V, Caraceni P, Maiwall R, Alessandria C, Fernandez J, Soares EC, Kim DJ, Kim SE, Marino M, Vorobioff J, Barea RCR, Merli M, Elkrief L, Vargas V, Krag A, Singh SP, Lesmana LA, Toledo C, Marciano S, Verhelst X, Wong F, Intagliata N, Rabinowich L, Colombato L, Kim SG, Gerbes A, Durand F, Roblero JP, Bhamidimarri KR, Boyer TD, Maevskaya M, Fassio E, Kim HS, Hwang JS, Gines P, Gadano A, Sarin SK, Angeli P; International Club of Ascites Global Study Group. Epidemiology and Effects of Bacterial Infections in Patients With Cirrhosis Worldwide. </w:t>
      </w:r>
      <w:r w:rsidRPr="00151BD6">
        <w:rPr>
          <w:rFonts w:ascii="Book Antiqua" w:hAnsi="Book Antiqua"/>
          <w:i/>
          <w:iCs/>
        </w:rPr>
        <w:t>Gastroenterology</w:t>
      </w:r>
      <w:r w:rsidRPr="00151BD6">
        <w:rPr>
          <w:rFonts w:ascii="Book Antiqua" w:hAnsi="Book Antiqua"/>
        </w:rPr>
        <w:t xml:space="preserve"> 2019; </w:t>
      </w:r>
      <w:r w:rsidRPr="00151BD6">
        <w:rPr>
          <w:rFonts w:ascii="Book Antiqua" w:hAnsi="Book Antiqua"/>
          <w:b/>
          <w:bCs/>
        </w:rPr>
        <w:t>156</w:t>
      </w:r>
      <w:r w:rsidRPr="00151BD6">
        <w:rPr>
          <w:rFonts w:ascii="Book Antiqua" w:hAnsi="Book Antiqua"/>
        </w:rPr>
        <w:t>: 1368-1380.e10 [PMID: 30552895 DOI: 10.1053/j.gastro.2018.12.005]</w:t>
      </w:r>
    </w:p>
    <w:p w14:paraId="181D5370"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31 </w:t>
      </w:r>
      <w:r w:rsidRPr="00151BD6">
        <w:rPr>
          <w:rFonts w:ascii="Book Antiqua" w:hAnsi="Book Antiqua"/>
          <w:b/>
          <w:bCs/>
        </w:rPr>
        <w:t>Yim HJ</w:t>
      </w:r>
      <w:r w:rsidRPr="00151BD6">
        <w:rPr>
          <w:rFonts w:ascii="Book Antiqua" w:hAnsi="Book Antiqua"/>
        </w:rPr>
        <w:t xml:space="preserve">, Suh SJ, Jung YK, Yim SY, Seo YS, Lee YR, Park SY, Jang JY, Kim YS, Kim HS, Kim BI, Um SH. Daily Norfloxacin vs. Weekly Ciprofloxacin to Prevent Spontaneous Bacterial Peritonitis: A Randomized Controlled Trial. </w:t>
      </w:r>
      <w:r w:rsidRPr="00151BD6">
        <w:rPr>
          <w:rFonts w:ascii="Book Antiqua" w:hAnsi="Book Antiqua"/>
          <w:i/>
          <w:iCs/>
        </w:rPr>
        <w:t>Am J Gastroenterol</w:t>
      </w:r>
      <w:r w:rsidRPr="00151BD6">
        <w:rPr>
          <w:rFonts w:ascii="Book Antiqua" w:hAnsi="Book Antiqua"/>
        </w:rPr>
        <w:t xml:space="preserve"> 2018; </w:t>
      </w:r>
      <w:r w:rsidRPr="00151BD6">
        <w:rPr>
          <w:rFonts w:ascii="Book Antiqua" w:hAnsi="Book Antiqua"/>
          <w:b/>
          <w:bCs/>
        </w:rPr>
        <w:t>113</w:t>
      </w:r>
      <w:r w:rsidRPr="00151BD6">
        <w:rPr>
          <w:rFonts w:ascii="Book Antiqua" w:hAnsi="Book Antiqua"/>
        </w:rPr>
        <w:t>: 1167-1176 [PMID: 29946179 DOI: 10.1038/s41395-018-0168-7]</w:t>
      </w:r>
    </w:p>
    <w:p w14:paraId="3816BB37"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32 </w:t>
      </w:r>
      <w:r w:rsidRPr="00151BD6">
        <w:rPr>
          <w:rFonts w:ascii="Book Antiqua" w:hAnsi="Book Antiqua"/>
          <w:b/>
          <w:bCs/>
        </w:rPr>
        <w:t>Thalheimer U</w:t>
      </w:r>
      <w:r w:rsidRPr="00151BD6">
        <w:rPr>
          <w:rFonts w:ascii="Book Antiqua" w:hAnsi="Book Antiqua"/>
        </w:rPr>
        <w:t xml:space="preserve">, Triantos CK, Samonakis DN, Patch D, Burroughs AK. Infection, coagulation, and variceal bleeding in cirrhosis. </w:t>
      </w:r>
      <w:r w:rsidRPr="00151BD6">
        <w:rPr>
          <w:rFonts w:ascii="Book Antiqua" w:hAnsi="Book Antiqua"/>
          <w:i/>
          <w:iCs/>
        </w:rPr>
        <w:t>Gut</w:t>
      </w:r>
      <w:r w:rsidRPr="00151BD6">
        <w:rPr>
          <w:rFonts w:ascii="Book Antiqua" w:hAnsi="Book Antiqua"/>
        </w:rPr>
        <w:t xml:space="preserve"> 2005; </w:t>
      </w:r>
      <w:r w:rsidRPr="00151BD6">
        <w:rPr>
          <w:rFonts w:ascii="Book Antiqua" w:hAnsi="Book Antiqua"/>
          <w:b/>
          <w:bCs/>
        </w:rPr>
        <w:t>54</w:t>
      </w:r>
      <w:r w:rsidRPr="00151BD6">
        <w:rPr>
          <w:rFonts w:ascii="Book Antiqua" w:hAnsi="Book Antiqua"/>
        </w:rPr>
        <w:t>: 556-563 [PMID: 15753544 DOI: 10.1136/gut.2004.048181]</w:t>
      </w:r>
    </w:p>
    <w:p w14:paraId="5B190A6A"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33 </w:t>
      </w:r>
      <w:r w:rsidRPr="00151BD6">
        <w:rPr>
          <w:rFonts w:ascii="Book Antiqua" w:hAnsi="Book Antiqua"/>
          <w:b/>
          <w:bCs/>
        </w:rPr>
        <w:t>Chavez-Tapia NC,</w:t>
      </w:r>
      <w:r w:rsidRPr="00151BD6">
        <w:rPr>
          <w:rFonts w:ascii="Book Antiqua" w:hAnsi="Book Antiqua"/>
        </w:rPr>
        <w:t xml:space="preserve"> Barrientos-Gutierrez T, Tellez-Avila FI, Soares-Weiser K, Uribe M. Antibiotic prophylaxis for cirrhotic patients with upper gastrointestinal bleeding. </w:t>
      </w:r>
      <w:r w:rsidRPr="00151BD6">
        <w:rPr>
          <w:rFonts w:ascii="Book Antiqua" w:hAnsi="Book Antiqua"/>
          <w:i/>
        </w:rPr>
        <w:t>Cochrane Database Syst Rev</w:t>
      </w:r>
      <w:r w:rsidRPr="00151BD6">
        <w:rPr>
          <w:rFonts w:ascii="Book Antiqua" w:hAnsi="Book Antiqua"/>
        </w:rPr>
        <w:t xml:space="preserve"> 2010</w:t>
      </w:r>
      <w:r w:rsidR="00CD5C35" w:rsidRPr="00151BD6">
        <w:rPr>
          <w:rFonts w:ascii="Book Antiqua" w:hAnsi="Book Antiqua"/>
          <w:lang w:eastAsia="zh-CN"/>
        </w:rPr>
        <w:t>;</w:t>
      </w:r>
      <w:r w:rsidRPr="00151BD6">
        <w:rPr>
          <w:rFonts w:ascii="Book Antiqua" w:hAnsi="Book Antiqua"/>
        </w:rPr>
        <w:t xml:space="preserve"> CD002907 [DOI:</w:t>
      </w:r>
      <w:r w:rsidR="00CD5C35" w:rsidRPr="00151BD6">
        <w:rPr>
          <w:rFonts w:ascii="Book Antiqua" w:hAnsi="Book Antiqua"/>
          <w:lang w:eastAsia="zh-CN"/>
        </w:rPr>
        <w:t xml:space="preserve"> </w:t>
      </w:r>
      <w:r w:rsidRPr="00151BD6">
        <w:rPr>
          <w:rFonts w:ascii="Book Antiqua" w:hAnsi="Book Antiqua"/>
        </w:rPr>
        <w:t>10.1002/14651858.cd002907.pub2]</w:t>
      </w:r>
    </w:p>
    <w:p w14:paraId="6AB171C0"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34 </w:t>
      </w:r>
      <w:r w:rsidRPr="00151BD6">
        <w:rPr>
          <w:rFonts w:ascii="Book Antiqua" w:hAnsi="Book Antiqua"/>
          <w:b/>
          <w:bCs/>
        </w:rPr>
        <w:t>Fernández J</w:t>
      </w:r>
      <w:r w:rsidRPr="00151BD6">
        <w:rPr>
          <w:rFonts w:ascii="Book Antiqua" w:hAnsi="Book Antiqua"/>
        </w:rPr>
        <w:t xml:space="preserve">, Ruiz del Arbol L, Gómez C, Durandez R, Serradilla R, Guarner C, Planas R, Arroyo V, Navasa M. Norfloxacin vs ceftriaxone in the prophylaxis of infections in patients with advanced cirrhosis and hemorrhage. </w:t>
      </w:r>
      <w:r w:rsidRPr="00151BD6">
        <w:rPr>
          <w:rFonts w:ascii="Book Antiqua" w:hAnsi="Book Antiqua"/>
          <w:i/>
          <w:iCs/>
        </w:rPr>
        <w:t>Gastroenterology</w:t>
      </w:r>
      <w:r w:rsidRPr="00151BD6">
        <w:rPr>
          <w:rFonts w:ascii="Book Antiqua" w:hAnsi="Book Antiqua"/>
        </w:rPr>
        <w:t xml:space="preserve"> 2006; </w:t>
      </w:r>
      <w:r w:rsidRPr="00151BD6">
        <w:rPr>
          <w:rFonts w:ascii="Book Antiqua" w:hAnsi="Book Antiqua"/>
          <w:b/>
          <w:bCs/>
        </w:rPr>
        <w:t>131</w:t>
      </w:r>
      <w:r w:rsidRPr="00151BD6">
        <w:rPr>
          <w:rFonts w:ascii="Book Antiqua" w:hAnsi="Book Antiqua"/>
        </w:rPr>
        <w:t>: 1049-56; quiz 1285 [PMID: 17030175 DOI: 10.1053/j.gastro.2006.07.010]</w:t>
      </w:r>
    </w:p>
    <w:p w14:paraId="3465CC82"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35 </w:t>
      </w:r>
      <w:r w:rsidRPr="00151BD6">
        <w:rPr>
          <w:rFonts w:ascii="Book Antiqua" w:hAnsi="Book Antiqua"/>
          <w:b/>
          <w:bCs/>
        </w:rPr>
        <w:t>de Franchis R</w:t>
      </w:r>
      <w:r w:rsidRPr="00151BD6">
        <w:rPr>
          <w:rFonts w:ascii="Book Antiqua" w:hAnsi="Book Antiqua"/>
        </w:rPr>
        <w:t xml:space="preserve">; Baveno VI Faculty. Expanding consensus in portal hypertension: Report of the Baveno VI Consensus Workshop: Stratifying risk and individualizing care for portal hypertension. </w:t>
      </w:r>
      <w:r w:rsidRPr="00151BD6">
        <w:rPr>
          <w:rFonts w:ascii="Book Antiqua" w:hAnsi="Book Antiqua"/>
          <w:i/>
          <w:iCs/>
        </w:rPr>
        <w:t>J Hepatol</w:t>
      </w:r>
      <w:r w:rsidRPr="00151BD6">
        <w:rPr>
          <w:rFonts w:ascii="Book Antiqua" w:hAnsi="Book Antiqua"/>
        </w:rPr>
        <w:t xml:space="preserve"> 2015; </w:t>
      </w:r>
      <w:r w:rsidRPr="00151BD6">
        <w:rPr>
          <w:rFonts w:ascii="Book Antiqua" w:hAnsi="Book Antiqua"/>
          <w:b/>
          <w:bCs/>
        </w:rPr>
        <w:t>63</w:t>
      </w:r>
      <w:r w:rsidRPr="00151BD6">
        <w:rPr>
          <w:rFonts w:ascii="Book Antiqua" w:hAnsi="Book Antiqua"/>
        </w:rPr>
        <w:t>: 743-752 [PMID: 26047908 DOI: 10.1016/j.jhep.2015.05.022]</w:t>
      </w:r>
    </w:p>
    <w:p w14:paraId="4063776F"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36 </w:t>
      </w:r>
      <w:r w:rsidRPr="00151BD6">
        <w:rPr>
          <w:rFonts w:ascii="Book Antiqua" w:hAnsi="Book Antiqua"/>
          <w:b/>
          <w:bCs/>
        </w:rPr>
        <w:t>Garcia-Tsao G</w:t>
      </w:r>
      <w:r w:rsidRPr="00151BD6">
        <w:rPr>
          <w:rFonts w:ascii="Book Antiqua" w:hAnsi="Book Antiqua"/>
        </w:rPr>
        <w:t xml:space="preserve">, Abraldes JG, Berzigotti A, Bosch J. Portal hypertensive bleeding in cirrhosis: Risk stratification, diagnosis, and management: 2016 practice guidance by the American Association for the study of liver diseases. </w:t>
      </w:r>
      <w:r w:rsidRPr="00151BD6">
        <w:rPr>
          <w:rFonts w:ascii="Book Antiqua" w:hAnsi="Book Antiqua"/>
          <w:i/>
          <w:iCs/>
        </w:rPr>
        <w:t>Hepatology</w:t>
      </w:r>
      <w:r w:rsidRPr="00151BD6">
        <w:rPr>
          <w:rFonts w:ascii="Book Antiqua" w:hAnsi="Book Antiqua"/>
        </w:rPr>
        <w:t xml:space="preserve"> 2017; </w:t>
      </w:r>
      <w:r w:rsidRPr="00151BD6">
        <w:rPr>
          <w:rFonts w:ascii="Book Antiqua" w:hAnsi="Book Antiqua"/>
          <w:b/>
          <w:bCs/>
        </w:rPr>
        <w:t>65</w:t>
      </w:r>
      <w:r w:rsidRPr="00151BD6">
        <w:rPr>
          <w:rFonts w:ascii="Book Antiqua" w:hAnsi="Book Antiqua"/>
        </w:rPr>
        <w:t>: 310-335 [PMID: 27786365 DOI: 10.1002/hep.28906]</w:t>
      </w:r>
    </w:p>
    <w:p w14:paraId="42E9BFDB"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37 </w:t>
      </w:r>
      <w:r w:rsidRPr="00151BD6">
        <w:rPr>
          <w:rFonts w:ascii="Book Antiqua" w:hAnsi="Book Antiqua"/>
          <w:b/>
          <w:bCs/>
        </w:rPr>
        <w:t>Tandon P</w:t>
      </w:r>
      <w:r w:rsidRPr="00151BD6">
        <w:rPr>
          <w:rFonts w:ascii="Book Antiqua" w:hAnsi="Book Antiqua"/>
        </w:rPr>
        <w:t xml:space="preserve">, Abraldes JG, Keough A, Bastiampillai R, Jayakumar S, Carbonneau M, Wong E, Kao D, Bain VG, Ma M. Risk of Bacterial Infection in Patients With Cirrhosis and Acute Variceal Hemorrhage, Based on Child-Pugh Class, and Effects of Antibiotics. </w:t>
      </w:r>
      <w:r w:rsidRPr="00151BD6">
        <w:rPr>
          <w:rFonts w:ascii="Book Antiqua" w:hAnsi="Book Antiqua"/>
          <w:i/>
          <w:iCs/>
        </w:rPr>
        <w:t>Clin Gastroenterol Hepatol</w:t>
      </w:r>
      <w:r w:rsidRPr="00151BD6">
        <w:rPr>
          <w:rFonts w:ascii="Book Antiqua" w:hAnsi="Book Antiqua"/>
        </w:rPr>
        <w:t xml:space="preserve"> 2015; </w:t>
      </w:r>
      <w:r w:rsidRPr="00151BD6">
        <w:rPr>
          <w:rFonts w:ascii="Book Antiqua" w:hAnsi="Book Antiqua"/>
          <w:b/>
          <w:bCs/>
        </w:rPr>
        <w:t>13</w:t>
      </w:r>
      <w:r w:rsidRPr="00151BD6">
        <w:rPr>
          <w:rFonts w:ascii="Book Antiqua" w:hAnsi="Book Antiqua"/>
        </w:rPr>
        <w:t>: 1189-96.e2 [PMID: 25460564 DOI: 10.1016/j.cgh.2014.11.019]</w:t>
      </w:r>
    </w:p>
    <w:p w14:paraId="1C7208EE"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38 </w:t>
      </w:r>
      <w:r w:rsidRPr="00151BD6">
        <w:rPr>
          <w:rFonts w:ascii="Book Antiqua" w:hAnsi="Book Antiqua"/>
          <w:b/>
          <w:bCs/>
        </w:rPr>
        <w:t>Jia Y</w:t>
      </w:r>
      <w:r w:rsidRPr="00151BD6">
        <w:rPr>
          <w:rFonts w:ascii="Book Antiqua" w:hAnsi="Book Antiqua"/>
        </w:rPr>
        <w:t xml:space="preserve">, Dwivedi A, Elhanafi S, Ortiz A, Othman M, Zuckerman M. Low risk of bacteremia after endoscopic variceal therapy for esophageal varices: a systematic review and meta-analysis. </w:t>
      </w:r>
      <w:r w:rsidRPr="00151BD6">
        <w:rPr>
          <w:rFonts w:ascii="Book Antiqua" w:hAnsi="Book Antiqua"/>
          <w:i/>
          <w:iCs/>
        </w:rPr>
        <w:t>Endosc Int Open</w:t>
      </w:r>
      <w:r w:rsidRPr="00151BD6">
        <w:rPr>
          <w:rFonts w:ascii="Book Antiqua" w:hAnsi="Book Antiqua"/>
        </w:rPr>
        <w:t xml:space="preserve"> 2015; </w:t>
      </w:r>
      <w:r w:rsidRPr="00151BD6">
        <w:rPr>
          <w:rFonts w:ascii="Book Antiqua" w:hAnsi="Book Antiqua"/>
          <w:b/>
          <w:bCs/>
        </w:rPr>
        <w:t>3</w:t>
      </w:r>
      <w:r w:rsidRPr="00151BD6">
        <w:rPr>
          <w:rFonts w:ascii="Book Antiqua" w:hAnsi="Book Antiqua"/>
        </w:rPr>
        <w:t>: E409-E417 [PMID: 26528494 DOI: 10.1055/s-0034-1392552]</w:t>
      </w:r>
    </w:p>
    <w:p w14:paraId="5DCD5A2A"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39 </w:t>
      </w:r>
      <w:r w:rsidRPr="00151BD6">
        <w:rPr>
          <w:rFonts w:ascii="Book Antiqua" w:hAnsi="Book Antiqua"/>
          <w:b/>
          <w:bCs/>
        </w:rPr>
        <w:t>ASGE Standards of Practice Committee.</w:t>
      </w:r>
      <w:r w:rsidRPr="00151BD6">
        <w:rPr>
          <w:rFonts w:ascii="Book Antiqua" w:hAnsi="Book Antiqua"/>
        </w:rPr>
        <w:t xml:space="preserve">, Khashab MA, Chithadi KV, Acosta RD, Bruining DH, Chandrasekhara V, Eloubeidi MA, Fanelli RD, Faulx AL, Fonkalsrud L, Lightdale JR, Muthusamy VR, Pasha SF, Saltzman JR, Shaukat A, Wang A, Cash BD. Antibiotic prophylaxis for GI endoscopy. </w:t>
      </w:r>
      <w:r w:rsidRPr="00151BD6">
        <w:rPr>
          <w:rFonts w:ascii="Book Antiqua" w:hAnsi="Book Antiqua"/>
          <w:i/>
          <w:iCs/>
        </w:rPr>
        <w:t>Gastrointest Endosc</w:t>
      </w:r>
      <w:r w:rsidRPr="00151BD6">
        <w:rPr>
          <w:rFonts w:ascii="Book Antiqua" w:hAnsi="Book Antiqua"/>
        </w:rPr>
        <w:t xml:space="preserve"> 2015; </w:t>
      </w:r>
      <w:r w:rsidRPr="00151BD6">
        <w:rPr>
          <w:rFonts w:ascii="Book Antiqua" w:hAnsi="Book Antiqua"/>
          <w:b/>
          <w:bCs/>
        </w:rPr>
        <w:t>81</w:t>
      </w:r>
      <w:r w:rsidRPr="00151BD6">
        <w:rPr>
          <w:rFonts w:ascii="Book Antiqua" w:hAnsi="Book Antiqua"/>
        </w:rPr>
        <w:t>: 81-89 [PMID: 25442089 DOI: 10.1016/j.gie.2014.08.008]</w:t>
      </w:r>
    </w:p>
    <w:p w14:paraId="2A08F6F1"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40 </w:t>
      </w:r>
      <w:r w:rsidRPr="00151BD6">
        <w:rPr>
          <w:rFonts w:ascii="Book Antiqua" w:hAnsi="Book Antiqua"/>
          <w:b/>
          <w:bCs/>
        </w:rPr>
        <w:t>Cheng LF</w:t>
      </w:r>
      <w:r w:rsidRPr="00151BD6">
        <w:rPr>
          <w:rFonts w:ascii="Book Antiqua" w:hAnsi="Book Antiqua"/>
        </w:rPr>
        <w:t xml:space="preserve">, Wang ZQ, Li CZ, Lin W, Yeo AE, Jin B. Low incidence of complications from endoscopic gastric variceal obturation with butyl cyanoacrylate. </w:t>
      </w:r>
      <w:r w:rsidRPr="00151BD6">
        <w:rPr>
          <w:rFonts w:ascii="Book Antiqua" w:hAnsi="Book Antiqua"/>
          <w:i/>
          <w:iCs/>
        </w:rPr>
        <w:t>Clin Gastroenterol Hepatol</w:t>
      </w:r>
      <w:r w:rsidRPr="00151BD6">
        <w:rPr>
          <w:rFonts w:ascii="Book Antiqua" w:hAnsi="Book Antiqua"/>
        </w:rPr>
        <w:t xml:space="preserve"> 2010; </w:t>
      </w:r>
      <w:r w:rsidRPr="00151BD6">
        <w:rPr>
          <w:rFonts w:ascii="Book Antiqua" w:hAnsi="Book Antiqua"/>
          <w:b/>
          <w:bCs/>
        </w:rPr>
        <w:t>8</w:t>
      </w:r>
      <w:r w:rsidRPr="00151BD6">
        <w:rPr>
          <w:rFonts w:ascii="Book Antiqua" w:hAnsi="Book Antiqua"/>
        </w:rPr>
        <w:t>: 760-766 [PMID: 20621678 DOI: 10.1016/j.cgh.2010.05.019]</w:t>
      </w:r>
    </w:p>
    <w:p w14:paraId="34F654CB"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41 </w:t>
      </w:r>
      <w:r w:rsidRPr="00151BD6">
        <w:rPr>
          <w:rFonts w:ascii="Book Antiqua" w:hAnsi="Book Antiqua"/>
          <w:b/>
          <w:bCs/>
        </w:rPr>
        <w:t>Liu C</w:t>
      </w:r>
      <w:r w:rsidRPr="00151BD6">
        <w:rPr>
          <w:rFonts w:ascii="Book Antiqua" w:hAnsi="Book Antiqua"/>
        </w:rPr>
        <w:t xml:space="preserve">, Ma L, Wang J, Li F, Tseng Y, Luo T, Zeng X, Chen S. Prophylactic use of antibiotics in endoscopic injection of tissue adhesive for the elective treatment of gastric varices: A randomized controlled study. </w:t>
      </w:r>
      <w:r w:rsidRPr="00151BD6">
        <w:rPr>
          <w:rFonts w:ascii="Book Antiqua" w:hAnsi="Book Antiqua"/>
          <w:i/>
          <w:iCs/>
        </w:rPr>
        <w:t>J Gastroenterol Hepatol</w:t>
      </w:r>
      <w:r w:rsidRPr="00151BD6">
        <w:rPr>
          <w:rFonts w:ascii="Book Antiqua" w:hAnsi="Book Antiqua"/>
        </w:rPr>
        <w:t xml:space="preserve"> 2019; </w:t>
      </w:r>
      <w:r w:rsidRPr="00151BD6">
        <w:rPr>
          <w:rFonts w:ascii="Book Antiqua" w:hAnsi="Book Antiqua"/>
          <w:b/>
          <w:bCs/>
        </w:rPr>
        <w:t>34</w:t>
      </w:r>
      <w:r w:rsidRPr="00151BD6">
        <w:rPr>
          <w:rFonts w:ascii="Book Antiqua" w:hAnsi="Book Antiqua"/>
        </w:rPr>
        <w:t>: 1486-1491 [PMID: 31245885 DOI: 10.1111/jgh.14769]</w:t>
      </w:r>
    </w:p>
    <w:p w14:paraId="691FB008"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42 </w:t>
      </w:r>
      <w:r w:rsidRPr="00151BD6">
        <w:rPr>
          <w:rFonts w:ascii="Book Antiqua" w:hAnsi="Book Antiqua"/>
          <w:b/>
          <w:bCs/>
        </w:rPr>
        <w:t>Rerknimitr R</w:t>
      </w:r>
      <w:r w:rsidRPr="00151BD6">
        <w:rPr>
          <w:rFonts w:ascii="Book Antiqua" w:hAnsi="Book Antiqua"/>
        </w:rPr>
        <w:t xml:space="preserve">, Chanyaswad J, Kongkam P, Kullavanijaya P. Risk of bacteremia in bleeding and nonbleeding gastric varices after endoscopic injection of cyanoacrylate. </w:t>
      </w:r>
      <w:r w:rsidRPr="00151BD6">
        <w:rPr>
          <w:rFonts w:ascii="Book Antiqua" w:hAnsi="Book Antiqua"/>
          <w:i/>
          <w:iCs/>
        </w:rPr>
        <w:t>Endoscopy</w:t>
      </w:r>
      <w:r w:rsidRPr="00151BD6">
        <w:rPr>
          <w:rFonts w:ascii="Book Antiqua" w:hAnsi="Book Antiqua"/>
        </w:rPr>
        <w:t xml:space="preserve"> 2008; </w:t>
      </w:r>
      <w:r w:rsidRPr="00151BD6">
        <w:rPr>
          <w:rFonts w:ascii="Book Antiqua" w:hAnsi="Book Antiqua"/>
          <w:b/>
          <w:bCs/>
        </w:rPr>
        <w:t>40</w:t>
      </w:r>
      <w:r w:rsidRPr="00151BD6">
        <w:rPr>
          <w:rFonts w:ascii="Book Antiqua" w:hAnsi="Book Antiqua"/>
        </w:rPr>
        <w:t>: 644-649 [PMID: 18561097 DOI: 10.1055/s-2008-1077294]</w:t>
      </w:r>
    </w:p>
    <w:p w14:paraId="7FB11D43"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43 </w:t>
      </w:r>
      <w:r w:rsidRPr="00151BD6">
        <w:rPr>
          <w:rFonts w:ascii="Book Antiqua" w:hAnsi="Book Antiqua"/>
          <w:b/>
          <w:bCs/>
        </w:rPr>
        <w:t>Boyer TD</w:t>
      </w:r>
      <w:r w:rsidRPr="00151BD6">
        <w:rPr>
          <w:rFonts w:ascii="Book Antiqua" w:hAnsi="Book Antiqua"/>
        </w:rPr>
        <w:t xml:space="preserve">, Haskal ZJ; American Association for the Study of Liver Diseases. The role of transjugular intrahepatic portosystemic shunt in the management of portal hypertension. </w:t>
      </w:r>
      <w:r w:rsidRPr="00151BD6">
        <w:rPr>
          <w:rFonts w:ascii="Book Antiqua" w:hAnsi="Book Antiqua"/>
          <w:i/>
          <w:iCs/>
        </w:rPr>
        <w:t>Hepatology</w:t>
      </w:r>
      <w:r w:rsidRPr="00151BD6">
        <w:rPr>
          <w:rFonts w:ascii="Book Antiqua" w:hAnsi="Book Antiqua"/>
        </w:rPr>
        <w:t xml:space="preserve"> 2005; </w:t>
      </w:r>
      <w:r w:rsidRPr="00151BD6">
        <w:rPr>
          <w:rFonts w:ascii="Book Antiqua" w:hAnsi="Book Antiqua"/>
          <w:b/>
          <w:bCs/>
        </w:rPr>
        <w:t>41</w:t>
      </w:r>
      <w:r w:rsidRPr="00151BD6">
        <w:rPr>
          <w:rFonts w:ascii="Book Antiqua" w:hAnsi="Book Antiqua"/>
        </w:rPr>
        <w:t>: 386-400 [PMID: 15660434 DOI: 10.1002/hep.20559]</w:t>
      </w:r>
    </w:p>
    <w:p w14:paraId="48BC84EE"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44 </w:t>
      </w:r>
      <w:r w:rsidRPr="00151BD6">
        <w:rPr>
          <w:rFonts w:ascii="Book Antiqua" w:hAnsi="Book Antiqua"/>
          <w:b/>
          <w:bCs/>
        </w:rPr>
        <w:t>Bettinger D</w:t>
      </w:r>
      <w:r w:rsidRPr="00151BD6">
        <w:rPr>
          <w:rFonts w:ascii="Book Antiqua" w:hAnsi="Book Antiqua"/>
        </w:rPr>
        <w:t xml:space="preserve">, Schultheiss M, Boettler T, Muljono M, Thimme R, Rössle M. Procedural and shunt-related complications and mortality of the transjugular intrahepatic portosystemic shunt (TIPSS). </w:t>
      </w:r>
      <w:r w:rsidRPr="00151BD6">
        <w:rPr>
          <w:rFonts w:ascii="Book Antiqua" w:hAnsi="Book Antiqua"/>
          <w:i/>
          <w:iCs/>
        </w:rPr>
        <w:t>Aliment Pharmacol Ther</w:t>
      </w:r>
      <w:r w:rsidRPr="00151BD6">
        <w:rPr>
          <w:rFonts w:ascii="Book Antiqua" w:hAnsi="Book Antiqua"/>
        </w:rPr>
        <w:t xml:space="preserve"> 2016; </w:t>
      </w:r>
      <w:r w:rsidRPr="00151BD6">
        <w:rPr>
          <w:rFonts w:ascii="Book Antiqua" w:hAnsi="Book Antiqua"/>
          <w:b/>
          <w:bCs/>
        </w:rPr>
        <w:t>44</w:t>
      </w:r>
      <w:r w:rsidRPr="00151BD6">
        <w:rPr>
          <w:rFonts w:ascii="Book Antiqua" w:hAnsi="Book Antiqua"/>
        </w:rPr>
        <w:t>: 1051-1061 [PMID: 27670147 DOI: 10.1111/apt.13809]</w:t>
      </w:r>
    </w:p>
    <w:p w14:paraId="03448664"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45 </w:t>
      </w:r>
      <w:r w:rsidRPr="00151BD6">
        <w:rPr>
          <w:rFonts w:ascii="Book Antiqua" w:hAnsi="Book Antiqua"/>
          <w:b/>
          <w:bCs/>
        </w:rPr>
        <w:t>Mizrahi M</w:t>
      </w:r>
      <w:r w:rsidRPr="00151BD6">
        <w:rPr>
          <w:rFonts w:ascii="Book Antiqua" w:hAnsi="Book Antiqua"/>
        </w:rPr>
        <w:t xml:space="preserve">, Adar T, Shouval D, Bloom AI, Shibolet O. Endotipsitis-persistent infection of transjugular intrahepatic portosystemic shunt: pathogenesis, clinical features and management. </w:t>
      </w:r>
      <w:r w:rsidRPr="00151BD6">
        <w:rPr>
          <w:rFonts w:ascii="Book Antiqua" w:hAnsi="Book Antiqua"/>
          <w:i/>
          <w:iCs/>
        </w:rPr>
        <w:t>Liver Int</w:t>
      </w:r>
      <w:r w:rsidRPr="00151BD6">
        <w:rPr>
          <w:rFonts w:ascii="Book Antiqua" w:hAnsi="Book Antiqua"/>
        </w:rPr>
        <w:t xml:space="preserve"> 2010; </w:t>
      </w:r>
      <w:r w:rsidRPr="00151BD6">
        <w:rPr>
          <w:rFonts w:ascii="Book Antiqua" w:hAnsi="Book Antiqua"/>
          <w:b/>
          <w:bCs/>
        </w:rPr>
        <w:t>30</w:t>
      </w:r>
      <w:r w:rsidRPr="00151BD6">
        <w:rPr>
          <w:rFonts w:ascii="Book Antiqua" w:hAnsi="Book Antiqua"/>
        </w:rPr>
        <w:t>: 175-183 [PMID: 19929905 DOI: 10.1111/j.1478-3231.2009.02158.x]</w:t>
      </w:r>
    </w:p>
    <w:p w14:paraId="76E45B54"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46 </w:t>
      </w:r>
      <w:r w:rsidRPr="00151BD6">
        <w:rPr>
          <w:rFonts w:ascii="Book Antiqua" w:hAnsi="Book Antiqua"/>
          <w:b/>
          <w:bCs/>
        </w:rPr>
        <w:t>Sanyal AJ</w:t>
      </w:r>
      <w:r w:rsidRPr="00151BD6">
        <w:rPr>
          <w:rFonts w:ascii="Book Antiqua" w:hAnsi="Book Antiqua"/>
        </w:rPr>
        <w:t xml:space="preserve">, Reddy KR. Vegetative infection of transjugular intrahepatic portosystemic shunts. </w:t>
      </w:r>
      <w:r w:rsidRPr="00151BD6">
        <w:rPr>
          <w:rFonts w:ascii="Book Antiqua" w:hAnsi="Book Antiqua"/>
          <w:i/>
          <w:iCs/>
        </w:rPr>
        <w:t>Gastroenterology</w:t>
      </w:r>
      <w:r w:rsidRPr="00151BD6">
        <w:rPr>
          <w:rFonts w:ascii="Book Antiqua" w:hAnsi="Book Antiqua"/>
        </w:rPr>
        <w:t xml:space="preserve"> 1998; </w:t>
      </w:r>
      <w:r w:rsidRPr="00151BD6">
        <w:rPr>
          <w:rFonts w:ascii="Book Antiqua" w:hAnsi="Book Antiqua"/>
          <w:b/>
          <w:bCs/>
        </w:rPr>
        <w:t>115</w:t>
      </w:r>
      <w:r w:rsidRPr="00151BD6">
        <w:rPr>
          <w:rFonts w:ascii="Book Antiqua" w:hAnsi="Book Antiqua"/>
        </w:rPr>
        <w:t>: 110-115 [PMID: 9649465 DOI: 10.1016/s0016-5085(98)70371-3]</w:t>
      </w:r>
    </w:p>
    <w:p w14:paraId="31909DC7"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47 </w:t>
      </w:r>
      <w:r w:rsidRPr="00151BD6">
        <w:rPr>
          <w:rFonts w:ascii="Book Antiqua" w:hAnsi="Book Antiqua"/>
          <w:b/>
          <w:bCs/>
        </w:rPr>
        <w:t>Deibert P</w:t>
      </w:r>
      <w:r w:rsidRPr="00151BD6">
        <w:rPr>
          <w:rFonts w:ascii="Book Antiqua" w:hAnsi="Book Antiqua"/>
        </w:rPr>
        <w:t xml:space="preserve">, Schwarz S, Olschewski M, Siegerstetter V, Blum HE, Rössle M. Risk factors and prevention of early infection after implantation or revision of transjugular intrahepatic portosystemic shunts: results of a randomized study. </w:t>
      </w:r>
      <w:r w:rsidRPr="00151BD6">
        <w:rPr>
          <w:rFonts w:ascii="Book Antiqua" w:hAnsi="Book Antiqua"/>
          <w:i/>
          <w:iCs/>
        </w:rPr>
        <w:t>Dig Dis Sci</w:t>
      </w:r>
      <w:r w:rsidRPr="00151BD6">
        <w:rPr>
          <w:rFonts w:ascii="Book Antiqua" w:hAnsi="Book Antiqua"/>
        </w:rPr>
        <w:t xml:space="preserve"> 1998; </w:t>
      </w:r>
      <w:r w:rsidRPr="00151BD6">
        <w:rPr>
          <w:rFonts w:ascii="Book Antiqua" w:hAnsi="Book Antiqua"/>
          <w:b/>
          <w:bCs/>
        </w:rPr>
        <w:t>43</w:t>
      </w:r>
      <w:r w:rsidRPr="00151BD6">
        <w:rPr>
          <w:rFonts w:ascii="Book Antiqua" w:hAnsi="Book Antiqua"/>
        </w:rPr>
        <w:t>: 1708-1713 [PMID: 9724157 DOI: 10.1023/a:1018819316633]</w:t>
      </w:r>
    </w:p>
    <w:p w14:paraId="1401BA3B" w14:textId="77777777" w:rsidR="00861CDC" w:rsidRPr="00BB658C" w:rsidRDefault="00861CDC" w:rsidP="00861CDC">
      <w:pPr>
        <w:spacing w:line="360" w:lineRule="auto"/>
        <w:jc w:val="both"/>
        <w:rPr>
          <w:rFonts w:ascii="Book Antiqua" w:hAnsi="Book Antiqua"/>
          <w:lang w:val="it-IT"/>
        </w:rPr>
      </w:pPr>
      <w:r w:rsidRPr="00151BD6">
        <w:rPr>
          <w:rFonts w:ascii="Book Antiqua" w:hAnsi="Book Antiqua"/>
        </w:rPr>
        <w:t xml:space="preserve">48 </w:t>
      </w:r>
      <w:r w:rsidRPr="00151BD6">
        <w:rPr>
          <w:rFonts w:ascii="Book Antiqua" w:hAnsi="Book Antiqua"/>
          <w:b/>
          <w:bCs/>
        </w:rPr>
        <w:t>Gulberg V</w:t>
      </w:r>
      <w:r w:rsidRPr="00151BD6">
        <w:rPr>
          <w:rFonts w:ascii="Book Antiqua" w:hAnsi="Book Antiqua"/>
        </w:rPr>
        <w:t xml:space="preserve">, Deibert P, Ochs A, Rossle M, Gerbes AL. Prevention of infectious complications after transjugular intrahepatic portosystemic shunt in cirrhotic patients with a single dose of ceftriaxone. </w:t>
      </w:r>
      <w:r w:rsidRPr="00BB658C">
        <w:rPr>
          <w:rFonts w:ascii="Book Antiqua" w:hAnsi="Book Antiqua"/>
          <w:i/>
          <w:iCs/>
          <w:lang w:val="it-IT"/>
        </w:rPr>
        <w:t>Hepatogastroenterology</w:t>
      </w:r>
      <w:r w:rsidRPr="00BB658C">
        <w:rPr>
          <w:rFonts w:ascii="Book Antiqua" w:hAnsi="Book Antiqua"/>
          <w:lang w:val="it-IT"/>
        </w:rPr>
        <w:t xml:space="preserve"> 1999; </w:t>
      </w:r>
      <w:r w:rsidRPr="00BB658C">
        <w:rPr>
          <w:rFonts w:ascii="Book Antiqua" w:hAnsi="Book Antiqua"/>
          <w:b/>
          <w:bCs/>
          <w:lang w:val="it-IT"/>
        </w:rPr>
        <w:t>46</w:t>
      </w:r>
      <w:r w:rsidRPr="00BB658C">
        <w:rPr>
          <w:rFonts w:ascii="Book Antiqua" w:hAnsi="Book Antiqua"/>
          <w:lang w:val="it-IT"/>
        </w:rPr>
        <w:t>: 1126-1130 [PMID: 10370679]</w:t>
      </w:r>
    </w:p>
    <w:p w14:paraId="2152223B" w14:textId="77777777" w:rsidR="00861CDC" w:rsidRPr="00151BD6" w:rsidRDefault="00861CDC" w:rsidP="00861CDC">
      <w:pPr>
        <w:spacing w:line="360" w:lineRule="auto"/>
        <w:jc w:val="both"/>
        <w:rPr>
          <w:rFonts w:ascii="Book Antiqua" w:hAnsi="Book Antiqua"/>
        </w:rPr>
      </w:pPr>
      <w:r w:rsidRPr="00BB658C">
        <w:rPr>
          <w:rFonts w:ascii="Book Antiqua" w:hAnsi="Book Antiqua"/>
          <w:lang w:val="it-IT"/>
        </w:rPr>
        <w:t xml:space="preserve">49 </w:t>
      </w:r>
      <w:r w:rsidRPr="00BB658C">
        <w:rPr>
          <w:rFonts w:ascii="Book Antiqua" w:hAnsi="Book Antiqua"/>
          <w:b/>
          <w:bCs/>
          <w:lang w:val="it-IT"/>
        </w:rPr>
        <w:t>Fagiuoli S</w:t>
      </w:r>
      <w:r w:rsidRPr="00BB658C">
        <w:rPr>
          <w:rFonts w:ascii="Book Antiqua" w:hAnsi="Book Antiqua"/>
          <w:lang w:val="it-IT"/>
        </w:rPr>
        <w:t xml:space="preserve">, Bruno R, Debernardi Venon W, Schepis F, Vizzutti F, Toniutto P, Senzolo M, Caraceni P, Salerno F, Angeli P, Cioni R, Vitale A, Grosso M, De Gasperi A, D'Amico G, Marzano A; AISF TIPS Special Conference. </w:t>
      </w:r>
      <w:r w:rsidRPr="00151BD6">
        <w:rPr>
          <w:rFonts w:ascii="Book Antiqua" w:hAnsi="Book Antiqua"/>
        </w:rPr>
        <w:t xml:space="preserve">Consensus conference on TIPS management: Techniques, indications, contraindications. </w:t>
      </w:r>
      <w:r w:rsidRPr="00151BD6">
        <w:rPr>
          <w:rFonts w:ascii="Book Antiqua" w:hAnsi="Book Antiqua"/>
          <w:i/>
          <w:iCs/>
        </w:rPr>
        <w:t>Dig Liver Dis</w:t>
      </w:r>
      <w:r w:rsidRPr="00151BD6">
        <w:rPr>
          <w:rFonts w:ascii="Book Antiqua" w:hAnsi="Book Antiqua"/>
        </w:rPr>
        <w:t xml:space="preserve"> 2017; </w:t>
      </w:r>
      <w:r w:rsidRPr="00151BD6">
        <w:rPr>
          <w:rFonts w:ascii="Book Antiqua" w:hAnsi="Book Antiqua"/>
          <w:b/>
          <w:bCs/>
        </w:rPr>
        <w:t>49</w:t>
      </w:r>
      <w:r w:rsidRPr="00151BD6">
        <w:rPr>
          <w:rFonts w:ascii="Book Antiqua" w:hAnsi="Book Antiqua"/>
        </w:rPr>
        <w:t>: 121-137 [PMID: 27884494 DOI: 10.1016/j.dld.2016.10.011]</w:t>
      </w:r>
    </w:p>
    <w:p w14:paraId="66F7FF22"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50 </w:t>
      </w:r>
      <w:r w:rsidRPr="00151BD6">
        <w:rPr>
          <w:rFonts w:ascii="Book Antiqua" w:hAnsi="Book Antiqua"/>
          <w:b/>
          <w:bCs/>
        </w:rPr>
        <w:t>Tripathi D</w:t>
      </w:r>
      <w:r w:rsidRPr="00151BD6">
        <w:rPr>
          <w:rFonts w:ascii="Book Antiqua" w:hAnsi="Book Antiqua"/>
        </w:rPr>
        <w:t xml:space="preserve">, Stanley AJ, Hayes PC, Travis S, Armstrong MJ, Tsochatzis EA, Rowe IA, Roslund N, Ireland H, Lomax M, Leithead JA, Mehrzad H, Aspinall RJ, McDonagh J, Patch D. Transjugular intrahepatic portosystemic stent-shunt in the management of portal hypertension. </w:t>
      </w:r>
      <w:r w:rsidRPr="00151BD6">
        <w:rPr>
          <w:rFonts w:ascii="Book Antiqua" w:hAnsi="Book Antiqua"/>
          <w:i/>
          <w:iCs/>
        </w:rPr>
        <w:t>Gut</w:t>
      </w:r>
      <w:r w:rsidRPr="00151BD6">
        <w:rPr>
          <w:rFonts w:ascii="Book Antiqua" w:hAnsi="Book Antiqua"/>
        </w:rPr>
        <w:t xml:space="preserve"> 2020; </w:t>
      </w:r>
      <w:r w:rsidRPr="00151BD6">
        <w:rPr>
          <w:rFonts w:ascii="Book Antiqua" w:hAnsi="Book Antiqua"/>
          <w:b/>
          <w:bCs/>
        </w:rPr>
        <w:t>69</w:t>
      </w:r>
      <w:r w:rsidRPr="00151BD6">
        <w:rPr>
          <w:rFonts w:ascii="Book Antiqua" w:hAnsi="Book Antiqua"/>
        </w:rPr>
        <w:t>: 1173-1192 [PMID: 32114503 DOI: 10.1136/gutjnl-2019-320221]</w:t>
      </w:r>
    </w:p>
    <w:p w14:paraId="5303A30D"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51 </w:t>
      </w:r>
      <w:r w:rsidRPr="00151BD6">
        <w:rPr>
          <w:rFonts w:ascii="Book Antiqua" w:hAnsi="Book Antiqua"/>
          <w:b/>
          <w:bCs/>
        </w:rPr>
        <w:t>Ryan JM</w:t>
      </w:r>
      <w:r w:rsidRPr="00151BD6">
        <w:rPr>
          <w:rFonts w:ascii="Book Antiqua" w:hAnsi="Book Antiqua"/>
        </w:rPr>
        <w:t xml:space="preserve">, Ryan BM, Smith TP. Antibiotic prophylaxis in interventional radiology. </w:t>
      </w:r>
      <w:r w:rsidRPr="00151BD6">
        <w:rPr>
          <w:rFonts w:ascii="Book Antiqua" w:hAnsi="Book Antiqua"/>
          <w:i/>
          <w:iCs/>
        </w:rPr>
        <w:t>J Vasc Interv Radiol</w:t>
      </w:r>
      <w:r w:rsidRPr="00151BD6">
        <w:rPr>
          <w:rFonts w:ascii="Book Antiqua" w:hAnsi="Book Antiqua"/>
        </w:rPr>
        <w:t xml:space="preserve"> 2004; </w:t>
      </w:r>
      <w:r w:rsidRPr="00151BD6">
        <w:rPr>
          <w:rFonts w:ascii="Book Antiqua" w:hAnsi="Book Antiqua"/>
          <w:b/>
          <w:bCs/>
        </w:rPr>
        <w:t>15</w:t>
      </w:r>
      <w:r w:rsidRPr="00151BD6">
        <w:rPr>
          <w:rFonts w:ascii="Book Antiqua" w:hAnsi="Book Antiqua"/>
        </w:rPr>
        <w:t>: 547-556 [PMID: 15178714 DOI: 10.1097/01.rvi.000024942.58200.5e]</w:t>
      </w:r>
    </w:p>
    <w:p w14:paraId="4D93128C"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52 </w:t>
      </w:r>
      <w:r w:rsidRPr="00151BD6">
        <w:rPr>
          <w:rFonts w:ascii="Book Antiqua" w:hAnsi="Book Antiqua"/>
          <w:b/>
          <w:bCs/>
        </w:rPr>
        <w:t>Brand M,</w:t>
      </w:r>
      <w:r w:rsidRPr="00151BD6">
        <w:rPr>
          <w:rFonts w:ascii="Book Antiqua" w:hAnsi="Book Antiqua"/>
        </w:rPr>
        <w:t xml:space="preserve"> Bizos D, O'Farrell P Jr. Antibiotic prophylaxis for patients undergoing elective endoscopic retrograde cholangiopancreatography. </w:t>
      </w:r>
      <w:r w:rsidRPr="00151BD6">
        <w:rPr>
          <w:rFonts w:ascii="Book Antiqua" w:hAnsi="Book Antiqua"/>
          <w:i/>
        </w:rPr>
        <w:t>Cochrane Database Syst Rev</w:t>
      </w:r>
      <w:r w:rsidRPr="00151BD6">
        <w:rPr>
          <w:rFonts w:ascii="Book Antiqua" w:hAnsi="Book Antiqua"/>
        </w:rPr>
        <w:t xml:space="preserve"> 2010</w:t>
      </w:r>
      <w:r w:rsidR="00B941CE" w:rsidRPr="00151BD6">
        <w:rPr>
          <w:rFonts w:ascii="Book Antiqua" w:hAnsi="Book Antiqua"/>
          <w:lang w:eastAsia="zh-CN"/>
        </w:rPr>
        <w:t>;</w:t>
      </w:r>
      <w:r w:rsidRPr="00151BD6">
        <w:rPr>
          <w:rFonts w:ascii="Book Antiqua" w:hAnsi="Book Antiqua"/>
        </w:rPr>
        <w:t xml:space="preserve"> CD007345 [DOI:</w:t>
      </w:r>
      <w:r w:rsidR="00B941CE" w:rsidRPr="00151BD6">
        <w:rPr>
          <w:rFonts w:ascii="Book Antiqua" w:hAnsi="Book Antiqua"/>
          <w:lang w:eastAsia="zh-CN"/>
        </w:rPr>
        <w:t xml:space="preserve"> </w:t>
      </w:r>
      <w:r w:rsidRPr="00151BD6">
        <w:rPr>
          <w:rFonts w:ascii="Book Antiqua" w:hAnsi="Book Antiqua"/>
        </w:rPr>
        <w:t>10.1002/14651858.cd007345]</w:t>
      </w:r>
    </w:p>
    <w:p w14:paraId="1E3B631F"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53 </w:t>
      </w:r>
      <w:r w:rsidRPr="00151BD6">
        <w:rPr>
          <w:rFonts w:ascii="Book Antiqua" w:hAnsi="Book Antiqua"/>
          <w:b/>
          <w:bCs/>
        </w:rPr>
        <w:t>Tang X</w:t>
      </w:r>
      <w:r w:rsidRPr="00151BD6">
        <w:rPr>
          <w:rFonts w:ascii="Book Antiqua" w:hAnsi="Book Antiqua"/>
        </w:rPr>
        <w:t xml:space="preserve">, Gong W, Jiang B. Antibiotic prophylaxis for GI endoscopy. </w:t>
      </w:r>
      <w:r w:rsidRPr="00151BD6">
        <w:rPr>
          <w:rFonts w:ascii="Book Antiqua" w:hAnsi="Book Antiqua"/>
          <w:i/>
          <w:iCs/>
        </w:rPr>
        <w:t>Gastrointest Endosc</w:t>
      </w:r>
      <w:r w:rsidRPr="00151BD6">
        <w:rPr>
          <w:rFonts w:ascii="Book Antiqua" w:hAnsi="Book Antiqua"/>
        </w:rPr>
        <w:t xml:space="preserve"> 2015; </w:t>
      </w:r>
      <w:r w:rsidRPr="00151BD6">
        <w:rPr>
          <w:rFonts w:ascii="Book Antiqua" w:hAnsi="Book Antiqua"/>
          <w:b/>
          <w:bCs/>
        </w:rPr>
        <w:t>81</w:t>
      </w:r>
      <w:r w:rsidRPr="00151BD6">
        <w:rPr>
          <w:rFonts w:ascii="Book Antiqua" w:hAnsi="Book Antiqua"/>
        </w:rPr>
        <w:t>: 1503-1504 [PMID: 25986123 DOI: 10.1016/j.gie.2015.01.021]</w:t>
      </w:r>
    </w:p>
    <w:p w14:paraId="67566311"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54 </w:t>
      </w:r>
      <w:r w:rsidRPr="00151BD6">
        <w:rPr>
          <w:rFonts w:ascii="Book Antiqua" w:hAnsi="Book Antiqua"/>
          <w:b/>
          <w:bCs/>
        </w:rPr>
        <w:t>Aabakken L</w:t>
      </w:r>
      <w:r w:rsidRPr="00151BD6">
        <w:rPr>
          <w:rFonts w:ascii="Book Antiqua" w:hAnsi="Book Antiqua"/>
        </w:rPr>
        <w:t xml:space="preserve">, Karlsen TH, Albert J, Arvanitakis M, Chazouilleres O, Dumonceau JM, Färkkilä M, Fickert P, Hirschfield GM, Laghi A, Marzioni M, Fernandez M, Pereira SP, Pohl J, Poley JW, Ponsioen CY, Schramm C, Swahn F, Tringali A, Hassan C. Role of endoscopy in primary sclerosing cholangitis: European Society of Gastrointestinal Endoscopy (ESGE) and European Association for the Study of the Liver (EASL) Clinical Guideline. </w:t>
      </w:r>
      <w:r w:rsidRPr="00151BD6">
        <w:rPr>
          <w:rFonts w:ascii="Book Antiqua" w:hAnsi="Book Antiqua"/>
          <w:i/>
          <w:iCs/>
        </w:rPr>
        <w:t>Endoscopy</w:t>
      </w:r>
      <w:r w:rsidRPr="00151BD6">
        <w:rPr>
          <w:rFonts w:ascii="Book Antiqua" w:hAnsi="Book Antiqua"/>
        </w:rPr>
        <w:t xml:space="preserve"> 2017; </w:t>
      </w:r>
      <w:r w:rsidRPr="00151BD6">
        <w:rPr>
          <w:rFonts w:ascii="Book Antiqua" w:hAnsi="Book Antiqua"/>
          <w:b/>
          <w:bCs/>
        </w:rPr>
        <w:t>49</w:t>
      </w:r>
      <w:r w:rsidRPr="00151BD6">
        <w:rPr>
          <w:rFonts w:ascii="Book Antiqua" w:hAnsi="Book Antiqua"/>
        </w:rPr>
        <w:t>: 588-608 [PMID: 28420030 DOI: 10.1055/s-0043-107029]</w:t>
      </w:r>
    </w:p>
    <w:p w14:paraId="782375F6"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55 </w:t>
      </w:r>
      <w:r w:rsidRPr="00151BD6">
        <w:rPr>
          <w:rFonts w:ascii="Book Antiqua" w:hAnsi="Book Antiqua"/>
          <w:b/>
          <w:bCs/>
        </w:rPr>
        <w:t>Chapman MH</w:t>
      </w:r>
      <w:r w:rsidRPr="00151BD6">
        <w:rPr>
          <w:rFonts w:ascii="Book Antiqua" w:hAnsi="Book Antiqua"/>
        </w:rPr>
        <w:t xml:space="preserve">, Thorburn D, Hirschfield GM, Webster GGJ, Rushbrook SM, Alexander G, Collier J, Dyson JK, Jones DE, Patanwala I, Thain C, Walmsley M, Pereira SP. British Society of Gastroenterology and UK-PSC guidelines for the diagnosis and management of primary sclerosing cholangitis. </w:t>
      </w:r>
      <w:r w:rsidRPr="00151BD6">
        <w:rPr>
          <w:rFonts w:ascii="Book Antiqua" w:hAnsi="Book Antiqua"/>
          <w:i/>
          <w:iCs/>
        </w:rPr>
        <w:t>Gut</w:t>
      </w:r>
      <w:r w:rsidRPr="00151BD6">
        <w:rPr>
          <w:rFonts w:ascii="Book Antiqua" w:hAnsi="Book Antiqua"/>
        </w:rPr>
        <w:t xml:space="preserve"> 2019; </w:t>
      </w:r>
      <w:r w:rsidRPr="00151BD6">
        <w:rPr>
          <w:rFonts w:ascii="Book Antiqua" w:hAnsi="Book Antiqua"/>
          <w:b/>
          <w:bCs/>
        </w:rPr>
        <w:t>68</w:t>
      </w:r>
      <w:r w:rsidRPr="00151BD6">
        <w:rPr>
          <w:rFonts w:ascii="Book Antiqua" w:hAnsi="Book Antiqua"/>
        </w:rPr>
        <w:t>: 1356-1378 [PMID: 31154395 DOI: 10.1136/gutjnl-2018-317993]</w:t>
      </w:r>
    </w:p>
    <w:p w14:paraId="03716910"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56 </w:t>
      </w:r>
      <w:r w:rsidRPr="00151BD6">
        <w:rPr>
          <w:rFonts w:ascii="Book Antiqua" w:hAnsi="Book Antiqua"/>
          <w:b/>
          <w:bCs/>
        </w:rPr>
        <w:t>Chehab MA</w:t>
      </w:r>
      <w:r w:rsidRPr="00151BD6">
        <w:rPr>
          <w:rFonts w:ascii="Book Antiqua" w:hAnsi="Book Antiqua"/>
        </w:rPr>
        <w:t xml:space="preserve">, Thakor AS, Tulin-Silver S, Connolly BL, Cahill AM, Ward TJ, Padia SA, Kohi MP, Midia M, Chaudry G, Gemmete JJ, Mitchell JW, Brody L, Crowley JJ, Heran MKS, Weinstein JL, Nikolic B, Dariushnia SR, Tam AL, Venkatesan AM. Adult and Pediatric Antibiotic Prophylaxis during Vascular and IR Procedures: A Society of Interventional Radiology Practice Parameter Update Endorsed by the Cardiovascular and Interventional Radiological Society of Europe and the Canadian Association for Interventional Radiology. </w:t>
      </w:r>
      <w:r w:rsidRPr="00151BD6">
        <w:rPr>
          <w:rFonts w:ascii="Book Antiqua" w:hAnsi="Book Antiqua"/>
          <w:i/>
          <w:iCs/>
        </w:rPr>
        <w:t>J Vasc Interv Radiol</w:t>
      </w:r>
      <w:r w:rsidRPr="00151BD6">
        <w:rPr>
          <w:rFonts w:ascii="Book Antiqua" w:hAnsi="Book Antiqua"/>
        </w:rPr>
        <w:t xml:space="preserve"> 2018; </w:t>
      </w:r>
      <w:r w:rsidRPr="00151BD6">
        <w:rPr>
          <w:rFonts w:ascii="Book Antiqua" w:hAnsi="Book Antiqua"/>
          <w:b/>
          <w:bCs/>
        </w:rPr>
        <w:t>29</w:t>
      </w:r>
      <w:r w:rsidRPr="00151BD6">
        <w:rPr>
          <w:rFonts w:ascii="Book Antiqua" w:hAnsi="Book Antiqua"/>
        </w:rPr>
        <w:t>: 1483-1501.e2 [PMID: 30274857 DOI: 10.1016/j.jvir.2018.06.007]</w:t>
      </w:r>
    </w:p>
    <w:p w14:paraId="30D846AE"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57 </w:t>
      </w:r>
      <w:r w:rsidRPr="00151BD6">
        <w:rPr>
          <w:rFonts w:ascii="Book Antiqua" w:hAnsi="Book Antiqua"/>
          <w:b/>
          <w:bCs/>
        </w:rPr>
        <w:t>Bhatia SS</w:t>
      </w:r>
      <w:r w:rsidRPr="00151BD6">
        <w:rPr>
          <w:rFonts w:ascii="Book Antiqua" w:hAnsi="Book Antiqua"/>
        </w:rPr>
        <w:t xml:space="preserve">, Spector S, Echenique A, Froud T, Suthar R, Lawson I, Dalal R, Dinh V, Yrizarry J, Narayanan G. Is Antibiotic Prophylaxis for Percutaneous Radiofrequency Ablation (RFA) of Primary Liver Tumors Necessary? Results From a Single-Center Experience. </w:t>
      </w:r>
      <w:r w:rsidRPr="00151BD6">
        <w:rPr>
          <w:rFonts w:ascii="Book Antiqua" w:hAnsi="Book Antiqua"/>
          <w:i/>
          <w:iCs/>
        </w:rPr>
        <w:t>Cardiovasc Intervent Radiol</w:t>
      </w:r>
      <w:r w:rsidRPr="00151BD6">
        <w:rPr>
          <w:rFonts w:ascii="Book Antiqua" w:hAnsi="Book Antiqua"/>
        </w:rPr>
        <w:t xml:space="preserve"> 2015; </w:t>
      </w:r>
      <w:r w:rsidRPr="00151BD6">
        <w:rPr>
          <w:rFonts w:ascii="Book Antiqua" w:hAnsi="Book Antiqua"/>
          <w:b/>
          <w:bCs/>
        </w:rPr>
        <w:t>38</w:t>
      </w:r>
      <w:r w:rsidRPr="00151BD6">
        <w:rPr>
          <w:rFonts w:ascii="Book Antiqua" w:hAnsi="Book Antiqua"/>
        </w:rPr>
        <w:t>: 922-928 [PMID: 25392237 DOI: 10.1007/s00270-014-1020-0]</w:t>
      </w:r>
    </w:p>
    <w:p w14:paraId="741C6011"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58 </w:t>
      </w:r>
      <w:r w:rsidRPr="00151BD6">
        <w:rPr>
          <w:rFonts w:ascii="Book Antiqua" w:hAnsi="Book Antiqua"/>
          <w:b/>
          <w:bCs/>
        </w:rPr>
        <w:t>Park JG</w:t>
      </w:r>
      <w:r w:rsidRPr="00151BD6">
        <w:rPr>
          <w:rFonts w:ascii="Book Antiqua" w:hAnsi="Book Antiqua"/>
        </w:rPr>
        <w:t xml:space="preserve">, Park SY, Tak WY, Kweon YO, Jang SY, Lee YR, Hur K, Lee HJ, Lee HW. Early complications after percutaneous radiofrequency ablation for hepatocellular carcinoma: an analysis of 1,843 ablations in 1,211 patients in a single centre: experience over 10 years. </w:t>
      </w:r>
      <w:r w:rsidRPr="00151BD6">
        <w:rPr>
          <w:rFonts w:ascii="Book Antiqua" w:hAnsi="Book Antiqua"/>
          <w:i/>
          <w:iCs/>
        </w:rPr>
        <w:t>Clin Radiol</w:t>
      </w:r>
      <w:r w:rsidRPr="00151BD6">
        <w:rPr>
          <w:rFonts w:ascii="Book Antiqua" w:hAnsi="Book Antiqua"/>
        </w:rPr>
        <w:t xml:space="preserve"> 2017; </w:t>
      </w:r>
      <w:r w:rsidRPr="00151BD6">
        <w:rPr>
          <w:rFonts w:ascii="Book Antiqua" w:hAnsi="Book Antiqua"/>
          <w:b/>
          <w:bCs/>
        </w:rPr>
        <w:t>72</w:t>
      </w:r>
      <w:r w:rsidRPr="00151BD6">
        <w:rPr>
          <w:rFonts w:ascii="Book Antiqua" w:hAnsi="Book Antiqua"/>
        </w:rPr>
        <w:t>: 692.e9-692.e15 [PMID: 28364952 DOI: 10.1016/j.crad.2017.03.001]</w:t>
      </w:r>
    </w:p>
    <w:p w14:paraId="7F9E6ABA"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59 </w:t>
      </w:r>
      <w:r w:rsidRPr="00151BD6">
        <w:rPr>
          <w:rFonts w:ascii="Book Antiqua" w:hAnsi="Book Antiqua"/>
          <w:b/>
          <w:bCs/>
        </w:rPr>
        <w:t>Kim W</w:t>
      </w:r>
      <w:r w:rsidRPr="00151BD6">
        <w:rPr>
          <w:rFonts w:ascii="Book Antiqua" w:hAnsi="Book Antiqua"/>
        </w:rPr>
        <w:t xml:space="preserve">, Clark TW, Baum RA, Soulen MC. Risk factors for liver abscess formation after hepatic chemoembolization. </w:t>
      </w:r>
      <w:r w:rsidRPr="00151BD6">
        <w:rPr>
          <w:rFonts w:ascii="Book Antiqua" w:hAnsi="Book Antiqua"/>
          <w:i/>
          <w:iCs/>
        </w:rPr>
        <w:t>J Vasc Interv Radiol</w:t>
      </w:r>
      <w:r w:rsidRPr="00151BD6">
        <w:rPr>
          <w:rFonts w:ascii="Book Antiqua" w:hAnsi="Book Antiqua"/>
        </w:rPr>
        <w:t xml:space="preserve"> 2001; </w:t>
      </w:r>
      <w:r w:rsidRPr="00151BD6">
        <w:rPr>
          <w:rFonts w:ascii="Book Antiqua" w:hAnsi="Book Antiqua"/>
          <w:b/>
          <w:bCs/>
        </w:rPr>
        <w:t>12</w:t>
      </w:r>
      <w:r w:rsidRPr="00151BD6">
        <w:rPr>
          <w:rFonts w:ascii="Book Antiqua" w:hAnsi="Book Antiqua"/>
        </w:rPr>
        <w:t>: 965-968 [PMID: 11487677 DOI: 10.1016/s1051-0443(07)61577-2]</w:t>
      </w:r>
    </w:p>
    <w:p w14:paraId="7B7159D4"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60 </w:t>
      </w:r>
      <w:r w:rsidRPr="00151BD6">
        <w:rPr>
          <w:rFonts w:ascii="Book Antiqua" w:hAnsi="Book Antiqua"/>
          <w:b/>
          <w:bCs/>
        </w:rPr>
        <w:t>Lv WF</w:t>
      </w:r>
      <w:r w:rsidRPr="00151BD6">
        <w:rPr>
          <w:rFonts w:ascii="Book Antiqua" w:hAnsi="Book Antiqua"/>
        </w:rPr>
        <w:t xml:space="preserve">, Lu D, He YS, Xiao JK, Zhou CZ, Cheng DL. Liver Abscess Formation Following Transarterial Chemoembolization: Clinical Features, Risk Factors, Bacteria Spectrum, and Percutaneous Catheter Drainage. </w:t>
      </w:r>
      <w:r w:rsidRPr="00151BD6">
        <w:rPr>
          <w:rFonts w:ascii="Book Antiqua" w:hAnsi="Book Antiqua"/>
          <w:i/>
          <w:iCs/>
        </w:rPr>
        <w:t>Medicine (Baltimore)</w:t>
      </w:r>
      <w:r w:rsidRPr="00151BD6">
        <w:rPr>
          <w:rFonts w:ascii="Book Antiqua" w:hAnsi="Book Antiqua"/>
        </w:rPr>
        <w:t xml:space="preserve"> 2016; </w:t>
      </w:r>
      <w:r w:rsidRPr="00151BD6">
        <w:rPr>
          <w:rFonts w:ascii="Book Antiqua" w:hAnsi="Book Antiqua"/>
          <w:b/>
          <w:bCs/>
        </w:rPr>
        <w:t>95</w:t>
      </w:r>
      <w:r w:rsidRPr="00151BD6">
        <w:rPr>
          <w:rFonts w:ascii="Book Antiqua" w:hAnsi="Book Antiqua"/>
        </w:rPr>
        <w:t>: e3503 [PMID: 27124055 DOI: 10.1097/MD.0000000000003503]</w:t>
      </w:r>
    </w:p>
    <w:p w14:paraId="46900863"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61 </w:t>
      </w:r>
      <w:r w:rsidRPr="00151BD6">
        <w:rPr>
          <w:rFonts w:ascii="Book Antiqua" w:hAnsi="Book Antiqua"/>
          <w:b/>
          <w:bCs/>
        </w:rPr>
        <w:t>Shibata T</w:t>
      </w:r>
      <w:r w:rsidRPr="00151BD6">
        <w:rPr>
          <w:rFonts w:ascii="Book Antiqua" w:hAnsi="Book Antiqua"/>
        </w:rPr>
        <w:t xml:space="preserve">, Yamamoto Y, Yamamoto N, Maetani Y, Shibata T, Ikai I, Terajima H, Hatano E, Kubo T, Itoh K, Hiraoka M. Cholangitis and liver abscess after percutaneous ablation therapy for liver tumors: incidence and risk factors. </w:t>
      </w:r>
      <w:r w:rsidRPr="00151BD6">
        <w:rPr>
          <w:rFonts w:ascii="Book Antiqua" w:hAnsi="Book Antiqua"/>
          <w:i/>
          <w:iCs/>
        </w:rPr>
        <w:t>J Vasc Interv Radiol</w:t>
      </w:r>
      <w:r w:rsidRPr="00151BD6">
        <w:rPr>
          <w:rFonts w:ascii="Book Antiqua" w:hAnsi="Book Antiqua"/>
        </w:rPr>
        <w:t xml:space="preserve"> 2003; </w:t>
      </w:r>
      <w:r w:rsidRPr="00151BD6">
        <w:rPr>
          <w:rFonts w:ascii="Book Antiqua" w:hAnsi="Book Antiqua"/>
          <w:b/>
          <w:bCs/>
        </w:rPr>
        <w:t>14</w:t>
      </w:r>
      <w:r w:rsidRPr="00151BD6">
        <w:rPr>
          <w:rFonts w:ascii="Book Antiqua" w:hAnsi="Book Antiqua"/>
        </w:rPr>
        <w:t>: 1535-1542 [PMID: 14654488 DOI: 10.1097/01.rvi.0000099532.29957.4f]</w:t>
      </w:r>
    </w:p>
    <w:p w14:paraId="1E9E86DF"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62 </w:t>
      </w:r>
      <w:r w:rsidRPr="00151BD6">
        <w:rPr>
          <w:rFonts w:ascii="Book Antiqua" w:hAnsi="Book Antiqua"/>
          <w:b/>
          <w:bCs/>
        </w:rPr>
        <w:t>de Baère T</w:t>
      </w:r>
      <w:r w:rsidRPr="00151BD6">
        <w:rPr>
          <w:rFonts w:ascii="Book Antiqua" w:hAnsi="Book Antiqua"/>
        </w:rPr>
        <w:t xml:space="preserve">, Risse O, Kuoch V, Dromain C, Sengel C, Smayra T, Gamal El Din M, Letoublon C, Elias D. Adverse events during radiofrequency treatment of 582 hepatic tumors. </w:t>
      </w:r>
      <w:r w:rsidRPr="00151BD6">
        <w:rPr>
          <w:rFonts w:ascii="Book Antiqua" w:hAnsi="Book Antiqua"/>
          <w:i/>
          <w:iCs/>
        </w:rPr>
        <w:t>AJR Am J Roentgenol</w:t>
      </w:r>
      <w:r w:rsidRPr="00151BD6">
        <w:rPr>
          <w:rFonts w:ascii="Book Antiqua" w:hAnsi="Book Antiqua"/>
        </w:rPr>
        <w:t xml:space="preserve"> 2003; </w:t>
      </w:r>
      <w:r w:rsidRPr="00151BD6">
        <w:rPr>
          <w:rFonts w:ascii="Book Antiqua" w:hAnsi="Book Antiqua"/>
          <w:b/>
          <w:bCs/>
        </w:rPr>
        <w:t>181</w:t>
      </w:r>
      <w:r w:rsidRPr="00151BD6">
        <w:rPr>
          <w:rFonts w:ascii="Book Antiqua" w:hAnsi="Book Antiqua"/>
        </w:rPr>
        <w:t>: 695-700 [PMID: 12933462 DOI: 10.2214/ajr.181.3.1810695]</w:t>
      </w:r>
    </w:p>
    <w:p w14:paraId="42A8E8BC"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63 </w:t>
      </w:r>
      <w:r w:rsidRPr="00151BD6">
        <w:rPr>
          <w:rFonts w:ascii="Book Antiqua" w:hAnsi="Book Antiqua"/>
          <w:b/>
          <w:bCs/>
        </w:rPr>
        <w:t>Choi D</w:t>
      </w:r>
      <w:r w:rsidRPr="00151BD6">
        <w:rPr>
          <w:rFonts w:ascii="Book Antiqua" w:hAnsi="Book Antiqua"/>
        </w:rPr>
        <w:t xml:space="preserve">, Lim HK, Kim MJ, Kim SJ, Kim SH, Lee WJ, Lim JH, Paik SW, Yoo BC, Choi MS, Kim S. Liver abscess after percutaneous radiofrequency ablation for hepatocellular carcinomas: frequency and risk factors. </w:t>
      </w:r>
      <w:r w:rsidRPr="00151BD6">
        <w:rPr>
          <w:rFonts w:ascii="Book Antiqua" w:hAnsi="Book Antiqua"/>
          <w:i/>
          <w:iCs/>
        </w:rPr>
        <w:t>AJR Am J Roentgenol</w:t>
      </w:r>
      <w:r w:rsidRPr="00151BD6">
        <w:rPr>
          <w:rFonts w:ascii="Book Antiqua" w:hAnsi="Book Antiqua"/>
        </w:rPr>
        <w:t xml:space="preserve"> 2005; </w:t>
      </w:r>
      <w:r w:rsidRPr="00151BD6">
        <w:rPr>
          <w:rFonts w:ascii="Book Antiqua" w:hAnsi="Book Antiqua"/>
          <w:b/>
          <w:bCs/>
        </w:rPr>
        <w:t>184</w:t>
      </w:r>
      <w:r w:rsidRPr="00151BD6">
        <w:rPr>
          <w:rFonts w:ascii="Book Antiqua" w:hAnsi="Book Antiqua"/>
        </w:rPr>
        <w:t>: 1860-1867 [PMID: 15908543 DOI: 10.2214/ajr.184.6.01841860]</w:t>
      </w:r>
    </w:p>
    <w:p w14:paraId="64F55853"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64 </w:t>
      </w:r>
      <w:r w:rsidRPr="00151BD6">
        <w:rPr>
          <w:rFonts w:ascii="Book Antiqua" w:hAnsi="Book Antiqua"/>
          <w:b/>
          <w:bCs/>
        </w:rPr>
        <w:t>Watchmaker JM</w:t>
      </w:r>
      <w:r w:rsidRPr="00151BD6">
        <w:rPr>
          <w:rFonts w:ascii="Book Antiqua" w:hAnsi="Book Antiqua"/>
        </w:rPr>
        <w:t xml:space="preserve">, Lipnik AJ, Fritsche MR, Baker JC, Mouli SK, Geevarghese S, Banovac F, Omary RA, Brown DB. Are prophylactic antibiotics necessary prior to transarterial chemoembolization for hepatocellular carcinoma in patients with native biliary anatomy? </w:t>
      </w:r>
      <w:r w:rsidRPr="00151BD6">
        <w:rPr>
          <w:rFonts w:ascii="Book Antiqua" w:hAnsi="Book Antiqua"/>
          <w:i/>
          <w:iCs/>
        </w:rPr>
        <w:t>J Surg Oncol</w:t>
      </w:r>
      <w:r w:rsidRPr="00151BD6">
        <w:rPr>
          <w:rFonts w:ascii="Book Antiqua" w:hAnsi="Book Antiqua"/>
        </w:rPr>
        <w:t xml:space="preserve"> 2018; </w:t>
      </w:r>
      <w:r w:rsidRPr="00151BD6">
        <w:rPr>
          <w:rFonts w:ascii="Book Antiqua" w:hAnsi="Book Antiqua"/>
          <w:b/>
          <w:bCs/>
        </w:rPr>
        <w:t>117</w:t>
      </w:r>
      <w:r w:rsidRPr="00151BD6">
        <w:rPr>
          <w:rFonts w:ascii="Book Antiqua" w:hAnsi="Book Antiqua"/>
        </w:rPr>
        <w:t>: 1312-1317 [PMID: 29513895 DOI: 10.1002/jso.24993]</w:t>
      </w:r>
    </w:p>
    <w:p w14:paraId="334A54CD"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65 </w:t>
      </w:r>
      <w:r w:rsidRPr="00151BD6">
        <w:rPr>
          <w:rFonts w:ascii="Book Antiqua" w:hAnsi="Book Antiqua"/>
          <w:b/>
          <w:bCs/>
        </w:rPr>
        <w:t>Wang J</w:t>
      </w:r>
      <w:r w:rsidRPr="00151BD6">
        <w:rPr>
          <w:rFonts w:ascii="Book Antiqua" w:hAnsi="Book Antiqua"/>
        </w:rPr>
        <w:t xml:space="preserve">, He XD, Zhang YC. Antibiotic prophylaxis in transarterial therapy of hepatocellular carcinoma: a meta-analysis. </w:t>
      </w:r>
      <w:r w:rsidRPr="00151BD6">
        <w:rPr>
          <w:rFonts w:ascii="Book Antiqua" w:hAnsi="Book Antiqua"/>
          <w:i/>
          <w:iCs/>
        </w:rPr>
        <w:t>Can J Gastroenterol</w:t>
      </w:r>
      <w:r w:rsidRPr="00151BD6">
        <w:rPr>
          <w:rFonts w:ascii="Book Antiqua" w:hAnsi="Book Antiqua"/>
        </w:rPr>
        <w:t xml:space="preserve"> 2012; </w:t>
      </w:r>
      <w:r w:rsidRPr="00151BD6">
        <w:rPr>
          <w:rFonts w:ascii="Book Antiqua" w:hAnsi="Book Antiqua"/>
          <w:b/>
          <w:bCs/>
        </w:rPr>
        <w:t>26</w:t>
      </w:r>
      <w:r w:rsidRPr="00151BD6">
        <w:rPr>
          <w:rFonts w:ascii="Book Antiqua" w:hAnsi="Book Antiqua"/>
        </w:rPr>
        <w:t>: 85-91 [PMID: 22312607 DOI: 10.1155/2012/375956]</w:t>
      </w:r>
    </w:p>
    <w:p w14:paraId="45A3FE7C"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66 </w:t>
      </w:r>
      <w:r w:rsidRPr="00151BD6">
        <w:rPr>
          <w:rFonts w:ascii="Book Antiqua" w:hAnsi="Book Antiqua"/>
          <w:b/>
          <w:bCs/>
        </w:rPr>
        <w:t>Wang Q</w:t>
      </w:r>
      <w:r w:rsidRPr="00151BD6">
        <w:rPr>
          <w:rFonts w:ascii="Book Antiqua" w:hAnsi="Book Antiqua"/>
        </w:rPr>
        <w:t xml:space="preserve">, Hodavance M, Ronald J, Suhocki PV, Kim CY. Minimal Risk of Biliary Tract Complications, Including Hepatic Abscess, After Transarterial Embolization for Hepatocellular Carcinoma Using Concentrated Antibiotics Mixed with Particles. </w:t>
      </w:r>
      <w:r w:rsidRPr="00151BD6">
        <w:rPr>
          <w:rFonts w:ascii="Book Antiqua" w:hAnsi="Book Antiqua"/>
          <w:i/>
          <w:iCs/>
        </w:rPr>
        <w:t>Cardiovasc Intervent Radiol</w:t>
      </w:r>
      <w:r w:rsidRPr="00151BD6">
        <w:rPr>
          <w:rFonts w:ascii="Book Antiqua" w:hAnsi="Book Antiqua"/>
        </w:rPr>
        <w:t xml:space="preserve"> 2018; </w:t>
      </w:r>
      <w:r w:rsidRPr="00151BD6">
        <w:rPr>
          <w:rFonts w:ascii="Book Antiqua" w:hAnsi="Book Antiqua"/>
          <w:b/>
          <w:bCs/>
        </w:rPr>
        <w:t>41</w:t>
      </w:r>
      <w:r w:rsidRPr="00151BD6">
        <w:rPr>
          <w:rFonts w:ascii="Book Antiqua" w:hAnsi="Book Antiqua"/>
        </w:rPr>
        <w:t>: 1391-1398 [PMID: 29797068 DOI: 10.1007/s00270-018-1989-x]</w:t>
      </w:r>
    </w:p>
    <w:p w14:paraId="3F66B5DC"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67 </w:t>
      </w:r>
      <w:r w:rsidRPr="00151BD6">
        <w:rPr>
          <w:rFonts w:ascii="Book Antiqua" w:hAnsi="Book Antiqua"/>
          <w:b/>
          <w:bCs/>
        </w:rPr>
        <w:t>Powerski MJ</w:t>
      </w:r>
      <w:r w:rsidRPr="00151BD6">
        <w:rPr>
          <w:rFonts w:ascii="Book Antiqua" w:hAnsi="Book Antiqua"/>
        </w:rPr>
        <w:t xml:space="preserve">, Scheurig-Münkler C, Banzer J, Schnapauff D, Hamm B, Gebauer B. Clinical practice in radioembolization of hepatic malignancies: a survey among interventional centers in Europe. </w:t>
      </w:r>
      <w:r w:rsidRPr="00151BD6">
        <w:rPr>
          <w:rFonts w:ascii="Book Antiqua" w:hAnsi="Book Antiqua"/>
          <w:i/>
          <w:iCs/>
        </w:rPr>
        <w:t>Eur J Radiol</w:t>
      </w:r>
      <w:r w:rsidRPr="00151BD6">
        <w:rPr>
          <w:rFonts w:ascii="Book Antiqua" w:hAnsi="Book Antiqua"/>
        </w:rPr>
        <w:t xml:space="preserve"> 2012; </w:t>
      </w:r>
      <w:r w:rsidRPr="00151BD6">
        <w:rPr>
          <w:rFonts w:ascii="Book Antiqua" w:hAnsi="Book Antiqua"/>
          <w:b/>
          <w:bCs/>
        </w:rPr>
        <w:t>81</w:t>
      </w:r>
      <w:r w:rsidRPr="00151BD6">
        <w:rPr>
          <w:rFonts w:ascii="Book Antiqua" w:hAnsi="Book Antiqua"/>
        </w:rPr>
        <w:t>: e804-e811 [PMID: 22546235 DOI: 10.1016/j.ejrad.2012.04.004]</w:t>
      </w:r>
    </w:p>
    <w:p w14:paraId="625B9874"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68 </w:t>
      </w:r>
      <w:r w:rsidRPr="00151BD6">
        <w:rPr>
          <w:rFonts w:ascii="Book Antiqua" w:hAnsi="Book Antiqua"/>
          <w:b/>
          <w:bCs/>
        </w:rPr>
        <w:t>Devulapalli KK</w:t>
      </w:r>
      <w:r w:rsidRPr="00151BD6">
        <w:rPr>
          <w:rFonts w:ascii="Book Antiqua" w:hAnsi="Book Antiqua"/>
        </w:rPr>
        <w:t xml:space="preserve">, Fidelman N, Soulen MC, Miller M, Johnson MS, Addo E, El-Haddad G, Nutting C, Morrison J, Farsad K, Lokken RP, Gaba RC, Fleming J, Brown DB, Kwan SW, Rose SC, Pennycooke KA, Liu DM, White SB, Gandhi R, Lazar AA, Kerlan RK Jr. </w:t>
      </w:r>
      <w:r w:rsidRPr="00151BD6">
        <w:rPr>
          <w:rFonts w:ascii="Book Antiqua" w:hAnsi="Book Antiqua"/>
          <w:vertAlign w:val="superscript"/>
        </w:rPr>
        <w:t>90</w:t>
      </w:r>
      <w:r w:rsidRPr="00151BD6">
        <w:rPr>
          <w:rFonts w:ascii="Book Antiqua" w:hAnsi="Book Antiqua"/>
        </w:rPr>
        <w:t xml:space="preserve">Y Radioembolization for Hepatic Malignancy in Patients with Previous Biliary Intervention: Multicenter Analysis of Hepatobiliary Infections. </w:t>
      </w:r>
      <w:r w:rsidRPr="00151BD6">
        <w:rPr>
          <w:rFonts w:ascii="Book Antiqua" w:hAnsi="Book Antiqua"/>
          <w:i/>
          <w:iCs/>
        </w:rPr>
        <w:t>Radiology</w:t>
      </w:r>
      <w:r w:rsidRPr="00151BD6">
        <w:rPr>
          <w:rFonts w:ascii="Book Antiqua" w:hAnsi="Book Antiqua"/>
        </w:rPr>
        <w:t xml:space="preserve"> 2018; </w:t>
      </w:r>
      <w:r w:rsidRPr="00151BD6">
        <w:rPr>
          <w:rFonts w:ascii="Book Antiqua" w:hAnsi="Book Antiqua"/>
          <w:b/>
          <w:bCs/>
        </w:rPr>
        <w:t>288</w:t>
      </w:r>
      <w:r w:rsidRPr="00151BD6">
        <w:rPr>
          <w:rFonts w:ascii="Book Antiqua" w:hAnsi="Book Antiqua"/>
        </w:rPr>
        <w:t>: 774-781 [PMID: 29737954 DOI: 10.1148/radiol.2018170962]</w:t>
      </w:r>
    </w:p>
    <w:p w14:paraId="6EF48AAE"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69 </w:t>
      </w:r>
      <w:r w:rsidRPr="00151BD6">
        <w:rPr>
          <w:rFonts w:ascii="Book Antiqua" w:hAnsi="Book Antiqua"/>
          <w:b/>
          <w:bCs/>
        </w:rPr>
        <w:t>Anesi JA</w:t>
      </w:r>
      <w:r w:rsidRPr="00151BD6">
        <w:rPr>
          <w:rFonts w:ascii="Book Antiqua" w:hAnsi="Book Antiqua"/>
        </w:rPr>
        <w:t xml:space="preserve">, Blumberg EA, Abbo LM. Perioperative Antibiotic Prophylaxis to Prevent Surgical Site Infections in Solid Organ Transplantation. </w:t>
      </w:r>
      <w:r w:rsidRPr="00151BD6">
        <w:rPr>
          <w:rFonts w:ascii="Book Antiqua" w:hAnsi="Book Antiqua"/>
          <w:i/>
          <w:iCs/>
        </w:rPr>
        <w:t>Transplantation</w:t>
      </w:r>
      <w:r w:rsidRPr="00151BD6">
        <w:rPr>
          <w:rFonts w:ascii="Book Antiqua" w:hAnsi="Book Antiqua"/>
        </w:rPr>
        <w:t xml:space="preserve"> 2018; </w:t>
      </w:r>
      <w:r w:rsidRPr="00151BD6">
        <w:rPr>
          <w:rFonts w:ascii="Book Antiqua" w:hAnsi="Book Antiqua"/>
          <w:b/>
          <w:bCs/>
        </w:rPr>
        <w:t>102</w:t>
      </w:r>
      <w:r w:rsidRPr="00151BD6">
        <w:rPr>
          <w:rFonts w:ascii="Book Antiqua" w:hAnsi="Book Antiqua"/>
        </w:rPr>
        <w:t>: 21-34 [PMID: 28614192 DOI: 10.1097/TP.0000000000001848]</w:t>
      </w:r>
    </w:p>
    <w:p w14:paraId="36792EAC"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70 </w:t>
      </w:r>
      <w:r w:rsidRPr="00151BD6">
        <w:rPr>
          <w:rFonts w:ascii="Book Antiqua" w:hAnsi="Book Antiqua"/>
          <w:b/>
          <w:bCs/>
        </w:rPr>
        <w:t>Viehman JA</w:t>
      </w:r>
      <w:r w:rsidRPr="00151BD6">
        <w:rPr>
          <w:rFonts w:ascii="Book Antiqua" w:hAnsi="Book Antiqua"/>
        </w:rPr>
        <w:t xml:space="preserve">, Clancy CJ, Clarke L, Shields RK, Silveira FP, Kwak EJ, Vergidis P, Hughes C, Humar A, Nguyen MH. Surgical Site Infections After Liver Transplantation: Emergence of Multidrug-Resistant Bacteria and Implications for Prophylaxis and Treatment Strategies. </w:t>
      </w:r>
      <w:r w:rsidRPr="00151BD6">
        <w:rPr>
          <w:rFonts w:ascii="Book Antiqua" w:hAnsi="Book Antiqua"/>
          <w:i/>
          <w:iCs/>
        </w:rPr>
        <w:t>Transplantation</w:t>
      </w:r>
      <w:r w:rsidRPr="00151BD6">
        <w:rPr>
          <w:rFonts w:ascii="Book Antiqua" w:hAnsi="Book Antiqua"/>
        </w:rPr>
        <w:t xml:space="preserve"> 2016; </w:t>
      </w:r>
      <w:r w:rsidRPr="00151BD6">
        <w:rPr>
          <w:rFonts w:ascii="Book Antiqua" w:hAnsi="Book Antiqua"/>
          <w:b/>
          <w:bCs/>
        </w:rPr>
        <w:t>100</w:t>
      </w:r>
      <w:r w:rsidRPr="00151BD6">
        <w:rPr>
          <w:rFonts w:ascii="Book Antiqua" w:hAnsi="Book Antiqua"/>
        </w:rPr>
        <w:t>: 2107-2114 [PMID: 27479167 DOI: 10.1097/TP.0000000000001356]</w:t>
      </w:r>
    </w:p>
    <w:p w14:paraId="620040E4"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71 </w:t>
      </w:r>
      <w:r w:rsidRPr="00151BD6">
        <w:rPr>
          <w:rFonts w:ascii="Book Antiqua" w:hAnsi="Book Antiqua"/>
          <w:b/>
          <w:bCs/>
        </w:rPr>
        <w:t>Almeida RA,</w:t>
      </w:r>
      <w:r w:rsidRPr="00151BD6">
        <w:rPr>
          <w:rFonts w:ascii="Book Antiqua" w:hAnsi="Book Antiqua"/>
        </w:rPr>
        <w:t xml:space="preserve"> Hasimoto CN, Kim A, Hasimoto EN, El Dib R. Antibiotic prophylaxis for surgical site infection in people undergoing liver transplantation. </w:t>
      </w:r>
      <w:r w:rsidRPr="00151BD6">
        <w:rPr>
          <w:rFonts w:ascii="Book Antiqua" w:hAnsi="Book Antiqua"/>
          <w:i/>
        </w:rPr>
        <w:t>Cochrane Database Syst Rev</w:t>
      </w:r>
      <w:r w:rsidRPr="00151BD6">
        <w:rPr>
          <w:rFonts w:ascii="Book Antiqua" w:hAnsi="Book Antiqua"/>
        </w:rPr>
        <w:t xml:space="preserve"> 2015</w:t>
      </w:r>
      <w:r w:rsidR="00B941CE" w:rsidRPr="00151BD6">
        <w:rPr>
          <w:rFonts w:ascii="Book Antiqua" w:hAnsi="Book Antiqua"/>
          <w:lang w:eastAsia="zh-CN"/>
        </w:rPr>
        <w:t>;</w:t>
      </w:r>
      <w:r w:rsidRPr="00151BD6">
        <w:rPr>
          <w:rFonts w:ascii="Book Antiqua" w:hAnsi="Book Antiqua"/>
        </w:rPr>
        <w:t xml:space="preserve"> CD010164 [DOI:</w:t>
      </w:r>
      <w:r w:rsidR="00B941CE" w:rsidRPr="00151BD6">
        <w:rPr>
          <w:rFonts w:ascii="Book Antiqua" w:hAnsi="Book Antiqua"/>
          <w:lang w:eastAsia="zh-CN"/>
        </w:rPr>
        <w:t xml:space="preserve"> </w:t>
      </w:r>
      <w:r w:rsidRPr="00151BD6">
        <w:rPr>
          <w:rFonts w:ascii="Book Antiqua" w:hAnsi="Book Antiqua"/>
        </w:rPr>
        <w:t>10.1002/14651858.cd010164.pub2]</w:t>
      </w:r>
    </w:p>
    <w:p w14:paraId="3EC664D0"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72 </w:t>
      </w:r>
      <w:r w:rsidRPr="00151BD6">
        <w:rPr>
          <w:rFonts w:ascii="Book Antiqua" w:hAnsi="Book Antiqua"/>
          <w:b/>
          <w:bCs/>
        </w:rPr>
        <w:t>Vandecasteele E</w:t>
      </w:r>
      <w:r w:rsidRPr="00151BD6">
        <w:rPr>
          <w:rFonts w:ascii="Book Antiqua" w:hAnsi="Book Antiqua"/>
        </w:rPr>
        <w:t xml:space="preserve">, De Waele J, Vandijck D, Blot S, Vogelaers D, Rogiers X, Van Vlierberghe H, Decruyenaere J, Hoste E. Antimicrobial prophylaxis in liver transplant patients--a multicenter survey endorsed by the European Liver and Intestine Transplant Association. </w:t>
      </w:r>
      <w:r w:rsidRPr="00151BD6">
        <w:rPr>
          <w:rFonts w:ascii="Book Antiqua" w:hAnsi="Book Antiqua"/>
          <w:i/>
          <w:iCs/>
        </w:rPr>
        <w:t>Transpl Int</w:t>
      </w:r>
      <w:r w:rsidRPr="00151BD6">
        <w:rPr>
          <w:rFonts w:ascii="Book Antiqua" w:hAnsi="Book Antiqua"/>
        </w:rPr>
        <w:t xml:space="preserve"> 2010; </w:t>
      </w:r>
      <w:r w:rsidRPr="00151BD6">
        <w:rPr>
          <w:rFonts w:ascii="Book Antiqua" w:hAnsi="Book Antiqua"/>
          <w:b/>
          <w:bCs/>
        </w:rPr>
        <w:t>23</w:t>
      </w:r>
      <w:r w:rsidRPr="00151BD6">
        <w:rPr>
          <w:rFonts w:ascii="Book Antiqua" w:hAnsi="Book Antiqua"/>
        </w:rPr>
        <w:t>: 182-190 [PMID: 19793076 DOI: 10.1111/j.1432-2277.2009.00974.x]</w:t>
      </w:r>
    </w:p>
    <w:p w14:paraId="5C164E50"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73 </w:t>
      </w:r>
      <w:r w:rsidRPr="00151BD6">
        <w:rPr>
          <w:rFonts w:ascii="Book Antiqua" w:hAnsi="Book Antiqua"/>
          <w:b/>
          <w:bCs/>
        </w:rPr>
        <w:t>Bratzler DW</w:t>
      </w:r>
      <w:r w:rsidRPr="00151BD6">
        <w:rPr>
          <w:rFonts w:ascii="Book Antiqua" w:hAnsi="Book Antiqua"/>
        </w:rPr>
        <w:t xml:space="preserve">, Dellinger EP, Olsen KM, Perl TM, Auwaerter PG, Bolon MK, Fish DN, Napolitano LM, Sawyer RG, Slain D, Steinberg JP, Weinstein RA; American Society of Health-System Pharmacists; Infectious Disease Society of America; Surgical Infection Society; Society for Healthcare Epidemiology of America. Clinical practice guidelines for antimicrobial prophylaxis in surgery. </w:t>
      </w:r>
      <w:r w:rsidRPr="00151BD6">
        <w:rPr>
          <w:rFonts w:ascii="Book Antiqua" w:hAnsi="Book Antiqua"/>
          <w:i/>
          <w:iCs/>
        </w:rPr>
        <w:t>Am J Health Syst Pharm</w:t>
      </w:r>
      <w:r w:rsidRPr="00151BD6">
        <w:rPr>
          <w:rFonts w:ascii="Book Antiqua" w:hAnsi="Book Antiqua"/>
        </w:rPr>
        <w:t xml:space="preserve"> 2013; </w:t>
      </w:r>
      <w:r w:rsidRPr="00151BD6">
        <w:rPr>
          <w:rFonts w:ascii="Book Antiqua" w:hAnsi="Book Antiqua"/>
          <w:b/>
          <w:bCs/>
        </w:rPr>
        <w:t>70</w:t>
      </w:r>
      <w:r w:rsidRPr="00151BD6">
        <w:rPr>
          <w:rFonts w:ascii="Book Antiqua" w:hAnsi="Book Antiqua"/>
        </w:rPr>
        <w:t>: 195-283 [PMID: 23327981 DOI: 10.2146/ajhp120568]</w:t>
      </w:r>
    </w:p>
    <w:p w14:paraId="5EC7293A"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74 </w:t>
      </w:r>
      <w:r w:rsidRPr="00151BD6">
        <w:rPr>
          <w:rFonts w:ascii="Book Antiqua" w:hAnsi="Book Antiqua"/>
          <w:b/>
          <w:bCs/>
        </w:rPr>
        <w:t>Statlender L</w:t>
      </w:r>
      <w:r w:rsidRPr="00151BD6">
        <w:rPr>
          <w:rFonts w:ascii="Book Antiqua" w:hAnsi="Book Antiqua"/>
        </w:rPr>
        <w:t xml:space="preserve">, Yahav D, Ben-Zvi H, Margalit I, Ferder A, Goldberg E, Mor E, Bishara J, Cohen J. Perioperative prophylaxis with single-dose cefazolin for liver transplantation: a retrospective study. </w:t>
      </w:r>
      <w:r w:rsidRPr="00151BD6">
        <w:rPr>
          <w:rFonts w:ascii="Book Antiqua" w:hAnsi="Book Antiqua"/>
          <w:i/>
          <w:iCs/>
        </w:rPr>
        <w:t>Eur J Gastroenterol Hepatol</w:t>
      </w:r>
      <w:r w:rsidRPr="00151BD6">
        <w:rPr>
          <w:rFonts w:ascii="Book Antiqua" w:hAnsi="Book Antiqua"/>
        </w:rPr>
        <w:t xml:space="preserve"> 2019; </w:t>
      </w:r>
      <w:r w:rsidRPr="00151BD6">
        <w:rPr>
          <w:rFonts w:ascii="Book Antiqua" w:hAnsi="Book Antiqua"/>
          <w:b/>
          <w:bCs/>
        </w:rPr>
        <w:t>31</w:t>
      </w:r>
      <w:r w:rsidRPr="00151BD6">
        <w:rPr>
          <w:rFonts w:ascii="Book Antiqua" w:hAnsi="Book Antiqua"/>
        </w:rPr>
        <w:t>: 1135-1140 [PMID: 30896551 DOI: 10.1097/MEG.0000000000001401]</w:t>
      </w:r>
    </w:p>
    <w:p w14:paraId="198591EE"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75 </w:t>
      </w:r>
      <w:r w:rsidRPr="00151BD6">
        <w:rPr>
          <w:rFonts w:ascii="Book Antiqua" w:hAnsi="Book Antiqua"/>
          <w:b/>
          <w:bCs/>
        </w:rPr>
        <w:t>Ferrarese A</w:t>
      </w:r>
      <w:r w:rsidRPr="00151BD6">
        <w:rPr>
          <w:rFonts w:ascii="Book Antiqua" w:hAnsi="Book Antiqua"/>
        </w:rPr>
        <w:t xml:space="preserve">, Zanetto A, Becchetti C, Sciarrone SS, Shalaby S, Germani G, Gambato M, Russo FP, Burra P, Senzolo M. Management of bacterial infection in the liver transplant candidate. </w:t>
      </w:r>
      <w:r w:rsidRPr="00151BD6">
        <w:rPr>
          <w:rFonts w:ascii="Book Antiqua" w:hAnsi="Book Antiqua"/>
          <w:i/>
          <w:iCs/>
        </w:rPr>
        <w:t>World J Hepatol</w:t>
      </w:r>
      <w:r w:rsidRPr="00151BD6">
        <w:rPr>
          <w:rFonts w:ascii="Book Antiqua" w:hAnsi="Book Antiqua"/>
        </w:rPr>
        <w:t xml:space="preserve"> 2018; </w:t>
      </w:r>
      <w:r w:rsidRPr="00151BD6">
        <w:rPr>
          <w:rFonts w:ascii="Book Antiqua" w:hAnsi="Book Antiqua"/>
          <w:b/>
          <w:bCs/>
        </w:rPr>
        <w:t>10</w:t>
      </w:r>
      <w:r w:rsidRPr="00151BD6">
        <w:rPr>
          <w:rFonts w:ascii="Book Antiqua" w:hAnsi="Book Antiqua"/>
        </w:rPr>
        <w:t>: 222-230 [PMID: 29527258 DOI: 10.4254/wjh.v10.i2.222]</w:t>
      </w:r>
    </w:p>
    <w:p w14:paraId="343C149A"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76 </w:t>
      </w:r>
      <w:r w:rsidRPr="00151BD6">
        <w:rPr>
          <w:rFonts w:ascii="Book Antiqua" w:hAnsi="Book Antiqua"/>
          <w:b/>
          <w:bCs/>
        </w:rPr>
        <w:t>Berry PS</w:t>
      </w:r>
      <w:r w:rsidRPr="00151BD6">
        <w:rPr>
          <w:rFonts w:ascii="Book Antiqua" w:hAnsi="Book Antiqua"/>
        </w:rPr>
        <w:t xml:space="preserve">, Rosenberger LH, Guidry CA, Agarwal A, Pelletier S, Sawyer RG. Intraoperative Versus Extended Antibiotic Prophylaxis in Liver Transplant Surgery: A Randomized Controlled Pilot Trial. </w:t>
      </w:r>
      <w:r w:rsidRPr="00151BD6">
        <w:rPr>
          <w:rFonts w:ascii="Book Antiqua" w:hAnsi="Book Antiqua"/>
          <w:i/>
          <w:iCs/>
        </w:rPr>
        <w:t>Liver Transpl</w:t>
      </w:r>
      <w:r w:rsidRPr="00151BD6">
        <w:rPr>
          <w:rFonts w:ascii="Book Antiqua" w:hAnsi="Book Antiqua"/>
        </w:rPr>
        <w:t xml:space="preserve"> 2019; </w:t>
      </w:r>
      <w:r w:rsidRPr="00151BD6">
        <w:rPr>
          <w:rFonts w:ascii="Book Antiqua" w:hAnsi="Book Antiqua"/>
          <w:b/>
          <w:bCs/>
        </w:rPr>
        <w:t>25</w:t>
      </w:r>
      <w:r w:rsidRPr="00151BD6">
        <w:rPr>
          <w:rFonts w:ascii="Book Antiqua" w:hAnsi="Book Antiqua"/>
        </w:rPr>
        <w:t>: 1043-1053 [PMID: 31063679 DOI: 10.1002/lt.25486]</w:t>
      </w:r>
    </w:p>
    <w:p w14:paraId="7FEF3A2C"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77 </w:t>
      </w:r>
      <w:r w:rsidRPr="00151BD6">
        <w:rPr>
          <w:rFonts w:ascii="Book Antiqua" w:hAnsi="Book Antiqua"/>
          <w:b/>
          <w:bCs/>
        </w:rPr>
        <w:t>Nakamura K</w:t>
      </w:r>
      <w:r w:rsidRPr="00151BD6">
        <w:rPr>
          <w:rFonts w:ascii="Book Antiqua" w:hAnsi="Book Antiqua"/>
        </w:rPr>
        <w:t xml:space="preserve">, Kageyama S, Ito T, Hirao H, Kadono K, Aziz A, Dery KJ, Everly MJ, Taura K, Uemoto S, Farmer DG, Kaldas FM, Busuttil RW, Kupiec-Weglinski JW. Antibiotic pretreatment alleviates liver transplant damage in mice and humans. </w:t>
      </w:r>
      <w:r w:rsidRPr="00151BD6">
        <w:rPr>
          <w:rFonts w:ascii="Book Antiqua" w:hAnsi="Book Antiqua"/>
          <w:i/>
          <w:iCs/>
        </w:rPr>
        <w:t>J Clin Invest</w:t>
      </w:r>
      <w:r w:rsidRPr="00151BD6">
        <w:rPr>
          <w:rFonts w:ascii="Book Antiqua" w:hAnsi="Book Antiqua"/>
        </w:rPr>
        <w:t xml:space="preserve"> 2019; </w:t>
      </w:r>
      <w:r w:rsidRPr="00151BD6">
        <w:rPr>
          <w:rFonts w:ascii="Book Antiqua" w:hAnsi="Book Antiqua"/>
          <w:b/>
          <w:bCs/>
        </w:rPr>
        <w:t>129</w:t>
      </w:r>
      <w:r w:rsidRPr="00151BD6">
        <w:rPr>
          <w:rFonts w:ascii="Book Antiqua" w:hAnsi="Book Antiqua"/>
        </w:rPr>
        <w:t>: 3420-3434 [PMID: 31329160 DOI: 10.1172/JCI127550]</w:t>
      </w:r>
    </w:p>
    <w:p w14:paraId="1797AF36"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78 </w:t>
      </w:r>
      <w:r w:rsidRPr="00151BD6">
        <w:rPr>
          <w:rFonts w:ascii="Book Antiqua" w:hAnsi="Book Antiqua"/>
          <w:b/>
          <w:bCs/>
        </w:rPr>
        <w:t>Gustot T</w:t>
      </w:r>
      <w:r w:rsidRPr="00151BD6">
        <w:rPr>
          <w:rFonts w:ascii="Book Antiqua" w:hAnsi="Book Antiqua"/>
        </w:rPr>
        <w:t xml:space="preserve">, Fernandez J, Szabo G, Albillos A, Louvet A, Jalan R, Moreau R, Moreno C. Sepsis in alcohol-related liver disease. </w:t>
      </w:r>
      <w:r w:rsidRPr="00151BD6">
        <w:rPr>
          <w:rFonts w:ascii="Book Antiqua" w:hAnsi="Book Antiqua"/>
          <w:i/>
          <w:iCs/>
        </w:rPr>
        <w:t>J Hepatol</w:t>
      </w:r>
      <w:r w:rsidRPr="00151BD6">
        <w:rPr>
          <w:rFonts w:ascii="Book Antiqua" w:hAnsi="Book Antiqua"/>
        </w:rPr>
        <w:t xml:space="preserve"> 2017; </w:t>
      </w:r>
      <w:r w:rsidRPr="00151BD6">
        <w:rPr>
          <w:rFonts w:ascii="Book Antiqua" w:hAnsi="Book Antiqua"/>
          <w:b/>
          <w:bCs/>
        </w:rPr>
        <w:t>67</w:t>
      </w:r>
      <w:r w:rsidRPr="00151BD6">
        <w:rPr>
          <w:rFonts w:ascii="Book Antiqua" w:hAnsi="Book Antiqua"/>
        </w:rPr>
        <w:t>: 1031-1050 [PMID: 28647569 DOI: 10.1016/j.jhep.2017.06.013]</w:t>
      </w:r>
    </w:p>
    <w:p w14:paraId="31295C98"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79 </w:t>
      </w:r>
      <w:r w:rsidRPr="00151BD6">
        <w:rPr>
          <w:rFonts w:ascii="Book Antiqua" w:hAnsi="Book Antiqua"/>
          <w:b/>
          <w:bCs/>
        </w:rPr>
        <w:t>Louvet A</w:t>
      </w:r>
      <w:r w:rsidRPr="00151BD6">
        <w:rPr>
          <w:rFonts w:ascii="Book Antiqua" w:hAnsi="Book Antiqua"/>
        </w:rPr>
        <w:t xml:space="preserve">, Wartel F, Castel H, Dharancy S, Hollebecque A, Canva-Delcambre V, Deltenre P, Mathurin P. Infection in patients with severe alcoholic hepatitis treated with steroids: early response to therapy is the key factor. </w:t>
      </w:r>
      <w:r w:rsidRPr="00151BD6">
        <w:rPr>
          <w:rFonts w:ascii="Book Antiqua" w:hAnsi="Book Antiqua"/>
          <w:i/>
          <w:iCs/>
        </w:rPr>
        <w:t>Gastroenterology</w:t>
      </w:r>
      <w:r w:rsidRPr="00151BD6">
        <w:rPr>
          <w:rFonts w:ascii="Book Antiqua" w:hAnsi="Book Antiqua"/>
        </w:rPr>
        <w:t xml:space="preserve"> 2009; </w:t>
      </w:r>
      <w:r w:rsidRPr="00151BD6">
        <w:rPr>
          <w:rFonts w:ascii="Book Antiqua" w:hAnsi="Book Antiqua"/>
          <w:b/>
          <w:bCs/>
        </w:rPr>
        <w:t>137</w:t>
      </w:r>
      <w:r w:rsidRPr="00151BD6">
        <w:rPr>
          <w:rFonts w:ascii="Book Antiqua" w:hAnsi="Book Antiqua"/>
        </w:rPr>
        <w:t>: 541-548 [PMID: 19445945 DOI: 10.1053/j.gastro.2009.04.062]</w:t>
      </w:r>
    </w:p>
    <w:p w14:paraId="1AD212FB"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80 </w:t>
      </w:r>
      <w:r w:rsidRPr="00151BD6">
        <w:rPr>
          <w:rFonts w:ascii="Book Antiqua" w:hAnsi="Book Antiqua"/>
          <w:b/>
          <w:bCs/>
        </w:rPr>
        <w:t>Gustot T</w:t>
      </w:r>
      <w:r w:rsidRPr="00151BD6">
        <w:rPr>
          <w:rFonts w:ascii="Book Antiqua" w:hAnsi="Book Antiqua"/>
        </w:rPr>
        <w:t xml:space="preserve">, Maillart E, Bocci M, Surin R, Trépo E, Degré D, Lucidi V, Taccone FS, Delforge ML, Vincent JL, Donckier V, Jacobs F, Moreno C. Invasive aspergillosis in patients with severe alcoholic hepatitis. </w:t>
      </w:r>
      <w:r w:rsidRPr="00151BD6">
        <w:rPr>
          <w:rFonts w:ascii="Book Antiqua" w:hAnsi="Book Antiqua"/>
          <w:i/>
          <w:iCs/>
        </w:rPr>
        <w:t>J Hepatol</w:t>
      </w:r>
      <w:r w:rsidRPr="00151BD6">
        <w:rPr>
          <w:rFonts w:ascii="Book Antiqua" w:hAnsi="Book Antiqua"/>
        </w:rPr>
        <w:t xml:space="preserve"> 2014; </w:t>
      </w:r>
      <w:r w:rsidRPr="00151BD6">
        <w:rPr>
          <w:rFonts w:ascii="Book Antiqua" w:hAnsi="Book Antiqua"/>
          <w:b/>
          <w:bCs/>
        </w:rPr>
        <w:t>60</w:t>
      </w:r>
      <w:r w:rsidRPr="00151BD6">
        <w:rPr>
          <w:rFonts w:ascii="Book Antiqua" w:hAnsi="Book Antiqua"/>
        </w:rPr>
        <w:t>: 267-274 [PMID: 24055548 DOI: 10.1016/j.jhep.2013.09.011]</w:t>
      </w:r>
    </w:p>
    <w:p w14:paraId="082EDFE8"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81 </w:t>
      </w:r>
      <w:r w:rsidRPr="00151BD6">
        <w:rPr>
          <w:rFonts w:ascii="Book Antiqua" w:hAnsi="Book Antiqua"/>
          <w:b/>
          <w:bCs/>
        </w:rPr>
        <w:t>Vergis N</w:t>
      </w:r>
      <w:r w:rsidRPr="00151BD6">
        <w:rPr>
          <w:rFonts w:ascii="Book Antiqua" w:hAnsi="Book Antiqua"/>
        </w:rPr>
        <w:t xml:space="preserve">, Atkinson SR, Thursz MR. Assessment and Management of Infection in Alcoholic Hepatitis. </w:t>
      </w:r>
      <w:r w:rsidRPr="00151BD6">
        <w:rPr>
          <w:rFonts w:ascii="Book Antiqua" w:hAnsi="Book Antiqua"/>
          <w:i/>
          <w:iCs/>
        </w:rPr>
        <w:t>Semin Liver Dis</w:t>
      </w:r>
      <w:r w:rsidRPr="00151BD6">
        <w:rPr>
          <w:rFonts w:ascii="Book Antiqua" w:hAnsi="Book Antiqua"/>
        </w:rPr>
        <w:t xml:space="preserve"> 2020; </w:t>
      </w:r>
      <w:r w:rsidRPr="00151BD6">
        <w:rPr>
          <w:rFonts w:ascii="Book Antiqua" w:hAnsi="Book Antiqua"/>
          <w:b/>
          <w:bCs/>
        </w:rPr>
        <w:t>40</w:t>
      </w:r>
      <w:r w:rsidRPr="00151BD6">
        <w:rPr>
          <w:rFonts w:ascii="Book Antiqua" w:hAnsi="Book Antiqua"/>
        </w:rPr>
        <w:t>: 11-19 [PMID: 31370067 DOI: 10.1055/s-0039-1693402]</w:t>
      </w:r>
    </w:p>
    <w:p w14:paraId="09508E04"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82 </w:t>
      </w:r>
      <w:r w:rsidRPr="00151BD6">
        <w:rPr>
          <w:rFonts w:ascii="Book Antiqua" w:hAnsi="Book Antiqua"/>
          <w:b/>
          <w:bCs/>
        </w:rPr>
        <w:t>Vergis N</w:t>
      </w:r>
      <w:r w:rsidRPr="00151BD6">
        <w:rPr>
          <w:rFonts w:ascii="Book Antiqua" w:hAnsi="Book Antiqua"/>
        </w:rPr>
        <w:t xml:space="preserve">, Atkinson SR, Knapp S, Maurice J, Allison M, Austin A, Forrest EH, Masson S, McCune A, Patch D, Richardson P, Gleeson D, Ryder SD, Wright M, Thursz MR. In Patients With Severe Alcoholic Hepatitis, Prednisolone Increases Susceptibility to Infection and Infection-Related Mortality, and Is Associated With High Circulating Levels of Bacterial DNA. </w:t>
      </w:r>
      <w:r w:rsidRPr="00151BD6">
        <w:rPr>
          <w:rFonts w:ascii="Book Antiqua" w:hAnsi="Book Antiqua"/>
          <w:i/>
          <w:iCs/>
        </w:rPr>
        <w:t>Gastroenterology</w:t>
      </w:r>
      <w:r w:rsidRPr="00151BD6">
        <w:rPr>
          <w:rFonts w:ascii="Book Antiqua" w:hAnsi="Book Antiqua"/>
        </w:rPr>
        <w:t xml:space="preserve"> 2017; </w:t>
      </w:r>
      <w:r w:rsidRPr="00151BD6">
        <w:rPr>
          <w:rFonts w:ascii="Book Antiqua" w:hAnsi="Book Antiqua"/>
          <w:b/>
          <w:bCs/>
        </w:rPr>
        <w:t>152</w:t>
      </w:r>
      <w:r w:rsidRPr="00151BD6">
        <w:rPr>
          <w:rFonts w:ascii="Book Antiqua" w:hAnsi="Book Antiqua"/>
        </w:rPr>
        <w:t>: 1068-1077.e4 [PMID: 28043903 DOI: 10.1053/j.gastro.2016.12.019]</w:t>
      </w:r>
    </w:p>
    <w:p w14:paraId="7264F4E9"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83 </w:t>
      </w:r>
      <w:r w:rsidRPr="00151BD6">
        <w:rPr>
          <w:rFonts w:ascii="Book Antiqua" w:hAnsi="Book Antiqua"/>
          <w:b/>
          <w:bCs/>
        </w:rPr>
        <w:t>Hmoud BS</w:t>
      </w:r>
      <w:r w:rsidRPr="00151BD6">
        <w:rPr>
          <w:rFonts w:ascii="Book Antiqua" w:hAnsi="Book Antiqua"/>
        </w:rPr>
        <w:t xml:space="preserve">, Patel K, Bataller R, Singal AK. Corticosteroids and occurrence of and mortality from infections in severe alcoholic hepatitis: a meta-analysis of randomized trials. </w:t>
      </w:r>
      <w:r w:rsidRPr="00151BD6">
        <w:rPr>
          <w:rFonts w:ascii="Book Antiqua" w:hAnsi="Book Antiqua"/>
          <w:i/>
          <w:iCs/>
        </w:rPr>
        <w:t>Liver Int</w:t>
      </w:r>
      <w:r w:rsidRPr="00151BD6">
        <w:rPr>
          <w:rFonts w:ascii="Book Antiqua" w:hAnsi="Book Antiqua"/>
        </w:rPr>
        <w:t xml:space="preserve"> 2016; </w:t>
      </w:r>
      <w:r w:rsidRPr="00151BD6">
        <w:rPr>
          <w:rFonts w:ascii="Book Antiqua" w:hAnsi="Book Antiqua"/>
          <w:b/>
          <w:bCs/>
        </w:rPr>
        <w:t>36</w:t>
      </w:r>
      <w:r w:rsidRPr="00151BD6">
        <w:rPr>
          <w:rFonts w:ascii="Book Antiqua" w:hAnsi="Book Antiqua"/>
        </w:rPr>
        <w:t>: 721-728 [PMID: 26279269 DOI: 10.1111/liv.12939]</w:t>
      </w:r>
    </w:p>
    <w:p w14:paraId="26147719"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84 </w:t>
      </w:r>
      <w:r w:rsidRPr="00151BD6">
        <w:rPr>
          <w:rFonts w:ascii="Book Antiqua" w:hAnsi="Book Antiqua"/>
          <w:b/>
          <w:bCs/>
        </w:rPr>
        <w:t>Shalimar</w:t>
      </w:r>
      <w:r w:rsidRPr="00151BD6">
        <w:rPr>
          <w:rFonts w:ascii="Book Antiqua" w:hAnsi="Book Antiqua"/>
        </w:rPr>
        <w:t xml:space="preserve">, Kedia S, Sharma H, Vasudevan S, Sonika U, Upadhyaya AD, Acharya SK. Predictors of infection in viral-hepatitis related acute liver failure. </w:t>
      </w:r>
      <w:r w:rsidRPr="00151BD6">
        <w:rPr>
          <w:rFonts w:ascii="Book Antiqua" w:hAnsi="Book Antiqua"/>
          <w:i/>
          <w:iCs/>
        </w:rPr>
        <w:t>Scand J Gastroenterol</w:t>
      </w:r>
      <w:r w:rsidRPr="00151BD6">
        <w:rPr>
          <w:rFonts w:ascii="Book Antiqua" w:hAnsi="Book Antiqua"/>
        </w:rPr>
        <w:t xml:space="preserve"> 2017; </w:t>
      </w:r>
      <w:r w:rsidRPr="00151BD6">
        <w:rPr>
          <w:rFonts w:ascii="Book Antiqua" w:hAnsi="Book Antiqua"/>
          <w:b/>
          <w:bCs/>
        </w:rPr>
        <w:t>52</w:t>
      </w:r>
      <w:r w:rsidRPr="00151BD6">
        <w:rPr>
          <w:rFonts w:ascii="Book Antiqua" w:hAnsi="Book Antiqua"/>
        </w:rPr>
        <w:t>: 1413-1419 [PMID: 28875762 DOI: 10.1080/00365521.2017.1374449]</w:t>
      </w:r>
    </w:p>
    <w:p w14:paraId="7A29B5A6"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85 </w:t>
      </w:r>
      <w:r w:rsidRPr="00151BD6">
        <w:rPr>
          <w:rFonts w:ascii="Book Antiqua" w:hAnsi="Book Antiqua"/>
          <w:b/>
          <w:bCs/>
        </w:rPr>
        <w:t>Karvellas CJ</w:t>
      </w:r>
      <w:r w:rsidRPr="00151BD6">
        <w:rPr>
          <w:rFonts w:ascii="Book Antiqua" w:hAnsi="Book Antiqua"/>
        </w:rPr>
        <w:t xml:space="preserve">, Pink F, McPhail M, Cross T, Auzinger G, Bernal W, Sizer E, Kutsogiannis DJ, Eltringham I, Wendon JA. Predictors of bacteraemia and mortality in patients with acute liver failure. </w:t>
      </w:r>
      <w:r w:rsidRPr="00151BD6">
        <w:rPr>
          <w:rFonts w:ascii="Book Antiqua" w:hAnsi="Book Antiqua"/>
          <w:i/>
          <w:iCs/>
        </w:rPr>
        <w:t>Intensive Care Med</w:t>
      </w:r>
      <w:r w:rsidRPr="00151BD6">
        <w:rPr>
          <w:rFonts w:ascii="Book Antiqua" w:hAnsi="Book Antiqua"/>
        </w:rPr>
        <w:t xml:space="preserve"> 2009; </w:t>
      </w:r>
      <w:r w:rsidRPr="00151BD6">
        <w:rPr>
          <w:rFonts w:ascii="Book Antiqua" w:hAnsi="Book Antiqua"/>
          <w:b/>
          <w:bCs/>
        </w:rPr>
        <w:t>35</w:t>
      </w:r>
      <w:r w:rsidRPr="00151BD6">
        <w:rPr>
          <w:rFonts w:ascii="Book Antiqua" w:hAnsi="Book Antiqua"/>
        </w:rPr>
        <w:t>: 1390-1396 [PMID: 19343322 DOI: 10.1007/s00134-009-1472-x]</w:t>
      </w:r>
    </w:p>
    <w:p w14:paraId="2D2A8AA8"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86 </w:t>
      </w:r>
      <w:r w:rsidRPr="00151BD6">
        <w:rPr>
          <w:rFonts w:ascii="Book Antiqua" w:hAnsi="Book Antiqua"/>
          <w:b/>
          <w:bCs/>
        </w:rPr>
        <w:t>Karvellas CJ</w:t>
      </w:r>
      <w:r w:rsidRPr="00151BD6">
        <w:rPr>
          <w:rFonts w:ascii="Book Antiqua" w:hAnsi="Book Antiqua"/>
        </w:rPr>
        <w:t xml:space="preserve">, Cavazos J, Battenhouse H, Durkalski V, Balko J, Sanders C, Lee WM; US Acute Liver Failure Study Group. Effects of antimicrobial prophylaxis and blood stream infections in patients with acute liver failure: a retrospective cohort study. </w:t>
      </w:r>
      <w:r w:rsidRPr="00151BD6">
        <w:rPr>
          <w:rFonts w:ascii="Book Antiqua" w:hAnsi="Book Antiqua"/>
          <w:i/>
          <w:iCs/>
        </w:rPr>
        <w:t>Clin Gastroenterol Hepatol</w:t>
      </w:r>
      <w:r w:rsidRPr="00151BD6">
        <w:rPr>
          <w:rFonts w:ascii="Book Antiqua" w:hAnsi="Book Antiqua"/>
        </w:rPr>
        <w:t xml:space="preserve"> 2014; </w:t>
      </w:r>
      <w:r w:rsidRPr="00151BD6">
        <w:rPr>
          <w:rFonts w:ascii="Book Antiqua" w:hAnsi="Book Antiqua"/>
          <w:b/>
          <w:bCs/>
        </w:rPr>
        <w:t>12</w:t>
      </w:r>
      <w:r w:rsidRPr="00151BD6">
        <w:rPr>
          <w:rFonts w:ascii="Book Antiqua" w:hAnsi="Book Antiqua"/>
        </w:rPr>
        <w:t>: 1942-9.e1 [PMID: 24674942 DOI: 10.1016/j.cgh.2014.03.011]</w:t>
      </w:r>
    </w:p>
    <w:p w14:paraId="5416117E"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87 </w:t>
      </w:r>
      <w:r w:rsidRPr="00151BD6">
        <w:rPr>
          <w:rFonts w:ascii="Book Antiqua" w:hAnsi="Book Antiqua"/>
          <w:b/>
          <w:bCs/>
        </w:rPr>
        <w:t>Rolando N</w:t>
      </w:r>
      <w:r w:rsidRPr="00151BD6">
        <w:rPr>
          <w:rFonts w:ascii="Book Antiqua" w:hAnsi="Book Antiqua"/>
        </w:rPr>
        <w:t xml:space="preserve">, Philpott-Howard J, Williams R. Bacterial and fungal infection in acute liver failure. </w:t>
      </w:r>
      <w:r w:rsidRPr="00151BD6">
        <w:rPr>
          <w:rFonts w:ascii="Book Antiqua" w:hAnsi="Book Antiqua"/>
          <w:i/>
          <w:iCs/>
        </w:rPr>
        <w:t>Semin Liver Dis</w:t>
      </w:r>
      <w:r w:rsidRPr="00151BD6">
        <w:rPr>
          <w:rFonts w:ascii="Book Antiqua" w:hAnsi="Book Antiqua"/>
        </w:rPr>
        <w:t xml:space="preserve"> 1996; </w:t>
      </w:r>
      <w:r w:rsidRPr="00151BD6">
        <w:rPr>
          <w:rFonts w:ascii="Book Antiqua" w:hAnsi="Book Antiqua"/>
          <w:b/>
          <w:bCs/>
        </w:rPr>
        <w:t>16</w:t>
      </w:r>
      <w:r w:rsidRPr="00151BD6">
        <w:rPr>
          <w:rFonts w:ascii="Book Antiqua" w:hAnsi="Book Antiqua"/>
        </w:rPr>
        <w:t>: 389-402 [PMID: 9027952 DOI: 10.1055/s-2007-1007252]</w:t>
      </w:r>
    </w:p>
    <w:p w14:paraId="6DA9ED08"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88 </w:t>
      </w:r>
      <w:r w:rsidRPr="00151BD6">
        <w:rPr>
          <w:rFonts w:ascii="Book Antiqua" w:hAnsi="Book Antiqua"/>
          <w:b/>
          <w:bCs/>
        </w:rPr>
        <w:t xml:space="preserve">European Association for the Study of the Liver. </w:t>
      </w:r>
      <w:r w:rsidRPr="00151BD6">
        <w:rPr>
          <w:rFonts w:ascii="Book Antiqua" w:hAnsi="Book Antiqua"/>
          <w:bCs/>
        </w:rPr>
        <w:t>Electronic address: easloffice@easloffice.eu.; Clinical practice guidelines panel,</w:t>
      </w:r>
      <w:r w:rsidRPr="00151BD6">
        <w:rPr>
          <w:rFonts w:ascii="Book Antiqua" w:hAnsi="Book Antiqua"/>
        </w:rPr>
        <w:t xml:space="preserve"> Wendon, J; Panel members, Cordoba J, Dhawan A, Larsen FS, Manns M, Samuel D, Simpson KJ, Yaron I; EASL Governing Board representative, Bernardi M. EASL Clinical Practical Guidelines on the management of acute (fulminant) liver failure. </w:t>
      </w:r>
      <w:r w:rsidRPr="00151BD6">
        <w:rPr>
          <w:rFonts w:ascii="Book Antiqua" w:hAnsi="Book Antiqua"/>
          <w:i/>
        </w:rPr>
        <w:t xml:space="preserve">J Hepatol </w:t>
      </w:r>
      <w:r w:rsidRPr="00151BD6">
        <w:rPr>
          <w:rFonts w:ascii="Book Antiqua" w:hAnsi="Book Antiqua"/>
        </w:rPr>
        <w:t xml:space="preserve">2017; </w:t>
      </w:r>
      <w:r w:rsidRPr="00151BD6">
        <w:rPr>
          <w:rFonts w:ascii="Book Antiqua" w:hAnsi="Book Antiqua"/>
          <w:b/>
        </w:rPr>
        <w:t>66</w:t>
      </w:r>
      <w:r w:rsidRPr="00C74DA4">
        <w:rPr>
          <w:rFonts w:ascii="Book Antiqua" w:hAnsi="Book Antiqua"/>
          <w:bCs/>
        </w:rPr>
        <w:t>:</w:t>
      </w:r>
      <w:r w:rsidRPr="00151BD6">
        <w:rPr>
          <w:rFonts w:ascii="Book Antiqua" w:hAnsi="Book Antiqua"/>
        </w:rPr>
        <w:t xml:space="preserve"> 1047-1081 [DOI:</w:t>
      </w:r>
      <w:r w:rsidR="00DD78EF" w:rsidRPr="00151BD6">
        <w:rPr>
          <w:rFonts w:ascii="Book Antiqua" w:hAnsi="Book Antiqua"/>
          <w:lang w:eastAsia="zh-CN"/>
        </w:rPr>
        <w:t xml:space="preserve"> </w:t>
      </w:r>
      <w:r w:rsidRPr="00151BD6">
        <w:rPr>
          <w:rFonts w:ascii="Book Antiqua" w:hAnsi="Book Antiqua"/>
        </w:rPr>
        <w:t>10.1016/j.jhep.2016.12.003]</w:t>
      </w:r>
    </w:p>
    <w:p w14:paraId="2AF73914"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89 </w:t>
      </w:r>
      <w:r w:rsidRPr="00151BD6">
        <w:rPr>
          <w:rFonts w:ascii="Book Antiqua" w:hAnsi="Book Antiqua"/>
          <w:b/>
          <w:bCs/>
        </w:rPr>
        <w:t>Lee WM</w:t>
      </w:r>
      <w:r w:rsidRPr="00151BD6">
        <w:rPr>
          <w:rFonts w:ascii="Book Antiqua" w:hAnsi="Book Antiqua"/>
        </w:rPr>
        <w:t xml:space="preserve">, Stravitz RT, Larson AM. Introduction to the revised American Association for the Study of Liver Diseases Position Paper on acute liver failure 2011. </w:t>
      </w:r>
      <w:r w:rsidRPr="00151BD6">
        <w:rPr>
          <w:rFonts w:ascii="Book Antiqua" w:hAnsi="Book Antiqua"/>
          <w:i/>
          <w:iCs/>
        </w:rPr>
        <w:t>Hepatology</w:t>
      </w:r>
      <w:r w:rsidRPr="00151BD6">
        <w:rPr>
          <w:rFonts w:ascii="Book Antiqua" w:hAnsi="Book Antiqua"/>
        </w:rPr>
        <w:t xml:space="preserve"> 2012; </w:t>
      </w:r>
      <w:r w:rsidRPr="00151BD6">
        <w:rPr>
          <w:rFonts w:ascii="Book Antiqua" w:hAnsi="Book Antiqua"/>
          <w:b/>
          <w:bCs/>
        </w:rPr>
        <w:t>55</w:t>
      </w:r>
      <w:r w:rsidRPr="00151BD6">
        <w:rPr>
          <w:rFonts w:ascii="Book Antiqua" w:hAnsi="Book Antiqua"/>
        </w:rPr>
        <w:t>: 965-967 [PMID: 22213561 DOI: 10.1002/hep.25551]</w:t>
      </w:r>
    </w:p>
    <w:p w14:paraId="695580C4"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90 </w:t>
      </w:r>
      <w:r w:rsidRPr="00151BD6">
        <w:rPr>
          <w:rFonts w:ascii="Book Antiqua" w:hAnsi="Book Antiqua"/>
          <w:b/>
          <w:bCs/>
        </w:rPr>
        <w:t>Bernal W</w:t>
      </w:r>
      <w:r w:rsidRPr="00151BD6">
        <w:rPr>
          <w:rFonts w:ascii="Book Antiqua" w:hAnsi="Book Antiqua"/>
        </w:rPr>
        <w:t xml:space="preserve">, Wendon J. Acute liver failure. </w:t>
      </w:r>
      <w:r w:rsidRPr="00151BD6">
        <w:rPr>
          <w:rFonts w:ascii="Book Antiqua" w:hAnsi="Book Antiqua"/>
          <w:i/>
          <w:iCs/>
        </w:rPr>
        <w:t>N Engl J Med</w:t>
      </w:r>
      <w:r w:rsidRPr="00151BD6">
        <w:rPr>
          <w:rFonts w:ascii="Book Antiqua" w:hAnsi="Book Antiqua"/>
        </w:rPr>
        <w:t xml:space="preserve"> 2013; </w:t>
      </w:r>
      <w:r w:rsidRPr="00151BD6">
        <w:rPr>
          <w:rFonts w:ascii="Book Antiqua" w:hAnsi="Book Antiqua"/>
          <w:b/>
          <w:bCs/>
        </w:rPr>
        <w:t>369</w:t>
      </w:r>
      <w:r w:rsidRPr="00151BD6">
        <w:rPr>
          <w:rFonts w:ascii="Book Antiqua" w:hAnsi="Book Antiqua"/>
        </w:rPr>
        <w:t>: 2525-2534 [PMID: 24369077 DOI: 10.1056/NEJMra1208937]</w:t>
      </w:r>
    </w:p>
    <w:p w14:paraId="1039CA81"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91 </w:t>
      </w:r>
      <w:r w:rsidRPr="00151BD6">
        <w:rPr>
          <w:rFonts w:ascii="Book Antiqua" w:hAnsi="Book Antiqua"/>
          <w:b/>
          <w:bCs/>
        </w:rPr>
        <w:t>Paugam-Burtz C</w:t>
      </w:r>
      <w:r w:rsidRPr="00151BD6">
        <w:rPr>
          <w:rFonts w:ascii="Book Antiqua" w:hAnsi="Book Antiqua"/>
        </w:rPr>
        <w:t xml:space="preserve">, Levesque E, Louvet A, Thabut D, Amathieu R, Bureau C, Camus C, Chanques G, Faure S, Ferrandière M, Francoz C, Galbois A, Gustot T, Ichai C, Ichai P, Jaber S, Lescot T, Moreau R, Roullet S, Saliba F, Thévenot T, Velly L, Weiss E. Management of liver failure in general intensive care unit. </w:t>
      </w:r>
      <w:r w:rsidRPr="00151BD6">
        <w:rPr>
          <w:rFonts w:ascii="Book Antiqua" w:hAnsi="Book Antiqua"/>
          <w:i/>
          <w:iCs/>
        </w:rPr>
        <w:t>Anaesth Crit Care Pain Med</w:t>
      </w:r>
      <w:r w:rsidRPr="00151BD6">
        <w:rPr>
          <w:rFonts w:ascii="Book Antiqua" w:hAnsi="Book Antiqua"/>
        </w:rPr>
        <w:t xml:space="preserve"> 2020; </w:t>
      </w:r>
      <w:r w:rsidRPr="00151BD6">
        <w:rPr>
          <w:rFonts w:ascii="Book Antiqua" w:hAnsi="Book Antiqua"/>
          <w:b/>
          <w:bCs/>
        </w:rPr>
        <w:t>39</w:t>
      </w:r>
      <w:r w:rsidRPr="00151BD6">
        <w:rPr>
          <w:rFonts w:ascii="Book Antiqua" w:hAnsi="Book Antiqua"/>
        </w:rPr>
        <w:t>: 143-161 [PMID: 31525507 DOI: 10.1016/j.accpm.2019.06.014]</w:t>
      </w:r>
    </w:p>
    <w:p w14:paraId="141A6E8A"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92 </w:t>
      </w:r>
      <w:r w:rsidRPr="00151BD6">
        <w:rPr>
          <w:rFonts w:ascii="Book Antiqua" w:hAnsi="Book Antiqua"/>
          <w:b/>
          <w:bCs/>
        </w:rPr>
        <w:t>Ferrarese A</w:t>
      </w:r>
      <w:r w:rsidRPr="00151BD6">
        <w:rPr>
          <w:rFonts w:ascii="Book Antiqua" w:hAnsi="Book Antiqua"/>
        </w:rPr>
        <w:t xml:space="preserve">, Cattelan A, Cillo U, Gringeri E, Russo FP, Germani G, Gambato M, Burra P, Senzolo M. Invasive fungal infection before and after liver transplantation. </w:t>
      </w:r>
      <w:r w:rsidRPr="00151BD6">
        <w:rPr>
          <w:rFonts w:ascii="Book Antiqua" w:hAnsi="Book Antiqua"/>
          <w:i/>
          <w:iCs/>
        </w:rPr>
        <w:t>World J Gastroenterol</w:t>
      </w:r>
      <w:r w:rsidRPr="00151BD6">
        <w:rPr>
          <w:rFonts w:ascii="Book Antiqua" w:hAnsi="Book Antiqua"/>
        </w:rPr>
        <w:t xml:space="preserve"> 2020; </w:t>
      </w:r>
      <w:r w:rsidRPr="00151BD6">
        <w:rPr>
          <w:rFonts w:ascii="Book Antiqua" w:hAnsi="Book Antiqua"/>
          <w:b/>
          <w:bCs/>
        </w:rPr>
        <w:t>26</w:t>
      </w:r>
      <w:r w:rsidRPr="00151BD6">
        <w:rPr>
          <w:rFonts w:ascii="Book Antiqua" w:hAnsi="Book Antiqua"/>
        </w:rPr>
        <w:t>: 7485-7496 [PMID: 33384549 DOI: 10.3748/wjg.v26.i47.7485]</w:t>
      </w:r>
    </w:p>
    <w:p w14:paraId="550F5609"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93 </w:t>
      </w:r>
      <w:r w:rsidRPr="00151BD6">
        <w:rPr>
          <w:rFonts w:ascii="Book Antiqua" w:hAnsi="Book Antiqua"/>
          <w:b/>
          <w:bCs/>
        </w:rPr>
        <w:t>Bajaj JS</w:t>
      </w:r>
      <w:r w:rsidRPr="00151BD6">
        <w:rPr>
          <w:rFonts w:ascii="Book Antiqua" w:hAnsi="Book Antiqua"/>
        </w:rPr>
        <w:t xml:space="preserve">, Kassam Z, Fagan A, Gavis EA, Liu E, Cox IJ, Kheradman R, Heuman D, Wang J, Gurry T, Williams R, Sikaroodi M, Fuchs M, Alm E, John B, Thacker LR, Riva A, Smith M, Taylor-Robinson SD, Gillevet PM. Fecal microbiota transplant from a rational stool donor improves hepatic encephalopathy: A randomized clinical trial. </w:t>
      </w:r>
      <w:r w:rsidRPr="00151BD6">
        <w:rPr>
          <w:rFonts w:ascii="Book Antiqua" w:hAnsi="Book Antiqua"/>
          <w:i/>
          <w:iCs/>
        </w:rPr>
        <w:t>Hepatology</w:t>
      </w:r>
      <w:r w:rsidRPr="00151BD6">
        <w:rPr>
          <w:rFonts w:ascii="Book Antiqua" w:hAnsi="Book Antiqua"/>
        </w:rPr>
        <w:t xml:space="preserve"> 2017; </w:t>
      </w:r>
      <w:r w:rsidRPr="00151BD6">
        <w:rPr>
          <w:rFonts w:ascii="Book Antiqua" w:hAnsi="Book Antiqua"/>
          <w:b/>
          <w:bCs/>
        </w:rPr>
        <w:t>66</w:t>
      </w:r>
      <w:r w:rsidRPr="00151BD6">
        <w:rPr>
          <w:rFonts w:ascii="Book Antiqua" w:hAnsi="Book Antiqua"/>
        </w:rPr>
        <w:t>: 1727-1738 [PMID: 28586116 DOI: 10.1002/hep.29306]</w:t>
      </w:r>
    </w:p>
    <w:p w14:paraId="4864700F"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94 </w:t>
      </w:r>
      <w:r w:rsidRPr="00151BD6">
        <w:rPr>
          <w:rFonts w:ascii="Book Antiqua" w:hAnsi="Book Antiqua"/>
          <w:b/>
          <w:bCs/>
        </w:rPr>
        <w:t>Solà E</w:t>
      </w:r>
      <w:r w:rsidRPr="00151BD6">
        <w:rPr>
          <w:rFonts w:ascii="Book Antiqua" w:hAnsi="Book Antiqua"/>
        </w:rPr>
        <w:t xml:space="preserve">, Solé C, Simón-Talero M, Martín-Llahí M, Castellote J, Garcia-Martínez R, Moreira R, Torrens M, Márquez F, Fabrellas N, de Prada G, Huelin P, Lopez Benaiges E, Ventura M, Manríquez M, Nazar A, Ariza X, Suñé P, Graupera I, Pose E, Colmenero J, Pavesi M, Guevara M, Navasa M, Xiol X, Córdoba J, Vargas V, Ginès P. Midodrine and albumin for prevention of complications in patients with cirrhosis awaiting liver transplantation. A randomized placebo-controlled trial. </w:t>
      </w:r>
      <w:r w:rsidRPr="00151BD6">
        <w:rPr>
          <w:rFonts w:ascii="Book Antiqua" w:hAnsi="Book Antiqua"/>
          <w:i/>
          <w:iCs/>
        </w:rPr>
        <w:t>J Hepatol</w:t>
      </w:r>
      <w:r w:rsidRPr="00151BD6">
        <w:rPr>
          <w:rFonts w:ascii="Book Antiqua" w:hAnsi="Book Antiqua"/>
        </w:rPr>
        <w:t xml:space="preserve"> 2018; </w:t>
      </w:r>
      <w:r w:rsidRPr="00151BD6">
        <w:rPr>
          <w:rFonts w:ascii="Book Antiqua" w:hAnsi="Book Antiqua"/>
          <w:b/>
          <w:bCs/>
        </w:rPr>
        <w:t>69</w:t>
      </w:r>
      <w:r w:rsidRPr="00151BD6">
        <w:rPr>
          <w:rFonts w:ascii="Book Antiqua" w:hAnsi="Book Antiqua"/>
        </w:rPr>
        <w:t>: 1250-1259 [PMID: 30138685 DOI: 10.1016/j.jhep.2018.08.006]</w:t>
      </w:r>
    </w:p>
    <w:p w14:paraId="502BD2A7"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95 </w:t>
      </w:r>
      <w:r w:rsidRPr="00151BD6">
        <w:rPr>
          <w:rFonts w:ascii="Book Antiqua" w:hAnsi="Book Antiqua"/>
          <w:b/>
          <w:bCs/>
        </w:rPr>
        <w:t>Senzolo M</w:t>
      </w:r>
      <w:r w:rsidRPr="00151BD6">
        <w:rPr>
          <w:rFonts w:ascii="Book Antiqua" w:hAnsi="Book Antiqua"/>
        </w:rPr>
        <w:t xml:space="preserve">, Cholongitas E, Burra P, Leandro G, Thalheimer U, Patch D, Burroughs AK. beta-Blockers protect against spontaneous bacterial peritonitis in cirrhotic patients: a meta-analysis. </w:t>
      </w:r>
      <w:r w:rsidRPr="00151BD6">
        <w:rPr>
          <w:rFonts w:ascii="Book Antiqua" w:hAnsi="Book Antiqua"/>
          <w:i/>
          <w:iCs/>
        </w:rPr>
        <w:t>Liver Int</w:t>
      </w:r>
      <w:r w:rsidRPr="00151BD6">
        <w:rPr>
          <w:rFonts w:ascii="Book Antiqua" w:hAnsi="Book Antiqua"/>
        </w:rPr>
        <w:t xml:space="preserve"> 2009; </w:t>
      </w:r>
      <w:r w:rsidRPr="00151BD6">
        <w:rPr>
          <w:rFonts w:ascii="Book Antiqua" w:hAnsi="Book Antiqua"/>
          <w:b/>
          <w:bCs/>
        </w:rPr>
        <w:t>29</w:t>
      </w:r>
      <w:r w:rsidRPr="00151BD6">
        <w:rPr>
          <w:rFonts w:ascii="Book Antiqua" w:hAnsi="Book Antiqua"/>
        </w:rPr>
        <w:t>: 1189-1193 [PMID: 19508620 DOI: 10.1111/j.1478-3231.2009.02038.x]</w:t>
      </w:r>
    </w:p>
    <w:bookmarkEnd w:id="4"/>
    <w:p w14:paraId="3C3D3D64" w14:textId="77777777" w:rsidR="00A77B3E" w:rsidRPr="00151BD6" w:rsidRDefault="00A77B3E" w:rsidP="00861CDC">
      <w:pPr>
        <w:spacing w:line="360" w:lineRule="auto"/>
        <w:jc w:val="both"/>
        <w:rPr>
          <w:rFonts w:ascii="Book Antiqua" w:hAnsi="Book Antiqua"/>
        </w:rPr>
        <w:sectPr w:rsidR="00A77B3E" w:rsidRPr="00151BD6">
          <w:pgSz w:w="12240" w:h="15840"/>
          <w:pgMar w:top="1440" w:right="1440" w:bottom="1440" w:left="1440" w:header="720" w:footer="720" w:gutter="0"/>
          <w:cols w:space="720"/>
          <w:docGrid w:linePitch="360"/>
        </w:sectPr>
      </w:pPr>
    </w:p>
    <w:p w14:paraId="1468EE50"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Footnotes</w:t>
      </w:r>
    </w:p>
    <w:p w14:paraId="188B2365" w14:textId="5C8B046E" w:rsidR="00A77B3E" w:rsidRPr="00506C5D" w:rsidRDefault="00252B19" w:rsidP="00861CDC">
      <w:pPr>
        <w:spacing w:line="360" w:lineRule="auto"/>
        <w:jc w:val="both"/>
        <w:rPr>
          <w:rFonts w:ascii="Book Antiqua" w:hAnsi="Book Antiqua"/>
          <w:lang w:eastAsia="zh-CN"/>
        </w:rPr>
      </w:pPr>
      <w:r w:rsidRPr="00151BD6">
        <w:rPr>
          <w:rFonts w:ascii="Book Antiqua" w:eastAsia="Book Antiqua" w:hAnsi="Book Antiqua" w:cs="Book Antiqua"/>
          <w:b/>
          <w:bCs/>
          <w:color w:val="000000"/>
        </w:rPr>
        <w:t xml:space="preserve">Conflict-of-interest statement: </w:t>
      </w:r>
      <w:r w:rsidRPr="00151BD6">
        <w:rPr>
          <w:rFonts w:ascii="Book Antiqua" w:eastAsia="Book Antiqua" w:hAnsi="Book Antiqua" w:cs="Book Antiqua"/>
          <w:color w:val="000000"/>
        </w:rPr>
        <w:t>The Authors have nothing to disclose regarding this manuscript</w:t>
      </w:r>
      <w:r w:rsidR="00506C5D">
        <w:rPr>
          <w:rFonts w:ascii="Book Antiqua" w:hAnsi="Book Antiqua" w:cs="Book Antiqua" w:hint="eastAsia"/>
          <w:color w:val="000000"/>
          <w:lang w:eastAsia="zh-CN"/>
        </w:rPr>
        <w:t>.</w:t>
      </w:r>
    </w:p>
    <w:p w14:paraId="2CD9933D" w14:textId="77777777" w:rsidR="00A77B3E" w:rsidRPr="00151BD6" w:rsidRDefault="00A77B3E" w:rsidP="00861CDC">
      <w:pPr>
        <w:spacing w:line="360" w:lineRule="auto"/>
        <w:jc w:val="both"/>
        <w:rPr>
          <w:rFonts w:ascii="Book Antiqua" w:hAnsi="Book Antiqua"/>
        </w:rPr>
      </w:pPr>
    </w:p>
    <w:p w14:paraId="31F251D2"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bCs/>
          <w:color w:val="000000"/>
        </w:rPr>
        <w:t xml:space="preserve">Open-Access: </w:t>
      </w:r>
      <w:r w:rsidRPr="00151BD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39A3C8" w14:textId="77777777" w:rsidR="00A77B3E" w:rsidRPr="00151BD6" w:rsidRDefault="00A77B3E" w:rsidP="00861CDC">
      <w:pPr>
        <w:spacing w:line="360" w:lineRule="auto"/>
        <w:jc w:val="both"/>
        <w:rPr>
          <w:rFonts w:ascii="Book Antiqua" w:hAnsi="Book Antiqua"/>
        </w:rPr>
      </w:pPr>
    </w:p>
    <w:p w14:paraId="164CF5DE"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Manuscript source: </w:t>
      </w:r>
      <w:r w:rsidRPr="00151BD6">
        <w:rPr>
          <w:rFonts w:ascii="Book Antiqua" w:eastAsia="Book Antiqua" w:hAnsi="Book Antiqua" w:cs="Book Antiqua"/>
          <w:color w:val="000000"/>
        </w:rPr>
        <w:t xml:space="preserve">Invited </w:t>
      </w:r>
      <w:r w:rsidR="00B96C0A" w:rsidRPr="00151BD6">
        <w:rPr>
          <w:rFonts w:ascii="Book Antiqua" w:hAnsi="Book Antiqua" w:cs="Book Antiqua"/>
          <w:color w:val="000000"/>
          <w:lang w:eastAsia="zh-CN"/>
        </w:rPr>
        <w:t>m</w:t>
      </w:r>
      <w:r w:rsidRPr="00151BD6">
        <w:rPr>
          <w:rFonts w:ascii="Book Antiqua" w:eastAsia="Book Antiqua" w:hAnsi="Book Antiqua" w:cs="Book Antiqua"/>
          <w:color w:val="000000"/>
        </w:rPr>
        <w:t>anuscript</w:t>
      </w:r>
    </w:p>
    <w:p w14:paraId="218100B2" w14:textId="77777777" w:rsidR="00A77B3E" w:rsidRPr="00151BD6" w:rsidRDefault="00A77B3E" w:rsidP="00861CDC">
      <w:pPr>
        <w:spacing w:line="360" w:lineRule="auto"/>
        <w:jc w:val="both"/>
        <w:rPr>
          <w:rFonts w:ascii="Book Antiqua" w:hAnsi="Book Antiqua"/>
        </w:rPr>
      </w:pPr>
    </w:p>
    <w:p w14:paraId="6D04653C"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Peer-review started: </w:t>
      </w:r>
      <w:r w:rsidRPr="00151BD6">
        <w:rPr>
          <w:rFonts w:ascii="Book Antiqua" w:eastAsia="Book Antiqua" w:hAnsi="Book Antiqua" w:cs="Book Antiqua"/>
          <w:color w:val="000000"/>
        </w:rPr>
        <w:t>February 24, 2021</w:t>
      </w:r>
    </w:p>
    <w:p w14:paraId="5CAC8DF4"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First decision: </w:t>
      </w:r>
      <w:r w:rsidRPr="00151BD6">
        <w:rPr>
          <w:rFonts w:ascii="Book Antiqua" w:eastAsia="Book Antiqua" w:hAnsi="Book Antiqua" w:cs="Book Antiqua"/>
          <w:color w:val="000000"/>
        </w:rPr>
        <w:t>June 4, 2021</w:t>
      </w:r>
    </w:p>
    <w:p w14:paraId="62CEBDDA" w14:textId="0DC3533C"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Article in press: </w:t>
      </w:r>
      <w:r w:rsidR="0041259F">
        <w:rPr>
          <w:rFonts w:ascii="Book Antiqua" w:eastAsia="宋体" w:hAnsi="Book Antiqua"/>
          <w:color w:val="000000" w:themeColor="text1"/>
        </w:rPr>
        <w:t>J</w:t>
      </w:r>
      <w:r w:rsidR="0041259F">
        <w:rPr>
          <w:rFonts w:ascii="Book Antiqua" w:eastAsia="宋体" w:hAnsi="Book Antiqua" w:hint="eastAsia"/>
          <w:color w:val="000000" w:themeColor="text1"/>
        </w:rPr>
        <w:t>u</w:t>
      </w:r>
      <w:r w:rsidR="0041259F">
        <w:rPr>
          <w:rFonts w:ascii="Book Antiqua" w:eastAsia="宋体" w:hAnsi="Book Antiqua"/>
          <w:color w:val="000000" w:themeColor="text1"/>
        </w:rPr>
        <w:t>ly</w:t>
      </w:r>
      <w:r w:rsidR="0041259F" w:rsidRPr="00F06907">
        <w:rPr>
          <w:rFonts w:ascii="Book Antiqua" w:eastAsia="宋体" w:hAnsi="Book Antiqua"/>
          <w:color w:val="000000" w:themeColor="text1"/>
        </w:rPr>
        <w:t xml:space="preserve"> </w:t>
      </w:r>
      <w:r w:rsidR="0041259F">
        <w:rPr>
          <w:rFonts w:ascii="Book Antiqua" w:eastAsia="宋体" w:hAnsi="Book Antiqua"/>
          <w:color w:val="000000" w:themeColor="text1"/>
        </w:rPr>
        <w:t>28</w:t>
      </w:r>
      <w:r w:rsidR="0041259F" w:rsidRPr="00F06907">
        <w:rPr>
          <w:rFonts w:ascii="Book Antiqua" w:eastAsia="宋体" w:hAnsi="Book Antiqua"/>
          <w:color w:val="000000" w:themeColor="text1"/>
        </w:rPr>
        <w:t>, 2021</w:t>
      </w:r>
    </w:p>
    <w:p w14:paraId="305649D6" w14:textId="77777777" w:rsidR="00A77B3E" w:rsidRPr="00151BD6" w:rsidRDefault="00A77B3E" w:rsidP="00861CDC">
      <w:pPr>
        <w:spacing w:line="360" w:lineRule="auto"/>
        <w:jc w:val="both"/>
        <w:rPr>
          <w:rFonts w:ascii="Book Antiqua" w:hAnsi="Book Antiqua"/>
        </w:rPr>
      </w:pPr>
    </w:p>
    <w:p w14:paraId="795B50F5"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Specialty type: </w:t>
      </w:r>
      <w:r w:rsidR="0004266D" w:rsidRPr="00151BD6">
        <w:rPr>
          <w:rFonts w:ascii="Book Antiqua" w:eastAsia="微软雅黑" w:hAnsi="Book Antiqua" w:cs="宋体"/>
        </w:rPr>
        <w:t>Gastroenterology and hepatology</w:t>
      </w:r>
    </w:p>
    <w:p w14:paraId="3F3DCC60"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Country/Territory of origin: </w:t>
      </w:r>
      <w:r w:rsidRPr="00151BD6">
        <w:rPr>
          <w:rFonts w:ascii="Book Antiqua" w:eastAsia="Book Antiqua" w:hAnsi="Book Antiqua" w:cs="Book Antiqua"/>
          <w:color w:val="000000"/>
        </w:rPr>
        <w:t>Italy</w:t>
      </w:r>
    </w:p>
    <w:p w14:paraId="40D66501"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Peer-review report’s scientific quality classification</w:t>
      </w:r>
    </w:p>
    <w:p w14:paraId="7BEDA0F1"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Grade A (Excellent): 0</w:t>
      </w:r>
    </w:p>
    <w:p w14:paraId="664425A0"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Grade B (Very good): B</w:t>
      </w:r>
    </w:p>
    <w:p w14:paraId="5F645080"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Grade C (Good): 0</w:t>
      </w:r>
    </w:p>
    <w:p w14:paraId="2671357D"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Grade D (Fair): 0</w:t>
      </w:r>
    </w:p>
    <w:p w14:paraId="601DC0F8"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Grade E (Poor): 0</w:t>
      </w:r>
    </w:p>
    <w:p w14:paraId="7080CBA6" w14:textId="77777777" w:rsidR="00A77B3E" w:rsidRPr="00151BD6" w:rsidRDefault="00A77B3E" w:rsidP="00861CDC">
      <w:pPr>
        <w:spacing w:line="360" w:lineRule="auto"/>
        <w:jc w:val="both"/>
        <w:rPr>
          <w:rFonts w:ascii="Book Antiqua" w:hAnsi="Book Antiqua"/>
        </w:rPr>
      </w:pPr>
    </w:p>
    <w:p w14:paraId="18118C2E" w14:textId="1D262A55" w:rsidR="00F77811" w:rsidRPr="0041259F" w:rsidRDefault="00252B19" w:rsidP="00861CDC">
      <w:pPr>
        <w:spacing w:line="360" w:lineRule="auto"/>
        <w:jc w:val="both"/>
        <w:rPr>
          <w:rFonts w:ascii="Book Antiqua" w:hAnsi="Book Antiqua" w:cs="Book Antiqua"/>
          <w:b/>
          <w:color w:val="000000"/>
          <w:lang w:eastAsia="zh-CN"/>
        </w:rPr>
      </w:pPr>
      <w:r w:rsidRPr="00151BD6">
        <w:rPr>
          <w:rFonts w:ascii="Book Antiqua" w:eastAsia="Book Antiqua" w:hAnsi="Book Antiqua" w:cs="Book Antiqua"/>
          <w:b/>
          <w:color w:val="000000"/>
        </w:rPr>
        <w:t xml:space="preserve">P-Reviewer: </w:t>
      </w:r>
      <w:r w:rsidRPr="00151BD6">
        <w:rPr>
          <w:rFonts w:ascii="Book Antiqua" w:eastAsia="Book Antiqua" w:hAnsi="Book Antiqua" w:cs="Book Antiqua"/>
          <w:color w:val="000000"/>
        </w:rPr>
        <w:t>Trifan A</w:t>
      </w:r>
      <w:r w:rsidRPr="00151BD6">
        <w:rPr>
          <w:rFonts w:ascii="Book Antiqua" w:eastAsia="Book Antiqua" w:hAnsi="Book Antiqua" w:cs="Book Antiqua"/>
          <w:b/>
          <w:color w:val="000000"/>
        </w:rPr>
        <w:t xml:space="preserve"> S-Editor: </w:t>
      </w:r>
      <w:r w:rsidRPr="00151BD6">
        <w:rPr>
          <w:rFonts w:ascii="Book Antiqua" w:eastAsia="Book Antiqua" w:hAnsi="Book Antiqua" w:cs="Book Antiqua"/>
          <w:color w:val="000000"/>
        </w:rPr>
        <w:t>Fan JR</w:t>
      </w:r>
      <w:r w:rsidRPr="00151BD6">
        <w:rPr>
          <w:rFonts w:ascii="Book Antiqua" w:eastAsia="Book Antiqua" w:hAnsi="Book Antiqua" w:cs="Book Antiqua"/>
          <w:b/>
          <w:color w:val="000000"/>
        </w:rPr>
        <w:t xml:space="preserve"> L-Editor: </w:t>
      </w:r>
      <w:r w:rsidR="00345999">
        <w:rPr>
          <w:rFonts w:ascii="Book Antiqua" w:eastAsia="Book Antiqua" w:hAnsi="Book Antiqua" w:cs="Book Antiqua"/>
          <w:bCs/>
          <w:color w:val="000000"/>
        </w:rPr>
        <w:t xml:space="preserve">Filipodia </w:t>
      </w:r>
      <w:r w:rsidRPr="00151BD6">
        <w:rPr>
          <w:rFonts w:ascii="Book Antiqua" w:eastAsia="Book Antiqua" w:hAnsi="Book Antiqua" w:cs="Book Antiqua"/>
          <w:b/>
          <w:color w:val="000000"/>
        </w:rPr>
        <w:t xml:space="preserve">P-Editor: </w:t>
      </w:r>
      <w:r w:rsidR="0041259F" w:rsidRPr="0041259F">
        <w:rPr>
          <w:rFonts w:ascii="Book Antiqua" w:hAnsi="Book Antiqua" w:cs="Book Antiqua" w:hint="eastAsia"/>
          <w:color w:val="000000"/>
          <w:lang w:eastAsia="zh-CN"/>
        </w:rPr>
        <w:t>Liu JH</w:t>
      </w:r>
    </w:p>
    <w:p w14:paraId="743B7156" w14:textId="77777777" w:rsidR="00287B3C" w:rsidRPr="00151BD6" w:rsidRDefault="00F77811" w:rsidP="00861CDC">
      <w:pPr>
        <w:spacing w:line="360" w:lineRule="auto"/>
        <w:jc w:val="both"/>
        <w:rPr>
          <w:rFonts w:ascii="Book Antiqua" w:hAnsi="Book Antiqua"/>
          <w:b/>
          <w:lang w:eastAsia="zh-CN"/>
        </w:rPr>
      </w:pPr>
      <w:r w:rsidRPr="00151BD6">
        <w:rPr>
          <w:rFonts w:ascii="Book Antiqua" w:eastAsia="Book Antiqua" w:hAnsi="Book Antiqua" w:cs="Book Antiqua"/>
          <w:b/>
          <w:color w:val="000000"/>
        </w:rPr>
        <w:br w:type="page"/>
      </w:r>
      <w:r w:rsidR="00287B3C" w:rsidRPr="00151BD6">
        <w:rPr>
          <w:rFonts w:ascii="Book Antiqua" w:hAnsi="Book Antiqua"/>
          <w:b/>
          <w:bCs/>
        </w:rPr>
        <w:t>Table 1</w:t>
      </w:r>
      <w:r w:rsidR="00287B3C" w:rsidRPr="00151BD6">
        <w:rPr>
          <w:rFonts w:ascii="Book Antiqua" w:hAnsi="Book Antiqua"/>
        </w:rPr>
        <w:t xml:space="preserve"> </w:t>
      </w:r>
      <w:r w:rsidR="00287B3C" w:rsidRPr="00151BD6">
        <w:rPr>
          <w:rFonts w:ascii="Book Antiqua" w:hAnsi="Book Antiqua"/>
          <w:b/>
        </w:rPr>
        <w:t>Current recommendations and uncertainties regarding antibiotic prophyl</w:t>
      </w:r>
      <w:r w:rsidR="00EA3EDB" w:rsidRPr="00151BD6">
        <w:rPr>
          <w:rFonts w:ascii="Book Antiqua" w:hAnsi="Book Antiqua"/>
          <w:b/>
        </w:rPr>
        <w:t>axis in patients with cirrhosis</w:t>
      </w:r>
    </w:p>
    <w:tbl>
      <w:tblPr>
        <w:tblStyle w:val="a5"/>
        <w:tblW w:w="5626"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254"/>
        <w:gridCol w:w="3683"/>
      </w:tblGrid>
      <w:tr w:rsidR="00BC65FD" w:rsidRPr="00151BD6" w14:paraId="12BD81DE" w14:textId="77777777" w:rsidTr="005F27AD">
        <w:tc>
          <w:tcPr>
            <w:tcW w:w="1317" w:type="pct"/>
            <w:tcBorders>
              <w:top w:val="single" w:sz="4" w:space="0" w:color="auto"/>
              <w:bottom w:val="single" w:sz="4" w:space="0" w:color="auto"/>
            </w:tcBorders>
          </w:tcPr>
          <w:p w14:paraId="2777EC07" w14:textId="18D7722A" w:rsidR="00287B3C" w:rsidRPr="00151BD6" w:rsidRDefault="00287B3C" w:rsidP="00861CDC">
            <w:pPr>
              <w:spacing w:line="360" w:lineRule="auto"/>
              <w:jc w:val="both"/>
              <w:rPr>
                <w:rFonts w:ascii="Book Antiqua" w:hAnsi="Book Antiqua"/>
                <w:b/>
                <w:bCs/>
                <w:lang w:val="en-US"/>
              </w:rPr>
            </w:pPr>
            <w:r w:rsidRPr="00151BD6">
              <w:rPr>
                <w:rFonts w:ascii="Book Antiqua" w:hAnsi="Book Antiqua"/>
                <w:b/>
                <w:bCs/>
                <w:lang w:val="en-US"/>
              </w:rPr>
              <w:t>Procedure/</w:t>
            </w:r>
            <w:r w:rsidR="00C74DA4">
              <w:rPr>
                <w:rFonts w:ascii="Book Antiqua" w:hAnsi="Book Antiqua"/>
                <w:b/>
                <w:bCs/>
                <w:lang w:val="en-US"/>
              </w:rPr>
              <w:t>c</w:t>
            </w:r>
            <w:r w:rsidRPr="00151BD6">
              <w:rPr>
                <w:rFonts w:ascii="Book Antiqua" w:hAnsi="Book Antiqua"/>
                <w:b/>
                <w:bCs/>
                <w:lang w:val="en-US"/>
              </w:rPr>
              <w:t xml:space="preserve">linical </w:t>
            </w:r>
            <w:r w:rsidR="003045E7" w:rsidRPr="00151BD6">
              <w:rPr>
                <w:rFonts w:ascii="Book Antiqua" w:hAnsi="Book Antiqua"/>
                <w:b/>
                <w:bCs/>
                <w:lang w:val="en-US" w:eastAsia="zh-CN"/>
              </w:rPr>
              <w:t>s</w:t>
            </w:r>
            <w:r w:rsidRPr="00151BD6">
              <w:rPr>
                <w:rFonts w:ascii="Book Antiqua" w:hAnsi="Book Antiqua"/>
                <w:b/>
                <w:bCs/>
                <w:lang w:val="en-US"/>
              </w:rPr>
              <w:t>etting</w:t>
            </w:r>
          </w:p>
        </w:tc>
        <w:tc>
          <w:tcPr>
            <w:tcW w:w="1974" w:type="pct"/>
            <w:tcBorders>
              <w:top w:val="single" w:sz="4" w:space="0" w:color="auto"/>
              <w:bottom w:val="single" w:sz="4" w:space="0" w:color="auto"/>
            </w:tcBorders>
          </w:tcPr>
          <w:p w14:paraId="3EA67EB7" w14:textId="1A1591D6" w:rsidR="00287B3C" w:rsidRPr="00151BD6" w:rsidRDefault="00287B3C" w:rsidP="00861CDC">
            <w:pPr>
              <w:spacing w:line="360" w:lineRule="auto"/>
              <w:jc w:val="both"/>
              <w:rPr>
                <w:rFonts w:ascii="Book Antiqua" w:hAnsi="Book Antiqua"/>
                <w:b/>
                <w:bCs/>
                <w:lang w:val="en-US"/>
              </w:rPr>
            </w:pPr>
            <w:r w:rsidRPr="00151BD6">
              <w:rPr>
                <w:rFonts w:ascii="Book Antiqua" w:hAnsi="Book Antiqua"/>
                <w:b/>
                <w:bCs/>
                <w:lang w:val="en-US"/>
              </w:rPr>
              <w:t xml:space="preserve">Antibiotic </w:t>
            </w:r>
            <w:r w:rsidR="00BE4325">
              <w:rPr>
                <w:rFonts w:ascii="Book Antiqua" w:hAnsi="Book Antiqua"/>
                <w:b/>
                <w:bCs/>
                <w:lang w:val="en-US"/>
              </w:rPr>
              <w:t>p</w:t>
            </w:r>
            <w:r w:rsidRPr="00151BD6">
              <w:rPr>
                <w:rFonts w:ascii="Book Antiqua" w:hAnsi="Book Antiqua"/>
                <w:b/>
                <w:bCs/>
                <w:lang w:val="en-US"/>
              </w:rPr>
              <w:t>rophylaxis</w:t>
            </w:r>
          </w:p>
        </w:tc>
        <w:tc>
          <w:tcPr>
            <w:tcW w:w="1710" w:type="pct"/>
            <w:tcBorders>
              <w:top w:val="single" w:sz="4" w:space="0" w:color="auto"/>
              <w:bottom w:val="single" w:sz="4" w:space="0" w:color="auto"/>
            </w:tcBorders>
          </w:tcPr>
          <w:p w14:paraId="145818D6" w14:textId="77777777" w:rsidR="00287B3C" w:rsidRPr="00151BD6" w:rsidRDefault="00287B3C" w:rsidP="00861CDC">
            <w:pPr>
              <w:spacing w:line="360" w:lineRule="auto"/>
              <w:jc w:val="both"/>
              <w:rPr>
                <w:rFonts w:ascii="Book Antiqua" w:hAnsi="Book Antiqua"/>
                <w:b/>
                <w:bCs/>
                <w:lang w:val="en-US"/>
              </w:rPr>
            </w:pPr>
            <w:r w:rsidRPr="00151BD6">
              <w:rPr>
                <w:rFonts w:ascii="Book Antiqua" w:hAnsi="Book Antiqua"/>
                <w:b/>
                <w:bCs/>
                <w:lang w:val="en-US"/>
              </w:rPr>
              <w:t>Areas of uncertainties</w:t>
            </w:r>
          </w:p>
        </w:tc>
      </w:tr>
      <w:tr w:rsidR="00BC65FD" w:rsidRPr="00151BD6" w14:paraId="485D3A4B" w14:textId="77777777" w:rsidTr="005F27AD">
        <w:tc>
          <w:tcPr>
            <w:tcW w:w="1317" w:type="pct"/>
            <w:tcBorders>
              <w:top w:val="single" w:sz="4" w:space="0" w:color="auto"/>
            </w:tcBorders>
          </w:tcPr>
          <w:p w14:paraId="0B2BD700" w14:textId="60A2CB24" w:rsidR="00287B3C" w:rsidRPr="00151BD6" w:rsidRDefault="00C74DA4" w:rsidP="00861CDC">
            <w:pPr>
              <w:spacing w:line="360" w:lineRule="auto"/>
              <w:jc w:val="both"/>
              <w:rPr>
                <w:rFonts w:ascii="Book Antiqua" w:hAnsi="Book Antiqua"/>
                <w:lang w:val="en-US"/>
              </w:rPr>
            </w:pPr>
            <w:r w:rsidRPr="00151BD6">
              <w:rPr>
                <w:rFonts w:ascii="Book Antiqua" w:hAnsi="Book Antiqua"/>
                <w:lang w:val="en-US"/>
              </w:rPr>
              <w:t>Spontaneous bacterial peritonitis</w:t>
            </w:r>
          </w:p>
        </w:tc>
        <w:tc>
          <w:tcPr>
            <w:tcW w:w="1974" w:type="pct"/>
            <w:tcBorders>
              <w:top w:val="single" w:sz="4" w:space="0" w:color="auto"/>
            </w:tcBorders>
          </w:tcPr>
          <w:p w14:paraId="2BE3DB11"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Primary prophylaxis recommended in decompensated patients with low ascitic fluid proteins</w:t>
            </w:r>
            <w:r w:rsidR="00CE0A2E" w:rsidRPr="00151BD6">
              <w:rPr>
                <w:rFonts w:ascii="Book Antiqua" w:hAnsi="Book Antiqua"/>
                <w:lang w:val="en-US" w:eastAsia="zh-CN"/>
              </w:rPr>
              <w:t xml:space="preserve">. </w:t>
            </w:r>
            <w:r w:rsidRPr="00151BD6">
              <w:rPr>
                <w:rFonts w:ascii="Book Antiqua" w:hAnsi="Book Antiqua"/>
                <w:lang w:val="en-US"/>
              </w:rPr>
              <w:t>Secondary prophylaxis recommended</w:t>
            </w:r>
          </w:p>
        </w:tc>
        <w:tc>
          <w:tcPr>
            <w:tcW w:w="1710" w:type="pct"/>
            <w:tcBorders>
              <w:top w:val="single" w:sz="4" w:space="0" w:color="auto"/>
            </w:tcBorders>
          </w:tcPr>
          <w:p w14:paraId="5F57DA44" w14:textId="77777777" w:rsidR="00287B3C" w:rsidRPr="00151BD6" w:rsidRDefault="00287B3C" w:rsidP="00861CDC">
            <w:pPr>
              <w:spacing w:line="360" w:lineRule="auto"/>
              <w:jc w:val="both"/>
              <w:rPr>
                <w:rFonts w:ascii="Book Antiqua" w:hAnsi="Book Antiqua"/>
                <w:lang w:val="en-US" w:eastAsia="zh-CN"/>
              </w:rPr>
            </w:pPr>
            <w:r w:rsidRPr="00151BD6">
              <w:rPr>
                <w:rFonts w:ascii="Book Antiqua" w:hAnsi="Book Antiqua"/>
                <w:lang w:val="en-US"/>
              </w:rPr>
              <w:t>Second-line antibiotics</w:t>
            </w:r>
            <w:r w:rsidR="00CE0A2E" w:rsidRPr="00151BD6">
              <w:rPr>
                <w:rFonts w:ascii="Book Antiqua" w:hAnsi="Book Antiqua"/>
                <w:lang w:val="en-US" w:eastAsia="zh-CN"/>
              </w:rPr>
              <w:t xml:space="preserve">. </w:t>
            </w:r>
            <w:r w:rsidRPr="00151BD6">
              <w:rPr>
                <w:rFonts w:ascii="Book Antiqua" w:hAnsi="Book Antiqua"/>
                <w:lang w:val="en-US"/>
              </w:rPr>
              <w:t>Quinolone resistance</w:t>
            </w:r>
            <w:r w:rsidR="00CE0A2E" w:rsidRPr="00151BD6">
              <w:rPr>
                <w:rFonts w:ascii="Book Antiqua" w:hAnsi="Book Antiqua"/>
                <w:lang w:val="en-US" w:eastAsia="zh-CN"/>
              </w:rPr>
              <w:t xml:space="preserve">. </w:t>
            </w:r>
            <w:r w:rsidRPr="00151BD6">
              <w:rPr>
                <w:rFonts w:ascii="Book Antiqua" w:hAnsi="Book Antiqua"/>
                <w:lang w:val="en-US"/>
              </w:rPr>
              <w:t>Rifaximin</w:t>
            </w:r>
            <w:r w:rsidR="00CE0A2E" w:rsidRPr="00151BD6">
              <w:rPr>
                <w:rFonts w:ascii="Book Antiqua" w:hAnsi="Book Antiqua"/>
                <w:lang w:val="en-US" w:eastAsia="zh-CN"/>
              </w:rPr>
              <w:t xml:space="preserve">. </w:t>
            </w:r>
            <w:r w:rsidRPr="00151BD6">
              <w:rPr>
                <w:rFonts w:ascii="Book Antiqua" w:hAnsi="Book Antiqua"/>
                <w:lang w:val="en-US"/>
              </w:rPr>
              <w:t>Secondary prophylaxis after MDR infection</w:t>
            </w:r>
          </w:p>
        </w:tc>
      </w:tr>
      <w:tr w:rsidR="00BC65FD" w:rsidRPr="00151BD6" w14:paraId="4FD56C42" w14:textId="77777777" w:rsidTr="005F27AD">
        <w:tc>
          <w:tcPr>
            <w:tcW w:w="1317" w:type="pct"/>
          </w:tcPr>
          <w:p w14:paraId="3B92360C" w14:textId="2C589F2A" w:rsidR="00287B3C" w:rsidRPr="00151BD6" w:rsidRDefault="00C74DA4" w:rsidP="00861CDC">
            <w:pPr>
              <w:spacing w:line="360" w:lineRule="auto"/>
              <w:jc w:val="both"/>
              <w:rPr>
                <w:rFonts w:ascii="Book Antiqua" w:hAnsi="Book Antiqua"/>
                <w:lang w:val="en-US"/>
              </w:rPr>
            </w:pPr>
            <w:r w:rsidRPr="00151BD6">
              <w:rPr>
                <w:rFonts w:ascii="Book Antiqua" w:hAnsi="Book Antiqua"/>
                <w:lang w:val="en-US"/>
              </w:rPr>
              <w:t>Variceal bleeding</w:t>
            </w:r>
          </w:p>
        </w:tc>
        <w:tc>
          <w:tcPr>
            <w:tcW w:w="1974" w:type="pct"/>
          </w:tcPr>
          <w:p w14:paraId="73304C4A" w14:textId="77777777" w:rsidR="00287B3C" w:rsidRPr="00151BD6" w:rsidRDefault="00287B3C" w:rsidP="00861CDC">
            <w:pPr>
              <w:spacing w:line="360" w:lineRule="auto"/>
              <w:jc w:val="both"/>
              <w:rPr>
                <w:rFonts w:ascii="Book Antiqua" w:hAnsi="Book Antiqua"/>
                <w:lang w:val="en-US" w:eastAsia="zh-CN"/>
              </w:rPr>
            </w:pPr>
            <w:r w:rsidRPr="00151BD6">
              <w:rPr>
                <w:rFonts w:ascii="Book Antiqua" w:hAnsi="Book Antiqua"/>
                <w:lang w:val="en-US"/>
              </w:rPr>
              <w:t>Prophylaxis recommended in acute bleeding from esophageal/gastric variceal bleeding</w:t>
            </w:r>
          </w:p>
        </w:tc>
        <w:tc>
          <w:tcPr>
            <w:tcW w:w="1710" w:type="pct"/>
          </w:tcPr>
          <w:p w14:paraId="1EEB9C3C" w14:textId="77777777" w:rsidR="00287B3C" w:rsidRPr="00151BD6" w:rsidRDefault="00287B3C" w:rsidP="00861CDC">
            <w:pPr>
              <w:spacing w:line="360" w:lineRule="auto"/>
              <w:jc w:val="both"/>
              <w:rPr>
                <w:rFonts w:ascii="Book Antiqua" w:hAnsi="Book Antiqua"/>
                <w:lang w:val="en-US" w:eastAsia="zh-CN"/>
              </w:rPr>
            </w:pPr>
            <w:r w:rsidRPr="00151BD6">
              <w:rPr>
                <w:rFonts w:ascii="Book Antiqua" w:hAnsi="Book Antiqua"/>
                <w:lang w:val="en-US"/>
              </w:rPr>
              <w:t>Prophylaxis in compensated (</w:t>
            </w:r>
            <w:r w:rsidRPr="00151BD6">
              <w:rPr>
                <w:rFonts w:ascii="Book Antiqua" w:hAnsi="Book Antiqua"/>
                <w:i/>
                <w:lang w:val="en-US"/>
              </w:rPr>
              <w:t>e.g.</w:t>
            </w:r>
            <w:r w:rsidRPr="00151BD6">
              <w:rPr>
                <w:rFonts w:ascii="Book Antiqua" w:hAnsi="Book Antiqua"/>
                <w:lang w:val="en-US"/>
              </w:rPr>
              <w:t>, Child-Pugh A) patients having acute variceal bleeding</w:t>
            </w:r>
            <w:r w:rsidR="00F002F2" w:rsidRPr="00151BD6">
              <w:rPr>
                <w:rFonts w:ascii="Book Antiqua" w:hAnsi="Book Antiqua"/>
                <w:lang w:val="en-US" w:eastAsia="zh-CN"/>
              </w:rPr>
              <w:t xml:space="preserve">. </w:t>
            </w:r>
            <w:r w:rsidRPr="00151BD6">
              <w:rPr>
                <w:rFonts w:ascii="Book Antiqua" w:hAnsi="Book Antiqua"/>
                <w:lang w:val="en-US"/>
              </w:rPr>
              <w:t>Prophylaxis in elective endoscopic therapy of gastric/esophageal varices</w:t>
            </w:r>
          </w:p>
        </w:tc>
      </w:tr>
      <w:tr w:rsidR="00BC65FD" w:rsidRPr="00151BD6" w14:paraId="2F74E0A6" w14:textId="77777777" w:rsidTr="005F27AD">
        <w:tc>
          <w:tcPr>
            <w:tcW w:w="1317" w:type="pct"/>
          </w:tcPr>
          <w:p w14:paraId="49A6FE3C"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Endoscopic retrograde cholangiopancreatography</w:t>
            </w:r>
          </w:p>
        </w:tc>
        <w:tc>
          <w:tcPr>
            <w:tcW w:w="1974" w:type="pct"/>
          </w:tcPr>
          <w:p w14:paraId="267430F8"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Routine prophylaxis not recommended. Prophylaxis is recommended in patients with incomplete drainage and in those with primary sclerosing cholangitis</w:t>
            </w:r>
          </w:p>
        </w:tc>
        <w:tc>
          <w:tcPr>
            <w:tcW w:w="1710" w:type="pct"/>
          </w:tcPr>
          <w:p w14:paraId="52876685" w14:textId="77777777" w:rsidR="00287B3C" w:rsidRPr="00151BD6" w:rsidRDefault="00287B3C" w:rsidP="00861CDC">
            <w:pPr>
              <w:spacing w:line="360" w:lineRule="auto"/>
              <w:jc w:val="both"/>
              <w:rPr>
                <w:rFonts w:ascii="Book Antiqua" w:hAnsi="Book Antiqua"/>
                <w:lang w:val="en-US"/>
              </w:rPr>
            </w:pPr>
          </w:p>
        </w:tc>
      </w:tr>
      <w:tr w:rsidR="00BC65FD" w:rsidRPr="00151BD6" w14:paraId="19D70504" w14:textId="77777777" w:rsidTr="005F27AD">
        <w:tc>
          <w:tcPr>
            <w:tcW w:w="1317" w:type="pct"/>
          </w:tcPr>
          <w:p w14:paraId="31DAFC19"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Transjugular intrahepatic portosystemic shunt</w:t>
            </w:r>
          </w:p>
        </w:tc>
        <w:tc>
          <w:tcPr>
            <w:tcW w:w="1974" w:type="pct"/>
          </w:tcPr>
          <w:p w14:paraId="390622F9"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Prophylaxis should be considered in difficult procedures</w:t>
            </w:r>
          </w:p>
        </w:tc>
        <w:tc>
          <w:tcPr>
            <w:tcW w:w="1710" w:type="pct"/>
          </w:tcPr>
          <w:p w14:paraId="3B7886C5"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Prophylaxis in patients with thrombosed transjugular intrahepatic portosystemic shunt undergoing invasive procedures</w:t>
            </w:r>
          </w:p>
        </w:tc>
      </w:tr>
      <w:tr w:rsidR="00BC65FD" w:rsidRPr="00151BD6" w14:paraId="79ECDF46" w14:textId="77777777" w:rsidTr="005F27AD">
        <w:tc>
          <w:tcPr>
            <w:tcW w:w="1317" w:type="pct"/>
          </w:tcPr>
          <w:p w14:paraId="68E82EEF" w14:textId="77777777" w:rsidR="00287B3C" w:rsidRPr="00151BD6" w:rsidRDefault="00287B3C" w:rsidP="00861CDC">
            <w:pPr>
              <w:spacing w:line="360" w:lineRule="auto"/>
              <w:jc w:val="both"/>
              <w:rPr>
                <w:rFonts w:ascii="Book Antiqua" w:hAnsi="Book Antiqua"/>
                <w:lang w:val="en-US" w:eastAsia="zh-CN"/>
              </w:rPr>
            </w:pPr>
            <w:r w:rsidRPr="00151BD6">
              <w:rPr>
                <w:rFonts w:ascii="Book Antiqua" w:hAnsi="Book Antiqua"/>
                <w:lang w:val="en-US"/>
              </w:rPr>
              <w:t>Radiofrequency ablation</w:t>
            </w:r>
            <w:r w:rsidR="00BC65FD" w:rsidRPr="00151BD6">
              <w:rPr>
                <w:rFonts w:ascii="Book Antiqua" w:hAnsi="Book Antiqua"/>
                <w:lang w:val="en-US" w:eastAsia="zh-CN"/>
              </w:rPr>
              <w:t xml:space="preserve">. </w:t>
            </w:r>
            <w:r w:rsidRPr="00151BD6">
              <w:rPr>
                <w:rFonts w:ascii="Book Antiqua" w:hAnsi="Book Antiqua"/>
                <w:lang w:val="en-US"/>
              </w:rPr>
              <w:t>Trans-arterial chemoembolization</w:t>
            </w:r>
            <w:r w:rsidR="00BC65FD" w:rsidRPr="00151BD6">
              <w:rPr>
                <w:rFonts w:ascii="Book Antiqua" w:hAnsi="Book Antiqua"/>
                <w:lang w:val="en-US" w:eastAsia="zh-CN"/>
              </w:rPr>
              <w:t xml:space="preserve">. </w:t>
            </w:r>
            <w:r w:rsidRPr="00151BD6">
              <w:rPr>
                <w:rFonts w:ascii="Book Antiqua" w:hAnsi="Book Antiqua"/>
                <w:lang w:val="en-US"/>
              </w:rPr>
              <w:t>Radioembolization</w:t>
            </w:r>
          </w:p>
        </w:tc>
        <w:tc>
          <w:tcPr>
            <w:tcW w:w="1974" w:type="pct"/>
          </w:tcPr>
          <w:p w14:paraId="2E5D87C7" w14:textId="77777777" w:rsidR="00287B3C" w:rsidRPr="00151BD6" w:rsidRDefault="00287B3C" w:rsidP="00861CDC">
            <w:pPr>
              <w:spacing w:line="360" w:lineRule="auto"/>
              <w:jc w:val="both"/>
              <w:rPr>
                <w:rFonts w:ascii="Book Antiqua" w:hAnsi="Book Antiqua"/>
                <w:lang w:val="en-US" w:eastAsia="zh-CN"/>
              </w:rPr>
            </w:pPr>
            <w:r w:rsidRPr="00151BD6">
              <w:rPr>
                <w:rFonts w:ascii="Book Antiqua" w:hAnsi="Book Antiqua"/>
                <w:lang w:val="en-US"/>
              </w:rPr>
              <w:t>Routine prophylaxis not recommended</w:t>
            </w:r>
            <w:r w:rsidR="00BC65FD" w:rsidRPr="00151BD6">
              <w:rPr>
                <w:rFonts w:ascii="Book Antiqua" w:hAnsi="Book Antiqua"/>
                <w:lang w:val="en-US" w:eastAsia="zh-CN"/>
              </w:rPr>
              <w:t xml:space="preserve">. </w:t>
            </w:r>
            <w:r w:rsidRPr="00151BD6">
              <w:rPr>
                <w:rFonts w:ascii="Book Antiqua" w:hAnsi="Book Antiqua"/>
                <w:lang w:val="en-US"/>
              </w:rPr>
              <w:t>Advisable in patients with prior interventions on biliary tree</w:t>
            </w:r>
          </w:p>
        </w:tc>
        <w:tc>
          <w:tcPr>
            <w:tcW w:w="1710" w:type="pct"/>
          </w:tcPr>
          <w:p w14:paraId="552EA7EC"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Intra-procedural antibiotic instillation</w:t>
            </w:r>
          </w:p>
        </w:tc>
      </w:tr>
      <w:tr w:rsidR="00BC65FD" w:rsidRPr="00151BD6" w14:paraId="16AA3D42" w14:textId="77777777" w:rsidTr="005F27AD">
        <w:tc>
          <w:tcPr>
            <w:tcW w:w="1317" w:type="pct"/>
          </w:tcPr>
          <w:p w14:paraId="0F3E78C5"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Liver transplantation</w:t>
            </w:r>
          </w:p>
        </w:tc>
        <w:tc>
          <w:tcPr>
            <w:tcW w:w="1974" w:type="pct"/>
          </w:tcPr>
          <w:p w14:paraId="6AABC640"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Routine prophylaxis is recommended</w:t>
            </w:r>
          </w:p>
        </w:tc>
        <w:tc>
          <w:tcPr>
            <w:tcW w:w="1710" w:type="pct"/>
          </w:tcPr>
          <w:p w14:paraId="5AE1774A"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Length of prophylaxis</w:t>
            </w:r>
          </w:p>
        </w:tc>
      </w:tr>
      <w:tr w:rsidR="00BC65FD" w:rsidRPr="00151BD6" w14:paraId="537E4C14" w14:textId="77777777" w:rsidTr="005F27AD">
        <w:tc>
          <w:tcPr>
            <w:tcW w:w="1317" w:type="pct"/>
          </w:tcPr>
          <w:p w14:paraId="1BFCCB9F"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Severe alcoholic hepatitis receiving steroids</w:t>
            </w:r>
          </w:p>
        </w:tc>
        <w:tc>
          <w:tcPr>
            <w:tcW w:w="1974" w:type="pct"/>
          </w:tcPr>
          <w:p w14:paraId="4C1C408B"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Prophylaxis would be preferable</w:t>
            </w:r>
          </w:p>
        </w:tc>
        <w:tc>
          <w:tcPr>
            <w:tcW w:w="1710" w:type="pct"/>
          </w:tcPr>
          <w:p w14:paraId="72E4EDA8"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 xml:space="preserve">Length of prophylaxis, antibiotic class </w:t>
            </w:r>
          </w:p>
        </w:tc>
      </w:tr>
      <w:tr w:rsidR="00BC65FD" w:rsidRPr="00151BD6" w14:paraId="267BB8AB" w14:textId="77777777" w:rsidTr="005F27AD">
        <w:tc>
          <w:tcPr>
            <w:tcW w:w="1317" w:type="pct"/>
          </w:tcPr>
          <w:p w14:paraId="2F397375"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Acute liver failure</w:t>
            </w:r>
          </w:p>
        </w:tc>
        <w:tc>
          <w:tcPr>
            <w:tcW w:w="1974" w:type="pct"/>
          </w:tcPr>
          <w:p w14:paraId="4A0F2153"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Prophylaxis is advisable in high-risk patients, or those waiting for liver transplant</w:t>
            </w:r>
          </w:p>
        </w:tc>
        <w:tc>
          <w:tcPr>
            <w:tcW w:w="1710" w:type="pct"/>
          </w:tcPr>
          <w:p w14:paraId="417E547B"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 xml:space="preserve">Antibiotic class </w:t>
            </w:r>
          </w:p>
        </w:tc>
      </w:tr>
    </w:tbl>
    <w:p w14:paraId="7368449F" w14:textId="294533F3" w:rsidR="006B6551" w:rsidRDefault="006B6551" w:rsidP="00861CDC">
      <w:pPr>
        <w:spacing w:line="360" w:lineRule="auto"/>
        <w:jc w:val="both"/>
        <w:rPr>
          <w:rFonts w:ascii="Book Antiqua" w:hAnsi="Book Antiqua"/>
        </w:rPr>
      </w:pPr>
    </w:p>
    <w:p w14:paraId="5EE6B4DC" w14:textId="77777777" w:rsidR="006B6551" w:rsidRDefault="006B6551">
      <w:pPr>
        <w:rPr>
          <w:rFonts w:ascii="Book Antiqua" w:hAnsi="Book Antiqua"/>
        </w:rPr>
      </w:pPr>
      <w:r>
        <w:rPr>
          <w:rFonts w:ascii="Book Antiqua" w:hAnsi="Book Antiqua"/>
        </w:rPr>
        <w:br w:type="page"/>
      </w:r>
    </w:p>
    <w:p w14:paraId="6120E121" w14:textId="77777777" w:rsidR="006B6551" w:rsidRDefault="006B6551" w:rsidP="006B6551">
      <w:pPr>
        <w:jc w:val="center"/>
        <w:rPr>
          <w:rFonts w:ascii="Book Antiqua" w:hAnsi="Book Antiqua"/>
          <w:lang w:eastAsia="zh-CN"/>
        </w:rPr>
      </w:pPr>
      <w:bookmarkStart w:id="5" w:name="OLE_LINK1"/>
      <w:bookmarkStart w:id="6" w:name="OLE_LINK2"/>
    </w:p>
    <w:p w14:paraId="4569A97F" w14:textId="77777777" w:rsidR="006B6551" w:rsidRDefault="006B6551" w:rsidP="006B6551">
      <w:pPr>
        <w:jc w:val="center"/>
        <w:rPr>
          <w:rFonts w:ascii="Book Antiqua" w:hAnsi="Book Antiqua"/>
          <w:lang w:eastAsia="zh-CN"/>
        </w:rPr>
      </w:pPr>
    </w:p>
    <w:p w14:paraId="0198464E" w14:textId="77777777" w:rsidR="006B6551" w:rsidRDefault="006B6551" w:rsidP="006B6551">
      <w:pPr>
        <w:jc w:val="center"/>
        <w:rPr>
          <w:rFonts w:ascii="Book Antiqua" w:hAnsi="Book Antiqua"/>
          <w:lang w:eastAsia="zh-CN"/>
        </w:rPr>
      </w:pPr>
    </w:p>
    <w:p w14:paraId="49CDD7A8" w14:textId="77777777" w:rsidR="006B6551" w:rsidRDefault="006B6551" w:rsidP="006B6551">
      <w:pPr>
        <w:jc w:val="center"/>
        <w:rPr>
          <w:rFonts w:ascii="Book Antiqua" w:hAnsi="Book Antiqua"/>
          <w:lang w:eastAsia="zh-CN"/>
        </w:rPr>
      </w:pPr>
    </w:p>
    <w:p w14:paraId="78D72025" w14:textId="77777777" w:rsidR="006B6551" w:rsidRDefault="006B6551" w:rsidP="006B6551">
      <w:pPr>
        <w:jc w:val="center"/>
        <w:rPr>
          <w:rFonts w:ascii="Book Antiqua" w:hAnsi="Book Antiqua"/>
          <w:lang w:eastAsia="zh-CN"/>
        </w:rPr>
      </w:pPr>
    </w:p>
    <w:p w14:paraId="6FF9281F" w14:textId="77777777" w:rsidR="006B6551" w:rsidRDefault="006B6551" w:rsidP="006B6551">
      <w:pPr>
        <w:jc w:val="center"/>
        <w:rPr>
          <w:rFonts w:ascii="Book Antiqua" w:hAnsi="Book Antiqua"/>
          <w:lang w:eastAsia="zh-CN"/>
        </w:rPr>
      </w:pPr>
      <w:r>
        <w:rPr>
          <w:rFonts w:ascii="Book Antiqua" w:hAnsi="Book Antiqua"/>
          <w:noProof/>
          <w:lang w:eastAsia="zh-CN"/>
        </w:rPr>
        <w:drawing>
          <wp:inline distT="0" distB="0" distL="0" distR="0" wp14:anchorId="64CCCE00" wp14:editId="2007B5C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8510B1" w14:textId="77777777" w:rsidR="006B6551" w:rsidRDefault="006B6551" w:rsidP="006B6551">
      <w:pPr>
        <w:jc w:val="center"/>
        <w:rPr>
          <w:rFonts w:ascii="Book Antiqua" w:hAnsi="Book Antiqua"/>
          <w:lang w:eastAsia="zh-CN"/>
        </w:rPr>
      </w:pPr>
    </w:p>
    <w:p w14:paraId="3FDE31A4" w14:textId="77777777" w:rsidR="006B6551" w:rsidRPr="00763D22" w:rsidRDefault="006B6551" w:rsidP="006B655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A23242A" w14:textId="77777777" w:rsidR="006B6551" w:rsidRPr="00763D22" w:rsidRDefault="006B6551" w:rsidP="006B655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12F32F4" w14:textId="77777777" w:rsidR="006B6551" w:rsidRPr="00763D22" w:rsidRDefault="006B6551" w:rsidP="006B655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AC2905C" w14:textId="77777777" w:rsidR="006B6551" w:rsidRPr="00763D22" w:rsidRDefault="006B6551" w:rsidP="006B655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528EB78" w14:textId="77777777" w:rsidR="006B6551" w:rsidRPr="00763D22" w:rsidRDefault="006B6551" w:rsidP="006B655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DDE3077" w14:textId="77777777" w:rsidR="006B6551" w:rsidRPr="00763D22" w:rsidRDefault="006B6551" w:rsidP="006B655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FF5FEDA" w14:textId="77777777" w:rsidR="006B6551" w:rsidRDefault="006B6551" w:rsidP="006B6551">
      <w:pPr>
        <w:jc w:val="center"/>
        <w:rPr>
          <w:rFonts w:ascii="Book Antiqua" w:hAnsi="Book Antiqua"/>
          <w:lang w:eastAsia="zh-CN"/>
        </w:rPr>
      </w:pPr>
    </w:p>
    <w:p w14:paraId="5B3EBED2" w14:textId="77777777" w:rsidR="006B6551" w:rsidRDefault="006B6551" w:rsidP="006B6551">
      <w:pPr>
        <w:jc w:val="center"/>
        <w:rPr>
          <w:rFonts w:ascii="Book Antiqua" w:hAnsi="Book Antiqua"/>
          <w:lang w:eastAsia="zh-CN"/>
        </w:rPr>
      </w:pPr>
    </w:p>
    <w:p w14:paraId="112B5F06" w14:textId="77777777" w:rsidR="006B6551" w:rsidRDefault="006B6551" w:rsidP="006B6551">
      <w:pPr>
        <w:jc w:val="center"/>
        <w:rPr>
          <w:rFonts w:ascii="Book Antiqua" w:hAnsi="Book Antiqua"/>
          <w:lang w:eastAsia="zh-CN"/>
        </w:rPr>
      </w:pPr>
    </w:p>
    <w:p w14:paraId="47E92FC3" w14:textId="77777777" w:rsidR="006B6551" w:rsidRDefault="006B6551" w:rsidP="006B6551">
      <w:pPr>
        <w:jc w:val="center"/>
        <w:rPr>
          <w:rFonts w:ascii="Book Antiqua" w:hAnsi="Book Antiqua"/>
          <w:lang w:eastAsia="zh-CN"/>
        </w:rPr>
      </w:pPr>
      <w:r>
        <w:rPr>
          <w:rFonts w:ascii="Book Antiqua" w:hAnsi="Book Antiqua"/>
          <w:noProof/>
          <w:lang w:eastAsia="zh-CN"/>
        </w:rPr>
        <w:drawing>
          <wp:inline distT="0" distB="0" distL="0" distR="0" wp14:anchorId="62D4C0F2" wp14:editId="16FAEC3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DA29B9" w14:textId="77777777" w:rsidR="006B6551" w:rsidRDefault="006B6551" w:rsidP="006B6551">
      <w:pPr>
        <w:jc w:val="center"/>
        <w:rPr>
          <w:rFonts w:ascii="Book Antiqua" w:hAnsi="Book Antiqua"/>
          <w:lang w:eastAsia="zh-CN"/>
        </w:rPr>
      </w:pPr>
    </w:p>
    <w:p w14:paraId="677F8EE6" w14:textId="77777777" w:rsidR="006B6551" w:rsidRDefault="006B6551" w:rsidP="006B6551">
      <w:pPr>
        <w:jc w:val="center"/>
        <w:rPr>
          <w:rFonts w:ascii="Book Antiqua" w:hAnsi="Book Antiqua"/>
          <w:lang w:eastAsia="zh-CN"/>
        </w:rPr>
      </w:pPr>
    </w:p>
    <w:p w14:paraId="2399EE97" w14:textId="77777777" w:rsidR="006B6551" w:rsidRDefault="006B6551" w:rsidP="006B6551">
      <w:pPr>
        <w:jc w:val="center"/>
        <w:rPr>
          <w:rFonts w:ascii="Book Antiqua" w:hAnsi="Book Antiqua"/>
          <w:lang w:eastAsia="zh-CN"/>
        </w:rPr>
      </w:pPr>
    </w:p>
    <w:p w14:paraId="6362D2F2" w14:textId="77777777" w:rsidR="006B6551" w:rsidRDefault="006B6551" w:rsidP="006B6551">
      <w:pPr>
        <w:jc w:val="center"/>
        <w:rPr>
          <w:rFonts w:ascii="Book Antiqua" w:hAnsi="Book Antiqua"/>
          <w:lang w:eastAsia="zh-CN"/>
        </w:rPr>
      </w:pPr>
    </w:p>
    <w:p w14:paraId="614381AD" w14:textId="77777777" w:rsidR="006B6551" w:rsidRDefault="006B6551" w:rsidP="006B6551">
      <w:pPr>
        <w:jc w:val="center"/>
        <w:rPr>
          <w:rFonts w:ascii="Book Antiqua" w:hAnsi="Book Antiqua"/>
          <w:lang w:eastAsia="zh-CN"/>
        </w:rPr>
      </w:pPr>
    </w:p>
    <w:p w14:paraId="75D2BC09" w14:textId="77777777" w:rsidR="006B6551" w:rsidRDefault="006B6551" w:rsidP="006B6551">
      <w:pPr>
        <w:jc w:val="center"/>
        <w:rPr>
          <w:rFonts w:ascii="Book Antiqua" w:hAnsi="Book Antiqua"/>
          <w:lang w:eastAsia="zh-CN"/>
        </w:rPr>
      </w:pPr>
    </w:p>
    <w:p w14:paraId="30849E94" w14:textId="77777777" w:rsidR="006B6551" w:rsidRDefault="006B6551" w:rsidP="006B6551">
      <w:pPr>
        <w:jc w:val="center"/>
        <w:rPr>
          <w:rFonts w:ascii="Book Antiqua" w:hAnsi="Book Antiqua"/>
          <w:lang w:eastAsia="zh-CN"/>
        </w:rPr>
      </w:pPr>
    </w:p>
    <w:p w14:paraId="6AC47099" w14:textId="77777777" w:rsidR="006B6551" w:rsidRDefault="006B6551" w:rsidP="006B6551">
      <w:pPr>
        <w:jc w:val="center"/>
        <w:rPr>
          <w:rFonts w:ascii="Book Antiqua" w:hAnsi="Book Antiqua"/>
          <w:lang w:eastAsia="zh-CN"/>
        </w:rPr>
      </w:pPr>
    </w:p>
    <w:p w14:paraId="0D209FD0" w14:textId="77777777" w:rsidR="006B6551" w:rsidRDefault="006B6551" w:rsidP="006B6551">
      <w:pPr>
        <w:jc w:val="center"/>
        <w:rPr>
          <w:rFonts w:ascii="Book Antiqua" w:hAnsi="Book Antiqua"/>
          <w:lang w:eastAsia="zh-CN"/>
        </w:rPr>
      </w:pPr>
    </w:p>
    <w:p w14:paraId="379F9633" w14:textId="77777777" w:rsidR="006B6551" w:rsidRPr="00763D22" w:rsidRDefault="006B6551" w:rsidP="006B6551">
      <w:pPr>
        <w:jc w:val="right"/>
        <w:rPr>
          <w:rFonts w:ascii="Book Antiqua" w:hAnsi="Book Antiqua"/>
          <w:color w:val="000000" w:themeColor="text1"/>
          <w:lang w:eastAsia="zh-CN"/>
        </w:rPr>
      </w:pPr>
    </w:p>
    <w:p w14:paraId="0051FFBE" w14:textId="77777777" w:rsidR="006B6551" w:rsidRPr="00763D22" w:rsidRDefault="006B6551" w:rsidP="006B655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3587794C" w14:textId="77777777" w:rsidR="00A77B3E" w:rsidRPr="00151BD6" w:rsidRDefault="00A77B3E" w:rsidP="00861CDC">
      <w:pPr>
        <w:spacing w:line="360" w:lineRule="auto"/>
        <w:jc w:val="both"/>
        <w:rPr>
          <w:rFonts w:ascii="Book Antiqua" w:hAnsi="Book Antiqua"/>
        </w:rPr>
      </w:pPr>
    </w:p>
    <w:sectPr w:rsidR="00A77B3E" w:rsidRPr="00151B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F4064" w14:textId="77777777" w:rsidR="00AD6F43" w:rsidRDefault="00AD6F43" w:rsidP="00F77811">
      <w:r>
        <w:separator/>
      </w:r>
    </w:p>
  </w:endnote>
  <w:endnote w:type="continuationSeparator" w:id="0">
    <w:p w14:paraId="6C088F1D" w14:textId="77777777" w:rsidR="00AD6F43" w:rsidRDefault="00AD6F43" w:rsidP="00F7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520630804"/>
      <w:docPartObj>
        <w:docPartGallery w:val="Page Numbers (Bottom of Page)"/>
        <w:docPartUnique/>
      </w:docPartObj>
    </w:sdtPr>
    <w:sdtEndPr>
      <w:rPr>
        <w:noProof/>
      </w:rPr>
    </w:sdtEndPr>
    <w:sdtContent>
      <w:p w14:paraId="4D4460A9" w14:textId="7FD4E600" w:rsidR="001352E5" w:rsidRPr="001352E5" w:rsidRDefault="001352E5">
        <w:pPr>
          <w:pStyle w:val="a4"/>
          <w:jc w:val="right"/>
          <w:rPr>
            <w:rFonts w:ascii="Book Antiqua" w:hAnsi="Book Antiqua"/>
            <w:sz w:val="24"/>
            <w:szCs w:val="24"/>
          </w:rPr>
        </w:pPr>
        <w:r w:rsidRPr="001352E5">
          <w:rPr>
            <w:rFonts w:ascii="Book Antiqua" w:hAnsi="Book Antiqua"/>
            <w:sz w:val="24"/>
            <w:szCs w:val="24"/>
          </w:rPr>
          <w:fldChar w:fldCharType="begin"/>
        </w:r>
        <w:r w:rsidRPr="001352E5">
          <w:rPr>
            <w:rFonts w:ascii="Book Antiqua" w:hAnsi="Book Antiqua"/>
            <w:sz w:val="24"/>
            <w:szCs w:val="24"/>
          </w:rPr>
          <w:instrText xml:space="preserve"> PAGE   \* MERGEFORMAT </w:instrText>
        </w:r>
        <w:r w:rsidRPr="001352E5">
          <w:rPr>
            <w:rFonts w:ascii="Book Antiqua" w:hAnsi="Book Antiqua"/>
            <w:sz w:val="24"/>
            <w:szCs w:val="24"/>
          </w:rPr>
          <w:fldChar w:fldCharType="separate"/>
        </w:r>
        <w:r w:rsidR="00AD6F43">
          <w:rPr>
            <w:rFonts w:ascii="Book Antiqua" w:hAnsi="Book Antiqua"/>
            <w:noProof/>
            <w:sz w:val="24"/>
            <w:szCs w:val="24"/>
          </w:rPr>
          <w:t>1</w:t>
        </w:r>
        <w:r w:rsidRPr="001352E5">
          <w:rPr>
            <w:rFonts w:ascii="Book Antiqua" w:hAnsi="Book Antiqua"/>
            <w:noProof/>
            <w:sz w:val="24"/>
            <w:szCs w:val="24"/>
          </w:rPr>
          <w:fldChar w:fldCharType="end"/>
        </w:r>
        <w:r w:rsidRPr="001352E5">
          <w:rPr>
            <w:rFonts w:ascii="Book Antiqua" w:hAnsi="Book Antiqua"/>
            <w:noProof/>
            <w:sz w:val="24"/>
            <w:szCs w:val="24"/>
          </w:rPr>
          <w:t xml:space="preserve"> / 34</w:t>
        </w:r>
      </w:p>
    </w:sdtContent>
  </w:sdt>
  <w:p w14:paraId="77A5A235" w14:textId="77777777" w:rsidR="00F77811" w:rsidRPr="00F77811" w:rsidRDefault="00F77811">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67A3F" w14:textId="77777777" w:rsidR="00AD6F43" w:rsidRDefault="00AD6F43" w:rsidP="00F77811">
      <w:r>
        <w:separator/>
      </w:r>
    </w:p>
  </w:footnote>
  <w:footnote w:type="continuationSeparator" w:id="0">
    <w:p w14:paraId="114D972F" w14:textId="77777777" w:rsidR="00AD6F43" w:rsidRDefault="00AD6F43" w:rsidP="00F77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66D"/>
    <w:rsid w:val="00044224"/>
    <w:rsid w:val="000976F1"/>
    <w:rsid w:val="001352E5"/>
    <w:rsid w:val="00151BD6"/>
    <w:rsid w:val="00155FE6"/>
    <w:rsid w:val="00183176"/>
    <w:rsid w:val="00203BE2"/>
    <w:rsid w:val="00252B19"/>
    <w:rsid w:val="002564D7"/>
    <w:rsid w:val="0026747E"/>
    <w:rsid w:val="00287B3C"/>
    <w:rsid w:val="002B0272"/>
    <w:rsid w:val="003045E7"/>
    <w:rsid w:val="00345999"/>
    <w:rsid w:val="0035135C"/>
    <w:rsid w:val="003C0DE3"/>
    <w:rsid w:val="003F7A64"/>
    <w:rsid w:val="0041259F"/>
    <w:rsid w:val="004729D4"/>
    <w:rsid w:val="004A0B27"/>
    <w:rsid w:val="00506C5D"/>
    <w:rsid w:val="00593965"/>
    <w:rsid w:val="00596B39"/>
    <w:rsid w:val="005A1BFC"/>
    <w:rsid w:val="005F27AD"/>
    <w:rsid w:val="006052CE"/>
    <w:rsid w:val="0061221F"/>
    <w:rsid w:val="006B6551"/>
    <w:rsid w:val="00721FCE"/>
    <w:rsid w:val="00782500"/>
    <w:rsid w:val="007B50C7"/>
    <w:rsid w:val="008134EC"/>
    <w:rsid w:val="0083785A"/>
    <w:rsid w:val="00861CDC"/>
    <w:rsid w:val="00894DD5"/>
    <w:rsid w:val="008B145F"/>
    <w:rsid w:val="008D23A6"/>
    <w:rsid w:val="00926578"/>
    <w:rsid w:val="009271C1"/>
    <w:rsid w:val="00977B77"/>
    <w:rsid w:val="0098121B"/>
    <w:rsid w:val="009946C5"/>
    <w:rsid w:val="009F212F"/>
    <w:rsid w:val="009F4F02"/>
    <w:rsid w:val="00A54183"/>
    <w:rsid w:val="00A64567"/>
    <w:rsid w:val="00A77B3E"/>
    <w:rsid w:val="00A86FAD"/>
    <w:rsid w:val="00A95F1D"/>
    <w:rsid w:val="00AD6F43"/>
    <w:rsid w:val="00B12E83"/>
    <w:rsid w:val="00B27D60"/>
    <w:rsid w:val="00B3404C"/>
    <w:rsid w:val="00B941CE"/>
    <w:rsid w:val="00B96C0A"/>
    <w:rsid w:val="00BB658C"/>
    <w:rsid w:val="00BC1E0A"/>
    <w:rsid w:val="00BC65FD"/>
    <w:rsid w:val="00BD0224"/>
    <w:rsid w:val="00BD78AE"/>
    <w:rsid w:val="00BE4325"/>
    <w:rsid w:val="00C45580"/>
    <w:rsid w:val="00C61EBD"/>
    <w:rsid w:val="00C629A8"/>
    <w:rsid w:val="00C74DA4"/>
    <w:rsid w:val="00CA2A55"/>
    <w:rsid w:val="00CD12CC"/>
    <w:rsid w:val="00CD5C35"/>
    <w:rsid w:val="00CE0A2E"/>
    <w:rsid w:val="00D3239E"/>
    <w:rsid w:val="00D56D2E"/>
    <w:rsid w:val="00D72C8A"/>
    <w:rsid w:val="00DD78EF"/>
    <w:rsid w:val="00E5256C"/>
    <w:rsid w:val="00E875C3"/>
    <w:rsid w:val="00EA3EDB"/>
    <w:rsid w:val="00EE0728"/>
    <w:rsid w:val="00F002F2"/>
    <w:rsid w:val="00F03CBD"/>
    <w:rsid w:val="00F26CB0"/>
    <w:rsid w:val="00F65CE6"/>
    <w:rsid w:val="00F77811"/>
    <w:rsid w:val="00F90F41"/>
    <w:rsid w:val="00FC1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5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77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7811"/>
    <w:rPr>
      <w:sz w:val="18"/>
      <w:szCs w:val="18"/>
    </w:rPr>
  </w:style>
  <w:style w:type="paragraph" w:styleId="a4">
    <w:name w:val="footer"/>
    <w:basedOn w:val="a"/>
    <w:link w:val="Char0"/>
    <w:uiPriority w:val="99"/>
    <w:rsid w:val="00F77811"/>
    <w:pPr>
      <w:tabs>
        <w:tab w:val="center" w:pos="4153"/>
        <w:tab w:val="right" w:pos="8306"/>
      </w:tabs>
      <w:snapToGrid w:val="0"/>
    </w:pPr>
    <w:rPr>
      <w:sz w:val="18"/>
      <w:szCs w:val="18"/>
    </w:rPr>
  </w:style>
  <w:style w:type="character" w:customStyle="1" w:styleId="Char0">
    <w:name w:val="页脚 Char"/>
    <w:basedOn w:val="a0"/>
    <w:link w:val="a4"/>
    <w:uiPriority w:val="99"/>
    <w:rsid w:val="00F77811"/>
    <w:rPr>
      <w:sz w:val="18"/>
      <w:szCs w:val="18"/>
    </w:rPr>
  </w:style>
  <w:style w:type="table" w:styleId="a5">
    <w:name w:val="Table Grid"/>
    <w:basedOn w:val="a1"/>
    <w:uiPriority w:val="39"/>
    <w:rsid w:val="00287B3C"/>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183176"/>
    <w:rPr>
      <w:sz w:val="24"/>
      <w:szCs w:val="24"/>
    </w:rPr>
  </w:style>
  <w:style w:type="paragraph" w:styleId="a7">
    <w:name w:val="Balloon Text"/>
    <w:basedOn w:val="a"/>
    <w:link w:val="Char1"/>
    <w:rsid w:val="000976F1"/>
    <w:rPr>
      <w:sz w:val="18"/>
      <w:szCs w:val="18"/>
    </w:rPr>
  </w:style>
  <w:style w:type="character" w:customStyle="1" w:styleId="Char1">
    <w:name w:val="批注框文本 Char"/>
    <w:basedOn w:val="a0"/>
    <w:link w:val="a7"/>
    <w:rsid w:val="000976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77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7811"/>
    <w:rPr>
      <w:sz w:val="18"/>
      <w:szCs w:val="18"/>
    </w:rPr>
  </w:style>
  <w:style w:type="paragraph" w:styleId="a4">
    <w:name w:val="footer"/>
    <w:basedOn w:val="a"/>
    <w:link w:val="Char0"/>
    <w:uiPriority w:val="99"/>
    <w:rsid w:val="00F77811"/>
    <w:pPr>
      <w:tabs>
        <w:tab w:val="center" w:pos="4153"/>
        <w:tab w:val="right" w:pos="8306"/>
      </w:tabs>
      <w:snapToGrid w:val="0"/>
    </w:pPr>
    <w:rPr>
      <w:sz w:val="18"/>
      <w:szCs w:val="18"/>
    </w:rPr>
  </w:style>
  <w:style w:type="character" w:customStyle="1" w:styleId="Char0">
    <w:name w:val="页脚 Char"/>
    <w:basedOn w:val="a0"/>
    <w:link w:val="a4"/>
    <w:uiPriority w:val="99"/>
    <w:rsid w:val="00F77811"/>
    <w:rPr>
      <w:sz w:val="18"/>
      <w:szCs w:val="18"/>
    </w:rPr>
  </w:style>
  <w:style w:type="table" w:styleId="a5">
    <w:name w:val="Table Grid"/>
    <w:basedOn w:val="a1"/>
    <w:uiPriority w:val="39"/>
    <w:rsid w:val="00287B3C"/>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183176"/>
    <w:rPr>
      <w:sz w:val="24"/>
      <w:szCs w:val="24"/>
    </w:rPr>
  </w:style>
  <w:style w:type="paragraph" w:styleId="a7">
    <w:name w:val="Balloon Text"/>
    <w:basedOn w:val="a"/>
    <w:link w:val="Char1"/>
    <w:rsid w:val="000976F1"/>
    <w:rPr>
      <w:sz w:val="18"/>
      <w:szCs w:val="18"/>
    </w:rPr>
  </w:style>
  <w:style w:type="character" w:customStyle="1" w:styleId="Char1">
    <w:name w:val="批注框文本 Char"/>
    <w:basedOn w:val="a0"/>
    <w:link w:val="a7"/>
    <w:rsid w:val="000976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55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F56AF-D179-426F-BA54-AAE7BB5F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9724</Words>
  <Characters>55432</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150519</dc:creator>
  <cp:lastModifiedBy>liujihong2008@qq.con</cp:lastModifiedBy>
  <cp:revision>8</cp:revision>
  <dcterms:created xsi:type="dcterms:W3CDTF">2021-08-01T20:04:00Z</dcterms:created>
  <dcterms:modified xsi:type="dcterms:W3CDTF">2021-08-19T08:37:00Z</dcterms:modified>
</cp:coreProperties>
</file>