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C5544" w14:textId="77777777" w:rsidR="00A77B3E" w:rsidRDefault="000B09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7FFFC19" w14:textId="77777777" w:rsidR="00A77B3E" w:rsidRDefault="000B09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64654</w:t>
      </w:r>
    </w:p>
    <w:p w14:paraId="62774896" w14:textId="77777777" w:rsidR="00A77B3E" w:rsidRDefault="000B09B6">
      <w:pPr>
        <w:spacing w:line="360" w:lineRule="auto"/>
        <w:jc w:val="both"/>
      </w:pPr>
      <w:r>
        <w:rPr>
          <w:rFonts w:ascii="Book Antiqua" w:eastAsia="Book Antiqua" w:hAnsi="Book Antiqua" w:cs="Book Antiqua"/>
          <w:b/>
          <w:color w:val="000000"/>
        </w:rPr>
        <w:t xml:space="preserve">Manuscript Type: </w:t>
      </w:r>
      <w:bookmarkStart w:id="0" w:name="OLE_LINK171"/>
      <w:r>
        <w:rPr>
          <w:rFonts w:ascii="Book Antiqua" w:eastAsia="Book Antiqua" w:hAnsi="Book Antiqua" w:cs="Book Antiqua"/>
          <w:color w:val="000000"/>
        </w:rPr>
        <w:t>REVIEW</w:t>
      </w:r>
      <w:bookmarkEnd w:id="0"/>
    </w:p>
    <w:p w14:paraId="152885DA" w14:textId="77777777" w:rsidR="00A77B3E" w:rsidRDefault="00A77B3E">
      <w:pPr>
        <w:spacing w:line="360" w:lineRule="auto"/>
        <w:jc w:val="both"/>
      </w:pPr>
    </w:p>
    <w:p w14:paraId="4EA3AA20" w14:textId="77777777" w:rsidR="00A77B3E" w:rsidRDefault="000B09B6">
      <w:pPr>
        <w:spacing w:line="360" w:lineRule="auto"/>
        <w:jc w:val="both"/>
      </w:pPr>
      <w:bookmarkStart w:id="1" w:name="OLE_LINK37"/>
      <w:bookmarkStart w:id="2" w:name="OLE_LINK38"/>
      <w:bookmarkStart w:id="3" w:name="OLE_LINK156"/>
      <w:bookmarkStart w:id="4" w:name="OLE_LINK175"/>
      <w:r>
        <w:rPr>
          <w:rFonts w:ascii="Book Antiqua" w:eastAsia="Book Antiqua" w:hAnsi="Book Antiqua" w:cs="Book Antiqua"/>
          <w:b/>
          <w:color w:val="000000"/>
        </w:rPr>
        <w:t>Association between intestinal</w:t>
      </w:r>
      <w:r w:rsidR="00A77E7F">
        <w:rPr>
          <w:rFonts w:ascii="Book Antiqua" w:eastAsia="Book Antiqua" w:hAnsi="Book Antiqua" w:cs="Book Antiqua"/>
          <w:b/>
          <w:color w:val="000000"/>
        </w:rPr>
        <w:t xml:space="preserve"> neoplasms and celiac disease: </w:t>
      </w:r>
      <w:r w:rsidR="00A77E7F">
        <w:rPr>
          <w:rFonts w:ascii="Book Antiqua" w:hAnsi="Book Antiqua" w:cs="Book Antiqua" w:hint="eastAsia"/>
          <w:b/>
          <w:color w:val="000000"/>
          <w:lang w:eastAsia="zh-CN"/>
        </w:rPr>
        <w:t>A</w:t>
      </w:r>
      <w:r>
        <w:rPr>
          <w:rFonts w:ascii="Book Antiqua" w:eastAsia="Book Antiqua" w:hAnsi="Book Antiqua" w:cs="Book Antiqua"/>
          <w:b/>
          <w:color w:val="000000"/>
        </w:rPr>
        <w:t xml:space="preserve"> review</w:t>
      </w:r>
    </w:p>
    <w:bookmarkEnd w:id="1"/>
    <w:bookmarkEnd w:id="2"/>
    <w:bookmarkEnd w:id="3"/>
    <w:bookmarkEnd w:id="4"/>
    <w:p w14:paraId="77C274B9" w14:textId="77777777" w:rsidR="00A77B3E" w:rsidRDefault="00A77B3E">
      <w:pPr>
        <w:spacing w:line="360" w:lineRule="auto"/>
        <w:jc w:val="both"/>
      </w:pPr>
    </w:p>
    <w:p w14:paraId="7A04DB02" w14:textId="77777777" w:rsidR="00A77B3E" w:rsidRDefault="00A77E7F">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M </w:t>
      </w:r>
      <w:r w:rsidRPr="00A77E7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57"/>
      <w:bookmarkStart w:id="6" w:name="OLE_LINK158"/>
      <w:bookmarkStart w:id="7" w:name="OLE_LINK176"/>
      <w:r w:rsidR="000B09B6">
        <w:rPr>
          <w:rFonts w:ascii="Book Antiqua" w:eastAsia="Book Antiqua" w:hAnsi="Book Antiqua" w:cs="Book Antiqua"/>
          <w:color w:val="000000"/>
        </w:rPr>
        <w:t>Intestinal neoplasms and celiac disease</w:t>
      </w:r>
      <w:bookmarkEnd w:id="5"/>
      <w:bookmarkEnd w:id="6"/>
      <w:bookmarkEnd w:id="7"/>
    </w:p>
    <w:p w14:paraId="2752DB08" w14:textId="77777777" w:rsidR="00A77B3E" w:rsidRDefault="00A77B3E">
      <w:pPr>
        <w:spacing w:line="360" w:lineRule="auto"/>
        <w:jc w:val="both"/>
      </w:pPr>
    </w:p>
    <w:p w14:paraId="30A98CC3" w14:textId="77777777" w:rsidR="00A77B3E" w:rsidRDefault="000B09B6">
      <w:pPr>
        <w:spacing w:line="360" w:lineRule="auto"/>
        <w:jc w:val="both"/>
      </w:pPr>
      <w:r>
        <w:rPr>
          <w:rFonts w:ascii="Book Antiqua" w:eastAsia="Book Antiqua" w:hAnsi="Book Antiqua" w:cs="Book Antiqua"/>
          <w:color w:val="000000"/>
        </w:rPr>
        <w:t xml:space="preserve">Man </w:t>
      </w:r>
      <w:bookmarkStart w:id="8" w:name="OLE_LINK1"/>
      <w:bookmarkStart w:id="9" w:name="OLE_LINK2"/>
      <w:r>
        <w:rPr>
          <w:rFonts w:ascii="Book Antiqua" w:eastAsia="Book Antiqua" w:hAnsi="Book Antiqua" w:cs="Book Antiqua"/>
          <w:color w:val="000000"/>
        </w:rPr>
        <w:t>Wang</w:t>
      </w:r>
      <w:bookmarkEnd w:id="8"/>
      <w:bookmarkEnd w:id="9"/>
      <w:r>
        <w:rPr>
          <w:rFonts w:ascii="Book Antiqua" w:eastAsia="Book Antiqua" w:hAnsi="Book Antiqua" w:cs="Book Antiqua"/>
          <w:color w:val="000000"/>
        </w:rPr>
        <w:t>, Ming Yu, Wen-Jie Kong, Mei Cui, Feng Gao</w:t>
      </w:r>
    </w:p>
    <w:p w14:paraId="7389D9EC" w14:textId="77777777" w:rsidR="00A77B3E" w:rsidRDefault="00A77B3E">
      <w:pPr>
        <w:spacing w:line="360" w:lineRule="auto"/>
        <w:jc w:val="both"/>
      </w:pPr>
    </w:p>
    <w:p w14:paraId="0A7A1EB6" w14:textId="77777777" w:rsidR="00A77B3E" w:rsidRDefault="000B09B6">
      <w:pPr>
        <w:spacing w:line="360" w:lineRule="auto"/>
        <w:jc w:val="both"/>
      </w:pPr>
      <w:r>
        <w:rPr>
          <w:rFonts w:ascii="Book Antiqua" w:eastAsia="Book Antiqua" w:hAnsi="Book Antiqua" w:cs="Book Antiqua"/>
          <w:b/>
          <w:bCs/>
          <w:color w:val="000000"/>
        </w:rPr>
        <w:t xml:space="preserve">Man Wang, </w:t>
      </w:r>
      <w:r w:rsidR="00BC1F36">
        <w:rPr>
          <w:rFonts w:ascii="Book Antiqua" w:eastAsia="Book Antiqua" w:hAnsi="Book Antiqua" w:cs="Book Antiqua"/>
          <w:b/>
          <w:bCs/>
          <w:color w:val="000000"/>
        </w:rPr>
        <w:t>Wen-Jie Kong, Feng Gao,</w:t>
      </w:r>
      <w:r w:rsidR="00BC1F36">
        <w:rPr>
          <w:rFonts w:ascii="Book Antiqua" w:hAnsi="Book Antiqua" w:cs="Book Antiqua" w:hint="eastAsia"/>
          <w:b/>
          <w:bCs/>
          <w:color w:val="000000"/>
          <w:lang w:eastAsia="zh-CN"/>
        </w:rPr>
        <w:t xml:space="preserve"> </w:t>
      </w:r>
      <w:bookmarkStart w:id="10" w:name="OLE_LINK169"/>
      <w:bookmarkStart w:id="11" w:name="OLE_LINK170"/>
      <w:bookmarkStart w:id="12" w:name="OLE_LINK161"/>
      <w:bookmarkStart w:id="13" w:name="OLE_LINK162"/>
      <w:r w:rsidR="0046289C">
        <w:rPr>
          <w:rFonts w:ascii="Book Antiqua" w:eastAsia="Book Antiqua" w:hAnsi="Book Antiqua" w:cs="Book Antiqua"/>
          <w:color w:val="000000"/>
        </w:rPr>
        <w:t>Department of</w:t>
      </w:r>
      <w:bookmarkEnd w:id="10"/>
      <w:bookmarkEnd w:id="11"/>
      <w:r w:rsidR="0046289C">
        <w:rPr>
          <w:rFonts w:ascii="Book Antiqua" w:eastAsia="Book Antiqua" w:hAnsi="Book Antiqua" w:cs="Book Antiqua"/>
          <w:color w:val="000000"/>
        </w:rPr>
        <w:t xml:space="preserve"> </w:t>
      </w:r>
      <w:r>
        <w:rPr>
          <w:rFonts w:ascii="Book Antiqua" w:eastAsia="Book Antiqua" w:hAnsi="Book Antiqua" w:cs="Book Antiqua"/>
          <w:color w:val="000000"/>
        </w:rPr>
        <w:t>Gastroenterology</w:t>
      </w:r>
      <w:bookmarkEnd w:id="12"/>
      <w:bookmarkEnd w:id="13"/>
      <w:r>
        <w:rPr>
          <w:rFonts w:ascii="Book Antiqua" w:eastAsia="Book Antiqua" w:hAnsi="Book Antiqua" w:cs="Book Antiqua"/>
          <w:color w:val="000000"/>
        </w:rPr>
        <w:t xml:space="preserve">, People’s Hospital of Xinjiang Uygur Autonomous Region, Urumqi 830001, </w:t>
      </w:r>
      <w:bookmarkStart w:id="14" w:name="OLE_LINK5"/>
      <w:bookmarkStart w:id="15" w:name="OLE_LINK6"/>
      <w:bookmarkStart w:id="16" w:name="OLE_LINK163"/>
      <w:bookmarkStart w:id="17" w:name="OLE_LINK168"/>
      <w:r w:rsidR="0046289C" w:rsidRPr="0046289C">
        <w:rPr>
          <w:rFonts w:ascii="Book Antiqua" w:eastAsia="Book Antiqua" w:hAnsi="Book Antiqua" w:cs="Book Antiqua"/>
          <w:color w:val="000000"/>
        </w:rPr>
        <w:t>Xinjiang Uygur Autonomous Region</w:t>
      </w:r>
      <w:bookmarkEnd w:id="14"/>
      <w:bookmarkEnd w:id="15"/>
      <w:bookmarkEnd w:id="16"/>
      <w:bookmarkEnd w:id="17"/>
      <w:r>
        <w:rPr>
          <w:rFonts w:ascii="Book Antiqua" w:eastAsia="Book Antiqua" w:hAnsi="Book Antiqua" w:cs="Book Antiqua"/>
          <w:color w:val="000000"/>
        </w:rPr>
        <w:t xml:space="preserve">, </w:t>
      </w:r>
      <w:bookmarkStart w:id="18" w:name="OLE_LINK159"/>
      <w:bookmarkStart w:id="19" w:name="OLE_LINK160"/>
      <w:r>
        <w:rPr>
          <w:rFonts w:ascii="Book Antiqua" w:eastAsia="Book Antiqua" w:hAnsi="Book Antiqua" w:cs="Book Antiqua"/>
          <w:color w:val="000000"/>
        </w:rPr>
        <w:t>China</w:t>
      </w:r>
      <w:bookmarkEnd w:id="18"/>
      <w:bookmarkEnd w:id="19"/>
    </w:p>
    <w:p w14:paraId="09F8D5DB" w14:textId="77777777" w:rsidR="00A77B3E" w:rsidRDefault="00A77B3E">
      <w:pPr>
        <w:spacing w:line="360" w:lineRule="auto"/>
        <w:jc w:val="both"/>
      </w:pPr>
    </w:p>
    <w:p w14:paraId="2A30ECB4" w14:textId="77777777" w:rsidR="00A77B3E" w:rsidRDefault="000B09B6">
      <w:pPr>
        <w:spacing w:line="360" w:lineRule="auto"/>
        <w:jc w:val="both"/>
      </w:pPr>
      <w:r>
        <w:rPr>
          <w:rFonts w:ascii="Book Antiqua" w:eastAsia="Book Antiqua" w:hAnsi="Book Antiqua" w:cs="Book Antiqua"/>
          <w:b/>
          <w:bCs/>
          <w:color w:val="000000"/>
        </w:rPr>
        <w:t>Ming Yu,</w:t>
      </w:r>
      <w:bookmarkStart w:id="20" w:name="OLE_LINK3"/>
      <w:bookmarkStart w:id="21" w:name="OLE_LINK4"/>
      <w:r>
        <w:rPr>
          <w:rFonts w:ascii="Book Antiqua" w:eastAsia="Book Antiqua" w:hAnsi="Book Antiqua" w:cs="Book Antiqua"/>
          <w:b/>
          <w:bCs/>
          <w:color w:val="000000"/>
        </w:rPr>
        <w:t xml:space="preserve"> </w:t>
      </w:r>
      <w:bookmarkStart w:id="22" w:name="OLE_LINK7"/>
      <w:bookmarkStart w:id="23" w:name="OLE_LINK8"/>
      <w:r>
        <w:rPr>
          <w:rFonts w:ascii="Book Antiqua" w:eastAsia="Book Antiqua" w:hAnsi="Book Antiqua" w:cs="Book Antiqua"/>
          <w:color w:val="000000"/>
        </w:rPr>
        <w:t xml:space="preserve">Department of </w:t>
      </w:r>
      <w:bookmarkEnd w:id="20"/>
      <w:bookmarkEnd w:id="21"/>
      <w:bookmarkEnd w:id="22"/>
      <w:bookmarkEnd w:id="23"/>
      <w:r>
        <w:rPr>
          <w:rFonts w:ascii="Book Antiqua" w:eastAsia="Book Antiqua" w:hAnsi="Book Antiqua" w:cs="Book Antiqua"/>
          <w:color w:val="000000"/>
        </w:rPr>
        <w:t xml:space="preserve">General Practice, Xiangyang Central Hospital, </w:t>
      </w:r>
      <w:bookmarkStart w:id="24" w:name="OLE_LINK164"/>
      <w:bookmarkStart w:id="25" w:name="OLE_LINK165"/>
      <w:r w:rsidR="0046289C">
        <w:rPr>
          <w:rFonts w:ascii="Book Antiqua" w:hAnsi="Book Antiqua" w:cs="Book Antiqua" w:hint="eastAsia"/>
          <w:color w:val="000000"/>
          <w:lang w:eastAsia="zh-CN"/>
        </w:rPr>
        <w:t xml:space="preserve">The </w:t>
      </w:r>
      <w:bookmarkEnd w:id="24"/>
      <w:bookmarkEnd w:id="25"/>
      <w:r>
        <w:rPr>
          <w:rFonts w:ascii="Book Antiqua" w:eastAsia="Book Antiqua" w:hAnsi="Book Antiqua" w:cs="Book Antiqua"/>
          <w:color w:val="000000"/>
        </w:rPr>
        <w:t>Affiliated Hospital of Hubei University of Arts and Science, Xiangyang 441021</w:t>
      </w:r>
      <w:r w:rsidR="0046289C">
        <w:rPr>
          <w:rFonts w:ascii="Book Antiqua" w:hAnsi="Book Antiqua" w:cs="Book Antiqua" w:hint="eastAsia"/>
          <w:color w:val="000000"/>
          <w:lang w:eastAsia="zh-CN"/>
        </w:rPr>
        <w:t xml:space="preserve"> </w:t>
      </w:r>
      <w:bookmarkStart w:id="26" w:name="OLE_LINK166"/>
      <w:bookmarkStart w:id="27" w:name="OLE_LINK167"/>
      <w:r w:rsidR="0046289C">
        <w:rPr>
          <w:rFonts w:ascii="Book Antiqua" w:hAnsi="Book Antiqua" w:cs="Book Antiqua" w:hint="eastAsia"/>
          <w:color w:val="000000"/>
          <w:lang w:eastAsia="zh-CN"/>
        </w:rPr>
        <w:t xml:space="preserve">Hubei </w:t>
      </w:r>
      <w:bookmarkEnd w:id="26"/>
      <w:bookmarkEnd w:id="27"/>
      <w:r w:rsidR="0046289C">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31F58D6F" w14:textId="77777777" w:rsidR="00A77B3E" w:rsidRDefault="00A77B3E">
      <w:pPr>
        <w:spacing w:line="360" w:lineRule="auto"/>
        <w:jc w:val="both"/>
      </w:pPr>
    </w:p>
    <w:p w14:paraId="343F9F36" w14:textId="77777777" w:rsidR="00A77B3E" w:rsidRDefault="000B09B6">
      <w:pPr>
        <w:spacing w:line="360" w:lineRule="auto"/>
        <w:jc w:val="both"/>
      </w:pPr>
      <w:r>
        <w:rPr>
          <w:rFonts w:ascii="Book Antiqua" w:eastAsia="Book Antiqua" w:hAnsi="Book Antiqua" w:cs="Book Antiqua"/>
          <w:b/>
          <w:bCs/>
          <w:color w:val="000000"/>
        </w:rPr>
        <w:t xml:space="preserve">Mei Cui, </w:t>
      </w:r>
      <w:r>
        <w:rPr>
          <w:rFonts w:ascii="Book Antiqua" w:eastAsia="Book Antiqua" w:hAnsi="Book Antiqua" w:cs="Book Antiqua"/>
          <w:color w:val="000000"/>
        </w:rPr>
        <w:t>Department of Pathology, People’s Hospital of Xinjiang Uygur Autonomous Region, Urumqi 830001,</w:t>
      </w:r>
      <w:r w:rsidR="00BC1F36" w:rsidRPr="00BC1F36">
        <w:rPr>
          <w:rFonts w:ascii="Book Antiqua" w:eastAsia="Book Antiqua" w:hAnsi="Book Antiqua" w:cs="Book Antiqua"/>
          <w:color w:val="000000"/>
        </w:rPr>
        <w:t xml:space="preserve"> </w:t>
      </w:r>
      <w:r w:rsidR="00BC1F36" w:rsidRPr="0046289C">
        <w:rPr>
          <w:rFonts w:ascii="Book Antiqua" w:eastAsia="Book Antiqua" w:hAnsi="Book Antiqua" w:cs="Book Antiqua"/>
          <w:color w:val="000000"/>
        </w:rPr>
        <w:t>Xinjiang Uygur Autonomous Region</w:t>
      </w:r>
      <w:r w:rsidR="00BC1F36">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07CBA3D3" w14:textId="77777777" w:rsidR="00A77B3E" w:rsidRDefault="00A77B3E">
      <w:pPr>
        <w:spacing w:line="360" w:lineRule="auto"/>
        <w:jc w:val="both"/>
      </w:pPr>
    </w:p>
    <w:p w14:paraId="2A589AE3" w14:textId="39D80E8E" w:rsidR="00A77B3E" w:rsidRDefault="000B09B6">
      <w:pPr>
        <w:spacing w:line="360" w:lineRule="auto"/>
        <w:jc w:val="both"/>
      </w:pPr>
      <w:r>
        <w:rPr>
          <w:rFonts w:ascii="Book Antiqua" w:eastAsia="Book Antiqua" w:hAnsi="Book Antiqua" w:cs="Book Antiqua"/>
          <w:b/>
          <w:bCs/>
          <w:color w:val="000000"/>
          <w:szCs w:val="21"/>
        </w:rPr>
        <w:t xml:space="preserve">Author contributions: </w:t>
      </w:r>
      <w:bookmarkStart w:id="28" w:name="OLE_LINK177"/>
      <w:bookmarkStart w:id="29" w:name="OLE_LINK178"/>
      <w:r>
        <w:rPr>
          <w:rFonts w:ascii="Book Antiqua" w:eastAsia="Book Antiqua" w:hAnsi="Book Antiqua" w:cs="Book Antiqua"/>
          <w:color w:val="000000"/>
        </w:rPr>
        <w:t>Wang M and Gao F designed the study; Wang M and Yu M acquired the data and drafted the article</w:t>
      </w:r>
      <w:r w:rsidR="00324720">
        <w:rPr>
          <w:rFonts w:ascii="Book Antiqua" w:eastAsia="Book Antiqua" w:hAnsi="Book Antiqua" w:cs="Book Antiqua"/>
          <w:color w:val="000000"/>
        </w:rPr>
        <w:t>;</w:t>
      </w:r>
      <w:r>
        <w:rPr>
          <w:rFonts w:ascii="Book Antiqua" w:eastAsia="Book Antiqua" w:hAnsi="Book Antiqua" w:cs="Book Antiqua"/>
          <w:color w:val="000000"/>
        </w:rPr>
        <w:t xml:space="preserve"> </w:t>
      </w:r>
      <w:r w:rsidR="00324720">
        <w:rPr>
          <w:rFonts w:ascii="Book Antiqua" w:eastAsia="Book Antiqua" w:hAnsi="Book Antiqua" w:cs="Book Antiqua"/>
          <w:color w:val="000000"/>
        </w:rPr>
        <w:t xml:space="preserve">Wang M and Yu M </w:t>
      </w:r>
      <w:r>
        <w:rPr>
          <w:rFonts w:ascii="Book Antiqua" w:eastAsia="Book Antiqua" w:hAnsi="Book Antiqua" w:cs="Book Antiqua"/>
          <w:color w:val="000000"/>
        </w:rPr>
        <w:t xml:space="preserve">contributed equally to this work; Cui M and Gao F revised the article critically for important intellectual content; </w:t>
      </w:r>
      <w:r w:rsidR="00DC300C">
        <w:rPr>
          <w:rFonts w:ascii="Book Antiqua" w:eastAsia="Book Antiqua" w:hAnsi="Book Antiqua" w:cs="Book Antiqua"/>
          <w:color w:val="000000"/>
        </w:rPr>
        <w:t>A</w:t>
      </w:r>
      <w:r>
        <w:rPr>
          <w:rFonts w:ascii="Book Antiqua" w:eastAsia="Book Antiqua" w:hAnsi="Book Antiqua" w:cs="Book Antiqua"/>
          <w:color w:val="000000"/>
        </w:rPr>
        <w:t>ll the authors approved the version to be published.</w:t>
      </w:r>
      <w:bookmarkEnd w:id="28"/>
      <w:bookmarkEnd w:id="29"/>
    </w:p>
    <w:p w14:paraId="243ACA03" w14:textId="77777777" w:rsidR="00A77B3E" w:rsidRDefault="00A77B3E">
      <w:pPr>
        <w:spacing w:line="360" w:lineRule="auto"/>
        <w:jc w:val="both"/>
      </w:pPr>
    </w:p>
    <w:p w14:paraId="7E649CDE" w14:textId="77777777" w:rsidR="00A77B3E" w:rsidRPr="00BC1F36" w:rsidRDefault="000B09B6">
      <w:pPr>
        <w:spacing w:line="360" w:lineRule="auto"/>
        <w:jc w:val="both"/>
        <w:rPr>
          <w:lang w:eastAsia="zh-CN"/>
        </w:rPr>
      </w:pPr>
      <w:r>
        <w:rPr>
          <w:rFonts w:ascii="Book Antiqua" w:eastAsia="Book Antiqua" w:hAnsi="Book Antiqua" w:cs="Book Antiqua"/>
          <w:b/>
          <w:bCs/>
          <w:color w:val="000000"/>
          <w:szCs w:val="21"/>
        </w:rPr>
        <w:t xml:space="preserve">Supported by </w:t>
      </w:r>
      <w:bookmarkStart w:id="30" w:name="OLE_LINK179"/>
      <w:bookmarkStart w:id="31" w:name="OLE_LINK180"/>
      <w:r>
        <w:rPr>
          <w:rFonts w:ascii="Book Antiqua" w:eastAsia="Book Antiqua" w:hAnsi="Book Antiqua" w:cs="Book Antiqua"/>
          <w:color w:val="000000"/>
          <w:szCs w:val="22"/>
        </w:rPr>
        <w:t xml:space="preserve">the National Natural Science Foundation of China, No. </w:t>
      </w:r>
      <w:r>
        <w:rPr>
          <w:rFonts w:ascii="Book Antiqua" w:eastAsia="Book Antiqua" w:hAnsi="Book Antiqua" w:cs="Book Antiqua"/>
          <w:color w:val="000000"/>
          <w:szCs w:val="22"/>
          <w:shd w:val="clear" w:color="auto" w:fill="FFFFFF"/>
        </w:rPr>
        <w:t>81760101</w:t>
      </w:r>
      <w:r>
        <w:rPr>
          <w:rFonts w:ascii="Book Antiqua" w:eastAsia="Book Antiqua" w:hAnsi="Book Antiqua" w:cs="Book Antiqua"/>
          <w:color w:val="000000"/>
          <w:szCs w:val="22"/>
        </w:rPr>
        <w:t>.</w:t>
      </w:r>
      <w:bookmarkEnd w:id="30"/>
      <w:bookmarkEnd w:id="31"/>
    </w:p>
    <w:p w14:paraId="74E2F14C" w14:textId="77777777" w:rsidR="00A77B3E" w:rsidRDefault="00A77B3E">
      <w:pPr>
        <w:spacing w:line="360" w:lineRule="auto"/>
        <w:jc w:val="both"/>
      </w:pPr>
    </w:p>
    <w:p w14:paraId="414FEC2B" w14:textId="77777777" w:rsidR="00A77B3E" w:rsidRDefault="000B09B6">
      <w:pPr>
        <w:spacing w:line="360" w:lineRule="auto"/>
        <w:jc w:val="both"/>
      </w:pPr>
      <w:r>
        <w:rPr>
          <w:rFonts w:ascii="Book Antiqua" w:eastAsia="Book Antiqua" w:hAnsi="Book Antiqua" w:cs="Book Antiqua"/>
          <w:b/>
          <w:bCs/>
          <w:color w:val="000000"/>
        </w:rPr>
        <w:t xml:space="preserve">Corresponding author: Feng Gao, MD, PhD, Chairman, Professor, </w:t>
      </w:r>
      <w:r w:rsidR="004A7B25">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Gastroenterology, People’s Hospital of Xinjiang </w:t>
      </w:r>
      <w:r w:rsidR="004A7B25">
        <w:rPr>
          <w:rFonts w:ascii="Book Antiqua" w:eastAsia="Book Antiqua" w:hAnsi="Book Antiqua" w:cs="Book Antiqua"/>
          <w:color w:val="000000"/>
        </w:rPr>
        <w:t>Uygur Autonomous Region, No. 91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Tianchi Road, Tianshan District, Urumqi 830001, Xinjiang Uygur Autonomous Region, China. drxjgf@sina.com</w:t>
      </w:r>
    </w:p>
    <w:p w14:paraId="3223F554" w14:textId="77777777" w:rsidR="00A77B3E" w:rsidRDefault="00A77B3E">
      <w:pPr>
        <w:spacing w:line="360" w:lineRule="auto"/>
        <w:jc w:val="both"/>
      </w:pPr>
    </w:p>
    <w:p w14:paraId="28876AD6" w14:textId="77777777" w:rsidR="00A77B3E" w:rsidRDefault="000B09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6E1A6CFB" w14:textId="77777777" w:rsidR="00A77B3E" w:rsidRPr="004A7B25" w:rsidRDefault="000B09B6">
      <w:pPr>
        <w:spacing w:line="360" w:lineRule="auto"/>
        <w:jc w:val="both"/>
        <w:rPr>
          <w:lang w:eastAsia="zh-CN"/>
        </w:rPr>
      </w:pPr>
      <w:r>
        <w:rPr>
          <w:rFonts w:ascii="Book Antiqua" w:eastAsia="Book Antiqua" w:hAnsi="Book Antiqua" w:cs="Book Antiqua"/>
          <w:b/>
          <w:bCs/>
          <w:color w:val="000000"/>
        </w:rPr>
        <w:t xml:space="preserve">Revised: </w:t>
      </w:r>
      <w:r w:rsidR="004A7B25" w:rsidRPr="004A7B25">
        <w:rPr>
          <w:rFonts w:ascii="Book Antiqua" w:hAnsi="Book Antiqua" w:cs="Book Antiqua" w:hint="eastAsia"/>
          <w:bCs/>
          <w:color w:val="000000"/>
          <w:lang w:eastAsia="zh-CN"/>
        </w:rPr>
        <w:t>June 2, 2021</w:t>
      </w:r>
    </w:p>
    <w:p w14:paraId="06D3BFD7" w14:textId="0BC10A07" w:rsidR="00A77B3E" w:rsidRDefault="000B09B6">
      <w:pPr>
        <w:spacing w:line="360" w:lineRule="auto"/>
        <w:jc w:val="both"/>
      </w:pPr>
      <w:r>
        <w:rPr>
          <w:rFonts w:ascii="Book Antiqua" w:eastAsia="Book Antiqua" w:hAnsi="Book Antiqua" w:cs="Book Antiqua"/>
          <w:b/>
          <w:bCs/>
          <w:color w:val="000000"/>
        </w:rPr>
        <w:t xml:space="preserve">Accepted: </w:t>
      </w:r>
      <w:bookmarkStart w:id="32" w:name="OLE_LINK48"/>
      <w:r w:rsidR="00324720">
        <w:rPr>
          <w:rFonts w:ascii="Book Antiqua" w:eastAsia="SimSun" w:hAnsi="Book Antiqua"/>
          <w:color w:val="000000" w:themeColor="text1"/>
        </w:rPr>
        <w:t>J</w:t>
      </w:r>
      <w:r w:rsidR="00324720">
        <w:rPr>
          <w:rFonts w:ascii="Book Antiqua" w:eastAsia="SimSun" w:hAnsi="Book Antiqua" w:hint="eastAsia"/>
          <w:color w:val="000000" w:themeColor="text1"/>
        </w:rPr>
        <w:t>u</w:t>
      </w:r>
      <w:r w:rsidR="00324720">
        <w:rPr>
          <w:rFonts w:ascii="Book Antiqua" w:eastAsia="SimSun" w:hAnsi="Book Antiqua"/>
          <w:color w:val="000000" w:themeColor="text1"/>
        </w:rPr>
        <w:t>ly</w:t>
      </w:r>
      <w:r w:rsidR="00324720" w:rsidRPr="00F06907">
        <w:rPr>
          <w:rFonts w:ascii="Book Antiqua" w:eastAsia="SimSun" w:hAnsi="Book Antiqua"/>
          <w:color w:val="000000" w:themeColor="text1"/>
        </w:rPr>
        <w:t xml:space="preserve"> </w:t>
      </w:r>
      <w:r w:rsidR="00324720">
        <w:rPr>
          <w:rFonts w:ascii="Book Antiqua" w:eastAsia="SimSun" w:hAnsi="Book Antiqua"/>
          <w:color w:val="000000" w:themeColor="text1"/>
        </w:rPr>
        <w:t>30</w:t>
      </w:r>
      <w:r w:rsidR="00324720" w:rsidRPr="00F06907">
        <w:rPr>
          <w:rFonts w:ascii="Book Antiqua" w:eastAsia="SimSun" w:hAnsi="Book Antiqua"/>
          <w:color w:val="000000" w:themeColor="text1"/>
        </w:rPr>
        <w:t>, 2021</w:t>
      </w:r>
      <w:bookmarkEnd w:id="32"/>
    </w:p>
    <w:p w14:paraId="047348E4" w14:textId="5EBBA6CB" w:rsidR="00A77B3E" w:rsidRDefault="000B09B6">
      <w:pPr>
        <w:spacing w:line="360" w:lineRule="auto"/>
        <w:jc w:val="both"/>
      </w:pPr>
      <w:r>
        <w:rPr>
          <w:rFonts w:ascii="Book Antiqua" w:eastAsia="Book Antiqua" w:hAnsi="Book Antiqua" w:cs="Book Antiqua"/>
          <w:b/>
          <w:bCs/>
          <w:color w:val="000000"/>
        </w:rPr>
        <w:t>Published online:</w:t>
      </w:r>
    </w:p>
    <w:p w14:paraId="55C005A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2A4D12C" w14:textId="77777777" w:rsidR="00A77B3E" w:rsidRDefault="000B09B6">
      <w:pPr>
        <w:spacing w:line="360" w:lineRule="auto"/>
        <w:jc w:val="both"/>
      </w:pPr>
      <w:r>
        <w:rPr>
          <w:rFonts w:ascii="Book Antiqua" w:eastAsia="Book Antiqua" w:hAnsi="Book Antiqua" w:cs="Book Antiqua"/>
          <w:b/>
          <w:color w:val="000000"/>
        </w:rPr>
        <w:lastRenderedPageBreak/>
        <w:t>Abstract</w:t>
      </w:r>
    </w:p>
    <w:p w14:paraId="47F95D1A" w14:textId="2B6FADFE" w:rsidR="00A77B3E" w:rsidRDefault="000061C3" w:rsidP="000061C3">
      <w:pPr>
        <w:adjustRightInd w:val="0"/>
        <w:snapToGrid w:val="0"/>
        <w:spacing w:line="360" w:lineRule="auto"/>
        <w:jc w:val="both"/>
      </w:pPr>
      <w:bookmarkStart w:id="33" w:name="OLE_LINK184"/>
      <w:bookmarkStart w:id="34" w:name="OLE_LINK185"/>
      <w:r>
        <w:rPr>
          <w:rFonts w:ascii="Book Antiqua" w:eastAsia="Book Antiqua" w:hAnsi="Book Antiqua" w:cs="Book Antiqua"/>
          <w:color w:val="000000"/>
        </w:rPr>
        <w:t xml:space="preserve">Celiac disease (CD) is a chronic immune-mediated intestinal disease with genetic susceptibility. It is characterized by inflammatory damage to the small intestine after ingestion of cereals and products containing gluten protein. In recent years, the global prevalence rate of CD has been approximately 1%, </w:t>
      </w:r>
      <w:r w:rsidR="00E43C7A">
        <w:rPr>
          <w:rFonts w:ascii="Book Antiqua" w:eastAsia="Book Antiqua" w:hAnsi="Book Antiqua" w:cs="Book Antiqua"/>
          <w:color w:val="000000"/>
        </w:rPr>
        <w:t>and</w:t>
      </w:r>
      <w:r>
        <w:rPr>
          <w:rFonts w:ascii="Book Antiqua" w:eastAsia="Book Antiqua" w:hAnsi="Book Antiqua" w:cs="Book Antiqua"/>
          <w:color w:val="000000"/>
        </w:rPr>
        <w:t xml:space="preserve"> is gradually increasing. CD patients adhere to a gluten-free diet (GFD) throughout their entire life. However, it is difficult to adhere strictly to a GFD. Untreated CD may be accompanied by gastrointestinal symptoms, such as diarrhea, abdominal pain, and extraintestinal symptoms caused by secondary malnutrition. Many studies have suggested that CD is associated with intestinal tumors such as enteropathy-associated T-cell lymphoma (EATL), small bowel cancer (SBC), and colorectal cancer. In this study, we reviewed related studies published in the literature to provide a reference for the prevention and treatment of intestinal tumors in patients with CD. Compared with the general population, CD patients had a high total risk of SBC and EATL, but not colorectal cancer. The protective effect of GFD on CD-related malignancies is controversial. Further studies are needed to confirm whether GFD treatment can reduce the risk of intestinal neoplasms in CD.</w:t>
      </w:r>
    </w:p>
    <w:p w14:paraId="4475794C" w14:textId="77777777" w:rsidR="00A77B3E" w:rsidRDefault="00A77B3E">
      <w:pPr>
        <w:spacing w:line="360" w:lineRule="auto"/>
        <w:ind w:firstLine="360"/>
        <w:jc w:val="both"/>
      </w:pPr>
    </w:p>
    <w:bookmarkEnd w:id="33"/>
    <w:bookmarkEnd w:id="34"/>
    <w:p w14:paraId="69BB440E" w14:textId="77777777" w:rsidR="00A77B3E" w:rsidRDefault="000B09B6">
      <w:pPr>
        <w:spacing w:line="360" w:lineRule="auto"/>
        <w:jc w:val="both"/>
      </w:pPr>
      <w:r>
        <w:rPr>
          <w:rFonts w:ascii="Book Antiqua" w:eastAsia="Book Antiqua" w:hAnsi="Book Antiqua" w:cs="Book Antiqua"/>
          <w:b/>
          <w:bCs/>
          <w:color w:val="000000"/>
        </w:rPr>
        <w:t xml:space="preserve">Key Words: </w:t>
      </w:r>
      <w:bookmarkStart w:id="35" w:name="OLE_LINK172"/>
      <w:bookmarkStart w:id="36" w:name="OLE_LINK181"/>
      <w:r>
        <w:rPr>
          <w:rFonts w:ascii="Book Antiqua" w:eastAsia="Book Antiqua" w:hAnsi="Book Antiqua" w:cs="Book Antiqua"/>
          <w:color w:val="000000"/>
        </w:rPr>
        <w:t>Celiac disease; Gluten-free diet; Intestinal neoplasms; Small bowel cancer; Enteropathy-associated T-cell lymphoma; Colorectal cancer</w:t>
      </w:r>
      <w:bookmarkEnd w:id="35"/>
      <w:bookmarkEnd w:id="36"/>
    </w:p>
    <w:p w14:paraId="502EB90F" w14:textId="77777777" w:rsidR="00A77B3E" w:rsidRDefault="00A77B3E">
      <w:pPr>
        <w:spacing w:line="360" w:lineRule="auto"/>
        <w:jc w:val="both"/>
      </w:pPr>
    </w:p>
    <w:p w14:paraId="2B7E4479" w14:textId="77777777" w:rsidR="00A77B3E" w:rsidRDefault="000B09B6">
      <w:pPr>
        <w:spacing w:line="360" w:lineRule="auto"/>
        <w:jc w:val="both"/>
      </w:pPr>
      <w:bookmarkStart w:id="37" w:name="OLE_LINK173"/>
      <w:bookmarkStart w:id="38" w:name="OLE_LINK174"/>
      <w:r>
        <w:rPr>
          <w:rFonts w:ascii="Book Antiqua" w:eastAsia="Book Antiqua" w:hAnsi="Book Antiqua" w:cs="Book Antiqua"/>
          <w:color w:val="000000"/>
        </w:rPr>
        <w:t>Wang M, Yu M, Kong WJ, Cui M, Gao F. Association between intestinal</w:t>
      </w:r>
      <w:r w:rsidR="004A7B25">
        <w:rPr>
          <w:rFonts w:ascii="Book Antiqua" w:eastAsia="Book Antiqua" w:hAnsi="Book Antiqua" w:cs="Book Antiqua"/>
          <w:color w:val="000000"/>
        </w:rPr>
        <w:t xml:space="preserve"> neoplasms and celiac disease: </w:t>
      </w:r>
      <w:r w:rsidR="004A7B25">
        <w:rPr>
          <w:rFonts w:ascii="Book Antiqua" w:hAnsi="Book Antiqua" w:cs="Book Antiqua" w:hint="eastAsia"/>
          <w:color w:val="000000"/>
          <w:lang w:eastAsia="zh-CN"/>
        </w:rPr>
        <w:t>A</w:t>
      </w:r>
      <w:r>
        <w:rPr>
          <w:rFonts w:ascii="Book Antiqua" w:eastAsia="Book Antiqua" w:hAnsi="Book Antiqua" w:cs="Book Antiqua"/>
          <w:color w:val="000000"/>
        </w:rPr>
        <w:t xml:space="preserve"> review.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2021; In press</w:t>
      </w:r>
    </w:p>
    <w:bookmarkEnd w:id="37"/>
    <w:bookmarkEnd w:id="38"/>
    <w:p w14:paraId="2615AF80" w14:textId="77777777" w:rsidR="00A77B3E" w:rsidRDefault="00A77B3E">
      <w:pPr>
        <w:spacing w:line="360" w:lineRule="auto"/>
        <w:jc w:val="both"/>
      </w:pPr>
    </w:p>
    <w:p w14:paraId="28FA774D" w14:textId="7672B745" w:rsidR="00A77B3E" w:rsidRDefault="000B09B6">
      <w:pPr>
        <w:spacing w:line="360" w:lineRule="auto"/>
        <w:jc w:val="both"/>
      </w:pPr>
      <w:r>
        <w:rPr>
          <w:rFonts w:ascii="Book Antiqua" w:eastAsia="Book Antiqua" w:hAnsi="Book Antiqua" w:cs="Book Antiqua"/>
          <w:b/>
          <w:bCs/>
          <w:color w:val="000000"/>
        </w:rPr>
        <w:t xml:space="preserve">Core Tip: </w:t>
      </w:r>
      <w:bookmarkStart w:id="39" w:name="OLE_LINK182"/>
      <w:bookmarkStart w:id="40" w:name="OLE_LINK183"/>
      <w:r>
        <w:rPr>
          <w:rFonts w:ascii="Book Antiqua" w:eastAsia="Book Antiqua" w:hAnsi="Book Antiqua" w:cs="Book Antiqua"/>
          <w:color w:val="000000"/>
        </w:rPr>
        <w:t xml:space="preserve">Celiac disease (CD) is an autoimmune intestinal disease caused by intake of gluten-containing cereals and their products by individuals with genetic susceptibility genes. The global prevalence rate </w:t>
      </w:r>
      <w:r w:rsidR="003B441C">
        <w:rPr>
          <w:rFonts w:ascii="Book Antiqua" w:eastAsia="Book Antiqua" w:hAnsi="Book Antiqua" w:cs="Book Antiqua"/>
          <w:color w:val="000000"/>
        </w:rPr>
        <w:t xml:space="preserve">is </w:t>
      </w:r>
      <w:r>
        <w:rPr>
          <w:rFonts w:ascii="Book Antiqua" w:eastAsia="Book Antiqua" w:hAnsi="Book Antiqua" w:cs="Book Antiqua"/>
          <w:color w:val="000000"/>
        </w:rPr>
        <w:t>approximately 1%</w:t>
      </w:r>
      <w:r w:rsidR="003B441C">
        <w:rPr>
          <w:rFonts w:ascii="Book Antiqua" w:eastAsia="Book Antiqua" w:hAnsi="Book Antiqua" w:cs="Book Antiqua"/>
          <w:color w:val="000000"/>
        </w:rPr>
        <w:t xml:space="preserve"> and</w:t>
      </w:r>
      <w:r>
        <w:rPr>
          <w:rFonts w:ascii="Book Antiqua" w:eastAsia="Book Antiqua" w:hAnsi="Book Antiqua" w:cs="Book Antiqua"/>
          <w:color w:val="000000"/>
        </w:rPr>
        <w:t xml:space="preserve"> is gradually increasing. CD can lead to intestinal mucosal damage and secondary malnutrition caused by extraintestinal symptoms. In this study, the total risk of small bowel cancer and enteropathy-associated T</w:t>
      </w:r>
      <w:r w:rsidR="005B4453">
        <w:rPr>
          <w:rFonts w:ascii="Book Antiqua" w:eastAsia="Book Antiqua" w:hAnsi="Book Antiqua" w:cs="Book Antiqua"/>
          <w:color w:val="000000"/>
        </w:rPr>
        <w:t>-</w:t>
      </w:r>
      <w:r>
        <w:rPr>
          <w:rFonts w:ascii="Book Antiqua" w:eastAsia="Book Antiqua" w:hAnsi="Book Antiqua" w:cs="Book Antiqua"/>
          <w:color w:val="000000"/>
        </w:rPr>
        <w:t xml:space="preserve">cell lymphoma in CD patients was higher than that in the </w:t>
      </w:r>
      <w:r>
        <w:rPr>
          <w:rFonts w:ascii="Book Antiqua" w:eastAsia="Book Antiqua" w:hAnsi="Book Antiqua" w:cs="Book Antiqua"/>
          <w:color w:val="000000"/>
        </w:rPr>
        <w:lastRenderedPageBreak/>
        <w:t>general population, but the risk of colorectal cancer in CD patients was not significantly higher. The protective effect of a gluten-free diet on CD-related malignancies is controversial.</w:t>
      </w:r>
    </w:p>
    <w:bookmarkEnd w:id="39"/>
    <w:bookmarkEnd w:id="40"/>
    <w:p w14:paraId="2BBF887C" w14:textId="77777777" w:rsidR="00A77B3E" w:rsidRDefault="00E2034C">
      <w:pPr>
        <w:spacing w:line="360" w:lineRule="auto"/>
        <w:jc w:val="both"/>
      </w:pPr>
      <w:r>
        <w:rPr>
          <w:rFonts w:ascii="Book Antiqua" w:eastAsia="Book Antiqua" w:hAnsi="Book Antiqua" w:cs="Book Antiqua"/>
          <w:b/>
          <w:caps/>
          <w:color w:val="000000"/>
          <w:u w:val="single"/>
        </w:rPr>
        <w:br w:type="page"/>
      </w:r>
      <w:r w:rsidR="000B09B6">
        <w:rPr>
          <w:rFonts w:ascii="Book Antiqua" w:eastAsia="Book Antiqua" w:hAnsi="Book Antiqua" w:cs="Book Antiqua"/>
          <w:b/>
          <w:caps/>
          <w:color w:val="000000"/>
          <w:u w:val="single"/>
        </w:rPr>
        <w:lastRenderedPageBreak/>
        <w:t>INTRODUCTION</w:t>
      </w:r>
    </w:p>
    <w:p w14:paraId="6DE3C9C5" w14:textId="29EDD5A4" w:rsidR="00A77B3E" w:rsidRDefault="000B09B6">
      <w:pPr>
        <w:spacing w:line="360" w:lineRule="auto"/>
        <w:jc w:val="both"/>
      </w:pPr>
      <w:bookmarkStart w:id="41" w:name="OLE_LINK186"/>
      <w:bookmarkStart w:id="42" w:name="OLE_LINK187"/>
      <w:r>
        <w:rPr>
          <w:rFonts w:ascii="Book Antiqua" w:eastAsia="Book Antiqua" w:hAnsi="Book Antiqua" w:cs="Book Antiqua"/>
          <w:color w:val="000000"/>
        </w:rPr>
        <w:t>Celiac disease (CD) is a chronic immune-mediated intestinal disease characterized by permanent intolerance to glutenin. Ingestion of glutathione by CD-sensitive individuals triggers adaptive and innate immune responses, leading to intestinal inflammation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Genetic susceptibility plays an important role in the pathogenesis of CD</w:t>
      </w:r>
      <w:r w:rsidR="003B441C">
        <w:rPr>
          <w:rFonts w:ascii="Book Antiqua" w:eastAsia="Book Antiqua" w:hAnsi="Book Antiqua" w:cs="Book Antiqua"/>
          <w:color w:val="000000"/>
        </w:rPr>
        <w:t xml:space="preserve"> and is</w:t>
      </w:r>
      <w:r>
        <w:rPr>
          <w:rFonts w:ascii="Book Antiqua" w:eastAsia="Book Antiqua" w:hAnsi="Book Antiqua" w:cs="Book Antiqua"/>
          <w:color w:val="000000"/>
          <w:szCs w:val="21"/>
        </w:rPr>
        <w:t xml:space="preserve"> strongly associated</w:t>
      </w:r>
      <w:r>
        <w:rPr>
          <w:rFonts w:ascii="Book Antiqua" w:eastAsia="Book Antiqua" w:hAnsi="Book Antiqua" w:cs="Book Antiqua"/>
          <w:color w:val="000000"/>
        </w:rPr>
        <w:t xml:space="preserve"> HLA-DQ 2 and/or HLA-DQ8 haplotypes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a small number of HLA-DQ2-negative and/or HLA-DQ8-negative individuals also develop CD, suggesting that other genetic and/or environmental factors, including the gut microbiota, may play a role in the pathogenesis of the disease</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The presence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reduces the risk of developing CD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Reovirus and rotavirus are also associated with CD</w:t>
      </w:r>
      <w:r w:rsidR="00EE24A4">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6C08AC5" w14:textId="72A73320" w:rsidR="00A77B3E" w:rsidRDefault="000B09B6" w:rsidP="00EE24A4">
      <w:pPr>
        <w:spacing w:line="360" w:lineRule="auto"/>
        <w:ind w:firstLineChars="100" w:firstLine="240"/>
        <w:jc w:val="both"/>
      </w:pPr>
      <w:r>
        <w:rPr>
          <w:rFonts w:ascii="Book Antiqua" w:eastAsia="Book Antiqua" w:hAnsi="Book Antiqua" w:cs="Book Antiqua"/>
          <w:color w:val="000000"/>
        </w:rPr>
        <w:t>According to a systematic review, the global prevalence of CD was 1.4% using serum samples and 0.7% using biopsy samples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prevalence of </w:t>
      </w:r>
      <w:r w:rsidR="003B441C">
        <w:rPr>
          <w:rFonts w:ascii="Book Antiqua" w:eastAsia="Book Antiqua" w:hAnsi="Book Antiqua" w:cs="Book Antiqua"/>
          <w:color w:val="000000"/>
        </w:rPr>
        <w:t>biopsy-</w:t>
      </w:r>
      <w:r>
        <w:rPr>
          <w:rFonts w:ascii="Book Antiqua" w:eastAsia="Book Antiqua" w:hAnsi="Book Antiqua" w:cs="Book Antiqua"/>
          <w:color w:val="000000"/>
        </w:rPr>
        <w:t xml:space="preserve">confirmed </w:t>
      </w:r>
      <w:r w:rsidR="003B441C">
        <w:rPr>
          <w:rFonts w:ascii="Book Antiqua" w:eastAsia="Book Antiqua" w:hAnsi="Book Antiqua" w:cs="Book Antiqua"/>
          <w:color w:val="000000"/>
        </w:rPr>
        <w:t xml:space="preserve">CD </w:t>
      </w:r>
      <w:r>
        <w:rPr>
          <w:rFonts w:ascii="Book Antiqua" w:eastAsia="Book Antiqua" w:hAnsi="Book Antiqua" w:cs="Book Antiqua"/>
          <w:color w:val="000000"/>
        </w:rPr>
        <w:t>in some populations is as high as 4.3%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studies have shown that the </w:t>
      </w:r>
      <w:r w:rsidR="003B441C">
        <w:rPr>
          <w:rFonts w:ascii="Book Antiqua" w:eastAsia="Book Antiqua" w:hAnsi="Book Antiqua" w:cs="Book Antiqua"/>
          <w:color w:val="000000"/>
        </w:rPr>
        <w:t xml:space="preserve">worldwide </w:t>
      </w:r>
      <w:r>
        <w:rPr>
          <w:rFonts w:ascii="Book Antiqua" w:eastAsia="Book Antiqua" w:hAnsi="Book Antiqua" w:cs="Book Antiqua"/>
          <w:color w:val="000000"/>
        </w:rPr>
        <w:t xml:space="preserve">incidence of CD is underestimated. A considerable number of patients have not been diagnosed or have been diagnosed late, partly </w:t>
      </w:r>
      <w:r w:rsidR="003B441C">
        <w:rPr>
          <w:rFonts w:ascii="Book Antiqua" w:eastAsia="Book Antiqua" w:hAnsi="Book Antiqua" w:cs="Book Antiqua"/>
          <w:color w:val="000000"/>
        </w:rPr>
        <w:t>because of</w:t>
      </w:r>
      <w:r>
        <w:rPr>
          <w:rFonts w:ascii="Book Antiqua" w:eastAsia="Book Antiqua" w:hAnsi="Book Antiqua" w:cs="Book Antiqua"/>
          <w:color w:val="000000"/>
        </w:rPr>
        <w:t xml:space="preserve"> extensive clinical manifestations. In addition to typical gastrointestinal problems, patients may have </w:t>
      </w:r>
      <w:r w:rsidR="003B441C">
        <w:rPr>
          <w:rFonts w:ascii="Book Antiqua" w:eastAsia="Book Antiqua" w:hAnsi="Book Antiqua" w:cs="Book Antiqua"/>
          <w:color w:val="000000"/>
        </w:rPr>
        <w:t xml:space="preserve">various </w:t>
      </w:r>
      <w:r>
        <w:rPr>
          <w:rFonts w:ascii="Book Antiqua" w:eastAsia="Book Antiqua" w:hAnsi="Book Antiqua" w:cs="Book Antiqua"/>
          <w:color w:val="000000"/>
        </w:rPr>
        <w:t>extraintestinal symptoms or may even be asymptomatic</w:t>
      </w:r>
      <w:r>
        <w:rPr>
          <w:rFonts w:ascii="Book Antiqua" w:eastAsia="Book Antiqua" w:hAnsi="Book Antiqua" w:cs="Book Antiqua"/>
          <w:color w:val="000000"/>
          <w:szCs w:val="30"/>
          <w:vertAlign w:val="superscript"/>
        </w:rPr>
        <w:t>[15-20]</w:t>
      </w:r>
      <w:r>
        <w:rPr>
          <w:rFonts w:ascii="Book Antiqua" w:eastAsia="Book Antiqua" w:hAnsi="Book Antiqua" w:cs="Book Antiqua"/>
          <w:color w:val="000000"/>
        </w:rPr>
        <w:t xml:space="preserve">. </w:t>
      </w:r>
      <w:r w:rsidR="000061C3" w:rsidRPr="000061C3">
        <w:rPr>
          <w:rFonts w:ascii="Book Antiqua" w:eastAsia="Book Antiqua" w:hAnsi="Book Antiqua" w:cs="Book Antiqua"/>
          <w:color w:val="000000"/>
        </w:rPr>
        <w:t xml:space="preserve">Extraintestinal </w:t>
      </w:r>
      <w:r>
        <w:rPr>
          <w:rFonts w:ascii="Book Antiqua" w:eastAsia="Book Antiqua" w:hAnsi="Book Antiqua" w:cs="Book Antiqua"/>
          <w:color w:val="000000"/>
        </w:rPr>
        <w:t xml:space="preserve">manifestations of the disease can affect almost </w:t>
      </w:r>
      <w:r w:rsidR="003B441C">
        <w:rPr>
          <w:rFonts w:ascii="Book Antiqua" w:eastAsia="Book Antiqua" w:hAnsi="Book Antiqua" w:cs="Book Antiqua"/>
          <w:color w:val="000000"/>
        </w:rPr>
        <w:t xml:space="preserve">any </w:t>
      </w:r>
      <w:r>
        <w:rPr>
          <w:rFonts w:ascii="Book Antiqua" w:eastAsia="Book Antiqua" w:hAnsi="Book Antiqua" w:cs="Book Antiqua"/>
          <w:color w:val="000000"/>
        </w:rPr>
        <w:t>organ, including the nervous, endocrine, liver, skin, blood, reproductive, cardiovascular, and musculoskeletal systems, and are usually associated with more severe clinical and histological manifestations</w:t>
      </w:r>
      <w:r w:rsidR="00EE24A4">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3B441C">
        <w:rPr>
          <w:rFonts w:ascii="Book Antiqua" w:eastAsia="Book Antiqua" w:hAnsi="Book Antiqua" w:cs="Book Antiqua"/>
          <w:color w:val="000000"/>
        </w:rPr>
        <w:t>T</w:t>
      </w:r>
      <w:r>
        <w:rPr>
          <w:rFonts w:ascii="Book Antiqua" w:eastAsia="Book Antiqua" w:hAnsi="Book Antiqua" w:cs="Book Antiqua"/>
          <w:color w:val="000000"/>
        </w:rPr>
        <w:t xml:space="preserve">he </w:t>
      </w:r>
      <w:r w:rsidR="003B441C">
        <w:rPr>
          <w:rFonts w:ascii="Book Antiqua" w:eastAsia="Book Antiqua" w:hAnsi="Book Antiqua" w:cs="Book Antiqua"/>
          <w:color w:val="000000"/>
        </w:rPr>
        <w:t xml:space="preserve">CD </w:t>
      </w:r>
      <w:r>
        <w:rPr>
          <w:rFonts w:ascii="Book Antiqua" w:eastAsia="Book Antiqua" w:hAnsi="Book Antiqua" w:cs="Book Antiqua"/>
          <w:color w:val="000000"/>
        </w:rPr>
        <w:t xml:space="preserve">diagnosis </w:t>
      </w:r>
      <w:r w:rsidR="003B441C">
        <w:rPr>
          <w:rFonts w:ascii="Book Antiqua" w:eastAsia="Book Antiqua" w:hAnsi="Book Antiqua" w:cs="Book Antiqua"/>
          <w:color w:val="000000"/>
        </w:rPr>
        <w:t xml:space="preserve">recommendations </w:t>
      </w:r>
      <w:r>
        <w:rPr>
          <w:rFonts w:ascii="Book Antiqua" w:eastAsia="Book Antiqua" w:hAnsi="Book Antiqua" w:cs="Book Antiqua"/>
          <w:color w:val="000000"/>
        </w:rPr>
        <w:t xml:space="preserve">of the </w:t>
      </w:r>
      <w:r w:rsidR="003B441C" w:rsidRPr="003B441C">
        <w:rPr>
          <w:rFonts w:ascii="Book Antiqua" w:eastAsia="Book Antiqua" w:hAnsi="Book Antiqua" w:cs="Book Antiqua"/>
          <w:color w:val="000000"/>
        </w:rPr>
        <w:t xml:space="preserve">European Society for </w:t>
      </w:r>
      <w:r w:rsidR="005B4453" w:rsidRPr="003B441C">
        <w:rPr>
          <w:rFonts w:ascii="Book Antiqua" w:eastAsia="Book Antiqua" w:hAnsi="Book Antiqua" w:cs="Book Antiqua"/>
          <w:color w:val="000000"/>
        </w:rPr>
        <w:t>Pediatric</w:t>
      </w:r>
      <w:r w:rsidR="003B441C" w:rsidRPr="003B441C">
        <w:rPr>
          <w:rFonts w:ascii="Book Antiqua" w:eastAsia="Book Antiqua" w:hAnsi="Book Antiqua" w:cs="Book Antiqua"/>
          <w:color w:val="000000"/>
        </w:rPr>
        <w:t xml:space="preserve"> Gastroenterology Hepatology and Nutrition </w:t>
      </w:r>
      <w:r w:rsidR="003B441C">
        <w:rPr>
          <w:rFonts w:ascii="Book Antiqua" w:eastAsia="Book Antiqua" w:hAnsi="Book Antiqua" w:cs="Book Antiqua"/>
          <w:color w:val="000000"/>
        </w:rPr>
        <w:t xml:space="preserve">(ESPGHAN) include </w:t>
      </w:r>
      <w:r>
        <w:rPr>
          <w:rFonts w:ascii="Book Antiqua" w:eastAsia="Book Antiqua" w:hAnsi="Book Antiqua" w:cs="Book Antiqua"/>
          <w:color w:val="000000"/>
        </w:rPr>
        <w:t xml:space="preserve">preliminary serological screening </w:t>
      </w:r>
      <w:r w:rsidR="003B441C">
        <w:rPr>
          <w:rFonts w:ascii="Book Antiqua" w:eastAsia="Book Antiqua" w:hAnsi="Book Antiqua" w:cs="Book Antiqua"/>
          <w:color w:val="000000"/>
        </w:rPr>
        <w:t xml:space="preserve">of </w:t>
      </w:r>
      <w:r>
        <w:rPr>
          <w:rFonts w:ascii="Book Antiqua" w:eastAsia="Book Antiqua" w:hAnsi="Book Antiqua" w:cs="Book Antiqua"/>
          <w:color w:val="000000"/>
        </w:rPr>
        <w:t xml:space="preserve">anti-tissue transglutaminase immunoglobulin A, anti-endomysium antibodies, and anti-deamidated gliadin peptide, </w:t>
      </w:r>
      <w:r w:rsidR="003B441C">
        <w:rPr>
          <w:rFonts w:ascii="Book Antiqua" w:eastAsia="Book Antiqua" w:hAnsi="Book Antiqua" w:cs="Book Antiqua"/>
          <w:color w:val="000000"/>
        </w:rPr>
        <w:t xml:space="preserve">and </w:t>
      </w:r>
      <w:r>
        <w:rPr>
          <w:rFonts w:ascii="Book Antiqua" w:eastAsia="Book Antiqua" w:hAnsi="Book Antiqua" w:cs="Book Antiqua"/>
          <w:color w:val="000000"/>
        </w:rPr>
        <w:t>at least one biopsy obtained from the duodenal bulb)</w:t>
      </w:r>
      <w:r>
        <w:rPr>
          <w:rFonts w:ascii="Book Antiqua" w:eastAsia="Book Antiqua" w:hAnsi="Book Antiqua" w:cs="Book Antiqua"/>
          <w:color w:val="000000"/>
          <w:szCs w:val="30"/>
          <w:vertAlign w:val="superscript"/>
        </w:rPr>
        <w:t>[23-30]</w:t>
      </w:r>
      <w:r>
        <w:rPr>
          <w:rFonts w:ascii="Book Antiqua" w:eastAsia="Book Antiqua" w:hAnsi="Book Antiqua" w:cs="Book Antiqua"/>
          <w:color w:val="000000"/>
        </w:rPr>
        <w:t>. Characteristic small intestinal mucosal injury is the basis of diagnosis. Upper gastrointestinal endoscopy can directly reveal gross changes in the small intestinal mucosa, including scallops, villous fold reduction, cracks, mosaic patterns, and nodules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However, their absence does not rule out the diagnosis of CD. Therefore, duodenal biopsies should be included to improve the </w:t>
      </w:r>
      <w:r>
        <w:rPr>
          <w:rFonts w:ascii="Book Antiqua" w:eastAsia="Book Antiqua" w:hAnsi="Book Antiqua" w:cs="Book Antiqua"/>
          <w:color w:val="000000"/>
        </w:rPr>
        <w:lastRenderedPageBreak/>
        <w:t>diagnostic rate</w:t>
      </w:r>
      <w:r>
        <w:rPr>
          <w:rFonts w:ascii="Book Antiqua" w:eastAsia="Book Antiqua" w:hAnsi="Book Antiqua" w:cs="Book Antiqua"/>
          <w:color w:val="000000"/>
          <w:szCs w:val="30"/>
          <w:vertAlign w:val="superscript"/>
        </w:rPr>
        <w:t>[32]</w:t>
      </w:r>
      <w:r w:rsidR="00005CB4">
        <w:rPr>
          <w:rFonts w:ascii="Book Antiqua" w:hAnsi="Book Antiqua" w:cs="Book Antiqua" w:hint="eastAsia"/>
          <w:color w:val="000000"/>
          <w:szCs w:val="30"/>
          <w:lang w:eastAsia="zh-CN"/>
        </w:rPr>
        <w:t xml:space="preserve"> (Figure</w:t>
      </w:r>
      <w:r w:rsidR="00D84046">
        <w:rPr>
          <w:rFonts w:ascii="Book Antiqua" w:hAnsi="Book Antiqua" w:cs="Book Antiqua" w:hint="eastAsia"/>
          <w:color w:val="000000"/>
          <w:szCs w:val="30"/>
          <w:lang w:eastAsia="zh-CN"/>
        </w:rPr>
        <w:t>s</w:t>
      </w:r>
      <w:r w:rsidR="00005CB4">
        <w:rPr>
          <w:rFonts w:ascii="Book Antiqua" w:hAnsi="Book Antiqua" w:cs="Book Antiqua" w:hint="eastAsia"/>
          <w:color w:val="000000"/>
          <w:szCs w:val="30"/>
          <w:lang w:eastAsia="zh-CN"/>
        </w:rPr>
        <w:t xml:space="preserve"> 1</w:t>
      </w:r>
      <w:r w:rsidR="00D84046">
        <w:rPr>
          <w:rFonts w:ascii="Book Antiqua" w:hAnsi="Book Antiqua" w:cs="Book Antiqua" w:hint="eastAsia"/>
          <w:color w:val="000000"/>
          <w:szCs w:val="30"/>
          <w:lang w:eastAsia="zh-CN"/>
        </w:rPr>
        <w:t xml:space="preserve"> and 2</w:t>
      </w:r>
      <w:r w:rsidR="00005CB4">
        <w:rPr>
          <w:rFonts w:ascii="Book Antiqua" w:hAnsi="Book Antiqua" w:cs="Book Antiqua" w:hint="eastAsia"/>
          <w:color w:val="000000"/>
          <w:szCs w:val="30"/>
          <w:lang w:eastAsia="zh-CN"/>
        </w:rPr>
        <w:t>)</w:t>
      </w:r>
      <w:r>
        <w:rPr>
          <w:rFonts w:ascii="Book Antiqua" w:eastAsia="Book Antiqua" w:hAnsi="Book Antiqua" w:cs="Book Antiqua"/>
          <w:color w:val="000000"/>
        </w:rPr>
        <w:t>. The modified Marsh–Oberhuber standard is useful for diagnosis</w:t>
      </w:r>
      <w:r w:rsidR="00EE24A4">
        <w:rPr>
          <w:rFonts w:ascii="Book Antiqua" w:eastAsia="Book Antiqua" w:hAnsi="Book Antiqua" w:cs="Book Antiqua"/>
          <w:color w:val="000000"/>
          <w:szCs w:val="30"/>
          <w:vertAlign w:val="superscript"/>
        </w:rPr>
        <w:t>[2,33,</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3987950" w14:textId="53971C1F" w:rsidR="00A77B3E" w:rsidRDefault="000B09B6" w:rsidP="00EE24A4">
      <w:pPr>
        <w:spacing w:line="360" w:lineRule="auto"/>
        <w:ind w:firstLineChars="100" w:firstLine="240"/>
        <w:jc w:val="both"/>
      </w:pPr>
      <w:r>
        <w:rPr>
          <w:rFonts w:ascii="Book Antiqua" w:eastAsia="Book Antiqua" w:hAnsi="Book Antiqua" w:cs="Book Antiqua"/>
          <w:color w:val="000000"/>
        </w:rPr>
        <w:t>The mortality rate in CD patients is higher than that of the general population</w:t>
      </w:r>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An increased risk of death is mainly observed within a few years after diagnosis</w:t>
      </w:r>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A cohort study from Scotland found a temporary increase in the risk of mortality among adults diagnosed with abdominal cancer, mainly malignant lymphoma. However, the risk of mortality declined steadily over time after diagnosis, and the risk of malignancy decrease</w:t>
      </w:r>
      <w:r w:rsidR="003B441C">
        <w:rPr>
          <w:rFonts w:ascii="Book Antiqua" w:eastAsia="Book Antiqua" w:hAnsi="Book Antiqua" w:cs="Book Antiqua"/>
          <w:color w:val="000000"/>
        </w:rPr>
        <w:t>d</w:t>
      </w:r>
      <w:r>
        <w:rPr>
          <w:rFonts w:ascii="Book Antiqua" w:eastAsia="Book Antiqua" w:hAnsi="Book Antiqua" w:cs="Book Antiqua"/>
          <w:color w:val="000000"/>
        </w:rPr>
        <w:t xml:space="preserve"> 15 years after diagnosis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However, a large epidemiological registry study </w:t>
      </w:r>
      <w:r w:rsidR="00726C0C">
        <w:rPr>
          <w:rFonts w:ascii="Book Antiqua" w:eastAsia="Book Antiqua" w:hAnsi="Book Antiqua" w:cs="Book Antiqua"/>
          <w:color w:val="000000"/>
        </w:rPr>
        <w:t xml:space="preserve">in </w:t>
      </w:r>
      <w:r>
        <w:rPr>
          <w:rFonts w:ascii="Book Antiqua" w:eastAsia="Book Antiqua" w:hAnsi="Book Antiqua" w:cs="Book Antiqua"/>
          <w:color w:val="000000"/>
        </w:rPr>
        <w:t>the United Kingdom found that although non-Hodgkin’s lymphoma (NHL) ha</w:t>
      </w:r>
      <w:r w:rsidR="00726C0C">
        <w:rPr>
          <w:rFonts w:ascii="Book Antiqua" w:eastAsia="Book Antiqua" w:hAnsi="Book Antiqua" w:cs="Book Antiqua"/>
          <w:color w:val="000000"/>
        </w:rPr>
        <w:t>d</w:t>
      </w:r>
      <w:r>
        <w:rPr>
          <w:rFonts w:ascii="Book Antiqua" w:eastAsia="Book Antiqua" w:hAnsi="Book Antiqua" w:cs="Book Antiqua"/>
          <w:color w:val="000000"/>
        </w:rPr>
        <w:t xml:space="preserve"> a high mortality of 0.15%, there was no significant increase in the risk of death in people with CD compared with the general population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 recent population-based cohort study from Sweden reported increased mortality in patients with CD. Although the overall risk of death is the highest in the first year after diagnosis, it </w:t>
      </w:r>
      <w:r w:rsidR="00726C0C">
        <w:rPr>
          <w:rFonts w:ascii="Book Antiqua" w:eastAsia="Book Antiqua" w:hAnsi="Book Antiqua" w:cs="Book Antiqua"/>
          <w:color w:val="000000"/>
        </w:rPr>
        <w:t>persists for</w:t>
      </w:r>
      <w:r>
        <w:rPr>
          <w:rFonts w:ascii="Book Antiqua" w:eastAsia="Book Antiqua" w:hAnsi="Book Antiqua" w:cs="Book Antiqua"/>
          <w:color w:val="000000"/>
        </w:rPr>
        <w:t xml:space="preserve"> 10 years after diagnosis. Cardiovascular disease, respiratory disease, and cancer are the main reasons for the increased risk of death</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7B72D26B" w14:textId="13615813" w:rsidR="00A77B3E" w:rsidRPr="00EE24A4" w:rsidRDefault="000B09B6" w:rsidP="00EE24A4">
      <w:pPr>
        <w:spacing w:line="360" w:lineRule="auto"/>
        <w:ind w:firstLineChars="100" w:firstLine="240"/>
        <w:jc w:val="both"/>
        <w:rPr>
          <w:lang w:eastAsia="zh-CN"/>
        </w:rPr>
      </w:pPr>
      <w:r>
        <w:rPr>
          <w:rFonts w:ascii="Book Antiqua" w:eastAsia="Book Antiqua" w:hAnsi="Book Antiqua" w:cs="Book Antiqua"/>
          <w:color w:val="000000"/>
        </w:rPr>
        <w:t>Glutenin is mainly found in wheat, barley, rye, and oats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Currently, the only effective treatment for CD is a lifelong strict gluten-free diet (GFD), which usually alleviates symptoms and improves intestinal mucosal damage</w:t>
      </w:r>
      <w:r w:rsidR="00EE24A4">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There is evidence that early </w:t>
      </w:r>
      <w:r w:rsidR="00726C0C">
        <w:rPr>
          <w:rFonts w:ascii="Book Antiqua" w:eastAsia="Book Antiqua" w:hAnsi="Book Antiqua" w:cs="Book Antiqua"/>
          <w:color w:val="000000"/>
        </w:rPr>
        <w:t xml:space="preserve">adoption </w:t>
      </w:r>
      <w:r>
        <w:rPr>
          <w:rFonts w:ascii="Book Antiqua" w:eastAsia="Book Antiqua" w:hAnsi="Book Antiqua" w:cs="Book Antiqua"/>
          <w:color w:val="000000"/>
        </w:rPr>
        <w:t>of a GFD can prevent CD-related complications</w:t>
      </w:r>
      <w:r w:rsidR="00EE24A4">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However, </w:t>
      </w:r>
      <w:r w:rsidR="00726C0C">
        <w:rPr>
          <w:rFonts w:ascii="Book Antiqua" w:eastAsia="Book Antiqua" w:hAnsi="Book Antiqua" w:cs="Book Antiqua"/>
          <w:color w:val="000000"/>
        </w:rPr>
        <w:t>because of</w:t>
      </w:r>
      <w:r>
        <w:rPr>
          <w:rFonts w:ascii="Book Antiqua" w:eastAsia="Book Antiqua" w:hAnsi="Book Antiqua" w:cs="Book Antiqua"/>
          <w:color w:val="000000"/>
        </w:rPr>
        <w:t xml:space="preserve"> the extensive use of wheat in food, gluten may be inadvertently </w:t>
      </w:r>
      <w:r>
        <w:rPr>
          <w:rFonts w:ascii="Book Antiqua" w:eastAsia="Book Antiqua" w:hAnsi="Book Antiqua" w:cs="Book Antiqua"/>
          <w:color w:val="000000"/>
          <w:szCs w:val="21"/>
        </w:rPr>
        <w:t>ingested</w:t>
      </w:r>
      <w:r>
        <w:rPr>
          <w:rFonts w:ascii="Book Antiqua" w:eastAsia="Book Antiqua" w:hAnsi="Book Antiqua" w:cs="Book Antiqua"/>
          <w:color w:val="000000"/>
          <w:szCs w:val="30"/>
          <w:vertAlign w:val="superscript"/>
        </w:rPr>
        <w:t>[48-50]</w:t>
      </w:r>
      <w:r>
        <w:rPr>
          <w:rFonts w:ascii="Book Antiqua" w:eastAsia="Book Antiqua" w:hAnsi="Book Antiqua" w:cs="Book Antiqua"/>
          <w:color w:val="000000"/>
        </w:rPr>
        <w:t>. Low doses of glutenin in the diet of patients with CD may also be harmful</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In addition, despite adherence to a GFD, up to 30%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have persistent symptoms. In 60%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patients, the villi of the small intestine atroph</w:t>
      </w:r>
      <w:r w:rsidR="00726C0C">
        <w:rPr>
          <w:rFonts w:ascii="Book Antiqua" w:eastAsia="Book Antiqua" w:hAnsi="Book Antiqua" w:cs="Book Antiqua"/>
          <w:color w:val="000000"/>
        </w:rPr>
        <w:t>y</w:t>
      </w:r>
      <w:r>
        <w:rPr>
          <w:rFonts w:ascii="Book Antiqua" w:eastAsia="Book Antiqua" w:hAnsi="Book Antiqua" w:cs="Book Antiqua"/>
          <w:color w:val="000000"/>
        </w:rPr>
        <w:t>, heal poorly</w:t>
      </w:r>
      <w:r w:rsidR="00726C0C">
        <w:rPr>
          <w:rFonts w:ascii="Book Antiqua" w:eastAsia="Book Antiqua" w:hAnsi="Book Antiqua" w:cs="Book Antiqua"/>
          <w:color w:val="000000"/>
        </w:rPr>
        <w:t>,</w:t>
      </w:r>
      <w:r>
        <w:rPr>
          <w:rFonts w:ascii="Book Antiqua" w:eastAsia="Book Antiqua" w:hAnsi="Book Antiqua" w:cs="Book Antiqua"/>
          <w:color w:val="000000"/>
        </w:rPr>
        <w:t xml:space="preserve"> and the intestinal disease may persist</w:t>
      </w:r>
      <w:r w:rsidR="00EE24A4">
        <w:rPr>
          <w:rFonts w:ascii="Book Antiqua" w:eastAsia="Book Antiqua" w:hAnsi="Book Antiqua" w:cs="Book Antiqua"/>
          <w:color w:val="000000"/>
          <w:szCs w:val="30"/>
          <w:vertAlign w:val="superscript"/>
        </w:rPr>
        <w:t>[45,49,</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Poor disease control has been associated with small bowel cancer (SBC),</w:t>
      </w:r>
      <w:r>
        <w:rPr>
          <w:rFonts w:ascii="Book Antiqua" w:eastAsia="Book Antiqua" w:hAnsi="Book Antiqua" w:cs="Book Antiqua"/>
          <w:color w:val="000000"/>
          <w:szCs w:val="21"/>
        </w:rPr>
        <w:t xml:space="preserve"> </w:t>
      </w:r>
      <w:r>
        <w:rPr>
          <w:rFonts w:ascii="Book Antiqua" w:eastAsia="Book Antiqua" w:hAnsi="Book Antiqua" w:cs="Book Antiqua"/>
          <w:color w:val="000000"/>
        </w:rPr>
        <w:t>colorectal cancer, and enteropathy-associated T</w:t>
      </w:r>
      <w:r w:rsidR="005B4453">
        <w:rPr>
          <w:rFonts w:ascii="Book Antiqua" w:eastAsia="Book Antiqua" w:hAnsi="Book Antiqua" w:cs="Book Antiqua"/>
          <w:color w:val="000000"/>
        </w:rPr>
        <w:t>-</w:t>
      </w:r>
      <w:r>
        <w:rPr>
          <w:rFonts w:ascii="Book Antiqua" w:eastAsia="Book Antiqua" w:hAnsi="Book Antiqua" w:cs="Book Antiqua"/>
          <w:color w:val="000000"/>
        </w:rPr>
        <w:t>cell lymphoma</w:t>
      </w:r>
      <w:r w:rsidR="00EE24A4">
        <w:rPr>
          <w:rFonts w:ascii="Book Antiqua" w:hAnsi="Book Antiqua" w:cs="Book Antiqua" w:hint="eastAsia"/>
          <w:color w:val="000000"/>
          <w:lang w:eastAsia="zh-CN"/>
        </w:rPr>
        <w:t xml:space="preserve"> </w:t>
      </w:r>
      <w:r>
        <w:rPr>
          <w:rFonts w:ascii="Book Antiqua" w:eastAsia="Book Antiqua" w:hAnsi="Book Antiqua" w:cs="Book Antiqua"/>
          <w:color w:val="000000"/>
        </w:rPr>
        <w:t>(EATL)</w:t>
      </w:r>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However, the relationship between CD, GFD, and intestinal neoplasms is controversial. The purpose of this paper was to review the existing literature on CD and intestinal tumors and discuss their correlation.</w:t>
      </w:r>
    </w:p>
    <w:bookmarkEnd w:id="41"/>
    <w:bookmarkEnd w:id="42"/>
    <w:p w14:paraId="7EFF4356" w14:textId="77777777" w:rsidR="00A77B3E" w:rsidRDefault="00A77B3E">
      <w:pPr>
        <w:spacing w:line="360" w:lineRule="auto"/>
        <w:jc w:val="both"/>
      </w:pPr>
    </w:p>
    <w:p w14:paraId="21C72CCF" w14:textId="187C97B6" w:rsidR="00A77B3E" w:rsidRPr="00EE24A4" w:rsidRDefault="00EE24A4">
      <w:pPr>
        <w:spacing w:line="360" w:lineRule="auto"/>
        <w:jc w:val="both"/>
        <w:rPr>
          <w:u w:val="single"/>
        </w:rPr>
      </w:pPr>
      <w:bookmarkStart w:id="43" w:name="OLE_LINK188"/>
      <w:bookmarkStart w:id="44" w:name="OLE_LINK189"/>
      <w:r w:rsidRPr="00EE24A4">
        <w:rPr>
          <w:rFonts w:ascii="Book Antiqua" w:eastAsia="Book Antiqua" w:hAnsi="Book Antiqua" w:cs="Book Antiqua"/>
          <w:b/>
          <w:bCs/>
          <w:color w:val="000000"/>
          <w:u w:val="single"/>
        </w:rPr>
        <w:t>CD AND SBC</w:t>
      </w:r>
    </w:p>
    <w:bookmarkEnd w:id="43"/>
    <w:bookmarkEnd w:id="44"/>
    <w:p w14:paraId="710ED0B2" w14:textId="49A9D1D3" w:rsidR="00A77B3E" w:rsidRDefault="000B09B6">
      <w:pPr>
        <w:spacing w:line="360" w:lineRule="auto"/>
        <w:jc w:val="both"/>
        <w:rPr>
          <w:lang w:eastAsia="zh-CN"/>
        </w:rPr>
      </w:pPr>
      <w:r>
        <w:rPr>
          <w:rFonts w:ascii="Book Antiqua" w:eastAsia="Book Antiqua" w:hAnsi="Book Antiqua" w:cs="Book Antiqua"/>
          <w:color w:val="000000"/>
        </w:rPr>
        <w:lastRenderedPageBreak/>
        <w:t>Primary SBC is a rare malignant tumor, accounting for approximately 2%–3% of all gastrointestinal carcinomas</w:t>
      </w:r>
      <w:r>
        <w:rPr>
          <w:rFonts w:ascii="Book Antiqua" w:eastAsia="Book Antiqua" w:hAnsi="Book Antiqua" w:cs="Book Antiqua"/>
          <w:color w:val="000000"/>
          <w:szCs w:val="30"/>
          <w:vertAlign w:val="superscript"/>
        </w:rPr>
        <w:t>[56-58]</w:t>
      </w:r>
      <w:r>
        <w:rPr>
          <w:rFonts w:ascii="Book Antiqua" w:eastAsia="Book Antiqua" w:hAnsi="Book Antiqua" w:cs="Book Antiqua"/>
          <w:color w:val="000000"/>
        </w:rPr>
        <w:t>. Studies have confirmed that compared with the population without CD, patients with CD had a significantly increased risk of small intestinal adenomas and adenocarcinomas</w:t>
      </w:r>
      <w:r w:rsidR="00726C0C">
        <w:rPr>
          <w:rFonts w:ascii="Book Antiqua" w:eastAsia="Book Antiqua" w:hAnsi="Book Antiqua" w:cs="Book Antiqua"/>
          <w:color w:val="000000"/>
        </w:rPr>
        <w:t>,</w:t>
      </w:r>
      <w:r>
        <w:rPr>
          <w:rFonts w:ascii="Book Antiqua" w:eastAsia="Book Antiqua" w:hAnsi="Book Antiqua" w:cs="Book Antiqua"/>
          <w:color w:val="000000"/>
        </w:rPr>
        <w:t xml:space="preserve"> but not carcinoids</w:t>
      </w:r>
      <w:r w:rsidR="00EE24A4">
        <w:rPr>
          <w:rFonts w:ascii="Book Antiqua" w:eastAsia="Book Antiqua" w:hAnsi="Book Antiqua" w:cs="Book Antiqua"/>
          <w:color w:val="000000"/>
          <w:szCs w:val="30"/>
          <w:vertAlign w:val="superscript"/>
        </w:rPr>
        <w:t>[59,</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 risk </w:t>
      </w:r>
      <w:r w:rsidR="00726C0C">
        <w:rPr>
          <w:rFonts w:ascii="Book Antiqua" w:eastAsia="Book Antiqua" w:hAnsi="Book Antiqua" w:cs="Book Antiqua"/>
          <w:color w:val="000000"/>
        </w:rPr>
        <w:t xml:space="preserve">of </w:t>
      </w:r>
      <w:r>
        <w:rPr>
          <w:rFonts w:ascii="Book Antiqua" w:eastAsia="Book Antiqua" w:hAnsi="Book Antiqua" w:cs="Book Antiqua"/>
          <w:color w:val="000000"/>
        </w:rPr>
        <w:t>SBC in CD patients is 4–10 times higher than that in healthy individuals</w:t>
      </w:r>
      <w:r w:rsidR="00EE24A4">
        <w:rPr>
          <w:rFonts w:ascii="Book Antiqua" w:eastAsia="Book Antiqua" w:hAnsi="Book Antiqua" w:cs="Book Antiqua"/>
          <w:color w:val="000000"/>
          <w:szCs w:val="30"/>
          <w:vertAlign w:val="superscript"/>
        </w:rPr>
        <w:t>[55,</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In a large questionnaire survey in the United States, 0.2% CD patients had SBC</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Compared </w:t>
      </w:r>
      <w:r w:rsidR="00726C0C">
        <w:rPr>
          <w:rFonts w:ascii="Book Antiqua" w:eastAsia="Book Antiqua" w:hAnsi="Book Antiqua" w:cs="Book Antiqua"/>
          <w:color w:val="000000"/>
        </w:rPr>
        <w:t xml:space="preserve">with </w:t>
      </w:r>
      <w:r>
        <w:rPr>
          <w:rFonts w:ascii="Book Antiqua" w:eastAsia="Book Antiqua" w:hAnsi="Book Antiqua" w:cs="Book Antiqua"/>
          <w:color w:val="000000"/>
        </w:rPr>
        <w:t>CD patients with nonmalignant tumor</w:t>
      </w:r>
      <w:r w:rsidR="00726C0C">
        <w:rPr>
          <w:rFonts w:ascii="Book Antiqua" w:eastAsia="Book Antiqua" w:hAnsi="Book Antiqua" w:cs="Book Antiqua"/>
          <w:color w:val="000000"/>
        </w:rPr>
        <w:t>s</w:t>
      </w:r>
      <w:r>
        <w:rPr>
          <w:rFonts w:ascii="Book Antiqua" w:eastAsia="Book Antiqua" w:hAnsi="Book Antiqua" w:cs="Book Antiqua"/>
          <w:color w:val="000000"/>
        </w:rPr>
        <w:t>, CD patients with SBC were older</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SBC is also the main cause of death in young adults with early-onset CD triggered by chronic intestinal mucositis</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Chronic inflammation is associated with an increased risk of malignancy</w:t>
      </w:r>
      <w:r>
        <w:rPr>
          <w:rFonts w:ascii="Book Antiqua" w:eastAsia="Book Antiqua" w:hAnsi="Book Antiqua" w:cs="Book Antiqua"/>
          <w:color w:val="000000"/>
          <w:szCs w:val="30"/>
          <w:vertAlign w:val="superscript"/>
        </w:rPr>
        <w:t>[65-67]</w:t>
      </w:r>
      <w:r>
        <w:rPr>
          <w:rFonts w:ascii="Book Antiqua" w:eastAsia="Book Antiqua" w:hAnsi="Book Antiqua" w:cs="Book Antiqua"/>
          <w:color w:val="000000"/>
        </w:rPr>
        <w:t>. Compared with Crohn’s disease-related or sporadic SBC, CD-related SBC is more prone to mismatch repair defects</w:t>
      </w:r>
      <w:r w:rsidR="00EE24A4">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In addition, CD-related SBC often contain</w:t>
      </w:r>
      <w:r w:rsidR="00726C0C">
        <w:rPr>
          <w:rFonts w:ascii="Book Antiqua" w:eastAsia="Book Antiqua" w:hAnsi="Book Antiqua" w:cs="Book Antiqua"/>
          <w:color w:val="000000"/>
        </w:rPr>
        <w:t>s</w:t>
      </w:r>
      <w:r>
        <w:rPr>
          <w:rFonts w:ascii="Book Antiqua" w:eastAsia="Book Antiqua" w:hAnsi="Book Antiqua" w:cs="Book Antiqua"/>
          <w:color w:val="000000"/>
        </w:rPr>
        <w:t xml:space="preserve"> a large number of tumor-infiltrating lymphocytes, particularly medullary-type lymphocytes</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Giuffrida </w:t>
      </w:r>
      <w:r>
        <w:rPr>
          <w:rFonts w:ascii="Book Antiqua" w:eastAsia="Book Antiqua" w:hAnsi="Book Antiqua" w:cs="Book Antiqua"/>
          <w:i/>
          <w:iCs/>
          <w:color w:val="000000"/>
        </w:rPr>
        <w:t>et al</w:t>
      </w:r>
      <w:r w:rsidR="00EE24A4">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found that CD-associated SBC was often infiltrated by </w:t>
      </w:r>
      <w:r w:rsidR="00EE24A4">
        <w:rPr>
          <w:rFonts w:ascii="Book Antiqua" w:eastAsia="Book Antiqua" w:hAnsi="Book Antiqua" w:cs="Book Antiqua"/>
          <w:color w:val="000000"/>
        </w:rPr>
        <w:t>programmed death 1 (PD-1)</w:t>
      </w:r>
      <w:r>
        <w:rPr>
          <w:rFonts w:ascii="Book Antiqua" w:eastAsia="Book Antiqua" w:hAnsi="Book Antiqua" w:cs="Book Antiqua"/>
          <w:color w:val="000000"/>
        </w:rPr>
        <w:t>-positive T cells, and PD-L1 was expressed in tumor/immune cells in more than one-third of cases. Some studies have reported that the mucosal lesions of CD are mainly located in the proximal small intestine, especially in the ileum, and CD-mediated SBC lesions have a similar distribution</w:t>
      </w:r>
      <w:r w:rsidR="00D31E09">
        <w:rPr>
          <w:rFonts w:ascii="Book Antiqua" w:eastAsia="Book Antiqua" w:hAnsi="Book Antiqua" w:cs="Book Antiqua"/>
          <w:color w:val="000000"/>
          <w:szCs w:val="30"/>
          <w:vertAlign w:val="superscript"/>
        </w:rPr>
        <w:t>[72,</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However, one study also showed that small</w:t>
      </w:r>
      <w:r w:rsidR="00726C0C">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adenocarcinoma in CD patients </w:t>
      </w:r>
      <w:r w:rsidR="00726C0C">
        <w:rPr>
          <w:rFonts w:ascii="Book Antiqua" w:eastAsia="Book Antiqua" w:hAnsi="Book Antiqua" w:cs="Book Antiqua"/>
          <w:color w:val="000000"/>
        </w:rPr>
        <w:t xml:space="preserve">was </w:t>
      </w:r>
      <w:r>
        <w:rPr>
          <w:rFonts w:ascii="Book Antiqua" w:eastAsia="Book Antiqua" w:hAnsi="Book Antiqua" w:cs="Book Antiqua"/>
          <w:color w:val="000000"/>
        </w:rPr>
        <w:t>more likely to occur in the jejunum</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Therefore, it is necessary to further study the location of CD-related SBC lesions in the small intestine.</w:t>
      </w:r>
    </w:p>
    <w:p w14:paraId="60693226" w14:textId="14A7F926" w:rsidR="00A77B3E" w:rsidRDefault="000B09B6">
      <w:pPr>
        <w:spacing w:line="360" w:lineRule="auto"/>
        <w:ind w:firstLine="240"/>
        <w:jc w:val="both"/>
      </w:pPr>
      <w:r>
        <w:rPr>
          <w:rFonts w:ascii="Book Antiqua" w:eastAsia="Book Antiqua" w:hAnsi="Book Antiqua" w:cs="Book Antiqua"/>
          <w:color w:val="000000"/>
        </w:rPr>
        <w:t xml:space="preserve">Early detection of CD and early initiation of a GFD may inhibit or </w:t>
      </w:r>
      <w:r w:rsidR="00726C0C">
        <w:rPr>
          <w:rFonts w:ascii="Book Antiqua" w:eastAsia="Book Antiqua" w:hAnsi="Book Antiqua" w:cs="Book Antiqua"/>
          <w:color w:val="000000"/>
        </w:rPr>
        <w:t xml:space="preserve">help to </w:t>
      </w:r>
      <w:r>
        <w:rPr>
          <w:rFonts w:ascii="Book Antiqua" w:eastAsia="Book Antiqua" w:hAnsi="Book Antiqua" w:cs="Book Antiqua"/>
          <w:color w:val="000000"/>
        </w:rPr>
        <w:t>prevent chronic inflammation, thereby reducing the risk of SBC. However, a GFD may also alter the intestinal microbiota, thereby affecting the risk of cancer in CD patients</w:t>
      </w:r>
      <w:r w:rsidR="00A269BB">
        <w:rPr>
          <w:rFonts w:ascii="Book Antiqua" w:eastAsia="Book Antiqua" w:hAnsi="Book Antiqua" w:cs="Book Antiqua"/>
          <w:color w:val="000000"/>
          <w:szCs w:val="30"/>
          <w:vertAlign w:val="superscript"/>
        </w:rPr>
        <w:t>[75,</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hyperlink w:anchor="_bookmark25" w:history="1"/>
      <w:r>
        <w:rPr>
          <w:rFonts w:ascii="Book Antiqua" w:eastAsia="Book Antiqua" w:hAnsi="Book Antiqua" w:cs="Book Antiqua"/>
          <w:color w:val="000000"/>
        </w:rPr>
        <w:t xml:space="preserve">The main treatments for SBC include surgical resection and adjuvant chemotherapy for positive lymph nodes. Chemotherapy is recommended for the treatment of metastasis. Palascak-Juif </w:t>
      </w:r>
      <w:r>
        <w:rPr>
          <w:rFonts w:ascii="Book Antiqua" w:eastAsia="Book Antiqua" w:hAnsi="Book Antiqua" w:cs="Book Antiqua"/>
          <w:i/>
          <w:iCs/>
          <w:color w:val="000000"/>
        </w:rPr>
        <w:t>et al</w:t>
      </w:r>
      <w:r w:rsidR="00A269BB">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t>
      </w:r>
      <w:r w:rsidR="00726C0C">
        <w:rPr>
          <w:rFonts w:ascii="Book Antiqua" w:eastAsia="Book Antiqua" w:hAnsi="Book Antiqua" w:cs="Book Antiqua"/>
          <w:color w:val="000000"/>
        </w:rPr>
        <w:t xml:space="preserve">found </w:t>
      </w:r>
      <w:r>
        <w:rPr>
          <w:rFonts w:ascii="Book Antiqua" w:eastAsia="Book Antiqua" w:hAnsi="Book Antiqua" w:cs="Book Antiqua"/>
          <w:color w:val="000000"/>
        </w:rPr>
        <w:t>that if preventive surgery (mainly ileectomy) is performed after 10 years of follow-up, 70% SBC cases can be prevented. However, the need for ileectomy requires further investigation. The prognosis of small intestinal adenocarcinoma is poor because the 5-year survival rate is 39%–46%</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However, the </w:t>
      </w:r>
      <w:r>
        <w:rPr>
          <w:rFonts w:ascii="Book Antiqua" w:eastAsia="Book Antiqua" w:hAnsi="Book Antiqua" w:cs="Book Antiqua"/>
          <w:color w:val="000000"/>
        </w:rPr>
        <w:lastRenderedPageBreak/>
        <w:t>survival rate for CD-associated small intestinal adenocarcinoma is significantly higher than that for small intestinal adenocarcinoma without CD</w:t>
      </w:r>
      <w:r w:rsidR="00494246">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3EB5D4D0" w14:textId="77777777" w:rsidR="00494246" w:rsidRDefault="00494246">
      <w:pPr>
        <w:spacing w:line="360" w:lineRule="auto"/>
        <w:jc w:val="both"/>
        <w:rPr>
          <w:rFonts w:ascii="Book Antiqua" w:hAnsi="Book Antiqua" w:cs="Book Antiqua"/>
          <w:b/>
          <w:bCs/>
          <w:color w:val="000000"/>
          <w:lang w:eastAsia="zh-CN"/>
        </w:rPr>
      </w:pPr>
    </w:p>
    <w:p w14:paraId="60B216D0" w14:textId="77777777" w:rsidR="00A77B3E" w:rsidRPr="00494246" w:rsidRDefault="00494246">
      <w:pPr>
        <w:spacing w:line="360" w:lineRule="auto"/>
        <w:jc w:val="both"/>
        <w:rPr>
          <w:u w:val="single"/>
        </w:rPr>
      </w:pPr>
      <w:bookmarkStart w:id="45" w:name="OLE_LINK190"/>
      <w:bookmarkStart w:id="46" w:name="OLE_LINK191"/>
      <w:r w:rsidRPr="00494246">
        <w:rPr>
          <w:rFonts w:ascii="Book Antiqua" w:eastAsia="Book Antiqua" w:hAnsi="Book Antiqua" w:cs="Book Antiqua"/>
          <w:b/>
          <w:bCs/>
          <w:color w:val="000000"/>
          <w:u w:val="single"/>
        </w:rPr>
        <w:t>CD AND COLORECTAL CANCER</w:t>
      </w:r>
    </w:p>
    <w:bookmarkEnd w:id="45"/>
    <w:bookmarkEnd w:id="46"/>
    <w:p w14:paraId="2B220EF1" w14:textId="7A1D968E" w:rsidR="00A77B3E" w:rsidRDefault="000B09B6" w:rsidP="00494246">
      <w:pPr>
        <w:spacing w:line="360" w:lineRule="auto"/>
        <w:jc w:val="both"/>
      </w:pPr>
      <w:r>
        <w:rPr>
          <w:rFonts w:ascii="Book Antiqua" w:eastAsia="Book Antiqua" w:hAnsi="Book Antiqua" w:cs="Book Antiqua"/>
          <w:color w:val="000000"/>
        </w:rPr>
        <w:t>Colorectal neoplasms mainly include colorectal polyps, adenomas, advanced lesions, and cancers. The incidence and mortality rates of colorectal cancer are the third and second highest, respectively, among those of all malignancies</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Colorectal polyps, including adenomatous and non</w:t>
      </w:r>
      <w:r w:rsidR="005B4453">
        <w:rPr>
          <w:rFonts w:ascii="Book Antiqua" w:eastAsia="Book Antiqua" w:hAnsi="Book Antiqua" w:cs="Book Antiqua"/>
          <w:color w:val="000000"/>
        </w:rPr>
        <w:t>-</w:t>
      </w:r>
      <w:r>
        <w:rPr>
          <w:rFonts w:ascii="Book Antiqua" w:eastAsia="Book Antiqua" w:hAnsi="Book Antiqua" w:cs="Book Antiqua"/>
          <w:color w:val="000000"/>
        </w:rPr>
        <w:t>adenomatous polyps, are abnormal protrusions on the surface of the large intestine. Colorectal adenomatous polyps are considered the most important precancerous lesions that develop into colorectal cancer through the adenomatous carcinoma sequence. Therefore, early screening, early detection, and early treatment of precancerous lesions can prevent the occurrence and development of colorectal cancer</w:t>
      </w:r>
      <w:r w:rsidR="00337F28">
        <w:rPr>
          <w:rFonts w:ascii="Book Antiqua" w:eastAsia="Book Antiqua" w:hAnsi="Book Antiqua" w:cs="Book Antiqua"/>
          <w:color w:val="000000"/>
          <w:szCs w:val="30"/>
          <w:vertAlign w:val="superscript"/>
        </w:rPr>
        <w:t>[81,</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Although the incidence of SBC is high in CD patients, the relationship between CD and colorectal cancer is controversial. In 2002, a large</w:t>
      </w:r>
      <w:r w:rsidR="00726C0C">
        <w:rPr>
          <w:rFonts w:ascii="Book Antiqua" w:eastAsia="Book Antiqua" w:hAnsi="Book Antiqua" w:cs="Book Antiqua"/>
          <w:color w:val="000000"/>
        </w:rPr>
        <w:t>,</w:t>
      </w:r>
      <w:r>
        <w:rPr>
          <w:rFonts w:ascii="Book Antiqua" w:eastAsia="Book Antiqua" w:hAnsi="Book Antiqua" w:cs="Book Antiqua"/>
          <w:color w:val="000000"/>
        </w:rPr>
        <w:t xml:space="preserve"> national population-based cohort study showed that CD patients had an increased risk of colorectal cancer</w:t>
      </w:r>
      <w:r w:rsidR="00726C0C">
        <w:rPr>
          <w:rFonts w:ascii="Book Antiqua" w:eastAsia="Book Antiqua" w:hAnsi="Book Antiqua" w:cs="Book Antiqua"/>
          <w:color w:val="000000"/>
        </w:rPr>
        <w:t>,</w:t>
      </w:r>
      <w:r>
        <w:rPr>
          <w:rFonts w:ascii="Book Antiqua" w:eastAsia="Book Antiqua" w:hAnsi="Book Antiqua" w:cs="Book Antiqua"/>
          <w:color w:val="000000"/>
        </w:rPr>
        <w:t xml:space="preserve"> and that the cancer</w:t>
      </w:r>
      <w:r w:rsidR="00726C0C">
        <w:rPr>
          <w:rFonts w:ascii="Book Antiqua" w:eastAsia="Book Antiqua" w:hAnsi="Book Antiqua" w:cs="Book Antiqua"/>
          <w:color w:val="000000"/>
        </w:rPr>
        <w:t>s</w:t>
      </w:r>
      <w:r>
        <w:rPr>
          <w:rFonts w:ascii="Book Antiqua" w:eastAsia="Book Antiqua" w:hAnsi="Book Antiqua" w:cs="Book Antiqua"/>
          <w:color w:val="000000"/>
        </w:rPr>
        <w:t xml:space="preserve"> mainly occurred in the ascending and transverse colon</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A retrospective case-control study reported that adult patients with CD had an increased prevalence of colorectal adenomas</w:t>
      </w:r>
      <w:r>
        <w:rPr>
          <w:rFonts w:ascii="Book Antiqua" w:eastAsia="Book Antiqua" w:hAnsi="Book Antiqua" w:cs="Book Antiqua"/>
          <w:color w:val="000000"/>
          <w:szCs w:val="17"/>
        </w:rPr>
        <w:t xml:space="preserve"> </w:t>
      </w:r>
      <w:r w:rsidR="003218FF">
        <w:rPr>
          <w:rFonts w:ascii="Book Antiqua" w:eastAsia="Book Antiqua" w:hAnsi="Book Antiqua" w:cs="Book Antiqua"/>
          <w:color w:val="000000"/>
        </w:rPr>
        <w:t>compared with</w:t>
      </w:r>
      <w:r>
        <w:rPr>
          <w:rFonts w:ascii="Book Antiqua" w:eastAsia="Book Antiqua" w:hAnsi="Book Antiqua" w:cs="Book Antiqua"/>
          <w:color w:val="000000"/>
        </w:rPr>
        <w:t xml:space="preserve"> healthy controls</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In a population-based cohort study of patients with CD, the most common gastrointestinal cancer was colon cancer. Although the risk of colon cancer increased eight-fold during the first year of follow-up of a previous study, there was no increase in the risk after the first year of biopsy</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In 2014, an Italian study involving 1757 patients confirmed that CD </w:t>
      </w:r>
      <w:r w:rsidR="003218FF">
        <w:rPr>
          <w:rFonts w:ascii="Book Antiqua" w:eastAsia="Book Antiqua" w:hAnsi="Book Antiqua" w:cs="Book Antiqua"/>
          <w:color w:val="000000"/>
        </w:rPr>
        <w:t>was</w:t>
      </w:r>
      <w:r>
        <w:rPr>
          <w:rFonts w:ascii="Book Antiqua" w:eastAsia="Book Antiqua" w:hAnsi="Book Antiqua" w:cs="Book Antiqua"/>
          <w:color w:val="000000"/>
        </w:rPr>
        <w:t xml:space="preserve"> associated with a </w:t>
      </w:r>
      <w:r w:rsidR="003218FF">
        <w:rPr>
          <w:rFonts w:ascii="Book Antiqua" w:eastAsia="Book Antiqua" w:hAnsi="Book Antiqua" w:cs="Book Antiqua"/>
          <w:color w:val="000000"/>
        </w:rPr>
        <w:t xml:space="preserve">decreased </w:t>
      </w:r>
      <w:r>
        <w:rPr>
          <w:rFonts w:ascii="Book Antiqua" w:eastAsia="Book Antiqua" w:hAnsi="Book Antiqua" w:cs="Book Antiqua"/>
          <w:color w:val="000000"/>
        </w:rPr>
        <w:t>risk of colon cancer</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However, in most studies, the risk of colorectal cancer in CD patients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significantly correlated with the </w:t>
      </w:r>
      <w:r w:rsidR="003218FF">
        <w:rPr>
          <w:rFonts w:ascii="Book Antiqua" w:eastAsia="Book Antiqua" w:hAnsi="Book Antiqua" w:cs="Book Antiqua"/>
          <w:color w:val="000000"/>
        </w:rPr>
        <w:t xml:space="preserve">risk in the </w:t>
      </w:r>
      <w:r>
        <w:rPr>
          <w:rFonts w:ascii="Book Antiqua" w:eastAsia="Book Antiqua" w:hAnsi="Book Antiqua" w:cs="Book Antiqua"/>
          <w:color w:val="000000"/>
        </w:rPr>
        <w:t>general population</w:t>
      </w:r>
      <w:r w:rsidR="00337F28">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85-87]</w:t>
      </w:r>
      <w:r>
        <w:rPr>
          <w:rFonts w:ascii="Book Antiqua" w:eastAsia="Book Antiqua" w:hAnsi="Book Antiqua" w:cs="Book Antiqua"/>
          <w:color w:val="000000"/>
        </w:rPr>
        <w:t>. A meta-analysis conducted in 2015 found no significant association between CD and colon and rectal cancer</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w:t>
      </w:r>
      <w:r w:rsidR="003218FF">
        <w:rPr>
          <w:rFonts w:ascii="Book Antiqua" w:eastAsia="Book Antiqua" w:hAnsi="Book Antiqua" w:cs="Book Antiqua"/>
          <w:color w:val="000000"/>
        </w:rPr>
        <w:t xml:space="preserve">A systematic review and meta-analysis by </w:t>
      </w:r>
      <w:r>
        <w:rPr>
          <w:rFonts w:ascii="Book Antiqua" w:eastAsia="Book Antiqua" w:hAnsi="Book Antiqua" w:cs="Book Antiqua"/>
          <w:color w:val="000000"/>
        </w:rPr>
        <w:t xml:space="preserve">Lasa </w:t>
      </w:r>
      <w:r>
        <w:rPr>
          <w:rFonts w:ascii="Book Antiqua" w:eastAsia="Book Antiqua" w:hAnsi="Book Antiqua" w:cs="Book Antiqua"/>
          <w:i/>
          <w:iCs/>
          <w:color w:val="000000"/>
        </w:rPr>
        <w:t>et al</w:t>
      </w:r>
      <w:r w:rsidR="00337F28">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found that there was no causal relationship between CD and colorectal adenoma. However, </w:t>
      </w:r>
      <w:r w:rsidR="003218FF">
        <w:rPr>
          <w:rFonts w:ascii="Book Antiqua" w:eastAsia="Book Antiqua" w:hAnsi="Book Antiqua" w:cs="Book Antiqua"/>
          <w:color w:val="000000"/>
        </w:rPr>
        <w:t>t</w:t>
      </w:r>
      <w:r>
        <w:rPr>
          <w:rFonts w:ascii="Book Antiqua" w:eastAsia="Book Antiqua" w:hAnsi="Book Antiqua" w:cs="Book Antiqua"/>
          <w:color w:val="000000"/>
        </w:rPr>
        <w:t xml:space="preserve">he incidence of colorectal cancer in patients with CD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similar </w:t>
      </w:r>
      <w:r w:rsidR="003218FF">
        <w:rPr>
          <w:rFonts w:ascii="Book Antiqua" w:eastAsia="Book Antiqua" w:hAnsi="Book Antiqua" w:cs="Book Antiqua"/>
          <w:color w:val="000000"/>
        </w:rPr>
        <w:t xml:space="preserve">to </w:t>
      </w:r>
      <w:r>
        <w:rPr>
          <w:rFonts w:ascii="Book Antiqua" w:eastAsia="Book Antiqua" w:hAnsi="Book Antiqua" w:cs="Book Antiqua"/>
          <w:color w:val="000000"/>
        </w:rPr>
        <w:t>or lower than that in the general population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It may be related to the increased utilization of medical care </w:t>
      </w:r>
      <w:r w:rsidR="003218FF">
        <w:rPr>
          <w:rFonts w:ascii="Book Antiqua" w:eastAsia="Book Antiqua" w:hAnsi="Book Antiqua" w:cs="Book Antiqua"/>
          <w:color w:val="000000"/>
        </w:rPr>
        <w:t xml:space="preserve">by </w:t>
      </w:r>
      <w:r>
        <w:rPr>
          <w:rFonts w:ascii="Book Antiqua" w:eastAsia="Book Antiqua" w:hAnsi="Book Antiqua" w:cs="Book Antiqua"/>
          <w:color w:val="000000"/>
        </w:rPr>
        <w:t xml:space="preserve">patients with known CD, especially when </w:t>
      </w:r>
      <w:r w:rsidR="003218FF">
        <w:rPr>
          <w:rFonts w:ascii="Book Antiqua" w:eastAsia="Book Antiqua" w:hAnsi="Book Antiqua" w:cs="Book Antiqua"/>
          <w:color w:val="000000"/>
        </w:rPr>
        <w:lastRenderedPageBreak/>
        <w:t xml:space="preserve">gastroenterologists </w:t>
      </w:r>
      <w:r>
        <w:rPr>
          <w:rFonts w:ascii="Book Antiqua" w:eastAsia="Book Antiqua" w:hAnsi="Book Antiqua" w:cs="Book Antiqua"/>
          <w:color w:val="000000"/>
        </w:rPr>
        <w:t xml:space="preserve">perform polypectomy </w:t>
      </w:r>
      <w:r w:rsidR="003218FF">
        <w:rPr>
          <w:rFonts w:ascii="Book Antiqua" w:eastAsia="Book Antiqua" w:hAnsi="Book Antiqua" w:cs="Book Antiqua"/>
          <w:color w:val="000000"/>
        </w:rPr>
        <w:t>during colonoscop</w:t>
      </w:r>
      <w:r w:rsidR="005B4453">
        <w:rPr>
          <w:rFonts w:ascii="Book Antiqua" w:eastAsia="Book Antiqua" w:hAnsi="Book Antiqua" w:cs="Book Antiqua"/>
          <w:color w:val="000000"/>
        </w:rPr>
        <w:t>y</w:t>
      </w:r>
      <w:r w:rsidR="003218FF">
        <w:rPr>
          <w:rFonts w:ascii="Book Antiqua" w:eastAsia="Book Antiqua" w:hAnsi="Book Antiqua" w:cs="Book Antiqua"/>
          <w:color w:val="000000"/>
        </w:rPr>
        <w:t xml:space="preserve"> screening</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In addition, immune changes such as an increase in the number of intestinal </w:t>
      </w:r>
      <w:r w:rsidR="00005CB4">
        <w:rPr>
          <w:rFonts w:ascii="Book Antiqua" w:eastAsia="Book Antiqua" w:hAnsi="Book Antiqua" w:cs="Book Antiqua"/>
          <w:color w:val="000000"/>
        </w:rPr>
        <w:t>intraepithelial lymphocytes (IELs)</w:t>
      </w:r>
      <w:r>
        <w:rPr>
          <w:rFonts w:ascii="Book Antiqua" w:eastAsia="Book Antiqua" w:hAnsi="Book Antiqua" w:cs="Book Antiqua"/>
          <w:color w:val="000000"/>
        </w:rPr>
        <w:t xml:space="preserve"> in CD patients may prevent the development of epithelial malignancies</w:t>
      </w:r>
      <w:r>
        <w:rPr>
          <w:rFonts w:ascii="Book Antiqua" w:eastAsia="Book Antiqua" w:hAnsi="Book Antiqua" w:cs="Book Antiqua"/>
          <w:color w:val="000000"/>
          <w:szCs w:val="30"/>
          <w:vertAlign w:val="superscript"/>
        </w:rPr>
        <w:t>[89]</w:t>
      </w:r>
      <w:r>
        <w:rPr>
          <w:rFonts w:ascii="Book Antiqua" w:eastAsia="Book Antiqua" w:hAnsi="Book Antiqua" w:cs="Book Antiqua"/>
          <w:b/>
          <w:bCs/>
          <w:color w:val="000000"/>
        </w:rPr>
        <w:t>.</w:t>
      </w:r>
    </w:p>
    <w:p w14:paraId="54A4042C" w14:textId="5C25BDC5" w:rsidR="00A77B3E" w:rsidRDefault="000B09B6">
      <w:pPr>
        <w:spacing w:line="360" w:lineRule="auto"/>
        <w:ind w:firstLine="240"/>
        <w:jc w:val="both"/>
      </w:pPr>
      <w:r>
        <w:rPr>
          <w:rFonts w:ascii="Book Antiqua" w:eastAsia="Book Antiqua" w:hAnsi="Book Antiqua" w:cs="Book Antiqua"/>
          <w:color w:val="000000"/>
        </w:rPr>
        <w:t xml:space="preserve">Whether GFD can reduce the risk of colon cancer in patients with CD is still inconclusive. A multicenter retrospective case-control study showed that CD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associated with an increased risk of colorectal cancer and that adherence to a strict GFD </w:t>
      </w:r>
      <w:r w:rsidR="003218FF">
        <w:rPr>
          <w:rFonts w:ascii="Book Antiqua" w:eastAsia="Book Antiqua" w:hAnsi="Book Antiqua" w:cs="Book Antiqua"/>
          <w:color w:val="000000"/>
        </w:rPr>
        <w:t xml:space="preserve">was </w:t>
      </w:r>
      <w:r>
        <w:rPr>
          <w:rFonts w:ascii="Book Antiqua" w:eastAsia="Book Antiqua" w:hAnsi="Book Antiqua" w:cs="Book Antiqua"/>
          <w:color w:val="000000"/>
        </w:rPr>
        <w:t>associated with the presence of adenoma</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Most studies of adults with CD have shown that a non-GFD diet does not increase the risk of colon cancer</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Untreated CD may have a protective effect against colon cancer</w:t>
      </w:r>
      <w:r w:rsidR="003218FF">
        <w:rPr>
          <w:rFonts w:ascii="Book Antiqua" w:eastAsia="Book Antiqua" w:hAnsi="Book Antiqua" w:cs="Book Antiqua"/>
          <w:color w:val="000000"/>
        </w:rPr>
        <w:t xml:space="preserve"> </w:t>
      </w:r>
      <w:r>
        <w:rPr>
          <w:rFonts w:ascii="Book Antiqua" w:eastAsia="Book Antiqua" w:hAnsi="Book Antiqua" w:cs="Book Antiqua"/>
          <w:color w:val="000000"/>
        </w:rPr>
        <w:t>because impaired absorption of fat or fat-soluble agents, including hydrocarbons and putative co-carcinogens, which are associated with the development of colon cancer. Some substances may be poorly absorbed and rapidly excreted. Further studies are required to clarify the relationship between colorectal cancer and CD.</w:t>
      </w:r>
    </w:p>
    <w:p w14:paraId="3340F6E8" w14:textId="77777777" w:rsidR="00337F28" w:rsidRDefault="00337F28">
      <w:pPr>
        <w:spacing w:line="360" w:lineRule="auto"/>
        <w:jc w:val="both"/>
        <w:rPr>
          <w:rFonts w:ascii="Book Antiqua" w:hAnsi="Book Antiqua" w:cs="Book Antiqua"/>
          <w:b/>
          <w:bCs/>
          <w:color w:val="000000"/>
          <w:lang w:eastAsia="zh-CN"/>
        </w:rPr>
      </w:pPr>
    </w:p>
    <w:p w14:paraId="5E4D03D6" w14:textId="77777777" w:rsidR="00A77B3E" w:rsidRPr="00337F28" w:rsidRDefault="00337F28">
      <w:pPr>
        <w:spacing w:line="360" w:lineRule="auto"/>
        <w:jc w:val="both"/>
        <w:rPr>
          <w:u w:val="single"/>
        </w:rPr>
      </w:pPr>
      <w:bookmarkStart w:id="47" w:name="OLE_LINK192"/>
      <w:bookmarkStart w:id="48" w:name="OLE_LINK193"/>
      <w:r w:rsidRPr="00337F28">
        <w:rPr>
          <w:rFonts w:ascii="Book Antiqua" w:eastAsia="Book Antiqua" w:hAnsi="Book Antiqua" w:cs="Book Antiqua"/>
          <w:b/>
          <w:bCs/>
          <w:color w:val="000000"/>
          <w:u w:val="single"/>
        </w:rPr>
        <w:t>CD AND EATL</w:t>
      </w:r>
    </w:p>
    <w:p w14:paraId="4B99159D" w14:textId="2EEE15E5" w:rsidR="00A77B3E" w:rsidRDefault="000B09B6">
      <w:pPr>
        <w:spacing w:line="360" w:lineRule="auto"/>
        <w:jc w:val="both"/>
      </w:pPr>
      <w:bookmarkStart w:id="49" w:name="OLE_LINK194"/>
      <w:bookmarkStart w:id="50" w:name="OLE_LINK195"/>
      <w:bookmarkEnd w:id="47"/>
      <w:bookmarkEnd w:id="48"/>
      <w:r>
        <w:rPr>
          <w:rFonts w:ascii="Book Antiqua" w:eastAsia="Book Antiqua" w:hAnsi="Book Antiqua" w:cs="Book Antiqua"/>
          <w:color w:val="000000"/>
        </w:rPr>
        <w:t xml:space="preserve">EATL is a rare peripheral T-cell lymphoma </w:t>
      </w:r>
      <w:r w:rsidR="003218FF">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w:t>
      </w:r>
      <w:r w:rsidR="003218FF">
        <w:rPr>
          <w:rFonts w:ascii="Book Antiqua" w:eastAsia="Book Antiqua" w:hAnsi="Book Antiqua" w:cs="Book Antiqua"/>
          <w:color w:val="000000"/>
        </w:rPr>
        <w:t xml:space="preserve">first reported </w:t>
      </w:r>
      <w:r>
        <w:rPr>
          <w:rFonts w:ascii="Book Antiqua" w:eastAsia="Book Antiqua" w:hAnsi="Book Antiqua" w:cs="Book Antiqua"/>
          <w:color w:val="000000"/>
        </w:rPr>
        <w:t xml:space="preserve">by O’Farrelly </w:t>
      </w:r>
      <w:r>
        <w:rPr>
          <w:rFonts w:ascii="Book Antiqua" w:eastAsia="Book Antiqua" w:hAnsi="Book Antiqua" w:cs="Book Antiqua"/>
          <w:i/>
          <w:iCs/>
          <w:color w:val="000000"/>
        </w:rPr>
        <w:t>et al</w:t>
      </w:r>
      <w:r w:rsidR="00337F28">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in 1986. It is </w:t>
      </w:r>
      <w:r w:rsidR="003218FF">
        <w:rPr>
          <w:rFonts w:ascii="Book Antiqua" w:eastAsia="Book Antiqua" w:hAnsi="Book Antiqua" w:cs="Book Antiqua"/>
          <w:color w:val="000000"/>
        </w:rPr>
        <w:t>a</w:t>
      </w:r>
      <w:r>
        <w:rPr>
          <w:rFonts w:ascii="Book Antiqua" w:eastAsia="Book Antiqua" w:hAnsi="Book Antiqua" w:cs="Book Antiqua"/>
          <w:color w:val="000000"/>
        </w:rPr>
        <w:t xml:space="preserve"> CD-associated NHL of the upper small intestine. It is estimated that approximately 2%–3% CD patients will develop intestinal lymphoma</w:t>
      </w:r>
      <w:r w:rsidR="003218FF">
        <w:rPr>
          <w:rFonts w:ascii="Book Antiqua" w:eastAsia="Book Antiqua" w:hAnsi="Book Antiqua" w:cs="Book Antiqua"/>
          <w:color w:val="000000"/>
        </w:rPr>
        <w:t>, and</w:t>
      </w:r>
      <w:r>
        <w:rPr>
          <w:rFonts w:ascii="Book Antiqua" w:eastAsia="Book Antiqua" w:hAnsi="Book Antiqua" w:cs="Book Antiqua"/>
          <w:color w:val="000000"/>
        </w:rPr>
        <w:t xml:space="preserve"> EATL is currently considered the most common subtype of primary intestinal T-cell lymphoma</w:t>
      </w:r>
      <w:r w:rsidR="00337F28">
        <w:rPr>
          <w:rFonts w:ascii="Book Antiqua" w:eastAsia="Book Antiqua" w:hAnsi="Book Antiqua" w:cs="Book Antiqua"/>
          <w:color w:val="000000"/>
          <w:szCs w:val="30"/>
          <w:vertAlign w:val="superscript"/>
        </w:rPr>
        <w:t>[93,</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There are two types of EATL. Classic EATL (type I) accounts for approximately 80%–90% of cases, and is related to CD</w:t>
      </w:r>
      <w:r w:rsidR="008A5BD9">
        <w:rPr>
          <w:rFonts w:ascii="Book Antiqua" w:eastAsia="Book Antiqua" w:hAnsi="Book Antiqua" w:cs="Book Antiqua"/>
          <w:color w:val="000000"/>
        </w:rPr>
        <w:t>.</w:t>
      </w:r>
      <w:r>
        <w:rPr>
          <w:rFonts w:ascii="Book Antiqua" w:eastAsia="Book Antiqua" w:hAnsi="Book Antiqua" w:cs="Book Antiqua"/>
          <w:color w:val="000000"/>
        </w:rPr>
        <w:t xml:space="preserve"> </w:t>
      </w:r>
      <w:r w:rsidR="008A5BD9">
        <w:rPr>
          <w:rFonts w:ascii="Book Antiqua" w:eastAsia="Book Antiqua" w:hAnsi="Book Antiqua" w:cs="Book Antiqua"/>
          <w:color w:val="000000"/>
        </w:rPr>
        <w:t>T</w:t>
      </w:r>
      <w:r>
        <w:rPr>
          <w:rFonts w:ascii="Book Antiqua" w:eastAsia="Book Antiqua" w:hAnsi="Book Antiqua" w:cs="Book Antiqua"/>
          <w:color w:val="000000"/>
        </w:rPr>
        <w:t xml:space="preserve">ype II EATL is not associated with CD. Here we mainly discuss the former. Severe complications, such as refractory celiac disease (RCD) or malignant tumors, occur </w:t>
      </w:r>
      <w:r w:rsidR="00337F28">
        <w:rPr>
          <w:rFonts w:ascii="Book Antiqua" w:eastAsia="Book Antiqua" w:hAnsi="Book Antiqua" w:cs="Book Antiqua"/>
          <w:color w:val="000000"/>
        </w:rPr>
        <w:t xml:space="preserve">in 2%–5% adult CD patients. </w:t>
      </w:r>
      <w:r w:rsidR="008A5BD9">
        <w:rPr>
          <w:rFonts w:ascii="Book Antiqua" w:eastAsia="Book Antiqua" w:hAnsi="Book Antiqua" w:cs="Book Antiqua"/>
          <w:color w:val="000000"/>
        </w:rPr>
        <w:t xml:space="preserve">There are two types of </w:t>
      </w:r>
      <w:r w:rsidR="00337F28">
        <w:rPr>
          <w:rFonts w:ascii="Book Antiqua" w:eastAsia="Book Antiqua" w:hAnsi="Book Antiqua" w:cs="Book Antiqua"/>
          <w:color w:val="000000"/>
        </w:rPr>
        <w:t>RCD</w:t>
      </w:r>
      <w:r w:rsidR="008A5BD9">
        <w:rPr>
          <w:rFonts w:ascii="Book Antiqua" w:eastAsia="Book Antiqua" w:hAnsi="Book Antiqua" w:cs="Book Antiqua"/>
          <w:color w:val="000000"/>
        </w:rPr>
        <w:t>.</w:t>
      </w:r>
      <w:r>
        <w:rPr>
          <w:rFonts w:ascii="Book Antiqua" w:eastAsia="Book Antiqua" w:hAnsi="Book Antiqua" w:cs="Book Antiqua"/>
          <w:color w:val="000000"/>
        </w:rPr>
        <w:t xml:space="preserve"> The phenotype of </w:t>
      </w:r>
      <w:bookmarkStart w:id="51" w:name="OLE_LINK33"/>
      <w:bookmarkStart w:id="52" w:name="OLE_LINK34"/>
      <w:r>
        <w:rPr>
          <w:rFonts w:ascii="Book Antiqua" w:eastAsia="Book Antiqua" w:hAnsi="Book Antiqua" w:cs="Book Antiqua"/>
          <w:color w:val="000000"/>
        </w:rPr>
        <w:t>IELs</w:t>
      </w:r>
      <w:bookmarkEnd w:id="51"/>
      <w:bookmarkEnd w:id="52"/>
      <w:r>
        <w:rPr>
          <w:rFonts w:ascii="Book Antiqua" w:eastAsia="Book Antiqua" w:hAnsi="Book Antiqua" w:cs="Book Antiqua"/>
          <w:color w:val="000000"/>
        </w:rPr>
        <w:t xml:space="preserve"> is abnormal in RCD II patients and normal in RCD I patients. Approximately 50%–60% RCD II patients develop into EATL within 5 years</w:t>
      </w:r>
      <w:r>
        <w:rPr>
          <w:rFonts w:ascii="Book Antiqua" w:eastAsia="Book Antiqua" w:hAnsi="Book Antiqua" w:cs="Book Antiqua"/>
          <w:color w:val="000000"/>
          <w:szCs w:val="17"/>
        </w:rPr>
        <w:t xml:space="preserve"> </w:t>
      </w:r>
      <w:r>
        <w:rPr>
          <w:rFonts w:ascii="Book Antiqua" w:eastAsia="Book Antiqua" w:hAnsi="Book Antiqua" w:cs="Book Antiqua"/>
          <w:color w:val="000000"/>
        </w:rPr>
        <w:t>after diagnosis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Patients with EATL usually present with weight loss, anemia, abdominal pain, diarrhea, fever</w:t>
      </w:r>
      <w:r w:rsidR="008A5BD9">
        <w:rPr>
          <w:rFonts w:ascii="Book Antiqua" w:eastAsia="Book Antiqua" w:hAnsi="Book Antiqua" w:cs="Book Antiqua"/>
          <w:color w:val="000000"/>
        </w:rPr>
        <w:t>,</w:t>
      </w:r>
      <w:r>
        <w:rPr>
          <w:rFonts w:ascii="Book Antiqua" w:eastAsia="Book Antiqua" w:hAnsi="Book Antiqua" w:cs="Book Antiqua"/>
          <w:color w:val="000000"/>
        </w:rPr>
        <w:t xml:space="preserve"> and vomiting. Intestinal ulcers, stenosis, and perforation are typical manifestations of EATL. Multifocal involvement of the jejunum is the most common, followed by that of the ileum, duodenum, stomach, and colon</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p>
    <w:p w14:paraId="4ADEFEF4" w14:textId="31DA7364" w:rsidR="00A77B3E" w:rsidRDefault="000B09B6" w:rsidP="00337F28">
      <w:pPr>
        <w:spacing w:line="360" w:lineRule="auto"/>
        <w:ind w:firstLineChars="100" w:firstLine="240"/>
        <w:jc w:val="both"/>
      </w:pPr>
      <w:r>
        <w:rPr>
          <w:rFonts w:ascii="Book Antiqua" w:eastAsia="Book Antiqua" w:hAnsi="Book Antiqua" w:cs="Book Antiqua"/>
          <w:color w:val="000000"/>
        </w:rPr>
        <w:lastRenderedPageBreak/>
        <w:t xml:space="preserve">Although the relationship between CD and EATL has been established, it is unclear whether a GFD can reduce the occurrence of EATL. Holmes </w:t>
      </w:r>
      <w:r>
        <w:rPr>
          <w:rFonts w:ascii="Book Antiqua" w:eastAsia="Book Antiqua" w:hAnsi="Book Antiqua" w:cs="Book Antiqua"/>
          <w:i/>
          <w:iCs/>
          <w:color w:val="000000"/>
        </w:rPr>
        <w:t>et al</w:t>
      </w:r>
      <w:r w:rsidR="00337F28">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reported that compared with CD patients who followed a strict GFD for &gt;</w:t>
      </w:r>
      <w:r w:rsidR="00337F28">
        <w:rPr>
          <w:rFonts w:ascii="Book Antiqua" w:hAnsi="Book Antiqua" w:cs="Book Antiqua" w:hint="eastAsia"/>
          <w:color w:val="000000"/>
          <w:lang w:eastAsia="zh-CN"/>
        </w:rPr>
        <w:t xml:space="preserve"> </w:t>
      </w:r>
      <w:r>
        <w:rPr>
          <w:rFonts w:ascii="Book Antiqua" w:eastAsia="Book Antiqua" w:hAnsi="Book Antiqua" w:cs="Book Antiqua"/>
          <w:color w:val="000000"/>
        </w:rPr>
        <w:t>5 years, those with an unlimited or a low-gluten diet had an increased risk of intestinal NHL. One study reported that in a cohort of 335 patients who underwent early treatment for CD, 83% adhered to the GFD, and no NHL cases were found</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A Swedish study </w:t>
      </w:r>
      <w:r w:rsidR="008A5BD9">
        <w:rPr>
          <w:rFonts w:ascii="Book Antiqua" w:eastAsia="Book Antiqua" w:hAnsi="Book Antiqua" w:cs="Book Antiqua"/>
          <w:color w:val="000000"/>
        </w:rPr>
        <w:t xml:space="preserve">reported </w:t>
      </w:r>
      <w:r>
        <w:rPr>
          <w:rFonts w:ascii="Book Antiqua" w:eastAsia="Book Antiqua" w:hAnsi="Book Antiqua" w:cs="Book Antiqua"/>
          <w:color w:val="000000"/>
        </w:rPr>
        <w:t>that for CD patients &lt;</w:t>
      </w:r>
      <w:r w:rsidR="008A5BD9">
        <w:rPr>
          <w:rFonts w:ascii="Book Antiqua" w:eastAsia="Book Antiqua" w:hAnsi="Book Antiqua" w:cs="Book Antiqua"/>
          <w:color w:val="000000"/>
        </w:rPr>
        <w:t xml:space="preserve"> </w:t>
      </w:r>
      <w:r>
        <w:rPr>
          <w:rFonts w:ascii="Book Antiqua" w:eastAsia="Book Antiqua" w:hAnsi="Book Antiqua" w:cs="Book Antiqua"/>
          <w:color w:val="000000"/>
        </w:rPr>
        <w:t>10 years</w:t>
      </w:r>
      <w:r w:rsidR="008A5BD9">
        <w:rPr>
          <w:rFonts w:ascii="Book Antiqua" w:eastAsia="Book Antiqua" w:hAnsi="Book Antiqua" w:cs="Book Antiqua"/>
          <w:color w:val="000000"/>
        </w:rPr>
        <w:t xml:space="preserve"> of age</w:t>
      </w:r>
      <w:r>
        <w:rPr>
          <w:rFonts w:ascii="Book Antiqua" w:eastAsia="Book Antiqua" w:hAnsi="Book Antiqua" w:cs="Book Antiqua"/>
          <w:color w:val="000000"/>
        </w:rPr>
        <w:t>, the risk of developing lymphoma was moderate and did not significantly increase</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w:t>
      </w:r>
      <w:r w:rsidR="008A5BD9">
        <w:rPr>
          <w:rFonts w:ascii="Book Antiqua" w:eastAsia="Book Antiqua" w:hAnsi="Book Antiqua" w:cs="Book Antiqua"/>
          <w:color w:val="000000"/>
        </w:rPr>
        <w:t xml:space="preserve">A population-based prospective study in 1757 CD patients performed by </w:t>
      </w:r>
      <w:r>
        <w:rPr>
          <w:rFonts w:ascii="Book Antiqua" w:eastAsia="Book Antiqua" w:hAnsi="Book Antiqua" w:cs="Book Antiqua"/>
          <w:color w:val="000000"/>
        </w:rPr>
        <w:t xml:space="preserve">Silano </w:t>
      </w:r>
      <w:r>
        <w:rPr>
          <w:rFonts w:ascii="Book Antiqua" w:eastAsia="Book Antiqua" w:hAnsi="Book Antiqua" w:cs="Book Antiqua"/>
          <w:i/>
          <w:iCs/>
          <w:color w:val="000000"/>
        </w:rPr>
        <w:t>et al</w:t>
      </w:r>
      <w:r w:rsidR="00337F28">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w:t>
      </w:r>
      <w:r w:rsidR="008A5BD9">
        <w:rPr>
          <w:rFonts w:ascii="Book Antiqua" w:eastAsia="Book Antiqua" w:hAnsi="Book Antiqua" w:cs="Book Antiqua"/>
          <w:color w:val="000000"/>
        </w:rPr>
        <w:t>found</w:t>
      </w:r>
      <w:r>
        <w:rPr>
          <w:rFonts w:ascii="Book Antiqua" w:eastAsia="Book Antiqua" w:hAnsi="Book Antiqua" w:cs="Book Antiqua"/>
          <w:color w:val="000000"/>
        </w:rPr>
        <w:t xml:space="preserve"> that a strict GFD had a protective effect on the development of EATL. In contrast, a retrospective study from the U</w:t>
      </w:r>
      <w:r w:rsidR="00337F28">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337F28">
        <w:rPr>
          <w:rFonts w:ascii="Book Antiqua" w:hAnsi="Book Antiqua" w:cs="Book Antiqua" w:hint="eastAsia"/>
          <w:color w:val="000000"/>
          <w:lang w:eastAsia="zh-CN"/>
        </w:rPr>
        <w:t>ingdom</w:t>
      </w:r>
      <w:r>
        <w:rPr>
          <w:rFonts w:ascii="Book Antiqua" w:eastAsia="Book Antiqua" w:hAnsi="Book Antiqua" w:cs="Book Antiqua"/>
          <w:color w:val="000000"/>
        </w:rPr>
        <w:t xml:space="preserve"> found that patients with good histological responses to a GFD did not have a reduced risk for intestinal lymphoma</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Green </w:t>
      </w:r>
      <w:r>
        <w:rPr>
          <w:rFonts w:ascii="Book Antiqua" w:eastAsia="Book Antiqua" w:hAnsi="Book Antiqua" w:cs="Book Antiqua"/>
          <w:i/>
          <w:iCs/>
          <w:color w:val="000000"/>
        </w:rPr>
        <w:t>et al</w:t>
      </w:r>
      <w:r w:rsidR="00337F28">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reported the occurrence of intestinal NHL in patients with CD after years of following a GFD. The differences in the conclusions of these studies </w:t>
      </w:r>
      <w:r w:rsidR="008A5BD9">
        <w:rPr>
          <w:rFonts w:ascii="Book Antiqua" w:eastAsia="Book Antiqua" w:hAnsi="Book Antiqua" w:cs="Book Antiqua"/>
          <w:color w:val="000000"/>
        </w:rPr>
        <w:t xml:space="preserve">might </w:t>
      </w:r>
      <w:r>
        <w:rPr>
          <w:rFonts w:ascii="Book Antiqua" w:eastAsia="Book Antiqua" w:hAnsi="Book Antiqua" w:cs="Book Antiqua"/>
          <w:color w:val="000000"/>
        </w:rPr>
        <w:t xml:space="preserve">be </w:t>
      </w:r>
      <w:r w:rsidR="008A5BD9">
        <w:rPr>
          <w:rFonts w:ascii="Book Antiqua" w:eastAsia="Book Antiqua" w:hAnsi="Book Antiqua" w:cs="Book Antiqua"/>
          <w:color w:val="000000"/>
        </w:rPr>
        <w:t>explained by</w:t>
      </w:r>
      <w:r>
        <w:rPr>
          <w:rFonts w:ascii="Book Antiqua" w:eastAsia="Book Antiqua" w:hAnsi="Book Antiqua" w:cs="Book Antiqua"/>
          <w:color w:val="000000"/>
        </w:rPr>
        <w:t xml:space="preserve"> a number of reasons. First, the relatively short dietary duration observed may not be sufficient to reverse the effects of years of gluten exposure</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Second, it is very difficult to comply with a strict GFD</w:t>
      </w:r>
      <w:r w:rsidR="008A5BD9">
        <w:rPr>
          <w:rFonts w:ascii="Book Antiqua" w:eastAsia="Book Antiqua" w:hAnsi="Book Antiqua" w:cs="Book Antiqua"/>
          <w:color w:val="000000"/>
        </w:rPr>
        <w:t xml:space="preserve"> because of</w:t>
      </w:r>
      <w:r>
        <w:rPr>
          <w:rFonts w:ascii="Book Antiqua" w:eastAsia="Book Antiqua" w:hAnsi="Book Antiqua" w:cs="Book Antiqua"/>
          <w:color w:val="000000"/>
        </w:rPr>
        <w:t xml:space="preserve"> the small amount of gluten </w:t>
      </w:r>
      <w:r w:rsidR="008A5BD9">
        <w:rPr>
          <w:rFonts w:ascii="Book Antiqua" w:eastAsia="Book Antiqua" w:hAnsi="Book Antiqua" w:cs="Book Antiqua"/>
          <w:color w:val="000000"/>
        </w:rPr>
        <w:t xml:space="preserve">present </w:t>
      </w:r>
      <w:r>
        <w:rPr>
          <w:rFonts w:ascii="Book Antiqua" w:eastAsia="Book Antiqua" w:hAnsi="Book Antiqua" w:cs="Book Antiqua"/>
          <w:color w:val="000000"/>
        </w:rPr>
        <w:t>in non-cereal foods</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Third, there is no non-invasive method to determine compliance with a GFD</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67E7A517" w14:textId="420862DA" w:rsidR="00A77B3E" w:rsidRDefault="000B09B6" w:rsidP="00337F28">
      <w:pPr>
        <w:spacing w:line="360" w:lineRule="auto"/>
        <w:ind w:firstLineChars="100" w:firstLine="240"/>
        <w:jc w:val="both"/>
      </w:pPr>
      <w:r>
        <w:rPr>
          <w:rFonts w:ascii="Book Antiqua" w:eastAsia="Book Antiqua" w:hAnsi="Book Antiqua" w:cs="Book Antiqua"/>
          <w:color w:val="000000"/>
        </w:rPr>
        <w:t xml:space="preserve">RCD II is characterized by the presence of a large number of abnormal clonal T cells, which are associated with poor prognosis. </w:t>
      </w:r>
      <w:r w:rsidR="008A5BD9">
        <w:rPr>
          <w:rFonts w:ascii="Book Antiqua" w:eastAsia="Book Antiqua" w:hAnsi="Book Antiqua" w:cs="Book Antiqua"/>
          <w:color w:val="000000"/>
        </w:rPr>
        <w:t>Because of</w:t>
      </w:r>
      <w:r>
        <w:rPr>
          <w:rFonts w:ascii="Book Antiqua" w:eastAsia="Book Antiqua" w:hAnsi="Book Antiqua" w:cs="Book Antiqua"/>
          <w:color w:val="000000"/>
        </w:rPr>
        <w:t xml:space="preserve"> the risk of conversion to EATL, RCD II is referred to as prelymphoma or low-grade lymphoma, with a high mortality rate. The 5-year survival rate of patients with RCD II is as high as 58%</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If EATL occurs, the 5-year survival rate is reduced to 8%. </w:t>
      </w:r>
      <w:r w:rsidR="00E266BA">
        <w:rPr>
          <w:rFonts w:ascii="Book Antiqua" w:eastAsia="Book Antiqua" w:hAnsi="Book Antiqua" w:cs="Book Antiqua"/>
          <w:color w:val="000000"/>
        </w:rPr>
        <w:t xml:space="preserve">Fewer </w:t>
      </w:r>
      <w:r>
        <w:rPr>
          <w:rFonts w:ascii="Book Antiqua" w:eastAsia="Book Antiqua" w:hAnsi="Book Antiqua" w:cs="Book Antiqua"/>
          <w:color w:val="000000"/>
        </w:rPr>
        <w:t>than 14% patients with RCD I develop EATL within 5 years of diagnosis</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The risk factors of EATL include older onset age, male sex, HLA-DQ2 homozygous, ulcerative jejunitis, and/or the presence of abnormal T cells</w:t>
      </w:r>
      <w:r w:rsidR="00C255C3">
        <w:rPr>
          <w:rFonts w:ascii="Book Antiqua" w:eastAsia="Book Antiqua" w:hAnsi="Book Antiqua" w:cs="Book Antiqua"/>
          <w:color w:val="000000"/>
          <w:szCs w:val="30"/>
          <w:vertAlign w:val="superscript"/>
        </w:rPr>
        <w:t>[105,</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The poor prognosis of EATL is associated with a large tumor volume</w:t>
      </w:r>
      <w:r w:rsidR="00E266BA">
        <w:rPr>
          <w:rFonts w:ascii="Book Antiqua" w:eastAsia="Book Antiqua" w:hAnsi="Book Antiqua" w:cs="Book Antiqua"/>
          <w:color w:val="000000"/>
        </w:rPr>
        <w:t xml:space="preserve"> and</w:t>
      </w:r>
      <w:r w:rsidR="005B4453">
        <w:rPr>
          <w:rFonts w:ascii="Book Antiqua" w:eastAsia="Book Antiqua" w:hAnsi="Book Antiqua" w:cs="Book Antiqua"/>
          <w:color w:val="000000"/>
        </w:rPr>
        <w:t xml:space="preserve"> </w:t>
      </w:r>
      <w:r>
        <w:rPr>
          <w:rFonts w:ascii="Book Antiqua" w:eastAsia="Book Antiqua" w:hAnsi="Book Antiqua" w:cs="Book Antiqua"/>
          <w:color w:val="000000"/>
        </w:rPr>
        <w:t>elevated levels of C-reactive protein and lactate dehydrogenase</w:t>
      </w:r>
      <w:r w:rsidR="00C255C3">
        <w:rPr>
          <w:rFonts w:ascii="Book Antiqua" w:eastAsia="Book Antiqua" w:hAnsi="Book Antiqua" w:cs="Book Antiqua"/>
          <w:color w:val="000000"/>
          <w:szCs w:val="30"/>
          <w:vertAlign w:val="superscript"/>
        </w:rPr>
        <w:t>[94,107,</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A comprehensive examination can improve the accuracy of EATL detection. For patients with suspected EATL, comprehensive evaluation, double-balloon enteroscopy biopsy, video capsule enteroscopy, magnetic resonance enteric examination, and</w:t>
      </w:r>
      <w:bookmarkStart w:id="53" w:name="OLE_LINK11"/>
      <w:r>
        <w:rPr>
          <w:rFonts w:ascii="Book Antiqua" w:eastAsia="Book Antiqua" w:hAnsi="Book Antiqua" w:cs="Book Antiqua"/>
          <w:color w:val="000000"/>
        </w:rPr>
        <w:t xml:space="preserve"> </w:t>
      </w:r>
      <w:r w:rsidR="00E266BA" w:rsidRPr="00D26315">
        <w:rPr>
          <w:rFonts w:ascii="Book Antiqua" w:eastAsia="Book Antiqua" w:hAnsi="Book Antiqua" w:cs="Book Antiqua"/>
          <w:color w:val="000000"/>
          <w:vertAlign w:val="superscript"/>
        </w:rPr>
        <w:t>18</w:t>
      </w:r>
      <w:r w:rsidR="00E266BA">
        <w:rPr>
          <w:rFonts w:ascii="Book Antiqua" w:hAnsi="Book Antiqua" w:cs="Book Antiqua"/>
          <w:color w:val="000000"/>
          <w:lang w:eastAsia="zh-CN"/>
        </w:rPr>
        <w:t xml:space="preserve">F- </w:t>
      </w:r>
      <w:r w:rsidR="00E266BA">
        <w:rPr>
          <w:rFonts w:ascii="Book Antiqua" w:eastAsia="Book Antiqua" w:hAnsi="Book Antiqua" w:cs="Book Antiqua"/>
          <w:color w:val="000000"/>
        </w:rPr>
        <w:lastRenderedPageBreak/>
        <w:t>f</w:t>
      </w:r>
      <w:r w:rsidR="00C95626" w:rsidRPr="00C95626">
        <w:rPr>
          <w:rFonts w:ascii="Book Antiqua" w:eastAsia="Book Antiqua" w:hAnsi="Book Antiqua" w:cs="Book Antiqua"/>
          <w:color w:val="000000"/>
        </w:rPr>
        <w:t>luorodeoxyglucose</w:t>
      </w:r>
      <w:r>
        <w:rPr>
          <w:rFonts w:ascii="Book Antiqua" w:eastAsia="Book Antiqua" w:hAnsi="Book Antiqua" w:cs="Book Antiqua"/>
          <w:color w:val="000000"/>
        </w:rPr>
        <w:t xml:space="preserve"> </w:t>
      </w:r>
      <w:r w:rsidR="00C95626" w:rsidRPr="00C95626">
        <w:rPr>
          <w:rFonts w:ascii="Book Antiqua" w:eastAsia="Book Antiqua" w:hAnsi="Book Antiqua" w:cs="Book Antiqua"/>
          <w:color w:val="000000"/>
        </w:rPr>
        <w:t>positron-emission tomography</w:t>
      </w:r>
      <w:r>
        <w:rPr>
          <w:rFonts w:ascii="Book Antiqua" w:eastAsia="Book Antiqua" w:hAnsi="Book Antiqua" w:cs="Book Antiqua"/>
          <w:color w:val="000000"/>
        </w:rPr>
        <w:t>-</w:t>
      </w:r>
      <w:bookmarkEnd w:id="53"/>
      <w:r w:rsidR="00C95626" w:rsidRPr="00C95626">
        <w:rPr>
          <w:rFonts w:ascii="Book Antiqua" w:eastAsia="Book Antiqua" w:hAnsi="Book Antiqua" w:cs="Book Antiqua"/>
          <w:color w:val="000000"/>
        </w:rPr>
        <w:t xml:space="preserve">computed tomography </w:t>
      </w:r>
      <w:r>
        <w:rPr>
          <w:rFonts w:ascii="Book Antiqua" w:eastAsia="Book Antiqua" w:hAnsi="Book Antiqua" w:cs="Book Antiqua"/>
          <w:color w:val="000000"/>
        </w:rPr>
        <w:t>can be used for confirmation</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w:t>
      </w:r>
    </w:p>
    <w:p w14:paraId="3CB54403" w14:textId="56C50A34" w:rsidR="00A77B3E" w:rsidRPr="00995D05" w:rsidRDefault="000B09B6" w:rsidP="00C255C3">
      <w:pPr>
        <w:spacing w:line="360" w:lineRule="auto"/>
        <w:ind w:firstLineChars="100" w:firstLine="240"/>
        <w:jc w:val="both"/>
        <w:rPr>
          <w:lang w:eastAsia="zh-CN"/>
        </w:rPr>
      </w:pPr>
      <w:r>
        <w:rPr>
          <w:rFonts w:ascii="Book Antiqua" w:eastAsia="Book Antiqua" w:hAnsi="Book Antiqua" w:cs="Book Antiqua"/>
          <w:color w:val="000000"/>
        </w:rPr>
        <w:t xml:space="preserve">There is </w:t>
      </w:r>
      <w:r w:rsidR="00E266BA">
        <w:rPr>
          <w:rFonts w:ascii="Book Antiqua" w:eastAsia="Book Antiqua" w:hAnsi="Book Antiqua" w:cs="Book Antiqua"/>
          <w:color w:val="000000"/>
        </w:rPr>
        <w:t xml:space="preserve">essentially </w:t>
      </w:r>
      <w:r>
        <w:rPr>
          <w:rFonts w:ascii="Book Antiqua" w:eastAsia="Book Antiqua" w:hAnsi="Book Antiqua" w:cs="Book Antiqua"/>
          <w:color w:val="000000"/>
        </w:rPr>
        <w:t xml:space="preserve">no difference in the treatment of lymphoma </w:t>
      </w:r>
      <w:r w:rsidR="00E266BA">
        <w:rPr>
          <w:rFonts w:ascii="Book Antiqua" w:eastAsia="Book Antiqua" w:hAnsi="Book Antiqua" w:cs="Book Antiqua"/>
          <w:color w:val="000000"/>
        </w:rPr>
        <w:t xml:space="preserve">in </w:t>
      </w:r>
      <w:r>
        <w:rPr>
          <w:rFonts w:ascii="Book Antiqua" w:eastAsia="Book Antiqua" w:hAnsi="Book Antiqua" w:cs="Book Antiqua"/>
          <w:color w:val="000000"/>
        </w:rPr>
        <w:t>patients with and without CD. Surgery, radiotherapy, and chemotherapy are commonly used. For patients diagnosed early, the treatment effect is better</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Patients with RCD I generally respond well to corticosteroids and immunosuppressive drugs such as thiopurine and infliximab</w:t>
      </w:r>
      <w:r w:rsidR="00E266BA">
        <w:rPr>
          <w:rFonts w:ascii="Book Antiqua" w:eastAsia="Book Antiqua" w:hAnsi="Book Antiqua" w:cs="Book Antiqua"/>
          <w:color w:val="000000"/>
        </w:rPr>
        <w:t>.</w:t>
      </w:r>
      <w:r>
        <w:rPr>
          <w:rFonts w:ascii="Book Antiqua" w:eastAsia="Book Antiqua" w:hAnsi="Book Antiqua" w:cs="Book Antiqua"/>
          <w:color w:val="000000"/>
        </w:rPr>
        <w:t xml:space="preserve"> </w:t>
      </w:r>
      <w:r w:rsidR="00E266BA">
        <w:rPr>
          <w:rFonts w:ascii="Book Antiqua" w:eastAsia="Book Antiqua" w:hAnsi="Book Antiqua" w:cs="Book Antiqua"/>
          <w:color w:val="000000"/>
        </w:rPr>
        <w:t>H</w:t>
      </w:r>
      <w:r>
        <w:rPr>
          <w:rFonts w:ascii="Book Antiqua" w:eastAsia="Book Antiqua" w:hAnsi="Book Antiqua" w:cs="Book Antiqua"/>
          <w:color w:val="000000"/>
        </w:rPr>
        <w:t>owever, patients with RCD II do not respond well to th</w:t>
      </w:r>
      <w:r w:rsidR="00E266BA">
        <w:rPr>
          <w:rFonts w:ascii="Book Antiqua" w:eastAsia="Book Antiqua" w:hAnsi="Book Antiqua" w:cs="Book Antiqua"/>
          <w:color w:val="000000"/>
        </w:rPr>
        <w:t>o</w:t>
      </w:r>
      <w:r>
        <w:rPr>
          <w:rFonts w:ascii="Book Antiqua" w:eastAsia="Book Antiqua" w:hAnsi="Book Antiqua" w:cs="Book Antiqua"/>
          <w:color w:val="000000"/>
        </w:rPr>
        <w:t>se drugs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 key goal of RCD II therapy is to destroy the precancerous clonal T-cell population. Chemotherapy (</w:t>
      </w:r>
      <w:r w:rsidRPr="00C95626">
        <w:rPr>
          <w:rFonts w:ascii="Book Antiqua" w:eastAsia="Book Antiqua" w:hAnsi="Book Antiqua" w:cs="Book Antiqua"/>
          <w:i/>
          <w:color w:val="000000"/>
        </w:rPr>
        <w:t>e.g.</w:t>
      </w:r>
      <w:r>
        <w:rPr>
          <w:rFonts w:ascii="Book Antiqua" w:eastAsia="Book Antiqua" w:hAnsi="Book Antiqua" w:cs="Book Antiqua"/>
          <w:color w:val="000000"/>
        </w:rPr>
        <w:t xml:space="preserve">, with the purine analogue cladribine) and autologous stem cell transplantation (ASCT) have been used, </w:t>
      </w:r>
      <w:r w:rsidR="00E266BA">
        <w:rPr>
          <w:rFonts w:ascii="Book Antiqua" w:eastAsia="Book Antiqua" w:hAnsi="Book Antiqua" w:cs="Book Antiqua"/>
          <w:color w:val="000000"/>
        </w:rPr>
        <w:t xml:space="preserve">and </w:t>
      </w:r>
      <w:r>
        <w:rPr>
          <w:rFonts w:ascii="Book Antiqua" w:eastAsia="Book Antiqua" w:hAnsi="Book Antiqua" w:cs="Book Antiqua"/>
          <w:color w:val="000000"/>
        </w:rPr>
        <w:t>their success rates in patients with RCD II vary</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The </w:t>
      </w:r>
      <w:r w:rsidR="00C95626">
        <w:rPr>
          <w:rFonts w:ascii="Book Antiqua" w:eastAsia="Book Antiqua" w:hAnsi="Book Antiqua" w:cs="Book Antiqua"/>
          <w:color w:val="000000"/>
        </w:rPr>
        <w:t xml:space="preserve">cyclophosphamide, doxorubicin, vincristine, prednisone </w:t>
      </w:r>
      <w:r>
        <w:rPr>
          <w:rFonts w:ascii="Book Antiqua" w:eastAsia="Book Antiqua" w:hAnsi="Book Antiqua" w:cs="Book Antiqua"/>
          <w:color w:val="000000"/>
        </w:rPr>
        <w:t>scheme is widely used</w:t>
      </w:r>
      <w:r w:rsidR="00E266BA">
        <w:rPr>
          <w:rFonts w:ascii="Book Antiqua" w:eastAsia="Book Antiqua" w:hAnsi="Book Antiqua" w:cs="Book Antiqua"/>
          <w:color w:val="000000"/>
        </w:rPr>
        <w:t>,</w:t>
      </w:r>
      <w:r>
        <w:rPr>
          <w:rFonts w:ascii="Book Antiqua" w:eastAsia="Book Antiqua" w:hAnsi="Book Antiqua" w:cs="Book Antiqua"/>
          <w:color w:val="000000"/>
        </w:rPr>
        <w:t xml:space="preserve"> however, previous studies have shown that the overall median survival time </w:t>
      </w:r>
      <w:r w:rsidR="00E266BA">
        <w:rPr>
          <w:rFonts w:ascii="Book Antiqua" w:eastAsia="Book Antiqua" w:hAnsi="Book Antiqua" w:cs="Book Antiqua"/>
          <w:color w:val="000000"/>
        </w:rPr>
        <w:t xml:space="preserve">was </w:t>
      </w:r>
      <w:r>
        <w:rPr>
          <w:rFonts w:ascii="Book Antiqua" w:eastAsia="Book Antiqua" w:hAnsi="Book Antiqua" w:cs="Book Antiqua"/>
          <w:color w:val="000000"/>
        </w:rPr>
        <w:t>only 7 mo</w:t>
      </w:r>
      <w:r>
        <w:rPr>
          <w:rFonts w:ascii="Book Antiqua" w:eastAsia="Book Antiqua" w:hAnsi="Book Antiqua" w:cs="Book Antiqua"/>
          <w:color w:val="000000"/>
          <w:szCs w:val="30"/>
          <w:vertAlign w:val="superscript"/>
        </w:rPr>
        <w:t>[111-113]</w:t>
      </w:r>
      <w:r>
        <w:rPr>
          <w:rFonts w:ascii="Book Antiqua" w:eastAsia="Book Antiqua" w:hAnsi="Book Antiqua" w:cs="Book Antiqua"/>
          <w:color w:val="000000"/>
        </w:rPr>
        <w:t>. In a small case series, the combination of ifosfamide, eto</w:t>
      </w:r>
      <w:r w:rsidR="00E3717C">
        <w:rPr>
          <w:rFonts w:ascii="Book Antiqua" w:eastAsia="Book Antiqua" w:hAnsi="Book Antiqua" w:cs="Book Antiqua"/>
          <w:color w:val="000000"/>
        </w:rPr>
        <w:t>poside, epirubicin/methotrexate</w:t>
      </w:r>
      <w:r>
        <w:rPr>
          <w:rFonts w:ascii="Book Antiqua" w:eastAsia="Book Antiqua" w:hAnsi="Book Antiqua" w:cs="Book Antiqua"/>
          <w:color w:val="000000"/>
        </w:rPr>
        <w:t>-ASCT increased the 5-year survival rate to 60% compared with the anthracycline based chemotherapy</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CD disrupts cell-level regulation, leading to overexpression of IL-15 and chronic intestinal inflammation, which in turn leads to the proliferation of IELs. Recent developments include Janus kinase inhibitors that can block IL-15 and reduce IELs, which has been confirmed in animal models. Biologic drugs provide a new possible method for the treatment of RCD and EATL</w:t>
      </w:r>
      <w:r>
        <w:rPr>
          <w:rFonts w:ascii="Book Antiqua" w:eastAsia="Book Antiqua" w:hAnsi="Book Antiqua" w:cs="Book Antiqua"/>
          <w:color w:val="000000"/>
          <w:szCs w:val="30"/>
          <w:vertAlign w:val="superscript"/>
        </w:rPr>
        <w:t>[115-118]</w:t>
      </w:r>
      <w:r>
        <w:rPr>
          <w:rFonts w:ascii="Book Antiqua" w:eastAsia="Book Antiqua" w:hAnsi="Book Antiqua" w:cs="Book Antiqua"/>
          <w:color w:val="000000"/>
        </w:rPr>
        <w:t>.</w:t>
      </w:r>
      <w:bookmarkEnd w:id="49"/>
      <w:bookmarkEnd w:id="50"/>
    </w:p>
    <w:p w14:paraId="10FF0D12" w14:textId="77777777" w:rsidR="00A77B3E" w:rsidRDefault="00A77B3E">
      <w:pPr>
        <w:spacing w:line="360" w:lineRule="auto"/>
        <w:jc w:val="both"/>
      </w:pPr>
    </w:p>
    <w:p w14:paraId="23A5272F" w14:textId="77777777" w:rsidR="00A77B3E" w:rsidRDefault="000B09B6">
      <w:pPr>
        <w:spacing w:line="360" w:lineRule="auto"/>
        <w:jc w:val="both"/>
      </w:pPr>
      <w:r>
        <w:rPr>
          <w:rFonts w:ascii="Book Antiqua" w:eastAsia="Book Antiqua" w:hAnsi="Book Antiqua" w:cs="Book Antiqua"/>
          <w:b/>
          <w:caps/>
          <w:color w:val="000000"/>
          <w:u w:val="single"/>
        </w:rPr>
        <w:t>CONCLUSION</w:t>
      </w:r>
    </w:p>
    <w:p w14:paraId="11DD0008" w14:textId="602551E4" w:rsidR="00A77B3E" w:rsidRDefault="00E266BA">
      <w:pPr>
        <w:spacing w:line="360" w:lineRule="auto"/>
        <w:jc w:val="both"/>
      </w:pPr>
      <w:bookmarkStart w:id="54" w:name="OLE_LINK196"/>
      <w:bookmarkStart w:id="55" w:name="OLE_LINK197"/>
      <w:r>
        <w:rPr>
          <w:rFonts w:ascii="Book Antiqua" w:eastAsia="Book Antiqua" w:hAnsi="Book Antiqua" w:cs="Book Antiqua"/>
          <w:color w:val="000000"/>
        </w:rPr>
        <w:t>T</w:t>
      </w:r>
      <w:r w:rsidR="000B09B6">
        <w:rPr>
          <w:rFonts w:ascii="Book Antiqua" w:eastAsia="Book Antiqua" w:hAnsi="Book Antiqua" w:cs="Book Antiqua"/>
          <w:color w:val="000000"/>
        </w:rPr>
        <w:t>he available data show that the total risk of SBC and EATL, but not colorectal cancer, in CD patients is higher than that in the general population. The protective effect of a GFD on CD-related intestinal neoplasms is controversial. It is necessary to conduct more studies, especially prospective cohort and experimental studies, to further evaluate whether GFD treatment can reduce the risk for intestinal malignancies in patients with CD and explore the associated risk factors and biological relationships that may lead to CD-related intestinal malignancies.</w:t>
      </w:r>
    </w:p>
    <w:bookmarkEnd w:id="54"/>
    <w:bookmarkEnd w:id="55"/>
    <w:p w14:paraId="6656F118" w14:textId="77777777" w:rsidR="00A77B3E" w:rsidRDefault="00A77B3E">
      <w:pPr>
        <w:spacing w:line="360" w:lineRule="auto"/>
        <w:jc w:val="both"/>
      </w:pPr>
    </w:p>
    <w:p w14:paraId="306C1CC8" w14:textId="77777777" w:rsidR="00A77B3E" w:rsidRPr="00E67E52" w:rsidRDefault="000B09B6" w:rsidP="00E67E52">
      <w:pPr>
        <w:adjustRightInd w:val="0"/>
        <w:snapToGrid w:val="0"/>
        <w:spacing w:line="360" w:lineRule="auto"/>
        <w:jc w:val="both"/>
        <w:rPr>
          <w:rFonts w:ascii="Book Antiqua" w:hAnsi="Book Antiqua"/>
        </w:rPr>
      </w:pPr>
      <w:r w:rsidRPr="00E67E52">
        <w:rPr>
          <w:rFonts w:ascii="Book Antiqua" w:eastAsia="Book Antiqua" w:hAnsi="Book Antiqua" w:cs="Book Antiqua"/>
          <w:b/>
        </w:rPr>
        <w:lastRenderedPageBreak/>
        <w:t>REFERENCES</w:t>
      </w:r>
    </w:p>
    <w:p w14:paraId="3E98F02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56" w:name="OLE_LINK198"/>
      <w:bookmarkStart w:id="57" w:name="OLE_LINK199"/>
      <w:r w:rsidRPr="00E67E52">
        <w:rPr>
          <w:rFonts w:ascii="Book Antiqua" w:hAnsi="Book Antiqua"/>
        </w:rPr>
        <w:t>1 </w:t>
      </w:r>
      <w:r w:rsidRPr="00E67E52">
        <w:rPr>
          <w:rFonts w:ascii="Book Antiqua" w:hAnsi="Book Antiqua"/>
          <w:b/>
          <w:bCs/>
        </w:rPr>
        <w:t>Lindfors K</w:t>
      </w:r>
      <w:r w:rsidRPr="00E67E52">
        <w:rPr>
          <w:rFonts w:ascii="Book Antiqua" w:hAnsi="Book Antiqua"/>
        </w:rPr>
        <w:t>, Ciacci C, Kurppa K, Lundin KEA, Makharia GK, Mearin ML, Murray JA, Verdu EF, Kaukinen K. Coeliac disease. </w:t>
      </w:r>
      <w:r w:rsidRPr="00E67E52">
        <w:rPr>
          <w:rFonts w:ascii="Book Antiqua" w:hAnsi="Book Antiqua"/>
          <w:i/>
          <w:iCs/>
        </w:rPr>
        <w:t>Nat Rev Dis Primers</w:t>
      </w:r>
      <w:r w:rsidRPr="00E67E52">
        <w:rPr>
          <w:rFonts w:ascii="Book Antiqua" w:hAnsi="Book Antiqua"/>
        </w:rPr>
        <w:t> 2019; </w:t>
      </w:r>
      <w:r w:rsidRPr="00E67E52">
        <w:rPr>
          <w:rFonts w:ascii="Book Antiqua" w:hAnsi="Book Antiqua"/>
          <w:b/>
          <w:bCs/>
        </w:rPr>
        <w:t>5</w:t>
      </w:r>
      <w:r w:rsidRPr="00E67E52">
        <w:rPr>
          <w:rFonts w:ascii="Book Antiqua" w:hAnsi="Book Antiqua"/>
        </w:rPr>
        <w:t>: 3 [PMID: 30631077 DOI: 10.1038/s41572-018-0054-z]</w:t>
      </w:r>
    </w:p>
    <w:p w14:paraId="0C43188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2 </w:t>
      </w:r>
      <w:r w:rsidRPr="00E67E52">
        <w:rPr>
          <w:rFonts w:ascii="Book Antiqua" w:hAnsi="Book Antiqua"/>
          <w:b/>
          <w:bCs/>
        </w:rPr>
        <w:t>Ludvigsson JF</w:t>
      </w:r>
      <w:r w:rsidRPr="00E67E52">
        <w:rPr>
          <w:rFonts w:ascii="Book Antiqua" w:hAnsi="Book Antiqua"/>
        </w:rPr>
        <w:t>, Leffler DA, Bai JC, Biagi F, Fasano A, Green PH, Hadjivassiliou M, Kaukinen K, Kelly CP, Leonard JN, Lundin KE, Murray JA, Sanders DS, Walker MM, Zingone F, Ciacci C. The Oslo definitions for coeliac disease and related terms. </w:t>
      </w:r>
      <w:r w:rsidRPr="00E67E52">
        <w:rPr>
          <w:rFonts w:ascii="Book Antiqua" w:hAnsi="Book Antiqua"/>
          <w:i/>
          <w:iCs/>
        </w:rPr>
        <w:t>Gut</w:t>
      </w:r>
      <w:r w:rsidRPr="00E67E52">
        <w:rPr>
          <w:rFonts w:ascii="Book Antiqua" w:hAnsi="Book Antiqua"/>
        </w:rPr>
        <w:t> 2013; </w:t>
      </w:r>
      <w:r w:rsidRPr="00E67E52">
        <w:rPr>
          <w:rFonts w:ascii="Book Antiqua" w:hAnsi="Book Antiqua"/>
          <w:b/>
          <w:bCs/>
        </w:rPr>
        <w:t>62</w:t>
      </w:r>
      <w:r w:rsidRPr="00E67E52">
        <w:rPr>
          <w:rFonts w:ascii="Book Antiqua" w:hAnsi="Book Antiqua"/>
        </w:rPr>
        <w:t>: 43-52 [PMID: 22345659 DOI: 10.1136/gutjnl-2011-301346]</w:t>
      </w:r>
    </w:p>
    <w:p w14:paraId="0510207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3 </w:t>
      </w:r>
      <w:r w:rsidRPr="00E67E52">
        <w:rPr>
          <w:rFonts w:ascii="Book Antiqua" w:hAnsi="Book Antiqua"/>
          <w:b/>
          <w:bCs/>
        </w:rPr>
        <w:t>Lebwohl B</w:t>
      </w:r>
      <w:r w:rsidRPr="00E67E52">
        <w:rPr>
          <w:rFonts w:ascii="Book Antiqua" w:hAnsi="Book Antiqua"/>
        </w:rPr>
        <w:t>, Ludvigsson JF, Green PH. Celiac disease and non-celiac gluten sensitivity. </w:t>
      </w:r>
      <w:r w:rsidRPr="00E67E52">
        <w:rPr>
          <w:rFonts w:ascii="Book Antiqua" w:hAnsi="Book Antiqua"/>
          <w:i/>
          <w:iCs/>
        </w:rPr>
        <w:t>BMJ</w:t>
      </w:r>
      <w:r w:rsidRPr="00E67E52">
        <w:rPr>
          <w:rFonts w:ascii="Book Antiqua" w:hAnsi="Book Antiqua"/>
        </w:rPr>
        <w:t> 2015; </w:t>
      </w:r>
      <w:r w:rsidRPr="00E67E52">
        <w:rPr>
          <w:rFonts w:ascii="Book Antiqua" w:hAnsi="Book Antiqua"/>
          <w:b/>
          <w:bCs/>
        </w:rPr>
        <w:t>351</w:t>
      </w:r>
      <w:r w:rsidRPr="00E67E52">
        <w:rPr>
          <w:rFonts w:ascii="Book Antiqua" w:hAnsi="Book Antiqua"/>
        </w:rPr>
        <w:t>: h4347 [PMID: 26438584 DOI: 10.1136/bmj.h4347]</w:t>
      </w:r>
    </w:p>
    <w:p w14:paraId="56BA955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4 </w:t>
      </w:r>
      <w:r w:rsidRPr="00E67E52">
        <w:rPr>
          <w:rFonts w:ascii="Book Antiqua" w:hAnsi="Book Antiqua"/>
          <w:b/>
          <w:bCs/>
        </w:rPr>
        <w:t>Caio G</w:t>
      </w:r>
      <w:r w:rsidRPr="00E67E52">
        <w:rPr>
          <w:rFonts w:ascii="Book Antiqua" w:hAnsi="Book Antiqua"/>
        </w:rPr>
        <w:t>, Volta U, Sapone A, Leffler DA, De Giorgio R, Catassi C, Fasano A. Celiac disease: a comprehensive current review. </w:t>
      </w:r>
      <w:r w:rsidRPr="00E67E52">
        <w:rPr>
          <w:rFonts w:ascii="Book Antiqua" w:hAnsi="Book Antiqua"/>
          <w:i/>
          <w:iCs/>
        </w:rPr>
        <w:t>BMC Med</w:t>
      </w:r>
      <w:r w:rsidRPr="00E67E52">
        <w:rPr>
          <w:rFonts w:ascii="Book Antiqua" w:hAnsi="Book Antiqua"/>
        </w:rPr>
        <w:t> 2019; </w:t>
      </w:r>
      <w:r w:rsidRPr="00E67E52">
        <w:rPr>
          <w:rFonts w:ascii="Book Antiqua" w:hAnsi="Book Antiqua"/>
          <w:b/>
          <w:bCs/>
        </w:rPr>
        <w:t>17</w:t>
      </w:r>
      <w:r w:rsidRPr="00E67E52">
        <w:rPr>
          <w:rFonts w:ascii="Book Antiqua" w:hAnsi="Book Antiqua"/>
        </w:rPr>
        <w:t>: 142 [PMID: 31331324 DOI: 10.1186/s12916-019-1380-z]</w:t>
      </w:r>
    </w:p>
    <w:p w14:paraId="4F007DE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5 </w:t>
      </w:r>
      <w:r w:rsidRPr="00E67E52">
        <w:rPr>
          <w:rFonts w:ascii="Book Antiqua" w:hAnsi="Book Antiqua"/>
          <w:b/>
          <w:bCs/>
        </w:rPr>
        <w:t>D'Avino P</w:t>
      </w:r>
      <w:r w:rsidRPr="00E67E52">
        <w:rPr>
          <w:rFonts w:ascii="Book Antiqua" w:hAnsi="Book Antiqua"/>
        </w:rPr>
        <w:t>, Serena G, Kenyon V, Fasano A. An updated overview on celiac disease: from immuno-pathogenesis and immuno-genetics to therapeutic implications. </w:t>
      </w:r>
      <w:r w:rsidRPr="00E67E52">
        <w:rPr>
          <w:rFonts w:ascii="Book Antiqua" w:hAnsi="Book Antiqua"/>
          <w:i/>
          <w:iCs/>
        </w:rPr>
        <w:t>Expert Rev Clin Immunol</w:t>
      </w:r>
      <w:r w:rsidRPr="00E67E52">
        <w:rPr>
          <w:rFonts w:ascii="Book Antiqua" w:hAnsi="Book Antiqua"/>
        </w:rPr>
        <w:t> 2021; </w:t>
      </w:r>
      <w:r w:rsidRPr="00E67E52">
        <w:rPr>
          <w:rFonts w:ascii="Book Antiqua" w:hAnsi="Book Antiqua"/>
          <w:b/>
          <w:bCs/>
        </w:rPr>
        <w:t>17</w:t>
      </w:r>
      <w:r w:rsidRPr="00E67E52">
        <w:rPr>
          <w:rFonts w:ascii="Book Antiqua" w:hAnsi="Book Antiqua"/>
        </w:rPr>
        <w:t>: 269-284 [</w:t>
      </w:r>
      <w:bookmarkStart w:id="58" w:name="OLE_LINK15"/>
      <w:r w:rsidRPr="00E67E52">
        <w:rPr>
          <w:rFonts w:ascii="Book Antiqua" w:hAnsi="Book Antiqua"/>
        </w:rPr>
        <w:t>PMID: 33472447</w:t>
      </w:r>
      <w:bookmarkEnd w:id="58"/>
      <w:r w:rsidRPr="00E67E52">
        <w:rPr>
          <w:rFonts w:ascii="Book Antiqua" w:hAnsi="Book Antiqua"/>
        </w:rPr>
        <w:t xml:space="preserve"> DOI: 10.1080/1744666X.2021.1880320]</w:t>
      </w:r>
    </w:p>
    <w:p w14:paraId="60EAE97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6 </w:t>
      </w:r>
      <w:r w:rsidRPr="00E67E52">
        <w:rPr>
          <w:rFonts w:ascii="Book Antiqua" w:hAnsi="Book Antiqua"/>
          <w:b/>
          <w:bCs/>
        </w:rPr>
        <w:t>Karell K</w:t>
      </w:r>
      <w:r w:rsidRPr="00E67E52">
        <w:rPr>
          <w:rFonts w:ascii="Book Antiqua" w:hAnsi="Book Antiqua"/>
        </w:rPr>
        <w:t>, Louka AS, Moodie SJ, Ascher H, Clot F, Greco L, Ciclitira PJ, Sollid LM, Partanen J; European Genetics Cluster on Celiac Disease. HLA types in celiac disease patients not carrying the DQA1*05-DQB1*02 (DQ2) heterodimer: results from the European Genetics Cluster on Celiac Disease. </w:t>
      </w:r>
      <w:r w:rsidRPr="00E67E52">
        <w:rPr>
          <w:rFonts w:ascii="Book Antiqua" w:hAnsi="Book Antiqua"/>
          <w:i/>
          <w:iCs/>
        </w:rPr>
        <w:t>Hum Immunol</w:t>
      </w:r>
      <w:r w:rsidRPr="00E67E52">
        <w:rPr>
          <w:rFonts w:ascii="Book Antiqua" w:hAnsi="Book Antiqua"/>
        </w:rPr>
        <w:t> 2003; </w:t>
      </w:r>
      <w:r w:rsidRPr="00E67E52">
        <w:rPr>
          <w:rFonts w:ascii="Book Antiqua" w:hAnsi="Book Antiqua"/>
          <w:b/>
          <w:bCs/>
        </w:rPr>
        <w:t>64</w:t>
      </w:r>
      <w:r w:rsidRPr="00E67E52">
        <w:rPr>
          <w:rFonts w:ascii="Book Antiqua" w:hAnsi="Book Antiqua"/>
        </w:rPr>
        <w:t>: 469-477 [PMID: 12651074 DOI: 10.1016/s0198-8859(03)00027-2]</w:t>
      </w:r>
    </w:p>
    <w:p w14:paraId="2F0AB52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7 </w:t>
      </w:r>
      <w:r w:rsidRPr="00E67E52">
        <w:rPr>
          <w:rFonts w:ascii="Book Antiqua" w:hAnsi="Book Antiqua"/>
          <w:b/>
          <w:bCs/>
        </w:rPr>
        <w:t>Størdal K</w:t>
      </w:r>
      <w:r w:rsidRPr="00E67E52">
        <w:rPr>
          <w:rFonts w:ascii="Book Antiqua" w:hAnsi="Book Antiqua"/>
        </w:rPr>
        <w:t>, Kahrs C, Tapia G, Agardh D, Kurppa K, Stene LC. Review article: exposure to microbes and risk of coeliac disease. </w:t>
      </w:r>
      <w:r w:rsidRPr="00E67E52">
        <w:rPr>
          <w:rFonts w:ascii="Book Antiqua" w:hAnsi="Book Antiqua"/>
          <w:i/>
          <w:iCs/>
        </w:rPr>
        <w:t>Aliment Pharmacol Ther</w:t>
      </w:r>
      <w:r w:rsidRPr="00E67E52">
        <w:rPr>
          <w:rFonts w:ascii="Book Antiqua" w:hAnsi="Book Antiqua"/>
        </w:rPr>
        <w:t> 2021; </w:t>
      </w:r>
      <w:r w:rsidRPr="00E67E52">
        <w:rPr>
          <w:rFonts w:ascii="Book Antiqua" w:hAnsi="Book Antiqua"/>
          <w:b/>
          <w:bCs/>
        </w:rPr>
        <w:t>53</w:t>
      </w:r>
      <w:r w:rsidRPr="00E67E52">
        <w:rPr>
          <w:rFonts w:ascii="Book Antiqua" w:hAnsi="Book Antiqua"/>
        </w:rPr>
        <w:t>: 43-62 [</w:t>
      </w:r>
      <w:bookmarkStart w:id="59" w:name="OLE_LINK16"/>
      <w:r w:rsidRPr="00E67E52">
        <w:rPr>
          <w:rFonts w:ascii="Book Antiqua" w:hAnsi="Book Antiqua"/>
        </w:rPr>
        <w:t xml:space="preserve">PMID: </w:t>
      </w:r>
      <w:bookmarkStart w:id="60" w:name="OLE_LINK12"/>
      <w:r w:rsidRPr="00E67E52">
        <w:rPr>
          <w:rFonts w:ascii="Book Antiqua" w:hAnsi="Book Antiqua"/>
        </w:rPr>
        <w:t>33210316</w:t>
      </w:r>
      <w:bookmarkEnd w:id="59"/>
      <w:bookmarkEnd w:id="60"/>
      <w:r w:rsidRPr="00E67E52">
        <w:rPr>
          <w:rFonts w:ascii="Book Antiqua" w:hAnsi="Book Antiqua"/>
        </w:rPr>
        <w:t xml:space="preserve"> DOI: 10.1111/apt.16161]</w:t>
      </w:r>
    </w:p>
    <w:p w14:paraId="48D43A8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8 </w:t>
      </w:r>
      <w:r w:rsidRPr="00E67E52">
        <w:rPr>
          <w:rFonts w:ascii="Book Antiqua" w:hAnsi="Book Antiqua"/>
          <w:b/>
          <w:bCs/>
        </w:rPr>
        <w:t>Blázquez AB</w:t>
      </w:r>
      <w:r w:rsidRPr="00E67E52">
        <w:rPr>
          <w:rFonts w:ascii="Book Antiqua" w:hAnsi="Book Antiqua"/>
        </w:rPr>
        <w:t>, Berin MC. Microbiome and food allergy. </w:t>
      </w:r>
      <w:r w:rsidRPr="00E67E52">
        <w:rPr>
          <w:rFonts w:ascii="Book Antiqua" w:hAnsi="Book Antiqua"/>
          <w:i/>
          <w:iCs/>
        </w:rPr>
        <w:t>Transl Res</w:t>
      </w:r>
      <w:r w:rsidRPr="00E67E52">
        <w:rPr>
          <w:rFonts w:ascii="Book Antiqua" w:hAnsi="Book Antiqua"/>
        </w:rPr>
        <w:t> 2017; </w:t>
      </w:r>
      <w:r w:rsidRPr="00E67E52">
        <w:rPr>
          <w:rFonts w:ascii="Book Antiqua" w:hAnsi="Book Antiqua"/>
          <w:b/>
          <w:bCs/>
        </w:rPr>
        <w:t>179</w:t>
      </w:r>
      <w:r w:rsidRPr="00E67E52">
        <w:rPr>
          <w:rFonts w:ascii="Book Antiqua" w:hAnsi="Book Antiqua"/>
        </w:rPr>
        <w:t>: 199-203 [PMID: 27686718 DOI: 10.1016/j.trsl.2016.09.003]</w:t>
      </w:r>
    </w:p>
    <w:p w14:paraId="10D586E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9 </w:t>
      </w:r>
      <w:r w:rsidRPr="00E67E52">
        <w:rPr>
          <w:rFonts w:ascii="Book Antiqua" w:hAnsi="Book Antiqua"/>
          <w:b/>
          <w:bCs/>
        </w:rPr>
        <w:t>D'Argenio V</w:t>
      </w:r>
      <w:r w:rsidRPr="00E67E52">
        <w:rPr>
          <w:rFonts w:ascii="Book Antiqua" w:hAnsi="Book Antiqua"/>
        </w:rPr>
        <w:t xml:space="preserve">, Casaburi G, Precone V, Pagliuca C, Colicchio R, Sarnataro D, Discepolo V, Kim SM, Russo I, Del Vecchio Blanco G, Horner DS, Chiara M, Pesole G, Salvatore P, Monteleone G, Ciacci C, Caporaso GJ, Jabrì B, Salvatore F, Sacchetti L. Metagenomics </w:t>
      </w:r>
      <w:r w:rsidRPr="00E67E52">
        <w:rPr>
          <w:rFonts w:ascii="Book Antiqua" w:hAnsi="Book Antiqua"/>
        </w:rPr>
        <w:lastRenderedPageBreak/>
        <w:t>Reveals Dysbiosis and a Potentially Pathogenic N. flavescens Strain in Duodenum of Adult Celiac Patients. </w:t>
      </w:r>
      <w:r w:rsidRPr="00E67E52">
        <w:rPr>
          <w:rFonts w:ascii="Book Antiqua" w:hAnsi="Book Antiqua"/>
          <w:i/>
          <w:iCs/>
        </w:rPr>
        <w:t>Am J Gastroenterol</w:t>
      </w:r>
      <w:r w:rsidRPr="00E67E52">
        <w:rPr>
          <w:rFonts w:ascii="Book Antiqua" w:hAnsi="Book Antiqua"/>
        </w:rPr>
        <w:t> 2016; </w:t>
      </w:r>
      <w:r w:rsidRPr="00E67E52">
        <w:rPr>
          <w:rFonts w:ascii="Book Antiqua" w:hAnsi="Book Antiqua"/>
          <w:b/>
          <w:bCs/>
        </w:rPr>
        <w:t>111</w:t>
      </w:r>
      <w:r w:rsidRPr="00E67E52">
        <w:rPr>
          <w:rFonts w:ascii="Book Antiqua" w:hAnsi="Book Antiqua"/>
        </w:rPr>
        <w:t>: 879-890 [PMID: 27045926 DOI: 10.1038/ajg.2016.95]</w:t>
      </w:r>
    </w:p>
    <w:p w14:paraId="6AA571E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10 </w:t>
      </w:r>
      <w:r w:rsidRPr="00E67E52">
        <w:rPr>
          <w:rFonts w:ascii="Book Antiqua" w:hAnsi="Book Antiqua"/>
          <w:b/>
          <w:bCs/>
        </w:rPr>
        <w:t>Lebwohl B</w:t>
      </w:r>
      <w:r w:rsidRPr="00E67E52">
        <w:rPr>
          <w:rFonts w:ascii="Book Antiqua" w:hAnsi="Book Antiqua"/>
        </w:rPr>
        <w:t>, Blaser MJ, Ludvigsson JF, Green PH, Rundle A, Sonnenberg A, Genta RM. Decreased risk of celiac disease in patients with Helicobacter pylori colonization. </w:t>
      </w:r>
      <w:r w:rsidRPr="00E67E52">
        <w:rPr>
          <w:rFonts w:ascii="Book Antiqua" w:hAnsi="Book Antiqua"/>
          <w:i/>
          <w:iCs/>
        </w:rPr>
        <w:t>Am J Epidemiol</w:t>
      </w:r>
      <w:r w:rsidRPr="00E67E52">
        <w:rPr>
          <w:rFonts w:ascii="Book Antiqua" w:hAnsi="Book Antiqua"/>
        </w:rPr>
        <w:t> 2013; </w:t>
      </w:r>
      <w:r w:rsidRPr="00E67E52">
        <w:rPr>
          <w:rFonts w:ascii="Book Antiqua" w:hAnsi="Book Antiqua"/>
          <w:b/>
          <w:bCs/>
        </w:rPr>
        <w:t>178</w:t>
      </w:r>
      <w:r w:rsidRPr="00E67E52">
        <w:rPr>
          <w:rFonts w:ascii="Book Antiqua" w:hAnsi="Book Antiqua"/>
        </w:rPr>
        <w:t>: 1721-1730 [PMID: 24124196 DOI: 10.1093/aje/kwt234]</w:t>
      </w:r>
    </w:p>
    <w:p w14:paraId="680ED1C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11 </w:t>
      </w:r>
      <w:r w:rsidRPr="00E67E52">
        <w:rPr>
          <w:rFonts w:ascii="Book Antiqua" w:hAnsi="Book Antiqua"/>
          <w:b/>
          <w:bCs/>
        </w:rPr>
        <w:t>Kemppainen KM</w:t>
      </w:r>
      <w:r w:rsidRPr="00E67E52">
        <w:rPr>
          <w:rFonts w:ascii="Book Antiqua" w:hAnsi="Book Antiqua"/>
        </w:rPr>
        <w:t>, Lynch KF, Liu E, Lönnrot M, Simell V, Briese T, Koletzko S, Hagopian W, Rewers M, She JX, Simell O, Toppari J, Ziegler AG, Akolkar B, Krischer JP, Lernmark Å, Hyöty H, Triplett EW, Agardh D; TEDDY Study Group. Factors That Increase Risk of Celiac Disease Autoimmunity After a Gastrointestinal Infection in Early Life. </w:t>
      </w:r>
      <w:r w:rsidRPr="00E67E52">
        <w:rPr>
          <w:rFonts w:ascii="Book Antiqua" w:hAnsi="Book Antiqua"/>
          <w:i/>
          <w:iCs/>
        </w:rPr>
        <w:t>Clin Gastroenterol Hepatol</w:t>
      </w:r>
      <w:r w:rsidRPr="00E67E52">
        <w:rPr>
          <w:rFonts w:ascii="Book Antiqua" w:hAnsi="Book Antiqua"/>
        </w:rPr>
        <w:t> 2017; </w:t>
      </w:r>
      <w:r w:rsidRPr="00E67E52">
        <w:rPr>
          <w:rFonts w:ascii="Book Antiqua" w:hAnsi="Book Antiqua"/>
          <w:b/>
          <w:bCs/>
        </w:rPr>
        <w:t>15</w:t>
      </w:r>
      <w:r w:rsidRPr="00E67E52">
        <w:rPr>
          <w:rFonts w:ascii="Book Antiqua" w:hAnsi="Book Antiqua"/>
        </w:rPr>
        <w:t>: 694-702.e5 [PMID: 27840181 DOI: 10.1016/j.cgh.2016.10.033]</w:t>
      </w:r>
    </w:p>
    <w:p w14:paraId="1B91AD1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12 </w:t>
      </w:r>
      <w:r w:rsidRPr="00E67E52">
        <w:rPr>
          <w:rFonts w:ascii="Book Antiqua" w:hAnsi="Book Antiqua"/>
          <w:b/>
          <w:bCs/>
        </w:rPr>
        <w:t>Bouziat R</w:t>
      </w:r>
      <w:r w:rsidRPr="00E67E52">
        <w:rPr>
          <w:rFonts w:ascii="Book Antiqua" w:hAnsi="Book Antiqua"/>
        </w:rPr>
        <w:t>, Hinterleitner R, Brown JJ, Stencel-Baerenwald JE, Ikizler M, Mayassi T, Meisel M, Kim SM, Discepolo V, Pruijssers AJ, Ernest JD, Iskarpatyoti JA, Costes LM, Lawrence I, Palanski BA, Varma M, Zurenski MA, Khomandiak S, McAllister N, Aravamudhan P, Boehme KW, Hu F, Samsom JN, Reinecker HC, Kupfer SS, Guandalini S, Semrad CE, Abadie V, Khosla C, Barreiro LB, Xavier RJ, Ng A, Dermody TS, Jabri B. Reovirus infection triggers inflammatory responses to dietary antigens and development of celiac disease. </w:t>
      </w:r>
      <w:r w:rsidRPr="00E67E52">
        <w:rPr>
          <w:rFonts w:ascii="Book Antiqua" w:hAnsi="Book Antiqua"/>
          <w:i/>
          <w:iCs/>
        </w:rPr>
        <w:t>Science</w:t>
      </w:r>
      <w:r w:rsidRPr="00E67E52">
        <w:rPr>
          <w:rFonts w:ascii="Book Antiqua" w:hAnsi="Book Antiqua"/>
        </w:rPr>
        <w:t> 2017; </w:t>
      </w:r>
      <w:r w:rsidRPr="00E67E52">
        <w:rPr>
          <w:rFonts w:ascii="Book Antiqua" w:hAnsi="Book Antiqua"/>
          <w:b/>
          <w:bCs/>
        </w:rPr>
        <w:t>356</w:t>
      </w:r>
      <w:r w:rsidRPr="00E67E52">
        <w:rPr>
          <w:rFonts w:ascii="Book Antiqua" w:hAnsi="Book Antiqua"/>
        </w:rPr>
        <w:t>: 44-50 [PMID: 28386004 DOI: 10.1126/science.aah5298]</w:t>
      </w:r>
    </w:p>
    <w:p w14:paraId="3EAAD66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13 </w:t>
      </w:r>
      <w:r w:rsidRPr="00E67E52">
        <w:rPr>
          <w:rFonts w:ascii="Book Antiqua" w:hAnsi="Book Antiqua"/>
          <w:b/>
          <w:bCs/>
        </w:rPr>
        <w:t>Singh P</w:t>
      </w:r>
      <w:r w:rsidRPr="00E67E52">
        <w:rPr>
          <w:rFonts w:ascii="Book Antiqua" w:hAnsi="Book Antiqua"/>
        </w:rPr>
        <w:t>, Arora A, Strand TA, Leffler DA, Catassi C, Green PH, Kelly CP, Ahuja V, Makharia GK. Global Prevalence of Celiac Disease: Systematic Review and Meta-analysis. </w:t>
      </w:r>
      <w:r w:rsidRPr="00E67E52">
        <w:rPr>
          <w:rFonts w:ascii="Book Antiqua" w:hAnsi="Book Antiqua"/>
          <w:i/>
          <w:iCs/>
        </w:rPr>
        <w:t>Clin Gastroenterol Hepatol</w:t>
      </w:r>
      <w:r w:rsidRPr="00E67E52">
        <w:rPr>
          <w:rFonts w:ascii="Book Antiqua" w:hAnsi="Book Antiqua"/>
        </w:rPr>
        <w:t> 2018; </w:t>
      </w:r>
      <w:r w:rsidRPr="00E67E52">
        <w:rPr>
          <w:rFonts w:ascii="Book Antiqua" w:hAnsi="Book Antiqua"/>
          <w:b/>
          <w:bCs/>
        </w:rPr>
        <w:t>16</w:t>
      </w:r>
      <w:r w:rsidRPr="00E67E52">
        <w:rPr>
          <w:rFonts w:ascii="Book Antiqua" w:hAnsi="Book Antiqua"/>
        </w:rPr>
        <w:t>: 823-836.e2 [PMID: 29551598 DOI: 10.1016/j.cgh.2017.06.037]</w:t>
      </w:r>
    </w:p>
    <w:p w14:paraId="3AEFEEF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14 </w:t>
      </w:r>
      <w:r w:rsidRPr="00E67E52">
        <w:rPr>
          <w:rFonts w:ascii="Book Antiqua" w:hAnsi="Book Antiqua"/>
          <w:b/>
          <w:bCs/>
        </w:rPr>
        <w:t>Ashtari S</w:t>
      </w:r>
      <w:r w:rsidRPr="00E67E52">
        <w:rPr>
          <w:rFonts w:ascii="Book Antiqua" w:hAnsi="Book Antiqua"/>
        </w:rPr>
        <w:t>, Najafimehr H, Pourhoseingholi MA, Rostami K, Asadzadeh-Aghdaei H, Rostami-Nejad M, Tavirani MR, Olfatifar M, Makharia GK, Zali MR. Prevalence of celiac disease in low and high risk population in Asia-Pacific region: a systematic review and meta-analysis. </w:t>
      </w:r>
      <w:r w:rsidRPr="00E67E52">
        <w:rPr>
          <w:rFonts w:ascii="Book Antiqua" w:hAnsi="Book Antiqua"/>
          <w:i/>
          <w:iCs/>
        </w:rPr>
        <w:t>Sci Rep</w:t>
      </w:r>
      <w:r w:rsidRPr="00E67E52">
        <w:rPr>
          <w:rFonts w:ascii="Book Antiqua" w:hAnsi="Book Antiqua"/>
        </w:rPr>
        <w:t> 2021; </w:t>
      </w:r>
      <w:r w:rsidRPr="00E67E52">
        <w:rPr>
          <w:rFonts w:ascii="Book Antiqua" w:hAnsi="Book Antiqua"/>
          <w:b/>
          <w:bCs/>
        </w:rPr>
        <w:t>11</w:t>
      </w:r>
      <w:r w:rsidRPr="00E67E52">
        <w:rPr>
          <w:rFonts w:ascii="Book Antiqua" w:hAnsi="Book Antiqua"/>
        </w:rPr>
        <w:t>: 2383 [PMID: 33504878 DOI: 10.1038/s41598-021-82023-8]</w:t>
      </w:r>
    </w:p>
    <w:p w14:paraId="21AFEA8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15 </w:t>
      </w:r>
      <w:r w:rsidRPr="00E67E52">
        <w:rPr>
          <w:rFonts w:ascii="Book Antiqua" w:hAnsi="Book Antiqua"/>
          <w:b/>
          <w:bCs/>
        </w:rPr>
        <w:t>Volta U</w:t>
      </w:r>
      <w:r w:rsidRPr="00E67E52">
        <w:rPr>
          <w:rFonts w:ascii="Book Antiqua" w:hAnsi="Book Antiqua"/>
        </w:rPr>
        <w:t>, Caio G, Stanghellini V, De Giorgio R. The changing clinical profile of celiac disease: a 15-year experience (1998-2012) in an Italian referral center. </w:t>
      </w:r>
      <w:r w:rsidRPr="00E67E52">
        <w:rPr>
          <w:rFonts w:ascii="Book Antiqua" w:hAnsi="Book Antiqua"/>
          <w:i/>
          <w:iCs/>
        </w:rPr>
        <w:t>BMC Gastroenterol</w:t>
      </w:r>
      <w:r w:rsidRPr="00E67E52">
        <w:rPr>
          <w:rFonts w:ascii="Book Antiqua" w:hAnsi="Book Antiqua"/>
        </w:rPr>
        <w:t> 2014; </w:t>
      </w:r>
      <w:r w:rsidRPr="00E67E52">
        <w:rPr>
          <w:rFonts w:ascii="Book Antiqua" w:hAnsi="Book Antiqua"/>
          <w:b/>
          <w:bCs/>
        </w:rPr>
        <w:t>14</w:t>
      </w:r>
      <w:r w:rsidRPr="00E67E52">
        <w:rPr>
          <w:rFonts w:ascii="Book Antiqua" w:hAnsi="Book Antiqua"/>
        </w:rPr>
        <w:t>: 194 [PMID: 25404189 DOI: 10.1186/s12876-014-0194-x]</w:t>
      </w:r>
    </w:p>
    <w:p w14:paraId="74C5F51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16 </w:t>
      </w:r>
      <w:r w:rsidRPr="00E67E52">
        <w:rPr>
          <w:rFonts w:ascii="Book Antiqua" w:hAnsi="Book Antiqua"/>
          <w:b/>
          <w:bCs/>
        </w:rPr>
        <w:t>Kivelä L</w:t>
      </w:r>
      <w:r w:rsidRPr="00E67E52">
        <w:rPr>
          <w:rFonts w:ascii="Book Antiqua" w:hAnsi="Book Antiqua"/>
        </w:rPr>
        <w:t>, Kaukinen K, Lähdeaho ML, Huhtala H, Ashorn M, Ruuska T, Hiltunen P, Visakorpi J, Mäki M, Kurppa K. Presentation of Celiac Disease in Finnish Children Is No Longer Changing: A 50-Year Perspective. </w:t>
      </w:r>
      <w:r w:rsidRPr="00E67E52">
        <w:rPr>
          <w:rFonts w:ascii="Book Antiqua" w:hAnsi="Book Antiqua"/>
          <w:i/>
          <w:iCs/>
        </w:rPr>
        <w:t>J Pediatr</w:t>
      </w:r>
      <w:r w:rsidRPr="00E67E52">
        <w:rPr>
          <w:rFonts w:ascii="Book Antiqua" w:hAnsi="Book Antiqua"/>
        </w:rPr>
        <w:t> 2015; </w:t>
      </w:r>
      <w:r w:rsidRPr="00E67E52">
        <w:rPr>
          <w:rFonts w:ascii="Book Antiqua" w:hAnsi="Book Antiqua"/>
          <w:b/>
          <w:bCs/>
        </w:rPr>
        <w:t>167</w:t>
      </w:r>
      <w:r w:rsidRPr="00E67E52">
        <w:rPr>
          <w:rFonts w:ascii="Book Antiqua" w:hAnsi="Book Antiqua"/>
        </w:rPr>
        <w:t>: 1109-15.e1 [PMID: 26316370 DOI: 10.1016/j.jpeds.2015.07.057]</w:t>
      </w:r>
    </w:p>
    <w:p w14:paraId="69596E3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17 </w:t>
      </w:r>
      <w:r w:rsidRPr="00E67E52">
        <w:rPr>
          <w:rFonts w:ascii="Book Antiqua" w:hAnsi="Book Antiqua"/>
          <w:b/>
          <w:bCs/>
        </w:rPr>
        <w:t>Lebwohl B</w:t>
      </w:r>
      <w:r w:rsidRPr="00E67E52">
        <w:rPr>
          <w:rFonts w:ascii="Book Antiqua" w:hAnsi="Book Antiqua"/>
        </w:rPr>
        <w:t>, Sanders DS, Green PH. Coeliac disease and dermatitis herpetiformis - Authors' reply. </w:t>
      </w:r>
      <w:r w:rsidRPr="00E67E52">
        <w:rPr>
          <w:rFonts w:ascii="Book Antiqua" w:hAnsi="Book Antiqua"/>
          <w:i/>
          <w:iCs/>
        </w:rPr>
        <w:t>Lancet</w:t>
      </w:r>
      <w:r w:rsidRPr="00E67E52">
        <w:rPr>
          <w:rFonts w:ascii="Book Antiqua" w:hAnsi="Book Antiqua"/>
        </w:rPr>
        <w:t> 2018; </w:t>
      </w:r>
      <w:r w:rsidRPr="00E67E52">
        <w:rPr>
          <w:rFonts w:ascii="Book Antiqua" w:hAnsi="Book Antiqua"/>
          <w:b/>
          <w:bCs/>
        </w:rPr>
        <w:t>392</w:t>
      </w:r>
      <w:r w:rsidRPr="00E67E52">
        <w:rPr>
          <w:rFonts w:ascii="Book Antiqua" w:hAnsi="Book Antiqua"/>
        </w:rPr>
        <w:t>: 917 [</w:t>
      </w:r>
      <w:bookmarkStart w:id="61" w:name="OLE_LINK17"/>
      <w:r w:rsidRPr="00E67E52">
        <w:rPr>
          <w:rFonts w:ascii="Book Antiqua" w:hAnsi="Book Antiqua"/>
        </w:rPr>
        <w:t>PMID: 30238888</w:t>
      </w:r>
      <w:bookmarkEnd w:id="61"/>
      <w:r w:rsidRPr="00E67E52">
        <w:rPr>
          <w:rFonts w:ascii="Book Antiqua" w:hAnsi="Book Antiqua"/>
        </w:rPr>
        <w:t xml:space="preserve"> DOI: 10.1016/S0140-6736(18)31894-4]</w:t>
      </w:r>
    </w:p>
    <w:p w14:paraId="26E5360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18 </w:t>
      </w:r>
      <w:r w:rsidRPr="00E67E52">
        <w:rPr>
          <w:rFonts w:ascii="Book Antiqua" w:hAnsi="Book Antiqua"/>
          <w:b/>
          <w:bCs/>
        </w:rPr>
        <w:t>Riznik P</w:t>
      </w:r>
      <w:r w:rsidRPr="00E67E52">
        <w:rPr>
          <w:rFonts w:ascii="Book Antiqua" w:hAnsi="Book Antiqua"/>
        </w:rPr>
        <w:t>, De Leo L, Dolinsek J, Gyimesi J, Klemenak M, Koletzko B, Koletzko S, Korponay-Szabó IR, Krencnik T, Not T, Palcevski G, Sblattero D, Vogrincic M, Werkstetter KJ, Dolinsek J. Diagnostic Delays in Children With Coeliac Disease in the Central European Region. </w:t>
      </w:r>
      <w:r w:rsidRPr="00E67E52">
        <w:rPr>
          <w:rFonts w:ascii="Book Antiqua" w:hAnsi="Book Antiqua"/>
          <w:i/>
          <w:iCs/>
        </w:rPr>
        <w:t>J Pediatr Gastroenterol Nutr</w:t>
      </w:r>
      <w:r w:rsidRPr="00E67E52">
        <w:rPr>
          <w:rFonts w:ascii="Book Antiqua" w:hAnsi="Book Antiqua"/>
        </w:rPr>
        <w:t> 2019; </w:t>
      </w:r>
      <w:r w:rsidRPr="00E67E52">
        <w:rPr>
          <w:rFonts w:ascii="Book Antiqua" w:hAnsi="Book Antiqua"/>
          <w:b/>
          <w:bCs/>
        </w:rPr>
        <w:t>69</w:t>
      </w:r>
      <w:r w:rsidRPr="00E67E52">
        <w:rPr>
          <w:rFonts w:ascii="Book Antiqua" w:hAnsi="Book Antiqua"/>
        </w:rPr>
        <w:t>: 443-448 [</w:t>
      </w:r>
      <w:bookmarkStart w:id="62" w:name="OLE_LINK18"/>
      <w:r w:rsidRPr="00E67E52">
        <w:rPr>
          <w:rFonts w:ascii="Book Antiqua" w:hAnsi="Book Antiqua"/>
        </w:rPr>
        <w:t>PMID: 31219933</w:t>
      </w:r>
      <w:bookmarkEnd w:id="62"/>
      <w:r w:rsidRPr="00E67E52">
        <w:rPr>
          <w:rFonts w:ascii="Book Antiqua" w:hAnsi="Book Antiqua"/>
        </w:rPr>
        <w:t xml:space="preserve"> DOI: 10.1097/MPG.0000000000002424]</w:t>
      </w:r>
    </w:p>
    <w:p w14:paraId="4256776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19 </w:t>
      </w:r>
      <w:r w:rsidRPr="00E67E52">
        <w:rPr>
          <w:rFonts w:ascii="Book Antiqua" w:hAnsi="Book Antiqua"/>
          <w:b/>
          <w:bCs/>
        </w:rPr>
        <w:t>Parzanese I</w:t>
      </w:r>
      <w:r w:rsidRPr="00E67E52">
        <w:rPr>
          <w:rFonts w:ascii="Book Antiqua" w:hAnsi="Book Antiqua"/>
        </w:rPr>
        <w:t>, Qehajaj D, Patrinicola F, Aralica M, Chiriva-Internati M, Stifter S, Elli L, Grizzi F. Celiac disease: From pathophysiology to treatment. </w:t>
      </w:r>
      <w:r w:rsidRPr="00E67E52">
        <w:rPr>
          <w:rFonts w:ascii="Book Antiqua" w:hAnsi="Book Antiqua"/>
          <w:i/>
          <w:iCs/>
        </w:rPr>
        <w:t>World J Gastrointest Pathophysiol</w:t>
      </w:r>
      <w:r w:rsidRPr="00E67E52">
        <w:rPr>
          <w:rFonts w:ascii="Book Antiqua" w:hAnsi="Book Antiqua"/>
        </w:rPr>
        <w:t> 2017; </w:t>
      </w:r>
      <w:r w:rsidRPr="00E67E52">
        <w:rPr>
          <w:rFonts w:ascii="Book Antiqua" w:hAnsi="Book Antiqua"/>
          <w:b/>
          <w:bCs/>
        </w:rPr>
        <w:t>8</w:t>
      </w:r>
      <w:r w:rsidRPr="00E67E52">
        <w:rPr>
          <w:rFonts w:ascii="Book Antiqua" w:hAnsi="Book Antiqua"/>
        </w:rPr>
        <w:t>: 27-38 [PMID: 28573065 DOI: 10.4291/wjgp.v8.i2.27]</w:t>
      </w:r>
    </w:p>
    <w:p w14:paraId="0A302BA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20 </w:t>
      </w:r>
      <w:r w:rsidRPr="00E67E52">
        <w:rPr>
          <w:rFonts w:ascii="Book Antiqua" w:hAnsi="Book Antiqua"/>
          <w:b/>
          <w:bCs/>
        </w:rPr>
        <w:t>Van Kalleveen MW</w:t>
      </w:r>
      <w:r w:rsidRPr="00E67E52">
        <w:rPr>
          <w:rFonts w:ascii="Book Antiqua" w:hAnsi="Book Antiqua"/>
        </w:rPr>
        <w:t>, de Meij T, Plötz FB. Clinical spectrum of paediatric coeliac disease: a 10-year single-centre experience. </w:t>
      </w:r>
      <w:r w:rsidRPr="00E67E52">
        <w:rPr>
          <w:rFonts w:ascii="Book Antiqua" w:hAnsi="Book Antiqua"/>
          <w:i/>
          <w:iCs/>
        </w:rPr>
        <w:t>Eur J Pediatr</w:t>
      </w:r>
      <w:r w:rsidRPr="00E67E52">
        <w:rPr>
          <w:rFonts w:ascii="Book Antiqua" w:hAnsi="Book Antiqua"/>
        </w:rPr>
        <w:t> 2018; </w:t>
      </w:r>
      <w:r w:rsidRPr="00E67E52">
        <w:rPr>
          <w:rFonts w:ascii="Book Antiqua" w:hAnsi="Book Antiqua"/>
          <w:b/>
          <w:bCs/>
        </w:rPr>
        <w:t>177</w:t>
      </w:r>
      <w:r w:rsidRPr="00E67E52">
        <w:rPr>
          <w:rFonts w:ascii="Book Antiqua" w:hAnsi="Book Antiqua"/>
        </w:rPr>
        <w:t>: 593-602 [PMID: 29392394 DOI: 10.1007/s00431-018-3103-4]</w:t>
      </w:r>
    </w:p>
    <w:p w14:paraId="750748B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21 </w:t>
      </w:r>
      <w:r w:rsidRPr="00E67E52">
        <w:rPr>
          <w:rFonts w:ascii="Book Antiqua" w:hAnsi="Book Antiqua"/>
          <w:b/>
          <w:bCs/>
        </w:rPr>
        <w:t>Nurminen S</w:t>
      </w:r>
      <w:r w:rsidRPr="00E67E52">
        <w:rPr>
          <w:rFonts w:ascii="Book Antiqua" w:hAnsi="Book Antiqua"/>
        </w:rPr>
        <w:t>, Kivelä L, Huhtala H, Kaukinen K, Kurppa K. Extraintestinal manifestations were common in children with coeliac disease and were more prevalent in patients with more severe clinical and histological presentation. </w:t>
      </w:r>
      <w:r w:rsidRPr="00E67E52">
        <w:rPr>
          <w:rFonts w:ascii="Book Antiqua" w:hAnsi="Book Antiqua"/>
          <w:i/>
          <w:iCs/>
        </w:rPr>
        <w:t>Acta Paediatr</w:t>
      </w:r>
      <w:r w:rsidRPr="00E67E52">
        <w:rPr>
          <w:rFonts w:ascii="Book Antiqua" w:hAnsi="Book Antiqua"/>
        </w:rPr>
        <w:t> 2019; </w:t>
      </w:r>
      <w:r w:rsidRPr="00E67E52">
        <w:rPr>
          <w:rFonts w:ascii="Book Antiqua" w:hAnsi="Book Antiqua"/>
          <w:b/>
          <w:bCs/>
        </w:rPr>
        <w:t>108</w:t>
      </w:r>
      <w:r w:rsidRPr="00E67E52">
        <w:rPr>
          <w:rFonts w:ascii="Book Antiqua" w:hAnsi="Book Antiqua"/>
        </w:rPr>
        <w:t>: 681-687 [PMID: 29569302 DOI: 10.1111/apa.14324]</w:t>
      </w:r>
    </w:p>
    <w:p w14:paraId="337E2E7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22 </w:t>
      </w:r>
      <w:r w:rsidRPr="00E67E52">
        <w:rPr>
          <w:rFonts w:ascii="Book Antiqua" w:hAnsi="Book Antiqua"/>
          <w:b/>
          <w:bCs/>
        </w:rPr>
        <w:t>Nardecchia S</w:t>
      </w:r>
      <w:r w:rsidRPr="00E67E52">
        <w:rPr>
          <w:rFonts w:ascii="Book Antiqua" w:hAnsi="Book Antiqua"/>
        </w:rPr>
        <w:t>, Auricchio R, Discepolo V, Troncone R. Extra-Intestinal Manifestations of Coeliac Disease in Children: Clinical Features and Mechanisms. </w:t>
      </w:r>
      <w:r w:rsidRPr="00E67E52">
        <w:rPr>
          <w:rFonts w:ascii="Book Antiqua" w:hAnsi="Book Antiqua"/>
          <w:i/>
          <w:iCs/>
        </w:rPr>
        <w:t>Front Pediatr</w:t>
      </w:r>
      <w:r w:rsidRPr="00E67E52">
        <w:rPr>
          <w:rFonts w:ascii="Book Antiqua" w:hAnsi="Book Antiqua"/>
        </w:rPr>
        <w:t> 2019; </w:t>
      </w:r>
      <w:r w:rsidRPr="00E67E52">
        <w:rPr>
          <w:rFonts w:ascii="Book Antiqua" w:hAnsi="Book Antiqua"/>
          <w:b/>
          <w:bCs/>
        </w:rPr>
        <w:t>7</w:t>
      </w:r>
      <w:r w:rsidRPr="00E67E52">
        <w:rPr>
          <w:rFonts w:ascii="Book Antiqua" w:hAnsi="Book Antiqua"/>
        </w:rPr>
        <w:t>: 56 [PMID: 30891436 DOI: 10.3389/fped.2019.00056]</w:t>
      </w:r>
    </w:p>
    <w:p w14:paraId="0AC845F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23 </w:t>
      </w:r>
      <w:r w:rsidRPr="00E67E52">
        <w:rPr>
          <w:rFonts w:ascii="Book Antiqua" w:hAnsi="Book Antiqua"/>
          <w:b/>
          <w:bCs/>
        </w:rPr>
        <w:t>Al-Toma A</w:t>
      </w:r>
      <w:r w:rsidRPr="00E67E52">
        <w:rPr>
          <w:rFonts w:ascii="Book Antiqua" w:hAnsi="Book Antiqua"/>
        </w:rPr>
        <w:t xml:space="preserve">, Volta U, Auricchio R, Castillejo G, Sanders DS, Cellier C, Mulder CJ, Lundin KEA. European Society for the Study of Coeliac Disease (ESsCD) guideline for </w:t>
      </w:r>
      <w:r w:rsidRPr="00E67E52">
        <w:rPr>
          <w:rFonts w:ascii="Book Antiqua" w:hAnsi="Book Antiqua"/>
        </w:rPr>
        <w:lastRenderedPageBreak/>
        <w:t>coeliac disease and other gluten-related disorders. </w:t>
      </w:r>
      <w:r w:rsidRPr="00E67E52">
        <w:rPr>
          <w:rFonts w:ascii="Book Antiqua" w:hAnsi="Book Antiqua"/>
          <w:i/>
          <w:iCs/>
        </w:rPr>
        <w:t>United European Gastroenterol J</w:t>
      </w:r>
      <w:r w:rsidRPr="00E67E52">
        <w:rPr>
          <w:rFonts w:ascii="Book Antiqua" w:hAnsi="Book Antiqua"/>
        </w:rPr>
        <w:t> 2019; </w:t>
      </w:r>
      <w:r w:rsidRPr="00E67E52">
        <w:rPr>
          <w:rFonts w:ascii="Book Antiqua" w:hAnsi="Book Antiqua"/>
          <w:b/>
          <w:bCs/>
        </w:rPr>
        <w:t>7</w:t>
      </w:r>
      <w:r w:rsidRPr="00E67E52">
        <w:rPr>
          <w:rFonts w:ascii="Book Antiqua" w:hAnsi="Book Antiqua"/>
        </w:rPr>
        <w:t>: 583-613 [PMID: 31210940 DOI: 10.1177/2050640619844125]</w:t>
      </w:r>
    </w:p>
    <w:p w14:paraId="403024C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24 </w:t>
      </w:r>
      <w:r w:rsidRPr="00E67E52">
        <w:rPr>
          <w:rFonts w:ascii="Book Antiqua" w:hAnsi="Book Antiqua"/>
          <w:b/>
          <w:bCs/>
        </w:rPr>
        <w:t>Husby S</w:t>
      </w:r>
      <w:r w:rsidRPr="00E67E52">
        <w:rPr>
          <w:rFonts w:ascii="Book Antiqua" w:hAnsi="Book Antiqua"/>
        </w:rPr>
        <w:t>, Murray JA, Katzka DA. AGA Clinical Practice Update on Diagnosis and Monitoring of Celiac Disease-Changing Utility of Serology and Histologic Measures: Expert Review. </w:t>
      </w:r>
      <w:r w:rsidRPr="00E67E52">
        <w:rPr>
          <w:rFonts w:ascii="Book Antiqua" w:hAnsi="Book Antiqua"/>
          <w:i/>
          <w:iCs/>
        </w:rPr>
        <w:t>Gastroenterology</w:t>
      </w:r>
      <w:r w:rsidRPr="00E67E52">
        <w:rPr>
          <w:rFonts w:ascii="Book Antiqua" w:hAnsi="Book Antiqua"/>
        </w:rPr>
        <w:t> 2019; </w:t>
      </w:r>
      <w:r w:rsidRPr="00E67E52">
        <w:rPr>
          <w:rFonts w:ascii="Book Antiqua" w:hAnsi="Book Antiqua"/>
          <w:b/>
          <w:bCs/>
        </w:rPr>
        <w:t>156</w:t>
      </w:r>
      <w:r w:rsidRPr="00E67E52">
        <w:rPr>
          <w:rFonts w:ascii="Book Antiqua" w:hAnsi="Book Antiqua"/>
        </w:rPr>
        <w:t>: 885-889 [PMID: 30578783 DOI: 10.1053/j.gastro.2018.12.010]</w:t>
      </w:r>
    </w:p>
    <w:p w14:paraId="120024F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25 </w:t>
      </w:r>
      <w:r w:rsidRPr="00E67E52">
        <w:rPr>
          <w:rFonts w:ascii="Book Antiqua" w:hAnsi="Book Antiqua"/>
          <w:b/>
          <w:bCs/>
        </w:rPr>
        <w:t>Hujoel IA</w:t>
      </w:r>
      <w:r w:rsidRPr="00E67E52">
        <w:rPr>
          <w:rFonts w:ascii="Book Antiqua" w:hAnsi="Book Antiqua"/>
        </w:rPr>
        <w:t>, Reilly NR, Rubio-Tapia A. Celiac Disease: Clinical Features and Diagnosis. </w:t>
      </w:r>
      <w:r w:rsidRPr="00E67E52">
        <w:rPr>
          <w:rFonts w:ascii="Book Antiqua" w:hAnsi="Book Antiqua"/>
          <w:i/>
          <w:iCs/>
        </w:rPr>
        <w:t>Gastroenterol Clin North Am</w:t>
      </w:r>
      <w:r w:rsidRPr="00E67E52">
        <w:rPr>
          <w:rFonts w:ascii="Book Antiqua" w:hAnsi="Book Antiqua"/>
        </w:rPr>
        <w:t> 2019; </w:t>
      </w:r>
      <w:r w:rsidRPr="00E67E52">
        <w:rPr>
          <w:rFonts w:ascii="Book Antiqua" w:hAnsi="Book Antiqua"/>
          <w:b/>
          <w:bCs/>
        </w:rPr>
        <w:t>48</w:t>
      </w:r>
      <w:r w:rsidRPr="00E67E52">
        <w:rPr>
          <w:rFonts w:ascii="Book Antiqua" w:hAnsi="Book Antiqua"/>
        </w:rPr>
        <w:t>: 19-37 [PMID: 30711209 DOI: 10.1016/j.gtc.2018.09.001]</w:t>
      </w:r>
    </w:p>
    <w:p w14:paraId="2A97BBF4"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26 </w:t>
      </w:r>
      <w:r w:rsidRPr="00E67E52">
        <w:rPr>
          <w:rFonts w:ascii="Book Antiqua" w:hAnsi="Book Antiqua"/>
          <w:b/>
          <w:bCs/>
        </w:rPr>
        <w:t>Alessio MG</w:t>
      </w:r>
      <w:r w:rsidRPr="00E67E52">
        <w:rPr>
          <w:rFonts w:ascii="Book Antiqua" w:hAnsi="Book Antiqua"/>
        </w:rPr>
        <w:t>, Tonutti E, Brusca I, Radice A, Licini L, Sonzogni A, Florena A, Schiaffino E, Marus W, Sulfaro S, Villalta D; Study Group on Autoimmune Diseases of Italian Society of Laboratory Medicine. Correlation between IgA tissue transglutaminase antibody ratio and histological finding in celiac disease. </w:t>
      </w:r>
      <w:r w:rsidRPr="00E67E52">
        <w:rPr>
          <w:rFonts w:ascii="Book Antiqua" w:hAnsi="Book Antiqua"/>
          <w:i/>
          <w:iCs/>
        </w:rPr>
        <w:t>J Pediatr Gastroenterol Nutr</w:t>
      </w:r>
      <w:r w:rsidRPr="00E67E52">
        <w:rPr>
          <w:rFonts w:ascii="Book Antiqua" w:hAnsi="Book Antiqua"/>
        </w:rPr>
        <w:t> 2012; </w:t>
      </w:r>
      <w:r w:rsidRPr="00E67E52">
        <w:rPr>
          <w:rFonts w:ascii="Book Antiqua" w:hAnsi="Book Antiqua"/>
          <w:b/>
          <w:bCs/>
        </w:rPr>
        <w:t>55</w:t>
      </w:r>
      <w:r w:rsidRPr="00E67E52">
        <w:rPr>
          <w:rFonts w:ascii="Book Antiqua" w:hAnsi="Book Antiqua"/>
        </w:rPr>
        <w:t>: 44-49 [PMID: 22197946 DOI: 10.1097/MPG.0b013e3182470249]</w:t>
      </w:r>
    </w:p>
    <w:p w14:paraId="1A12426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27 </w:t>
      </w:r>
      <w:r w:rsidRPr="00E67E52">
        <w:rPr>
          <w:rFonts w:ascii="Book Antiqua" w:hAnsi="Book Antiqua"/>
          <w:b/>
          <w:bCs/>
        </w:rPr>
        <w:t>Webb C</w:t>
      </w:r>
      <w:r w:rsidRPr="00E67E52">
        <w:rPr>
          <w:rFonts w:ascii="Book Antiqua" w:hAnsi="Book Antiqua"/>
        </w:rPr>
        <w:t>, Norström F, Myléus A, Ivarsson A, Halvarsson B, Högberg L, Lagerqvist C, Rosén A, Sandström O, Stenhammar L, Carlsson A. Celiac disease can be predicted by high levels of anti-tissue transglutaminase antibodies in population-based screening. </w:t>
      </w:r>
      <w:r w:rsidRPr="00E67E52">
        <w:rPr>
          <w:rFonts w:ascii="Book Antiqua" w:hAnsi="Book Antiqua"/>
          <w:i/>
          <w:iCs/>
        </w:rPr>
        <w:t>J Pediatr Gastroenterol Nutr</w:t>
      </w:r>
      <w:r w:rsidRPr="00E67E52">
        <w:rPr>
          <w:rFonts w:ascii="Book Antiqua" w:hAnsi="Book Antiqua"/>
        </w:rPr>
        <w:t> 2015; </w:t>
      </w:r>
      <w:r w:rsidRPr="00E67E52">
        <w:rPr>
          <w:rFonts w:ascii="Book Antiqua" w:hAnsi="Book Antiqua"/>
          <w:b/>
          <w:bCs/>
        </w:rPr>
        <w:t>60</w:t>
      </w:r>
      <w:r w:rsidRPr="00E67E52">
        <w:rPr>
          <w:rFonts w:ascii="Book Antiqua" w:hAnsi="Book Antiqua"/>
        </w:rPr>
        <w:t>: 787-791 [</w:t>
      </w:r>
      <w:bookmarkStart w:id="63" w:name="OLE_LINK19"/>
      <w:r w:rsidRPr="00E67E52">
        <w:rPr>
          <w:rFonts w:ascii="Book Antiqua" w:hAnsi="Book Antiqua"/>
        </w:rPr>
        <w:t>PMID: 25564816</w:t>
      </w:r>
      <w:bookmarkEnd w:id="63"/>
      <w:r w:rsidRPr="00E67E52">
        <w:rPr>
          <w:rFonts w:ascii="Book Antiqua" w:hAnsi="Book Antiqua"/>
        </w:rPr>
        <w:t xml:space="preserve"> DOI: 10.1097/MPG.0000000000000688]</w:t>
      </w:r>
    </w:p>
    <w:p w14:paraId="498A3D3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28 </w:t>
      </w:r>
      <w:r w:rsidRPr="00E67E52">
        <w:rPr>
          <w:rFonts w:ascii="Book Antiqua" w:hAnsi="Book Antiqua"/>
          <w:b/>
          <w:bCs/>
        </w:rPr>
        <w:t>Ortiz G</w:t>
      </w:r>
      <w:r w:rsidRPr="00E67E52">
        <w:rPr>
          <w:rFonts w:ascii="Book Antiqua" w:hAnsi="Book Antiqua"/>
        </w:rPr>
        <w:t>, Messere G, Toca MDC, Fiorucci M, Bigliardi R, Vidal J, Reynoso R. IgA anti-tissue transglutaminase antibodies and IgG antibodies against deamidated gliadin peptides as predictors of celiac disease. </w:t>
      </w:r>
      <w:r w:rsidRPr="00E67E52">
        <w:rPr>
          <w:rFonts w:ascii="Book Antiqua" w:hAnsi="Book Antiqua"/>
          <w:i/>
          <w:iCs/>
        </w:rPr>
        <w:t>Arch Argent Pediatr</w:t>
      </w:r>
      <w:r w:rsidRPr="00E67E52">
        <w:rPr>
          <w:rFonts w:ascii="Book Antiqua" w:hAnsi="Book Antiqua"/>
        </w:rPr>
        <w:t> 2019; </w:t>
      </w:r>
      <w:r w:rsidRPr="00E67E52">
        <w:rPr>
          <w:rFonts w:ascii="Book Antiqua" w:hAnsi="Book Antiqua"/>
          <w:b/>
          <w:bCs/>
        </w:rPr>
        <w:t>117</w:t>
      </w:r>
      <w:r w:rsidRPr="00E67E52">
        <w:rPr>
          <w:rFonts w:ascii="Book Antiqua" w:hAnsi="Book Antiqua"/>
        </w:rPr>
        <w:t>: 52-55 [PMID: 30652447 DOI: 10.5546/aap.2019.eng.52]</w:t>
      </w:r>
    </w:p>
    <w:p w14:paraId="575A371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29 </w:t>
      </w:r>
      <w:r w:rsidRPr="00E67E52">
        <w:rPr>
          <w:rFonts w:ascii="Book Antiqua" w:hAnsi="Book Antiqua"/>
          <w:b/>
          <w:bCs/>
        </w:rPr>
        <w:t>Smarrazzo A</w:t>
      </w:r>
      <w:r w:rsidRPr="00E67E52">
        <w:rPr>
          <w:rFonts w:ascii="Book Antiqua" w:hAnsi="Book Antiqua"/>
        </w:rPr>
        <w:t>, Misak Z, Costa S, Mičetić-Turk D, Abu-Zekry M, Kansu A, Abkari A, Bouziane-Nedjadi K, Ben Hariz M, Roma E, Velmishi V, Legarda Tamara M, Attard T, Djurisic V, Greco L, Magazzù G. Diagnosis of celiac disease and applicability of ESPGHAN guidelines in Mediterranean countries: a real life prospective study. </w:t>
      </w:r>
      <w:r w:rsidRPr="00E67E52">
        <w:rPr>
          <w:rFonts w:ascii="Book Antiqua" w:hAnsi="Book Antiqua"/>
          <w:i/>
          <w:iCs/>
        </w:rPr>
        <w:t>BMC Gastroenterol</w:t>
      </w:r>
      <w:r w:rsidRPr="00E67E52">
        <w:rPr>
          <w:rFonts w:ascii="Book Antiqua" w:hAnsi="Book Antiqua"/>
        </w:rPr>
        <w:t> 2017; </w:t>
      </w:r>
      <w:r w:rsidRPr="00E67E52">
        <w:rPr>
          <w:rFonts w:ascii="Book Antiqua" w:hAnsi="Book Antiqua"/>
          <w:b/>
          <w:bCs/>
        </w:rPr>
        <w:t>17</w:t>
      </w:r>
      <w:r w:rsidRPr="00E67E52">
        <w:rPr>
          <w:rFonts w:ascii="Book Antiqua" w:hAnsi="Book Antiqua"/>
        </w:rPr>
        <w:t>: 17 [PMID: 28109250 DOI: 10.1186/s12876-017-0577-x]</w:t>
      </w:r>
    </w:p>
    <w:p w14:paraId="3B01948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30 </w:t>
      </w:r>
      <w:r w:rsidRPr="00E67E52">
        <w:rPr>
          <w:rFonts w:ascii="Book Antiqua" w:hAnsi="Book Antiqua"/>
          <w:b/>
          <w:bCs/>
        </w:rPr>
        <w:t>Husby S</w:t>
      </w:r>
      <w:r w:rsidRPr="00E67E52">
        <w:rPr>
          <w:rFonts w:ascii="Book Antiqua" w:hAnsi="Book Antiqua"/>
        </w:rPr>
        <w:t>, Koletzko S, Korponay-Szabó I, Kurppa K, Mearin ML, Ribes-Koninckx C, Shamir R, Troncone R, Auricchio R, Castillejo G, Christensen R, Dolinsek J, Gillett P, Hróbjartsson A, Koltai T, Maki M, Nielsen SM, Popp A, Størdal K, Werkstetter K, Wessels M. European Society Paediatric Gastroenterology, Hepatology and Nutrition Guidelines for Diagnosing Coeliac Disease 2020. </w:t>
      </w:r>
      <w:r w:rsidRPr="00E67E52">
        <w:rPr>
          <w:rFonts w:ascii="Book Antiqua" w:hAnsi="Book Antiqua"/>
          <w:i/>
          <w:iCs/>
        </w:rPr>
        <w:t>J Pediatr Gastroenterol Nutr</w:t>
      </w:r>
      <w:r w:rsidRPr="00E67E52">
        <w:rPr>
          <w:rFonts w:ascii="Book Antiqua" w:hAnsi="Book Antiqua"/>
        </w:rPr>
        <w:t> 2020; </w:t>
      </w:r>
      <w:r w:rsidRPr="00E67E52">
        <w:rPr>
          <w:rFonts w:ascii="Book Antiqua" w:hAnsi="Book Antiqua"/>
          <w:b/>
          <w:bCs/>
        </w:rPr>
        <w:t>70</w:t>
      </w:r>
      <w:r w:rsidRPr="00E67E52">
        <w:rPr>
          <w:rFonts w:ascii="Book Antiqua" w:hAnsi="Book Antiqua"/>
        </w:rPr>
        <w:t>: 141-156 [</w:t>
      </w:r>
      <w:bookmarkStart w:id="64" w:name="OLE_LINK20"/>
      <w:bookmarkStart w:id="65" w:name="OLE_LINK21"/>
      <w:r w:rsidRPr="00E67E52">
        <w:rPr>
          <w:rFonts w:ascii="Book Antiqua" w:hAnsi="Book Antiqua"/>
        </w:rPr>
        <w:t>PMID: 31568151</w:t>
      </w:r>
      <w:bookmarkEnd w:id="64"/>
      <w:bookmarkEnd w:id="65"/>
      <w:r w:rsidRPr="00E67E52">
        <w:rPr>
          <w:rFonts w:ascii="Book Antiqua" w:hAnsi="Book Antiqua"/>
        </w:rPr>
        <w:t xml:space="preserve"> DOI: 10.1097/MPG.0000000000002497]</w:t>
      </w:r>
    </w:p>
    <w:p w14:paraId="46ACBB7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31 </w:t>
      </w:r>
      <w:r w:rsidRPr="00E67E52">
        <w:rPr>
          <w:rFonts w:ascii="Book Antiqua" w:hAnsi="Book Antiqua"/>
          <w:b/>
          <w:bCs/>
        </w:rPr>
        <w:t>Shannahan S</w:t>
      </w:r>
      <w:r w:rsidRPr="00E67E52">
        <w:rPr>
          <w:rFonts w:ascii="Book Antiqua" w:hAnsi="Book Antiqua"/>
        </w:rPr>
        <w:t>, Leffler DA. Diagnosis and Updates in Celiac Disease. </w:t>
      </w:r>
      <w:r w:rsidRPr="00E67E52">
        <w:rPr>
          <w:rFonts w:ascii="Book Antiqua" w:hAnsi="Book Antiqua"/>
          <w:i/>
          <w:iCs/>
        </w:rPr>
        <w:t>Gastrointest Endosc Clin N Am</w:t>
      </w:r>
      <w:r w:rsidRPr="00E67E52">
        <w:rPr>
          <w:rFonts w:ascii="Book Antiqua" w:hAnsi="Book Antiqua"/>
        </w:rPr>
        <w:t> 2017; </w:t>
      </w:r>
      <w:r w:rsidRPr="00E67E52">
        <w:rPr>
          <w:rFonts w:ascii="Book Antiqua" w:hAnsi="Book Antiqua"/>
          <w:b/>
          <w:bCs/>
        </w:rPr>
        <w:t>27</w:t>
      </w:r>
      <w:r w:rsidRPr="00E67E52">
        <w:rPr>
          <w:rFonts w:ascii="Book Antiqua" w:hAnsi="Book Antiqua"/>
        </w:rPr>
        <w:t>: 79-92 [PMID: 27908520 DOI: 10.1016/j.giec.2016.08.011]</w:t>
      </w:r>
    </w:p>
    <w:p w14:paraId="6BA0A0B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32 </w:t>
      </w:r>
      <w:r w:rsidRPr="00E67E52">
        <w:rPr>
          <w:rFonts w:ascii="Book Antiqua" w:hAnsi="Book Antiqua"/>
          <w:b/>
          <w:bCs/>
        </w:rPr>
        <w:t>McCarty TR</w:t>
      </w:r>
      <w:r w:rsidRPr="00E67E52">
        <w:rPr>
          <w:rFonts w:ascii="Book Antiqua" w:hAnsi="Book Antiqua"/>
        </w:rPr>
        <w:t>, O'Brien CR, Gremida A, Ling C, Rustagi T. Efficacy of duodenal bulb biopsy for diagnosis of celiac disease: a systematic review and meta-analysis. </w:t>
      </w:r>
      <w:r w:rsidRPr="00E67E52">
        <w:rPr>
          <w:rFonts w:ascii="Book Antiqua" w:hAnsi="Book Antiqua"/>
          <w:i/>
          <w:iCs/>
        </w:rPr>
        <w:t>Endosc Int Open</w:t>
      </w:r>
      <w:r w:rsidRPr="00E67E52">
        <w:rPr>
          <w:rFonts w:ascii="Book Antiqua" w:hAnsi="Book Antiqua"/>
        </w:rPr>
        <w:t> 2018; </w:t>
      </w:r>
      <w:r w:rsidRPr="00E67E52">
        <w:rPr>
          <w:rFonts w:ascii="Book Antiqua" w:hAnsi="Book Antiqua"/>
          <w:b/>
          <w:bCs/>
        </w:rPr>
        <w:t>6</w:t>
      </w:r>
      <w:r w:rsidRPr="00E67E52">
        <w:rPr>
          <w:rFonts w:ascii="Book Antiqua" w:hAnsi="Book Antiqua"/>
        </w:rPr>
        <w:t>: E1369-E1378 [PMID: 30410959 DOI: 10.1055/a-0732-5060]</w:t>
      </w:r>
    </w:p>
    <w:p w14:paraId="0C4185B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33 </w:t>
      </w:r>
      <w:r w:rsidRPr="00E67E52">
        <w:rPr>
          <w:rFonts w:ascii="Book Antiqua" w:hAnsi="Book Antiqua"/>
          <w:b/>
          <w:bCs/>
        </w:rPr>
        <w:t>Tye-Din JA</w:t>
      </w:r>
      <w:r w:rsidRPr="00E67E52">
        <w:rPr>
          <w:rFonts w:ascii="Book Antiqua" w:hAnsi="Book Antiqua"/>
        </w:rPr>
        <w:t>, Galipeau HJ, Agardh D. Celiac Disease: A Review of Current Concepts in Pathogenesis, Prevention, and Novel Therapies. </w:t>
      </w:r>
      <w:r w:rsidRPr="00E67E52">
        <w:rPr>
          <w:rFonts w:ascii="Book Antiqua" w:hAnsi="Book Antiqua"/>
          <w:i/>
          <w:iCs/>
        </w:rPr>
        <w:t>Front Pediatr</w:t>
      </w:r>
      <w:r w:rsidRPr="00E67E52">
        <w:rPr>
          <w:rFonts w:ascii="Book Antiqua" w:hAnsi="Book Antiqua"/>
        </w:rPr>
        <w:t> 2018; </w:t>
      </w:r>
      <w:r w:rsidRPr="00E67E52">
        <w:rPr>
          <w:rFonts w:ascii="Book Antiqua" w:hAnsi="Book Antiqua"/>
          <w:b/>
          <w:bCs/>
        </w:rPr>
        <w:t>6</w:t>
      </w:r>
      <w:r w:rsidRPr="00E67E52">
        <w:rPr>
          <w:rFonts w:ascii="Book Antiqua" w:hAnsi="Book Antiqua"/>
        </w:rPr>
        <w:t>: 350 [PMID: 30519552 DOI: 10.3389/fped.2018.00350]</w:t>
      </w:r>
    </w:p>
    <w:p w14:paraId="48B26D4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34 </w:t>
      </w:r>
      <w:r w:rsidRPr="00E67E52">
        <w:rPr>
          <w:rFonts w:ascii="Book Antiqua" w:hAnsi="Book Antiqua"/>
          <w:b/>
          <w:bCs/>
        </w:rPr>
        <w:t>Rubio-Tapia A</w:t>
      </w:r>
      <w:r w:rsidRPr="00E67E52">
        <w:rPr>
          <w:rFonts w:ascii="Book Antiqua" w:hAnsi="Book Antiqua"/>
        </w:rPr>
        <w:t>, Hill ID, Kelly CP, Calderwood AH, Murray JA; American College of Gastroenterology. ACG clinical guidelines: diagnosis and management of celiac disease. </w:t>
      </w:r>
      <w:r w:rsidRPr="00E67E52">
        <w:rPr>
          <w:rFonts w:ascii="Book Antiqua" w:hAnsi="Book Antiqua"/>
          <w:i/>
          <w:iCs/>
        </w:rPr>
        <w:t>Am J Gastroenterol</w:t>
      </w:r>
      <w:r w:rsidRPr="00E67E52">
        <w:rPr>
          <w:rFonts w:ascii="Book Antiqua" w:hAnsi="Book Antiqua"/>
        </w:rPr>
        <w:t> 2013; </w:t>
      </w:r>
      <w:r w:rsidRPr="00E67E52">
        <w:rPr>
          <w:rFonts w:ascii="Book Antiqua" w:hAnsi="Book Antiqua"/>
          <w:b/>
          <w:bCs/>
        </w:rPr>
        <w:t>108</w:t>
      </w:r>
      <w:r w:rsidRPr="00E67E52">
        <w:rPr>
          <w:rFonts w:ascii="Book Antiqua" w:hAnsi="Book Antiqua"/>
        </w:rPr>
        <w:t>: 656-76; quiz 677 [PMID: 23609613 DOI: 10.1038/ajg.2013.79]</w:t>
      </w:r>
    </w:p>
    <w:p w14:paraId="001638E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35 </w:t>
      </w:r>
      <w:r w:rsidRPr="00E67E52">
        <w:rPr>
          <w:rFonts w:ascii="Book Antiqua" w:hAnsi="Book Antiqua"/>
          <w:b/>
          <w:bCs/>
        </w:rPr>
        <w:t>Tio M</w:t>
      </w:r>
      <w:r w:rsidRPr="00E67E52">
        <w:rPr>
          <w:rFonts w:ascii="Book Antiqua" w:hAnsi="Book Antiqua"/>
        </w:rPr>
        <w:t>, Cox MR, Eslick GD. Meta-analysis: coeliac disease and the risk of all-cause mortality, any malignancy and lymphoid malignancy. </w:t>
      </w:r>
      <w:r w:rsidRPr="00E67E52">
        <w:rPr>
          <w:rFonts w:ascii="Book Antiqua" w:hAnsi="Book Antiqua"/>
          <w:i/>
          <w:iCs/>
        </w:rPr>
        <w:t>Aliment Pharmacol Ther</w:t>
      </w:r>
      <w:r w:rsidRPr="00E67E52">
        <w:rPr>
          <w:rFonts w:ascii="Book Antiqua" w:hAnsi="Book Antiqua"/>
        </w:rPr>
        <w:t> 2012; </w:t>
      </w:r>
      <w:r w:rsidRPr="00E67E52">
        <w:rPr>
          <w:rFonts w:ascii="Book Antiqua" w:hAnsi="Book Antiqua"/>
          <w:b/>
          <w:bCs/>
        </w:rPr>
        <w:t>35</w:t>
      </w:r>
      <w:r w:rsidRPr="00E67E52">
        <w:rPr>
          <w:rFonts w:ascii="Book Antiqua" w:hAnsi="Book Antiqua"/>
        </w:rPr>
        <w:t>: 540-551 [PMID: 22239821 DOI: 10.1111/j.1365-2036.2011.04972.x]</w:t>
      </w:r>
    </w:p>
    <w:p w14:paraId="6F92753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36 </w:t>
      </w:r>
      <w:r w:rsidRPr="00E67E52">
        <w:rPr>
          <w:rFonts w:ascii="Book Antiqua" w:hAnsi="Book Antiqua"/>
          <w:b/>
          <w:bCs/>
        </w:rPr>
        <w:t>Anderson LA</w:t>
      </w:r>
      <w:r w:rsidRPr="00E67E52">
        <w:rPr>
          <w:rFonts w:ascii="Book Antiqua" w:hAnsi="Book Antiqua"/>
        </w:rPr>
        <w:t>, McMillan SA, Watson RG, Monaghan P, Gavin AT, Fox C, Murray LJ. Malignancy and mortality in a population-based cohort of patients with coeliac disease or "gluten sensitivity". </w:t>
      </w:r>
      <w:r w:rsidRPr="00E67E52">
        <w:rPr>
          <w:rFonts w:ascii="Book Antiqua" w:hAnsi="Book Antiqua"/>
          <w:i/>
          <w:iCs/>
        </w:rPr>
        <w:t>World J Gastroenterol</w:t>
      </w:r>
      <w:r w:rsidRPr="00E67E52">
        <w:rPr>
          <w:rFonts w:ascii="Book Antiqua" w:hAnsi="Book Antiqua"/>
        </w:rPr>
        <w:t> 2007; </w:t>
      </w:r>
      <w:r w:rsidRPr="00E67E52">
        <w:rPr>
          <w:rFonts w:ascii="Book Antiqua" w:hAnsi="Book Antiqua"/>
          <w:b/>
          <w:bCs/>
        </w:rPr>
        <w:t>13</w:t>
      </w:r>
      <w:r w:rsidRPr="00E67E52">
        <w:rPr>
          <w:rFonts w:ascii="Book Antiqua" w:hAnsi="Book Antiqua"/>
        </w:rPr>
        <w:t>: 146-151 [PMID: 17206762 DOI: 10.3748/wjg.v13.i1.146]</w:t>
      </w:r>
    </w:p>
    <w:p w14:paraId="60A6F999"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37 </w:t>
      </w:r>
      <w:r w:rsidRPr="00E67E52">
        <w:rPr>
          <w:rFonts w:ascii="Book Antiqua" w:hAnsi="Book Antiqua"/>
          <w:b/>
          <w:bCs/>
        </w:rPr>
        <w:t>Holmes GKT</w:t>
      </w:r>
      <w:r w:rsidRPr="00E67E52">
        <w:rPr>
          <w:rFonts w:ascii="Book Antiqua" w:hAnsi="Book Antiqua"/>
        </w:rPr>
        <w:t>, Muirhead A. Mortality in coeliac disease: a population-based cohort study from a single centre in Southern Derbyshire, UK. </w:t>
      </w:r>
      <w:r w:rsidRPr="00E67E52">
        <w:rPr>
          <w:rFonts w:ascii="Book Antiqua" w:hAnsi="Book Antiqua"/>
          <w:i/>
          <w:iCs/>
        </w:rPr>
        <w:t>BMJ Open Gastroenterol</w:t>
      </w:r>
      <w:r w:rsidRPr="00E67E52">
        <w:rPr>
          <w:rFonts w:ascii="Book Antiqua" w:hAnsi="Book Antiqua"/>
        </w:rPr>
        <w:t> 2018; </w:t>
      </w:r>
      <w:r w:rsidRPr="00E67E52">
        <w:rPr>
          <w:rFonts w:ascii="Book Antiqua" w:hAnsi="Book Antiqua"/>
          <w:b/>
          <w:bCs/>
        </w:rPr>
        <w:t>5</w:t>
      </w:r>
      <w:r w:rsidRPr="00E67E52">
        <w:rPr>
          <w:rFonts w:ascii="Book Antiqua" w:hAnsi="Book Antiqua"/>
        </w:rPr>
        <w:t>: e000201 [PMID: 29686881 DOI: 10.1136/bmjgast-2018-000201]</w:t>
      </w:r>
    </w:p>
    <w:p w14:paraId="00C2429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38 </w:t>
      </w:r>
      <w:r w:rsidRPr="00E67E52">
        <w:rPr>
          <w:rFonts w:ascii="Book Antiqua" w:hAnsi="Book Antiqua"/>
          <w:b/>
          <w:bCs/>
        </w:rPr>
        <w:t>Corrao G</w:t>
      </w:r>
      <w:r w:rsidRPr="00E67E52">
        <w:rPr>
          <w:rFonts w:ascii="Book Antiqua" w:hAnsi="Book Antiqua"/>
        </w:rPr>
        <w:t xml:space="preserve">, Corazza GR, Bagnardi V, Brusco G, Ciacci C, Cottone M, Sategna Guidetti C, Usai P, Cesari P, Pelli MA, Loperfido S, Volta U, Calabró A, Certo M; Club del Tenue </w:t>
      </w:r>
      <w:r w:rsidRPr="00E67E52">
        <w:rPr>
          <w:rFonts w:ascii="Book Antiqua" w:hAnsi="Book Antiqua"/>
        </w:rPr>
        <w:lastRenderedPageBreak/>
        <w:t>Study Group. Mortality in patients with coeliac disease and their relatives: a cohort study. </w:t>
      </w:r>
      <w:r w:rsidRPr="00E67E52">
        <w:rPr>
          <w:rFonts w:ascii="Book Antiqua" w:hAnsi="Book Antiqua"/>
          <w:i/>
          <w:iCs/>
        </w:rPr>
        <w:t>Lancet</w:t>
      </w:r>
      <w:r w:rsidRPr="00E67E52">
        <w:rPr>
          <w:rFonts w:ascii="Book Antiqua" w:hAnsi="Book Antiqua"/>
        </w:rPr>
        <w:t> 2001; </w:t>
      </w:r>
      <w:r w:rsidRPr="00E67E52">
        <w:rPr>
          <w:rFonts w:ascii="Book Antiqua" w:hAnsi="Book Antiqua"/>
          <w:b/>
          <w:bCs/>
        </w:rPr>
        <w:t>358</w:t>
      </w:r>
      <w:r w:rsidRPr="00E67E52">
        <w:rPr>
          <w:rFonts w:ascii="Book Antiqua" w:hAnsi="Book Antiqua"/>
        </w:rPr>
        <w:t>: 356-361 [PMID: 11502314 DOI: 10.1016/s0140-6736(01)05554-4]</w:t>
      </w:r>
    </w:p>
    <w:p w14:paraId="3780824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39 </w:t>
      </w:r>
      <w:r w:rsidRPr="00E67E52">
        <w:rPr>
          <w:rFonts w:ascii="Book Antiqua" w:hAnsi="Book Antiqua"/>
          <w:b/>
          <w:bCs/>
        </w:rPr>
        <w:t>Ludvigsson JF</w:t>
      </w:r>
      <w:r w:rsidRPr="00E67E52">
        <w:rPr>
          <w:rFonts w:ascii="Book Antiqua" w:hAnsi="Book Antiqua"/>
        </w:rPr>
        <w:t>, Montgomery SM, Ekbom A, Brandt L, Granath F. Small-intestinal histopathology and mortality risk in celiac disease. </w:t>
      </w:r>
      <w:r w:rsidRPr="00E67E52">
        <w:rPr>
          <w:rFonts w:ascii="Book Antiqua" w:hAnsi="Book Antiqua"/>
          <w:i/>
          <w:iCs/>
        </w:rPr>
        <w:t>JAMA</w:t>
      </w:r>
      <w:r w:rsidRPr="00E67E52">
        <w:rPr>
          <w:rFonts w:ascii="Book Antiqua" w:hAnsi="Book Antiqua"/>
        </w:rPr>
        <w:t> 2009; </w:t>
      </w:r>
      <w:r w:rsidRPr="00E67E52">
        <w:rPr>
          <w:rFonts w:ascii="Book Antiqua" w:hAnsi="Book Antiqua"/>
          <w:b/>
          <w:bCs/>
        </w:rPr>
        <w:t>302</w:t>
      </w:r>
      <w:r w:rsidRPr="00E67E52">
        <w:rPr>
          <w:rFonts w:ascii="Book Antiqua" w:hAnsi="Book Antiqua"/>
        </w:rPr>
        <w:t>: 1171-1178 [PMID: 19755695 DOI: 10.1001/jama.2009.1320]</w:t>
      </w:r>
    </w:p>
    <w:p w14:paraId="5813A4B5"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40 </w:t>
      </w:r>
      <w:r w:rsidRPr="00E67E52">
        <w:rPr>
          <w:rFonts w:ascii="Book Antiqua" w:hAnsi="Book Antiqua"/>
          <w:b/>
          <w:bCs/>
        </w:rPr>
        <w:t>West J</w:t>
      </w:r>
      <w:r w:rsidRPr="00E67E52">
        <w:rPr>
          <w:rFonts w:ascii="Book Antiqua" w:hAnsi="Book Antiqua"/>
        </w:rPr>
        <w:t>, Logan RF, Smith CJ, Hubbard RB, Card TR. Malignancy and mortality in people with coeliac disease: population based cohort study. </w:t>
      </w:r>
      <w:r w:rsidRPr="00E67E52">
        <w:rPr>
          <w:rFonts w:ascii="Book Antiqua" w:hAnsi="Book Antiqua"/>
          <w:i/>
          <w:iCs/>
        </w:rPr>
        <w:t>BMJ</w:t>
      </w:r>
      <w:r w:rsidRPr="00E67E52">
        <w:rPr>
          <w:rFonts w:ascii="Book Antiqua" w:hAnsi="Book Antiqua"/>
        </w:rPr>
        <w:t> 2004; </w:t>
      </w:r>
      <w:r w:rsidRPr="00E67E52">
        <w:rPr>
          <w:rFonts w:ascii="Book Antiqua" w:hAnsi="Book Antiqua"/>
          <w:b/>
          <w:bCs/>
        </w:rPr>
        <w:t>329</w:t>
      </w:r>
      <w:r w:rsidRPr="00E67E52">
        <w:rPr>
          <w:rFonts w:ascii="Book Antiqua" w:hAnsi="Book Antiqua"/>
        </w:rPr>
        <w:t>: 716-719 [PMID: 15269095 DOI: 10.1136/bmj.38169.486701.7C]</w:t>
      </w:r>
    </w:p>
    <w:p w14:paraId="04A285C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41 </w:t>
      </w:r>
      <w:r w:rsidRPr="00E67E52">
        <w:rPr>
          <w:rFonts w:ascii="Book Antiqua" w:hAnsi="Book Antiqua"/>
          <w:b/>
          <w:bCs/>
        </w:rPr>
        <w:t>Quarpong W</w:t>
      </w:r>
      <w:r w:rsidRPr="00E67E52">
        <w:rPr>
          <w:rFonts w:ascii="Book Antiqua" w:hAnsi="Book Antiqua"/>
        </w:rPr>
        <w:t>, Card TR, West J, Solaymani-Dodaran M, Logan RF, Grainge MJ. Mortality in people with coeliac disease: Long-term follow-up from a Scottish cohort. </w:t>
      </w:r>
      <w:r w:rsidRPr="00E67E52">
        <w:rPr>
          <w:rFonts w:ascii="Book Antiqua" w:hAnsi="Book Antiqua"/>
          <w:i/>
          <w:iCs/>
        </w:rPr>
        <w:t>United European Gastroenterol J</w:t>
      </w:r>
      <w:r w:rsidRPr="00E67E52">
        <w:rPr>
          <w:rFonts w:ascii="Book Antiqua" w:hAnsi="Book Antiqua"/>
        </w:rPr>
        <w:t> 2019; </w:t>
      </w:r>
      <w:r w:rsidRPr="00E67E52">
        <w:rPr>
          <w:rFonts w:ascii="Book Antiqua" w:hAnsi="Book Antiqua"/>
          <w:b/>
          <w:bCs/>
        </w:rPr>
        <w:t>7</w:t>
      </w:r>
      <w:r w:rsidRPr="00E67E52">
        <w:rPr>
          <w:rFonts w:ascii="Book Antiqua" w:hAnsi="Book Antiqua"/>
        </w:rPr>
        <w:t>: 377-387 [PMID: 31019706 DOI: 10.1177/2050640618814662]</w:t>
      </w:r>
    </w:p>
    <w:p w14:paraId="69F3DF5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42 </w:t>
      </w:r>
      <w:r w:rsidRPr="00E67E52">
        <w:rPr>
          <w:rFonts w:ascii="Book Antiqua" w:hAnsi="Book Antiqua"/>
          <w:b/>
          <w:bCs/>
        </w:rPr>
        <w:t>Abdul Sultan A</w:t>
      </w:r>
      <w:r w:rsidRPr="00E67E52">
        <w:rPr>
          <w:rFonts w:ascii="Book Antiqua" w:hAnsi="Book Antiqua"/>
        </w:rPr>
        <w:t>, Crooks CJ, Card T, Tata LJ, Fleming KM, West J. Causes of death in people with coeliac disease in England compared with the general population: a competing risk analysis. </w:t>
      </w:r>
      <w:r w:rsidRPr="00E67E52">
        <w:rPr>
          <w:rFonts w:ascii="Book Antiqua" w:hAnsi="Book Antiqua"/>
          <w:i/>
          <w:iCs/>
        </w:rPr>
        <w:t>Gut</w:t>
      </w:r>
      <w:r w:rsidRPr="00E67E52">
        <w:rPr>
          <w:rFonts w:ascii="Book Antiqua" w:hAnsi="Book Antiqua"/>
        </w:rPr>
        <w:t> 2015; </w:t>
      </w:r>
      <w:r w:rsidRPr="00E67E52">
        <w:rPr>
          <w:rFonts w:ascii="Book Antiqua" w:hAnsi="Book Antiqua"/>
          <w:b/>
          <w:bCs/>
        </w:rPr>
        <w:t>64</w:t>
      </w:r>
      <w:r w:rsidRPr="00E67E52">
        <w:rPr>
          <w:rFonts w:ascii="Book Antiqua" w:hAnsi="Book Antiqua"/>
        </w:rPr>
        <w:t>: 1220-1226 [PMID: 25344479 DOI: 10.1136/gutjnl-2014-308285]</w:t>
      </w:r>
    </w:p>
    <w:p w14:paraId="4BCBEC9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43 </w:t>
      </w:r>
      <w:r w:rsidRPr="00E67E52">
        <w:rPr>
          <w:rFonts w:ascii="Book Antiqua" w:hAnsi="Book Antiqua"/>
          <w:b/>
          <w:bCs/>
        </w:rPr>
        <w:t>Lebwohl B</w:t>
      </w:r>
      <w:r w:rsidRPr="00E67E52">
        <w:rPr>
          <w:rFonts w:ascii="Book Antiqua" w:hAnsi="Book Antiqua"/>
        </w:rPr>
        <w:t>, Green PHR, Söderling J, Roelstraete B, Ludvigsson JF. Association Between Celiac Disease and Mortality Risk in a Swedish Population. </w:t>
      </w:r>
      <w:r w:rsidRPr="00E67E52">
        <w:rPr>
          <w:rFonts w:ascii="Book Antiqua" w:hAnsi="Book Antiqua"/>
          <w:i/>
          <w:iCs/>
        </w:rPr>
        <w:t>JAMA</w:t>
      </w:r>
      <w:r w:rsidRPr="00E67E52">
        <w:rPr>
          <w:rFonts w:ascii="Book Antiqua" w:hAnsi="Book Antiqua"/>
        </w:rPr>
        <w:t> 2020; </w:t>
      </w:r>
      <w:r w:rsidRPr="00E67E52">
        <w:rPr>
          <w:rFonts w:ascii="Book Antiqua" w:hAnsi="Book Antiqua"/>
          <w:b/>
          <w:bCs/>
        </w:rPr>
        <w:t>323</w:t>
      </w:r>
      <w:r w:rsidRPr="00E67E52">
        <w:rPr>
          <w:rFonts w:ascii="Book Antiqua" w:hAnsi="Book Antiqua"/>
        </w:rPr>
        <w:t>: 1277-1285 [PMID: 32259229 DOI: 10.1001/jama.2020.1943]</w:t>
      </w:r>
    </w:p>
    <w:p w14:paraId="69402A7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44 </w:t>
      </w:r>
      <w:r w:rsidRPr="00E67E52">
        <w:rPr>
          <w:rFonts w:ascii="Book Antiqua" w:hAnsi="Book Antiqua"/>
          <w:b/>
          <w:bCs/>
        </w:rPr>
        <w:t>Balakireva AV</w:t>
      </w:r>
      <w:r w:rsidRPr="00E67E52">
        <w:rPr>
          <w:rFonts w:ascii="Book Antiqua" w:hAnsi="Book Antiqua"/>
        </w:rPr>
        <w:t>, Zamyatnin AA. Properties of Gluten Intolerance: Gluten Structure, Evolution, Pathogenicity and Detoxification Capabilities. </w:t>
      </w:r>
      <w:r w:rsidRPr="00E67E52">
        <w:rPr>
          <w:rFonts w:ascii="Book Antiqua" w:hAnsi="Book Antiqua"/>
          <w:i/>
          <w:iCs/>
        </w:rPr>
        <w:t>Nutrients</w:t>
      </w:r>
      <w:r w:rsidRPr="00E67E52">
        <w:rPr>
          <w:rFonts w:ascii="Book Antiqua" w:hAnsi="Book Antiqua"/>
        </w:rPr>
        <w:t> 2016; </w:t>
      </w:r>
      <w:r w:rsidRPr="00E67E52">
        <w:rPr>
          <w:rFonts w:ascii="Book Antiqua" w:hAnsi="Book Antiqua"/>
          <w:b/>
          <w:bCs/>
        </w:rPr>
        <w:t>8</w:t>
      </w:r>
      <w:r w:rsidRPr="00E67E52">
        <w:rPr>
          <w:rFonts w:ascii="Book Antiqua" w:hAnsi="Book Antiqua"/>
        </w:rPr>
        <w:t> [PMID: 27763541 DOI: 10.3390/nu8100644]</w:t>
      </w:r>
    </w:p>
    <w:p w14:paraId="5DAA916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45 </w:t>
      </w:r>
      <w:r w:rsidRPr="00E67E52">
        <w:rPr>
          <w:rFonts w:ascii="Book Antiqua" w:hAnsi="Book Antiqua"/>
          <w:b/>
          <w:bCs/>
        </w:rPr>
        <w:t>Baggus EMR</w:t>
      </w:r>
      <w:r w:rsidRPr="00E67E52">
        <w:rPr>
          <w:rFonts w:ascii="Book Antiqua" w:hAnsi="Book Antiqua"/>
        </w:rPr>
        <w:t>, Hadjivassiliou M, Cross S, Penny H, Urwin H, Watson S, Woodward JM, Sanders DS. How to manage adult coeliac disease: perspective from the NHS England Rare Diseases Collaborative Network for Non-Responsive and Refractory Coeliac Disease. </w:t>
      </w:r>
      <w:r w:rsidRPr="00E67E52">
        <w:rPr>
          <w:rFonts w:ascii="Book Antiqua" w:hAnsi="Book Antiqua"/>
          <w:i/>
          <w:iCs/>
        </w:rPr>
        <w:t>Frontline Gastroenterol</w:t>
      </w:r>
      <w:r w:rsidRPr="00E67E52">
        <w:rPr>
          <w:rFonts w:ascii="Book Antiqua" w:hAnsi="Book Antiqua"/>
        </w:rPr>
        <w:t> 2020; </w:t>
      </w:r>
      <w:r w:rsidRPr="00E67E52">
        <w:rPr>
          <w:rFonts w:ascii="Book Antiqua" w:hAnsi="Book Antiqua"/>
          <w:b/>
          <w:bCs/>
        </w:rPr>
        <w:t>11</w:t>
      </w:r>
      <w:r w:rsidRPr="00E67E52">
        <w:rPr>
          <w:rFonts w:ascii="Book Antiqua" w:hAnsi="Book Antiqua"/>
        </w:rPr>
        <w:t>: 235-242 [PMID: 32419915 DOI: 10.1136/flgastro-2019-101191]</w:t>
      </w:r>
    </w:p>
    <w:p w14:paraId="73997C7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46 </w:t>
      </w:r>
      <w:r w:rsidRPr="00E67E52">
        <w:rPr>
          <w:rFonts w:ascii="Book Antiqua" w:hAnsi="Book Antiqua"/>
          <w:b/>
          <w:bCs/>
        </w:rPr>
        <w:t>Yoosuf S</w:t>
      </w:r>
      <w:r w:rsidRPr="00E67E52">
        <w:rPr>
          <w:rFonts w:ascii="Book Antiqua" w:hAnsi="Book Antiqua"/>
        </w:rPr>
        <w:t>, Makharia GK. Evolving Therapy for Celiac Disease. </w:t>
      </w:r>
      <w:r w:rsidRPr="00E67E52">
        <w:rPr>
          <w:rFonts w:ascii="Book Antiqua" w:hAnsi="Book Antiqua"/>
          <w:i/>
          <w:iCs/>
        </w:rPr>
        <w:t>Front Pediatr</w:t>
      </w:r>
      <w:r w:rsidRPr="00E67E52">
        <w:rPr>
          <w:rFonts w:ascii="Book Antiqua" w:hAnsi="Book Antiqua"/>
        </w:rPr>
        <w:t> 2019; </w:t>
      </w:r>
      <w:r w:rsidRPr="00E67E52">
        <w:rPr>
          <w:rFonts w:ascii="Book Antiqua" w:hAnsi="Book Antiqua"/>
          <w:b/>
          <w:bCs/>
        </w:rPr>
        <w:t>7</w:t>
      </w:r>
      <w:r w:rsidRPr="00E67E52">
        <w:rPr>
          <w:rFonts w:ascii="Book Antiqua" w:hAnsi="Book Antiqua"/>
        </w:rPr>
        <w:t>: 193 [PMID: 31157194 DOI: 10.3389/fped.2019.00193]</w:t>
      </w:r>
    </w:p>
    <w:p w14:paraId="62484C0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47 </w:t>
      </w:r>
      <w:r w:rsidRPr="00E67E52">
        <w:rPr>
          <w:rFonts w:ascii="Book Antiqua" w:hAnsi="Book Antiqua"/>
          <w:b/>
          <w:bCs/>
        </w:rPr>
        <w:t>Vilppula A</w:t>
      </w:r>
      <w:r w:rsidRPr="00E67E52">
        <w:rPr>
          <w:rFonts w:ascii="Book Antiqua" w:hAnsi="Book Antiqua"/>
        </w:rPr>
        <w:t>, Kaukinen K, Luostarinen L, Krekelä I, Patrikainen H, Valve R, Luostarinen M, Laurila K, Mäki M, Collin P. Clinical benefit of gluten-free diet in screen-detected older celiac disease patients. </w:t>
      </w:r>
      <w:r w:rsidRPr="00E67E52">
        <w:rPr>
          <w:rFonts w:ascii="Book Antiqua" w:hAnsi="Book Antiqua"/>
          <w:i/>
          <w:iCs/>
        </w:rPr>
        <w:t>BMC Gastroenterol</w:t>
      </w:r>
      <w:r w:rsidRPr="00E67E52">
        <w:rPr>
          <w:rFonts w:ascii="Book Antiqua" w:hAnsi="Book Antiqua"/>
        </w:rPr>
        <w:t> 2011; </w:t>
      </w:r>
      <w:r w:rsidRPr="00E67E52">
        <w:rPr>
          <w:rFonts w:ascii="Book Antiqua" w:hAnsi="Book Antiqua"/>
          <w:b/>
          <w:bCs/>
        </w:rPr>
        <w:t>11</w:t>
      </w:r>
      <w:r w:rsidRPr="00E67E52">
        <w:rPr>
          <w:rFonts w:ascii="Book Antiqua" w:hAnsi="Book Antiqua"/>
        </w:rPr>
        <w:t>: 136 [</w:t>
      </w:r>
      <w:bookmarkStart w:id="66" w:name="OLE_LINK22"/>
      <w:r w:rsidRPr="00E67E52">
        <w:rPr>
          <w:rFonts w:ascii="Book Antiqua" w:hAnsi="Book Antiqua"/>
        </w:rPr>
        <w:t>PMID: 22176557</w:t>
      </w:r>
      <w:bookmarkEnd w:id="66"/>
      <w:r w:rsidRPr="00E67E52">
        <w:rPr>
          <w:rFonts w:ascii="Book Antiqua" w:hAnsi="Book Antiqua"/>
        </w:rPr>
        <w:t xml:space="preserve"> DOI: 10.1186/1471-230X-11-136]</w:t>
      </w:r>
    </w:p>
    <w:p w14:paraId="0A9972F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48 </w:t>
      </w:r>
      <w:r w:rsidRPr="00E67E52">
        <w:rPr>
          <w:rFonts w:ascii="Book Antiqua" w:hAnsi="Book Antiqua"/>
          <w:b/>
          <w:bCs/>
        </w:rPr>
        <w:t>Weisbrod VM</w:t>
      </w:r>
      <w:r w:rsidRPr="00E67E52">
        <w:rPr>
          <w:rFonts w:ascii="Book Antiqua" w:hAnsi="Book Antiqua"/>
        </w:rPr>
        <w:t>, Silvester JA, Raber C, Suslovic W, Coburn SS, Raber B, McMahon J, Damast A, Kramer Z, Kerzner B. A Quantitative Assessment of Gluten Cross-contact in the School Environment for Children With Celiac Disease. </w:t>
      </w:r>
      <w:r w:rsidRPr="00E67E52">
        <w:rPr>
          <w:rFonts w:ascii="Book Antiqua" w:hAnsi="Book Antiqua"/>
          <w:i/>
          <w:iCs/>
        </w:rPr>
        <w:t>J Pediatr Gastroenterol Nutr</w:t>
      </w:r>
      <w:r w:rsidRPr="00E67E52">
        <w:rPr>
          <w:rFonts w:ascii="Book Antiqua" w:hAnsi="Book Antiqua"/>
        </w:rPr>
        <w:t> 2020; </w:t>
      </w:r>
      <w:r w:rsidRPr="00E67E52">
        <w:rPr>
          <w:rFonts w:ascii="Book Antiqua" w:hAnsi="Book Antiqua"/>
          <w:b/>
          <w:bCs/>
        </w:rPr>
        <w:t>70</w:t>
      </w:r>
      <w:r w:rsidRPr="00E67E52">
        <w:rPr>
          <w:rFonts w:ascii="Book Antiqua" w:hAnsi="Book Antiqua"/>
        </w:rPr>
        <w:t>: 289-294 [PMID: 31868785 DOI: 10.1097/MPG.0000000000002588]</w:t>
      </w:r>
    </w:p>
    <w:p w14:paraId="3BDB95E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49 </w:t>
      </w:r>
      <w:r w:rsidRPr="00E67E52">
        <w:rPr>
          <w:rFonts w:ascii="Book Antiqua" w:hAnsi="Book Antiqua"/>
          <w:b/>
          <w:bCs/>
        </w:rPr>
        <w:t>Daveson AJM,</w:t>
      </w:r>
      <w:r w:rsidRPr="00E67E52">
        <w:rPr>
          <w:rFonts w:ascii="Book Antiqua" w:hAnsi="Book Antiqua"/>
        </w:rPr>
        <w:t xml:space="preserve"> Popp A, Taavela J, Goldstein KE, Isola J, Truitt KE, Mäki M, Anderson RP, Group tRCS. </w:t>
      </w:r>
      <w:bookmarkStart w:id="67" w:name="OLE_LINK23"/>
      <w:r w:rsidRPr="00E67E52">
        <w:rPr>
          <w:rFonts w:ascii="Book Antiqua" w:hAnsi="Book Antiqua"/>
        </w:rPr>
        <w:t>Baseline quantitative histology in therapeutics trials reveals villus atrophy in most patients with coeliac disease who appear well controlled on gluten-free diet</w:t>
      </w:r>
      <w:bookmarkEnd w:id="67"/>
      <w:r w:rsidRPr="00E67E52">
        <w:rPr>
          <w:rFonts w:ascii="Book Antiqua" w:hAnsi="Book Antiqua"/>
        </w:rPr>
        <w:t xml:space="preserve">. </w:t>
      </w:r>
      <w:r w:rsidRPr="00E67E52">
        <w:rPr>
          <w:rFonts w:ascii="Book Antiqua" w:hAnsi="Book Antiqua"/>
          <w:i/>
        </w:rPr>
        <w:t>GastroHep</w:t>
      </w:r>
      <w:r>
        <w:rPr>
          <w:rFonts w:ascii="Book Antiqua" w:hAnsi="Book Antiqua"/>
        </w:rPr>
        <w:t xml:space="preserve"> 2020; </w:t>
      </w:r>
      <w:r w:rsidRPr="00E67E52">
        <w:rPr>
          <w:rFonts w:ascii="Book Antiqua" w:hAnsi="Book Antiqua"/>
          <w:b/>
        </w:rPr>
        <w:t>2</w:t>
      </w:r>
      <w:r w:rsidRPr="00E67E52">
        <w:rPr>
          <w:rFonts w:ascii="Book Antiqua" w:hAnsi="Book Antiqua"/>
        </w:rPr>
        <w:t>: 22-30 [DOI: 10.1002/ygh2.380]</w:t>
      </w:r>
    </w:p>
    <w:p w14:paraId="7213105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50 </w:t>
      </w:r>
      <w:r w:rsidRPr="00E67E52">
        <w:rPr>
          <w:rFonts w:ascii="Book Antiqua" w:hAnsi="Book Antiqua"/>
          <w:b/>
          <w:bCs/>
        </w:rPr>
        <w:t>Hujoel IA</w:t>
      </w:r>
      <w:r w:rsidRPr="00E67E52">
        <w:rPr>
          <w:rFonts w:ascii="Book Antiqua" w:hAnsi="Book Antiqua"/>
        </w:rPr>
        <w:t>, Murray JA. Refractory Celiac Disease. </w:t>
      </w:r>
      <w:r w:rsidRPr="00E67E52">
        <w:rPr>
          <w:rFonts w:ascii="Book Antiqua" w:hAnsi="Book Antiqua"/>
          <w:i/>
          <w:iCs/>
        </w:rPr>
        <w:t>Curr Gastroenterol Rep</w:t>
      </w:r>
      <w:r w:rsidRPr="00E67E52">
        <w:rPr>
          <w:rFonts w:ascii="Book Antiqua" w:hAnsi="Book Antiqua"/>
        </w:rPr>
        <w:t> 2020; </w:t>
      </w:r>
      <w:r w:rsidRPr="00E67E52">
        <w:rPr>
          <w:rFonts w:ascii="Book Antiqua" w:hAnsi="Book Antiqua"/>
          <w:b/>
          <w:bCs/>
        </w:rPr>
        <w:t>22</w:t>
      </w:r>
      <w:r w:rsidRPr="00E67E52">
        <w:rPr>
          <w:rFonts w:ascii="Book Antiqua" w:hAnsi="Book Antiqua"/>
        </w:rPr>
        <w:t>: 18 [PMID: 32185560 DOI: 10.1007/s11894-020-0756-8]</w:t>
      </w:r>
    </w:p>
    <w:p w14:paraId="6066CDB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51 </w:t>
      </w:r>
      <w:r w:rsidRPr="00E67E52">
        <w:rPr>
          <w:rFonts w:ascii="Book Antiqua" w:hAnsi="Book Antiqua"/>
          <w:b/>
          <w:bCs/>
        </w:rPr>
        <w:t>Makovicky P</w:t>
      </w:r>
      <w:r w:rsidRPr="00E67E52">
        <w:rPr>
          <w:rFonts w:ascii="Book Antiqua" w:hAnsi="Book Antiqua"/>
        </w:rPr>
        <w:t>, Makovicky P, Caja F, Rimarova K, Samasca G, Vannucci L. Celiac disease and gluten-free diet: past, present, and future. </w:t>
      </w:r>
      <w:r w:rsidRPr="00E67E52">
        <w:rPr>
          <w:rFonts w:ascii="Book Antiqua" w:hAnsi="Book Antiqua"/>
          <w:i/>
          <w:iCs/>
        </w:rPr>
        <w:t>Gastroenterol Hepatol Bed Bench</w:t>
      </w:r>
      <w:r w:rsidRPr="00E67E52">
        <w:rPr>
          <w:rFonts w:ascii="Book Antiqua" w:hAnsi="Book Antiqua"/>
        </w:rPr>
        <w:t> 2020; </w:t>
      </w:r>
      <w:r w:rsidRPr="00E67E52">
        <w:rPr>
          <w:rFonts w:ascii="Book Antiqua" w:hAnsi="Book Antiqua"/>
          <w:b/>
          <w:bCs/>
        </w:rPr>
        <w:t>13</w:t>
      </w:r>
      <w:r w:rsidRPr="00E67E52">
        <w:rPr>
          <w:rFonts w:ascii="Book Antiqua" w:hAnsi="Book Antiqua"/>
        </w:rPr>
        <w:t>: 1-7 [</w:t>
      </w:r>
      <w:bookmarkStart w:id="68" w:name="OLE_LINK24"/>
      <w:bookmarkStart w:id="69" w:name="OLE_LINK25"/>
      <w:r w:rsidRPr="00E67E52">
        <w:rPr>
          <w:rFonts w:ascii="Book Antiqua" w:hAnsi="Book Antiqua"/>
        </w:rPr>
        <w:t>PMID: 32190218</w:t>
      </w:r>
      <w:bookmarkEnd w:id="68"/>
      <w:bookmarkEnd w:id="69"/>
      <w:r w:rsidRPr="00E67E52">
        <w:rPr>
          <w:rFonts w:ascii="Book Antiqua" w:hAnsi="Book Antiqua"/>
        </w:rPr>
        <w:t>]</w:t>
      </w:r>
    </w:p>
    <w:p w14:paraId="62EFE0D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52 </w:t>
      </w:r>
      <w:r w:rsidRPr="00E67E52">
        <w:rPr>
          <w:rFonts w:ascii="Book Antiqua" w:hAnsi="Book Antiqua"/>
          <w:b/>
          <w:bCs/>
        </w:rPr>
        <w:t>Lebwohl B</w:t>
      </w:r>
      <w:r w:rsidRPr="00E67E52">
        <w:rPr>
          <w:rFonts w:ascii="Book Antiqua" w:hAnsi="Book Antiqua"/>
        </w:rPr>
        <w:t>, Granath F, Ekbom A, Smedby KE, Murray JA, Neugut AI, Green PH, Ludvigsson JF. Mucosal healing and risk for lymphoproliferative malignancy in celiac disease: a population-based cohort study. </w:t>
      </w:r>
      <w:r w:rsidRPr="00E67E52">
        <w:rPr>
          <w:rFonts w:ascii="Book Antiqua" w:hAnsi="Book Antiqua"/>
          <w:i/>
          <w:iCs/>
        </w:rPr>
        <w:t>Ann Intern Med</w:t>
      </w:r>
      <w:r w:rsidRPr="00E67E52">
        <w:rPr>
          <w:rFonts w:ascii="Book Antiqua" w:hAnsi="Book Antiqua"/>
        </w:rPr>
        <w:t> 2013; </w:t>
      </w:r>
      <w:r w:rsidRPr="00E67E52">
        <w:rPr>
          <w:rFonts w:ascii="Book Antiqua" w:hAnsi="Book Antiqua"/>
          <w:b/>
          <w:bCs/>
        </w:rPr>
        <w:t>159</w:t>
      </w:r>
      <w:r w:rsidRPr="00E67E52">
        <w:rPr>
          <w:rFonts w:ascii="Book Antiqua" w:hAnsi="Book Antiqua"/>
        </w:rPr>
        <w:t>: 169-175 [PMID: 23922062 DOI: 10.7326/0003-4819-159-3-201308060-00006]</w:t>
      </w:r>
    </w:p>
    <w:p w14:paraId="27918AB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53 </w:t>
      </w:r>
      <w:r w:rsidRPr="00E67E52">
        <w:rPr>
          <w:rFonts w:ascii="Book Antiqua" w:hAnsi="Book Antiqua"/>
          <w:b/>
          <w:bCs/>
        </w:rPr>
        <w:t>Biagi F</w:t>
      </w:r>
      <w:r w:rsidRPr="00E67E52">
        <w:rPr>
          <w:rFonts w:ascii="Book Antiqua" w:hAnsi="Book Antiqua"/>
        </w:rPr>
        <w:t>, Schiepatti A, Maiorano G, Fraternale G, Agazzi S, Zingone F, Ciacci C, Volta U, Caio G, Tortora R, Klersy C, Corazza GR. Risk of complications in coeliac patients depends on age at diagnosis and type of clinical presentation. </w:t>
      </w:r>
      <w:r w:rsidRPr="00E67E52">
        <w:rPr>
          <w:rFonts w:ascii="Book Antiqua" w:hAnsi="Book Antiqua"/>
          <w:i/>
          <w:iCs/>
        </w:rPr>
        <w:t>Dig Liver Dis</w:t>
      </w:r>
      <w:r w:rsidRPr="00E67E52">
        <w:rPr>
          <w:rFonts w:ascii="Book Antiqua" w:hAnsi="Book Antiqua"/>
        </w:rPr>
        <w:t> 2018; </w:t>
      </w:r>
      <w:r w:rsidRPr="00E67E52">
        <w:rPr>
          <w:rFonts w:ascii="Book Antiqua" w:hAnsi="Book Antiqua"/>
          <w:b/>
          <w:bCs/>
        </w:rPr>
        <w:t>50</w:t>
      </w:r>
      <w:r w:rsidRPr="00E67E52">
        <w:rPr>
          <w:rFonts w:ascii="Book Antiqua" w:hAnsi="Book Antiqua"/>
        </w:rPr>
        <w:t>: 549-552 [PMID: 29277481 DOI: 10.1016/j.dld.2017.12.001]</w:t>
      </w:r>
    </w:p>
    <w:p w14:paraId="158497C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54 </w:t>
      </w:r>
      <w:r w:rsidRPr="00E67E52">
        <w:rPr>
          <w:rFonts w:ascii="Book Antiqua" w:hAnsi="Book Antiqua"/>
          <w:b/>
          <w:bCs/>
        </w:rPr>
        <w:t>Elfström P</w:t>
      </w:r>
      <w:r w:rsidRPr="00E67E52">
        <w:rPr>
          <w:rFonts w:ascii="Book Antiqua" w:hAnsi="Book Antiqua"/>
        </w:rPr>
        <w:t>, Granath F, Ye W, Ludvigsson JF. Low risk of gastrointestinal cancer among patients with celiac disease, inflammation, or latent celiac disease. </w:t>
      </w:r>
      <w:r w:rsidRPr="00E67E52">
        <w:rPr>
          <w:rFonts w:ascii="Book Antiqua" w:hAnsi="Book Antiqua"/>
          <w:i/>
          <w:iCs/>
        </w:rPr>
        <w:t>Clin Gastroenterol Hepatol</w:t>
      </w:r>
      <w:r w:rsidRPr="00E67E52">
        <w:rPr>
          <w:rFonts w:ascii="Book Antiqua" w:hAnsi="Book Antiqua"/>
        </w:rPr>
        <w:t> 2012; </w:t>
      </w:r>
      <w:r w:rsidRPr="00E67E52">
        <w:rPr>
          <w:rFonts w:ascii="Book Antiqua" w:hAnsi="Book Antiqua"/>
          <w:b/>
          <w:bCs/>
        </w:rPr>
        <w:t>10</w:t>
      </w:r>
      <w:r w:rsidRPr="00E67E52">
        <w:rPr>
          <w:rFonts w:ascii="Book Antiqua" w:hAnsi="Book Antiqua"/>
        </w:rPr>
        <w:t>: 30-36 [PMID: 21723236 DOI: 10.1016/j.cgh.2011.06.029]</w:t>
      </w:r>
    </w:p>
    <w:p w14:paraId="1ABF97B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55 </w:t>
      </w:r>
      <w:r w:rsidRPr="00E67E52">
        <w:rPr>
          <w:rFonts w:ascii="Book Antiqua" w:hAnsi="Book Antiqua"/>
          <w:b/>
          <w:bCs/>
        </w:rPr>
        <w:t>Ilus T</w:t>
      </w:r>
      <w:r w:rsidRPr="00E67E52">
        <w:rPr>
          <w:rFonts w:ascii="Book Antiqua" w:hAnsi="Book Antiqua"/>
        </w:rPr>
        <w:t>, Kaukinen K, Virta LJ, Pukkala E, Collin P. Incidence of malignancies in diagnosed celiac patients: a population-based estimate. </w:t>
      </w:r>
      <w:r w:rsidRPr="00E67E52">
        <w:rPr>
          <w:rFonts w:ascii="Book Antiqua" w:hAnsi="Book Antiqua"/>
          <w:i/>
          <w:iCs/>
        </w:rPr>
        <w:t>Am J Gastroenterol</w:t>
      </w:r>
      <w:r w:rsidRPr="00E67E52">
        <w:rPr>
          <w:rFonts w:ascii="Book Antiqua" w:hAnsi="Book Antiqua"/>
        </w:rPr>
        <w:t> 2014; </w:t>
      </w:r>
      <w:r w:rsidRPr="00E67E52">
        <w:rPr>
          <w:rFonts w:ascii="Book Antiqua" w:hAnsi="Book Antiqua"/>
          <w:b/>
          <w:bCs/>
        </w:rPr>
        <w:t>109</w:t>
      </w:r>
      <w:r w:rsidRPr="00E67E52">
        <w:rPr>
          <w:rFonts w:ascii="Book Antiqua" w:hAnsi="Book Antiqua"/>
        </w:rPr>
        <w:t>: 1471-1477 [PMID: 25047399 DOI: 10.1038/ajg.2014.194]</w:t>
      </w:r>
    </w:p>
    <w:p w14:paraId="432B387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56 </w:t>
      </w:r>
      <w:r w:rsidRPr="00E67E52">
        <w:rPr>
          <w:rFonts w:ascii="Book Antiqua" w:hAnsi="Book Antiqua"/>
          <w:b/>
          <w:bCs/>
        </w:rPr>
        <w:t>Siegel RL</w:t>
      </w:r>
      <w:r w:rsidRPr="00E67E52">
        <w:rPr>
          <w:rFonts w:ascii="Book Antiqua" w:hAnsi="Book Antiqua"/>
        </w:rPr>
        <w:t>, Miller KD, Jemal A. Cancer statistics, 2019. </w:t>
      </w:r>
      <w:r w:rsidRPr="00E67E52">
        <w:rPr>
          <w:rFonts w:ascii="Book Antiqua" w:hAnsi="Book Antiqua"/>
          <w:i/>
          <w:iCs/>
        </w:rPr>
        <w:t>CA Cancer J Clin</w:t>
      </w:r>
      <w:r w:rsidRPr="00E67E52">
        <w:rPr>
          <w:rFonts w:ascii="Book Antiqua" w:hAnsi="Book Antiqua"/>
        </w:rPr>
        <w:t> 2019; </w:t>
      </w:r>
      <w:r w:rsidRPr="00E67E52">
        <w:rPr>
          <w:rFonts w:ascii="Book Antiqua" w:hAnsi="Book Antiqua"/>
          <w:b/>
          <w:bCs/>
        </w:rPr>
        <w:t>69</w:t>
      </w:r>
      <w:r w:rsidRPr="00E67E52">
        <w:rPr>
          <w:rFonts w:ascii="Book Antiqua" w:hAnsi="Book Antiqua"/>
        </w:rPr>
        <w:t>: 7-34 [PMID: 30620402 DOI: 10.3322/caac.21551]</w:t>
      </w:r>
    </w:p>
    <w:p w14:paraId="6C212A6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57 </w:t>
      </w:r>
      <w:r w:rsidRPr="00E67E52">
        <w:rPr>
          <w:rFonts w:ascii="Book Antiqua" w:hAnsi="Book Antiqua"/>
          <w:b/>
          <w:bCs/>
        </w:rPr>
        <w:t>Paski SC</w:t>
      </w:r>
      <w:r w:rsidRPr="00E67E52">
        <w:rPr>
          <w:rFonts w:ascii="Book Antiqua" w:hAnsi="Book Antiqua"/>
        </w:rPr>
        <w:t>, Semrad CE. Small bowel tumors. </w:t>
      </w:r>
      <w:r w:rsidRPr="00E67E52">
        <w:rPr>
          <w:rFonts w:ascii="Book Antiqua" w:hAnsi="Book Antiqua"/>
          <w:i/>
          <w:iCs/>
        </w:rPr>
        <w:t>Gastrointest Endosc Clin N Am</w:t>
      </w:r>
      <w:r w:rsidRPr="00E67E52">
        <w:rPr>
          <w:rFonts w:ascii="Book Antiqua" w:hAnsi="Book Antiqua"/>
        </w:rPr>
        <w:t> 2009; </w:t>
      </w:r>
      <w:r w:rsidRPr="00E67E52">
        <w:rPr>
          <w:rFonts w:ascii="Book Antiqua" w:hAnsi="Book Antiqua"/>
          <w:b/>
          <w:bCs/>
        </w:rPr>
        <w:t>19</w:t>
      </w:r>
      <w:r w:rsidRPr="00E67E52">
        <w:rPr>
          <w:rFonts w:ascii="Book Antiqua" w:hAnsi="Book Antiqua"/>
        </w:rPr>
        <w:t>: 461-479 [PMID: 19647652 DOI: 10.1016/j.giec.2009.04.012]</w:t>
      </w:r>
    </w:p>
    <w:p w14:paraId="4F64AC1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58 </w:t>
      </w:r>
      <w:r w:rsidRPr="00E67E52">
        <w:rPr>
          <w:rFonts w:ascii="Book Antiqua" w:hAnsi="Book Antiqua"/>
          <w:b/>
          <w:bCs/>
        </w:rPr>
        <w:t>Raghav K</w:t>
      </w:r>
      <w:r w:rsidRPr="00E67E52">
        <w:rPr>
          <w:rFonts w:ascii="Book Antiqua" w:hAnsi="Book Antiqua"/>
        </w:rPr>
        <w:t>, Overman MJ. Small bowel adenocarcinomas--existing evidence and evolving paradigms. </w:t>
      </w:r>
      <w:r w:rsidRPr="00E67E52">
        <w:rPr>
          <w:rFonts w:ascii="Book Antiqua" w:hAnsi="Book Antiqua"/>
          <w:i/>
          <w:iCs/>
        </w:rPr>
        <w:t>Nat Rev Clin Oncol</w:t>
      </w:r>
      <w:r w:rsidRPr="00E67E52">
        <w:rPr>
          <w:rFonts w:ascii="Book Antiqua" w:hAnsi="Book Antiqua"/>
        </w:rPr>
        <w:t> 2013; </w:t>
      </w:r>
      <w:r w:rsidRPr="00E67E52">
        <w:rPr>
          <w:rFonts w:ascii="Book Antiqua" w:hAnsi="Book Antiqua"/>
          <w:b/>
          <w:bCs/>
        </w:rPr>
        <w:t>10</w:t>
      </w:r>
      <w:r w:rsidRPr="00E67E52">
        <w:rPr>
          <w:rFonts w:ascii="Book Antiqua" w:hAnsi="Book Antiqua"/>
        </w:rPr>
        <w:t>: 534-544 [PMID: 23897080 DOI: 10.1038/nrclinonc.2013.132]</w:t>
      </w:r>
    </w:p>
    <w:p w14:paraId="642A3C14"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59 </w:t>
      </w:r>
      <w:r w:rsidRPr="00E67E52">
        <w:rPr>
          <w:rFonts w:ascii="Book Antiqua" w:hAnsi="Book Antiqua"/>
          <w:b/>
          <w:bCs/>
        </w:rPr>
        <w:t>Han Y</w:t>
      </w:r>
      <w:r w:rsidRPr="00E67E52">
        <w:rPr>
          <w:rFonts w:ascii="Book Antiqua" w:hAnsi="Book Antiqua"/>
        </w:rPr>
        <w:t>, Chen W, Li P, Ye J. Association Between Coeliac Disease and Risk of Any Malignancy and Gastrointestinal Malignancy: A Meta-Analysis. </w:t>
      </w:r>
      <w:r w:rsidRPr="00E67E52">
        <w:rPr>
          <w:rFonts w:ascii="Book Antiqua" w:hAnsi="Book Antiqua"/>
          <w:i/>
          <w:iCs/>
        </w:rPr>
        <w:t>Medicine (Baltimore)</w:t>
      </w:r>
      <w:r w:rsidRPr="00E67E52">
        <w:rPr>
          <w:rFonts w:ascii="Book Antiqua" w:hAnsi="Book Antiqua"/>
        </w:rPr>
        <w:t> 2015; </w:t>
      </w:r>
      <w:r w:rsidRPr="00E67E52">
        <w:rPr>
          <w:rFonts w:ascii="Book Antiqua" w:hAnsi="Book Antiqua"/>
          <w:b/>
          <w:bCs/>
        </w:rPr>
        <w:t>94</w:t>
      </w:r>
      <w:r w:rsidRPr="00E67E52">
        <w:rPr>
          <w:rFonts w:ascii="Book Antiqua" w:hAnsi="Book Antiqua"/>
        </w:rPr>
        <w:t>: e1612 [</w:t>
      </w:r>
      <w:bookmarkStart w:id="70" w:name="OLE_LINK26"/>
      <w:r w:rsidRPr="00E67E52">
        <w:rPr>
          <w:rFonts w:ascii="Book Antiqua" w:hAnsi="Book Antiqua"/>
        </w:rPr>
        <w:t>PMID: 26402826</w:t>
      </w:r>
      <w:bookmarkEnd w:id="70"/>
      <w:r w:rsidRPr="00E67E52">
        <w:rPr>
          <w:rFonts w:ascii="Book Antiqua" w:hAnsi="Book Antiqua"/>
        </w:rPr>
        <w:t xml:space="preserve"> DOI: 10.1097/MD.0000000000001612]</w:t>
      </w:r>
    </w:p>
    <w:p w14:paraId="434FA9A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60 </w:t>
      </w:r>
      <w:r w:rsidRPr="00E67E52">
        <w:rPr>
          <w:rFonts w:ascii="Book Antiqua" w:hAnsi="Book Antiqua"/>
          <w:b/>
          <w:bCs/>
        </w:rPr>
        <w:t>Emilsson L</w:t>
      </w:r>
      <w:r w:rsidRPr="00E67E52">
        <w:rPr>
          <w:rFonts w:ascii="Book Antiqua" w:hAnsi="Book Antiqua"/>
        </w:rPr>
        <w:t>, Semrad C, Lebwohl B, Green PHR, Ludvigsson JF. Risk of Small Bowel Adenocarcinoma, Adenomas, and Carcinoids in a Nationwide Cohort of Individuals With Celiac Disease. </w:t>
      </w:r>
      <w:r w:rsidRPr="00E67E52">
        <w:rPr>
          <w:rFonts w:ascii="Book Antiqua" w:hAnsi="Book Antiqua"/>
          <w:i/>
          <w:iCs/>
        </w:rPr>
        <w:t>Gastroenterology</w:t>
      </w:r>
      <w:r w:rsidRPr="00E67E52">
        <w:rPr>
          <w:rFonts w:ascii="Book Antiqua" w:hAnsi="Book Antiqua"/>
        </w:rPr>
        <w:t> 2020; </w:t>
      </w:r>
      <w:r w:rsidRPr="00E67E52">
        <w:rPr>
          <w:rFonts w:ascii="Book Antiqua" w:hAnsi="Book Antiqua"/>
          <w:b/>
          <w:bCs/>
        </w:rPr>
        <w:t>159</w:t>
      </w:r>
      <w:r w:rsidRPr="00E67E52">
        <w:rPr>
          <w:rFonts w:ascii="Book Antiqua" w:hAnsi="Book Antiqua"/>
        </w:rPr>
        <w:t>: 1686-1694.e2 [PMID: 32679218 DOI: 10.1053/j.gastro.2020.07.007]</w:t>
      </w:r>
    </w:p>
    <w:p w14:paraId="622D269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61 </w:t>
      </w:r>
      <w:r w:rsidRPr="00E67E52">
        <w:rPr>
          <w:rFonts w:ascii="Book Antiqua" w:hAnsi="Book Antiqua"/>
          <w:b/>
          <w:bCs/>
        </w:rPr>
        <w:t>Askling J</w:t>
      </w:r>
      <w:r w:rsidRPr="00E67E52">
        <w:rPr>
          <w:rFonts w:ascii="Book Antiqua" w:hAnsi="Book Antiqua"/>
        </w:rPr>
        <w:t>, Linet M, Gridley G, Halstensen TS, Ekström K, Ekbom A. Cancer incidence in a population-based cohort of individuals hospitalized with celiac disease or dermatitis herpetiformis. </w:t>
      </w:r>
      <w:r w:rsidRPr="00E67E52">
        <w:rPr>
          <w:rFonts w:ascii="Book Antiqua" w:hAnsi="Book Antiqua"/>
          <w:i/>
          <w:iCs/>
        </w:rPr>
        <w:t>Gastroenterology</w:t>
      </w:r>
      <w:r w:rsidRPr="00E67E52">
        <w:rPr>
          <w:rFonts w:ascii="Book Antiqua" w:hAnsi="Book Antiqua"/>
        </w:rPr>
        <w:t> 2002; </w:t>
      </w:r>
      <w:r w:rsidRPr="00E67E52">
        <w:rPr>
          <w:rFonts w:ascii="Book Antiqua" w:hAnsi="Book Antiqua"/>
          <w:b/>
          <w:bCs/>
        </w:rPr>
        <w:t>123</w:t>
      </w:r>
      <w:r w:rsidRPr="00E67E52">
        <w:rPr>
          <w:rFonts w:ascii="Book Antiqua" w:hAnsi="Book Antiqua"/>
        </w:rPr>
        <w:t>: 1428-1435 [PMID: 12404215 DOI: 10.1053/gast.2002.36585]</w:t>
      </w:r>
    </w:p>
    <w:p w14:paraId="792E596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62 </w:t>
      </w:r>
      <w:r w:rsidRPr="00E67E52">
        <w:rPr>
          <w:rFonts w:ascii="Book Antiqua" w:hAnsi="Book Antiqua"/>
          <w:b/>
          <w:bCs/>
        </w:rPr>
        <w:t>Green PHR</w:t>
      </w:r>
      <w:r w:rsidRPr="00E67E52">
        <w:rPr>
          <w:rFonts w:ascii="Book Antiqua" w:hAnsi="Book Antiqua"/>
        </w:rPr>
        <w:t>, Stavropoulos SN, Panagi SG, Goldstein SL, Mcmahon DJ, Absan H, Neugut AI. Characteristics of adult celiac disease in the USA: results of a national survey. </w:t>
      </w:r>
      <w:r w:rsidRPr="00E67E52">
        <w:rPr>
          <w:rFonts w:ascii="Book Antiqua" w:hAnsi="Book Antiqua"/>
          <w:i/>
          <w:iCs/>
        </w:rPr>
        <w:t>Am J Gastroenterol</w:t>
      </w:r>
      <w:r w:rsidRPr="00E67E52">
        <w:rPr>
          <w:rFonts w:ascii="Book Antiqua" w:hAnsi="Book Antiqua"/>
        </w:rPr>
        <w:t> 2001; </w:t>
      </w:r>
      <w:r w:rsidRPr="00E67E52">
        <w:rPr>
          <w:rFonts w:ascii="Book Antiqua" w:hAnsi="Book Antiqua"/>
          <w:b/>
          <w:bCs/>
        </w:rPr>
        <w:t>96</w:t>
      </w:r>
      <w:r w:rsidRPr="00E67E52">
        <w:rPr>
          <w:rFonts w:ascii="Book Antiqua" w:hAnsi="Book Antiqua"/>
        </w:rPr>
        <w:t>: 126-131 [PMID: 11197241 DOI: 10.1111/j.1572-0241.2001.03462.x]</w:t>
      </w:r>
    </w:p>
    <w:p w14:paraId="0228A98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63 </w:t>
      </w:r>
      <w:r w:rsidRPr="00E67E52">
        <w:rPr>
          <w:rFonts w:ascii="Book Antiqua" w:hAnsi="Book Antiqua"/>
          <w:b/>
          <w:bCs/>
        </w:rPr>
        <w:t>Spijkerman M</w:t>
      </w:r>
      <w:r w:rsidRPr="00E67E52">
        <w:rPr>
          <w:rFonts w:ascii="Book Antiqua" w:hAnsi="Book Antiqua"/>
        </w:rPr>
        <w:t>, Tan IL, Kolkman JJ, Withoff S, Wijmenga C, Visschedijk MC, Weersma RK. A large variety of clinical features and concomitant disorders in celiac disease - A cohort study in the Netherlands. </w:t>
      </w:r>
      <w:r w:rsidRPr="00E67E52">
        <w:rPr>
          <w:rFonts w:ascii="Book Antiqua" w:hAnsi="Book Antiqua"/>
          <w:i/>
          <w:iCs/>
        </w:rPr>
        <w:t>Dig Liver Dis</w:t>
      </w:r>
      <w:r w:rsidRPr="00E67E52">
        <w:rPr>
          <w:rFonts w:ascii="Book Antiqua" w:hAnsi="Book Antiqua"/>
        </w:rPr>
        <w:t> 2016; </w:t>
      </w:r>
      <w:r w:rsidRPr="00E67E52">
        <w:rPr>
          <w:rFonts w:ascii="Book Antiqua" w:hAnsi="Book Antiqua"/>
          <w:b/>
          <w:bCs/>
        </w:rPr>
        <w:t>48</w:t>
      </w:r>
      <w:r w:rsidRPr="00E67E52">
        <w:rPr>
          <w:rFonts w:ascii="Book Antiqua" w:hAnsi="Book Antiqua"/>
        </w:rPr>
        <w:t>: 499-505 [PMID: 26854256 DOI: 10.1016/j.dld.2016.01.006]</w:t>
      </w:r>
    </w:p>
    <w:p w14:paraId="6CFB485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64 </w:t>
      </w:r>
      <w:r w:rsidRPr="00E67E52">
        <w:rPr>
          <w:rFonts w:ascii="Book Antiqua" w:hAnsi="Book Antiqua"/>
          <w:b/>
          <w:bCs/>
        </w:rPr>
        <w:t>Lebwohl B</w:t>
      </w:r>
      <w:r w:rsidRPr="00E67E52">
        <w:rPr>
          <w:rFonts w:ascii="Book Antiqua" w:hAnsi="Book Antiqua"/>
        </w:rPr>
        <w:t>, Eriksson H, Hansson J, Green PH, Ludvigsson JF. Risk of cutaneous malignant melanoma in patients with celiac disease: a population-based study. </w:t>
      </w:r>
      <w:r w:rsidRPr="00E67E52">
        <w:rPr>
          <w:rFonts w:ascii="Book Antiqua" w:hAnsi="Book Antiqua"/>
          <w:i/>
          <w:iCs/>
        </w:rPr>
        <w:t>J Am Acad Dermatol</w:t>
      </w:r>
      <w:r w:rsidRPr="00E67E52">
        <w:rPr>
          <w:rFonts w:ascii="Book Antiqua" w:hAnsi="Book Antiqua"/>
        </w:rPr>
        <w:t> 2014; </w:t>
      </w:r>
      <w:r w:rsidRPr="00E67E52">
        <w:rPr>
          <w:rFonts w:ascii="Book Antiqua" w:hAnsi="Book Antiqua"/>
          <w:b/>
          <w:bCs/>
        </w:rPr>
        <w:t>71</w:t>
      </w:r>
      <w:r w:rsidRPr="00E67E52">
        <w:rPr>
          <w:rFonts w:ascii="Book Antiqua" w:hAnsi="Book Antiqua"/>
        </w:rPr>
        <w:t>: 245-248 [PMID: 24792481 DOI: 10.1016/j.jaad.2014.03.029]</w:t>
      </w:r>
    </w:p>
    <w:p w14:paraId="7F12742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65 </w:t>
      </w:r>
      <w:r w:rsidRPr="00E67E52">
        <w:rPr>
          <w:rFonts w:ascii="Book Antiqua" w:hAnsi="Book Antiqua"/>
          <w:b/>
          <w:bCs/>
        </w:rPr>
        <w:t>Li Q</w:t>
      </w:r>
      <w:r w:rsidRPr="00E67E52">
        <w:rPr>
          <w:rFonts w:ascii="Book Antiqua" w:hAnsi="Book Antiqua"/>
        </w:rPr>
        <w:t>, Withoff S, Verma IM. Inflammation-associated cancer: NF-kappaB is the lynchpin. </w:t>
      </w:r>
      <w:r w:rsidRPr="00E67E52">
        <w:rPr>
          <w:rFonts w:ascii="Book Antiqua" w:hAnsi="Book Antiqua"/>
          <w:i/>
          <w:iCs/>
        </w:rPr>
        <w:t>Trends Immunol</w:t>
      </w:r>
      <w:r w:rsidRPr="00E67E52">
        <w:rPr>
          <w:rFonts w:ascii="Book Antiqua" w:hAnsi="Book Antiqua"/>
        </w:rPr>
        <w:t> 2005; </w:t>
      </w:r>
      <w:r w:rsidRPr="00E67E52">
        <w:rPr>
          <w:rFonts w:ascii="Book Antiqua" w:hAnsi="Book Antiqua"/>
          <w:b/>
          <w:bCs/>
        </w:rPr>
        <w:t>26</w:t>
      </w:r>
      <w:r w:rsidRPr="00E67E52">
        <w:rPr>
          <w:rFonts w:ascii="Book Antiqua" w:hAnsi="Book Antiqua"/>
        </w:rPr>
        <w:t>: 318-325 [PMID: 15922948 DOI: 10.1016/j.it.2005.04.003]</w:t>
      </w:r>
    </w:p>
    <w:p w14:paraId="01FF624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66 </w:t>
      </w:r>
      <w:r w:rsidRPr="00E67E52">
        <w:rPr>
          <w:rFonts w:ascii="Book Antiqua" w:hAnsi="Book Antiqua"/>
          <w:b/>
          <w:bCs/>
        </w:rPr>
        <w:t>Kiraly O</w:t>
      </w:r>
      <w:r w:rsidRPr="00E67E52">
        <w:rPr>
          <w:rFonts w:ascii="Book Antiqua" w:hAnsi="Book Antiqua"/>
        </w:rPr>
        <w:t>, Gong G, Olipitz W, Muthupalani S, Engelward BP. Inflammation-induced cell proliferation potentiates DNA damage-induced mutations in vivo. </w:t>
      </w:r>
      <w:r w:rsidRPr="00E67E52">
        <w:rPr>
          <w:rFonts w:ascii="Book Antiqua" w:hAnsi="Book Antiqua"/>
          <w:i/>
          <w:iCs/>
        </w:rPr>
        <w:t>PLoS Genet</w:t>
      </w:r>
      <w:r w:rsidRPr="00E67E52">
        <w:rPr>
          <w:rFonts w:ascii="Book Antiqua" w:hAnsi="Book Antiqua"/>
        </w:rPr>
        <w:t> 2015; </w:t>
      </w:r>
      <w:r w:rsidRPr="00E67E52">
        <w:rPr>
          <w:rFonts w:ascii="Book Antiqua" w:hAnsi="Book Antiqua"/>
          <w:b/>
          <w:bCs/>
        </w:rPr>
        <w:t>11</w:t>
      </w:r>
      <w:r w:rsidRPr="00E67E52">
        <w:rPr>
          <w:rFonts w:ascii="Book Antiqua" w:hAnsi="Book Antiqua"/>
        </w:rPr>
        <w:t>: e1004901 [PMID: 25647331 DOI: 10.1371/journal.pgen.1004901]</w:t>
      </w:r>
    </w:p>
    <w:p w14:paraId="3D69EA6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67 </w:t>
      </w:r>
      <w:r w:rsidRPr="00E67E52">
        <w:rPr>
          <w:rFonts w:ascii="Book Antiqua" w:hAnsi="Book Antiqua"/>
          <w:b/>
          <w:bCs/>
        </w:rPr>
        <w:t>Grivennikov SI</w:t>
      </w:r>
      <w:r w:rsidRPr="00E67E52">
        <w:rPr>
          <w:rFonts w:ascii="Book Antiqua" w:hAnsi="Book Antiqua"/>
        </w:rPr>
        <w:t>, Greten FR, Karin M. Immunity, inflammation, and cancer. </w:t>
      </w:r>
      <w:r w:rsidRPr="00E67E52">
        <w:rPr>
          <w:rFonts w:ascii="Book Antiqua" w:hAnsi="Book Antiqua"/>
          <w:i/>
          <w:iCs/>
        </w:rPr>
        <w:t>Cell</w:t>
      </w:r>
      <w:r w:rsidRPr="00E67E52">
        <w:rPr>
          <w:rFonts w:ascii="Book Antiqua" w:hAnsi="Book Antiqua"/>
        </w:rPr>
        <w:t> 2010; </w:t>
      </w:r>
      <w:r w:rsidRPr="00E67E52">
        <w:rPr>
          <w:rFonts w:ascii="Book Antiqua" w:hAnsi="Book Antiqua"/>
          <w:b/>
          <w:bCs/>
        </w:rPr>
        <w:t>140</w:t>
      </w:r>
      <w:r w:rsidRPr="00E67E52">
        <w:rPr>
          <w:rFonts w:ascii="Book Antiqua" w:hAnsi="Book Antiqua"/>
        </w:rPr>
        <w:t>: 883-899 [PMID: 20303878 DOI: 10.1016/j.cell.2010.01.025]</w:t>
      </w:r>
    </w:p>
    <w:p w14:paraId="235141A4"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68 </w:t>
      </w:r>
      <w:r w:rsidRPr="00E67E52">
        <w:rPr>
          <w:rFonts w:ascii="Book Antiqua" w:hAnsi="Book Antiqua"/>
          <w:b/>
          <w:bCs/>
        </w:rPr>
        <w:t>Potter DD</w:t>
      </w:r>
      <w:r w:rsidRPr="00E67E52">
        <w:rPr>
          <w:rFonts w:ascii="Book Antiqua" w:hAnsi="Book Antiqua"/>
        </w:rPr>
        <w:t>, Murray JA, Donohue JH, Burgart LJ, Nagorney DM, van Heerden JA, Plevak MF, Zinsmeister AR, Thibodeau SN. The role of defective mismatch repair in small bowel adenocarcinoma in celiac disease. </w:t>
      </w:r>
      <w:r w:rsidRPr="00E67E52">
        <w:rPr>
          <w:rFonts w:ascii="Book Antiqua" w:hAnsi="Book Antiqua"/>
          <w:i/>
          <w:iCs/>
        </w:rPr>
        <w:t>Cancer Res</w:t>
      </w:r>
      <w:r w:rsidRPr="00E67E52">
        <w:rPr>
          <w:rFonts w:ascii="Book Antiqua" w:hAnsi="Book Antiqua"/>
        </w:rPr>
        <w:t> 2004; </w:t>
      </w:r>
      <w:r w:rsidRPr="00E67E52">
        <w:rPr>
          <w:rFonts w:ascii="Book Antiqua" w:hAnsi="Book Antiqua"/>
          <w:b/>
          <w:bCs/>
        </w:rPr>
        <w:t>64</w:t>
      </w:r>
      <w:r w:rsidRPr="00E67E52">
        <w:rPr>
          <w:rFonts w:ascii="Book Antiqua" w:hAnsi="Book Antiqua"/>
        </w:rPr>
        <w:t>: 7073-7077 [PMID: 15466202 DOI: 10.1158/0008-5472.can-04-1096]</w:t>
      </w:r>
    </w:p>
    <w:p w14:paraId="7F4FF61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69 </w:t>
      </w:r>
      <w:r w:rsidRPr="00E67E52">
        <w:rPr>
          <w:rFonts w:ascii="Book Antiqua" w:hAnsi="Book Antiqua"/>
          <w:b/>
          <w:bCs/>
        </w:rPr>
        <w:t>Vanoli A</w:t>
      </w:r>
      <w:r w:rsidRPr="00E67E52">
        <w:rPr>
          <w:rFonts w:ascii="Book Antiqua" w:hAnsi="Book Antiqua"/>
        </w:rPr>
        <w:t>, Di Sabatino A, Furlan D, Klersy C, Grillo F, Fiocca R, Mescoli C, Rugge M, Nesi G, Fociani P, Sampietro G, Ardizzone S, Luinetti O, Calabrò A, Tonelli F, Volta U, Santini D, Caio G, Giuffrida P, Elli L, Ferrero S, Latella G, Ciardi A, Caronna R, Solina G, Rizzo A, Ciacci C, D'Armiento FP, Salemme M, Villanacci V, Cannizzaro R, Canzonieri V, Reggiani Bonetti L, Biancone L, Monteleone G, Orlandi A, Santeusanio G, Macciomei MC, D'Incà R, Perfetti V, Sandri G, Silano M, Florena AM, Giannone AG, Papi C, Coppola L, Usai P, Maccioni A, Astegiano M, Migliora P, Manca R, Martino M, Trapani D, Cerutti R, Alberizzi P, Riboni R, Sessa F, Paulli M, Solcia E, Corazza GR. Small Bowel Carcinomas in Coeliac or Crohn's Disease: Clinico-pathological, Molecular, and Prognostic Features. A Study From the Small Bowel Cancer Italian Consortium. </w:t>
      </w:r>
      <w:r w:rsidRPr="00E67E52">
        <w:rPr>
          <w:rFonts w:ascii="Book Antiqua" w:hAnsi="Book Antiqua"/>
          <w:i/>
          <w:iCs/>
        </w:rPr>
        <w:t>J Crohns Colitis</w:t>
      </w:r>
      <w:r w:rsidRPr="00E67E52">
        <w:rPr>
          <w:rFonts w:ascii="Book Antiqua" w:hAnsi="Book Antiqua"/>
        </w:rPr>
        <w:t> 2017; </w:t>
      </w:r>
      <w:r w:rsidRPr="00E67E52">
        <w:rPr>
          <w:rFonts w:ascii="Book Antiqua" w:hAnsi="Book Antiqua"/>
          <w:b/>
          <w:bCs/>
        </w:rPr>
        <w:t>11</w:t>
      </w:r>
      <w:r w:rsidRPr="00E67E52">
        <w:rPr>
          <w:rFonts w:ascii="Book Antiqua" w:hAnsi="Book Antiqua"/>
        </w:rPr>
        <w:t>: 942-953 [PMID: 28333239 DOI: 10.1093/ecco-jcc/jjx031]</w:t>
      </w:r>
    </w:p>
    <w:p w14:paraId="39A17F9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70 </w:t>
      </w:r>
      <w:r w:rsidRPr="00E67E52">
        <w:rPr>
          <w:rFonts w:ascii="Book Antiqua" w:hAnsi="Book Antiqua"/>
          <w:b/>
          <w:bCs/>
        </w:rPr>
        <w:t>Vanoli A</w:t>
      </w:r>
      <w:r w:rsidRPr="00E67E52">
        <w:rPr>
          <w:rFonts w:ascii="Book Antiqua" w:hAnsi="Book Antiqua"/>
        </w:rPr>
        <w:t xml:space="preserve">, Di Sabatino A, Martino M, Klersy C, Grillo F, Mescoli C, Nesi G, Volta U, Fornino D, Luinetti O, Fociani P, Villanacci V, D'Armiento FP, Cannizzaro R, Latella G, Ciacci C, Biancone L, Paulli M, Sessa F, Rugge M, Fiocca R, Corazza GR, Solcia E. Small bowel carcinomas in celiac or Crohn's disease: distinctive histophenotypic, molecular </w:t>
      </w:r>
      <w:r w:rsidRPr="00E67E52">
        <w:rPr>
          <w:rFonts w:ascii="Book Antiqua" w:hAnsi="Book Antiqua"/>
        </w:rPr>
        <w:lastRenderedPageBreak/>
        <w:t>and histogenetic patterns. </w:t>
      </w:r>
      <w:r w:rsidRPr="00E67E52">
        <w:rPr>
          <w:rFonts w:ascii="Book Antiqua" w:hAnsi="Book Antiqua"/>
          <w:i/>
          <w:iCs/>
        </w:rPr>
        <w:t>Mod Pathol</w:t>
      </w:r>
      <w:r w:rsidRPr="00E67E52">
        <w:rPr>
          <w:rFonts w:ascii="Book Antiqua" w:hAnsi="Book Antiqua"/>
        </w:rPr>
        <w:t> 2017; </w:t>
      </w:r>
      <w:r w:rsidRPr="00E67E52">
        <w:rPr>
          <w:rFonts w:ascii="Book Antiqua" w:hAnsi="Book Antiqua"/>
          <w:b/>
          <w:bCs/>
        </w:rPr>
        <w:t>30</w:t>
      </w:r>
      <w:r w:rsidRPr="00E67E52">
        <w:rPr>
          <w:rFonts w:ascii="Book Antiqua" w:hAnsi="Book Antiqua"/>
        </w:rPr>
        <w:t>: 1453-1466 [PMID: 28664941 DOI: 10.1038/modpathol.2017.40]</w:t>
      </w:r>
    </w:p>
    <w:p w14:paraId="03A8A19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71 </w:t>
      </w:r>
      <w:r w:rsidRPr="00E67E52">
        <w:rPr>
          <w:rFonts w:ascii="Book Antiqua" w:hAnsi="Book Antiqua"/>
          <w:b/>
          <w:bCs/>
        </w:rPr>
        <w:t>Giuffrida P</w:t>
      </w:r>
      <w:r w:rsidRPr="00E67E52">
        <w:rPr>
          <w:rFonts w:ascii="Book Antiqua" w:hAnsi="Book Antiqua"/>
        </w:rPr>
        <w:t>, Arpa G, Grillo F, Klersy C, Sampietro G, Ardizzone S, Fociani P, Fiocca R, Latella G, Sessa F, D'Errico A, Malvi D, Mescoli C, Rugge M, Nesi G, Ferrero S, Furlan D, Poggioli G, Rizzello F, Macciomei MC, Santini D, Volta U, De Giorgio R, Caio G, Calabrò A, Ciacci C, D'Armiento M, Rizzo A, Solina G, Martino M, Tonelli F, Villanacci V, Cannizzaro R, Canzonieri V, Florena AM, Biancone L, Monteleone G, Caronna R, Ciardi A, Elli L, Caprioli F, Vecchi M, D'Incà R, Zingone F, D'Odorico A, Lenti MV, Oreggia B, Reggiani Bonetti L, Astegiano M, Biletta E, Cantoro L, Giannone AG, Orlandi A, Papi C, Perfetti V, Quaquarini E, Sandri G, Silano M, Usai P, Barresi V, Ciccocioppo R, Luinetti O, Pedrazzoli P, Pietrabissa A, Viglio A, Paulli M, Corazza GR, Solcia E, Vanoli A, Di Sabatino A. PD-L1 in small bowel adenocarcinoma is associated with etiology and tumor-infiltrating lymphocytes, in addition to microsatellite instability. </w:t>
      </w:r>
      <w:r w:rsidRPr="00E67E52">
        <w:rPr>
          <w:rFonts w:ascii="Book Antiqua" w:hAnsi="Book Antiqua"/>
          <w:i/>
          <w:iCs/>
        </w:rPr>
        <w:t>Mod Pathol</w:t>
      </w:r>
      <w:r w:rsidRPr="00E67E52">
        <w:rPr>
          <w:rFonts w:ascii="Book Antiqua" w:hAnsi="Book Antiqua"/>
        </w:rPr>
        <w:t> 2020; </w:t>
      </w:r>
      <w:r w:rsidRPr="00E67E52">
        <w:rPr>
          <w:rFonts w:ascii="Book Antiqua" w:hAnsi="Book Antiqua"/>
          <w:b/>
          <w:bCs/>
        </w:rPr>
        <w:t>33</w:t>
      </w:r>
      <w:r w:rsidRPr="00E67E52">
        <w:rPr>
          <w:rFonts w:ascii="Book Antiqua" w:hAnsi="Book Antiqua"/>
        </w:rPr>
        <w:t>: 1398-1409 [PMID: 32066859 DOI: 10.1038/s41379-020-0497-0]</w:t>
      </w:r>
    </w:p>
    <w:p w14:paraId="774C009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72 </w:t>
      </w:r>
      <w:r w:rsidRPr="00E67E52">
        <w:rPr>
          <w:rFonts w:ascii="Book Antiqua" w:hAnsi="Book Antiqua"/>
          <w:b/>
          <w:bCs/>
        </w:rPr>
        <w:t>Rampertab SD</w:t>
      </w:r>
      <w:r w:rsidRPr="00E67E52">
        <w:rPr>
          <w:rFonts w:ascii="Book Antiqua" w:hAnsi="Book Antiqua"/>
        </w:rPr>
        <w:t>, Forde KA, Green PH. Small bowel neoplasia in coeliac disease. </w:t>
      </w:r>
      <w:r w:rsidRPr="00E67E52">
        <w:rPr>
          <w:rFonts w:ascii="Book Antiqua" w:hAnsi="Book Antiqua"/>
          <w:i/>
          <w:iCs/>
        </w:rPr>
        <w:t>Gut</w:t>
      </w:r>
      <w:r w:rsidRPr="00E67E52">
        <w:rPr>
          <w:rFonts w:ascii="Book Antiqua" w:hAnsi="Book Antiqua"/>
        </w:rPr>
        <w:t> 2003; </w:t>
      </w:r>
      <w:r w:rsidRPr="00E67E52">
        <w:rPr>
          <w:rFonts w:ascii="Book Antiqua" w:hAnsi="Book Antiqua"/>
          <w:b/>
          <w:bCs/>
        </w:rPr>
        <w:t>52</w:t>
      </w:r>
      <w:r w:rsidRPr="00E67E52">
        <w:rPr>
          <w:rFonts w:ascii="Book Antiqua" w:hAnsi="Book Antiqua"/>
        </w:rPr>
        <w:t>: 1211-1214 [PMID: 12865284 DOI: 10.1136/gut.52.8.1211]</w:t>
      </w:r>
    </w:p>
    <w:p w14:paraId="39C049F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73 </w:t>
      </w:r>
      <w:r w:rsidRPr="00E67E52">
        <w:rPr>
          <w:rFonts w:ascii="Book Antiqua" w:hAnsi="Book Antiqua"/>
          <w:b/>
          <w:bCs/>
        </w:rPr>
        <w:t>Freeman HJ</w:t>
      </w:r>
      <w:r w:rsidRPr="00E67E52">
        <w:rPr>
          <w:rFonts w:ascii="Book Antiqua" w:hAnsi="Book Antiqua"/>
        </w:rPr>
        <w:t>. Malignancy in adult celiac disease. </w:t>
      </w:r>
      <w:r w:rsidRPr="00E67E52">
        <w:rPr>
          <w:rFonts w:ascii="Book Antiqua" w:hAnsi="Book Antiqua"/>
          <w:i/>
          <w:iCs/>
        </w:rPr>
        <w:t>World J Gastroenterol</w:t>
      </w:r>
      <w:r w:rsidRPr="00E67E52">
        <w:rPr>
          <w:rFonts w:ascii="Book Antiqua" w:hAnsi="Book Antiqua"/>
        </w:rPr>
        <w:t> 2009; </w:t>
      </w:r>
      <w:r w:rsidRPr="00E67E52">
        <w:rPr>
          <w:rFonts w:ascii="Book Antiqua" w:hAnsi="Book Antiqua"/>
          <w:b/>
          <w:bCs/>
        </w:rPr>
        <w:t>15</w:t>
      </w:r>
      <w:r w:rsidRPr="00E67E52">
        <w:rPr>
          <w:rFonts w:ascii="Book Antiqua" w:hAnsi="Book Antiqua"/>
        </w:rPr>
        <w:t>: 1581-1583 [PMID: 19340898 DOI: 10.3748/wjg.15.1581]</w:t>
      </w:r>
    </w:p>
    <w:p w14:paraId="20E1AAB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74 </w:t>
      </w:r>
      <w:r w:rsidRPr="00E67E52">
        <w:rPr>
          <w:rFonts w:ascii="Book Antiqua" w:hAnsi="Book Antiqua"/>
          <w:b/>
          <w:bCs/>
        </w:rPr>
        <w:t>Brousse N</w:t>
      </w:r>
      <w:r w:rsidRPr="00E67E52">
        <w:rPr>
          <w:rFonts w:ascii="Book Antiqua" w:hAnsi="Book Antiqua"/>
        </w:rPr>
        <w:t>, Meijer JW. Malignant complications of coeliac disease. </w:t>
      </w:r>
      <w:r w:rsidRPr="00E67E52">
        <w:rPr>
          <w:rFonts w:ascii="Book Antiqua" w:hAnsi="Book Antiqua"/>
          <w:i/>
          <w:iCs/>
        </w:rPr>
        <w:t>Best Pract Res Clin Gastroenterol</w:t>
      </w:r>
      <w:r w:rsidRPr="00E67E52">
        <w:rPr>
          <w:rFonts w:ascii="Book Antiqua" w:hAnsi="Book Antiqua"/>
        </w:rPr>
        <w:t> 2005; </w:t>
      </w:r>
      <w:r w:rsidRPr="00E67E52">
        <w:rPr>
          <w:rFonts w:ascii="Book Antiqua" w:hAnsi="Book Antiqua"/>
          <w:b/>
          <w:bCs/>
        </w:rPr>
        <w:t>19</w:t>
      </w:r>
      <w:r w:rsidRPr="00E67E52">
        <w:rPr>
          <w:rFonts w:ascii="Book Antiqua" w:hAnsi="Book Antiqua"/>
        </w:rPr>
        <w:t>: 401-412 [PMID: 15925845 DOI: 10.1016/j.bpg.2005.02.002]</w:t>
      </w:r>
    </w:p>
    <w:p w14:paraId="0C5E4A14"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75 </w:t>
      </w:r>
      <w:r w:rsidRPr="00E67E52">
        <w:rPr>
          <w:rFonts w:ascii="Book Antiqua" w:hAnsi="Book Antiqua"/>
          <w:b/>
          <w:bCs/>
        </w:rPr>
        <w:t>Wild D</w:t>
      </w:r>
      <w:r w:rsidRPr="00E67E52">
        <w:rPr>
          <w:rFonts w:ascii="Book Antiqua" w:hAnsi="Book Antiqua"/>
        </w:rPr>
        <w:t>, Robins GG, Burley VJ, Howdle PD. Evidence of high sugar intake, and low fibre and mineral intake, in the gluten-free diet. </w:t>
      </w:r>
      <w:r w:rsidRPr="00E67E52">
        <w:rPr>
          <w:rFonts w:ascii="Book Antiqua" w:hAnsi="Book Antiqua"/>
          <w:i/>
          <w:iCs/>
        </w:rPr>
        <w:t>Aliment Pharmacol Ther</w:t>
      </w:r>
      <w:r w:rsidRPr="00E67E52">
        <w:rPr>
          <w:rFonts w:ascii="Book Antiqua" w:hAnsi="Book Antiqua"/>
        </w:rPr>
        <w:t> 2010; </w:t>
      </w:r>
      <w:r w:rsidRPr="00E67E52">
        <w:rPr>
          <w:rFonts w:ascii="Book Antiqua" w:hAnsi="Book Antiqua"/>
          <w:b/>
          <w:bCs/>
        </w:rPr>
        <w:t>32</w:t>
      </w:r>
      <w:r w:rsidRPr="00E67E52">
        <w:rPr>
          <w:rFonts w:ascii="Book Antiqua" w:hAnsi="Book Antiqua"/>
        </w:rPr>
        <w:t>: 573-581 [PMID: 20528829 DOI: 10.1111/j.1365-2036.2010.04386.x]</w:t>
      </w:r>
    </w:p>
    <w:p w14:paraId="184CABD2"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76 </w:t>
      </w:r>
      <w:r w:rsidRPr="00E67E52">
        <w:rPr>
          <w:rFonts w:ascii="Book Antiqua" w:hAnsi="Book Antiqua"/>
          <w:b/>
          <w:bCs/>
        </w:rPr>
        <w:t>Pozo-Rubio T</w:t>
      </w:r>
      <w:r w:rsidRPr="00E67E52">
        <w:rPr>
          <w:rFonts w:ascii="Book Antiqua" w:hAnsi="Book Antiqua"/>
        </w:rPr>
        <w:t>, Olivares M, Nova E, De Palma G, Mujico JR, Ferrer MD, Marcos A, Sanz Y. Immune development and intestinal microbiota in celiac disease. </w:t>
      </w:r>
      <w:r w:rsidRPr="00E67E52">
        <w:rPr>
          <w:rFonts w:ascii="Book Antiqua" w:hAnsi="Book Antiqua"/>
          <w:i/>
          <w:iCs/>
        </w:rPr>
        <w:t>Clin Dev Immunol</w:t>
      </w:r>
      <w:r w:rsidRPr="00E67E52">
        <w:rPr>
          <w:rFonts w:ascii="Book Antiqua" w:hAnsi="Book Antiqua"/>
        </w:rPr>
        <w:t> 2012; </w:t>
      </w:r>
      <w:r w:rsidRPr="00E67E52">
        <w:rPr>
          <w:rFonts w:ascii="Book Antiqua" w:hAnsi="Book Antiqua"/>
          <w:b/>
          <w:bCs/>
        </w:rPr>
        <w:t>2012</w:t>
      </w:r>
      <w:r w:rsidRPr="00E67E52">
        <w:rPr>
          <w:rFonts w:ascii="Book Antiqua" w:hAnsi="Book Antiqua"/>
        </w:rPr>
        <w:t>: 654143 [PMID: 23008734 DOI: 10.1155/2012/654143]</w:t>
      </w:r>
    </w:p>
    <w:p w14:paraId="506866D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77 </w:t>
      </w:r>
      <w:r w:rsidRPr="00E67E52">
        <w:rPr>
          <w:rFonts w:ascii="Book Antiqua" w:hAnsi="Book Antiqua"/>
          <w:b/>
          <w:bCs/>
        </w:rPr>
        <w:t>Palascak-Juif V</w:t>
      </w:r>
      <w:r w:rsidRPr="00E67E52">
        <w:rPr>
          <w:rFonts w:ascii="Book Antiqua" w:hAnsi="Book Antiqua"/>
        </w:rPr>
        <w:t xml:space="preserve">, Bouvier AM, Cosnes J, Flourié B, Bouché O, Cadiot G, Lémann M, Bonaz B, Denet C, Marteau P, Gambiez L, Beaugerie L, Faivre J, Carbonnel F. Small bowel adenocarcinoma in patients with Crohn's disease compared with small bowel </w:t>
      </w:r>
      <w:r w:rsidRPr="00E67E52">
        <w:rPr>
          <w:rFonts w:ascii="Book Antiqua" w:hAnsi="Book Antiqua"/>
        </w:rPr>
        <w:lastRenderedPageBreak/>
        <w:t>adenocarcinoma de novo. </w:t>
      </w:r>
      <w:r w:rsidRPr="00E67E52">
        <w:rPr>
          <w:rFonts w:ascii="Book Antiqua" w:hAnsi="Book Antiqua"/>
          <w:i/>
          <w:iCs/>
        </w:rPr>
        <w:t>Inflamm Bowel Dis</w:t>
      </w:r>
      <w:r w:rsidRPr="00E67E52">
        <w:rPr>
          <w:rFonts w:ascii="Book Antiqua" w:hAnsi="Book Antiqua"/>
        </w:rPr>
        <w:t> 2005; </w:t>
      </w:r>
      <w:r w:rsidRPr="00E67E52">
        <w:rPr>
          <w:rFonts w:ascii="Book Antiqua" w:hAnsi="Book Antiqua"/>
          <w:b/>
          <w:bCs/>
        </w:rPr>
        <w:t>11</w:t>
      </w:r>
      <w:r w:rsidRPr="00E67E52">
        <w:rPr>
          <w:rFonts w:ascii="Book Antiqua" w:hAnsi="Book Antiqua"/>
        </w:rPr>
        <w:t>: 828-832 [PMID: 16116317 DOI: 10.1097/01.mib.0000179211.03650.b6]</w:t>
      </w:r>
    </w:p>
    <w:p w14:paraId="503F026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78 </w:t>
      </w:r>
      <w:r w:rsidRPr="00E67E52">
        <w:rPr>
          <w:rFonts w:ascii="Book Antiqua" w:hAnsi="Book Antiqua"/>
          <w:b/>
          <w:bCs/>
        </w:rPr>
        <w:t>Zar N</w:t>
      </w:r>
      <w:r w:rsidRPr="00E67E52">
        <w:rPr>
          <w:rFonts w:ascii="Book Antiqua" w:hAnsi="Book Antiqua"/>
        </w:rPr>
        <w:t>, Holmberg L, Wilander E, Rastad J. Survival in small intestinal adenocarcinoma. </w:t>
      </w:r>
      <w:r w:rsidRPr="00E67E52">
        <w:rPr>
          <w:rFonts w:ascii="Book Antiqua" w:hAnsi="Book Antiqua"/>
          <w:i/>
          <w:iCs/>
        </w:rPr>
        <w:t>Eur J Cancer</w:t>
      </w:r>
      <w:r w:rsidRPr="00E67E52">
        <w:rPr>
          <w:rFonts w:ascii="Book Antiqua" w:hAnsi="Book Antiqua"/>
        </w:rPr>
        <w:t> 1996; </w:t>
      </w:r>
      <w:r w:rsidRPr="00E67E52">
        <w:rPr>
          <w:rFonts w:ascii="Book Antiqua" w:hAnsi="Book Antiqua"/>
          <w:b/>
          <w:bCs/>
        </w:rPr>
        <w:t>32A</w:t>
      </w:r>
      <w:r w:rsidRPr="00E67E52">
        <w:rPr>
          <w:rFonts w:ascii="Book Antiqua" w:hAnsi="Book Antiqua"/>
        </w:rPr>
        <w:t>: 2114-2119 [PMID: 9014754 DOI: 10.1016/s0959-8049(96)00244-4]</w:t>
      </w:r>
    </w:p>
    <w:p w14:paraId="1C4B11C4"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79 </w:t>
      </w:r>
      <w:r w:rsidRPr="00E67E52">
        <w:rPr>
          <w:rFonts w:ascii="Book Antiqua" w:hAnsi="Book Antiqua"/>
          <w:b/>
          <w:bCs/>
        </w:rPr>
        <w:t>Caio G</w:t>
      </w:r>
      <w:r w:rsidRPr="00E67E52">
        <w:rPr>
          <w:rFonts w:ascii="Book Antiqua" w:hAnsi="Book Antiqua"/>
        </w:rPr>
        <w:t>, Volta U, Ursini F, Manfredini R, De Giorgio R. Small bowel adenocarcinoma as a complication of celiac disease: clinical and diagnostic features. </w:t>
      </w:r>
      <w:r w:rsidRPr="00E67E52">
        <w:rPr>
          <w:rFonts w:ascii="Book Antiqua" w:hAnsi="Book Antiqua"/>
          <w:i/>
          <w:iCs/>
        </w:rPr>
        <w:t>BMC Gastroenterol</w:t>
      </w:r>
      <w:r w:rsidRPr="00E67E52">
        <w:rPr>
          <w:rFonts w:ascii="Book Antiqua" w:hAnsi="Book Antiqua"/>
        </w:rPr>
        <w:t> 2019; </w:t>
      </w:r>
      <w:r w:rsidRPr="00E67E52">
        <w:rPr>
          <w:rFonts w:ascii="Book Antiqua" w:hAnsi="Book Antiqua"/>
          <w:b/>
          <w:bCs/>
        </w:rPr>
        <w:t>19</w:t>
      </w:r>
      <w:r w:rsidRPr="00E67E52">
        <w:rPr>
          <w:rFonts w:ascii="Book Antiqua" w:hAnsi="Book Antiqua"/>
        </w:rPr>
        <w:t>: 45 [PMID: 30917787 DOI: 10.1186/s12876-019-0964-6]</w:t>
      </w:r>
    </w:p>
    <w:p w14:paraId="06F54D7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80 </w:t>
      </w:r>
      <w:r w:rsidRPr="00E67E52">
        <w:rPr>
          <w:rFonts w:ascii="Book Antiqua" w:hAnsi="Book Antiqua"/>
          <w:b/>
          <w:bCs/>
        </w:rPr>
        <w:t>Bray F</w:t>
      </w:r>
      <w:r w:rsidRPr="00E67E52">
        <w:rPr>
          <w:rFonts w:ascii="Book Antiqua" w:hAnsi="Book Antiqua"/>
        </w:rPr>
        <w:t>, Ferlay J, Soerjomataram I, Siegel RL, Torre LA, Jemal A. Global cancer statistics 2018: GLOBOCAN estimates of incidence and mortality worldwide for 36 cancers in 185 countries. </w:t>
      </w:r>
      <w:r w:rsidRPr="00E67E52">
        <w:rPr>
          <w:rFonts w:ascii="Book Antiqua" w:hAnsi="Book Antiqua"/>
          <w:i/>
          <w:iCs/>
        </w:rPr>
        <w:t>CA Cancer J Clin</w:t>
      </w:r>
      <w:r w:rsidRPr="00E67E52">
        <w:rPr>
          <w:rFonts w:ascii="Book Antiqua" w:hAnsi="Book Antiqua"/>
        </w:rPr>
        <w:t> 2018; </w:t>
      </w:r>
      <w:r w:rsidRPr="00E67E52">
        <w:rPr>
          <w:rFonts w:ascii="Book Antiqua" w:hAnsi="Book Antiqua"/>
          <w:b/>
          <w:bCs/>
        </w:rPr>
        <w:t>68</w:t>
      </w:r>
      <w:r w:rsidRPr="00E67E52">
        <w:rPr>
          <w:rFonts w:ascii="Book Antiqua" w:hAnsi="Book Antiqua"/>
        </w:rPr>
        <w:t>: 394-424 [PMID: 30207593 DOI: 10.3322/caac.21492]</w:t>
      </w:r>
    </w:p>
    <w:p w14:paraId="0BA9B01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81 </w:t>
      </w:r>
      <w:r w:rsidRPr="00E67E52">
        <w:rPr>
          <w:rFonts w:ascii="Book Antiqua" w:hAnsi="Book Antiqua"/>
          <w:b/>
          <w:bCs/>
        </w:rPr>
        <w:t>Wang M</w:t>
      </w:r>
      <w:r w:rsidRPr="00E67E52">
        <w:rPr>
          <w:rFonts w:ascii="Book Antiqua" w:hAnsi="Book Antiqua"/>
        </w:rPr>
        <w:t>, Kong WJ, Zhang JZ, Lu JJ, Hui WJ, Liu WD, Kang XJ, Gao F. Association of </w:t>
      </w:r>
      <w:r w:rsidRPr="00E67E52">
        <w:rPr>
          <w:rFonts w:ascii="Book Antiqua" w:hAnsi="Book Antiqua"/>
          <w:i/>
          <w:iCs/>
        </w:rPr>
        <w:t>Helicobacter pylori</w:t>
      </w:r>
      <w:r w:rsidRPr="00E67E52">
        <w:rPr>
          <w:rFonts w:ascii="Book Antiqua" w:hAnsi="Book Antiqua"/>
        </w:rPr>
        <w:t> infection with colorectal polyps and malignancy in China. </w:t>
      </w:r>
      <w:r w:rsidRPr="00E67E52">
        <w:rPr>
          <w:rFonts w:ascii="Book Antiqua" w:hAnsi="Book Antiqua"/>
          <w:i/>
          <w:iCs/>
        </w:rPr>
        <w:t>World J Gastrointest Oncol</w:t>
      </w:r>
      <w:r w:rsidRPr="00E67E52">
        <w:rPr>
          <w:rFonts w:ascii="Book Antiqua" w:hAnsi="Book Antiqua"/>
        </w:rPr>
        <w:t> 2020; </w:t>
      </w:r>
      <w:r w:rsidRPr="00E67E52">
        <w:rPr>
          <w:rFonts w:ascii="Book Antiqua" w:hAnsi="Book Antiqua"/>
          <w:b/>
          <w:bCs/>
        </w:rPr>
        <w:t>12</w:t>
      </w:r>
      <w:r w:rsidRPr="00E67E52">
        <w:rPr>
          <w:rFonts w:ascii="Book Antiqua" w:hAnsi="Book Antiqua"/>
        </w:rPr>
        <w:t>: 582-591 [PMID: 32461789 DOI: 10.4251/wjgo.v12.i5.582]</w:t>
      </w:r>
    </w:p>
    <w:p w14:paraId="07D51E6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82 </w:t>
      </w:r>
      <w:r w:rsidRPr="00E67E52">
        <w:rPr>
          <w:rFonts w:ascii="Book Antiqua" w:hAnsi="Book Antiqua"/>
          <w:b/>
          <w:bCs/>
        </w:rPr>
        <w:t>Wang M</w:t>
      </w:r>
      <w:r w:rsidRPr="00E67E52">
        <w:rPr>
          <w:rFonts w:ascii="Book Antiqua" w:hAnsi="Book Antiqua"/>
        </w:rPr>
        <w:t>, Lu JJ, Kong WJ, Kang XJ, Gao F. Clinical characteristics of sentinel polyps and their correlation with proximal colon cancer: A retrospective observational study. </w:t>
      </w:r>
      <w:r w:rsidRPr="00E67E52">
        <w:rPr>
          <w:rFonts w:ascii="Book Antiqua" w:hAnsi="Book Antiqua"/>
          <w:i/>
          <w:iCs/>
        </w:rPr>
        <w:t>World J Clin Cases</w:t>
      </w:r>
      <w:r w:rsidRPr="00E67E52">
        <w:rPr>
          <w:rFonts w:ascii="Book Antiqua" w:hAnsi="Book Antiqua"/>
        </w:rPr>
        <w:t> 2019; </w:t>
      </w:r>
      <w:r w:rsidRPr="00E67E52">
        <w:rPr>
          <w:rFonts w:ascii="Book Antiqua" w:hAnsi="Book Antiqua"/>
          <w:b/>
          <w:bCs/>
        </w:rPr>
        <w:t>7</w:t>
      </w:r>
      <w:r w:rsidRPr="00E67E52">
        <w:rPr>
          <w:rFonts w:ascii="Book Antiqua" w:hAnsi="Book Antiqua"/>
        </w:rPr>
        <w:t>: 3217-3225 [PMID: 31667172 DOI: 10.12998/wjcc.v7.i20.3217]</w:t>
      </w:r>
    </w:p>
    <w:p w14:paraId="15FB0F4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83 </w:t>
      </w:r>
      <w:r w:rsidRPr="00E67E52">
        <w:rPr>
          <w:rFonts w:ascii="Book Antiqua" w:hAnsi="Book Antiqua"/>
          <w:b/>
          <w:bCs/>
        </w:rPr>
        <w:t>Lasa J</w:t>
      </w:r>
      <w:r w:rsidRPr="00E67E52">
        <w:rPr>
          <w:rFonts w:ascii="Book Antiqua" w:hAnsi="Book Antiqua"/>
        </w:rPr>
        <w:t>, Rausch A, Bracho LF, Altamirano J, Speisky D, de Dávila MTG, Iotti A, Zubiaurre I. Colorectal Adenoma Risk Is Increased among Recently Diagnosed Adult Celiac Disease Patients. </w:t>
      </w:r>
      <w:r w:rsidRPr="00E67E52">
        <w:rPr>
          <w:rFonts w:ascii="Book Antiqua" w:hAnsi="Book Antiqua"/>
          <w:i/>
          <w:iCs/>
        </w:rPr>
        <w:t>Gastroenterol Res Pract</w:t>
      </w:r>
      <w:r w:rsidRPr="00E67E52">
        <w:rPr>
          <w:rFonts w:ascii="Book Antiqua" w:hAnsi="Book Antiqua"/>
        </w:rPr>
        <w:t> 2018; </w:t>
      </w:r>
      <w:r w:rsidRPr="00E67E52">
        <w:rPr>
          <w:rFonts w:ascii="Book Antiqua" w:hAnsi="Book Antiqua"/>
          <w:b/>
          <w:bCs/>
        </w:rPr>
        <w:t>2018</w:t>
      </w:r>
      <w:r w:rsidRPr="00E67E52">
        <w:rPr>
          <w:rFonts w:ascii="Book Antiqua" w:hAnsi="Book Antiqua"/>
        </w:rPr>
        <w:t>: 6150145 [PMID: 29849594 DOI: 10.1155/2018/6150145]</w:t>
      </w:r>
    </w:p>
    <w:p w14:paraId="5B8719A5"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84 </w:t>
      </w:r>
      <w:r w:rsidRPr="00E67E52">
        <w:rPr>
          <w:rFonts w:ascii="Book Antiqua" w:hAnsi="Book Antiqua"/>
          <w:b/>
          <w:bCs/>
        </w:rPr>
        <w:t>Volta U</w:t>
      </w:r>
      <w:r w:rsidRPr="00E67E52">
        <w:rPr>
          <w:rFonts w:ascii="Book Antiqua" w:hAnsi="Book Antiqua"/>
        </w:rPr>
        <w:t>, Vincentini O, Quintarelli F, Felli C, Silano M; Collaborating Centres of the Italian Registry of the Complications of Celiac Disease. Low risk of colon cancer in patients with celiac disease. </w:t>
      </w:r>
      <w:r w:rsidRPr="00E67E52">
        <w:rPr>
          <w:rFonts w:ascii="Book Antiqua" w:hAnsi="Book Antiqua"/>
          <w:i/>
          <w:iCs/>
        </w:rPr>
        <w:t>Scand J Gastroenterol</w:t>
      </w:r>
      <w:r w:rsidRPr="00E67E52">
        <w:rPr>
          <w:rFonts w:ascii="Book Antiqua" w:hAnsi="Book Antiqua"/>
        </w:rPr>
        <w:t> 2014; </w:t>
      </w:r>
      <w:r w:rsidRPr="00E67E52">
        <w:rPr>
          <w:rFonts w:ascii="Book Antiqua" w:hAnsi="Book Antiqua"/>
          <w:b/>
          <w:bCs/>
        </w:rPr>
        <w:t>49</w:t>
      </w:r>
      <w:r w:rsidRPr="00E67E52">
        <w:rPr>
          <w:rFonts w:ascii="Book Antiqua" w:hAnsi="Book Antiqua"/>
        </w:rPr>
        <w:t>: 564-568 [PMID: 24621303 DOI: 10.3109/00365521.2014.893012]</w:t>
      </w:r>
    </w:p>
    <w:p w14:paraId="68EFC7E0"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85 </w:t>
      </w:r>
      <w:r w:rsidRPr="00E67E52">
        <w:rPr>
          <w:rFonts w:ascii="Book Antiqua" w:hAnsi="Book Antiqua"/>
          <w:b/>
          <w:bCs/>
        </w:rPr>
        <w:t>Dickey W</w:t>
      </w:r>
      <w:r w:rsidRPr="00E67E52">
        <w:rPr>
          <w:rFonts w:ascii="Book Antiqua" w:hAnsi="Book Antiqua"/>
        </w:rPr>
        <w:t>. Colon neoplasia co-existing with coeliac disease in older patients: coincidental, probably; important, certainly. </w:t>
      </w:r>
      <w:r w:rsidRPr="00E67E52">
        <w:rPr>
          <w:rFonts w:ascii="Book Antiqua" w:hAnsi="Book Antiqua"/>
          <w:i/>
          <w:iCs/>
        </w:rPr>
        <w:t>Scand J Gastroenterol</w:t>
      </w:r>
      <w:r w:rsidRPr="00E67E52">
        <w:rPr>
          <w:rFonts w:ascii="Book Antiqua" w:hAnsi="Book Antiqua"/>
        </w:rPr>
        <w:t> 2002; </w:t>
      </w:r>
      <w:r w:rsidRPr="00E67E52">
        <w:rPr>
          <w:rFonts w:ascii="Book Antiqua" w:hAnsi="Book Antiqua"/>
          <w:b/>
          <w:bCs/>
        </w:rPr>
        <w:t>37</w:t>
      </w:r>
      <w:r w:rsidRPr="00E67E52">
        <w:rPr>
          <w:rFonts w:ascii="Book Antiqua" w:hAnsi="Book Antiqua"/>
        </w:rPr>
        <w:t>: 1054-1056 [PMID: 12374231 DOI: 10.1080/003655202320378257]</w:t>
      </w:r>
    </w:p>
    <w:p w14:paraId="51D3BCA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86 </w:t>
      </w:r>
      <w:r w:rsidRPr="00E67E52">
        <w:rPr>
          <w:rFonts w:ascii="Book Antiqua" w:hAnsi="Book Antiqua"/>
          <w:b/>
          <w:bCs/>
        </w:rPr>
        <w:t>Lebwohl B</w:t>
      </w:r>
      <w:r w:rsidRPr="00E67E52">
        <w:rPr>
          <w:rFonts w:ascii="Book Antiqua" w:hAnsi="Book Antiqua"/>
        </w:rPr>
        <w:t>, Stavsky E, Neugut AI, Green PH. Risk of colorectal adenomas in patients with coeliac disease. </w:t>
      </w:r>
      <w:r w:rsidRPr="00E67E52">
        <w:rPr>
          <w:rFonts w:ascii="Book Antiqua" w:hAnsi="Book Antiqua"/>
          <w:i/>
          <w:iCs/>
        </w:rPr>
        <w:t>Aliment Pharmacol Ther</w:t>
      </w:r>
      <w:r w:rsidRPr="00E67E52">
        <w:rPr>
          <w:rFonts w:ascii="Book Antiqua" w:hAnsi="Book Antiqua"/>
        </w:rPr>
        <w:t> 2010; </w:t>
      </w:r>
      <w:r w:rsidRPr="00E67E52">
        <w:rPr>
          <w:rFonts w:ascii="Book Antiqua" w:hAnsi="Book Antiqua"/>
          <w:b/>
          <w:bCs/>
        </w:rPr>
        <w:t>32</w:t>
      </w:r>
      <w:r w:rsidRPr="00E67E52">
        <w:rPr>
          <w:rFonts w:ascii="Book Antiqua" w:hAnsi="Book Antiqua"/>
        </w:rPr>
        <w:t>: 1037-1043 [PMID: 20937050 DOI: 10.1111/j.1365-2036.2010.04440.x]</w:t>
      </w:r>
    </w:p>
    <w:p w14:paraId="42F9628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87 </w:t>
      </w:r>
      <w:r w:rsidRPr="00E67E52">
        <w:rPr>
          <w:rFonts w:ascii="Book Antiqua" w:hAnsi="Book Antiqua"/>
          <w:b/>
          <w:bCs/>
        </w:rPr>
        <w:t>González R</w:t>
      </w:r>
      <w:r w:rsidRPr="00E67E52">
        <w:rPr>
          <w:rFonts w:ascii="Book Antiqua" w:hAnsi="Book Antiqua"/>
        </w:rPr>
        <w:t>, Pereyra L, Mohaidle A, Mella JM, Fischer C, Medrano MA, Vizcaino B, Hadad AR, Luna P, Cimmino DG, Pedreira SC, Boerr LA. [Celiac disease and risk of colorectal neoplasia]. </w:t>
      </w:r>
      <w:r w:rsidRPr="00E67E52">
        <w:rPr>
          <w:rFonts w:ascii="Book Antiqua" w:hAnsi="Book Antiqua"/>
          <w:i/>
          <w:iCs/>
        </w:rPr>
        <w:t>Acta Gastroenterol Latinoam</w:t>
      </w:r>
      <w:r w:rsidRPr="00E67E52">
        <w:rPr>
          <w:rFonts w:ascii="Book Antiqua" w:hAnsi="Book Antiqua"/>
        </w:rPr>
        <w:t> 2012; </w:t>
      </w:r>
      <w:r w:rsidRPr="00E67E52">
        <w:rPr>
          <w:rFonts w:ascii="Book Antiqua" w:hAnsi="Book Antiqua"/>
          <w:b/>
          <w:bCs/>
        </w:rPr>
        <w:t>42</w:t>
      </w:r>
      <w:r w:rsidRPr="00E67E52">
        <w:rPr>
          <w:rFonts w:ascii="Book Antiqua" w:hAnsi="Book Antiqua"/>
        </w:rPr>
        <w:t>: 87-91 [</w:t>
      </w:r>
      <w:bookmarkStart w:id="71" w:name="OLE_LINK27"/>
      <w:bookmarkStart w:id="72" w:name="OLE_LINK28"/>
      <w:r w:rsidRPr="00E67E52">
        <w:rPr>
          <w:rFonts w:ascii="Book Antiqua" w:hAnsi="Book Antiqua"/>
        </w:rPr>
        <w:t>PMID: 22876709</w:t>
      </w:r>
      <w:bookmarkEnd w:id="71"/>
      <w:bookmarkEnd w:id="72"/>
      <w:r w:rsidRPr="00E67E52">
        <w:rPr>
          <w:rFonts w:ascii="Book Antiqua" w:hAnsi="Book Antiqua"/>
        </w:rPr>
        <w:t>]</w:t>
      </w:r>
    </w:p>
    <w:p w14:paraId="7445CBA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88 </w:t>
      </w:r>
      <w:r w:rsidRPr="00E67E52">
        <w:rPr>
          <w:rFonts w:ascii="Book Antiqua" w:hAnsi="Book Antiqua"/>
          <w:b/>
          <w:bCs/>
        </w:rPr>
        <w:t>Lasa J</w:t>
      </w:r>
      <w:r w:rsidRPr="00E67E52">
        <w:rPr>
          <w:rFonts w:ascii="Book Antiqua" w:hAnsi="Book Antiqua"/>
        </w:rPr>
        <w:t>, Rausch A, Zubiaurre I. Risk of colorectal adenomas in patients with celiac disease: a systematic review and meta-analysis. </w:t>
      </w:r>
      <w:r w:rsidRPr="00E67E52">
        <w:rPr>
          <w:rFonts w:ascii="Book Antiqua" w:hAnsi="Book Antiqua"/>
          <w:i/>
          <w:iCs/>
        </w:rPr>
        <w:t>Rev Gastroenterol Mex (Engl Ed)</w:t>
      </w:r>
      <w:r w:rsidRPr="00E67E52">
        <w:rPr>
          <w:rFonts w:ascii="Book Antiqua" w:hAnsi="Book Antiqua"/>
        </w:rPr>
        <w:t> 2018; </w:t>
      </w:r>
      <w:r w:rsidRPr="00E67E52">
        <w:rPr>
          <w:rFonts w:ascii="Book Antiqua" w:hAnsi="Book Antiqua"/>
          <w:b/>
          <w:bCs/>
        </w:rPr>
        <w:t>83</w:t>
      </w:r>
      <w:r w:rsidRPr="00E67E52">
        <w:rPr>
          <w:rFonts w:ascii="Book Antiqua" w:hAnsi="Book Antiqua"/>
        </w:rPr>
        <w:t>: 91-97 [PMID: 29422261 DOI: 10.1016/j.rgmx.2017.05.007]</w:t>
      </w:r>
    </w:p>
    <w:p w14:paraId="34A2B41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89 </w:t>
      </w:r>
      <w:r w:rsidRPr="00E67E52">
        <w:rPr>
          <w:rFonts w:ascii="Book Antiqua" w:hAnsi="Book Antiqua"/>
          <w:b/>
          <w:bCs/>
        </w:rPr>
        <w:t>Freeman HJ</w:t>
      </w:r>
      <w:r w:rsidRPr="00E67E52">
        <w:rPr>
          <w:rFonts w:ascii="Book Antiqua" w:hAnsi="Book Antiqua"/>
        </w:rPr>
        <w:t>. Adult celiac disease and its malignant complications. </w:t>
      </w:r>
      <w:r w:rsidRPr="00E67E52">
        <w:rPr>
          <w:rFonts w:ascii="Book Antiqua" w:hAnsi="Book Antiqua"/>
          <w:i/>
          <w:iCs/>
        </w:rPr>
        <w:t>Gut Liver</w:t>
      </w:r>
      <w:r w:rsidRPr="00E67E52">
        <w:rPr>
          <w:rFonts w:ascii="Book Antiqua" w:hAnsi="Book Antiqua"/>
        </w:rPr>
        <w:t> 2009; </w:t>
      </w:r>
      <w:r w:rsidRPr="00E67E52">
        <w:rPr>
          <w:rFonts w:ascii="Book Antiqua" w:hAnsi="Book Antiqua"/>
          <w:b/>
          <w:bCs/>
        </w:rPr>
        <w:t>3</w:t>
      </w:r>
      <w:r w:rsidRPr="00E67E52">
        <w:rPr>
          <w:rFonts w:ascii="Book Antiqua" w:hAnsi="Book Antiqua"/>
        </w:rPr>
        <w:t>: 237-246 [PMID: 20431755 DOI: 10.5009/gnl.2009.3.4.237]</w:t>
      </w:r>
    </w:p>
    <w:p w14:paraId="60E48C7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90 </w:t>
      </w:r>
      <w:r w:rsidRPr="00E67E52">
        <w:rPr>
          <w:rFonts w:ascii="Book Antiqua" w:hAnsi="Book Antiqua"/>
          <w:b/>
          <w:bCs/>
        </w:rPr>
        <w:t>Pereyra L</w:t>
      </w:r>
      <w:r w:rsidRPr="00E67E52">
        <w:rPr>
          <w:rFonts w:ascii="Book Antiqua" w:hAnsi="Book Antiqua"/>
        </w:rPr>
        <w:t>, Gonzalez R, Mohaidle A, Fischer C, Mella JM, Panigadi GN, Manazzoni D, Matoso MD, Lasa JS, Novillo A, De Paula J, Soifer L, Nadales A, Cimmino DG, Pedreira S, Boerr L. Risk of colorectal neoplasia in patients with celiac disease: a multicenter study. </w:t>
      </w:r>
      <w:r w:rsidRPr="00E67E52">
        <w:rPr>
          <w:rFonts w:ascii="Book Antiqua" w:hAnsi="Book Antiqua"/>
          <w:i/>
          <w:iCs/>
        </w:rPr>
        <w:t>J Crohns Colitis</w:t>
      </w:r>
      <w:r w:rsidRPr="00E67E52">
        <w:rPr>
          <w:rFonts w:ascii="Book Antiqua" w:hAnsi="Book Antiqua"/>
        </w:rPr>
        <w:t> 2013; </w:t>
      </w:r>
      <w:r w:rsidRPr="00E67E52">
        <w:rPr>
          <w:rFonts w:ascii="Book Antiqua" w:hAnsi="Book Antiqua"/>
          <w:b/>
          <w:bCs/>
        </w:rPr>
        <w:t>7</w:t>
      </w:r>
      <w:r w:rsidRPr="00E67E52">
        <w:rPr>
          <w:rFonts w:ascii="Book Antiqua" w:hAnsi="Book Antiqua"/>
        </w:rPr>
        <w:t>: e672-e677 [PMID: 23845233 DOI: 10.1016/j.crohns.2013.06.005]</w:t>
      </w:r>
    </w:p>
    <w:p w14:paraId="3AEE439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91 </w:t>
      </w:r>
      <w:r w:rsidRPr="00E67E52">
        <w:rPr>
          <w:rFonts w:ascii="Book Antiqua" w:hAnsi="Book Antiqua"/>
          <w:b/>
          <w:bCs/>
        </w:rPr>
        <w:t>Thies F</w:t>
      </w:r>
      <w:r w:rsidRPr="00E67E52">
        <w:rPr>
          <w:rFonts w:ascii="Book Antiqua" w:hAnsi="Book Antiqua"/>
        </w:rPr>
        <w:t>, Masson LF, Boffetta P, Kris-Etherton P. Oats and bowel disease: a systematic literature review. </w:t>
      </w:r>
      <w:r w:rsidRPr="00E67E52">
        <w:rPr>
          <w:rFonts w:ascii="Book Antiqua" w:hAnsi="Book Antiqua"/>
          <w:i/>
          <w:iCs/>
        </w:rPr>
        <w:t>Br J Nutr</w:t>
      </w:r>
      <w:r w:rsidRPr="00E67E52">
        <w:rPr>
          <w:rFonts w:ascii="Book Antiqua" w:hAnsi="Book Antiqua"/>
        </w:rPr>
        <w:t> 2014; </w:t>
      </w:r>
      <w:r w:rsidRPr="00E67E52">
        <w:rPr>
          <w:rFonts w:ascii="Book Antiqua" w:hAnsi="Book Antiqua"/>
          <w:b/>
          <w:bCs/>
        </w:rPr>
        <w:t>112 Suppl 2</w:t>
      </w:r>
      <w:r w:rsidRPr="00E67E52">
        <w:rPr>
          <w:rFonts w:ascii="Book Antiqua" w:hAnsi="Book Antiqua"/>
        </w:rPr>
        <w:t>: S31-S43 [</w:t>
      </w:r>
      <w:bookmarkStart w:id="73" w:name="OLE_LINK29"/>
      <w:r w:rsidRPr="00E67E52">
        <w:rPr>
          <w:rFonts w:ascii="Book Antiqua" w:hAnsi="Book Antiqua"/>
        </w:rPr>
        <w:t>PMID: 25267242</w:t>
      </w:r>
      <w:bookmarkEnd w:id="73"/>
      <w:r w:rsidRPr="00E67E52">
        <w:rPr>
          <w:rFonts w:ascii="Book Antiqua" w:hAnsi="Book Antiqua"/>
        </w:rPr>
        <w:t xml:space="preserve"> DOI: 10.1017/S0007114514002293]</w:t>
      </w:r>
    </w:p>
    <w:p w14:paraId="61A4E4A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92 </w:t>
      </w:r>
      <w:r w:rsidRPr="00E67E52">
        <w:rPr>
          <w:rFonts w:ascii="Book Antiqua" w:hAnsi="Book Antiqua"/>
          <w:b/>
          <w:bCs/>
        </w:rPr>
        <w:t>O'Farrelly C</w:t>
      </w:r>
      <w:r w:rsidRPr="00E67E52">
        <w:rPr>
          <w:rFonts w:ascii="Book Antiqua" w:hAnsi="Book Antiqua"/>
        </w:rPr>
        <w:t>, Feighery C, O'Briain DS, Stevens F, Connolly CE, McCarthy C, Weir DG. Humoral response to wheat protein in patients with coeliac disease and enteropathy associated T cell lymphoma. </w:t>
      </w:r>
      <w:r w:rsidRPr="00E67E52">
        <w:rPr>
          <w:rFonts w:ascii="Book Antiqua" w:hAnsi="Book Antiqua"/>
          <w:i/>
          <w:iCs/>
        </w:rPr>
        <w:t>Br Med J (Clin Res Ed)</w:t>
      </w:r>
      <w:r w:rsidRPr="00E67E52">
        <w:rPr>
          <w:rFonts w:ascii="Book Antiqua" w:hAnsi="Book Antiqua"/>
        </w:rPr>
        <w:t> 1986; </w:t>
      </w:r>
      <w:r w:rsidRPr="00E67E52">
        <w:rPr>
          <w:rFonts w:ascii="Book Antiqua" w:hAnsi="Book Antiqua"/>
          <w:b/>
          <w:bCs/>
        </w:rPr>
        <w:t>293</w:t>
      </w:r>
      <w:r w:rsidRPr="00E67E52">
        <w:rPr>
          <w:rFonts w:ascii="Book Antiqua" w:hAnsi="Book Antiqua"/>
        </w:rPr>
        <w:t>: 908-910 [PMID: 3094712 DOI: 10.1136/bmj.293.6552.908]</w:t>
      </w:r>
    </w:p>
    <w:p w14:paraId="0DE5D0B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93 </w:t>
      </w:r>
      <w:r w:rsidRPr="00E67E52">
        <w:rPr>
          <w:rFonts w:ascii="Book Antiqua" w:hAnsi="Book Antiqua"/>
          <w:b/>
          <w:bCs/>
        </w:rPr>
        <w:t>Chott A</w:t>
      </w:r>
      <w:r w:rsidRPr="00E67E52">
        <w:rPr>
          <w:rFonts w:ascii="Book Antiqua" w:hAnsi="Book Antiqua"/>
        </w:rPr>
        <w:t>, Haedicke W, Mosberger I, Födinger M, Winkler K, Mannhalter C, Müller-Hermelink HK. Most CD56+ intestinal lymphomas are CD8+CD5-T-cell lymphomas of monomorphic small to medium size histology. </w:t>
      </w:r>
      <w:r w:rsidRPr="00E67E52">
        <w:rPr>
          <w:rFonts w:ascii="Book Antiqua" w:hAnsi="Book Antiqua"/>
          <w:i/>
          <w:iCs/>
        </w:rPr>
        <w:t>Am J Pathol</w:t>
      </w:r>
      <w:r w:rsidRPr="00E67E52">
        <w:rPr>
          <w:rFonts w:ascii="Book Antiqua" w:hAnsi="Book Antiqua"/>
        </w:rPr>
        <w:t> 1998; </w:t>
      </w:r>
      <w:r w:rsidRPr="00E67E52">
        <w:rPr>
          <w:rFonts w:ascii="Book Antiqua" w:hAnsi="Book Antiqua"/>
          <w:b/>
          <w:bCs/>
        </w:rPr>
        <w:t>153</w:t>
      </w:r>
      <w:r w:rsidRPr="00E67E52">
        <w:rPr>
          <w:rFonts w:ascii="Book Antiqua" w:hAnsi="Book Antiqua"/>
        </w:rPr>
        <w:t>: 1483-1490 [PMID: 9811340 DOI: 10.1016/s0002-9440(10)65736-7]</w:t>
      </w:r>
    </w:p>
    <w:p w14:paraId="4484A65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94 </w:t>
      </w:r>
      <w:r w:rsidRPr="00E67E52">
        <w:rPr>
          <w:rFonts w:ascii="Book Antiqua" w:hAnsi="Book Antiqua"/>
          <w:b/>
          <w:bCs/>
        </w:rPr>
        <w:t>Delabie J</w:t>
      </w:r>
      <w:r w:rsidRPr="00E67E52">
        <w:rPr>
          <w:rFonts w:ascii="Book Antiqua" w:hAnsi="Book Antiqua"/>
        </w:rPr>
        <w:t xml:space="preserve">, Holte H, Vose JM, Ullrich F, Jaffe ES, Savage KJ, Connors JM, Rimsza L, Harris NL, Müller-Hermelink K, Rüdiger T, Coiffier B, Gascoyne RD, Berger F, Tobinai K, Au WY, Liang R, Montserrat E, Hochberg EP, Pileri S, Federico M, Nathwani B, </w:t>
      </w:r>
      <w:r w:rsidRPr="00E67E52">
        <w:rPr>
          <w:rFonts w:ascii="Book Antiqua" w:hAnsi="Book Antiqua"/>
        </w:rPr>
        <w:lastRenderedPageBreak/>
        <w:t>Armitage JO, Weisenburger DD. Enteropathy-associated T-cell lymphoma: clinical and histological findings from the international peripheral T-cell lymphoma project. </w:t>
      </w:r>
      <w:r w:rsidRPr="00E67E52">
        <w:rPr>
          <w:rFonts w:ascii="Book Antiqua" w:hAnsi="Book Antiqua"/>
          <w:i/>
          <w:iCs/>
        </w:rPr>
        <w:t>Blood</w:t>
      </w:r>
      <w:r w:rsidRPr="00E67E52">
        <w:rPr>
          <w:rFonts w:ascii="Book Antiqua" w:hAnsi="Book Antiqua"/>
        </w:rPr>
        <w:t> 2011; </w:t>
      </w:r>
      <w:r w:rsidRPr="00E67E52">
        <w:rPr>
          <w:rFonts w:ascii="Book Antiqua" w:hAnsi="Book Antiqua"/>
          <w:b/>
          <w:bCs/>
        </w:rPr>
        <w:t>118</w:t>
      </w:r>
      <w:r w:rsidRPr="00E67E52">
        <w:rPr>
          <w:rFonts w:ascii="Book Antiqua" w:hAnsi="Book Antiqua"/>
        </w:rPr>
        <w:t>: 148-155 [PMID: 21566094 DOI: 10.1182/blood-2011-02-335216]</w:t>
      </w:r>
    </w:p>
    <w:p w14:paraId="2FEF2C3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95 </w:t>
      </w:r>
      <w:r w:rsidRPr="00E67E52">
        <w:rPr>
          <w:rFonts w:ascii="Book Antiqua" w:hAnsi="Book Antiqua"/>
          <w:b/>
          <w:bCs/>
        </w:rPr>
        <w:t>van de Water JM</w:t>
      </w:r>
      <w:r w:rsidRPr="00E67E52">
        <w:rPr>
          <w:rFonts w:ascii="Book Antiqua" w:hAnsi="Book Antiqua"/>
        </w:rPr>
        <w:t>, Cillessen SA, Visser OJ, Verbeek WH, Meijer CJ, Mulder CJ. Enteropathy associated T-cell lymphoma and its precursor lesions. </w:t>
      </w:r>
      <w:r w:rsidRPr="00E67E52">
        <w:rPr>
          <w:rFonts w:ascii="Book Antiqua" w:hAnsi="Book Antiqua"/>
          <w:i/>
          <w:iCs/>
        </w:rPr>
        <w:t>Best Pract Res Clin Gastroenterol</w:t>
      </w:r>
      <w:r w:rsidRPr="00E67E52">
        <w:rPr>
          <w:rFonts w:ascii="Book Antiqua" w:hAnsi="Book Antiqua"/>
        </w:rPr>
        <w:t> 2010; </w:t>
      </w:r>
      <w:r w:rsidRPr="00E67E52">
        <w:rPr>
          <w:rFonts w:ascii="Book Antiqua" w:hAnsi="Book Antiqua"/>
          <w:b/>
          <w:bCs/>
        </w:rPr>
        <w:t>24</w:t>
      </w:r>
      <w:r w:rsidRPr="00E67E52">
        <w:rPr>
          <w:rFonts w:ascii="Book Antiqua" w:hAnsi="Book Antiqua"/>
        </w:rPr>
        <w:t>: 43-56 [PMID: 20206108 DOI: 10.1016/j.bpg.2009.11.002]</w:t>
      </w:r>
    </w:p>
    <w:p w14:paraId="0580A33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96 </w:t>
      </w:r>
      <w:r w:rsidRPr="00E67E52">
        <w:rPr>
          <w:rFonts w:ascii="Book Antiqua" w:hAnsi="Book Antiqua"/>
          <w:b/>
          <w:bCs/>
        </w:rPr>
        <w:t>Eigner W</w:t>
      </w:r>
      <w:r w:rsidRPr="00E67E52">
        <w:rPr>
          <w:rFonts w:ascii="Book Antiqua" w:hAnsi="Book Antiqua"/>
        </w:rPr>
        <w:t>, Bashir K, Primas C, Kazemi-Shirazi L, Wrba F, Trauner M, Vogelsang H. Dynamics of occurrence of refractory coeliac disease and associated complications over 25 years. </w:t>
      </w:r>
      <w:r w:rsidRPr="00E67E52">
        <w:rPr>
          <w:rFonts w:ascii="Book Antiqua" w:hAnsi="Book Antiqua"/>
          <w:i/>
          <w:iCs/>
        </w:rPr>
        <w:t>Aliment Pharmacol Ther</w:t>
      </w:r>
      <w:r w:rsidRPr="00E67E52">
        <w:rPr>
          <w:rFonts w:ascii="Book Antiqua" w:hAnsi="Book Antiqua"/>
        </w:rPr>
        <w:t> 2017; </w:t>
      </w:r>
      <w:r w:rsidRPr="00E67E52">
        <w:rPr>
          <w:rFonts w:ascii="Book Antiqua" w:hAnsi="Book Antiqua"/>
          <w:b/>
          <w:bCs/>
        </w:rPr>
        <w:t>45</w:t>
      </w:r>
      <w:r w:rsidRPr="00E67E52">
        <w:rPr>
          <w:rFonts w:ascii="Book Antiqua" w:hAnsi="Book Antiqua"/>
        </w:rPr>
        <w:t>: 364-372 [PMID: 27885681 DOI: 10.1111/apt.13867]</w:t>
      </w:r>
    </w:p>
    <w:p w14:paraId="3302F96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97 </w:t>
      </w:r>
      <w:r w:rsidRPr="00E67E52">
        <w:rPr>
          <w:rFonts w:ascii="Book Antiqua" w:hAnsi="Book Antiqua"/>
          <w:b/>
          <w:bCs/>
        </w:rPr>
        <w:t>Holmes GK</w:t>
      </w:r>
      <w:r w:rsidRPr="00E67E52">
        <w:rPr>
          <w:rFonts w:ascii="Book Antiqua" w:hAnsi="Book Antiqua"/>
        </w:rPr>
        <w:t>, Prior P, Lane MR, Pope D, Allan RN. Malignancy in coeliac disease--effect of a gluten free diet. </w:t>
      </w:r>
      <w:r w:rsidRPr="00E67E52">
        <w:rPr>
          <w:rFonts w:ascii="Book Antiqua" w:hAnsi="Book Antiqua"/>
          <w:i/>
          <w:iCs/>
        </w:rPr>
        <w:t>Gut</w:t>
      </w:r>
      <w:r w:rsidRPr="00E67E52">
        <w:rPr>
          <w:rFonts w:ascii="Book Antiqua" w:hAnsi="Book Antiqua"/>
        </w:rPr>
        <w:t> 1989; </w:t>
      </w:r>
      <w:r w:rsidRPr="00E67E52">
        <w:rPr>
          <w:rFonts w:ascii="Book Antiqua" w:hAnsi="Book Antiqua"/>
          <w:b/>
          <w:bCs/>
        </w:rPr>
        <w:t>30</w:t>
      </w:r>
      <w:r w:rsidRPr="00E67E52">
        <w:rPr>
          <w:rFonts w:ascii="Book Antiqua" w:hAnsi="Book Antiqua"/>
        </w:rPr>
        <w:t>: 333-338 [PMID: 2707633 DOI: 10.1136/gut.30.3.333]</w:t>
      </w:r>
    </w:p>
    <w:p w14:paraId="1427D97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98 </w:t>
      </w:r>
      <w:r w:rsidRPr="00E67E52">
        <w:rPr>
          <w:rFonts w:ascii="Book Antiqua" w:hAnsi="Book Antiqua"/>
          <w:b/>
          <w:bCs/>
        </w:rPr>
        <w:t>Collin P</w:t>
      </w:r>
      <w:r w:rsidRPr="00E67E52">
        <w:rPr>
          <w:rFonts w:ascii="Book Antiqua" w:hAnsi="Book Antiqua"/>
        </w:rPr>
        <w:t>, Reunala T, Pukkala E, Laippala P, Keyriläinen O, Pasternack A. Coeliac disease--associated disorders and survival. </w:t>
      </w:r>
      <w:r w:rsidRPr="00E67E52">
        <w:rPr>
          <w:rFonts w:ascii="Book Antiqua" w:hAnsi="Book Antiqua"/>
          <w:i/>
          <w:iCs/>
        </w:rPr>
        <w:t>Gut</w:t>
      </w:r>
      <w:r w:rsidRPr="00E67E52">
        <w:rPr>
          <w:rFonts w:ascii="Book Antiqua" w:hAnsi="Book Antiqua"/>
        </w:rPr>
        <w:t> 1994; </w:t>
      </w:r>
      <w:r w:rsidRPr="00E67E52">
        <w:rPr>
          <w:rFonts w:ascii="Book Antiqua" w:hAnsi="Book Antiqua"/>
          <w:b/>
          <w:bCs/>
        </w:rPr>
        <w:t>35</w:t>
      </w:r>
      <w:r w:rsidRPr="00E67E52">
        <w:rPr>
          <w:rFonts w:ascii="Book Antiqua" w:hAnsi="Book Antiqua"/>
        </w:rPr>
        <w:t>: 1215-1218 [PMID: 7959226 DOI: 10.1136/gut.35.9.1215]</w:t>
      </w:r>
    </w:p>
    <w:p w14:paraId="57CF52CC"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99 </w:t>
      </w:r>
      <w:r w:rsidRPr="00E67E52">
        <w:rPr>
          <w:rFonts w:ascii="Book Antiqua" w:hAnsi="Book Antiqua"/>
          <w:b/>
          <w:bCs/>
        </w:rPr>
        <w:t>Silano M</w:t>
      </w:r>
      <w:r w:rsidRPr="00E67E52">
        <w:rPr>
          <w:rFonts w:ascii="Book Antiqua" w:hAnsi="Book Antiqua"/>
        </w:rPr>
        <w:t>, Volta U, Vincenzi AD, Dessì M, Vincenzi MD; Collaborating Centers of the Italian Registry of the Complications of Coeliac Disease. Effect of a gluten-free diet on the risk of enteropathy-associated T-cell lymphoma in celiac disease. </w:t>
      </w:r>
      <w:r w:rsidRPr="00E67E52">
        <w:rPr>
          <w:rFonts w:ascii="Book Antiqua" w:hAnsi="Book Antiqua"/>
          <w:i/>
          <w:iCs/>
        </w:rPr>
        <w:t>Dig Dis Sci</w:t>
      </w:r>
      <w:r w:rsidRPr="00E67E52">
        <w:rPr>
          <w:rFonts w:ascii="Book Antiqua" w:hAnsi="Book Antiqua"/>
        </w:rPr>
        <w:t> 2008; </w:t>
      </w:r>
      <w:r w:rsidRPr="00E67E52">
        <w:rPr>
          <w:rFonts w:ascii="Book Antiqua" w:hAnsi="Book Antiqua"/>
          <w:b/>
          <w:bCs/>
        </w:rPr>
        <w:t>53</w:t>
      </w:r>
      <w:r w:rsidRPr="00E67E52">
        <w:rPr>
          <w:rFonts w:ascii="Book Antiqua" w:hAnsi="Book Antiqua"/>
        </w:rPr>
        <w:t>: 972-976 [PMID: 17934841 DOI: 10.1007/s10620-007-9952-8]</w:t>
      </w:r>
    </w:p>
    <w:p w14:paraId="47A8336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100 </w:t>
      </w:r>
      <w:r w:rsidRPr="00E67E52">
        <w:rPr>
          <w:rFonts w:ascii="Book Antiqua" w:hAnsi="Book Antiqua"/>
          <w:b/>
          <w:bCs/>
        </w:rPr>
        <w:t>Swinson CM</w:t>
      </w:r>
      <w:r w:rsidRPr="00E67E52">
        <w:rPr>
          <w:rFonts w:ascii="Book Antiqua" w:hAnsi="Book Antiqua"/>
        </w:rPr>
        <w:t>, Slavin G, Coles EC, Booth CC. Coeliac disease and malignancy. </w:t>
      </w:r>
      <w:r w:rsidRPr="00E67E52">
        <w:rPr>
          <w:rFonts w:ascii="Book Antiqua" w:hAnsi="Book Antiqua"/>
          <w:i/>
          <w:iCs/>
        </w:rPr>
        <w:t>Lancet</w:t>
      </w:r>
      <w:r w:rsidRPr="00E67E52">
        <w:rPr>
          <w:rFonts w:ascii="Book Antiqua" w:hAnsi="Book Antiqua"/>
        </w:rPr>
        <w:t> 1983; </w:t>
      </w:r>
      <w:r w:rsidRPr="00E67E52">
        <w:rPr>
          <w:rFonts w:ascii="Book Antiqua" w:hAnsi="Book Antiqua"/>
          <w:b/>
          <w:bCs/>
        </w:rPr>
        <w:t>1</w:t>
      </w:r>
      <w:r w:rsidRPr="00E67E52">
        <w:rPr>
          <w:rFonts w:ascii="Book Antiqua" w:hAnsi="Book Antiqua"/>
        </w:rPr>
        <w:t>: 111-115 [PMID: 6129425 DOI: 10.1016/s0140-6736(83)91754-3]</w:t>
      </w:r>
    </w:p>
    <w:p w14:paraId="1AC8C159"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101 </w:t>
      </w:r>
      <w:r w:rsidRPr="00E67E52">
        <w:rPr>
          <w:rFonts w:ascii="Book Antiqua" w:hAnsi="Book Antiqua"/>
          <w:b/>
          <w:bCs/>
        </w:rPr>
        <w:t>Green PH</w:t>
      </w:r>
      <w:r w:rsidRPr="00E67E52">
        <w:rPr>
          <w:rFonts w:ascii="Book Antiqua" w:hAnsi="Book Antiqua"/>
        </w:rPr>
        <w:t>, Fleischauer AT, Bhagat G, Goyal R, Jabri B, Neugut AI. Risk of malignancy in patients with celiac disease. </w:t>
      </w:r>
      <w:r w:rsidRPr="00E67E52">
        <w:rPr>
          <w:rFonts w:ascii="Book Antiqua" w:hAnsi="Book Antiqua"/>
          <w:i/>
          <w:iCs/>
        </w:rPr>
        <w:t>Am J Med</w:t>
      </w:r>
      <w:r w:rsidRPr="00E67E52">
        <w:rPr>
          <w:rFonts w:ascii="Book Antiqua" w:hAnsi="Book Antiqua"/>
        </w:rPr>
        <w:t> 2003; </w:t>
      </w:r>
      <w:r w:rsidRPr="00E67E52">
        <w:rPr>
          <w:rFonts w:ascii="Book Antiqua" w:hAnsi="Book Antiqua"/>
          <w:b/>
          <w:bCs/>
        </w:rPr>
        <w:t>115</w:t>
      </w:r>
      <w:r w:rsidRPr="00E67E52">
        <w:rPr>
          <w:rFonts w:ascii="Book Antiqua" w:hAnsi="Book Antiqua"/>
        </w:rPr>
        <w:t>: 191-195 [PMID: 12935825 DOI: 10.1016/s0002-9343(03)00302-4]</w:t>
      </w:r>
    </w:p>
    <w:p w14:paraId="22AE3F63"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102 </w:t>
      </w:r>
      <w:r w:rsidRPr="00E67E52">
        <w:rPr>
          <w:rFonts w:ascii="Book Antiqua" w:hAnsi="Book Antiqua"/>
          <w:b/>
          <w:bCs/>
        </w:rPr>
        <w:t>Peters U</w:t>
      </w:r>
      <w:r w:rsidRPr="00E67E52">
        <w:rPr>
          <w:rFonts w:ascii="Book Antiqua" w:hAnsi="Book Antiqua"/>
        </w:rPr>
        <w:t>, Askling J, Gridley G, Ekbom A, Linet M. Causes of death in patients with celiac disease in a population-based Swedish cohort. </w:t>
      </w:r>
      <w:r w:rsidRPr="00E67E52">
        <w:rPr>
          <w:rFonts w:ascii="Book Antiqua" w:hAnsi="Book Antiqua"/>
          <w:i/>
          <w:iCs/>
        </w:rPr>
        <w:t>Arch Intern Med</w:t>
      </w:r>
      <w:r w:rsidRPr="00E67E52">
        <w:rPr>
          <w:rFonts w:ascii="Book Antiqua" w:hAnsi="Book Antiqua"/>
        </w:rPr>
        <w:t> 2003; </w:t>
      </w:r>
      <w:r w:rsidRPr="00E67E52">
        <w:rPr>
          <w:rFonts w:ascii="Book Antiqua" w:hAnsi="Book Antiqua"/>
          <w:b/>
          <w:bCs/>
        </w:rPr>
        <w:t>163</w:t>
      </w:r>
      <w:r w:rsidRPr="00E67E52">
        <w:rPr>
          <w:rFonts w:ascii="Book Antiqua" w:hAnsi="Book Antiqua"/>
        </w:rPr>
        <w:t>: 1566-1572 [PMID: 12860579 DOI: 10.1001/archinte.163.13.1566]</w:t>
      </w:r>
    </w:p>
    <w:p w14:paraId="11C27A75"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103 </w:t>
      </w:r>
      <w:r w:rsidRPr="00E67E52">
        <w:rPr>
          <w:rFonts w:ascii="Book Antiqua" w:hAnsi="Book Antiqua"/>
          <w:b/>
          <w:bCs/>
        </w:rPr>
        <w:t>Catassi C</w:t>
      </w:r>
      <w:r w:rsidRPr="00E67E52">
        <w:rPr>
          <w:rFonts w:ascii="Book Antiqua" w:hAnsi="Book Antiqua"/>
        </w:rPr>
        <w:t>, Bearzi I, Holmes GK. Association of celiac disease and intestinal lymphomas and other cancers. </w:t>
      </w:r>
      <w:r w:rsidRPr="00E67E52">
        <w:rPr>
          <w:rFonts w:ascii="Book Antiqua" w:hAnsi="Book Antiqua"/>
          <w:i/>
          <w:iCs/>
        </w:rPr>
        <w:t>Gastroenterology</w:t>
      </w:r>
      <w:r w:rsidRPr="00E67E52">
        <w:rPr>
          <w:rFonts w:ascii="Book Antiqua" w:hAnsi="Book Antiqua"/>
        </w:rPr>
        <w:t> 2005; </w:t>
      </w:r>
      <w:r w:rsidRPr="00E67E52">
        <w:rPr>
          <w:rFonts w:ascii="Book Antiqua" w:hAnsi="Book Antiqua"/>
          <w:b/>
          <w:bCs/>
        </w:rPr>
        <w:t>128</w:t>
      </w:r>
      <w:r w:rsidRPr="00E67E52">
        <w:rPr>
          <w:rFonts w:ascii="Book Antiqua" w:hAnsi="Book Antiqua"/>
        </w:rPr>
        <w:t>: S79-S86 [PMID: 15825131 DOI: 10.1053/j.gastro.2005.02.027]</w:t>
      </w:r>
    </w:p>
    <w:p w14:paraId="6CE08489"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104 </w:t>
      </w:r>
      <w:r w:rsidRPr="00E67E52">
        <w:rPr>
          <w:rFonts w:ascii="Book Antiqua" w:hAnsi="Book Antiqua"/>
          <w:b/>
          <w:bCs/>
        </w:rPr>
        <w:t>Martín-Pagola A</w:t>
      </w:r>
      <w:r w:rsidRPr="00E67E52">
        <w:rPr>
          <w:rFonts w:ascii="Book Antiqua" w:hAnsi="Book Antiqua"/>
        </w:rPr>
        <w:t>, Ortiz-Paranza L, Bilbao JR, de Nanclares GP, Estevez EP, Castaño L, Vitoria JC. Two-year follow-up of anti-transglutaminase autoantibodies among celiac children on gluten-free diet: comparison of IgG and IgA. </w:t>
      </w:r>
      <w:r w:rsidRPr="00E67E52">
        <w:rPr>
          <w:rFonts w:ascii="Book Antiqua" w:hAnsi="Book Antiqua"/>
          <w:i/>
          <w:iCs/>
        </w:rPr>
        <w:t>Autoimmunity</w:t>
      </w:r>
      <w:r w:rsidRPr="00E67E52">
        <w:rPr>
          <w:rFonts w:ascii="Book Antiqua" w:hAnsi="Book Antiqua"/>
        </w:rPr>
        <w:t> 2007; </w:t>
      </w:r>
      <w:r w:rsidRPr="00E67E52">
        <w:rPr>
          <w:rFonts w:ascii="Book Antiqua" w:hAnsi="Book Antiqua"/>
          <w:b/>
          <w:bCs/>
        </w:rPr>
        <w:t>40</w:t>
      </w:r>
      <w:r w:rsidRPr="00E67E52">
        <w:rPr>
          <w:rFonts w:ascii="Book Antiqua" w:hAnsi="Book Antiqua"/>
        </w:rPr>
        <w:t>: 117-121 [PMID: 17364503 DOI: 10.1080/08916930601119260]</w:t>
      </w:r>
    </w:p>
    <w:p w14:paraId="7C497826"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105 </w:t>
      </w:r>
      <w:r w:rsidRPr="00E67E52">
        <w:rPr>
          <w:rFonts w:ascii="Book Antiqua" w:hAnsi="Book Antiqua"/>
          <w:b/>
          <w:bCs/>
        </w:rPr>
        <w:t>Malamut G</w:t>
      </w:r>
      <w:r w:rsidRPr="00E67E52">
        <w:rPr>
          <w:rFonts w:ascii="Book Antiqua" w:hAnsi="Book Antiqua"/>
        </w:rPr>
        <w:t>, Afchain P, Verkarre V, Lecomte T, Amiot A, Damotte D, Bouhnik Y, Colombel JF, Delchier JC, Allez M, Cosnes J, Lavergne-Slove A, Meresse B, Trinquart L, Macintyre E, Radford-Weiss I, Hermine O, Brousse N, Cerf-Bensussan N, Cellier C. Presentation and long-term follow-up of refractory celiac disease: comparison of type I with type II. </w:t>
      </w:r>
      <w:r w:rsidRPr="00E67E52">
        <w:rPr>
          <w:rFonts w:ascii="Book Antiqua" w:hAnsi="Book Antiqua"/>
          <w:i/>
          <w:iCs/>
        </w:rPr>
        <w:t>Gastroenterology</w:t>
      </w:r>
      <w:r w:rsidRPr="00E67E52">
        <w:rPr>
          <w:rFonts w:ascii="Book Antiqua" w:hAnsi="Book Antiqua"/>
        </w:rPr>
        <w:t> 2009; </w:t>
      </w:r>
      <w:r w:rsidRPr="00E67E52">
        <w:rPr>
          <w:rFonts w:ascii="Book Antiqua" w:hAnsi="Book Antiqua"/>
          <w:b/>
          <w:bCs/>
        </w:rPr>
        <w:t>136</w:t>
      </w:r>
      <w:r w:rsidRPr="00E67E52">
        <w:rPr>
          <w:rFonts w:ascii="Book Antiqua" w:hAnsi="Book Antiqua"/>
        </w:rPr>
        <w:t>: 81-90 [PMID: 19014942 DOI: 10.1053/j.gastro.2008.09.069]</w:t>
      </w:r>
    </w:p>
    <w:p w14:paraId="299337B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106 </w:t>
      </w:r>
      <w:r w:rsidRPr="00E67E52">
        <w:rPr>
          <w:rFonts w:ascii="Book Antiqua" w:hAnsi="Book Antiqua"/>
          <w:b/>
          <w:bCs/>
        </w:rPr>
        <w:t>Al-Toma A</w:t>
      </w:r>
      <w:r w:rsidRPr="00E67E52">
        <w:rPr>
          <w:rFonts w:ascii="Book Antiqua" w:hAnsi="Book Antiqua"/>
        </w:rPr>
        <w:t>, Verbeek WH, Hadithi M, von Blomberg BM, Mulder CJ. Survival in refractory coeliac disease and enteropathy-associated T-cell lymphoma: retrospective evaluation of single-centre experience. </w:t>
      </w:r>
      <w:r w:rsidRPr="00E67E52">
        <w:rPr>
          <w:rFonts w:ascii="Book Antiqua" w:hAnsi="Book Antiqua"/>
          <w:i/>
          <w:iCs/>
        </w:rPr>
        <w:t>Gut</w:t>
      </w:r>
      <w:r w:rsidRPr="00E67E52">
        <w:rPr>
          <w:rFonts w:ascii="Book Antiqua" w:hAnsi="Book Antiqua"/>
        </w:rPr>
        <w:t> 2007; </w:t>
      </w:r>
      <w:r w:rsidRPr="00E67E52">
        <w:rPr>
          <w:rFonts w:ascii="Book Antiqua" w:hAnsi="Book Antiqua"/>
          <w:b/>
          <w:bCs/>
        </w:rPr>
        <w:t>56</w:t>
      </w:r>
      <w:r w:rsidRPr="00E67E52">
        <w:rPr>
          <w:rFonts w:ascii="Book Antiqua" w:hAnsi="Book Antiqua"/>
        </w:rPr>
        <w:t>: 1373-1378 [PMID: 17470479 DOI: 10.1136/gut.2006.114512]</w:t>
      </w:r>
    </w:p>
    <w:p w14:paraId="0FCDA00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107 </w:t>
      </w:r>
      <w:r w:rsidRPr="00E67E52">
        <w:rPr>
          <w:rFonts w:ascii="Book Antiqua" w:hAnsi="Book Antiqua"/>
          <w:b/>
          <w:bCs/>
        </w:rPr>
        <w:t>Malamut G</w:t>
      </w:r>
      <w:r w:rsidRPr="00E67E52">
        <w:rPr>
          <w:rFonts w:ascii="Book Antiqua" w:hAnsi="Book Antiqua"/>
        </w:rPr>
        <w:t>, Chandesris O, Verkarre V, Meresse B, Callens C, Macintyre E, Bouhnik Y, Gornet JM, Allez M, Jian R, Berger A, Châtellier G, Brousse N, Hermine O, Cerf-Bensussan N, Cellier C. Enteropathy associated T cell lymphoma in celiac disease: a large retrospective study. </w:t>
      </w:r>
      <w:r w:rsidRPr="00E67E52">
        <w:rPr>
          <w:rFonts w:ascii="Book Antiqua" w:hAnsi="Book Antiqua"/>
          <w:i/>
          <w:iCs/>
        </w:rPr>
        <w:t>Dig Liver Dis</w:t>
      </w:r>
      <w:r w:rsidRPr="00E67E52">
        <w:rPr>
          <w:rFonts w:ascii="Book Antiqua" w:hAnsi="Book Antiqua"/>
        </w:rPr>
        <w:t> 2013; </w:t>
      </w:r>
      <w:r w:rsidRPr="00E67E52">
        <w:rPr>
          <w:rFonts w:ascii="Book Antiqua" w:hAnsi="Book Antiqua"/>
          <w:b/>
          <w:bCs/>
        </w:rPr>
        <w:t>45</w:t>
      </w:r>
      <w:r w:rsidRPr="00E67E52">
        <w:rPr>
          <w:rFonts w:ascii="Book Antiqua" w:hAnsi="Book Antiqua"/>
        </w:rPr>
        <w:t>: 377-384 [PMID: 23313469 DOI: 10.1016/j.dld.2012.12.001]</w:t>
      </w:r>
    </w:p>
    <w:p w14:paraId="5E8114FE"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108 </w:t>
      </w:r>
      <w:r w:rsidRPr="00E67E52">
        <w:rPr>
          <w:rFonts w:ascii="Book Antiqua" w:hAnsi="Book Antiqua"/>
          <w:b/>
          <w:bCs/>
        </w:rPr>
        <w:t>Rubio-Tapia A</w:t>
      </w:r>
      <w:r w:rsidRPr="00E67E52">
        <w:rPr>
          <w:rFonts w:ascii="Book Antiqua" w:hAnsi="Book Antiqua"/>
        </w:rPr>
        <w:t>, Kelly DG, Lahr BD, Dogan A, Wu TT, Murray JA. Clinical staging and survival in refractory celiac disease: a single center experience. </w:t>
      </w:r>
      <w:r w:rsidRPr="00E67E52">
        <w:rPr>
          <w:rFonts w:ascii="Book Antiqua" w:hAnsi="Book Antiqua"/>
          <w:i/>
          <w:iCs/>
        </w:rPr>
        <w:t>Gastroenterology</w:t>
      </w:r>
      <w:r w:rsidRPr="00E67E52">
        <w:rPr>
          <w:rFonts w:ascii="Book Antiqua" w:hAnsi="Book Antiqua"/>
        </w:rPr>
        <w:t> 2009; </w:t>
      </w:r>
      <w:r w:rsidRPr="00E67E52">
        <w:rPr>
          <w:rFonts w:ascii="Book Antiqua" w:hAnsi="Book Antiqua"/>
          <w:b/>
          <w:bCs/>
        </w:rPr>
        <w:t>136</w:t>
      </w:r>
      <w:r w:rsidRPr="00E67E52">
        <w:rPr>
          <w:rFonts w:ascii="Book Antiqua" w:hAnsi="Book Antiqua"/>
        </w:rPr>
        <w:t>: 99-107; quiz 352-3 [PMID: 18996383 DOI: 10.1053/j.gastro.2008.10.013]</w:t>
      </w:r>
    </w:p>
    <w:p w14:paraId="190F360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109 </w:t>
      </w:r>
      <w:r w:rsidRPr="00E67E52">
        <w:rPr>
          <w:rFonts w:ascii="Book Antiqua" w:hAnsi="Book Antiqua"/>
          <w:b/>
          <w:bCs/>
        </w:rPr>
        <w:t>Ciccocioppo R</w:t>
      </w:r>
      <w:r w:rsidRPr="00E67E52">
        <w:rPr>
          <w:rFonts w:ascii="Book Antiqua" w:hAnsi="Book Antiqua"/>
        </w:rPr>
        <w:t>, Perfetti V, Corazza GR. Treating ETTCL: A matter of early diagnosis and chemotherapy strategies. </w:t>
      </w:r>
      <w:r w:rsidRPr="00E67E52">
        <w:rPr>
          <w:rFonts w:ascii="Book Antiqua" w:hAnsi="Book Antiqua"/>
          <w:i/>
          <w:iCs/>
        </w:rPr>
        <w:t>Dig Liver Dis</w:t>
      </w:r>
      <w:r w:rsidRPr="00E67E52">
        <w:rPr>
          <w:rFonts w:ascii="Book Antiqua" w:hAnsi="Book Antiqua"/>
        </w:rPr>
        <w:t> 2007; </w:t>
      </w:r>
      <w:r w:rsidRPr="00E67E52">
        <w:rPr>
          <w:rFonts w:ascii="Book Antiqua" w:hAnsi="Book Antiqua"/>
          <w:b/>
          <w:bCs/>
        </w:rPr>
        <w:t>39</w:t>
      </w:r>
      <w:r w:rsidRPr="00E67E52">
        <w:rPr>
          <w:rFonts w:ascii="Book Antiqua" w:hAnsi="Book Antiqua"/>
        </w:rPr>
        <w:t>: 642-645 [PMID: 17531553 DOI: 10.1016/j.dld.2007.04.009]</w:t>
      </w:r>
    </w:p>
    <w:p w14:paraId="7799927F"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110 </w:t>
      </w:r>
      <w:r w:rsidRPr="00E67E52">
        <w:rPr>
          <w:rFonts w:ascii="Book Antiqua" w:hAnsi="Book Antiqua"/>
          <w:b/>
          <w:bCs/>
        </w:rPr>
        <w:t>Nijeboer P</w:t>
      </w:r>
      <w:r w:rsidRPr="00E67E52">
        <w:rPr>
          <w:rFonts w:ascii="Book Antiqua" w:hAnsi="Book Antiqua"/>
        </w:rPr>
        <w:t>, van Wanrooij R, van Gils T, Wierdsma NJ, Tack GJ, Witte BI, Bontkes HJ, Visser O, Mulder C, Bouma G. Lymphoma development and survival in refractory coeliac disease type II: Histological response as prognostic factor. </w:t>
      </w:r>
      <w:r w:rsidRPr="00E67E52">
        <w:rPr>
          <w:rFonts w:ascii="Book Antiqua" w:hAnsi="Book Antiqua"/>
          <w:i/>
          <w:iCs/>
        </w:rPr>
        <w:t>United European Gastroenterol J</w:t>
      </w:r>
      <w:r w:rsidRPr="00E67E52">
        <w:rPr>
          <w:rFonts w:ascii="Book Antiqua" w:hAnsi="Book Antiqua"/>
        </w:rPr>
        <w:t> 2017; </w:t>
      </w:r>
      <w:r w:rsidRPr="00E67E52">
        <w:rPr>
          <w:rFonts w:ascii="Book Antiqua" w:hAnsi="Book Antiqua"/>
          <w:b/>
          <w:bCs/>
        </w:rPr>
        <w:t>5</w:t>
      </w:r>
      <w:r w:rsidRPr="00E67E52">
        <w:rPr>
          <w:rFonts w:ascii="Book Antiqua" w:hAnsi="Book Antiqua"/>
        </w:rPr>
        <w:t>: 208-217 [PMID: 28344788 DOI: 10.1177/2050640616646529]</w:t>
      </w:r>
    </w:p>
    <w:p w14:paraId="5996030D"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111 </w:t>
      </w:r>
      <w:r w:rsidRPr="00E67E52">
        <w:rPr>
          <w:rFonts w:ascii="Book Antiqua" w:hAnsi="Book Antiqua"/>
          <w:b/>
          <w:bCs/>
        </w:rPr>
        <w:t>Novakovic BJ</w:t>
      </w:r>
      <w:r w:rsidRPr="00E67E52">
        <w:rPr>
          <w:rFonts w:ascii="Book Antiqua" w:hAnsi="Book Antiqua"/>
        </w:rPr>
        <w:t>, Novakovic S, Frkovic-Grazio S. A single-center report on clinical features and treatment response in patients with intestinal T cell non-Hodgkin's lymphomas. </w:t>
      </w:r>
      <w:r w:rsidRPr="00E67E52">
        <w:rPr>
          <w:rFonts w:ascii="Book Antiqua" w:hAnsi="Book Antiqua"/>
          <w:i/>
          <w:iCs/>
        </w:rPr>
        <w:t>Oncol Rep</w:t>
      </w:r>
      <w:r w:rsidRPr="00E67E52">
        <w:rPr>
          <w:rFonts w:ascii="Book Antiqua" w:hAnsi="Book Antiqua"/>
        </w:rPr>
        <w:t> 2006; </w:t>
      </w:r>
      <w:r w:rsidRPr="00E67E52">
        <w:rPr>
          <w:rFonts w:ascii="Book Antiqua" w:hAnsi="Book Antiqua"/>
          <w:b/>
          <w:bCs/>
        </w:rPr>
        <w:t>16</w:t>
      </w:r>
      <w:r w:rsidRPr="00E67E52">
        <w:rPr>
          <w:rFonts w:ascii="Book Antiqua" w:hAnsi="Book Antiqua"/>
        </w:rPr>
        <w:t>: 191-195 [</w:t>
      </w:r>
      <w:bookmarkStart w:id="74" w:name="OLE_LINK30"/>
      <w:bookmarkStart w:id="75" w:name="OLE_LINK31"/>
      <w:r w:rsidRPr="00E67E52">
        <w:rPr>
          <w:rFonts w:ascii="Book Antiqua" w:hAnsi="Book Antiqua"/>
        </w:rPr>
        <w:t>PMID: 16786145</w:t>
      </w:r>
      <w:bookmarkEnd w:id="74"/>
      <w:bookmarkEnd w:id="75"/>
      <w:r w:rsidRPr="00E67E52">
        <w:rPr>
          <w:rFonts w:ascii="Book Antiqua" w:hAnsi="Book Antiqua"/>
        </w:rPr>
        <w:t>]</w:t>
      </w:r>
    </w:p>
    <w:p w14:paraId="6AFFFFB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112 </w:t>
      </w:r>
      <w:r w:rsidRPr="00E67E52">
        <w:rPr>
          <w:rFonts w:ascii="Book Antiqua" w:hAnsi="Book Antiqua"/>
          <w:b/>
          <w:bCs/>
        </w:rPr>
        <w:t>Daum S</w:t>
      </w:r>
      <w:r w:rsidRPr="00E67E52">
        <w:rPr>
          <w:rFonts w:ascii="Book Antiqua" w:hAnsi="Book Antiqua"/>
        </w:rPr>
        <w:t>, Ullrich R, Heise W, Dederke B, Foss HD, Stein H, Thiel E, Zeitz M, Riecken EO. Intestinal non-Hodgkin's lymphoma: a multicenter prospective clinical study from the German Study Group on Intestinal non-Hodgkin's Lymphoma. </w:t>
      </w:r>
      <w:r w:rsidRPr="00E67E52">
        <w:rPr>
          <w:rFonts w:ascii="Book Antiqua" w:hAnsi="Book Antiqua"/>
          <w:i/>
          <w:iCs/>
        </w:rPr>
        <w:t>J Clin Oncol</w:t>
      </w:r>
      <w:r w:rsidRPr="00E67E52">
        <w:rPr>
          <w:rFonts w:ascii="Book Antiqua" w:hAnsi="Book Antiqua"/>
        </w:rPr>
        <w:t> 2003; </w:t>
      </w:r>
      <w:r w:rsidRPr="00E67E52">
        <w:rPr>
          <w:rFonts w:ascii="Book Antiqua" w:hAnsi="Book Antiqua"/>
          <w:b/>
          <w:bCs/>
        </w:rPr>
        <w:t>21</w:t>
      </w:r>
      <w:r w:rsidRPr="00E67E52">
        <w:rPr>
          <w:rFonts w:ascii="Book Antiqua" w:hAnsi="Book Antiqua"/>
        </w:rPr>
        <w:t>: 2740-2746 [PMID: 12860953 DOI: 10.1200/jco.2003.06.026]</w:t>
      </w:r>
    </w:p>
    <w:p w14:paraId="7A02AC5B"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113 </w:t>
      </w:r>
      <w:r w:rsidRPr="00E67E52">
        <w:rPr>
          <w:rFonts w:ascii="Book Antiqua" w:hAnsi="Book Antiqua"/>
          <w:b/>
          <w:bCs/>
        </w:rPr>
        <w:t>Gale J</w:t>
      </w:r>
      <w:r w:rsidRPr="00E67E52">
        <w:rPr>
          <w:rFonts w:ascii="Book Antiqua" w:hAnsi="Book Antiqua"/>
        </w:rPr>
        <w:t>, Simmonds PD, Mead GM, Sweetenham JW, Wright DH. Enteropathy-type intestinal T-cell lymphoma: clinical features and treatment of 31 patients in a single center. </w:t>
      </w:r>
      <w:r w:rsidRPr="00E67E52">
        <w:rPr>
          <w:rFonts w:ascii="Book Antiqua" w:hAnsi="Book Antiqua"/>
          <w:i/>
          <w:iCs/>
        </w:rPr>
        <w:t>J Clin Oncol</w:t>
      </w:r>
      <w:r w:rsidRPr="00E67E52">
        <w:rPr>
          <w:rFonts w:ascii="Book Antiqua" w:hAnsi="Book Antiqua"/>
        </w:rPr>
        <w:t> 2000; </w:t>
      </w:r>
      <w:r w:rsidRPr="00E67E52">
        <w:rPr>
          <w:rFonts w:ascii="Book Antiqua" w:hAnsi="Book Antiqua"/>
          <w:b/>
          <w:bCs/>
        </w:rPr>
        <w:t>18</w:t>
      </w:r>
      <w:r w:rsidRPr="00E67E52">
        <w:rPr>
          <w:rFonts w:ascii="Book Antiqua" w:hAnsi="Book Antiqua"/>
        </w:rPr>
        <w:t>: 795-803 [PMID: 10673521 DOI: 10.1200/jco.2000.18.4.795]</w:t>
      </w:r>
    </w:p>
    <w:p w14:paraId="539B0FFA"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114 </w:t>
      </w:r>
      <w:r w:rsidRPr="00E67E52">
        <w:rPr>
          <w:rFonts w:ascii="Book Antiqua" w:hAnsi="Book Antiqua"/>
          <w:b/>
          <w:bCs/>
        </w:rPr>
        <w:t>Sieniawski M</w:t>
      </w:r>
      <w:r w:rsidRPr="00E67E52">
        <w:rPr>
          <w:rFonts w:ascii="Book Antiqua" w:hAnsi="Book Antiqua"/>
        </w:rPr>
        <w:t>, Angamuthu N, Boyd K, Chasty R, Davies J, Forsyth P, Jack F, Lyons S, Mounter P, Revell P, Proctor SJ, Lennard AL. Evaluation of enteropathy-associated T-cell lymphoma comparing standard therapies with a novel regimen including autologous stem cell transplantation. </w:t>
      </w:r>
      <w:r w:rsidRPr="00E67E52">
        <w:rPr>
          <w:rFonts w:ascii="Book Antiqua" w:hAnsi="Book Antiqua"/>
          <w:i/>
          <w:iCs/>
        </w:rPr>
        <w:t>Blood</w:t>
      </w:r>
      <w:r w:rsidRPr="00E67E52">
        <w:rPr>
          <w:rFonts w:ascii="Book Antiqua" w:hAnsi="Book Antiqua"/>
        </w:rPr>
        <w:t> 2010; </w:t>
      </w:r>
      <w:r w:rsidRPr="00E67E52">
        <w:rPr>
          <w:rFonts w:ascii="Book Antiqua" w:hAnsi="Book Antiqua"/>
          <w:b/>
          <w:bCs/>
        </w:rPr>
        <w:t>115</w:t>
      </w:r>
      <w:r w:rsidRPr="00E67E52">
        <w:rPr>
          <w:rFonts w:ascii="Book Antiqua" w:hAnsi="Book Antiqua"/>
        </w:rPr>
        <w:t>: 3664-3670 [PMID: 20197551 DOI: 10.1182/blood-2009-07-231324]</w:t>
      </w:r>
    </w:p>
    <w:p w14:paraId="7EC0B977"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115 </w:t>
      </w:r>
      <w:r w:rsidRPr="00E67E52">
        <w:rPr>
          <w:rFonts w:ascii="Book Antiqua" w:hAnsi="Book Antiqua"/>
          <w:b/>
          <w:bCs/>
        </w:rPr>
        <w:t>Yokoyama S</w:t>
      </w:r>
      <w:r w:rsidRPr="00E67E52">
        <w:rPr>
          <w:rFonts w:ascii="Book Antiqua" w:hAnsi="Book Antiqua"/>
        </w:rPr>
        <w:t>, Perera PY, Waldmann TA, Hiroi T, Perera LP. Tofacitinib, a janus kinase inhibitor demonstrates efficacy in an IL-15 transgenic mouse model that recapitulates pathologic manifestations of celiac disease. </w:t>
      </w:r>
      <w:r w:rsidRPr="00E67E52">
        <w:rPr>
          <w:rFonts w:ascii="Book Antiqua" w:hAnsi="Book Antiqua"/>
          <w:i/>
          <w:iCs/>
        </w:rPr>
        <w:t>J Clin Immunol</w:t>
      </w:r>
      <w:r w:rsidRPr="00E67E52">
        <w:rPr>
          <w:rFonts w:ascii="Book Antiqua" w:hAnsi="Book Antiqua"/>
        </w:rPr>
        <w:t> 2013; </w:t>
      </w:r>
      <w:r w:rsidRPr="00E67E52">
        <w:rPr>
          <w:rFonts w:ascii="Book Antiqua" w:hAnsi="Book Antiqua"/>
          <w:b/>
          <w:bCs/>
        </w:rPr>
        <w:t>33</w:t>
      </w:r>
      <w:r w:rsidRPr="00E67E52">
        <w:rPr>
          <w:rFonts w:ascii="Book Antiqua" w:hAnsi="Book Antiqua"/>
        </w:rPr>
        <w:t>: 586-594 [PMID: 23269601 DOI: 10.1007/s10875-012-9849-y]</w:t>
      </w:r>
    </w:p>
    <w:p w14:paraId="42980DA8"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116 </w:t>
      </w:r>
      <w:r w:rsidRPr="00E67E52">
        <w:rPr>
          <w:rFonts w:ascii="Book Antiqua" w:hAnsi="Book Antiqua"/>
          <w:b/>
          <w:bCs/>
        </w:rPr>
        <w:t>Sestak K</w:t>
      </w:r>
      <w:r w:rsidRPr="00E67E52">
        <w:rPr>
          <w:rFonts w:ascii="Book Antiqua" w:hAnsi="Book Antiqua"/>
        </w:rPr>
        <w:t>, Dufour JP, Liu DX, Rout N, Alvarez X, Blanchard J, Faldas A, Laine DJ, Clarke AW, Doyle AG. Beneficial Effects of Human Anti-Interleukin-15 Antibody in Gluten-Sensitive Rhesus Macaques with Celiac Disease. </w:t>
      </w:r>
      <w:r w:rsidRPr="00E67E52">
        <w:rPr>
          <w:rFonts w:ascii="Book Antiqua" w:hAnsi="Book Antiqua"/>
          <w:i/>
          <w:iCs/>
        </w:rPr>
        <w:t>Front Immunol</w:t>
      </w:r>
      <w:r w:rsidRPr="00E67E52">
        <w:rPr>
          <w:rFonts w:ascii="Book Antiqua" w:hAnsi="Book Antiqua"/>
        </w:rPr>
        <w:t> 2018; </w:t>
      </w:r>
      <w:r w:rsidRPr="00E67E52">
        <w:rPr>
          <w:rFonts w:ascii="Book Antiqua" w:hAnsi="Book Antiqua"/>
          <w:b/>
          <w:bCs/>
        </w:rPr>
        <w:t>9</w:t>
      </w:r>
      <w:r w:rsidRPr="00E67E52">
        <w:rPr>
          <w:rFonts w:ascii="Book Antiqua" w:hAnsi="Book Antiqua"/>
        </w:rPr>
        <w:t>: 1603 [PMID: 30050538 DOI: 10.3389/fimmu.2018.01603]</w:t>
      </w:r>
    </w:p>
    <w:p w14:paraId="5E50B095"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t>117 </w:t>
      </w:r>
      <w:r w:rsidRPr="00E67E52">
        <w:rPr>
          <w:rFonts w:ascii="Book Antiqua" w:hAnsi="Book Antiqua"/>
          <w:b/>
          <w:bCs/>
        </w:rPr>
        <w:t>Chibbar R</w:t>
      </w:r>
      <w:r w:rsidRPr="00E67E52">
        <w:rPr>
          <w:rFonts w:ascii="Book Antiqua" w:hAnsi="Book Antiqua"/>
        </w:rPr>
        <w:t>, Nostedt J, Mihalicz D, Deschenes J, McLean R, Dieleman LA. Refractory Celiac Disease Type II: A Case Report and Literature Review. </w:t>
      </w:r>
      <w:r w:rsidRPr="00E67E52">
        <w:rPr>
          <w:rFonts w:ascii="Book Antiqua" w:hAnsi="Book Antiqua"/>
          <w:i/>
          <w:iCs/>
        </w:rPr>
        <w:t>Front Med (Lausanne)</w:t>
      </w:r>
      <w:r w:rsidRPr="00E67E52">
        <w:rPr>
          <w:rFonts w:ascii="Book Antiqua" w:hAnsi="Book Antiqua"/>
        </w:rPr>
        <w:t> 2020; </w:t>
      </w:r>
      <w:r w:rsidRPr="00E67E52">
        <w:rPr>
          <w:rFonts w:ascii="Book Antiqua" w:hAnsi="Book Antiqua"/>
          <w:b/>
          <w:bCs/>
        </w:rPr>
        <w:t>7</w:t>
      </w:r>
      <w:r w:rsidRPr="00E67E52">
        <w:rPr>
          <w:rFonts w:ascii="Book Antiqua" w:hAnsi="Book Antiqua"/>
        </w:rPr>
        <w:t>: 564875 [PMID: 33344468 DOI: 10.3389/fmed.2020.564875]</w:t>
      </w:r>
    </w:p>
    <w:p w14:paraId="58933A11" w14:textId="77777777" w:rsidR="00E67E52" w:rsidRPr="00E67E52" w:rsidRDefault="00E67E52" w:rsidP="00E67E52">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67E52">
        <w:rPr>
          <w:rFonts w:ascii="Book Antiqua" w:hAnsi="Book Antiqua"/>
        </w:rPr>
        <w:lastRenderedPageBreak/>
        <w:t>118 </w:t>
      </w:r>
      <w:r w:rsidRPr="00E67E52">
        <w:rPr>
          <w:rFonts w:ascii="Book Antiqua" w:hAnsi="Book Antiqua"/>
          <w:b/>
          <w:bCs/>
        </w:rPr>
        <w:t>Cellier C</w:t>
      </w:r>
      <w:r w:rsidRPr="00E67E52">
        <w:rPr>
          <w:rFonts w:ascii="Book Antiqua" w:hAnsi="Book Antiqua"/>
        </w:rPr>
        <w:t>, Bouma G, van Gils T, Khater S, Malamut G, Crespo L, Collin P, Green PHR, Crowe SE, Tsuji W, Butz E, Cerf-Bensussan N, Macintyre E, Parnes JR, Leon F, Hermine O, Mulder CJ; RCD-II Study Group Investigators. Safety and efficacy of AMG 714 in patients with type 2 refractory coeliac disease: a phase 2a, randomised, double-blind, placebo-controlled, parallel-group study. </w:t>
      </w:r>
      <w:r w:rsidRPr="00E67E52">
        <w:rPr>
          <w:rFonts w:ascii="Book Antiqua" w:hAnsi="Book Antiqua"/>
          <w:i/>
          <w:iCs/>
        </w:rPr>
        <w:t>Lancet Gastroenterol Hepatol</w:t>
      </w:r>
      <w:r w:rsidRPr="00E67E52">
        <w:rPr>
          <w:rFonts w:ascii="Book Antiqua" w:hAnsi="Book Antiqua"/>
        </w:rPr>
        <w:t> 2019; </w:t>
      </w:r>
      <w:r w:rsidRPr="00E67E52">
        <w:rPr>
          <w:rFonts w:ascii="Book Antiqua" w:hAnsi="Book Antiqua"/>
          <w:b/>
          <w:bCs/>
        </w:rPr>
        <w:t>4</w:t>
      </w:r>
      <w:r w:rsidRPr="00E67E52">
        <w:rPr>
          <w:rFonts w:ascii="Book Antiqua" w:hAnsi="Book Antiqua"/>
        </w:rPr>
        <w:t>: 960-970 [</w:t>
      </w:r>
      <w:bookmarkStart w:id="76" w:name="OLE_LINK32"/>
      <w:r w:rsidRPr="00E67E52">
        <w:rPr>
          <w:rFonts w:ascii="Book Antiqua" w:hAnsi="Book Antiqua"/>
        </w:rPr>
        <w:t>PMID: 31494097</w:t>
      </w:r>
      <w:bookmarkEnd w:id="76"/>
      <w:r w:rsidRPr="00E67E52">
        <w:rPr>
          <w:rFonts w:ascii="Book Antiqua" w:hAnsi="Book Antiqua"/>
        </w:rPr>
        <w:t xml:space="preserve"> DOI: 10.1016/S2468-1253(19)30265-1]</w:t>
      </w:r>
    </w:p>
    <w:bookmarkEnd w:id="56"/>
    <w:bookmarkEnd w:id="57"/>
    <w:p w14:paraId="232774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A44998" w14:textId="77777777" w:rsidR="00A77B3E" w:rsidRDefault="000B09B6">
      <w:pPr>
        <w:spacing w:line="360" w:lineRule="auto"/>
        <w:jc w:val="both"/>
      </w:pPr>
      <w:r>
        <w:rPr>
          <w:rFonts w:ascii="Book Antiqua" w:eastAsia="Book Antiqua" w:hAnsi="Book Antiqua" w:cs="Book Antiqua"/>
          <w:b/>
          <w:color w:val="000000"/>
        </w:rPr>
        <w:lastRenderedPageBreak/>
        <w:t>Footnotes</w:t>
      </w:r>
    </w:p>
    <w:p w14:paraId="28A80D7C" w14:textId="0822A689" w:rsidR="00A77B3E" w:rsidRDefault="000B09B6">
      <w:pPr>
        <w:spacing w:line="360" w:lineRule="auto"/>
        <w:jc w:val="both"/>
      </w:pPr>
      <w:r>
        <w:rPr>
          <w:rFonts w:ascii="Book Antiqua" w:eastAsia="Book Antiqua" w:hAnsi="Book Antiqua" w:cs="Book Antiqua"/>
          <w:b/>
          <w:bCs/>
          <w:color w:val="000000"/>
          <w:szCs w:val="21"/>
        </w:rPr>
        <w:t>Conflict-of-interest statement:</w:t>
      </w:r>
      <w:r w:rsidRPr="00D26315">
        <w:rPr>
          <w:rFonts w:ascii="Book Antiqua" w:eastAsia="Book Antiqua" w:hAnsi="Book Antiqua" w:cs="Book Antiqua"/>
          <w:color w:val="000000"/>
          <w:szCs w:val="21"/>
        </w:rPr>
        <w:t xml:space="preserve"> </w:t>
      </w:r>
      <w:bookmarkStart w:id="77" w:name="OLE_LINK200"/>
      <w:bookmarkStart w:id="78" w:name="OLE_LINK201"/>
      <w:r w:rsidR="00E266BA" w:rsidRPr="00D26315">
        <w:rPr>
          <w:rFonts w:ascii="Book Antiqua" w:eastAsia="Book Antiqua" w:hAnsi="Book Antiqua" w:cs="Book Antiqua"/>
          <w:color w:val="000000"/>
          <w:szCs w:val="21"/>
        </w:rPr>
        <w:t xml:space="preserve">The </w:t>
      </w:r>
      <w:r w:rsidR="00E266BA">
        <w:rPr>
          <w:rFonts w:ascii="Book Antiqua" w:eastAsia="Book Antiqua" w:hAnsi="Book Antiqua" w:cs="Book Antiqua"/>
          <w:color w:val="000000"/>
        </w:rPr>
        <w:t>a</w:t>
      </w:r>
      <w:r>
        <w:rPr>
          <w:rFonts w:ascii="Book Antiqua" w:eastAsia="Book Antiqua" w:hAnsi="Book Antiqua" w:cs="Book Antiqua"/>
          <w:color w:val="000000"/>
        </w:rPr>
        <w:t xml:space="preserve">uthors declare </w:t>
      </w:r>
      <w:r w:rsidR="00E266BA">
        <w:rPr>
          <w:rFonts w:ascii="Book Antiqua" w:eastAsia="Book Antiqua" w:hAnsi="Book Antiqua" w:cs="Book Antiqua"/>
          <w:color w:val="000000"/>
        </w:rPr>
        <w:t xml:space="preserve">that they have </w:t>
      </w:r>
      <w:r>
        <w:rPr>
          <w:rFonts w:ascii="Book Antiqua" w:eastAsia="Book Antiqua" w:hAnsi="Book Antiqua" w:cs="Book Antiqua"/>
          <w:color w:val="000000"/>
        </w:rPr>
        <w:t>no conflict</w:t>
      </w:r>
      <w:r w:rsidR="00E266BA">
        <w:rPr>
          <w:rFonts w:ascii="Book Antiqua" w:eastAsia="Book Antiqua" w:hAnsi="Book Antiqua" w:cs="Book Antiqua"/>
          <w:color w:val="000000"/>
        </w:rPr>
        <w:t>ing</w:t>
      </w:r>
      <w:r>
        <w:rPr>
          <w:rFonts w:ascii="Book Antiqua" w:eastAsia="Book Antiqua" w:hAnsi="Book Antiqua" w:cs="Book Antiqua"/>
          <w:color w:val="000000"/>
        </w:rPr>
        <w:t xml:space="preserve"> </w:t>
      </w:r>
      <w:r w:rsidR="00E266BA">
        <w:rPr>
          <w:rFonts w:ascii="Book Antiqua" w:eastAsia="Book Antiqua" w:hAnsi="Book Antiqua" w:cs="Book Antiqua"/>
          <w:color w:val="000000"/>
        </w:rPr>
        <w:t>i</w:t>
      </w:r>
      <w:r>
        <w:rPr>
          <w:rFonts w:ascii="Book Antiqua" w:eastAsia="Book Antiqua" w:hAnsi="Book Antiqua" w:cs="Book Antiqua"/>
          <w:color w:val="000000"/>
        </w:rPr>
        <w:t>nterests.</w:t>
      </w:r>
      <w:bookmarkEnd w:id="77"/>
      <w:bookmarkEnd w:id="78"/>
    </w:p>
    <w:p w14:paraId="521A098A" w14:textId="77777777" w:rsidR="00A77B3E" w:rsidRDefault="00A77B3E">
      <w:pPr>
        <w:spacing w:line="360" w:lineRule="auto"/>
        <w:jc w:val="both"/>
      </w:pPr>
    </w:p>
    <w:p w14:paraId="4BECD583" w14:textId="77777777" w:rsidR="00A77B3E" w:rsidRDefault="000B09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C7EF62" w14:textId="77777777" w:rsidR="00A77B3E" w:rsidRDefault="00A77B3E">
      <w:pPr>
        <w:spacing w:line="360" w:lineRule="auto"/>
        <w:jc w:val="both"/>
      </w:pPr>
    </w:p>
    <w:p w14:paraId="2C3778EA" w14:textId="77777777" w:rsidR="00A77B3E" w:rsidRDefault="000B09B6">
      <w:pPr>
        <w:spacing w:line="360" w:lineRule="auto"/>
        <w:jc w:val="both"/>
      </w:pPr>
      <w:r>
        <w:rPr>
          <w:rFonts w:ascii="Book Antiqua" w:eastAsia="Book Antiqua" w:hAnsi="Book Antiqua" w:cs="Book Antiqua"/>
          <w:b/>
          <w:color w:val="000000"/>
        </w:rPr>
        <w:t xml:space="preserve">Manuscript source: </w:t>
      </w:r>
      <w:r w:rsidR="00CE7B76">
        <w:rPr>
          <w:rFonts w:ascii="Book Antiqua" w:eastAsia="Book Antiqua" w:hAnsi="Book Antiqua" w:cs="Book Antiqua"/>
          <w:color w:val="000000"/>
        </w:rPr>
        <w:t xml:space="preserve">Invited </w:t>
      </w:r>
      <w:r w:rsidR="00CE7B7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7267B94" w14:textId="77777777" w:rsidR="00A77B3E" w:rsidRDefault="00A77B3E">
      <w:pPr>
        <w:spacing w:line="360" w:lineRule="auto"/>
        <w:jc w:val="both"/>
      </w:pPr>
    </w:p>
    <w:p w14:paraId="4A5FBD0C" w14:textId="77777777" w:rsidR="00A77B3E" w:rsidRDefault="000B09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55E45EDB" w14:textId="77777777" w:rsidR="00A77B3E" w:rsidRDefault="000B09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8, 2021</w:t>
      </w:r>
    </w:p>
    <w:p w14:paraId="3517EE2C" w14:textId="12C39257" w:rsidR="00A77B3E" w:rsidRDefault="000B09B6">
      <w:pPr>
        <w:spacing w:line="360" w:lineRule="auto"/>
        <w:jc w:val="both"/>
      </w:pPr>
      <w:r>
        <w:rPr>
          <w:rFonts w:ascii="Book Antiqua" w:eastAsia="Book Antiqua" w:hAnsi="Book Antiqua" w:cs="Book Antiqua"/>
          <w:b/>
          <w:color w:val="000000"/>
        </w:rPr>
        <w:t>Article in press:</w:t>
      </w:r>
    </w:p>
    <w:p w14:paraId="7218D610" w14:textId="77777777" w:rsidR="00A77B3E" w:rsidRDefault="00A77B3E">
      <w:pPr>
        <w:spacing w:line="360" w:lineRule="auto"/>
        <w:jc w:val="both"/>
      </w:pPr>
    </w:p>
    <w:p w14:paraId="3DD919FA" w14:textId="77777777" w:rsidR="00A77B3E" w:rsidRDefault="000B09B6">
      <w:pPr>
        <w:spacing w:line="360" w:lineRule="auto"/>
        <w:jc w:val="both"/>
      </w:pPr>
      <w:r>
        <w:rPr>
          <w:rFonts w:ascii="Book Antiqua" w:eastAsia="Book Antiqua" w:hAnsi="Book Antiqua" w:cs="Book Antiqua"/>
          <w:b/>
          <w:color w:val="000000"/>
        </w:rPr>
        <w:t xml:space="preserve">Specialty type: </w:t>
      </w:r>
      <w:r w:rsidR="00CE7B76">
        <w:rPr>
          <w:rFonts w:ascii="Book Antiqua" w:eastAsia="Book Antiqua" w:hAnsi="Book Antiqua" w:cs="Book Antiqua"/>
          <w:color w:val="000000"/>
        </w:rPr>
        <w:t xml:space="preserve">Gastroenterology and </w:t>
      </w:r>
      <w:r w:rsidR="00CE7B76">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CC65087" w14:textId="77777777" w:rsidR="00A77B3E" w:rsidRDefault="000B09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0C3A89" w14:textId="77777777" w:rsidR="00A77B3E" w:rsidRDefault="000B09B6">
      <w:pPr>
        <w:spacing w:line="360" w:lineRule="auto"/>
        <w:jc w:val="both"/>
      </w:pPr>
      <w:r>
        <w:rPr>
          <w:rFonts w:ascii="Book Antiqua" w:eastAsia="Book Antiqua" w:hAnsi="Book Antiqua" w:cs="Book Antiqua"/>
          <w:b/>
          <w:color w:val="000000"/>
        </w:rPr>
        <w:t>Peer-review report’s scientific quality classification</w:t>
      </w:r>
    </w:p>
    <w:p w14:paraId="432E7E66" w14:textId="77777777" w:rsidR="00A77B3E" w:rsidRDefault="000B09B6">
      <w:pPr>
        <w:spacing w:line="360" w:lineRule="auto"/>
        <w:jc w:val="both"/>
      </w:pPr>
      <w:r>
        <w:rPr>
          <w:rFonts w:ascii="Book Antiqua" w:eastAsia="Book Antiqua" w:hAnsi="Book Antiqua" w:cs="Book Antiqua"/>
          <w:color w:val="000000"/>
        </w:rPr>
        <w:t>Grade A (Excellent): 0</w:t>
      </w:r>
    </w:p>
    <w:p w14:paraId="69B3E6CB" w14:textId="77777777" w:rsidR="00A77B3E" w:rsidRDefault="000B09B6">
      <w:pPr>
        <w:spacing w:line="360" w:lineRule="auto"/>
        <w:jc w:val="both"/>
      </w:pPr>
      <w:r>
        <w:rPr>
          <w:rFonts w:ascii="Book Antiqua" w:eastAsia="Book Antiqua" w:hAnsi="Book Antiqua" w:cs="Book Antiqua"/>
          <w:color w:val="000000"/>
        </w:rPr>
        <w:t>Grade B (Very good): B</w:t>
      </w:r>
    </w:p>
    <w:p w14:paraId="35A9EE7C" w14:textId="77777777" w:rsidR="00A77B3E" w:rsidRDefault="000B09B6">
      <w:pPr>
        <w:spacing w:line="360" w:lineRule="auto"/>
        <w:jc w:val="both"/>
      </w:pPr>
      <w:r>
        <w:rPr>
          <w:rFonts w:ascii="Book Antiqua" w:eastAsia="Book Antiqua" w:hAnsi="Book Antiqua" w:cs="Book Antiqua"/>
          <w:color w:val="000000"/>
        </w:rPr>
        <w:t>Grade C (Good): 0</w:t>
      </w:r>
    </w:p>
    <w:p w14:paraId="532EE4BC" w14:textId="73D1C667" w:rsidR="00A77B3E" w:rsidRDefault="000B09B6">
      <w:pPr>
        <w:spacing w:line="360" w:lineRule="auto"/>
        <w:jc w:val="both"/>
      </w:pPr>
      <w:r>
        <w:rPr>
          <w:rFonts w:ascii="Book Antiqua" w:eastAsia="Book Antiqua" w:hAnsi="Book Antiqua" w:cs="Book Antiqua"/>
          <w:color w:val="000000"/>
        </w:rPr>
        <w:t>Grade D (Fair): 0</w:t>
      </w:r>
    </w:p>
    <w:p w14:paraId="4909EA65" w14:textId="77777777" w:rsidR="00A77B3E" w:rsidRDefault="000B09B6">
      <w:pPr>
        <w:spacing w:line="360" w:lineRule="auto"/>
        <w:jc w:val="both"/>
      </w:pPr>
      <w:r>
        <w:rPr>
          <w:rFonts w:ascii="Book Antiqua" w:eastAsia="Book Antiqua" w:hAnsi="Book Antiqua" w:cs="Book Antiqua"/>
          <w:color w:val="000000"/>
        </w:rPr>
        <w:t>Grade E (Poor): 0</w:t>
      </w:r>
    </w:p>
    <w:p w14:paraId="1C720653" w14:textId="77777777" w:rsidR="00A77B3E" w:rsidRDefault="00A77B3E">
      <w:pPr>
        <w:spacing w:line="360" w:lineRule="auto"/>
        <w:jc w:val="both"/>
      </w:pPr>
    </w:p>
    <w:p w14:paraId="5D696BA0" w14:textId="5D2C9886" w:rsidR="00A77B3E" w:rsidRDefault="000B09B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Sahin Y</w:t>
      </w:r>
      <w:r>
        <w:rPr>
          <w:rFonts w:ascii="Book Antiqua" w:eastAsia="Book Antiqua" w:hAnsi="Book Antiqua" w:cs="Book Antiqua"/>
          <w:b/>
          <w:color w:val="000000"/>
        </w:rPr>
        <w:t xml:space="preserve"> S-Editor: </w:t>
      </w:r>
      <w:r w:rsidR="00CE7B76">
        <w:rPr>
          <w:rFonts w:ascii="Book Antiqua" w:hAnsi="Book Antiqua" w:cs="Book Antiqua" w:hint="eastAsia"/>
          <w:color w:val="000000"/>
          <w:lang w:eastAsia="zh-CN"/>
        </w:rPr>
        <w:t>Zhang H</w:t>
      </w:r>
      <w:r w:rsidR="00CE7B76">
        <w:rPr>
          <w:rFonts w:ascii="Book Antiqua" w:eastAsia="Book Antiqua" w:hAnsi="Book Antiqua" w:cs="Book Antiqua"/>
          <w:b/>
          <w:color w:val="000000"/>
        </w:rPr>
        <w:t xml:space="preserve"> L-Editor:</w:t>
      </w:r>
      <w:r w:rsidR="00A7495B">
        <w:rPr>
          <w:rFonts w:ascii="Book Antiqua" w:eastAsia="Book Antiqua" w:hAnsi="Book Antiqua" w:cs="Book Antiqua"/>
          <w:b/>
          <w:color w:val="000000"/>
        </w:rPr>
        <w:t xml:space="preserve"> </w:t>
      </w:r>
      <w:r w:rsidR="00A7495B">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052D249" w14:textId="77777777" w:rsidR="00A77B3E" w:rsidRDefault="000B09B6">
      <w:pPr>
        <w:spacing w:line="360" w:lineRule="auto"/>
        <w:jc w:val="both"/>
      </w:pPr>
      <w:r>
        <w:rPr>
          <w:rFonts w:ascii="Book Antiqua" w:eastAsia="Book Antiqua" w:hAnsi="Book Antiqua" w:cs="Book Antiqua"/>
          <w:b/>
          <w:color w:val="000000"/>
        </w:rPr>
        <w:lastRenderedPageBreak/>
        <w:t>Figure Legends</w:t>
      </w:r>
    </w:p>
    <w:p w14:paraId="745A0957" w14:textId="77777777" w:rsidR="00365DAA" w:rsidRDefault="00365DA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57AB074" wp14:editId="5ED04322">
            <wp:extent cx="5416982" cy="4657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6465" cy="4657281"/>
                    </a:xfrm>
                    <a:prstGeom prst="rect">
                      <a:avLst/>
                    </a:prstGeom>
                    <a:noFill/>
                  </pic:spPr>
                </pic:pic>
              </a:graphicData>
            </a:graphic>
          </wp:inline>
        </w:drawing>
      </w:r>
    </w:p>
    <w:p w14:paraId="3D25521B" w14:textId="04898AC4" w:rsidR="00A77B3E" w:rsidRDefault="00EB02EF">
      <w:pPr>
        <w:spacing w:line="360" w:lineRule="auto"/>
        <w:jc w:val="both"/>
      </w:pPr>
      <w:bookmarkStart w:id="79" w:name="OLE_LINK202"/>
      <w:bookmarkStart w:id="80" w:name="OLE_LINK203"/>
      <w:r w:rsidRPr="001E7DC2">
        <w:rPr>
          <w:rFonts w:ascii="Book Antiqua" w:eastAsia="Book Antiqua" w:hAnsi="Book Antiqua" w:cs="Book Antiqua"/>
          <w:b/>
          <w:color w:val="000000"/>
        </w:rPr>
        <w:t>Figure 1</w:t>
      </w:r>
      <w:r w:rsidR="000B09B6" w:rsidRPr="001E7DC2">
        <w:rPr>
          <w:rFonts w:ascii="Book Antiqua" w:eastAsia="Book Antiqua" w:hAnsi="Book Antiqua" w:cs="Book Antiqua"/>
          <w:b/>
          <w:color w:val="000000"/>
          <w:szCs w:val="21"/>
        </w:rPr>
        <w:t xml:space="preserve"> Endoscopic findings in patients with and without celiac disease.</w:t>
      </w:r>
      <w:r w:rsidR="001E7DC2">
        <w:rPr>
          <w:rFonts w:ascii="Book Antiqua" w:eastAsia="Book Antiqua" w:hAnsi="Book Antiqua" w:cs="Book Antiqua"/>
          <w:color w:val="000000"/>
          <w:szCs w:val="21"/>
        </w:rPr>
        <w:t xml:space="preserve"> A</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High-definition endoscopic photo of normal duodenal bulb. The villi are clearly visible</w:t>
      </w:r>
      <w:r w:rsidR="00E266BA">
        <w:rPr>
          <w:rFonts w:ascii="Book Antiqua" w:eastAsia="Book Antiqua" w:hAnsi="Book Antiqua" w:cs="Book Antiqua"/>
          <w:color w:val="000000"/>
          <w:szCs w:val="21"/>
        </w:rPr>
        <w:t>,</w:t>
      </w:r>
      <w:r w:rsidR="000B09B6">
        <w:rPr>
          <w:rFonts w:ascii="Book Antiqua" w:eastAsia="Book Antiqua" w:hAnsi="Book Antiqua" w:cs="Book Antiqua"/>
          <w:color w:val="000000"/>
          <w:szCs w:val="21"/>
        </w:rPr>
        <w:t xml:space="preserve"> </w:t>
      </w:r>
      <w:r w:rsidR="00E266BA">
        <w:rPr>
          <w:rFonts w:ascii="Book Antiqua" w:eastAsia="Book Antiqua" w:hAnsi="Book Antiqua" w:cs="Book Antiqua"/>
          <w:color w:val="000000"/>
          <w:szCs w:val="21"/>
        </w:rPr>
        <w:t xml:space="preserve">and there is </w:t>
      </w:r>
      <w:r w:rsidR="000B09B6">
        <w:rPr>
          <w:rFonts w:ascii="Book Antiqua" w:eastAsia="Book Antiqua" w:hAnsi="Book Antiqua" w:cs="Book Antiqua"/>
          <w:color w:val="000000"/>
          <w:szCs w:val="21"/>
        </w:rPr>
        <w:t>no evidence of atr</w:t>
      </w:r>
      <w:r w:rsidR="001E7DC2">
        <w:rPr>
          <w:rFonts w:ascii="Book Antiqua" w:eastAsia="Book Antiqua" w:hAnsi="Book Antiqua" w:cs="Book Antiqua"/>
          <w:color w:val="000000"/>
          <w:szCs w:val="21"/>
        </w:rPr>
        <w:t>ophy or scalloping of the folds</w:t>
      </w:r>
      <w:r w:rsidR="001E7DC2">
        <w:rPr>
          <w:rFonts w:ascii="Book Antiqua" w:hAnsi="Book Antiqua" w:cs="Book Antiqua" w:hint="eastAsia"/>
          <w:color w:val="000000"/>
          <w:szCs w:val="21"/>
          <w:lang w:eastAsia="zh-CN"/>
        </w:rPr>
        <w:t>;</w:t>
      </w:r>
      <w:r w:rsidR="001E7DC2">
        <w:rPr>
          <w:rFonts w:ascii="Book Antiqua" w:eastAsia="Book Antiqua" w:hAnsi="Book Antiqua" w:cs="Book Antiqua"/>
          <w:color w:val="000000"/>
          <w:szCs w:val="21"/>
        </w:rPr>
        <w:t xml:space="preserve"> B</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The normal duodenal bulb </w:t>
      </w:r>
      <w:r w:rsidR="00E266BA">
        <w:rPr>
          <w:rFonts w:ascii="Book Antiqua" w:eastAsia="Book Antiqua" w:hAnsi="Book Antiqua" w:cs="Book Antiqua"/>
          <w:color w:val="000000"/>
          <w:szCs w:val="21"/>
        </w:rPr>
        <w:t xml:space="preserve">is </w:t>
      </w:r>
      <w:r w:rsidR="000B09B6">
        <w:rPr>
          <w:rFonts w:ascii="Book Antiqua" w:eastAsia="Book Antiqua" w:hAnsi="Book Antiqua" w:cs="Book Antiqua"/>
          <w:color w:val="000000"/>
          <w:szCs w:val="21"/>
        </w:rPr>
        <w:t>stained with indigo carmine</w:t>
      </w:r>
      <w:r w:rsidR="001E7DC2">
        <w:rPr>
          <w:rFonts w:ascii="Book Antiqua" w:hAnsi="Book Antiqua" w:cs="Book Antiqua" w:hint="eastAsia"/>
          <w:color w:val="000000"/>
          <w:szCs w:val="21"/>
          <w:lang w:eastAsia="zh-CN"/>
        </w:rPr>
        <w:t xml:space="preserve">; </w:t>
      </w:r>
      <w:r w:rsidR="001E7DC2">
        <w:rPr>
          <w:rFonts w:ascii="Book Antiqua" w:eastAsia="Book Antiqua" w:hAnsi="Book Antiqua" w:cs="Book Antiqua"/>
          <w:color w:val="000000"/>
          <w:szCs w:val="21"/>
        </w:rPr>
        <w:t>C</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High-definition endoscopic photo of celiac disease showing the characteristic loss of circular folds, fissuring, and cobblestone ap</w:t>
      </w:r>
      <w:r w:rsidR="001E7DC2">
        <w:rPr>
          <w:rFonts w:ascii="Book Antiqua" w:eastAsia="Book Antiqua" w:hAnsi="Book Antiqua" w:cs="Book Antiqua"/>
          <w:color w:val="000000"/>
          <w:szCs w:val="21"/>
        </w:rPr>
        <w:t>pearance of the duodenal mucosa</w:t>
      </w:r>
      <w:r w:rsidR="001E7DC2">
        <w:rPr>
          <w:rFonts w:ascii="Book Antiqua" w:hAnsi="Book Antiqua" w:cs="Book Antiqua" w:hint="eastAsia"/>
          <w:color w:val="000000"/>
          <w:szCs w:val="21"/>
          <w:lang w:eastAsia="zh-CN"/>
        </w:rPr>
        <w:t>;</w:t>
      </w:r>
      <w:r w:rsidR="001E7DC2">
        <w:rPr>
          <w:rFonts w:ascii="Book Antiqua" w:eastAsia="Book Antiqua" w:hAnsi="Book Antiqua" w:cs="Book Antiqua"/>
          <w:color w:val="000000"/>
          <w:szCs w:val="21"/>
        </w:rPr>
        <w:t xml:space="preserve"> D</w:t>
      </w:r>
      <w:r w:rsidR="001E7DC2">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w:t>
      </w:r>
      <w:r w:rsidR="00027FC3">
        <w:rPr>
          <w:rFonts w:ascii="Book Antiqua" w:eastAsia="Book Antiqua" w:hAnsi="Book Antiqua" w:cs="Book Antiqua"/>
          <w:color w:val="000000"/>
          <w:szCs w:val="21"/>
        </w:rPr>
        <w:t>D</w:t>
      </w:r>
      <w:r w:rsidR="000B09B6">
        <w:rPr>
          <w:rFonts w:ascii="Book Antiqua" w:eastAsia="Book Antiqua" w:hAnsi="Book Antiqua" w:cs="Book Antiqua"/>
          <w:color w:val="000000"/>
          <w:szCs w:val="21"/>
        </w:rPr>
        <w:t xml:space="preserve">uodenal bulb </w:t>
      </w:r>
      <w:r w:rsidR="00027FC3">
        <w:rPr>
          <w:rFonts w:ascii="Book Antiqua" w:eastAsia="Book Antiqua" w:hAnsi="Book Antiqua" w:cs="Book Antiqua"/>
          <w:color w:val="000000"/>
          <w:szCs w:val="21"/>
        </w:rPr>
        <w:t xml:space="preserve">from a patient with celiac disease </w:t>
      </w:r>
      <w:r w:rsidR="000B09B6">
        <w:rPr>
          <w:rFonts w:ascii="Book Antiqua" w:eastAsia="Book Antiqua" w:hAnsi="Book Antiqua" w:cs="Book Antiqua"/>
          <w:color w:val="000000"/>
          <w:szCs w:val="21"/>
        </w:rPr>
        <w:t>stained with indigo carmine.</w:t>
      </w:r>
    </w:p>
    <w:bookmarkEnd w:id="79"/>
    <w:bookmarkEnd w:id="80"/>
    <w:p w14:paraId="5BCBA741" w14:textId="77777777" w:rsidR="00A77B3E" w:rsidRDefault="001E7DC2">
      <w:pPr>
        <w:spacing w:line="360" w:lineRule="auto"/>
        <w:jc w:val="both"/>
      </w:pPr>
      <w:r>
        <w:br w:type="page"/>
      </w:r>
      <w:r w:rsidR="00365DAA">
        <w:rPr>
          <w:noProof/>
          <w:lang w:eastAsia="zh-CN"/>
        </w:rPr>
        <w:lastRenderedPageBreak/>
        <w:drawing>
          <wp:inline distT="0" distB="0" distL="0" distR="0" wp14:anchorId="76AC45E4" wp14:editId="4A02342A">
            <wp:extent cx="5943600" cy="22589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93" cy="2258992"/>
                    </a:xfrm>
                    <a:prstGeom prst="rect">
                      <a:avLst/>
                    </a:prstGeom>
                    <a:noFill/>
                  </pic:spPr>
                </pic:pic>
              </a:graphicData>
            </a:graphic>
          </wp:inline>
        </w:drawing>
      </w:r>
    </w:p>
    <w:p w14:paraId="2EDC5376" w14:textId="73AAB0C6" w:rsidR="00A77B3E" w:rsidRDefault="001E7DC2">
      <w:pPr>
        <w:spacing w:line="360" w:lineRule="auto"/>
        <w:jc w:val="both"/>
      </w:pPr>
      <w:bookmarkStart w:id="81" w:name="OLE_LINK204"/>
      <w:bookmarkStart w:id="82" w:name="OLE_LINK205"/>
      <w:bookmarkStart w:id="83" w:name="OLE_LINK206"/>
      <w:bookmarkStart w:id="84" w:name="OLE_LINK207"/>
      <w:r w:rsidRPr="001E7DC2">
        <w:rPr>
          <w:rFonts w:ascii="Book Antiqua" w:eastAsia="Book Antiqua" w:hAnsi="Book Antiqua" w:cs="Book Antiqua"/>
          <w:b/>
          <w:color w:val="000000"/>
        </w:rPr>
        <w:t>Figure 2</w:t>
      </w:r>
      <w:r w:rsidR="000B09B6" w:rsidRPr="001E7DC2">
        <w:rPr>
          <w:rFonts w:ascii="Book Antiqua" w:eastAsia="Book Antiqua" w:hAnsi="Book Antiqua" w:cs="Book Antiqua"/>
          <w:b/>
          <w:color w:val="000000"/>
          <w:szCs w:val="21"/>
        </w:rPr>
        <w:t xml:space="preserve"> Histologic findings in celiac disease.</w:t>
      </w:r>
      <w:r w:rsidR="000B09B6">
        <w:rPr>
          <w:rFonts w:ascii="Book Antiqua" w:eastAsia="Book Antiqua" w:hAnsi="Book Antiqua" w:cs="Book Antiqua"/>
          <w:color w:val="000000"/>
          <w:szCs w:val="21"/>
        </w:rPr>
        <w:t xml:space="preserve"> A</w:t>
      </w:r>
      <w:r>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Th</w:t>
      </w:r>
      <w:r w:rsidR="00027FC3">
        <w:rPr>
          <w:rFonts w:ascii="Book Antiqua" w:eastAsia="Book Antiqua" w:hAnsi="Book Antiqua" w:cs="Book Antiqua"/>
          <w:color w:val="000000"/>
          <w:szCs w:val="21"/>
        </w:rPr>
        <w:t>e</w:t>
      </w:r>
      <w:r w:rsidR="000B09B6">
        <w:rPr>
          <w:rFonts w:ascii="Book Antiqua" w:eastAsia="Book Antiqua" w:hAnsi="Book Antiqua" w:cs="Book Antiqua"/>
          <w:color w:val="000000"/>
          <w:szCs w:val="21"/>
        </w:rPr>
        <w:t xml:space="preserve"> specimen shows total villus atrophy</w:t>
      </w:r>
      <w:r w:rsidR="00027FC3">
        <w:rPr>
          <w:rFonts w:ascii="Book Antiqua" w:eastAsia="Book Antiqua" w:hAnsi="Book Antiqua" w:cs="Book Antiqua"/>
          <w:color w:val="000000"/>
          <w:szCs w:val="21"/>
        </w:rPr>
        <w:t xml:space="preserve"> and </w:t>
      </w:r>
      <w:r w:rsidR="000B09B6">
        <w:rPr>
          <w:rFonts w:ascii="Book Antiqua" w:eastAsia="Book Antiqua" w:hAnsi="Book Antiqua" w:cs="Book Antiqua"/>
          <w:color w:val="000000"/>
          <w:szCs w:val="21"/>
        </w:rPr>
        <w:t xml:space="preserve">increased </w:t>
      </w:r>
      <w:r w:rsidR="00005CB4" w:rsidRPr="00005CB4">
        <w:rPr>
          <w:rFonts w:ascii="Book Antiqua" w:eastAsia="Book Antiqua" w:hAnsi="Book Antiqua" w:cs="Book Antiqua"/>
          <w:color w:val="000000"/>
          <w:szCs w:val="21"/>
        </w:rPr>
        <w:t>intraepithelial lymphocytes (</w:t>
      </w:r>
      <w:bookmarkStart w:id="85" w:name="OLE_LINK35"/>
      <w:bookmarkStart w:id="86" w:name="OLE_LINK36"/>
      <w:r w:rsidR="00005CB4" w:rsidRPr="00005CB4">
        <w:rPr>
          <w:rFonts w:ascii="Book Antiqua" w:eastAsia="Book Antiqua" w:hAnsi="Book Antiqua" w:cs="Book Antiqua"/>
          <w:color w:val="000000"/>
          <w:szCs w:val="21"/>
        </w:rPr>
        <w:t>IELs</w:t>
      </w:r>
      <w:bookmarkEnd w:id="85"/>
      <w:bookmarkEnd w:id="86"/>
      <w:r w:rsidR="00005CB4" w:rsidRPr="00005CB4">
        <w:rPr>
          <w:rFonts w:ascii="Book Antiqua" w:eastAsia="Book Antiqua" w:hAnsi="Book Antiqua" w:cs="Book Antiqua"/>
          <w:color w:val="000000"/>
          <w:szCs w:val="21"/>
        </w:rPr>
        <w:t>)</w:t>
      </w:r>
      <w:r w:rsidR="00027FC3">
        <w:rPr>
          <w:rFonts w:ascii="Book Antiqua" w:eastAsia="Book Antiqua" w:hAnsi="Book Antiqua" w:cs="Book Antiqua"/>
          <w:color w:val="000000"/>
          <w:szCs w:val="21"/>
        </w:rPr>
        <w:t>,</w:t>
      </w:r>
      <w:r w:rsidR="000B09B6">
        <w:rPr>
          <w:rFonts w:ascii="Book Antiqua" w:eastAsia="Book Antiqua" w:hAnsi="Book Antiqua" w:cs="Book Antiqua"/>
          <w:color w:val="000000"/>
          <w:szCs w:val="21"/>
        </w:rPr>
        <w:t xml:space="preserve"> 60</w:t>
      </w:r>
      <w:r w:rsidR="00027FC3">
        <w:rPr>
          <w:rFonts w:ascii="Book Antiqua" w:eastAsia="Book Antiqua" w:hAnsi="Book Antiqua" w:cs="Book Antiqua"/>
          <w:color w:val="000000"/>
          <w:szCs w:val="21"/>
        </w:rPr>
        <w:t>/</w:t>
      </w:r>
      <w:r w:rsidR="000B09B6">
        <w:rPr>
          <w:rFonts w:ascii="Book Antiqua" w:eastAsia="Book Antiqua" w:hAnsi="Book Antiqua" w:cs="Book Antiqua"/>
          <w:color w:val="000000"/>
          <w:szCs w:val="21"/>
        </w:rPr>
        <w:t>100 epithelial cells, and crypt hyperplasia (hematoxylin and eosin</w:t>
      </w:r>
      <w:r>
        <w:rPr>
          <w:rFonts w:ascii="Book Antiqua" w:eastAsia="Book Antiqua" w:hAnsi="Book Antiqua" w:cs="Book Antiqua"/>
          <w:color w:val="000000"/>
          <w:szCs w:val="21"/>
        </w:rPr>
        <w:t>; original magnification 200</w:t>
      </w:r>
      <w:r w:rsidR="00DC300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w:t>
      </w:r>
      <w:r w:rsidR="000B09B6">
        <w:rPr>
          <w:rFonts w:ascii="Book Antiqua" w:eastAsia="Book Antiqua" w:hAnsi="Book Antiqua" w:cs="Book Antiqua"/>
          <w:color w:val="000000"/>
          <w:szCs w:val="21"/>
        </w:rPr>
        <w:t xml:space="preserve"> CD3 immunohistochemistry (200</w:t>
      </w:r>
      <w:r w:rsidR="00DC300C">
        <w:rPr>
          <w:rFonts w:ascii="Book Antiqua" w:eastAsia="Book Antiqua" w:hAnsi="Book Antiqua" w:cs="Book Antiqua"/>
          <w:color w:val="000000"/>
          <w:szCs w:val="21"/>
        </w:rPr>
        <w:t xml:space="preserve"> ×</w:t>
      </w:r>
      <w:r w:rsidR="000B09B6">
        <w:rPr>
          <w:rFonts w:ascii="Book Antiqua" w:eastAsia="Book Antiqua" w:hAnsi="Book Antiqua" w:cs="Book Antiqua"/>
          <w:color w:val="000000"/>
          <w:szCs w:val="21"/>
        </w:rPr>
        <w:t>).</w:t>
      </w:r>
      <w:bookmarkEnd w:id="81"/>
      <w:bookmarkEnd w:id="82"/>
      <w:bookmarkEnd w:id="83"/>
      <w:bookmarkEnd w:id="84"/>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766C3" w14:textId="77777777" w:rsidR="008F2C82" w:rsidRDefault="008F2C82" w:rsidP="00230C95">
      <w:r>
        <w:separator/>
      </w:r>
    </w:p>
  </w:endnote>
  <w:endnote w:type="continuationSeparator" w:id="0">
    <w:p w14:paraId="6641459A" w14:textId="77777777" w:rsidR="008F2C82" w:rsidRDefault="008F2C82" w:rsidP="0023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3219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2C55244" w14:textId="77777777" w:rsidR="00230C95" w:rsidRPr="00D26315" w:rsidRDefault="00230C95">
            <w:pPr>
              <w:pStyle w:val="Footer"/>
              <w:jc w:val="right"/>
              <w:rPr>
                <w:rFonts w:ascii="Book Antiqua" w:hAnsi="Book Antiqua"/>
                <w:sz w:val="24"/>
                <w:szCs w:val="24"/>
              </w:rPr>
            </w:pPr>
            <w:r>
              <w:rPr>
                <w:lang w:val="zh-CN" w:eastAsia="zh-CN"/>
              </w:rPr>
              <w:t xml:space="preserve"> </w:t>
            </w:r>
            <w:r w:rsidRPr="00D26315">
              <w:rPr>
                <w:rFonts w:ascii="Book Antiqua" w:hAnsi="Book Antiqua"/>
                <w:sz w:val="24"/>
                <w:szCs w:val="24"/>
              </w:rPr>
              <w:fldChar w:fldCharType="begin"/>
            </w:r>
            <w:r w:rsidRPr="00D26315">
              <w:rPr>
                <w:rFonts w:ascii="Book Antiqua" w:hAnsi="Book Antiqua"/>
                <w:sz w:val="24"/>
                <w:szCs w:val="24"/>
              </w:rPr>
              <w:instrText>PAGE</w:instrText>
            </w:r>
            <w:r w:rsidRPr="00D26315">
              <w:rPr>
                <w:rFonts w:ascii="Book Antiqua" w:hAnsi="Book Antiqua"/>
                <w:sz w:val="24"/>
                <w:szCs w:val="24"/>
              </w:rPr>
              <w:fldChar w:fldCharType="separate"/>
            </w:r>
            <w:r w:rsidR="00D26315">
              <w:rPr>
                <w:rFonts w:ascii="Book Antiqua" w:hAnsi="Book Antiqua"/>
                <w:noProof/>
                <w:sz w:val="24"/>
                <w:szCs w:val="24"/>
              </w:rPr>
              <w:t>4</w:t>
            </w:r>
            <w:r w:rsidRPr="00D26315">
              <w:rPr>
                <w:rFonts w:ascii="Book Antiqua" w:hAnsi="Book Antiqua"/>
                <w:sz w:val="24"/>
                <w:szCs w:val="24"/>
              </w:rPr>
              <w:fldChar w:fldCharType="end"/>
            </w:r>
            <w:r w:rsidRPr="00D26315">
              <w:rPr>
                <w:rFonts w:ascii="Book Antiqua" w:hAnsi="Book Antiqua"/>
                <w:sz w:val="24"/>
                <w:szCs w:val="24"/>
                <w:lang w:val="zh-CN" w:eastAsia="zh-CN"/>
              </w:rPr>
              <w:t xml:space="preserve"> / </w:t>
            </w:r>
            <w:r w:rsidRPr="00D26315">
              <w:rPr>
                <w:rFonts w:ascii="Book Antiqua" w:hAnsi="Book Antiqua"/>
                <w:sz w:val="24"/>
                <w:szCs w:val="24"/>
              </w:rPr>
              <w:fldChar w:fldCharType="begin"/>
            </w:r>
            <w:r w:rsidRPr="00D26315">
              <w:rPr>
                <w:rFonts w:ascii="Book Antiqua" w:hAnsi="Book Antiqua"/>
                <w:sz w:val="24"/>
                <w:szCs w:val="24"/>
              </w:rPr>
              <w:instrText>NUMPAGES</w:instrText>
            </w:r>
            <w:r w:rsidRPr="00D26315">
              <w:rPr>
                <w:rFonts w:ascii="Book Antiqua" w:hAnsi="Book Antiqua"/>
                <w:sz w:val="24"/>
                <w:szCs w:val="24"/>
              </w:rPr>
              <w:fldChar w:fldCharType="separate"/>
            </w:r>
            <w:r w:rsidR="00D26315">
              <w:rPr>
                <w:rFonts w:ascii="Book Antiqua" w:hAnsi="Book Antiqua"/>
                <w:noProof/>
                <w:sz w:val="24"/>
                <w:szCs w:val="24"/>
              </w:rPr>
              <w:t>30</w:t>
            </w:r>
            <w:r w:rsidRPr="00D26315">
              <w:rPr>
                <w:rFonts w:ascii="Book Antiqua" w:hAnsi="Book Antiqua"/>
                <w:sz w:val="24"/>
                <w:szCs w:val="24"/>
              </w:rPr>
              <w:fldChar w:fldCharType="end"/>
            </w:r>
          </w:p>
        </w:sdtContent>
      </w:sdt>
    </w:sdtContent>
  </w:sdt>
  <w:p w14:paraId="66F1996C" w14:textId="77777777" w:rsidR="00230C95" w:rsidRDefault="00230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CFE79" w14:textId="77777777" w:rsidR="008F2C82" w:rsidRDefault="008F2C82" w:rsidP="00230C95">
      <w:r>
        <w:separator/>
      </w:r>
    </w:p>
  </w:footnote>
  <w:footnote w:type="continuationSeparator" w:id="0">
    <w:p w14:paraId="748E2818" w14:textId="77777777" w:rsidR="008F2C82" w:rsidRDefault="008F2C82" w:rsidP="00230C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CB4"/>
    <w:rsid w:val="000061C3"/>
    <w:rsid w:val="00007620"/>
    <w:rsid w:val="00027FC3"/>
    <w:rsid w:val="00042F36"/>
    <w:rsid w:val="00061221"/>
    <w:rsid w:val="000B09B6"/>
    <w:rsid w:val="000B61AE"/>
    <w:rsid w:val="000D1A66"/>
    <w:rsid w:val="000F66E5"/>
    <w:rsid w:val="00114D59"/>
    <w:rsid w:val="001E7DC2"/>
    <w:rsid w:val="00230C95"/>
    <w:rsid w:val="003218FF"/>
    <w:rsid w:val="00324720"/>
    <w:rsid w:val="00337F28"/>
    <w:rsid w:val="003411EA"/>
    <w:rsid w:val="00354FE7"/>
    <w:rsid w:val="00365DAA"/>
    <w:rsid w:val="0039529B"/>
    <w:rsid w:val="003B441C"/>
    <w:rsid w:val="003C26CA"/>
    <w:rsid w:val="00421260"/>
    <w:rsid w:val="004615D2"/>
    <w:rsid w:val="0046289C"/>
    <w:rsid w:val="00465C96"/>
    <w:rsid w:val="00473672"/>
    <w:rsid w:val="00494246"/>
    <w:rsid w:val="004A7B25"/>
    <w:rsid w:val="00504007"/>
    <w:rsid w:val="00595DA3"/>
    <w:rsid w:val="005A1481"/>
    <w:rsid w:val="005B4453"/>
    <w:rsid w:val="005D1890"/>
    <w:rsid w:val="006439F5"/>
    <w:rsid w:val="006B5BB7"/>
    <w:rsid w:val="00726C0C"/>
    <w:rsid w:val="00760F58"/>
    <w:rsid w:val="00802ED2"/>
    <w:rsid w:val="008A366E"/>
    <w:rsid w:val="008A378B"/>
    <w:rsid w:val="008A5BD9"/>
    <w:rsid w:val="008B4C53"/>
    <w:rsid w:val="008F2C82"/>
    <w:rsid w:val="00995D05"/>
    <w:rsid w:val="009C7BFD"/>
    <w:rsid w:val="009E03A2"/>
    <w:rsid w:val="00A269BB"/>
    <w:rsid w:val="00A7495B"/>
    <w:rsid w:val="00A77B3E"/>
    <w:rsid w:val="00A77E7F"/>
    <w:rsid w:val="00B04123"/>
    <w:rsid w:val="00BC1F36"/>
    <w:rsid w:val="00C17E3E"/>
    <w:rsid w:val="00C255C3"/>
    <w:rsid w:val="00C73687"/>
    <w:rsid w:val="00C95626"/>
    <w:rsid w:val="00CA2A55"/>
    <w:rsid w:val="00CE7B76"/>
    <w:rsid w:val="00D26315"/>
    <w:rsid w:val="00D31E09"/>
    <w:rsid w:val="00D47F81"/>
    <w:rsid w:val="00D84046"/>
    <w:rsid w:val="00DA0437"/>
    <w:rsid w:val="00DC300C"/>
    <w:rsid w:val="00E15FA2"/>
    <w:rsid w:val="00E2034C"/>
    <w:rsid w:val="00E266BA"/>
    <w:rsid w:val="00E3717C"/>
    <w:rsid w:val="00E43C7A"/>
    <w:rsid w:val="00E6221D"/>
    <w:rsid w:val="00E67E52"/>
    <w:rsid w:val="00EB02EF"/>
    <w:rsid w:val="00EE24A4"/>
    <w:rsid w:val="00EE46A4"/>
    <w:rsid w:val="00F35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FF77A"/>
  <w15:docId w15:val="{83D46F6B-7482-1C4E-84BE-D60F215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E52"/>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365DAA"/>
    <w:rPr>
      <w:sz w:val="18"/>
      <w:szCs w:val="18"/>
    </w:rPr>
  </w:style>
  <w:style w:type="character" w:customStyle="1" w:styleId="BalloonTextChar">
    <w:name w:val="Balloon Text Char"/>
    <w:basedOn w:val="DefaultParagraphFont"/>
    <w:link w:val="BalloonText"/>
    <w:rsid w:val="00365DAA"/>
    <w:rPr>
      <w:sz w:val="18"/>
      <w:szCs w:val="18"/>
    </w:rPr>
  </w:style>
  <w:style w:type="paragraph" w:styleId="Header">
    <w:name w:val="header"/>
    <w:basedOn w:val="Normal"/>
    <w:link w:val="HeaderChar"/>
    <w:rsid w:val="00230C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30C95"/>
    <w:rPr>
      <w:sz w:val="18"/>
      <w:szCs w:val="18"/>
    </w:rPr>
  </w:style>
  <w:style w:type="paragraph" w:styleId="Footer">
    <w:name w:val="footer"/>
    <w:basedOn w:val="Normal"/>
    <w:link w:val="FooterChar"/>
    <w:uiPriority w:val="99"/>
    <w:rsid w:val="00230C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30C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479369">
      <w:bodyDiv w:val="1"/>
      <w:marLeft w:val="0"/>
      <w:marRight w:val="0"/>
      <w:marTop w:val="0"/>
      <w:marBottom w:val="0"/>
      <w:divBdr>
        <w:top w:val="none" w:sz="0" w:space="0" w:color="auto"/>
        <w:left w:val="none" w:sz="0" w:space="0" w:color="auto"/>
        <w:bottom w:val="none" w:sz="0" w:space="0" w:color="auto"/>
        <w:right w:val="none" w:sz="0" w:space="0" w:color="auto"/>
      </w:divBdr>
    </w:div>
    <w:div w:id="1338270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8154</Words>
  <Characters>46481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2021-08-08T19:02:00Z</dcterms:created>
  <dcterms:modified xsi:type="dcterms:W3CDTF">2021-08-08T19:02:00Z</dcterms:modified>
</cp:coreProperties>
</file>