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Transplantation</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64683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bookmarkStart w:id="0" w:name="OLE_LINK9"/>
      <w:r>
        <w:rPr>
          <w:rFonts w:ascii="Book Antiqua" w:hAnsi="Book Antiqua" w:eastAsia="Book Antiqua" w:cs="Book Antiqua"/>
          <w:b/>
          <w:bCs/>
          <w:color w:val="000000"/>
        </w:rPr>
        <w:t>May mesenchymal stem cell transplantation be a solution for COVID-19 induced cytokine storm?</w:t>
      </w:r>
    </w:p>
    <w:bookmarkEnd w:id="0"/>
    <w:p>
      <w:pPr>
        <w:spacing w:line="360" w:lineRule="auto"/>
        <w:jc w:val="both"/>
        <w:rPr>
          <w:rFonts w:ascii="Book Antiqua" w:hAnsi="Book Antiqua"/>
        </w:rPr>
      </w:pPr>
    </w:p>
    <w:p>
      <w:pPr>
        <w:spacing w:line="360" w:lineRule="auto"/>
        <w:jc w:val="both"/>
        <w:rPr>
          <w:rFonts w:ascii="Book Antiqua" w:hAnsi="Book Antiqua"/>
        </w:rPr>
      </w:pPr>
      <w:bookmarkStart w:id="1" w:name="_Hlk79055044"/>
      <w:r>
        <w:rPr>
          <w:rFonts w:ascii="Book Antiqua" w:hAnsi="Book Antiqua" w:eastAsia="Book Antiqua" w:cs="Book Antiqua"/>
          <w:color w:val="000000"/>
        </w:rPr>
        <w:t>Sutluoglu H</w:t>
      </w:r>
      <w:bookmarkEnd w:id="1"/>
      <w:r>
        <w:rPr>
          <w:rFonts w:ascii="Book Antiqua" w:hAnsi="Book Antiqua" w:eastAsia="Book Antiqua" w:cs="Book Antiqua"/>
          <w:color w:val="000000"/>
        </w:rPr>
        <w:t xml:space="preserve"> </w:t>
      </w:r>
      <w:r>
        <w:rPr>
          <w:rFonts w:ascii="Book Antiqua" w:hAnsi="Book Antiqua" w:cs="Book Antiqua"/>
          <w:i/>
          <w:iCs/>
          <w:color w:val="000000"/>
          <w:lang w:eastAsia="zh-CN"/>
        </w:rPr>
        <w:t>et</w:t>
      </w:r>
      <w:r>
        <w:rPr>
          <w:rFonts w:ascii="Book Antiqua" w:hAnsi="Book Antiqua" w:eastAsia="Book Antiqua" w:cs="Book Antiqua"/>
          <w:i/>
          <w:iCs/>
          <w:color w:val="000000"/>
        </w:rPr>
        <w:t xml:space="preserve"> al.</w:t>
      </w:r>
      <w:r>
        <w:rPr>
          <w:rFonts w:ascii="Book Antiqua" w:hAnsi="Book Antiqua" w:eastAsia="Book Antiqua" w:cs="Book Antiqua"/>
          <w:color w:val="000000"/>
        </w:rPr>
        <w:t xml:space="preserve"> Mesenchymal stem cell transplantation for COVID-19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Hüseyin Sutluoglu, Öner </w:t>
      </w:r>
      <w:bookmarkStart w:id="2" w:name="_Hlk79055064"/>
      <w:r>
        <w:rPr>
          <w:rFonts w:ascii="Book Antiqua" w:hAnsi="Book Antiqua" w:eastAsia="Book Antiqua" w:cs="Book Antiqua"/>
          <w:color w:val="000000"/>
        </w:rPr>
        <w:t>Özdemir</w:t>
      </w:r>
      <w:bookmarkEnd w:id="2"/>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Hüseyin Sutluoglu, </w:t>
      </w:r>
      <w:r>
        <w:rPr>
          <w:rFonts w:ascii="Book Antiqua" w:hAnsi="Book Antiqua" w:eastAsia="Book Antiqua" w:cs="Book Antiqua"/>
          <w:color w:val="000000"/>
        </w:rPr>
        <w:t xml:space="preserve">Faculty of Medicine, Sakarya University, </w:t>
      </w:r>
      <w:r>
        <w:rPr>
          <w:rFonts w:ascii="Book Antiqua" w:hAnsi="Book Antiqua" w:cs="Segoe UI"/>
          <w:color w:val="212121"/>
          <w:shd w:val="clear" w:color="auto" w:fill="FFFFFF"/>
        </w:rPr>
        <w:t>Adapazarı</w:t>
      </w:r>
      <w:r>
        <w:rPr>
          <w:rFonts w:ascii="Book Antiqua" w:hAnsi="Book Antiqua" w:eastAsia="Book Antiqua" w:cs="Book Antiqua"/>
          <w:color w:val="000000"/>
        </w:rPr>
        <w:t xml:space="preserve"> 54100, Sakarya, Turkey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Öner Özdemir, </w:t>
      </w:r>
      <w:r>
        <w:rPr>
          <w:rFonts w:ascii="Book Antiqua" w:hAnsi="Book Antiqua" w:eastAsia="Book Antiqua" w:cs="Book Antiqua"/>
          <w:color w:val="000000"/>
        </w:rPr>
        <w:t xml:space="preserve">Division of Pediatric Allergy and Immunology, Sakarya University Medical Faculty, </w:t>
      </w:r>
      <w:bookmarkStart w:id="3" w:name="_Hlk79054822"/>
      <w:r>
        <w:rPr>
          <w:rFonts w:ascii="Book Antiqua" w:hAnsi="Book Antiqua" w:cs="Segoe UI"/>
          <w:color w:val="212121"/>
          <w:shd w:val="clear" w:color="auto" w:fill="FFFFFF"/>
        </w:rPr>
        <w:t>Adapazarı</w:t>
      </w:r>
      <w:r>
        <w:rPr>
          <w:rFonts w:ascii="Book Antiqua" w:hAnsi="Book Antiqua" w:eastAsia="Book Antiqua" w:cs="Book Antiqua"/>
          <w:color w:val="000000"/>
        </w:rPr>
        <w:t xml:space="preserve"> 54100, </w:t>
      </w:r>
      <w:bookmarkStart w:id="4" w:name="_Hlk79054074"/>
      <w:r>
        <w:rPr>
          <w:rFonts w:ascii="Book Antiqua" w:hAnsi="Book Antiqua" w:eastAsia="Book Antiqua" w:cs="Book Antiqua"/>
          <w:color w:val="000000"/>
        </w:rPr>
        <w:t>Sakarya</w:t>
      </w:r>
      <w:bookmarkEnd w:id="4"/>
      <w:r>
        <w:rPr>
          <w:rFonts w:ascii="Book Antiqua" w:hAnsi="Book Antiqua" w:eastAsia="Book Antiqua" w:cs="Book Antiqua"/>
          <w:color w:val="000000"/>
        </w:rPr>
        <w:t>, Turkey</w:t>
      </w:r>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Sutluoglu H performed the writing, created the figures and tables; Özdemir Ö designed the outline, and coordinated the writing of the paper.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Öner Özdemir, MD, Full Professor, </w:t>
      </w:r>
      <w:r>
        <w:rPr>
          <w:rFonts w:ascii="Book Antiqua" w:hAnsi="Book Antiqua" w:eastAsia="Book Antiqua" w:cs="Book Antiqua"/>
          <w:color w:val="000000"/>
        </w:rPr>
        <w:t xml:space="preserve">Division of Pediatric Allergy and Immunology, Sakarya University Medical Faculty, Adnan Menderes Cad., </w:t>
      </w:r>
      <w:r>
        <w:rPr>
          <w:rFonts w:ascii="Book Antiqua" w:hAnsi="Book Antiqua" w:cs="Segoe UI"/>
          <w:color w:val="212121"/>
          <w:shd w:val="clear" w:color="auto" w:fill="FFFFFF"/>
        </w:rPr>
        <w:t>Adapazarı</w:t>
      </w:r>
      <w:r>
        <w:rPr>
          <w:rFonts w:ascii="Book Antiqua" w:hAnsi="Book Antiqua" w:eastAsia="Book Antiqua" w:cs="Book Antiqua"/>
          <w:color w:val="000000"/>
        </w:rPr>
        <w:t xml:space="preserve"> 54100, Sakarya, Turkey. ozdemir_oner@hotmail.com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16,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5" w:name="OLE_LINK48"/>
      <w:bookmarkStart w:id="6" w:name="OLE_LINK15"/>
      <w:bookmarkStart w:id="7" w:name="OLE_LINK33"/>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10, 2021</w:t>
      </w:r>
      <w:bookmarkEnd w:id="5"/>
      <w:bookmarkEnd w:id="6"/>
      <w:bookmarkEnd w:id="7"/>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18, 2021</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The recently emergent disease caused by the severe acute respiratory syndrome coronavirus 2 (SARS-CoV-2), transmitted by droplets and aerosols, was named coronavirus disease 2019 (COVID-19) by World Health Organization. Predominantly, the disease progress is asymptomatic or mild, but one-fifth of the patients advance to severe or critical illness. In severe COVID-19 patients, type-2 T helper cells release numerous cytokines; this excessive immune response is named as cytokine storm. The cytokine storm, which is the hallmark of the COVID-19 induced by the disease and aggravates due to lack of proper immune response, similar to SARS and Middle East respiratory syndrome (MERS), and the disease status may progress forward to acute respiratory distress syndrome (ARDS), systemic inflammatory response syndrome, multi-organ dysfunction syndrome, and death. Mesenchymal stromal cells transplantation is up-and-coming in treating many diseases such as HIV, hepatitis B, influenza, coronavirus diseases (SARS, MERS), lung injuries, and ARDS. Upon closer inspection on respiratory diseases, COVID-19, influenza, SARS, and MERS have similarities in pathogenesis, especially cytokine and immune response profiles. These comparable features in terms of the cytokine storm will provide hints for the treatment of COVID-19.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Mesenchymal stem cell; Mesenchymal stromal cell; COVID-19; Cytokine storm; Immunosuppression; Transplantation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Sutluoglu H, Özdemir Ö. May mesenchymal stem cell transplantation be a solution for COVID-19 induced cytokine storm? </w:t>
      </w:r>
      <w:r>
        <w:rPr>
          <w:rFonts w:ascii="Book Antiqua" w:hAnsi="Book Antiqua" w:eastAsia="Book Antiqua" w:cs="Book Antiqua"/>
          <w:i/>
          <w:iCs/>
          <w:color w:val="000000"/>
        </w:rPr>
        <w:t>World J Transplant</w:t>
      </w:r>
      <w:r>
        <w:rPr>
          <w:rFonts w:ascii="Book Antiqua" w:hAnsi="Book Antiqua" w:eastAsia="Book Antiqua" w:cs="Book Antiqua"/>
          <w:color w:val="000000"/>
        </w:rPr>
        <w:t xml:space="preserve"> 2021; 11(8): </w:t>
      </w:r>
      <w:r>
        <w:rPr>
          <w:rFonts w:hint="eastAsia" w:ascii="Book Antiqua" w:hAnsi="Book Antiqua"/>
          <w:sz w:val="24"/>
          <w:szCs w:val="24"/>
          <w:lang w:val="en-US" w:eastAsia="zh-CN"/>
        </w:rPr>
        <w:t>344-355</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xml:space="preserve"> https://www.wjgnet.com/2220-3230/full/v11/i8/</w:t>
      </w:r>
      <w:r>
        <w:rPr>
          <w:rFonts w:hint="eastAsia" w:ascii="Book Antiqua" w:hAnsi="Book Antiqua" w:eastAsia="宋体" w:cs="Book Antiqua"/>
          <w:color w:val="000000"/>
          <w:lang w:val="en-US" w:eastAsia="zh-CN"/>
        </w:rPr>
        <w:t>344</w:t>
      </w:r>
      <w:r>
        <w:rPr>
          <w:rFonts w:ascii="Book Antiqua" w:hAnsi="Book Antiqua" w:eastAsia="Book Antiqua" w:cs="Book Antiqua"/>
          <w:color w:val="000000"/>
        </w:rPr>
        <w:t xml:space="preserve">.htm </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https://dx.doi.org/10.5500/wjt.v11.i8.</w:t>
      </w:r>
      <w:r>
        <w:rPr>
          <w:rFonts w:hint="eastAsia" w:ascii="Book Antiqua" w:hAnsi="Book Antiqua" w:eastAsia="宋体" w:cs="Book Antiqua"/>
          <w:color w:val="000000"/>
          <w:lang w:val="en-US" w:eastAsia="zh-CN"/>
        </w:rPr>
        <w:t>344</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Upon closer inspection on respiratory diseases, coronavirus disease 2019 (COVID-19), influenza, severe acute respiratory syndrome, and Middle East respiratory syndrome have similarities in pathogenesis, especially cytokine and immune response profiles. These comparable features in terms of the cytokine storm will provide hints for the treatment of COVID-19. Transplantation of mesenchymal stromal cells provides tissue regeneration and rejuvenation with immunotolerant and immunomodulant properties on damaged tissues by exerting their effects through immune cells.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The substantial clues of a novel severe acute respiratory syndrome (SARS)-like coronavirus and possible outbreak were predicted with highlighting pandemic preparedness by Ge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from Wuhan in 2013. Two years after this study, Menachery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had been likewise drawing attention to a potential risk of SARS coronavirus (SARS-CoV) re-emergence from viruses circulating in bat populations. In late 2019, a few patients related to a seafood market in Wuhan province from China with the symptoms of fever, myalgia, dry cough, dyspnea, headache, sore throat, diarrhea, nausea, vomiting, and SARS-like viral pneumonia were reported</w:t>
      </w:r>
      <w:r>
        <w:rPr>
          <w:rFonts w:ascii="Book Antiqua" w:hAnsi="Book Antiqua" w:eastAsia="Book Antiqua" w:cs="Book Antiqua"/>
          <w:color w:val="000000"/>
          <w:vertAlign w:val="superscript"/>
        </w:rPr>
        <w:t>[3,4]</w:t>
      </w:r>
      <w:r>
        <w:rPr>
          <w:rFonts w:ascii="Book Antiqua" w:hAnsi="Book Antiqua" w:eastAsia="Book Antiqua" w:cs="Book Antiqua"/>
          <w:color w:val="000000"/>
        </w:rPr>
        <w:t>. Further analyses have shown a novel single-stranded enveloped RNA virus from the Coronaviridae family, and the genome sequence of the virus had 96.2% similarity with other bat betacoronaviruses causing previous diseases [79.6% with SARS, approximately 50% with Middle East respiratory syndrome (MERS)]. The recently emergent disease caused by the SARS-CoV-2 virus, transmitted by droplets and aerosols, was named coronavirus disease 2019 (COVID-19) by World Health Organization (WHO)</w:t>
      </w:r>
      <w:r>
        <w:rPr>
          <w:rFonts w:ascii="Book Antiqua" w:hAnsi="Book Antiqua" w:eastAsia="Book Antiqua" w:cs="Book Antiqua"/>
          <w:color w:val="000000"/>
          <w:vertAlign w:val="superscript"/>
        </w:rPr>
        <w:t>[5–8]</w:t>
      </w:r>
      <w:r>
        <w:rPr>
          <w:rFonts w:ascii="Book Antiqua" w:hAnsi="Book Antiqua" w:eastAsia="Book Antiqua" w:cs="Book Antiqua"/>
          <w:color w:val="000000"/>
        </w:rPr>
        <w:t>. As a consequence of increasing cases, WHO has announced that the outbreak would be assessed as a pandemic from March 11st, 2020, onward</w:t>
      </w:r>
      <w:r>
        <w:rPr>
          <w:rFonts w:ascii="Book Antiqua" w:hAnsi="Book Antiqua" w:eastAsia="Book Antiqua" w:cs="Book Antiqua"/>
          <w:color w:val="000000"/>
          <w:vertAlign w:val="superscript"/>
        </w:rPr>
        <w:t>[9]</w:t>
      </w:r>
      <w:r>
        <w:rPr>
          <w:rFonts w:ascii="Book Antiqua" w:hAnsi="Book Antiqua" w:eastAsia="Book Antiqua" w:cs="Book Antiqua"/>
          <w:color w:val="000000"/>
        </w:rPr>
        <w:t>. The disease differs from influenza-related pneumonia in that it is able to progress very seriously, even in young people without comorbidity. To date, mainly being in the first place thousands of bravely health workers like Li Wenliang, more than 2 million deaths and 100 million cases were confirmed, and the outbreak still has destructible impacts on economic and social circumstances</w:t>
      </w:r>
      <w:r>
        <w:rPr>
          <w:rFonts w:ascii="Book Antiqua" w:hAnsi="Book Antiqua" w:eastAsia="Book Antiqua" w:cs="Book Antiqua"/>
          <w:color w:val="000000"/>
          <w:vertAlign w:val="superscript"/>
        </w:rPr>
        <w:t>[10–12]</w:t>
      </w:r>
      <w:r>
        <w:rPr>
          <w:rFonts w:ascii="Book Antiqua" w:hAnsi="Book Antiqua" w:eastAsia="Book Antiqua" w:cs="Book Antiqua"/>
          <w:color w:val="000000"/>
        </w:rPr>
        <w:t>. The disease currently does not have any curable therapy. Recently discovered vaccines are being commenced to use in many countries with emergency use authorization</w:t>
      </w:r>
      <w:r>
        <w:rPr>
          <w:rFonts w:ascii="Book Antiqua" w:hAnsi="Book Antiqua" w:eastAsia="Book Antiqua" w:cs="Book Antiqua"/>
          <w:color w:val="000000"/>
          <w:vertAlign w:val="superscript"/>
        </w:rPr>
        <w:t>[13,14]</w:t>
      </w:r>
      <w:r>
        <w:rPr>
          <w:rFonts w:ascii="Book Antiqua" w:hAnsi="Book Antiqua" w:eastAsia="Book Antiqua" w:cs="Book Antiqua"/>
          <w:color w:val="000000"/>
        </w:rPr>
        <w:t>. Several new variants were reported, which are thought to be more infectious from the United Kingdom and numerous countries</w:t>
      </w:r>
      <w:r>
        <w:rPr>
          <w:rFonts w:ascii="Book Antiqua" w:hAnsi="Book Antiqua" w:eastAsia="Book Antiqua" w:cs="Book Antiqua"/>
          <w:color w:val="000000"/>
          <w:vertAlign w:val="superscript"/>
        </w:rPr>
        <w:t>[15,16]</w:t>
      </w:r>
      <w:r>
        <w:rPr>
          <w:rFonts w:ascii="Book Antiqua" w:hAnsi="Book Antiqua" w:eastAsia="Book Antiqua" w:cs="Book Antiqua"/>
          <w:color w:val="000000"/>
        </w:rPr>
        <w:t>. Due to this manner, the need for new and effective treatments continues.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Predominantly, the disease progress is asymptomatic or mild, but one-fifth of the patients advance to severe or critical illness</w:t>
      </w:r>
      <w:r>
        <w:rPr>
          <w:rFonts w:ascii="Book Antiqua" w:hAnsi="Book Antiqua" w:eastAsia="Book Antiqua" w:cs="Book Antiqua"/>
          <w:color w:val="000000"/>
          <w:vertAlign w:val="superscript"/>
        </w:rPr>
        <w:t>[17]</w:t>
      </w:r>
      <w:r>
        <w:rPr>
          <w:rFonts w:ascii="Book Antiqua" w:hAnsi="Book Antiqua" w:eastAsia="Book Antiqua" w:cs="Book Antiqua"/>
          <w:color w:val="000000"/>
        </w:rPr>
        <w:t>. In severe COVID-19 patients, type-2 T helper (Th) cells release numerous cytokines; this excessive immune response is named as ‘cytokine storm’, which is the leading cause of lung injury, acute respiratory distress syndrome (ARDS), multi-organ dysfunction syndrome (MODS), and death</w:t>
      </w:r>
      <w:r>
        <w:rPr>
          <w:rFonts w:ascii="Book Antiqua" w:hAnsi="Book Antiqua" w:eastAsia="Book Antiqua" w:cs="Book Antiqua"/>
          <w:color w:val="000000"/>
          <w:vertAlign w:val="superscript"/>
        </w:rPr>
        <w:t>[18,19]</w:t>
      </w:r>
      <w:r>
        <w:rPr>
          <w:rFonts w:ascii="Book Antiqua" w:hAnsi="Book Antiqua" w:eastAsia="Book Antiqua" w:cs="Book Antiqua"/>
          <w:color w:val="000000"/>
        </w:rPr>
        <w:t>. In this review, we aim to outline the usage of mesenchymal stem cells (MSCs) or, in other words, mesenchymal stromal cells, which have immunosuppressant and immunomodulatory benefits in countless diseases such as graft-</w:t>
      </w:r>
      <w:r>
        <w:rPr>
          <w:rFonts w:ascii="Book Antiqua" w:hAnsi="Book Antiqua" w:eastAsia="Book Antiqua" w:cs="Book Antiqua"/>
          <w:i/>
          <w:iCs/>
          <w:color w:val="000000"/>
        </w:rPr>
        <w:t>vs</w:t>
      </w:r>
      <w:r>
        <w:rPr>
          <w:rFonts w:ascii="Book Antiqua" w:hAnsi="Book Antiqua" w:eastAsia="Book Antiqua" w:cs="Book Antiqua"/>
          <w:color w:val="000000"/>
        </w:rPr>
        <w:t>-host disease, Crohn's disease, and some type of lung injuries, on severe or critically ill COVID-19 patients</w:t>
      </w:r>
      <w:r>
        <w:rPr>
          <w:rFonts w:ascii="Book Antiqua" w:hAnsi="Book Antiqua" w:eastAsia="Book Antiqua" w:cs="Book Antiqua"/>
          <w:color w:val="000000"/>
          <w:vertAlign w:val="superscript"/>
        </w:rPr>
        <w:t>[20–24]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INTRODUCTION TO COVID-19 PATHOGENESIS AND PRESENT THERAPIES</w:t>
      </w:r>
    </w:p>
    <w:p>
      <w:pPr>
        <w:spacing w:line="360" w:lineRule="auto"/>
        <w:jc w:val="both"/>
        <w:rPr>
          <w:rFonts w:ascii="Book Antiqua" w:hAnsi="Book Antiqua"/>
        </w:rPr>
      </w:pPr>
      <w:r>
        <w:rPr>
          <w:rFonts w:ascii="Book Antiqua" w:hAnsi="Book Antiqua" w:eastAsia="Book Antiqua" w:cs="Book Antiqua"/>
          <w:color w:val="000000"/>
        </w:rPr>
        <w:t xml:space="preserve">In the eighty percent of the people who have been exposed to the SARS-CoV-2 </w:t>
      </w:r>
      <w:r>
        <w:rPr>
          <w:rFonts w:ascii="Book Antiqua" w:hAnsi="Book Antiqua" w:eastAsia="Book Antiqua" w:cs="Book Antiqua"/>
          <w:i/>
          <w:iCs/>
          <w:color w:val="000000"/>
        </w:rPr>
        <w:t>via</w:t>
      </w:r>
      <w:r>
        <w:rPr>
          <w:rFonts w:ascii="Book Antiqua" w:hAnsi="Book Antiqua" w:eastAsia="Book Antiqua" w:cs="Book Antiqua"/>
          <w:color w:val="000000"/>
        </w:rPr>
        <w:t xml:space="preserve"> droplets and aerosols from an infected person, the disease remains limited in the upper respiratory tract. However, in the rest of the patients, the virus proceeds to the lower respiratory tract, and with pulmonary involvement, it causes more severe illness. Disease mortality was reported between 0.5 and 2 percent in different studies and changes with obesity, older age, hypertension, and underlying chronic medical conditions</w:t>
      </w:r>
      <w:r>
        <w:rPr>
          <w:rFonts w:ascii="Book Antiqua" w:hAnsi="Book Antiqua" w:eastAsia="Book Antiqua" w:cs="Book Antiqua"/>
          <w:color w:val="000000"/>
          <w:vertAlign w:val="superscript"/>
        </w:rPr>
        <w:t>[25–27]</w:t>
      </w:r>
      <w:r>
        <w:rPr>
          <w:rFonts w:ascii="Book Antiqua" w:hAnsi="Book Antiqua" w:eastAsia="Book Antiqua" w:cs="Book Antiqua"/>
          <w:color w:val="000000"/>
        </w:rPr>
        <w:t>. The infectious process might occur progressively in a wide range of manifestations with life-threatening cardiovascular, thromboembolic, neurological, and respiratory complications</w:t>
      </w:r>
      <w:r>
        <w:rPr>
          <w:rFonts w:ascii="Book Antiqua" w:hAnsi="Book Antiqua" w:eastAsia="Book Antiqua" w:cs="Book Antiqua"/>
          <w:color w:val="000000"/>
          <w:vertAlign w:val="superscript"/>
        </w:rPr>
        <w:t>[4,19,28,29]</w:t>
      </w:r>
      <w:r>
        <w:rPr>
          <w:rFonts w:ascii="Book Antiqua" w:hAnsi="Book Antiqua" w:eastAsia="Book Antiqua" w:cs="Book Antiqua"/>
          <w:color w:val="000000"/>
        </w:rPr>
        <w:t>. As compatible with virus-cell invasion pathophysiology, organ involvement is correlated with the expression of host cells' angiotensin-converting enzyme 2 (ACE2) receptor and transmembrane protease, serine 2 (TMPRSS2) enzyme</w:t>
      </w:r>
      <w:r>
        <w:rPr>
          <w:rFonts w:ascii="Book Antiqua" w:hAnsi="Book Antiqua" w:eastAsia="Book Antiqua" w:cs="Book Antiqua"/>
          <w:color w:val="000000"/>
          <w:vertAlign w:val="superscript"/>
        </w:rPr>
        <w:t>[30,31]</w:t>
      </w:r>
      <w:r>
        <w:rPr>
          <w:rFonts w:ascii="Book Antiqua" w:hAnsi="Book Antiqua" w:eastAsia="Book Antiqua" w:cs="Book Antiqua"/>
          <w:color w:val="000000"/>
        </w:rPr>
        <w:t>. Unfortunately, the ACE2 receptor is widely distributed on the human cell surface, like lung, intestine, liver, kidney, brain, especially the alveolar type II (AT2) cells, capillary endothelium, and the AT2 cells highly express TMPRSS2</w:t>
      </w:r>
      <w:r>
        <w:rPr>
          <w:rFonts w:ascii="Book Antiqua" w:hAnsi="Book Antiqua" w:eastAsia="Book Antiqua" w:cs="Book Antiqua"/>
          <w:color w:val="000000"/>
          <w:vertAlign w:val="superscript"/>
        </w:rPr>
        <w:t>[32–34]</w:t>
      </w:r>
      <w:r>
        <w:rPr>
          <w:rFonts w:ascii="Book Antiqua" w:hAnsi="Book Antiqua" w:eastAsia="Book Antiqua" w:cs="Book Antiqua"/>
          <w:color w:val="000000"/>
        </w:rPr>
        <w:t>. On the grounds of that, the primary target of the virus is the lung. Moreover, the maladaptive immune response in severely ill patients damages the airways and causes a terrible cytokine storm characterized by elevated blood cytokine levels as a consequence of hyperactivation of the immune cells and impaired feedback mechanism. However, it leads to excessive infiltration of monocytes, macrophages, and T cells in the lungs. Therefore, disease severity in patients is due to not only the viral infection but also the host response. A notable example of this condition might be multisystem inflammatory syndrome in children and multisystem inflammatory syndrome in adults</w:t>
      </w:r>
      <w:r>
        <w:rPr>
          <w:rFonts w:ascii="Book Antiqua" w:hAnsi="Book Antiqua" w:eastAsia="Book Antiqua" w:cs="Book Antiqua"/>
          <w:color w:val="000000"/>
          <w:vertAlign w:val="superscript"/>
        </w:rPr>
        <w:t>[35,36]</w:t>
      </w:r>
      <w:r>
        <w:rPr>
          <w:rFonts w:ascii="Book Antiqua" w:hAnsi="Book Antiqua" w:eastAsia="Book Antiqua" w:cs="Book Antiqua"/>
          <w:color w:val="000000"/>
        </w:rPr>
        <w:t>. This uncontrolled hyperinflammatory response catalyzes multi-organ damage leading to multi-organ failure, especially of the cardiac, hepatic, and renal systems</w:t>
      </w:r>
      <w:r>
        <w:rPr>
          <w:rFonts w:ascii="Book Antiqua" w:hAnsi="Book Antiqua" w:eastAsia="Book Antiqua" w:cs="Book Antiqua"/>
          <w:color w:val="000000"/>
          <w:vertAlign w:val="superscript"/>
        </w:rPr>
        <w:t>[18,29]</w:t>
      </w:r>
      <w:r>
        <w:rPr>
          <w:rFonts w:ascii="Book Antiqua" w:hAnsi="Book Antiqua" w:eastAsia="Book Antiqua" w:cs="Book Antiqua"/>
          <w:color w:val="000000"/>
        </w:rPr>
        <w:t>. These organ failures raise the mortality rate, such as most patients with SARS-CoV-2 infection who developed acute kidney injury or have existing chronic kidney disease eventually died</w:t>
      </w:r>
      <w:r>
        <w:rPr>
          <w:rFonts w:ascii="Book Antiqua" w:hAnsi="Book Antiqua" w:eastAsia="Book Antiqua" w:cs="Book Antiqua"/>
          <w:color w:val="000000"/>
          <w:vertAlign w:val="superscript"/>
        </w:rPr>
        <w:t>[37]</w:t>
      </w:r>
      <w:r>
        <w:rPr>
          <w:rFonts w:ascii="Book Antiqua" w:hAnsi="Book Antiqua" w:eastAsia="Book Antiqua" w:cs="Book Antiqua"/>
          <w:color w:val="000000"/>
        </w:rPr>
        <w:t>. At present, no curative and effective COVID-19 treatment available, and the primary approach to patients is supportive care such as oxygen therapy (such as high flow nasal cannula oxygen therapy, mechanic ventilation), antipyretics, or venous thromboembolism prophylaxis</w:t>
      </w:r>
      <w:r>
        <w:rPr>
          <w:rFonts w:ascii="Book Antiqua" w:hAnsi="Book Antiqua" w:eastAsia="Book Antiqua" w:cs="Book Antiqua"/>
          <w:color w:val="000000"/>
          <w:vertAlign w:val="superscript"/>
        </w:rPr>
        <w:t>[38,39]</w:t>
      </w:r>
      <w:r>
        <w:rPr>
          <w:rFonts w:ascii="Book Antiqua" w:hAnsi="Book Antiqua" w:eastAsia="Book Antiqua" w:cs="Book Antiqua"/>
          <w:color w:val="000000"/>
        </w:rPr>
        <w:t xml:space="preserve">. Various drugs and supplementary therapies like antivirals (remdesivir, lopinavir/ritonavir, oseltamivir, favipiravir), antibiotics (azithromycin), immunomodulatory drugs (tocilizumab, hydroxychloroquine, convalescent plasma, anakinra, </w:t>
      </w:r>
      <w:r>
        <w:rPr>
          <w:rFonts w:ascii="Book Antiqua" w:hAnsi="Book Antiqua" w:eastAsia="Book Antiqua" w:cs="Book Antiqua"/>
          <w:i/>
          <w:iCs/>
          <w:color w:val="000000"/>
        </w:rPr>
        <w:t>etc.</w:t>
      </w:r>
      <w:r>
        <w:rPr>
          <w:rFonts w:ascii="Book Antiqua" w:hAnsi="Book Antiqua" w:eastAsia="Book Antiqua" w:cs="Book Antiqua"/>
          <w:color w:val="000000"/>
        </w:rPr>
        <w:t>) are being still investigated, but none of the therapies have reliable evidence</w:t>
      </w:r>
      <w:r>
        <w:rPr>
          <w:rFonts w:ascii="Book Antiqua" w:hAnsi="Book Antiqua" w:eastAsia="Book Antiqua" w:cs="Book Antiqua"/>
          <w:color w:val="000000"/>
          <w:vertAlign w:val="superscript"/>
        </w:rPr>
        <w:t>[17]</w:t>
      </w:r>
      <w:r>
        <w:rPr>
          <w:rFonts w:ascii="Book Antiqua" w:hAnsi="Book Antiqua" w:eastAsia="Book Antiqua" w:cs="Book Antiqua"/>
          <w:color w:val="000000"/>
        </w:rPr>
        <w:t>. To date, the only drug which is evidenced to decrease the mortality rate in severe and critically ill patients is corticosteroids</w:t>
      </w:r>
      <w:r>
        <w:rPr>
          <w:rFonts w:ascii="Book Antiqua" w:hAnsi="Book Antiqua" w:eastAsia="Book Antiqua" w:cs="Book Antiqua"/>
          <w:color w:val="000000"/>
          <w:vertAlign w:val="superscript"/>
        </w:rPr>
        <w:t>[40]</w:t>
      </w:r>
      <w:r>
        <w:rPr>
          <w:rFonts w:ascii="Book Antiqua" w:hAnsi="Book Antiqua" w:eastAsia="Book Antiqua" w:cs="Book Antiqua"/>
          <w:color w:val="000000"/>
        </w:rPr>
        <w:t>. Also, a specific agent to alleviate the SARS-CoV-2 induced cytokine storm is not developed as yet, and drugs that are aimed at this phenomenon are non-specific. Suppressing the excessive immune response is the key difficulty of the therapy options</w:t>
      </w:r>
      <w:r>
        <w:rPr>
          <w:rFonts w:ascii="Book Antiqua" w:hAnsi="Book Antiqua" w:eastAsia="Book Antiqua" w:cs="Book Antiqua"/>
          <w:color w:val="000000"/>
          <w:vertAlign w:val="superscript"/>
        </w:rPr>
        <w:t>[41]</w:t>
      </w:r>
      <w:r>
        <w:rPr>
          <w:rFonts w:ascii="Book Antiqua" w:hAnsi="Book Antiqua" w:eastAsia="Book Antiqua" w:cs="Book Antiqua"/>
          <w:color w:val="000000"/>
        </w:rPr>
        <w:t>. It is thought that people who overcome COVID-19 might have long-term sequels and different organ damages, notably lung and heart</w:t>
      </w:r>
      <w:r>
        <w:rPr>
          <w:rFonts w:ascii="Book Antiqua" w:hAnsi="Book Antiqua" w:eastAsia="Book Antiqua" w:cs="Book Antiqua"/>
          <w:color w:val="000000"/>
          <w:vertAlign w:val="superscript"/>
        </w:rPr>
        <w:t>[42,43]</w:t>
      </w:r>
      <w:r>
        <w:rPr>
          <w:rFonts w:ascii="Book Antiqua" w:hAnsi="Book Antiqua" w:eastAsia="Book Antiqua" w:cs="Book Antiqua"/>
          <w:color w:val="000000"/>
        </w:rPr>
        <w:t>. Multipotent MSC transplantation could promote lung and other damaged tissue repairs with its differentiation and paracrine secretory properties (exosomes/extracellular vesicles) and may prevent morbidities</w:t>
      </w:r>
      <w:r>
        <w:rPr>
          <w:rFonts w:ascii="Book Antiqua" w:hAnsi="Book Antiqua" w:eastAsia="Book Antiqua" w:cs="Book Antiqua"/>
          <w:color w:val="000000"/>
          <w:vertAlign w:val="superscript"/>
        </w:rPr>
        <w:t>[44–47]</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IMMUNO-PATHOGENESIS OF THE DISEASE AND PATIENT SELECTION FOR MSC TRANSPLANTATION</w:t>
      </w:r>
    </w:p>
    <w:p>
      <w:pPr>
        <w:spacing w:line="360" w:lineRule="auto"/>
        <w:jc w:val="both"/>
        <w:rPr>
          <w:rFonts w:ascii="Book Antiqua" w:hAnsi="Book Antiqua"/>
        </w:rPr>
      </w:pPr>
      <w:r>
        <w:rPr>
          <w:rFonts w:ascii="Book Antiqua" w:hAnsi="Book Antiqua" w:eastAsia="Book Antiqua" w:cs="Book Antiqua"/>
          <w:color w:val="000000"/>
        </w:rPr>
        <w:t xml:space="preserve">The virus that reaches the lungs from the upper respiratory tract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ACE2 receptor infects AT2 cells here. After intracellular replication, it spreads to the parenchyma by exocytosis and causes epithelial and endothelial damage. The alveolar macrophages recognize damage-associated molecular patterns (DAMPs) and pathogen-associated molecular patterns (PAMPs) that arise from infected both AT-1 and AT-2 type dead cells, and the initiation of the inflammation is triggered (Figure 1). Thus, numerous chemokines and cytokines are started to secret excessively by lung and peripheral immune cells</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cytokine storm, which is the hallmark of the COVID-19 induced by the disease and aggravates due to lack of proper immune response, similar to SARS and MERS, and the clinical status may progress forward ARDS, systemic inflammatory response syndrome, MODS, and death</w:t>
      </w:r>
      <w:r>
        <w:rPr>
          <w:rFonts w:ascii="Book Antiqua" w:hAnsi="Book Antiqua" w:eastAsia="Book Antiqua" w:cs="Book Antiqua"/>
          <w:color w:val="000000"/>
          <w:vertAlign w:val="superscript"/>
        </w:rPr>
        <w:t>[48,49]</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When the severe patients' laboratory results were analyzed, decreased lymphocyte count, elevated leukocyte count, neutrophils-lymphocytes ratio, a low percentage of monocyte, eosinophils, and basophils have been observed. Besides, Th, T suppressor (Ts), and regulatory T (Treg) cell count were determined as more obviously decreased in severe cases</w:t>
      </w:r>
      <w:r>
        <w:rPr>
          <w:rFonts w:ascii="Book Antiqua" w:hAnsi="Book Antiqua" w:eastAsia="Book Antiqua" w:cs="Book Antiqua"/>
          <w:color w:val="000000"/>
          <w:vertAlign w:val="superscript"/>
        </w:rPr>
        <w:t>[50]</w:t>
      </w:r>
      <w:r>
        <w:rPr>
          <w:rFonts w:ascii="Book Antiqua" w:hAnsi="Book Antiqua" w:eastAsia="Book Antiqua" w:cs="Book Antiqua"/>
          <w:color w:val="000000"/>
        </w:rPr>
        <w:t>. While studies on the pathophysiology of the disease are continuing, the following substances were found high in patients who suffer from cytokine storm: interleukin (IL)-1</w:t>
      </w:r>
      <w:r>
        <w:rPr>
          <w:rFonts w:ascii="Book Antiqua" w:hAnsi="Book Antiqua" w:cs="Book Antiqua"/>
          <w:color w:val="000000"/>
          <w:lang w:eastAsia="zh-CN"/>
        </w:rPr>
        <w:t>β</w:t>
      </w:r>
      <w:r>
        <w:rPr>
          <w:rFonts w:ascii="Book Antiqua" w:hAnsi="Book Antiqua" w:eastAsia="Book Antiqua" w:cs="Book Antiqua"/>
          <w:color w:val="000000"/>
        </w:rPr>
        <w:t>, IL-2, IL-6, IL-7, IL-8, IL-9, IL-10, and IL-17; granulocyte-macrophage colony-stimulating factor (GM-CSF); TNF-</w:t>
      </w:r>
      <w:r>
        <w:rPr>
          <w:rFonts w:ascii="Book Antiqua" w:hAnsi="Book Antiqua" w:cs="Book Antiqua"/>
          <w:color w:val="000000"/>
          <w:lang w:eastAsia="zh-CN"/>
        </w:rPr>
        <w:t>α</w:t>
      </w:r>
      <w:r>
        <w:rPr>
          <w:rFonts w:ascii="Book Antiqua" w:hAnsi="Book Antiqua" w:eastAsia="Book Antiqua" w:cs="Book Antiqua"/>
          <w:color w:val="000000"/>
        </w:rPr>
        <w:t>, IFN-γ, and IFN-γ inducible protein 10 (IP10); monocyte chemoattractant protein 1 (MCP-1); macrophage inflammatory protein 1</w:t>
      </w:r>
      <w:r>
        <w:rPr>
          <w:rFonts w:ascii="Book Antiqua" w:hAnsi="Book Antiqua" w:cs="Book Antiqua"/>
          <w:color w:val="000000"/>
          <w:lang w:eastAsia="zh-CN"/>
        </w:rPr>
        <w:t>α</w:t>
      </w:r>
      <w:r>
        <w:rPr>
          <w:rFonts w:ascii="Book Antiqua" w:hAnsi="Book Antiqua" w:eastAsia="Book Antiqua" w:cs="Book Antiqua"/>
          <w:color w:val="000000"/>
        </w:rPr>
        <w:t xml:space="preserve"> (MIP-1</w:t>
      </w:r>
      <w:r>
        <w:rPr>
          <w:rFonts w:ascii="Book Antiqua" w:hAnsi="Book Antiqua" w:cs="Book Antiqua"/>
          <w:color w:val="000000"/>
          <w:lang w:eastAsia="zh-CN"/>
        </w:rPr>
        <w:t>α</w:t>
      </w:r>
      <w:r>
        <w:rPr>
          <w:rFonts w:ascii="Book Antiqua" w:hAnsi="Book Antiqua" w:eastAsia="Book Antiqua" w:cs="Book Antiqua"/>
          <w:color w:val="000000"/>
        </w:rPr>
        <w:t>) and MIP-1</w:t>
      </w:r>
      <w:r>
        <w:rPr>
          <w:rFonts w:ascii="Book Antiqua" w:hAnsi="Book Antiqua" w:cs="Book Antiqua"/>
          <w:color w:val="000000"/>
          <w:lang w:eastAsia="zh-CN"/>
        </w:rPr>
        <w:t>β</w:t>
      </w:r>
      <w:r>
        <w:rPr>
          <w:rFonts w:ascii="Book Antiqua" w:hAnsi="Book Antiqua" w:eastAsia="Book Antiqua" w:cs="Book Antiqua"/>
          <w:color w:val="000000"/>
        </w:rPr>
        <w:t>; chemokines like CC chemokine ligand 2 (CCL2), CCL3, and CCL5; and C-X-C motif chemokine ligand 8 (CXCL8), CXCL9, and CXCL10</w:t>
      </w:r>
      <w:r>
        <w:rPr>
          <w:rFonts w:ascii="Book Antiqua" w:hAnsi="Book Antiqua" w:eastAsia="Book Antiqua" w:cs="Book Antiqua"/>
          <w:color w:val="000000"/>
          <w:vertAlign w:val="superscript"/>
        </w:rPr>
        <w:t>[4,51]</w:t>
      </w:r>
      <w:r>
        <w:rPr>
          <w:rFonts w:ascii="Book Antiqua" w:hAnsi="Book Antiqua" w:eastAsia="Book Antiqua" w:cs="Book Antiqua"/>
          <w:color w:val="000000"/>
        </w:rPr>
        <w:t>. In the detailed clustering analyses of the patients, higher C-reactive-protein (CRP), D-Dimer, ferritin, IP-10 (CXCL10), IL-10, IL-6 were founded to strongly correlated with poor clinical prognosis</w:t>
      </w:r>
      <w:r>
        <w:rPr>
          <w:rFonts w:ascii="Book Antiqua" w:hAnsi="Book Antiqua" w:eastAsia="Book Antiqua" w:cs="Book Antiqua"/>
          <w:color w:val="000000"/>
          <w:vertAlign w:val="superscript"/>
        </w:rPr>
        <w:t>[52,53]</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Together with these results, it is thought immunosuppression might be harmful in the early stages but helpful late stages of the disease. For this reason, the timing of the immunomodulatory therapies is essential</w:t>
      </w:r>
      <w:r>
        <w:rPr>
          <w:rFonts w:ascii="Book Antiqua" w:hAnsi="Book Antiqua" w:eastAsia="Book Antiqua" w:cs="Book Antiqua"/>
          <w:color w:val="000000"/>
          <w:vertAlign w:val="superscript"/>
        </w:rPr>
        <w:t>[19]</w:t>
      </w:r>
      <w:r>
        <w:rPr>
          <w:rFonts w:ascii="Book Antiqua" w:hAnsi="Book Antiqua" w:eastAsia="Book Antiqua" w:cs="Book Antiqua"/>
          <w:color w:val="000000"/>
        </w:rPr>
        <w:t>. Mortality rate reductive effects of the corticosteroids in patients who are intubated or only taken oxygen support can be explained with their potent anti-inflammatory effects</w:t>
      </w:r>
      <w:r>
        <w:rPr>
          <w:rFonts w:ascii="Book Antiqua" w:hAnsi="Book Antiqua" w:eastAsia="Book Antiqua" w:cs="Book Antiqua"/>
          <w:color w:val="000000"/>
          <w:vertAlign w:val="superscript"/>
        </w:rPr>
        <w:t>[54]</w:t>
      </w:r>
      <w:r>
        <w:rPr>
          <w:rFonts w:ascii="Book Antiqua" w:hAnsi="Book Antiqua" w:eastAsia="Book Antiqua" w:cs="Book Antiqua"/>
          <w:color w:val="000000"/>
        </w:rPr>
        <w:t>. Immunosuppression is a two-sided sword, and selective application is fundamental. Nevertheless, the ideal candidates for the immunomodulatory therapy in COVID-19 are still unspecified. Even only cytokine-specific therapies like IL-6 inhibitor tocilizumab might cause increasing the risk of sepsis, bacterial pneumonia, gastrointestinal perforation, and hepatotoxicity as a possible consequence of profound immunosuppression</w:t>
      </w:r>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Additionally, indiscriminative and long-lasting immunosuppression has some disadvantages as SARS-CoV-2 progression and secondary infections. Therefore, administration of the short half-live immunosuppressant drugs will be more appropriate management.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is still no consensus about the biomarkers that can be used for patient selection. However, besides the being need for further studies, it is thought that severe and critically ill patients might benefit from immunomodulatory options including MSC transplantation. Focusing on potential cytokine storm predictors, cytokine level measurement, especially IL-6, is not routine and usually is a "send-out" test. Instead of that, there are more accessible tests such as CRP, D-Dimer, and Ferritin, but their cut-off values vary in different studies. Another disease, hemophagocytic lymphohistiocytosis (HLH), which is induced cytokine storm, has a diagnostic score H score, (it assets temperature, organomegaly, number of cytopenias, triglycerides, fibrinogen, ferritin, aspartate aminotransferase, hemophagocytes on bone marrow aspirate, and known immunosuppression), and modified or a redesigned version of the score will be helpful not only in the management of MSC transplantation but, including other immunomodulatory therapies</w:t>
      </w:r>
      <w:r>
        <w:rPr>
          <w:rFonts w:ascii="Book Antiqua" w:hAnsi="Book Antiqua" w:eastAsia="Book Antiqua" w:cs="Book Antiqua"/>
          <w:color w:val="000000"/>
          <w:vertAlign w:val="superscript"/>
        </w:rPr>
        <w:t>[56]</w:t>
      </w:r>
      <w:r>
        <w:rPr>
          <w:rFonts w:ascii="Book Antiqua" w:hAnsi="Book Antiqua" w:eastAsia="Book Antiqua" w:cs="Book Antiqua"/>
          <w:color w:val="000000"/>
        </w:rPr>
        <w:t>. Further studies, which take these variables into account, need to be undertaken.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BENEFITS AND MECHANISMS OF MSC TRANSPLANTATION AND LIMITATIONS OF THE STUDIES</w:t>
      </w:r>
    </w:p>
    <w:p>
      <w:pPr>
        <w:spacing w:line="360" w:lineRule="auto"/>
        <w:jc w:val="both"/>
        <w:rPr>
          <w:rFonts w:ascii="Book Antiqua" w:hAnsi="Book Antiqua"/>
        </w:rPr>
      </w:pPr>
      <w:r>
        <w:rPr>
          <w:rFonts w:ascii="Book Antiqua" w:hAnsi="Book Antiqua" w:eastAsia="Book Antiqua" w:cs="Book Antiqua"/>
          <w:color w:val="000000"/>
        </w:rPr>
        <w:t xml:space="preserve">MSCs were firstly described in 1968 by Friedenstein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with a cluster of cells from bone marrow as colony-forming unit-fibroblasts</w:t>
      </w:r>
      <w:r>
        <w:rPr>
          <w:rFonts w:ascii="Book Antiqua" w:hAnsi="Book Antiqua" w:eastAsia="Book Antiqua" w:cs="Book Antiqua"/>
          <w:color w:val="000000"/>
          <w:vertAlign w:val="superscript"/>
        </w:rPr>
        <w:t>[57]</w:t>
      </w:r>
      <w:r>
        <w:rPr>
          <w:rFonts w:ascii="Book Antiqua" w:hAnsi="Book Antiqua" w:eastAsia="Book Antiqua" w:cs="Book Antiqua"/>
          <w:color w:val="000000"/>
        </w:rPr>
        <w:t>. Multipotent MSCs were defined by the International Society for Gene &amp; Gene Therapy with three minimal criteria; being plastic adherent, specific surface antigen expression (expressing CD73, CD90, and CD105, lacking the expression of hematopoietic and endothelial markers CD11b, CD14, CD19, CD34, CD45, CD79</w:t>
      </w:r>
      <w:r>
        <w:rPr>
          <w:rFonts w:ascii="Book Antiqua" w:hAnsi="Book Antiqua" w:cs="Book Antiqua"/>
          <w:color w:val="000000"/>
          <w:lang w:eastAsia="zh-CN"/>
        </w:rPr>
        <w:t>α</w:t>
      </w:r>
      <w:r>
        <w:rPr>
          <w:rFonts w:ascii="Book Antiqua" w:hAnsi="Book Antiqua" w:eastAsia="Book Antiqua" w:cs="Book Antiqua"/>
          <w:color w:val="000000"/>
        </w:rPr>
        <w:t xml:space="preserve">, and HLA-DR) and multipotent differentiation potential (capable of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differentiation into adipocyte, chondrocyte and osteoblast lineages)</w:t>
      </w:r>
      <w:r>
        <w:rPr>
          <w:rFonts w:ascii="Book Antiqua" w:hAnsi="Book Antiqua" w:eastAsia="Book Antiqua" w:cs="Book Antiqua"/>
          <w:color w:val="000000"/>
          <w:vertAlign w:val="superscript"/>
        </w:rPr>
        <w:t>[59]</w:t>
      </w:r>
      <w:r>
        <w:rPr>
          <w:rFonts w:ascii="Book Antiqua" w:hAnsi="Book Antiqua" w:eastAsia="Book Antiqua" w:cs="Book Antiqua"/>
          <w:color w:val="000000"/>
        </w:rPr>
        <w:t>. Recently, The International Society for Cell &amp; Gene Therapy (ISCT) Mesenchymal Stromal Cell (ISCT MSC) committee has advised naming these extraordinary cells as "Mesenchymal Stromal Cells" instead of "Mesenchymal Stem Cells" to clarify nomenclature</w:t>
      </w:r>
      <w:r>
        <w:rPr>
          <w:rFonts w:ascii="Book Antiqua" w:hAnsi="Book Antiqua" w:eastAsia="Book Antiqua" w:cs="Book Antiqua"/>
          <w:color w:val="000000"/>
          <w:vertAlign w:val="superscript"/>
        </w:rPr>
        <w:t>[60]</w:t>
      </w:r>
      <w:r>
        <w:rPr>
          <w:rFonts w:ascii="Book Antiqua" w:hAnsi="Book Antiqua" w:eastAsia="Book Antiqua" w:cs="Book Antiqua"/>
          <w:color w:val="000000"/>
        </w:rPr>
        <w:t>. In this review, we use the terms as synonyms. These cells derived from limited tissues like adipose, umbilical cord, placenta, synovium, and menstrual blood has such properties as priming, self-renewal, differentiation, immunomodulation &amp; immunoprivilege, angiogenesis &amp; repair, homing mechanism, anti-apoptosis, anti-inflammation &amp; anti-fibrosis, and clinical trials about the benefits on COVID-19 patients continue</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MSC transplantation is up-and-coming in treating many diseases such as HIV, Hepatitis B, Influenza, coronaviruses (SARS, MERS), lung injuries, and ARDS. The only treatment of the HLH disease that causes the cytokine storm is stem cell transplantation</w:t>
      </w:r>
      <w:r>
        <w:rPr>
          <w:rFonts w:ascii="Book Antiqua" w:hAnsi="Book Antiqua" w:eastAsia="Book Antiqua" w:cs="Book Antiqua"/>
          <w:color w:val="000000"/>
          <w:vertAlign w:val="superscript"/>
        </w:rPr>
        <w:t>[62]</w:t>
      </w:r>
      <w:r>
        <w:rPr>
          <w:rFonts w:ascii="Book Antiqua" w:hAnsi="Book Antiqua" w:eastAsia="Book Antiqua" w:cs="Book Antiqua"/>
          <w:color w:val="000000"/>
        </w:rPr>
        <w:t>. Upon closer inspection on respiratory diseases, COVID-19, influenza, SARS, and MERS have similarities in pathogenesis, especially cytokine and immune response profiles. These comparable features in terms of the cytokine storm will provide hints for COVID-19 treatment</w:t>
      </w:r>
      <w:r>
        <w:rPr>
          <w:rFonts w:ascii="Book Antiqua" w:hAnsi="Book Antiqua" w:eastAsia="Book Antiqua" w:cs="Book Antiqua"/>
          <w:color w:val="000000"/>
          <w:vertAlign w:val="superscript"/>
        </w:rPr>
        <w:t>[56,63]</w:t>
      </w:r>
      <w:r>
        <w:rPr>
          <w:rFonts w:ascii="Book Antiqua" w:hAnsi="Book Antiqua" w:eastAsia="Book Antiqua" w:cs="Book Antiqua"/>
          <w:color w:val="000000"/>
        </w:rPr>
        <w:t>. In influenza A (H5N1) infection-induced lung injury, which acts similar to COVID-19 pro-inflammatory cytokine release, the significant benefits of MSCs in both cytokine profile and alveolar clearance are evidenced</w:t>
      </w:r>
      <w:r>
        <w:rPr>
          <w:rFonts w:ascii="Book Antiqua" w:hAnsi="Book Antiqua" w:eastAsia="Book Antiqua" w:cs="Book Antiqua"/>
          <w:color w:val="000000"/>
          <w:vertAlign w:val="superscript"/>
        </w:rPr>
        <w:t>[23,64]</w:t>
      </w:r>
      <w:r>
        <w:rPr>
          <w:rFonts w:ascii="Book Antiqua" w:hAnsi="Book Antiqua" w:eastAsia="Book Antiqua" w:cs="Book Antiqua"/>
          <w:color w:val="000000"/>
        </w:rPr>
        <w:t>. Menstrual-blood-derived MSC transplantation has significantly reduced mortality in influenza A (H7N9)-induced ARDS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Mahendiratta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recently published a systematic review and reported pooled evidence on MSC therapy benefits in SARS-CoV-2, SARS-CoV, MERS-CoV, and ARDS.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While MHC-1 expression of the MSCs provides the escape from Natural killer cells response, minimal MHC-2 expression or absence of this surface protein hampers the CD4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 response. For this reason, they are assumed as hypoimmunogenic</w:t>
      </w:r>
      <w:r>
        <w:rPr>
          <w:rFonts w:ascii="Book Antiqua" w:hAnsi="Book Antiqua" w:eastAsia="Book Antiqua" w:cs="Book Antiqua"/>
          <w:color w:val="000000"/>
          <w:vertAlign w:val="superscript"/>
        </w:rPr>
        <w:t>[66]</w:t>
      </w:r>
      <w:r>
        <w:rPr>
          <w:rFonts w:ascii="Book Antiqua" w:hAnsi="Book Antiqua" w:eastAsia="Book Antiqua" w:cs="Book Antiqua"/>
          <w:color w:val="000000"/>
        </w:rPr>
        <w:t>. MSCs, provide tissue regeneration and rejuvenation with immunotolerant and immunomodulant properties on damaged tissues by exerting their effects through immune cells</w:t>
      </w:r>
      <w:r>
        <w:rPr>
          <w:rFonts w:ascii="Book Antiqua" w:hAnsi="Book Antiqua" w:eastAsia="Book Antiqua" w:cs="Book Antiqua"/>
          <w:color w:val="000000"/>
          <w:vertAlign w:val="superscript"/>
        </w:rPr>
        <w:t>[67]</w:t>
      </w:r>
      <w:r>
        <w:rPr>
          <w:rFonts w:ascii="Book Antiqua" w:hAnsi="Book Antiqua" w:eastAsia="Book Antiqua" w:cs="Book Antiqua"/>
          <w:color w:val="000000"/>
        </w:rPr>
        <w:t>. Also, young MSCs might be useful in older adults because aged MSCs contribute to inflammaging and immunosenescence, which may explain the high mortality rate in this population due to COVID-19</w:t>
      </w:r>
      <w:r>
        <w:rPr>
          <w:rFonts w:ascii="Book Antiqua" w:hAnsi="Book Antiqua" w:eastAsia="Book Antiqua" w:cs="Book Antiqua"/>
          <w:color w:val="000000"/>
          <w:vertAlign w:val="superscript"/>
        </w:rPr>
        <w:t>[68,69]</w:t>
      </w:r>
      <w:r>
        <w:rPr>
          <w:rFonts w:ascii="Book Antiqua" w:hAnsi="Book Antiqua" w:eastAsia="Book Antiqua" w:cs="Book Antiqua"/>
          <w:color w:val="000000"/>
        </w:rPr>
        <w:t>. As well as numerous mechanisms are continuing to be investigated, some of them can be summarized as follows</w:t>
      </w:r>
      <w:r>
        <w:rPr>
          <w:rFonts w:ascii="Book Antiqua" w:hAnsi="Book Antiqua"/>
          <w:lang w:eastAsia="zh-CN"/>
        </w:rPr>
        <w:t xml:space="preserve">: (1) </w:t>
      </w:r>
      <w:r>
        <w:rPr>
          <w:rFonts w:ascii="Book Antiqua" w:hAnsi="Book Antiqua" w:eastAsia="Book Antiqua" w:cs="Book Antiqua"/>
          <w:color w:val="000000"/>
        </w:rPr>
        <w:t>Inhibition of T cell (significantly cytotoxic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Th 1 , Th 17)</w:t>
      </w:r>
      <w:r>
        <w:rPr>
          <w:rFonts w:ascii="Book Antiqua" w:hAnsi="Book Antiqua" w:eastAsia="Book Antiqua" w:cs="Book Antiqua"/>
          <w:color w:val="000000"/>
          <w:vertAlign w:val="superscript"/>
        </w:rPr>
        <w:t>[61,70–72]</w:t>
      </w:r>
      <w:r>
        <w:rPr>
          <w:rFonts w:ascii="Book Antiqua" w:hAnsi="Book Antiqua" w:eastAsia="Book Antiqua" w:cs="Book Antiqua"/>
          <w:color w:val="000000"/>
        </w:rPr>
        <w:t xml:space="preserve">, B cell proliferation to plasma cell (thus MSCs can reduce the secretion of immunoglobulin), Dendritic cell activation, and apoptosis of T cells; </w:t>
      </w:r>
      <w:r>
        <w:rPr>
          <w:rFonts w:ascii="Book Antiqua" w:hAnsi="Book Antiqua"/>
          <w:lang w:eastAsia="zh-CN"/>
        </w:rPr>
        <w:t xml:space="preserve">(2) </w:t>
      </w:r>
      <w:r>
        <w:rPr>
          <w:rFonts w:ascii="Book Antiqua" w:hAnsi="Book Antiqua" w:eastAsia="Book Antiqua" w:cs="Book Antiqua"/>
          <w:color w:val="000000"/>
        </w:rPr>
        <w:t>Differentiation of the cytokine profile and cell type of T cells and B cells into anti-inflammatory cytokines such as induces the production of IL-10 and regulatory T cell, regulatory B cell</w:t>
      </w:r>
      <w:r>
        <w:rPr>
          <w:rFonts w:ascii="Book Antiqua" w:hAnsi="Book Antiqua" w:eastAsia="Book Antiqua" w:cs="Book Antiqua"/>
          <w:color w:val="000000"/>
          <w:vertAlign w:val="superscript"/>
        </w:rPr>
        <w:t>[61,67]</w:t>
      </w:r>
      <w:r>
        <w:rPr>
          <w:rFonts w:ascii="Book Antiqua" w:hAnsi="Book Antiqua" w:eastAsia="Book Antiqua" w:cs="Book Antiqua"/>
          <w:color w:val="000000"/>
        </w:rPr>
        <w:t>; (3)</w:t>
      </w:r>
      <w:r>
        <w:rPr>
          <w:rFonts w:ascii="Book Antiqua" w:hAnsi="Book Antiqua"/>
          <w:lang w:eastAsia="zh-CN"/>
        </w:rPr>
        <w:t xml:space="preserve"> </w:t>
      </w:r>
      <w:r>
        <w:rPr>
          <w:rFonts w:ascii="Book Antiqua" w:hAnsi="Book Antiqua" w:eastAsia="Book Antiqua" w:cs="Book Antiqua"/>
          <w:color w:val="000000"/>
        </w:rPr>
        <w:t>Reduction of production in cytokine storm-related inflammatory factors, such as IL-1α, IL-6, IFN-γ, IL-17, TNF-α (Figure 1)</w:t>
      </w:r>
      <w:r>
        <w:rPr>
          <w:rFonts w:ascii="Book Antiqua" w:hAnsi="Book Antiqua" w:eastAsia="Book Antiqua" w:cs="Book Antiqua"/>
          <w:color w:val="000000"/>
          <w:vertAlign w:val="superscript"/>
        </w:rPr>
        <w:t>[73]</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(4) Promoting the transformation of inflammation-related M1 macrophages to regeneration-related M2 macrophages</w:t>
      </w:r>
      <w:r>
        <w:rPr>
          <w:rFonts w:ascii="Book Antiqua" w:hAnsi="Book Antiqua" w:eastAsia="Book Antiqua" w:cs="Book Antiqua"/>
          <w:color w:val="000000"/>
          <w:vertAlign w:val="superscript"/>
        </w:rPr>
        <w:t>[74,75]</w:t>
      </w:r>
      <w:r>
        <w:rPr>
          <w:rFonts w:ascii="Book Antiqua" w:hAnsi="Book Antiqua" w:eastAsia="Book Antiqua" w:cs="Book Antiqua"/>
          <w:color w:val="000000"/>
        </w:rPr>
        <w:t>;</w:t>
      </w:r>
      <w:r>
        <w:rPr>
          <w:rFonts w:ascii="Book Antiqua" w:hAnsi="Book Antiqua"/>
          <w:lang w:eastAsia="zh-CN"/>
        </w:rPr>
        <w:t xml:space="preserve"> and (5) </w:t>
      </w:r>
      <w:r>
        <w:rPr>
          <w:rFonts w:ascii="Book Antiqua" w:hAnsi="Book Antiqua" w:eastAsia="Book Antiqua" w:cs="Book Antiqua"/>
          <w:color w:val="000000"/>
        </w:rPr>
        <w:t>MSC products like exosomes and extracellular vesicles that do not contain any cell are thought to have similar effects to MSC transplantation, owing to the soluble mediator profiles they secrete</w:t>
      </w:r>
      <w:r>
        <w:rPr>
          <w:rFonts w:ascii="Book Antiqua" w:hAnsi="Book Antiqua" w:eastAsia="Book Antiqua" w:cs="Book Antiqua"/>
          <w:color w:val="000000"/>
          <w:vertAlign w:val="superscript"/>
        </w:rPr>
        <w:t>[67,76]</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Besides being encouraging and promising, the previous studies had some limitations, and one crucial of them is the small sample size. Also, the outcomes of the studies were not standardized, and most of the outcomes are observatory. Commonly evaluated parameters are CRP, D-dimer, IL-6, IL-10, TNF-α, blood lymphocyte, neutrophil counts, pulmonary involvements in thorax computed tomography, and radiography imaging. Another point is that some studies were assumed as successful, despite having already an ameliorative trend in parameters before transplantation</w:t>
      </w:r>
      <w:r>
        <w:rPr>
          <w:rFonts w:ascii="Book Antiqua" w:hAnsi="Book Antiqua" w:eastAsia="Book Antiqua" w:cs="Book Antiqua"/>
          <w:color w:val="000000"/>
          <w:vertAlign w:val="superscript"/>
        </w:rPr>
        <w:t>[77,78]</w:t>
      </w:r>
      <w:r>
        <w:rPr>
          <w:rFonts w:ascii="Book Antiqua" w:hAnsi="Book Antiqua" w:eastAsia="Book Antiqua" w:cs="Book Antiqua"/>
          <w:color w:val="000000"/>
        </w:rPr>
        <w:t>. In almost all of the studies, patients had received antibiotics, antivirals, antipyretics, corticosteroids, and supportive treatments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ISSUES OF THE MSC TRANSPLANTATION</w:t>
      </w:r>
    </w:p>
    <w:p>
      <w:pPr>
        <w:spacing w:line="360" w:lineRule="auto"/>
        <w:jc w:val="both"/>
        <w:rPr>
          <w:rFonts w:ascii="Book Antiqua" w:hAnsi="Book Antiqua"/>
        </w:rPr>
      </w:pPr>
      <w:r>
        <w:rPr>
          <w:rFonts w:ascii="Book Antiqua" w:hAnsi="Book Antiqua" w:eastAsia="Book Antiqua" w:cs="Book Antiqua"/>
          <w:color w:val="000000"/>
        </w:rPr>
        <w:t>Although clinical research is still ongoing, strict ‘Good Manufacturing’ rules are applied in the preparation of MSCs for clinical use</w:t>
      </w:r>
      <w:r>
        <w:rPr>
          <w:rFonts w:ascii="Book Antiqua" w:hAnsi="Book Antiqua" w:eastAsia="Book Antiqua" w:cs="Book Antiqua"/>
          <w:color w:val="000000"/>
          <w:vertAlign w:val="superscript"/>
        </w:rPr>
        <w:t>[79]</w:t>
      </w:r>
      <w:r>
        <w:rPr>
          <w:rFonts w:ascii="Book Antiqua" w:hAnsi="Book Antiqua" w:eastAsia="Book Antiqua" w:cs="Book Antiqua"/>
          <w:color w:val="000000"/>
        </w:rPr>
        <w:t>. It is seen that these rules are rigorously followed in the studies. The frequently preferred IV MSC dose is 10</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cells per kilogram, and the infusion rate is 60 min, but the total dose calculation (</w:t>
      </w:r>
      <w:r>
        <w:rPr>
          <w:rFonts w:ascii="Book Antiqua" w:hAnsi="Book Antiqua" w:eastAsia="Book Antiqua" w:cs="Book Antiqua"/>
          <w:i/>
          <w:iCs/>
          <w:color w:val="000000"/>
        </w:rPr>
        <w:t>e.g.,</w:t>
      </w:r>
      <w:r>
        <w:rPr>
          <w:rFonts w:ascii="Book Antiqua" w:hAnsi="Book Antiqua" w:eastAsia="Book Antiqua" w:cs="Book Antiqua"/>
          <w:color w:val="000000"/>
        </w:rPr>
        <w:t xml:space="preserve"> 15 </w:t>
      </w:r>
      <w:r>
        <w:rPr>
          <w:rFonts w:ascii="Book Antiqua" w:hAnsi="Book Antiqua" w:eastAsia="Book Antiqua"/>
          <w:color w:val="000000"/>
        </w:rPr>
        <w:t>×</w:t>
      </w:r>
      <w:r>
        <w:rPr>
          <w:rFonts w:ascii="Book Antiqua" w:hAnsi="Book Antiqua" w:eastAsia="Book Antiqua" w:cs="Book Antiqua"/>
          <w:color w:val="000000"/>
        </w:rPr>
        <w:t xml:space="preserve"> 10</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cells) and multiple injection choices varied in different studies (Table 1). MSCs reach the lungs about venous vascular anatomy through IV administration and have been shown clearance from injured and inflamed lung tissue within 24-48 h</w:t>
      </w:r>
      <w:r>
        <w:rPr>
          <w:rFonts w:ascii="Book Antiqua" w:hAnsi="Book Antiqua" w:eastAsia="Book Antiqua" w:cs="Book Antiqua"/>
          <w:color w:val="000000"/>
          <w:vertAlign w:val="superscript"/>
        </w:rPr>
        <w:t>[80]</w:t>
      </w:r>
      <w:r>
        <w:rPr>
          <w:rFonts w:ascii="Book Antiqua" w:hAnsi="Book Antiqua" w:eastAsia="Book Antiqua" w:cs="Book Antiqua"/>
          <w:color w:val="000000"/>
        </w:rPr>
        <w:t xml:space="preserve">. Most of the studies to date have not contained any information about the ACE2 expression of administered MSCs or supposed as lack of ACE2 expression. Nevertheless, Derkeste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[81]</w:t>
      </w:r>
      <w:r>
        <w:rPr>
          <w:rFonts w:ascii="Book Antiqua" w:hAnsi="Book Antiqua" w:eastAsia="Book Antiqua" w:cs="Book Antiqua"/>
          <w:color w:val="000000"/>
        </w:rPr>
        <w:t xml:space="preserve"> reported that adult bone marrow, adipose tissue, and umbilical-cord derived MSCs highly express ACE2. The same study has shown that placenta-derived MSCs and human-induced pluripotent stem cells are the best sources for COVID-19 treatment because of very low or absence ACE2 expression. Another significant aspect of MSC products is the contained pro-inflammatory cytokine amount. There are concerns regarding the possibility of worsened the cytokine storm by this situation. Moreover, the inflammatory response within the first two hours was reported due to IV MSC infusion</w:t>
      </w:r>
      <w:r>
        <w:rPr>
          <w:rFonts w:ascii="Book Antiqua" w:hAnsi="Book Antiqua" w:eastAsia="Book Antiqua" w:cs="Book Antiqua"/>
          <w:color w:val="000000"/>
          <w:vertAlign w:val="superscript"/>
        </w:rPr>
        <w:t>[82]</w:t>
      </w:r>
      <w:r>
        <w:rPr>
          <w:rFonts w:ascii="Book Antiqua" w:hAnsi="Book Antiqua" w:eastAsia="Book Antiqua" w:cs="Book Antiqua"/>
          <w:color w:val="000000"/>
        </w:rPr>
        <w:t xml:space="preserve">. About that, it has been seen a single shot corticosteroid application before the MSC infusion in previous studies. A recent systematic review from Thompson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[83]</w:t>
      </w:r>
      <w:r>
        <w:rPr>
          <w:rFonts w:ascii="Book Antiqua" w:hAnsi="Book Antiqua" w:eastAsia="Book Antiqua" w:cs="Book Antiqua"/>
          <w:color w:val="000000"/>
        </w:rPr>
        <w:t xml:space="preserve"> has indicated intravascular (IV) MSC transplantation safety. The study has shown an association with fever but not non-fever acute infusional toxicity, infection, thrombotic/embolic events, or malignancy. However, Moll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[84]</w:t>
      </w:r>
      <w:r>
        <w:rPr>
          <w:rFonts w:ascii="Book Antiqua" w:hAnsi="Book Antiqua" w:eastAsia="Book Antiqua" w:cs="Book Antiqua"/>
          <w:color w:val="000000"/>
        </w:rPr>
        <w:t xml:space="preserve"> have drawn attention to that MSCs highly express the procoagulant tissue factor and could trigger blood clotting in COVID-19 patients already in a hypercoagulable state. Finally, while cell-based strategies have tremendous benefits, it should be kept in mind that treatment costs are still very high, and the developing countries will have difficulties meeting these therapies</w:t>
      </w:r>
      <w:r>
        <w:rPr>
          <w:rFonts w:ascii="Book Antiqua" w:hAnsi="Book Antiqua" w:eastAsia="Book Antiqua" w:cs="Book Antiqua"/>
          <w:color w:val="000000"/>
          <w:vertAlign w:val="superscript"/>
        </w:rPr>
        <w:t>[85]</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Despite to be seen the benefits of MSC and its products in COVID-19, the mechanisms still need to be elucidated. Therefore, the need for the results of ongoing clinical trials and meta-analyses of randomized controlled trials continues. We think that if the costs, ethical, and storage problems of treatments are resolved over time, they might prevent COVID-19 related morbidity and mortality. We foresee that most of these problems will get over with advanced researches on MSC products. However, it should not be overlooked that MSC and MSC-based treatments are still experimental and have pros and cons.</w:t>
      </w:r>
    </w:p>
    <w:p>
      <w:pPr>
        <w:spacing w:line="360" w:lineRule="auto"/>
        <w:jc w:val="both"/>
        <w:rPr>
          <w:rFonts w:ascii="Book Antiqua" w:hAnsi="Book Antiqua"/>
        </w:rPr>
      </w:pPr>
    </w:p>
    <w:p>
      <w:pPr>
        <w:spacing w:line="360" w:lineRule="auto"/>
        <w:jc w:val="both"/>
        <w:rPr>
          <w:rFonts w:ascii="Book Antiqua" w:hAnsi="Book Antiqua"/>
        </w:rPr>
      </w:pPr>
      <w:bookmarkStart w:id="8" w:name="_Hlk79065408"/>
      <w:r>
        <w:rPr>
          <w:rFonts w:ascii="Book Antiqua" w:hAnsi="Book Antiqua" w:eastAsia="Book Antiqua" w:cs="Book Antiqua"/>
          <w:b/>
          <w:color w:val="000000"/>
        </w:rPr>
        <w:t>REFERENCES</w:t>
      </w:r>
    </w:p>
    <w:bookmarkEnd w:id="8"/>
    <w:p>
      <w:pPr>
        <w:spacing w:line="360" w:lineRule="auto"/>
        <w:jc w:val="both"/>
        <w:rPr>
          <w:rFonts w:ascii="Book Antiqua" w:hAnsi="Book Antiqua"/>
        </w:rPr>
      </w:pPr>
      <w:bookmarkStart w:id="9" w:name="OLE_LINK10"/>
      <w:r>
        <w:rPr>
          <w:rFonts w:ascii="Book Antiqua" w:hAnsi="Book Antiqua"/>
        </w:rPr>
        <w:t xml:space="preserve">1 </w:t>
      </w:r>
      <w:r>
        <w:rPr>
          <w:rFonts w:ascii="Book Antiqua" w:hAnsi="Book Antiqua"/>
          <w:b/>
          <w:bCs/>
        </w:rPr>
        <w:t>Ge XY</w:t>
      </w:r>
      <w:r>
        <w:rPr>
          <w:rFonts w:ascii="Book Antiqua" w:hAnsi="Book Antiqua"/>
        </w:rPr>
        <w:t xml:space="preserve">, Li JL, Yang XL, Chmura AA, Zhu G, Epstein JH, Mazet JK, Hu B, Zhang W, Peng C, Zhang YJ, Luo CM, Tan B, Wang N, Zhu Y, Crameri G, Zhang SY, Wang LF, Daszak P, Shi ZL. Isolation and characterization of a bat SARS-like coronavirus that uses the ACE2 receptor. </w:t>
      </w:r>
      <w:r>
        <w:rPr>
          <w:rFonts w:ascii="Book Antiqua" w:hAnsi="Book Antiqua"/>
          <w:i/>
          <w:iCs/>
        </w:rPr>
        <w:t>Nature</w:t>
      </w:r>
      <w:r>
        <w:rPr>
          <w:rFonts w:ascii="Book Antiqua" w:hAnsi="Book Antiqua"/>
        </w:rPr>
        <w:t xml:space="preserve"> 2013; </w:t>
      </w:r>
      <w:r>
        <w:rPr>
          <w:rFonts w:ascii="Book Antiqua" w:hAnsi="Book Antiqua"/>
          <w:b/>
          <w:bCs/>
        </w:rPr>
        <w:t>503</w:t>
      </w:r>
      <w:r>
        <w:rPr>
          <w:rFonts w:ascii="Book Antiqua" w:hAnsi="Book Antiqua"/>
        </w:rPr>
        <w:t>: 535-538 [PMID: 24172901 DOI: 10.1038/nature12711]</w:t>
      </w:r>
    </w:p>
    <w:p>
      <w:pPr>
        <w:spacing w:line="360" w:lineRule="auto"/>
        <w:jc w:val="both"/>
        <w:rPr>
          <w:rFonts w:ascii="Book Antiqua" w:hAnsi="Book Antiqua"/>
        </w:rPr>
      </w:pPr>
      <w:r>
        <w:rPr>
          <w:rFonts w:ascii="Book Antiqua" w:hAnsi="Book Antiqua"/>
        </w:rPr>
        <w:t xml:space="preserve">2 </w:t>
      </w:r>
      <w:r>
        <w:rPr>
          <w:rFonts w:ascii="Book Antiqua" w:hAnsi="Book Antiqua"/>
          <w:b/>
          <w:bCs/>
        </w:rPr>
        <w:t>Menachery VD</w:t>
      </w:r>
      <w:r>
        <w:rPr>
          <w:rFonts w:ascii="Book Antiqua" w:hAnsi="Book Antiqua"/>
        </w:rPr>
        <w:t xml:space="preserve">, Yount BL Jr, Debbink K, Agnihothram S, Gralinski LE, Plante JA, Graham RL, Scobey T, Ge XY, Donaldson EF, Randell SH, Lanzavecchia A, Marasco WA, Shi ZL, Baric RS. A SARS-like cluster of circulating bat coronaviruses shows potential for human emergence. </w:t>
      </w:r>
      <w:r>
        <w:rPr>
          <w:rFonts w:ascii="Book Antiqua" w:hAnsi="Book Antiqua"/>
          <w:i/>
          <w:iCs/>
        </w:rPr>
        <w:t>Nat Med</w:t>
      </w:r>
      <w:r>
        <w:rPr>
          <w:rFonts w:ascii="Book Antiqua" w:hAnsi="Book Antiqua"/>
        </w:rPr>
        <w:t xml:space="preserve"> 2015; </w:t>
      </w:r>
      <w:r>
        <w:rPr>
          <w:rFonts w:ascii="Book Antiqua" w:hAnsi="Book Antiqua"/>
          <w:b/>
          <w:bCs/>
        </w:rPr>
        <w:t>21</w:t>
      </w:r>
      <w:r>
        <w:rPr>
          <w:rFonts w:ascii="Book Antiqua" w:hAnsi="Book Antiqua"/>
        </w:rPr>
        <w:t>: 1508-1513 [PMID: 26552008 DOI: 10.1038/nm.3985]</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Chan JF</w:t>
      </w:r>
      <w:r>
        <w:rPr>
          <w:rFonts w:ascii="Book Antiqua" w:hAnsi="Book Antiqua"/>
        </w:rPr>
        <w:t xml:space="preserve">, Yuan S, Kok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Pr>
          <w:rFonts w:ascii="Book Antiqua" w:hAnsi="Book Antiqua"/>
          <w:i/>
          <w:iCs/>
        </w:rPr>
        <w:t>Lancet</w:t>
      </w:r>
      <w:r>
        <w:rPr>
          <w:rFonts w:ascii="Book Antiqua" w:hAnsi="Book Antiqua"/>
        </w:rPr>
        <w:t xml:space="preserve"> 2020; </w:t>
      </w:r>
      <w:r>
        <w:rPr>
          <w:rFonts w:ascii="Book Antiqua" w:hAnsi="Book Antiqua"/>
          <w:b/>
          <w:bCs/>
        </w:rPr>
        <w:t>395</w:t>
      </w:r>
      <w:r>
        <w:rPr>
          <w:rFonts w:ascii="Book Antiqua" w:hAnsi="Book Antiqua"/>
        </w:rPr>
        <w:t>: 514-523 [PMID: 31986261 DOI: 10.1016/S0140-6736(20)30154-9]</w:t>
      </w:r>
    </w:p>
    <w:p>
      <w:pPr>
        <w:spacing w:line="360" w:lineRule="auto"/>
        <w:jc w:val="both"/>
        <w:rPr>
          <w:rFonts w:ascii="Book Antiqua" w:hAnsi="Book Antiqua"/>
        </w:rPr>
      </w:pPr>
      <w:r>
        <w:rPr>
          <w:rFonts w:ascii="Book Antiqua" w:hAnsi="Book Antiqua"/>
        </w:rPr>
        <w:t xml:space="preserve">4 </w:t>
      </w:r>
      <w:r>
        <w:rPr>
          <w:rFonts w:ascii="Book Antiqua" w:hAnsi="Book Antiqua"/>
          <w:b/>
          <w:bCs/>
        </w:rPr>
        <w:t>Huang C</w:t>
      </w:r>
      <w:r>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hAnsi="Book Antiqua"/>
          <w:i/>
          <w:iCs/>
        </w:rPr>
        <w:t>Lancet</w:t>
      </w:r>
      <w:r>
        <w:rPr>
          <w:rFonts w:ascii="Book Antiqua" w:hAnsi="Book Antiqua"/>
        </w:rPr>
        <w:t xml:space="preserve"> 2020; </w:t>
      </w:r>
      <w:r>
        <w:rPr>
          <w:rFonts w:ascii="Book Antiqua" w:hAnsi="Book Antiqua"/>
          <w:b/>
          <w:bCs/>
        </w:rPr>
        <w:t>395</w:t>
      </w:r>
      <w:r>
        <w:rPr>
          <w:rFonts w:ascii="Book Antiqua" w:hAnsi="Book Antiqua"/>
        </w:rPr>
        <w:t>: 497-506 [PMID: 31986264 DOI: 10.1016/S0140-6736(20)30183-5]</w:t>
      </w:r>
    </w:p>
    <w:p>
      <w:pPr>
        <w:spacing w:line="360" w:lineRule="auto"/>
        <w:jc w:val="both"/>
        <w:rPr>
          <w:rFonts w:ascii="Book Antiqua" w:hAnsi="Book Antiqua"/>
        </w:rPr>
      </w:pPr>
      <w:r>
        <w:rPr>
          <w:rFonts w:ascii="Book Antiqua" w:hAnsi="Book Antiqua"/>
        </w:rPr>
        <w:t xml:space="preserve">5 </w:t>
      </w:r>
      <w:r>
        <w:rPr>
          <w:rFonts w:ascii="Book Antiqua" w:hAnsi="Book Antiqua"/>
          <w:b/>
          <w:bCs/>
        </w:rPr>
        <w:t>Zhou P</w:t>
      </w:r>
      <w:r>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Pr>
          <w:rFonts w:ascii="Book Antiqua" w:hAnsi="Book Antiqua"/>
          <w:i/>
          <w:iCs/>
        </w:rPr>
        <w:t>Nature</w:t>
      </w:r>
      <w:r>
        <w:rPr>
          <w:rFonts w:ascii="Book Antiqua" w:hAnsi="Book Antiqua"/>
        </w:rPr>
        <w:t xml:space="preserve"> 2020; </w:t>
      </w:r>
      <w:r>
        <w:rPr>
          <w:rFonts w:ascii="Book Antiqua" w:hAnsi="Book Antiqua"/>
          <w:b/>
          <w:bCs/>
        </w:rPr>
        <w:t>579</w:t>
      </w:r>
      <w:r>
        <w:rPr>
          <w:rFonts w:ascii="Book Antiqua" w:hAnsi="Book Antiqua"/>
        </w:rPr>
        <w:t>: 270-273 [PMID: 32015507 DOI: 10.1038/s41586-020-2012-7]</w:t>
      </w:r>
    </w:p>
    <w:p>
      <w:pPr>
        <w:spacing w:line="360" w:lineRule="auto"/>
        <w:jc w:val="both"/>
        <w:rPr>
          <w:rFonts w:ascii="Book Antiqua" w:hAnsi="Book Antiqua"/>
        </w:rPr>
      </w:pPr>
      <w:r>
        <w:rPr>
          <w:rFonts w:ascii="Book Antiqua" w:hAnsi="Book Antiqua"/>
        </w:rPr>
        <w:t xml:space="preserve">6 </w:t>
      </w:r>
      <w:r>
        <w:rPr>
          <w:rFonts w:ascii="Book Antiqua" w:hAnsi="Book Antiqua"/>
          <w:b/>
          <w:bCs/>
        </w:rPr>
        <w:t>Tang X,</w:t>
      </w:r>
      <w:r>
        <w:rPr>
          <w:rFonts w:ascii="Book Antiqua" w:hAnsi="Book Antiqua"/>
        </w:rPr>
        <w:t xml:space="preserve"> Wu C, Li X, Song Y, Yao X, Wu X, Duan Y, Zhang H, Wang Y, Qian Z, Cui J, Lu J. On the origin and continuing evolution of SARS-CoV-2. </w:t>
      </w:r>
      <w:r>
        <w:rPr>
          <w:rFonts w:ascii="Book Antiqua" w:hAnsi="Book Antiqua"/>
          <w:i/>
          <w:iCs/>
        </w:rPr>
        <w:t>Natl Sci Rev</w:t>
      </w:r>
      <w:r>
        <w:rPr>
          <w:rFonts w:ascii="Book Antiqua" w:hAnsi="Book Antiqua"/>
        </w:rPr>
        <w:t xml:space="preserve"> 2020; </w:t>
      </w:r>
      <w:r>
        <w:rPr>
          <w:rFonts w:ascii="Book Antiqua" w:hAnsi="Book Antiqua"/>
          <w:b/>
          <w:bCs/>
        </w:rPr>
        <w:t>7</w:t>
      </w:r>
      <w:r>
        <w:rPr>
          <w:rFonts w:ascii="Book Antiqua" w:hAnsi="Book Antiqua"/>
        </w:rPr>
        <w:t>: 1012-1023 [DOI: 10.1093/nsr/nwaa036]</w:t>
      </w:r>
    </w:p>
    <w:p>
      <w:pPr>
        <w:spacing w:line="360" w:lineRule="auto"/>
        <w:jc w:val="both"/>
        <w:rPr>
          <w:rFonts w:ascii="Book Antiqua" w:hAnsi="Book Antiqua"/>
        </w:rPr>
      </w:pPr>
      <w:r>
        <w:rPr>
          <w:rFonts w:ascii="Book Antiqua" w:hAnsi="Book Antiqua"/>
        </w:rPr>
        <w:t xml:space="preserve">7 </w:t>
      </w:r>
      <w:r>
        <w:rPr>
          <w:rFonts w:ascii="Book Antiqua" w:hAnsi="Book Antiqua"/>
          <w:b/>
          <w:bCs/>
        </w:rPr>
        <w:t>Lu R</w:t>
      </w:r>
      <w:r>
        <w:rPr>
          <w:rFonts w:ascii="Book Antiqua" w:hAnsi="Book Antiqua"/>
        </w:rPr>
        <w:t xml:space="preserve">,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Pr>
          <w:rFonts w:ascii="Book Antiqua" w:hAnsi="Book Antiqua"/>
          <w:i/>
          <w:iCs/>
        </w:rPr>
        <w:t>Lancet</w:t>
      </w:r>
      <w:r>
        <w:rPr>
          <w:rFonts w:ascii="Book Antiqua" w:hAnsi="Book Antiqua"/>
        </w:rPr>
        <w:t xml:space="preserve"> 2020; </w:t>
      </w:r>
      <w:r>
        <w:rPr>
          <w:rFonts w:ascii="Book Antiqua" w:hAnsi="Book Antiqua"/>
          <w:b/>
          <w:bCs/>
        </w:rPr>
        <w:t>395</w:t>
      </w:r>
      <w:r>
        <w:rPr>
          <w:rFonts w:ascii="Book Antiqua" w:hAnsi="Book Antiqua"/>
        </w:rPr>
        <w:t>: 565-574 [PMID: 32007145 DOI: 10.1016/S0140-6736(20)30251-8]</w:t>
      </w:r>
    </w:p>
    <w:p>
      <w:pPr>
        <w:spacing w:line="360" w:lineRule="auto"/>
        <w:jc w:val="both"/>
        <w:rPr>
          <w:rFonts w:ascii="Book Antiqua" w:hAnsi="Book Antiqua"/>
        </w:rPr>
      </w:pPr>
      <w:r>
        <w:rPr>
          <w:rFonts w:ascii="Book Antiqua" w:hAnsi="Book Antiqua"/>
        </w:rPr>
        <w:t xml:space="preserve">8 </w:t>
      </w:r>
      <w:r>
        <w:rPr>
          <w:rFonts w:ascii="Book Antiqua" w:hAnsi="Book Antiqua"/>
          <w:b/>
          <w:bCs/>
        </w:rPr>
        <w:t>van Doremalen N</w:t>
      </w:r>
      <w:r>
        <w:rPr>
          <w:rFonts w:ascii="Book Antiqua" w:hAnsi="Book Antiqua"/>
        </w:rPr>
        <w:t xml:space="preserve">, Bushmaker T, Morris DH, Holbrook MG, Gamble A, Williamson BN, Tamin A, Harcourt JL, Thornburg NJ, Gerber SI, Lloyd-Smith JO, de Wit E, Munster VJ. Aerosol and Surface Stability of SARS-CoV-2 as Compared with SARS-CoV-1. </w:t>
      </w:r>
      <w:r>
        <w:rPr>
          <w:rFonts w:ascii="Book Antiqua" w:hAnsi="Book Antiqua"/>
          <w:i/>
          <w:iCs/>
        </w:rPr>
        <w:t>N Engl J Med</w:t>
      </w:r>
      <w:r>
        <w:rPr>
          <w:rFonts w:ascii="Book Antiqua" w:hAnsi="Book Antiqua"/>
        </w:rPr>
        <w:t xml:space="preserve"> 2020; </w:t>
      </w:r>
      <w:r>
        <w:rPr>
          <w:rFonts w:ascii="Book Antiqua" w:hAnsi="Book Antiqua"/>
          <w:b/>
          <w:bCs/>
        </w:rPr>
        <w:t>382</w:t>
      </w:r>
      <w:r>
        <w:rPr>
          <w:rFonts w:ascii="Book Antiqua" w:hAnsi="Book Antiqua"/>
        </w:rPr>
        <w:t>: 1564-1567 [PMID: 32182409 DOI: 10.1056/NEJMc2004973]</w:t>
      </w:r>
    </w:p>
    <w:p>
      <w:pPr>
        <w:spacing w:line="360" w:lineRule="auto"/>
        <w:jc w:val="both"/>
        <w:rPr>
          <w:rFonts w:ascii="Book Antiqua" w:hAnsi="Book Antiqua"/>
        </w:rPr>
      </w:pPr>
      <w:r>
        <w:rPr>
          <w:rFonts w:ascii="Book Antiqua" w:hAnsi="Book Antiqua"/>
          <w:highlight w:val="yellow"/>
        </w:rPr>
        <w:t xml:space="preserve">9 </w:t>
      </w:r>
      <w:r>
        <w:rPr>
          <w:rFonts w:ascii="Book Antiqua" w:hAnsi="Book Antiqua"/>
          <w:b/>
          <w:bCs/>
          <w:highlight w:val="yellow"/>
        </w:rPr>
        <w:t>World Health Organization</w:t>
      </w:r>
      <w:r>
        <w:rPr>
          <w:rFonts w:ascii="Book Antiqua" w:hAnsi="Book Antiqua"/>
          <w:highlight w:val="yellow"/>
        </w:rPr>
        <w:t>. WHO Director-General’s opening remarks at the media briefing on COVID-19. 11 March 2020. [cited 10 February 2021]. Available from: https://www.who.int/director-general/speeches/detail/who-director-general-s-opening-remarks-at-the-media-briefing-on-covid-19---11-march-2020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Tolksdorf K</w:t>
      </w:r>
      <w:r>
        <w:rPr>
          <w:rFonts w:ascii="Book Antiqua" w:hAnsi="Book Antiqua"/>
        </w:rPr>
        <w:t xml:space="preserve">, Buda S, Schuler E, Wieler LH, Haas W. Influenza-associated pneumonia as reference to assess seriousness of coronavirus disease (COVID-19). </w:t>
      </w:r>
      <w:r>
        <w:rPr>
          <w:rFonts w:ascii="Book Antiqua" w:hAnsi="Book Antiqua"/>
          <w:i/>
          <w:iCs/>
        </w:rPr>
        <w:t>Euro Surveill</w:t>
      </w:r>
      <w:r>
        <w:rPr>
          <w:rFonts w:ascii="Book Antiqua" w:hAnsi="Book Antiqua"/>
        </w:rPr>
        <w:t xml:space="preserve"> 2020; </w:t>
      </w:r>
      <w:r>
        <w:rPr>
          <w:rFonts w:ascii="Book Antiqua" w:hAnsi="Book Antiqua"/>
          <w:b/>
          <w:bCs/>
        </w:rPr>
        <w:t>25</w:t>
      </w:r>
      <w:r>
        <w:rPr>
          <w:rFonts w:ascii="Book Antiqua" w:hAnsi="Book Antiqua"/>
        </w:rPr>
        <w:t xml:space="preserve"> [PMID: 32186278 DOI: 10.2807/1560-7917.ES.2020.25.11.2000258]</w:t>
      </w:r>
    </w:p>
    <w:p>
      <w:pPr>
        <w:spacing w:line="360" w:lineRule="auto"/>
        <w:jc w:val="both"/>
        <w:rPr>
          <w:rFonts w:ascii="Book Antiqua" w:hAnsi="Book Antiqua"/>
        </w:rPr>
      </w:pPr>
      <w:r>
        <w:rPr>
          <w:rFonts w:ascii="Book Antiqua" w:hAnsi="Book Antiqua"/>
          <w:highlight w:val="yellow"/>
        </w:rPr>
        <w:t xml:space="preserve">11 </w:t>
      </w:r>
      <w:r>
        <w:rPr>
          <w:rFonts w:ascii="Book Antiqua" w:hAnsi="Book Antiqua"/>
          <w:b/>
          <w:bCs/>
          <w:highlight w:val="yellow"/>
        </w:rPr>
        <w:t>World Health Organization</w:t>
      </w:r>
      <w:r>
        <w:rPr>
          <w:rFonts w:ascii="Book Antiqua" w:hAnsi="Book Antiqua"/>
          <w:highlight w:val="yellow"/>
        </w:rPr>
        <w:t>. WHO Coronavirus Disease (COVID-19) Dashboard. [cited 10 February 2021]. Available from: https://covid19.who.int</w:t>
      </w:r>
    </w:p>
    <w:p>
      <w:pPr>
        <w:spacing w:line="360" w:lineRule="auto"/>
        <w:jc w:val="both"/>
        <w:rPr>
          <w:rFonts w:ascii="Book Antiqua" w:hAnsi="Book Antiqua"/>
        </w:rPr>
      </w:pPr>
      <w:r>
        <w:rPr>
          <w:rFonts w:ascii="Book Antiqua" w:hAnsi="Book Antiqua"/>
        </w:rPr>
        <w:t xml:space="preserve">12 </w:t>
      </w:r>
      <w:r>
        <w:rPr>
          <w:rFonts w:ascii="Book Antiqua" w:hAnsi="Book Antiqua"/>
          <w:b/>
          <w:bCs/>
        </w:rPr>
        <w:t>Green A.</w:t>
      </w:r>
      <w:r>
        <w:rPr>
          <w:rFonts w:ascii="Book Antiqua" w:hAnsi="Book Antiqua"/>
        </w:rPr>
        <w:t xml:space="preserve"> Li Wenliang. </w:t>
      </w:r>
      <w:r>
        <w:rPr>
          <w:rFonts w:ascii="Book Antiqua" w:hAnsi="Book Antiqua"/>
          <w:i/>
          <w:iCs/>
        </w:rPr>
        <w:t>The Lancet</w:t>
      </w:r>
      <w:r>
        <w:rPr>
          <w:rFonts w:ascii="Book Antiqua" w:hAnsi="Book Antiqua"/>
        </w:rPr>
        <w:t xml:space="preserve"> 2020;</w:t>
      </w:r>
      <w:r>
        <w:rPr>
          <w:rFonts w:ascii="Book Antiqua" w:hAnsi="Book Antiqua"/>
          <w:b/>
          <w:bCs/>
        </w:rPr>
        <w:t xml:space="preserve"> 395</w:t>
      </w:r>
      <w:r>
        <w:rPr>
          <w:rFonts w:ascii="Book Antiqua" w:hAnsi="Book Antiqua"/>
        </w:rPr>
        <w:t>: 682 [DOI: 10.1016/S0140-6736(20)30382-2]</w:t>
      </w:r>
    </w:p>
    <w:p>
      <w:pPr>
        <w:spacing w:line="360" w:lineRule="auto"/>
        <w:jc w:val="both"/>
        <w:rPr>
          <w:rFonts w:ascii="Book Antiqua" w:hAnsi="Book Antiqua"/>
        </w:rPr>
      </w:pPr>
      <w:r>
        <w:rPr>
          <w:rFonts w:ascii="Book Antiqua" w:hAnsi="Book Antiqua"/>
        </w:rPr>
        <w:t xml:space="preserve">13 </w:t>
      </w:r>
      <w:r>
        <w:rPr>
          <w:rFonts w:ascii="Book Antiqua" w:hAnsi="Book Antiqua"/>
          <w:b/>
          <w:bCs/>
        </w:rPr>
        <w:t>Oliver SE</w:t>
      </w:r>
      <w:r>
        <w:rPr>
          <w:rFonts w:ascii="Book Antiqua" w:hAnsi="Book Antiqua"/>
        </w:rPr>
        <w:t xml:space="preserve">, Gargano JW, Marin M, Wallace M, Curran KG, Chamberland M, McClung N, Campos-Outcalt D, Morgan RL, Mbaeyi S, Romero JR, Talbot HK, Lee GM, Bell BP, Dooling K. The Advisory Committee on Immunization Practices' Interim Recommendation for Use of Moderna COVID-19 Vaccine - United States, December 2020. </w:t>
      </w:r>
      <w:r>
        <w:rPr>
          <w:rFonts w:ascii="Book Antiqua" w:hAnsi="Book Antiqua"/>
          <w:i/>
          <w:iCs/>
        </w:rPr>
        <w:t>MMWR Morb Mortal Wkly Rep</w:t>
      </w:r>
      <w:r>
        <w:rPr>
          <w:rFonts w:ascii="Book Antiqua" w:hAnsi="Book Antiqua"/>
        </w:rPr>
        <w:t xml:space="preserve"> 2021; </w:t>
      </w:r>
      <w:r>
        <w:rPr>
          <w:rFonts w:ascii="Book Antiqua" w:hAnsi="Book Antiqua"/>
          <w:b/>
          <w:bCs/>
        </w:rPr>
        <w:t>69</w:t>
      </w:r>
      <w:r>
        <w:rPr>
          <w:rFonts w:ascii="Book Antiqua" w:hAnsi="Book Antiqua"/>
        </w:rPr>
        <w:t>: 1653-1656 [PMID: 33382675 DOI: 10.15585/mmwr.mm695152e1]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Ledford H</w:t>
      </w:r>
      <w:r>
        <w:rPr>
          <w:rFonts w:ascii="Book Antiqua" w:hAnsi="Book Antiqua"/>
        </w:rPr>
        <w:t xml:space="preserve">. Moderna COVID vaccine becomes second to get US authorization. </w:t>
      </w:r>
      <w:r>
        <w:rPr>
          <w:rFonts w:ascii="Book Antiqua" w:hAnsi="Book Antiqua"/>
          <w:i/>
          <w:iCs/>
        </w:rPr>
        <w:t>Nature</w:t>
      </w:r>
      <w:r>
        <w:rPr>
          <w:rFonts w:ascii="Book Antiqua" w:hAnsi="Book Antiqua"/>
        </w:rPr>
        <w:t xml:space="preserve"> 2020 [PMID: 33340017 DOI: 10.1038/d41586-020-03593-7]</w:t>
      </w:r>
    </w:p>
    <w:p>
      <w:pPr>
        <w:spacing w:line="360" w:lineRule="auto"/>
        <w:jc w:val="both"/>
        <w:rPr>
          <w:rFonts w:ascii="Book Antiqua" w:hAnsi="Book Antiqua"/>
        </w:rPr>
      </w:pPr>
      <w:r>
        <w:rPr>
          <w:rFonts w:ascii="Book Antiqua" w:hAnsi="Book Antiqua"/>
        </w:rPr>
        <w:t xml:space="preserve">15 </w:t>
      </w:r>
      <w:r>
        <w:rPr>
          <w:rFonts w:ascii="Book Antiqua" w:hAnsi="Book Antiqua"/>
          <w:b/>
          <w:bCs/>
        </w:rPr>
        <w:t>Mahase E</w:t>
      </w:r>
      <w:r>
        <w:rPr>
          <w:rFonts w:ascii="Book Antiqua" w:hAnsi="Book Antiqua"/>
        </w:rPr>
        <w:t xml:space="preserve">. Covid-19: What have we learnt about the new variant in the UK? </w:t>
      </w:r>
      <w:r>
        <w:rPr>
          <w:rFonts w:ascii="Book Antiqua" w:hAnsi="Book Antiqua"/>
          <w:i/>
          <w:iCs/>
        </w:rPr>
        <w:t>BMJ</w:t>
      </w:r>
      <w:r>
        <w:rPr>
          <w:rFonts w:ascii="Book Antiqua" w:hAnsi="Book Antiqua"/>
        </w:rPr>
        <w:t xml:space="preserve"> 2020; </w:t>
      </w:r>
      <w:r>
        <w:rPr>
          <w:rFonts w:ascii="Book Antiqua" w:hAnsi="Book Antiqua"/>
          <w:b/>
          <w:bCs/>
        </w:rPr>
        <w:t>371</w:t>
      </w:r>
      <w:r>
        <w:rPr>
          <w:rFonts w:ascii="Book Antiqua" w:hAnsi="Book Antiqua"/>
        </w:rPr>
        <w:t>: m4944 [PMID: 33361120 DOI: 10.1136/bmj.m4944]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Parums V.</w:t>
      </w:r>
      <w:r>
        <w:rPr>
          <w:rFonts w:ascii="Book Antiqua" w:hAnsi="Book Antiqua"/>
        </w:rPr>
        <w:t xml:space="preserve"> Editorial: Revised World Health Organization (WHO) Terminology for Variants of Concern and Variants of Interest of SARS-CoV-2. </w:t>
      </w:r>
      <w:r>
        <w:rPr>
          <w:rFonts w:ascii="Book Antiqua" w:hAnsi="Book Antiqua"/>
          <w:i/>
          <w:iCs/>
        </w:rPr>
        <w:t>Med Sci Monit</w:t>
      </w:r>
      <w:r>
        <w:rPr>
          <w:rFonts w:ascii="Book Antiqua" w:hAnsi="Book Antiqua"/>
        </w:rPr>
        <w:t xml:space="preserve"> 2021; </w:t>
      </w:r>
      <w:r>
        <w:rPr>
          <w:rFonts w:ascii="Book Antiqua" w:hAnsi="Book Antiqua"/>
          <w:b/>
          <w:bCs/>
        </w:rPr>
        <w:t>27</w:t>
      </w:r>
      <w:r>
        <w:rPr>
          <w:rFonts w:ascii="Book Antiqua" w:hAnsi="Book Antiqua"/>
        </w:rPr>
        <w:t>: e933622 [PMID: 34149046 DOI: 10.12659/MSM.933622]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Parasher A</w:t>
      </w:r>
      <w:r>
        <w:rPr>
          <w:rFonts w:ascii="Book Antiqua" w:hAnsi="Book Antiqua"/>
        </w:rPr>
        <w:t xml:space="preserve">. COVID-19: Current understanding of its Pathophysiology, Clinical presentation and Treatment. </w:t>
      </w:r>
      <w:r>
        <w:rPr>
          <w:rFonts w:ascii="Book Antiqua" w:hAnsi="Book Antiqua"/>
          <w:i/>
          <w:iCs/>
        </w:rPr>
        <w:t>Postgrad Med J</w:t>
      </w:r>
      <w:r>
        <w:rPr>
          <w:rFonts w:ascii="Book Antiqua" w:hAnsi="Book Antiqua"/>
        </w:rPr>
        <w:t xml:space="preserve"> 2021; </w:t>
      </w:r>
      <w:r>
        <w:rPr>
          <w:rFonts w:ascii="Book Antiqua" w:hAnsi="Book Antiqua"/>
          <w:b/>
          <w:bCs/>
        </w:rPr>
        <w:t>97</w:t>
      </w:r>
      <w:r>
        <w:rPr>
          <w:rFonts w:ascii="Book Antiqua" w:hAnsi="Book Antiqua"/>
        </w:rPr>
        <w:t>: 312-320 [PMID: 32978337 DOI: 10.1136/postgradmedj-2020-138577]</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Tay MZ</w:t>
      </w:r>
      <w:r>
        <w:rPr>
          <w:rFonts w:ascii="Book Antiqua" w:hAnsi="Book Antiqua"/>
        </w:rPr>
        <w:t xml:space="preserve">, Poh CM, Rénia L, MacAry PA, Ng LFP. The trinity of COVID-19: immunity, inflammation and intervention. </w:t>
      </w:r>
      <w:r>
        <w:rPr>
          <w:rFonts w:ascii="Book Antiqua" w:hAnsi="Book Antiqua"/>
          <w:i/>
          <w:iCs/>
        </w:rPr>
        <w:t>Nat Rev Immunol</w:t>
      </w:r>
      <w:r>
        <w:rPr>
          <w:rFonts w:ascii="Book Antiqua" w:hAnsi="Book Antiqua"/>
        </w:rPr>
        <w:t xml:space="preserve"> 2020; </w:t>
      </w:r>
      <w:r>
        <w:rPr>
          <w:rFonts w:ascii="Book Antiqua" w:hAnsi="Book Antiqua"/>
          <w:b/>
          <w:bCs/>
        </w:rPr>
        <w:t>20</w:t>
      </w:r>
      <w:r>
        <w:rPr>
          <w:rFonts w:ascii="Book Antiqua" w:hAnsi="Book Antiqua"/>
        </w:rPr>
        <w:t>: 363-374 [PMID: 32346093 DOI: 10.1038/s41577-020-0311-8]</w:t>
      </w:r>
    </w:p>
    <w:p>
      <w:pPr>
        <w:spacing w:line="360" w:lineRule="auto"/>
        <w:jc w:val="both"/>
        <w:rPr>
          <w:rFonts w:ascii="Book Antiqua" w:hAnsi="Book Antiqua"/>
        </w:rPr>
      </w:pPr>
      <w:r>
        <w:rPr>
          <w:rFonts w:ascii="Book Antiqua" w:hAnsi="Book Antiqua"/>
        </w:rPr>
        <w:t xml:space="preserve">19 </w:t>
      </w:r>
      <w:r>
        <w:rPr>
          <w:rFonts w:ascii="Book Antiqua" w:hAnsi="Book Antiqua"/>
          <w:b/>
          <w:bCs/>
        </w:rPr>
        <w:t>Fajgenbaum DC</w:t>
      </w:r>
      <w:r>
        <w:rPr>
          <w:rFonts w:ascii="Book Antiqua" w:hAnsi="Book Antiqua"/>
        </w:rPr>
        <w:t xml:space="preserve">, June CH. Cytokine Storm. </w:t>
      </w:r>
      <w:r>
        <w:rPr>
          <w:rFonts w:ascii="Book Antiqua" w:hAnsi="Book Antiqua"/>
          <w:i/>
          <w:iCs/>
        </w:rPr>
        <w:t>N Engl J Med</w:t>
      </w:r>
      <w:r>
        <w:rPr>
          <w:rFonts w:ascii="Book Antiqua" w:hAnsi="Book Antiqua"/>
        </w:rPr>
        <w:t xml:space="preserve"> 2020; </w:t>
      </w:r>
      <w:r>
        <w:rPr>
          <w:rFonts w:ascii="Book Antiqua" w:hAnsi="Book Antiqua"/>
          <w:b/>
          <w:bCs/>
        </w:rPr>
        <w:t>383</w:t>
      </w:r>
      <w:r>
        <w:rPr>
          <w:rFonts w:ascii="Book Antiqua" w:hAnsi="Book Antiqua"/>
        </w:rPr>
        <w:t>: 2255-2273 [PMID: 33264547 DOI: 10.1056/NEJMra2026131]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Sanz-Baro R</w:t>
      </w:r>
      <w:r>
        <w:rPr>
          <w:rFonts w:ascii="Book Antiqua" w:hAnsi="Book Antiqua"/>
        </w:rPr>
        <w:t xml:space="preserve">, García-Arranz M, Guadalajara H, de la Quintana P, Herreros MD, García-Olmo D. First-in-Human Case Study: Pregnancy in Women With Crohn's Perianal Fistula Treated With Adipose-Derived Stem Cells: A Safety Study. </w:t>
      </w:r>
      <w:r>
        <w:rPr>
          <w:rFonts w:ascii="Book Antiqua" w:hAnsi="Book Antiqua"/>
          <w:i/>
          <w:iCs/>
        </w:rPr>
        <w:t>Stem Cells Transl Med</w:t>
      </w:r>
      <w:r>
        <w:rPr>
          <w:rFonts w:ascii="Book Antiqua" w:hAnsi="Book Antiqua"/>
        </w:rPr>
        <w:t xml:space="preserve"> 2015; </w:t>
      </w:r>
      <w:r>
        <w:rPr>
          <w:rFonts w:ascii="Book Antiqua" w:hAnsi="Book Antiqua"/>
          <w:b/>
          <w:bCs/>
        </w:rPr>
        <w:t>4</w:t>
      </w:r>
      <w:r>
        <w:rPr>
          <w:rFonts w:ascii="Book Antiqua" w:hAnsi="Book Antiqua"/>
        </w:rPr>
        <w:t>: 598-602 [PMID: 25925838 DOI: 10.5966/sctm.2014-0255]</w:t>
      </w:r>
    </w:p>
    <w:p>
      <w:pPr>
        <w:spacing w:line="360" w:lineRule="auto"/>
        <w:jc w:val="both"/>
        <w:rPr>
          <w:rFonts w:ascii="Book Antiqua" w:hAnsi="Book Antiqua"/>
        </w:rPr>
      </w:pPr>
      <w:r>
        <w:rPr>
          <w:rFonts w:ascii="Book Antiqua" w:hAnsi="Book Antiqua"/>
        </w:rPr>
        <w:t xml:space="preserve">21 </w:t>
      </w:r>
      <w:r>
        <w:rPr>
          <w:rFonts w:ascii="Book Antiqua" w:hAnsi="Book Antiqua"/>
          <w:b/>
          <w:bCs/>
        </w:rPr>
        <w:t>Le Blanc K</w:t>
      </w:r>
      <w:r>
        <w:rPr>
          <w:rFonts w:ascii="Book Antiqua" w:hAnsi="Book Antiqua"/>
        </w:rPr>
        <w:t xml:space="preserve">, Frassoni F, Ball L, Locatelli F, Roelofs H, Lewis I, Lanino E, Sundberg B, Bernardo ME, Remberger M, Dini G, Egeler RM, Bacigalupo A, Fibbe W, Ringdén O; Developmental Committee of the European Group for Blood and Marrow Transplantation. Mesenchymal stem cells for treatment of steroid-resistant, severe, acute graft-versus-host disease: a phase II study. </w:t>
      </w:r>
      <w:r>
        <w:rPr>
          <w:rFonts w:ascii="Book Antiqua" w:hAnsi="Book Antiqua"/>
          <w:i/>
          <w:iCs/>
        </w:rPr>
        <w:t>Lancet</w:t>
      </w:r>
      <w:r>
        <w:rPr>
          <w:rFonts w:ascii="Book Antiqua" w:hAnsi="Book Antiqua"/>
        </w:rPr>
        <w:t xml:space="preserve"> 2008; </w:t>
      </w:r>
      <w:r>
        <w:rPr>
          <w:rFonts w:ascii="Book Antiqua" w:hAnsi="Book Antiqua"/>
          <w:b/>
          <w:bCs/>
        </w:rPr>
        <w:t>371</w:t>
      </w:r>
      <w:r>
        <w:rPr>
          <w:rFonts w:ascii="Book Antiqua" w:hAnsi="Book Antiqua"/>
        </w:rPr>
        <w:t>: 1579-1586 [PMID: 18468541 DOI: 10.1016/S0140-6736(08)60690-X]</w:t>
      </w:r>
    </w:p>
    <w:p>
      <w:pPr>
        <w:spacing w:line="360" w:lineRule="auto"/>
        <w:jc w:val="both"/>
        <w:rPr>
          <w:rFonts w:ascii="Book Antiqua" w:hAnsi="Book Antiqua"/>
        </w:rPr>
      </w:pPr>
      <w:r>
        <w:rPr>
          <w:rFonts w:ascii="Book Antiqua" w:hAnsi="Book Antiqua"/>
        </w:rPr>
        <w:t xml:space="preserve">22 </w:t>
      </w:r>
      <w:r>
        <w:rPr>
          <w:rFonts w:ascii="Book Antiqua" w:hAnsi="Book Antiqua"/>
          <w:b/>
          <w:bCs/>
        </w:rPr>
        <w:t>Chen J</w:t>
      </w:r>
      <w:r>
        <w:rPr>
          <w:rFonts w:ascii="Book Antiqua" w:hAnsi="Book Antiqua"/>
        </w:rPr>
        <w:t xml:space="preserve">, Hu C, Chen L, Tang L, Zhu Y, Xu X, Chen L, Gao H, Lu X, Yu L, Dai X, Xiang C, Li L. Clinical Study of Mesenchymal Stem Cell Treatment for Acute Respiratory Distress Syndrome Induced by Epidemic Influenza A (H7N9) Infection: A Hint for COVID-19 Treatment. </w:t>
      </w:r>
      <w:r>
        <w:rPr>
          <w:rFonts w:ascii="Book Antiqua" w:hAnsi="Book Antiqua"/>
          <w:i/>
          <w:iCs/>
        </w:rPr>
        <w:t>Engineering (Beijing)</w:t>
      </w:r>
      <w:r>
        <w:rPr>
          <w:rFonts w:ascii="Book Antiqua" w:hAnsi="Book Antiqua"/>
        </w:rPr>
        <w:t xml:space="preserve"> 2020; </w:t>
      </w:r>
      <w:r>
        <w:rPr>
          <w:rFonts w:ascii="Book Antiqua" w:hAnsi="Book Antiqua"/>
          <w:b/>
          <w:bCs/>
        </w:rPr>
        <w:t>6</w:t>
      </w:r>
      <w:r>
        <w:rPr>
          <w:rFonts w:ascii="Book Antiqua" w:hAnsi="Book Antiqua"/>
        </w:rPr>
        <w:t>: 1153-1161 [PMID: 32292627 DOI: 10.1016/j.eng.2020.02.006]</w:t>
      </w:r>
    </w:p>
    <w:p>
      <w:pPr>
        <w:spacing w:line="360" w:lineRule="auto"/>
        <w:jc w:val="both"/>
        <w:rPr>
          <w:rFonts w:ascii="Book Antiqua" w:hAnsi="Book Antiqua"/>
        </w:rPr>
      </w:pPr>
      <w:r>
        <w:rPr>
          <w:rFonts w:ascii="Book Antiqua" w:hAnsi="Book Antiqua"/>
        </w:rPr>
        <w:t xml:space="preserve">23 </w:t>
      </w:r>
      <w:r>
        <w:rPr>
          <w:rFonts w:ascii="Book Antiqua" w:hAnsi="Book Antiqua"/>
          <w:b/>
          <w:bCs/>
        </w:rPr>
        <w:t>Loy H</w:t>
      </w:r>
      <w:r>
        <w:rPr>
          <w:rFonts w:ascii="Book Antiqua" w:hAnsi="Book Antiqua"/>
        </w:rPr>
        <w:t xml:space="preserve">, Kuok DIT, Hui KPY, Choi MHL, Yuen W, Nicholls JM, Peiris JSM, Chan MCW. Therapeutic Implications of Human Umbilical Cord Mesenchymal Stromal Cells in Attenuating Influenza A(H5N1) Virus-Associated Acute Lung Injury. </w:t>
      </w:r>
      <w:r>
        <w:rPr>
          <w:rFonts w:ascii="Book Antiqua" w:hAnsi="Book Antiqua"/>
          <w:i/>
          <w:iCs/>
        </w:rPr>
        <w:t>J Infect Dis</w:t>
      </w:r>
      <w:r>
        <w:rPr>
          <w:rFonts w:ascii="Book Antiqua" w:hAnsi="Book Antiqua"/>
        </w:rPr>
        <w:t xml:space="preserve"> 2019; </w:t>
      </w:r>
      <w:r>
        <w:rPr>
          <w:rFonts w:ascii="Book Antiqua" w:hAnsi="Book Antiqua"/>
          <w:b/>
          <w:bCs/>
        </w:rPr>
        <w:t>219</w:t>
      </w:r>
      <w:r>
        <w:rPr>
          <w:rFonts w:ascii="Book Antiqua" w:hAnsi="Book Antiqua"/>
        </w:rPr>
        <w:t>: 186-196 [PMID: 30085072 DOI: 10.1093/infdis/jiy478]</w:t>
      </w:r>
    </w:p>
    <w:p>
      <w:pPr>
        <w:spacing w:line="360" w:lineRule="auto"/>
        <w:jc w:val="both"/>
        <w:rPr>
          <w:rFonts w:ascii="Book Antiqua" w:hAnsi="Book Antiqua"/>
        </w:rPr>
      </w:pPr>
      <w:r>
        <w:rPr>
          <w:rFonts w:ascii="Book Antiqua" w:hAnsi="Book Antiqua"/>
        </w:rPr>
        <w:t xml:space="preserve">24 </w:t>
      </w:r>
      <w:r>
        <w:rPr>
          <w:rFonts w:ascii="Book Antiqua" w:hAnsi="Book Antiqua"/>
          <w:b/>
          <w:bCs/>
        </w:rPr>
        <w:t>Hu S</w:t>
      </w:r>
      <w:r>
        <w:rPr>
          <w:rFonts w:ascii="Book Antiqua" w:hAnsi="Book Antiqua"/>
        </w:rPr>
        <w:t xml:space="preserve">, Li J, Xu X, Liu A, He H, Xu J, Chen Q, Liu S, Liu L, Qiu H, Yang Y. The hepatocyte growth factor-expressing character is required for mesenchymal stem cells to protect the lung injured by lipopolysaccharide in vivo. </w:t>
      </w:r>
      <w:r>
        <w:rPr>
          <w:rFonts w:ascii="Book Antiqua" w:hAnsi="Book Antiqua"/>
          <w:i/>
          <w:iCs/>
        </w:rPr>
        <w:t>Stem Cell Res Ther</w:t>
      </w:r>
      <w:r>
        <w:rPr>
          <w:rFonts w:ascii="Book Antiqua" w:hAnsi="Book Antiqua"/>
        </w:rPr>
        <w:t xml:space="preserve"> 2016; </w:t>
      </w:r>
      <w:r>
        <w:rPr>
          <w:rFonts w:ascii="Book Antiqua" w:hAnsi="Book Antiqua"/>
          <w:b/>
          <w:bCs/>
        </w:rPr>
        <w:t>7</w:t>
      </w:r>
      <w:r>
        <w:rPr>
          <w:rFonts w:ascii="Book Antiqua" w:hAnsi="Book Antiqua"/>
        </w:rPr>
        <w:t>: 66 [PMID: 27129877 DOI: 10.1186/s13287-016-0320-5]</w:t>
      </w:r>
    </w:p>
    <w:p>
      <w:pPr>
        <w:spacing w:line="360" w:lineRule="auto"/>
        <w:jc w:val="both"/>
        <w:rPr>
          <w:rFonts w:ascii="Book Antiqua" w:hAnsi="Book Antiqua"/>
        </w:rPr>
      </w:pPr>
      <w:r>
        <w:rPr>
          <w:rFonts w:ascii="Book Antiqua" w:hAnsi="Book Antiqua"/>
        </w:rPr>
        <w:t xml:space="preserve">25 </w:t>
      </w:r>
      <w:r>
        <w:rPr>
          <w:rFonts w:ascii="Book Antiqua" w:hAnsi="Book Antiqua"/>
          <w:b/>
          <w:bCs/>
        </w:rPr>
        <w:t>Meyerowitz-Katz G</w:t>
      </w:r>
      <w:r>
        <w:rPr>
          <w:rFonts w:ascii="Book Antiqua" w:hAnsi="Book Antiqua"/>
        </w:rPr>
        <w:t xml:space="preserve">, Merone L. A systematic review and meta-analysis of published research data on COVID-19 infection fatality rates. </w:t>
      </w:r>
      <w:r>
        <w:rPr>
          <w:rFonts w:ascii="Book Antiqua" w:hAnsi="Book Antiqua"/>
          <w:i/>
          <w:iCs/>
        </w:rPr>
        <w:t>Int J Infect Dis</w:t>
      </w:r>
      <w:r>
        <w:rPr>
          <w:rFonts w:ascii="Book Antiqua" w:hAnsi="Book Antiqua"/>
        </w:rPr>
        <w:t xml:space="preserve"> 2020; </w:t>
      </w:r>
      <w:r>
        <w:rPr>
          <w:rFonts w:ascii="Book Antiqua" w:hAnsi="Book Antiqua"/>
          <w:b/>
          <w:bCs/>
        </w:rPr>
        <w:t>101</w:t>
      </w:r>
      <w:r>
        <w:rPr>
          <w:rFonts w:ascii="Book Antiqua" w:hAnsi="Book Antiqua"/>
        </w:rPr>
        <w:t>: 138-148 [PMID: 33007452 DOI: 10.1016/j.ijid.2020.09.1464]</w:t>
      </w:r>
    </w:p>
    <w:p>
      <w:pPr>
        <w:spacing w:line="360" w:lineRule="auto"/>
        <w:jc w:val="both"/>
        <w:rPr>
          <w:rFonts w:ascii="Book Antiqua" w:hAnsi="Book Antiqua"/>
        </w:rPr>
      </w:pPr>
      <w:r>
        <w:rPr>
          <w:rFonts w:ascii="Book Antiqua" w:hAnsi="Book Antiqua"/>
        </w:rPr>
        <w:t xml:space="preserve">26 </w:t>
      </w:r>
      <w:r>
        <w:rPr>
          <w:rFonts w:ascii="Book Antiqua" w:hAnsi="Book Antiqua"/>
          <w:b/>
          <w:bCs/>
        </w:rPr>
        <w:t>Jehi L</w:t>
      </w:r>
      <w:r>
        <w:rPr>
          <w:rFonts w:ascii="Book Antiqua" w:hAnsi="Book Antiqua"/>
        </w:rPr>
        <w:t xml:space="preserve">, Ji X, Milinovich A, Erzurum S, Merlino A, Gordon S, Young JB, Kattan MW. Development and validation of a model for individualized prediction of hospitalization risk in 4,536 patients with COVID-19.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e0237419 [PMID: 32780765 DOI: 10.1371/journal.pone.0237419]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Garg S</w:t>
      </w:r>
      <w:r>
        <w:rPr>
          <w:rFonts w:ascii="Book Antiqua" w:hAnsi="Book Antiqua"/>
        </w:rPr>
        <w:t xml:space="preserve">, Kim L, Whitaker M, O'Halloran A, Cummings C, Holstein R, Prill M, Chai SJ, Kirley PD, Alden NB, Kawasaki B, Yousey-Hindes K, Niccolai L, Anderson EJ, Openo KP, Weigel A, Monroe ML, Ryan P, Henderson J, Kim S, Como-Sabetti K, Lynfield R, Sosin D, Torres S, Muse A, Bennett NM, Billing L, Sutton M, West N, Schaffner W, Talbot HK, Aquino C, George A, Budd A, Brammer L, Langley G, Hall AJ, Fry A. Hospitalization Rates and Characteristics of Patients Hospitalized with Laboratory-Confirmed Coronavirus Disease 2019 - COVID-NET, 14 States, March 1-30, 2020. </w:t>
      </w:r>
      <w:r>
        <w:rPr>
          <w:rFonts w:ascii="Book Antiqua" w:hAnsi="Book Antiqua"/>
          <w:i/>
          <w:iCs/>
        </w:rPr>
        <w:t>MMWR Morb Mortal Wkly Rep</w:t>
      </w:r>
      <w:r>
        <w:rPr>
          <w:rFonts w:ascii="Book Antiqua" w:hAnsi="Book Antiqua"/>
        </w:rPr>
        <w:t xml:space="preserve"> 2020; </w:t>
      </w:r>
      <w:r>
        <w:rPr>
          <w:rFonts w:ascii="Book Antiqua" w:hAnsi="Book Antiqua"/>
          <w:b/>
          <w:bCs/>
        </w:rPr>
        <w:t>69</w:t>
      </w:r>
      <w:r>
        <w:rPr>
          <w:rFonts w:ascii="Book Antiqua" w:hAnsi="Book Antiqua"/>
        </w:rPr>
        <w:t>: 458-464 [PMID: 32298251 DOI: 10.15585/mmwr.mm6915e3]</w:t>
      </w:r>
    </w:p>
    <w:p>
      <w:pPr>
        <w:spacing w:line="360" w:lineRule="auto"/>
        <w:jc w:val="both"/>
        <w:rPr>
          <w:rFonts w:ascii="Book Antiqua" w:hAnsi="Book Antiqua"/>
        </w:rPr>
      </w:pPr>
      <w:r>
        <w:rPr>
          <w:rFonts w:ascii="Book Antiqua" w:hAnsi="Book Antiqua"/>
        </w:rPr>
        <w:t xml:space="preserve">28 </w:t>
      </w:r>
      <w:r>
        <w:rPr>
          <w:rFonts w:ascii="Book Antiqua" w:hAnsi="Book Antiqua"/>
          <w:b/>
          <w:bCs/>
        </w:rPr>
        <w:t>Wu Z</w:t>
      </w:r>
      <w:r>
        <w:rPr>
          <w:rFonts w:ascii="Book Antiqua" w:hAnsi="Book Antiqua"/>
        </w:rPr>
        <w:t>, McGoogan JM. Characteristics of and Important Lessons From the Coronavirus Disease 2019 (COVID-19) Outbreak in China: Summary of a Report of 72</w:t>
      </w:r>
      <w:r>
        <w:t> </w:t>
      </w:r>
      <w:r>
        <w:rPr>
          <w:rFonts w:ascii="Book Antiqua" w:hAnsi="Book Antiqua"/>
        </w:rPr>
        <w:t xml:space="preserve">314 Cases From the Chinese Center for Disease Control and Prevention.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1239-1242 [PMID: 32091533 DOI: 10.1001/jama.2020.2648]</w:t>
      </w:r>
    </w:p>
    <w:p>
      <w:pPr>
        <w:spacing w:line="360" w:lineRule="auto"/>
        <w:jc w:val="both"/>
        <w:rPr>
          <w:rFonts w:ascii="Book Antiqua" w:hAnsi="Book Antiqua"/>
        </w:rPr>
      </w:pPr>
      <w:r>
        <w:rPr>
          <w:rFonts w:ascii="Book Antiqua" w:hAnsi="Book Antiqua"/>
        </w:rPr>
        <w:t xml:space="preserve">29 </w:t>
      </w:r>
      <w:r>
        <w:rPr>
          <w:rFonts w:ascii="Book Antiqua" w:hAnsi="Book Antiqua"/>
          <w:b/>
          <w:bCs/>
        </w:rPr>
        <w:t>Wang D</w:t>
      </w:r>
      <w:r>
        <w:rPr>
          <w:rFonts w:ascii="Book Antiqua" w:hAnsi="Book Antiqua"/>
        </w:rPr>
        <w:t xml:space="preserve">, Hu B, Hu C, Zhu F, Liu X, Zhang J, Wang B, Xiang H, Cheng Z, Xiong Y, Zhao Y, Li Y, Wang X, Peng Z. Clinical Characteristics of 138 Hospitalized Patients With 2019 Novel Coronavirus-Infected Pneumonia in Wuhan, China.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1061-1069 [PMID: 32031570 DOI: 10.1001/jama.2020.1585]</w:t>
      </w:r>
    </w:p>
    <w:p>
      <w:pPr>
        <w:spacing w:line="360" w:lineRule="auto"/>
        <w:jc w:val="both"/>
        <w:rPr>
          <w:rFonts w:ascii="Book Antiqua" w:hAnsi="Book Antiqua"/>
        </w:rPr>
      </w:pPr>
      <w:r>
        <w:rPr>
          <w:rFonts w:ascii="Book Antiqua" w:hAnsi="Book Antiqua"/>
        </w:rPr>
        <w:t xml:space="preserve">30 </w:t>
      </w:r>
      <w:r>
        <w:rPr>
          <w:rFonts w:ascii="Book Antiqua" w:hAnsi="Book Antiqua"/>
          <w:b/>
          <w:bCs/>
        </w:rPr>
        <w:t>Hoffmann M</w:t>
      </w:r>
      <w:r>
        <w:rPr>
          <w:rFonts w:ascii="Book Antiqua" w:hAnsi="Book Antiqua"/>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hAnsi="Book Antiqua"/>
          <w:i/>
          <w:iCs/>
        </w:rPr>
        <w:t>Cell</w:t>
      </w:r>
      <w:r>
        <w:rPr>
          <w:rFonts w:ascii="Book Antiqua" w:hAnsi="Book Antiqua"/>
        </w:rPr>
        <w:t xml:space="preserve"> 2020; </w:t>
      </w:r>
      <w:r>
        <w:rPr>
          <w:rFonts w:ascii="Book Antiqua" w:hAnsi="Book Antiqua"/>
          <w:b/>
          <w:bCs/>
        </w:rPr>
        <w:t>181</w:t>
      </w:r>
      <w:r>
        <w:rPr>
          <w:rFonts w:ascii="Book Antiqua" w:hAnsi="Book Antiqua"/>
        </w:rPr>
        <w:t>: 271-280.e8 [PMID: 32142651 DOI: 10.1016/j.cell.2020.02.052]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Rothan HA</w:t>
      </w:r>
      <w:r>
        <w:rPr>
          <w:rFonts w:ascii="Book Antiqua" w:hAnsi="Book Antiqua"/>
        </w:rPr>
        <w:t xml:space="preserve">, Byrareddy SN. The epidemiology and pathogenesis of coronavirus disease (COVID-19) outbreak. </w:t>
      </w:r>
      <w:r>
        <w:rPr>
          <w:rFonts w:ascii="Book Antiqua" w:hAnsi="Book Antiqua"/>
          <w:i/>
          <w:iCs/>
        </w:rPr>
        <w:t>J Autoimmun</w:t>
      </w:r>
      <w:r>
        <w:rPr>
          <w:rFonts w:ascii="Book Antiqua" w:hAnsi="Book Antiqua"/>
        </w:rPr>
        <w:t xml:space="preserve"> 2020; </w:t>
      </w:r>
      <w:r>
        <w:rPr>
          <w:rFonts w:ascii="Book Antiqua" w:hAnsi="Book Antiqua"/>
          <w:b/>
          <w:bCs/>
        </w:rPr>
        <w:t>109</w:t>
      </w:r>
      <w:r>
        <w:rPr>
          <w:rFonts w:ascii="Book Antiqua" w:hAnsi="Book Antiqua"/>
        </w:rPr>
        <w:t>: 102433 [PMID: 32113704 DOI: 10.1016/j.jaut.2020.102433]</w:t>
      </w:r>
    </w:p>
    <w:p>
      <w:pPr>
        <w:spacing w:line="360" w:lineRule="auto"/>
        <w:jc w:val="both"/>
        <w:rPr>
          <w:rFonts w:ascii="Book Antiqua" w:hAnsi="Book Antiqua"/>
        </w:rPr>
      </w:pPr>
      <w:r>
        <w:rPr>
          <w:rFonts w:ascii="Book Antiqua" w:hAnsi="Book Antiqua"/>
        </w:rPr>
        <w:t xml:space="preserve">32 </w:t>
      </w:r>
      <w:r>
        <w:rPr>
          <w:rFonts w:ascii="Book Antiqua" w:hAnsi="Book Antiqua"/>
          <w:b/>
          <w:bCs/>
        </w:rPr>
        <w:t>Iwata-Yoshikawa N</w:t>
      </w:r>
      <w:r>
        <w:rPr>
          <w:rFonts w:ascii="Book Antiqua" w:hAnsi="Book Antiqua"/>
        </w:rPr>
        <w:t xml:space="preserve">, Okamura T, Shimizu Y, Hasegawa H, Takeda M, Nagata N. TMPRSS2 Contributes to Virus Spread and Immunopathology in the Airways of Murine Models after Coronavirus Infection. </w:t>
      </w:r>
      <w:r>
        <w:rPr>
          <w:rFonts w:ascii="Book Antiqua" w:hAnsi="Book Antiqua"/>
          <w:i/>
          <w:iCs/>
        </w:rPr>
        <w:t>J Virol</w:t>
      </w:r>
      <w:r>
        <w:rPr>
          <w:rFonts w:ascii="Book Antiqua" w:hAnsi="Book Antiqua"/>
        </w:rPr>
        <w:t xml:space="preserve"> 2019; </w:t>
      </w:r>
      <w:r>
        <w:rPr>
          <w:rFonts w:ascii="Book Antiqua" w:hAnsi="Book Antiqua"/>
          <w:b/>
          <w:bCs/>
        </w:rPr>
        <w:t>93</w:t>
      </w:r>
      <w:r>
        <w:rPr>
          <w:rFonts w:ascii="Book Antiqua" w:hAnsi="Book Antiqua"/>
        </w:rPr>
        <w:t xml:space="preserve"> [PMID: 30626688 DOI: 10.1128/JVI.01815-18]</w:t>
      </w:r>
    </w:p>
    <w:p>
      <w:pPr>
        <w:spacing w:line="360" w:lineRule="auto"/>
        <w:jc w:val="both"/>
        <w:rPr>
          <w:rFonts w:ascii="Book Antiqua" w:hAnsi="Book Antiqua"/>
        </w:rPr>
      </w:pPr>
      <w:r>
        <w:rPr>
          <w:rFonts w:ascii="Book Antiqua" w:hAnsi="Book Antiqua"/>
        </w:rPr>
        <w:t xml:space="preserve">33 </w:t>
      </w:r>
      <w:r>
        <w:rPr>
          <w:rFonts w:ascii="Book Antiqua" w:hAnsi="Book Antiqua"/>
          <w:b/>
          <w:bCs/>
        </w:rPr>
        <w:t>Stokes EK</w:t>
      </w:r>
      <w:r>
        <w:rPr>
          <w:rFonts w:ascii="Book Antiqua" w:hAnsi="Book Antiqua"/>
        </w:rPr>
        <w:t xml:space="preserve">, Zambrano LD, Anderson KN, Marder EP, Raz KM, El Burai Felix S, Tie Y, Fullerton KE. Coronavirus Disease 2019 Case Surveillance - United States, January 22-May 30, 2020. </w:t>
      </w:r>
      <w:r>
        <w:rPr>
          <w:rFonts w:ascii="Book Antiqua" w:hAnsi="Book Antiqua"/>
          <w:i/>
          <w:iCs/>
        </w:rPr>
        <w:t>MMWR Morb Mortal Wkly Rep</w:t>
      </w:r>
      <w:r>
        <w:rPr>
          <w:rFonts w:ascii="Book Antiqua" w:hAnsi="Book Antiqua"/>
        </w:rPr>
        <w:t xml:space="preserve"> 2020; </w:t>
      </w:r>
      <w:r>
        <w:rPr>
          <w:rFonts w:ascii="Book Antiqua" w:hAnsi="Book Antiqua"/>
          <w:b/>
          <w:bCs/>
        </w:rPr>
        <w:t>69</w:t>
      </w:r>
      <w:r>
        <w:rPr>
          <w:rFonts w:ascii="Book Antiqua" w:hAnsi="Book Antiqua"/>
        </w:rPr>
        <w:t>: 759-765 [PMID: 32555134 DOI: 10.15585/mmwr.mm6924e2]</w:t>
      </w:r>
    </w:p>
    <w:p>
      <w:pPr>
        <w:spacing w:line="360" w:lineRule="auto"/>
        <w:jc w:val="both"/>
        <w:rPr>
          <w:rFonts w:ascii="Book Antiqua" w:hAnsi="Book Antiqua"/>
        </w:rPr>
      </w:pPr>
      <w:r>
        <w:rPr>
          <w:rFonts w:ascii="Book Antiqua" w:hAnsi="Book Antiqua"/>
        </w:rPr>
        <w:t xml:space="preserve">34 </w:t>
      </w:r>
      <w:r>
        <w:rPr>
          <w:rFonts w:ascii="Book Antiqua" w:hAnsi="Book Antiqua"/>
          <w:b/>
          <w:bCs/>
        </w:rPr>
        <w:t>Hamming I</w:t>
      </w:r>
      <w:r>
        <w:rPr>
          <w:rFonts w:ascii="Book Antiqua" w:hAnsi="Book Antiqua"/>
        </w:rPr>
        <w:t xml:space="preserve">, Timens W, Bulthuis ML, Lely AT, Navis G, van Goor H. Tissue distribution of ACE2 protein, the functional receptor for SARS coronavirus. A first step in understanding SARS pathogenesis. </w:t>
      </w:r>
      <w:r>
        <w:rPr>
          <w:rFonts w:ascii="Book Antiqua" w:hAnsi="Book Antiqua"/>
          <w:i/>
          <w:iCs/>
        </w:rPr>
        <w:t>J Pathol</w:t>
      </w:r>
      <w:r>
        <w:rPr>
          <w:rFonts w:ascii="Book Antiqua" w:hAnsi="Book Antiqua"/>
        </w:rPr>
        <w:t xml:space="preserve"> 2004; </w:t>
      </w:r>
      <w:r>
        <w:rPr>
          <w:rFonts w:ascii="Book Antiqua" w:hAnsi="Book Antiqua"/>
          <w:b/>
          <w:bCs/>
        </w:rPr>
        <w:t>203</w:t>
      </w:r>
      <w:r>
        <w:rPr>
          <w:rFonts w:ascii="Book Antiqua" w:hAnsi="Book Antiqua"/>
        </w:rPr>
        <w:t>: 631-637 [PMID: 15141377 DOI: 10.1002/path.1570]</w:t>
      </w:r>
    </w:p>
    <w:p>
      <w:pPr>
        <w:spacing w:line="360" w:lineRule="auto"/>
        <w:jc w:val="both"/>
        <w:rPr>
          <w:rFonts w:ascii="Book Antiqua" w:hAnsi="Book Antiqua"/>
        </w:rPr>
      </w:pPr>
      <w:r>
        <w:rPr>
          <w:rFonts w:ascii="Book Antiqua" w:hAnsi="Book Antiqua"/>
        </w:rPr>
        <w:t xml:space="preserve">35 </w:t>
      </w:r>
      <w:r>
        <w:rPr>
          <w:rFonts w:ascii="Book Antiqua" w:hAnsi="Book Antiqua"/>
          <w:b/>
          <w:bCs/>
        </w:rPr>
        <w:t>Rowley AH</w:t>
      </w:r>
      <w:r>
        <w:rPr>
          <w:rFonts w:ascii="Book Antiqua" w:hAnsi="Book Antiqua"/>
        </w:rPr>
        <w:t xml:space="preserve">. Understanding SARS-CoV-2-related multisystem inflammatory syndrome in children. </w:t>
      </w:r>
      <w:r>
        <w:rPr>
          <w:rFonts w:ascii="Book Antiqua" w:hAnsi="Book Antiqua"/>
          <w:i/>
          <w:iCs/>
        </w:rPr>
        <w:t>Nat Rev Immunol</w:t>
      </w:r>
      <w:r>
        <w:rPr>
          <w:rFonts w:ascii="Book Antiqua" w:hAnsi="Book Antiqua"/>
        </w:rPr>
        <w:t xml:space="preserve"> 2020; </w:t>
      </w:r>
      <w:r>
        <w:rPr>
          <w:rFonts w:ascii="Book Antiqua" w:hAnsi="Book Antiqua"/>
          <w:b/>
          <w:bCs/>
        </w:rPr>
        <w:t>20</w:t>
      </w:r>
      <w:r>
        <w:rPr>
          <w:rFonts w:ascii="Book Antiqua" w:hAnsi="Book Antiqua"/>
        </w:rPr>
        <w:t>: 453-454 [PMID: 32546853 DOI: 10.1038/s41577-020-0367-5]</w:t>
      </w:r>
    </w:p>
    <w:p>
      <w:pPr>
        <w:spacing w:line="360" w:lineRule="auto"/>
        <w:jc w:val="both"/>
        <w:rPr>
          <w:rFonts w:ascii="Book Antiqua" w:hAnsi="Book Antiqua"/>
        </w:rPr>
      </w:pPr>
      <w:r>
        <w:rPr>
          <w:rFonts w:ascii="Book Antiqua" w:hAnsi="Book Antiqua"/>
        </w:rPr>
        <w:t xml:space="preserve">36 </w:t>
      </w:r>
      <w:r>
        <w:rPr>
          <w:rFonts w:ascii="Book Antiqua" w:hAnsi="Book Antiqua"/>
          <w:b/>
          <w:bCs/>
        </w:rPr>
        <w:t>Morris SB</w:t>
      </w:r>
      <w:r>
        <w:rPr>
          <w:rFonts w:ascii="Book Antiqua" w:hAnsi="Book Antiqua"/>
        </w:rPr>
        <w:t xml:space="preserve">, Schwartz NG, Patel P, Abbo L, Beauchamps L, Balan S, Lee EH, Paneth-Pollak R, Geevarughese A, Lash MK, Dorsinville MS, Ballen V, Eiras DP, Newton-Cheh C, Smith E, Robinson S, Stogsdill P, Lim S, Fox SE, Richardson G, Hand J, Oliver NT, Kofman A, Bryant B, Ende Z, Datta D, Belay E, Godfred-Cato S. Case Series of Multisystem Inflammatory Syndrome in Adults Associated with SARS-CoV-2 Infection - United Kingdom and United States, March-August 2020. </w:t>
      </w:r>
      <w:r>
        <w:rPr>
          <w:rFonts w:ascii="Book Antiqua" w:hAnsi="Book Antiqua"/>
          <w:i/>
          <w:iCs/>
        </w:rPr>
        <w:t>MMWR Morb Mortal Wkly Rep</w:t>
      </w:r>
      <w:r>
        <w:rPr>
          <w:rFonts w:ascii="Book Antiqua" w:hAnsi="Book Antiqua"/>
        </w:rPr>
        <w:t xml:space="preserve"> 2020; </w:t>
      </w:r>
      <w:r>
        <w:rPr>
          <w:rFonts w:ascii="Book Antiqua" w:hAnsi="Book Antiqua"/>
          <w:b/>
          <w:bCs/>
        </w:rPr>
        <w:t>69</w:t>
      </w:r>
      <w:r>
        <w:rPr>
          <w:rFonts w:ascii="Book Antiqua" w:hAnsi="Book Antiqua"/>
        </w:rPr>
        <w:t>: 1450-1456 [PMID: 33031361 DOI: 10.15585/mmwr.mm6940e1]</w:t>
      </w:r>
    </w:p>
    <w:p>
      <w:pPr>
        <w:spacing w:line="360" w:lineRule="auto"/>
        <w:jc w:val="both"/>
        <w:rPr>
          <w:rFonts w:ascii="Book Antiqua" w:hAnsi="Book Antiqua"/>
        </w:rPr>
      </w:pPr>
      <w:r>
        <w:rPr>
          <w:rFonts w:ascii="Book Antiqua" w:hAnsi="Book Antiqua"/>
        </w:rPr>
        <w:t xml:space="preserve">37 </w:t>
      </w:r>
      <w:r>
        <w:rPr>
          <w:rFonts w:ascii="Book Antiqua" w:hAnsi="Book Antiqua"/>
          <w:b/>
          <w:bCs/>
        </w:rPr>
        <w:t>Russo E</w:t>
      </w:r>
      <w:r>
        <w:rPr>
          <w:rFonts w:ascii="Book Antiqua" w:hAnsi="Book Antiqua"/>
        </w:rPr>
        <w:t xml:space="preserve">, Esposito P, Taramasso L, Magnasco L, Saio M, Briano F, Russo C, Dettori S, Vena A, Di Biagio A, Garibotto G, Bassetti M, Viazzi F; GECOVID working group. Kidney disease and all-cause mortality in patients with COVID-19 hospitalized in Genoa, Northern Italy. </w:t>
      </w:r>
      <w:r>
        <w:rPr>
          <w:rFonts w:ascii="Book Antiqua" w:hAnsi="Book Antiqua"/>
          <w:i/>
          <w:iCs/>
        </w:rPr>
        <w:t>J Nephrol</w:t>
      </w:r>
      <w:r>
        <w:rPr>
          <w:rFonts w:ascii="Book Antiqua" w:hAnsi="Book Antiqua"/>
        </w:rPr>
        <w:t xml:space="preserve"> 2021; </w:t>
      </w:r>
      <w:r>
        <w:rPr>
          <w:rFonts w:ascii="Book Antiqua" w:hAnsi="Book Antiqua"/>
          <w:b/>
          <w:bCs/>
        </w:rPr>
        <w:t>34</w:t>
      </w:r>
      <w:r>
        <w:rPr>
          <w:rFonts w:ascii="Book Antiqua" w:hAnsi="Book Antiqua"/>
        </w:rPr>
        <w:t>: 173-183 [PMID: 33025516 DOI: 10.1007/s40620-020-00875-1]</w:t>
      </w:r>
    </w:p>
    <w:p>
      <w:pPr>
        <w:spacing w:line="360" w:lineRule="auto"/>
        <w:jc w:val="both"/>
        <w:rPr>
          <w:rFonts w:ascii="Book Antiqua" w:hAnsi="Book Antiqua"/>
        </w:rPr>
      </w:pPr>
      <w:r>
        <w:rPr>
          <w:rFonts w:ascii="Book Antiqua" w:hAnsi="Book Antiqua"/>
        </w:rPr>
        <w:t xml:space="preserve">38 </w:t>
      </w:r>
      <w:r>
        <w:rPr>
          <w:rFonts w:ascii="Book Antiqua" w:hAnsi="Book Antiqua"/>
          <w:b/>
          <w:bCs/>
        </w:rPr>
        <w:t>Rinott E</w:t>
      </w:r>
      <w:r>
        <w:rPr>
          <w:rFonts w:ascii="Book Antiqua" w:hAnsi="Book Antiqua"/>
        </w:rPr>
        <w:t xml:space="preserve">, Kozer E, Shapira Y, Bar-Haim A, Youngster I. Ibuprofen use and clinical outcomes in COVID-19 patients. </w:t>
      </w:r>
      <w:r>
        <w:rPr>
          <w:rFonts w:ascii="Book Antiqua" w:hAnsi="Book Antiqua"/>
          <w:i/>
          <w:iCs/>
        </w:rPr>
        <w:t>Clin Microbiol Infect</w:t>
      </w:r>
      <w:r>
        <w:rPr>
          <w:rFonts w:ascii="Book Antiqua" w:hAnsi="Book Antiqua"/>
        </w:rPr>
        <w:t xml:space="preserve"> 2020; </w:t>
      </w:r>
      <w:r>
        <w:rPr>
          <w:rFonts w:ascii="Book Antiqua" w:hAnsi="Book Antiqua"/>
          <w:b/>
          <w:bCs/>
        </w:rPr>
        <w:t>26</w:t>
      </w:r>
      <w:r>
        <w:rPr>
          <w:rFonts w:ascii="Book Antiqua" w:hAnsi="Book Antiqua"/>
        </w:rPr>
        <w:t>: 1259.e5-1259.e7 [PMID: 32535147 DOI: 10.1016/j.cmi.2020.06.003]</w:t>
      </w:r>
    </w:p>
    <w:p>
      <w:pPr>
        <w:spacing w:line="360" w:lineRule="auto"/>
        <w:jc w:val="both"/>
        <w:rPr>
          <w:rFonts w:ascii="Book Antiqua" w:hAnsi="Book Antiqua"/>
        </w:rPr>
      </w:pPr>
      <w:r>
        <w:rPr>
          <w:rFonts w:ascii="Book Antiqua" w:hAnsi="Book Antiqua"/>
        </w:rPr>
        <w:t xml:space="preserve">39 </w:t>
      </w:r>
      <w:r>
        <w:rPr>
          <w:rFonts w:ascii="Book Antiqua" w:hAnsi="Book Antiqua"/>
          <w:b/>
          <w:bCs/>
        </w:rPr>
        <w:t>Thachil J</w:t>
      </w:r>
      <w:r>
        <w:rPr>
          <w:rFonts w:ascii="Book Antiqua" w:hAnsi="Book Antiqua"/>
        </w:rPr>
        <w:t xml:space="preserve">, Tang N, Gando S, Falanga A, Cattaneo M, Levi M, Clark C, Iba T. ISTH interim guidance on recognition and management of coagulopathy in COVID-19. </w:t>
      </w:r>
      <w:r>
        <w:rPr>
          <w:rFonts w:ascii="Book Antiqua" w:hAnsi="Book Antiqua"/>
          <w:i/>
          <w:iCs/>
        </w:rPr>
        <w:t>J Thromb Haemost</w:t>
      </w:r>
      <w:r>
        <w:rPr>
          <w:rFonts w:ascii="Book Antiqua" w:hAnsi="Book Antiqua"/>
        </w:rPr>
        <w:t xml:space="preserve"> 2020; </w:t>
      </w:r>
      <w:r>
        <w:rPr>
          <w:rFonts w:ascii="Book Antiqua" w:hAnsi="Book Antiqua"/>
          <w:b/>
          <w:bCs/>
        </w:rPr>
        <w:t>18</w:t>
      </w:r>
      <w:r>
        <w:rPr>
          <w:rFonts w:ascii="Book Antiqua" w:hAnsi="Book Antiqua"/>
        </w:rPr>
        <w:t>: 1023-1026 [PMID: 32338827 DOI: 10.1111/jth.14810]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Siemieniuk RA</w:t>
      </w:r>
      <w:r>
        <w:rPr>
          <w:rFonts w:ascii="Book Antiqua" w:hAnsi="Book Antiqua"/>
        </w:rPr>
        <w:t xml:space="preserve">, Bartoszko JJ, Ge L, Zeraatkar D, Izcovich A, Kum E, Pardo-Hernandez H, Qasim A, Martinez JPD, Rochwerg B, Lamontagne F, Han MA, Liu Q, Agarwal A, Agoritsas T, Chu DK, Couban R, Cusano E, Darzi A, Devji T, Fang B, Fang C, Flottorp SA, Foroutan F, Ghadimi M, Heels-Ansdell D, Honarmand K, Hou L, Hou X, Ibrahim Q, Khamis A, Lam B, Loeb M, Marcucci M, McLeod SL, Motaghi S, Murthy S, Mustafa RA, Neary JD, Rada G, Riaz IB, Sadeghirad B, Sekercioglu N, Sheng L, Sreekanta A, Switzer C, Tendal B, Thabane L, Tomlinson G, Turner T, Vandvik PO, Vernooij RW, Viteri-García A, Wang Y, Yao L, Ye Z, Guyatt GH, Brignardello-Petersen R. Drug treatments for covid-19: living systematic review and network meta-analysis. </w:t>
      </w:r>
      <w:r>
        <w:rPr>
          <w:rFonts w:ascii="Book Antiqua" w:hAnsi="Book Antiqua"/>
          <w:i/>
          <w:iCs/>
        </w:rPr>
        <w:t>BMJ</w:t>
      </w:r>
      <w:r>
        <w:rPr>
          <w:rFonts w:ascii="Book Antiqua" w:hAnsi="Book Antiqua"/>
        </w:rPr>
        <w:t xml:space="preserve"> 2020; </w:t>
      </w:r>
      <w:r>
        <w:rPr>
          <w:rFonts w:ascii="Book Antiqua" w:hAnsi="Book Antiqua"/>
          <w:b/>
          <w:bCs/>
        </w:rPr>
        <w:t>370</w:t>
      </w:r>
      <w:r>
        <w:rPr>
          <w:rFonts w:ascii="Book Antiqua" w:hAnsi="Book Antiqua"/>
        </w:rPr>
        <w:t>: m2980 [PMID: 32732190 DOI: 10.1136/bmj.m2980]</w:t>
      </w:r>
    </w:p>
    <w:p>
      <w:pPr>
        <w:spacing w:line="360" w:lineRule="auto"/>
        <w:jc w:val="both"/>
        <w:rPr>
          <w:rFonts w:ascii="Book Antiqua" w:hAnsi="Book Antiqua"/>
        </w:rPr>
      </w:pPr>
      <w:r>
        <w:rPr>
          <w:rFonts w:ascii="Book Antiqua" w:hAnsi="Book Antiqua"/>
        </w:rPr>
        <w:t xml:space="preserve">41 </w:t>
      </w:r>
      <w:r>
        <w:rPr>
          <w:rFonts w:ascii="Book Antiqua" w:hAnsi="Book Antiqua"/>
          <w:b/>
          <w:bCs/>
        </w:rPr>
        <w:t>Li J</w:t>
      </w:r>
      <w:r>
        <w:rPr>
          <w:rFonts w:ascii="Book Antiqua" w:hAnsi="Book Antiqua"/>
        </w:rPr>
        <w:t xml:space="preserve">, Wang X, Li N, Jiang Y, Huang H, Wang T, Lin Z, Xiong N. Feasibility of Mesenchymal Stem Cell Therapy for COVID-19: A Mini Review. </w:t>
      </w:r>
      <w:r>
        <w:rPr>
          <w:rFonts w:ascii="Book Antiqua" w:hAnsi="Book Antiqua"/>
          <w:i/>
          <w:iCs/>
        </w:rPr>
        <w:t>Curr Gene Ther</w:t>
      </w:r>
      <w:r>
        <w:rPr>
          <w:rFonts w:ascii="Book Antiqua" w:hAnsi="Book Antiqua"/>
        </w:rPr>
        <w:t xml:space="preserve"> 2020; </w:t>
      </w:r>
      <w:r>
        <w:rPr>
          <w:rFonts w:ascii="Book Antiqua" w:hAnsi="Book Antiqua"/>
          <w:b/>
          <w:bCs/>
        </w:rPr>
        <w:t>20</w:t>
      </w:r>
      <w:r>
        <w:rPr>
          <w:rFonts w:ascii="Book Antiqua" w:hAnsi="Book Antiqua"/>
        </w:rPr>
        <w:t>: 285-288 [PMID: 32867652 DOI: 10.2174/1566523220999200820172829]</w:t>
      </w:r>
    </w:p>
    <w:p>
      <w:pPr>
        <w:spacing w:line="360" w:lineRule="auto"/>
        <w:jc w:val="both"/>
        <w:rPr>
          <w:rFonts w:ascii="Book Antiqua" w:hAnsi="Book Antiqua"/>
        </w:rPr>
      </w:pPr>
      <w:r>
        <w:rPr>
          <w:rFonts w:ascii="Book Antiqua" w:hAnsi="Book Antiqua"/>
        </w:rPr>
        <w:t xml:space="preserve">42 </w:t>
      </w:r>
      <w:r>
        <w:rPr>
          <w:rFonts w:ascii="Book Antiqua" w:hAnsi="Book Antiqua"/>
          <w:b/>
          <w:bCs/>
        </w:rPr>
        <w:t>Marshall M</w:t>
      </w:r>
      <w:r>
        <w:rPr>
          <w:rFonts w:ascii="Book Antiqua" w:hAnsi="Book Antiqua"/>
        </w:rPr>
        <w:t xml:space="preserve">. The lasting misery of coronavirus long-haulers. </w:t>
      </w:r>
      <w:r>
        <w:rPr>
          <w:rFonts w:ascii="Book Antiqua" w:hAnsi="Book Antiqua"/>
          <w:i/>
          <w:iCs/>
        </w:rPr>
        <w:t>Nature</w:t>
      </w:r>
      <w:r>
        <w:rPr>
          <w:rFonts w:ascii="Book Antiqua" w:hAnsi="Book Antiqua"/>
        </w:rPr>
        <w:t xml:space="preserve"> 2020; </w:t>
      </w:r>
      <w:r>
        <w:rPr>
          <w:rFonts w:ascii="Book Antiqua" w:hAnsi="Book Antiqua"/>
          <w:b/>
          <w:bCs/>
        </w:rPr>
        <w:t>585</w:t>
      </w:r>
      <w:r>
        <w:rPr>
          <w:rFonts w:ascii="Book Antiqua" w:hAnsi="Book Antiqua"/>
        </w:rPr>
        <w:t>: 339-341 [PMID: 32929257 DOI: 10.1038/d41586-020-02598-6]</w:t>
      </w:r>
    </w:p>
    <w:p>
      <w:pPr>
        <w:spacing w:line="360" w:lineRule="auto"/>
        <w:jc w:val="both"/>
        <w:rPr>
          <w:rFonts w:ascii="Book Antiqua" w:hAnsi="Book Antiqua"/>
        </w:rPr>
      </w:pPr>
      <w:r>
        <w:rPr>
          <w:rFonts w:ascii="Book Antiqua" w:hAnsi="Book Antiqua"/>
        </w:rPr>
        <w:t xml:space="preserve">43 </w:t>
      </w:r>
      <w:r>
        <w:rPr>
          <w:rFonts w:ascii="Book Antiqua" w:hAnsi="Book Antiqua"/>
          <w:b/>
          <w:bCs/>
        </w:rPr>
        <w:t>Lopez-Leon S</w:t>
      </w:r>
      <w:r>
        <w:rPr>
          <w:rFonts w:ascii="Book Antiqua" w:hAnsi="Book Antiqua"/>
        </w:rPr>
        <w:t xml:space="preserve">, Wegman-Ostrosky T, Perelman C, Sepulveda R, Rebolledo PA, Cuapio A, Villapol S. More than 50 Long-term effects of COVID-19: a systematic review and meta-analysis. </w:t>
      </w:r>
      <w:r>
        <w:rPr>
          <w:rFonts w:ascii="Book Antiqua" w:hAnsi="Book Antiqua"/>
          <w:i/>
          <w:iCs/>
        </w:rPr>
        <w:t>medRxiv</w:t>
      </w:r>
      <w:r>
        <w:rPr>
          <w:rFonts w:ascii="Book Antiqua" w:hAnsi="Book Antiqua"/>
        </w:rPr>
        <w:t xml:space="preserve"> 2021 [PMID: 33532785 DOI: 10.21203/rs.3.rs-266574/v1]</w:t>
      </w:r>
    </w:p>
    <w:p>
      <w:pPr>
        <w:spacing w:line="360" w:lineRule="auto"/>
        <w:jc w:val="both"/>
        <w:rPr>
          <w:rFonts w:ascii="Book Antiqua" w:hAnsi="Book Antiqua"/>
        </w:rPr>
      </w:pPr>
      <w:r>
        <w:rPr>
          <w:rFonts w:ascii="Book Antiqua" w:hAnsi="Book Antiqua"/>
        </w:rPr>
        <w:t xml:space="preserve">44 </w:t>
      </w:r>
      <w:r>
        <w:rPr>
          <w:rFonts w:ascii="Book Antiqua" w:hAnsi="Book Antiqua"/>
          <w:b/>
          <w:bCs/>
        </w:rPr>
        <w:t>Chen S</w:t>
      </w:r>
      <w:r>
        <w:rPr>
          <w:rFonts w:ascii="Book Antiqua" w:hAnsi="Book Antiqua"/>
        </w:rPr>
        <w:t xml:space="preserve">, Cui G, Peng C, Lavin MF, Sun X, Zhang E, Yang Y, Guan Y, Du Z, Shao H. Transplantation of adipose-derived mesenchymal stem cells attenuates pulmonary fibrosis of silicosis via anti-inflammatory and anti-apoptosis effects in rats. </w:t>
      </w:r>
      <w:r>
        <w:rPr>
          <w:rFonts w:ascii="Book Antiqua" w:hAnsi="Book Antiqua"/>
          <w:i/>
          <w:iCs/>
        </w:rPr>
        <w:t>Stem Cell Res Ther</w:t>
      </w:r>
      <w:r>
        <w:rPr>
          <w:rFonts w:ascii="Book Antiqua" w:hAnsi="Book Antiqua"/>
        </w:rPr>
        <w:t xml:space="preserve"> 2018; </w:t>
      </w:r>
      <w:r>
        <w:rPr>
          <w:rFonts w:ascii="Book Antiqua" w:hAnsi="Book Antiqua"/>
          <w:b/>
          <w:bCs/>
        </w:rPr>
        <w:t>9</w:t>
      </w:r>
      <w:r>
        <w:rPr>
          <w:rFonts w:ascii="Book Antiqua" w:hAnsi="Book Antiqua"/>
        </w:rPr>
        <w:t>: 110 [PMID: 29673394 DOI: 10.1186/s13287-018-0846-9]</w:t>
      </w:r>
    </w:p>
    <w:p>
      <w:pPr>
        <w:spacing w:line="360" w:lineRule="auto"/>
        <w:jc w:val="both"/>
        <w:rPr>
          <w:rFonts w:ascii="Book Antiqua" w:hAnsi="Book Antiqua"/>
        </w:rPr>
      </w:pPr>
      <w:r>
        <w:rPr>
          <w:rFonts w:ascii="Book Antiqua" w:hAnsi="Book Antiqua"/>
        </w:rPr>
        <w:t xml:space="preserve">45 </w:t>
      </w:r>
      <w:r>
        <w:rPr>
          <w:rFonts w:ascii="Book Antiqua" w:hAnsi="Book Antiqua"/>
          <w:b/>
          <w:bCs/>
        </w:rPr>
        <w:t>Fu X</w:t>
      </w:r>
      <w:r>
        <w:rPr>
          <w:rFonts w:ascii="Book Antiqua" w:hAnsi="Book Antiqua"/>
        </w:rPr>
        <w:t xml:space="preserve">, Liu G, Halim A, Ju Y, Luo Q, Song AG. Mesenchymal Stem Cell Migration and Tissue Repair.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31357692 DOI: 10.3390/cells8080784]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Liu D</w:t>
      </w:r>
      <w:r>
        <w:rPr>
          <w:rFonts w:ascii="Book Antiqua" w:hAnsi="Book Antiqua"/>
        </w:rPr>
        <w:t xml:space="preserve">, Kong F, Yuan Y, Seth P, Xu W, Wang H, Xiao F, Wang L, Zhang Q, Yang Y, Wang H. Decorin-Modified Umbilical Cord Mesenchymal Stem Cells (MSCs) Attenuate Radiation-Induced Lung Injuries via Regulating Inflammation, Fibrotic Factors, and Immune Responses. </w:t>
      </w:r>
      <w:r>
        <w:rPr>
          <w:rFonts w:ascii="Book Antiqua" w:hAnsi="Book Antiqua"/>
          <w:i/>
          <w:iCs/>
        </w:rPr>
        <w:t>Int J Radiat Oncol Biol Phys</w:t>
      </w:r>
      <w:r>
        <w:rPr>
          <w:rFonts w:ascii="Book Antiqua" w:hAnsi="Book Antiqua"/>
        </w:rPr>
        <w:t xml:space="preserve"> 2018; </w:t>
      </w:r>
      <w:r>
        <w:rPr>
          <w:rFonts w:ascii="Book Antiqua" w:hAnsi="Book Antiqua"/>
          <w:b/>
          <w:bCs/>
        </w:rPr>
        <w:t>101</w:t>
      </w:r>
      <w:r>
        <w:rPr>
          <w:rFonts w:ascii="Book Antiqua" w:hAnsi="Book Antiqua"/>
        </w:rPr>
        <w:t>: 945-956 [PMID: 29976507 DOI: 10.1016/j.ijrobp.2018.04.007]</w:t>
      </w:r>
    </w:p>
    <w:p>
      <w:pPr>
        <w:spacing w:line="360" w:lineRule="auto"/>
        <w:jc w:val="both"/>
        <w:rPr>
          <w:rFonts w:ascii="Book Antiqua" w:hAnsi="Book Antiqua"/>
        </w:rPr>
      </w:pPr>
      <w:r>
        <w:rPr>
          <w:rFonts w:ascii="Book Antiqua" w:hAnsi="Book Antiqua"/>
        </w:rPr>
        <w:t xml:space="preserve">47 </w:t>
      </w:r>
      <w:r>
        <w:rPr>
          <w:rFonts w:ascii="Book Antiqua" w:hAnsi="Book Antiqua"/>
          <w:b/>
          <w:bCs/>
        </w:rPr>
        <w:t>Yang Y</w:t>
      </w:r>
      <w:r>
        <w:rPr>
          <w:rFonts w:ascii="Book Antiqua" w:hAnsi="Book Antiqua"/>
        </w:rPr>
        <w:t xml:space="preserve">, Hu S, Xu X, Li J, Liu A, Han J, Liu S, Liu L, Qiu H. The Vascular Endothelial Growth Factors-Expressing Character of Mesenchymal Stem Cells Plays a Positive Role in Treatment of Acute Lung Injury In Vivo. </w:t>
      </w:r>
      <w:r>
        <w:rPr>
          <w:rFonts w:ascii="Book Antiqua" w:hAnsi="Book Antiqua"/>
          <w:i/>
          <w:iCs/>
        </w:rPr>
        <w:t>Mediators Inflamm</w:t>
      </w:r>
      <w:r>
        <w:rPr>
          <w:rFonts w:ascii="Book Antiqua" w:hAnsi="Book Antiqua"/>
        </w:rPr>
        <w:t xml:space="preserve"> 2016; </w:t>
      </w:r>
      <w:r>
        <w:rPr>
          <w:rFonts w:ascii="Book Antiqua" w:hAnsi="Book Antiqua"/>
          <w:b/>
          <w:bCs/>
        </w:rPr>
        <w:t>2016</w:t>
      </w:r>
      <w:r>
        <w:rPr>
          <w:rFonts w:ascii="Book Antiqua" w:hAnsi="Book Antiqua"/>
        </w:rPr>
        <w:t>: 2347938 [PMID: 27313398 DOI: 10.1155/2016/2347938]</w:t>
      </w:r>
    </w:p>
    <w:p>
      <w:pPr>
        <w:spacing w:line="360" w:lineRule="auto"/>
        <w:jc w:val="both"/>
        <w:rPr>
          <w:rFonts w:ascii="Book Antiqua" w:hAnsi="Book Antiqua"/>
        </w:rPr>
      </w:pPr>
      <w:r>
        <w:rPr>
          <w:rFonts w:ascii="Book Antiqua" w:hAnsi="Book Antiqua"/>
        </w:rPr>
        <w:t xml:space="preserve">48 </w:t>
      </w:r>
      <w:r>
        <w:rPr>
          <w:rFonts w:ascii="Book Antiqua" w:hAnsi="Book Antiqua"/>
          <w:b/>
          <w:bCs/>
        </w:rPr>
        <w:t>Wong CK</w:t>
      </w:r>
      <w:r>
        <w:rPr>
          <w:rFonts w:ascii="Book Antiqua" w:hAnsi="Book Antiqua"/>
        </w:rPr>
        <w:t xml:space="preserve">, Lam CW, Wu AK, Ip WK, Lee NL, Chan IH, Lit LC, Hui DS, Chan MH, Chung SS, Sung JJ. Plasma inflammatory cytokines and chemokines in severe acute respiratory syndrome. </w:t>
      </w:r>
      <w:r>
        <w:rPr>
          <w:rFonts w:ascii="Book Antiqua" w:hAnsi="Book Antiqua"/>
          <w:i/>
          <w:iCs/>
        </w:rPr>
        <w:t>Clin Exp Immunol</w:t>
      </w:r>
      <w:r>
        <w:rPr>
          <w:rFonts w:ascii="Book Antiqua" w:hAnsi="Book Antiqua"/>
        </w:rPr>
        <w:t xml:space="preserve"> 2004; </w:t>
      </w:r>
      <w:r>
        <w:rPr>
          <w:rFonts w:ascii="Book Antiqua" w:hAnsi="Book Antiqua"/>
          <w:b/>
          <w:bCs/>
        </w:rPr>
        <w:t>136</w:t>
      </w:r>
      <w:r>
        <w:rPr>
          <w:rFonts w:ascii="Book Antiqua" w:hAnsi="Book Antiqua"/>
        </w:rPr>
        <w:t>: 95-103 [PMID: 15030519 DOI: 10.1111/j.1365-2249.2004.02415.x]</w:t>
      </w:r>
    </w:p>
    <w:p>
      <w:pPr>
        <w:spacing w:line="360" w:lineRule="auto"/>
        <w:jc w:val="both"/>
        <w:rPr>
          <w:rFonts w:ascii="Book Antiqua" w:hAnsi="Book Antiqua"/>
        </w:rPr>
      </w:pPr>
      <w:r>
        <w:rPr>
          <w:rFonts w:ascii="Book Antiqua" w:hAnsi="Book Antiqua"/>
        </w:rPr>
        <w:t xml:space="preserve">49 </w:t>
      </w:r>
      <w:r>
        <w:rPr>
          <w:rFonts w:ascii="Book Antiqua" w:hAnsi="Book Antiqua"/>
          <w:b/>
          <w:bCs/>
        </w:rPr>
        <w:t>Mahallawi WH</w:t>
      </w:r>
      <w:r>
        <w:rPr>
          <w:rFonts w:ascii="Book Antiqua" w:hAnsi="Book Antiqua"/>
        </w:rPr>
        <w:t xml:space="preserve">, Khabour OF, Zhang Q, Makhdoum HM, Suliman BA. MERS-CoV infection in humans is associated with a pro-inflammatory Th1 and Th17 cytokine profile. </w:t>
      </w:r>
      <w:r>
        <w:rPr>
          <w:rFonts w:ascii="Book Antiqua" w:hAnsi="Book Antiqua"/>
          <w:i/>
          <w:iCs/>
        </w:rPr>
        <w:t>Cytokine</w:t>
      </w:r>
      <w:r>
        <w:rPr>
          <w:rFonts w:ascii="Book Antiqua" w:hAnsi="Book Antiqua"/>
        </w:rPr>
        <w:t xml:space="preserve"> 2018; </w:t>
      </w:r>
      <w:r>
        <w:rPr>
          <w:rFonts w:ascii="Book Antiqua" w:hAnsi="Book Antiqua"/>
          <w:b/>
          <w:bCs/>
        </w:rPr>
        <w:t>104</w:t>
      </w:r>
      <w:r>
        <w:rPr>
          <w:rFonts w:ascii="Book Antiqua" w:hAnsi="Book Antiqua"/>
        </w:rPr>
        <w:t>: 8-13 [PMID: 29414327 DOI: 10.1016/j.cyto.2018.01.025]</w:t>
      </w:r>
    </w:p>
    <w:p>
      <w:pPr>
        <w:spacing w:line="360" w:lineRule="auto"/>
        <w:jc w:val="both"/>
        <w:rPr>
          <w:rFonts w:ascii="Book Antiqua" w:hAnsi="Book Antiqua"/>
        </w:rPr>
      </w:pPr>
      <w:r>
        <w:rPr>
          <w:rFonts w:ascii="Book Antiqua" w:hAnsi="Book Antiqua"/>
        </w:rPr>
        <w:t xml:space="preserve">50 </w:t>
      </w:r>
      <w:r>
        <w:rPr>
          <w:rFonts w:ascii="Book Antiqua" w:hAnsi="Book Antiqua"/>
          <w:b/>
          <w:bCs/>
        </w:rPr>
        <w:t>Qin C</w:t>
      </w:r>
      <w:r>
        <w:rPr>
          <w:rFonts w:ascii="Book Antiqua" w:hAnsi="Book Antiqua"/>
        </w:rPr>
        <w:t xml:space="preserve">, Zhou L, Hu Z, Zhang S, Yang S, Tao Y, Xie C, Ma K, Shang K, Wang W, Tian DS. Dysregulation of Immune Response in Patients With Coronavirus 2019 (COVID-19) in Wuhan, China. </w:t>
      </w:r>
      <w:r>
        <w:rPr>
          <w:rFonts w:ascii="Book Antiqua" w:hAnsi="Book Antiqua"/>
          <w:i/>
          <w:iCs/>
        </w:rPr>
        <w:t>Clin Infect Dis</w:t>
      </w:r>
      <w:r>
        <w:rPr>
          <w:rFonts w:ascii="Book Antiqua" w:hAnsi="Book Antiqua"/>
        </w:rPr>
        <w:t xml:space="preserve"> 2020; </w:t>
      </w:r>
      <w:r>
        <w:rPr>
          <w:rFonts w:ascii="Book Antiqua" w:hAnsi="Book Antiqua"/>
          <w:b/>
          <w:bCs/>
        </w:rPr>
        <w:t>71</w:t>
      </w:r>
      <w:r>
        <w:rPr>
          <w:rFonts w:ascii="Book Antiqua" w:hAnsi="Book Antiqua"/>
        </w:rPr>
        <w:t>: 762-768 [PMID: 32161940 DOI: 10.1093/cid/ciaa248]</w:t>
      </w:r>
    </w:p>
    <w:p>
      <w:pPr>
        <w:spacing w:line="360" w:lineRule="auto"/>
        <w:jc w:val="both"/>
        <w:rPr>
          <w:rFonts w:ascii="Book Antiqua" w:hAnsi="Book Antiqua"/>
        </w:rPr>
      </w:pPr>
      <w:r>
        <w:rPr>
          <w:rFonts w:ascii="Book Antiqua" w:hAnsi="Book Antiqua"/>
        </w:rPr>
        <w:t xml:space="preserve">51 </w:t>
      </w:r>
      <w:r>
        <w:rPr>
          <w:rFonts w:ascii="Book Antiqua" w:hAnsi="Book Antiqua"/>
          <w:b/>
          <w:bCs/>
        </w:rPr>
        <w:t>Samaddar A</w:t>
      </w:r>
      <w:r>
        <w:rPr>
          <w:rFonts w:ascii="Book Antiqua" w:hAnsi="Book Antiqua"/>
        </w:rPr>
        <w:t xml:space="preserve">, Grover M, Nag VL. Pathophysiology and Potential Therapeutic Candidates for COVID-19: A Poorly Understood Arena. </w:t>
      </w:r>
      <w:r>
        <w:rPr>
          <w:rFonts w:ascii="Book Antiqua" w:hAnsi="Book Antiqua"/>
          <w:i/>
          <w:iCs/>
        </w:rPr>
        <w:t>Front Pharmacol</w:t>
      </w:r>
      <w:r>
        <w:rPr>
          <w:rFonts w:ascii="Book Antiqua" w:hAnsi="Book Antiqua"/>
        </w:rPr>
        <w:t xml:space="preserve"> 2020; </w:t>
      </w:r>
      <w:r>
        <w:rPr>
          <w:rFonts w:ascii="Book Antiqua" w:hAnsi="Book Antiqua"/>
          <w:b/>
          <w:bCs/>
        </w:rPr>
        <w:t>11</w:t>
      </w:r>
      <w:r>
        <w:rPr>
          <w:rFonts w:ascii="Book Antiqua" w:hAnsi="Book Antiqua"/>
        </w:rPr>
        <w:t>: 585888 [PMID: 33041830 DOI: 10.3389/fphar.2020.585888]</w:t>
      </w:r>
    </w:p>
    <w:p>
      <w:pPr>
        <w:spacing w:line="360" w:lineRule="auto"/>
        <w:jc w:val="both"/>
        <w:rPr>
          <w:rFonts w:ascii="Book Antiqua" w:hAnsi="Book Antiqua"/>
        </w:rPr>
      </w:pPr>
      <w:r>
        <w:rPr>
          <w:rFonts w:ascii="Book Antiqua" w:hAnsi="Book Antiqua"/>
        </w:rPr>
        <w:t xml:space="preserve">52 </w:t>
      </w:r>
      <w:r>
        <w:rPr>
          <w:rFonts w:ascii="Book Antiqua" w:hAnsi="Book Antiqua"/>
          <w:b/>
          <w:bCs/>
        </w:rPr>
        <w:t>Lucas C</w:t>
      </w:r>
      <w:r>
        <w:rPr>
          <w:rFonts w:ascii="Book Antiqua" w:hAnsi="Book Antiqua"/>
        </w:rPr>
        <w:t xml:space="preserve">, Wong P, Klein J, Castro TBR, Silva J, Sundaram M, Ellingson MK, Mao T, Oh JE, Israelow B, Takahashi T, Tokuyama M, Lu P, Venkataraman A, Park A, Mohanty S, Wang H, Wyllie AL, Vogels CBF, Earnest R, Lapidus S, Ott IM, Moore AJ, Muenker MC, Fournier JB, Campbell M, Odio CD, Casanovas-Massana A; Yale IMPACT Team, Herbst R, Shaw AC, Medzhitov R, Schulz WL, Grubaugh ND, Dela Cruz C, Farhadian S, Ko AI, Omer SB, Iwasaki A. Longitudinal analyses reveal immunological misfiring in severe COVID-19. </w:t>
      </w:r>
      <w:r>
        <w:rPr>
          <w:rFonts w:ascii="Book Antiqua" w:hAnsi="Book Antiqua"/>
          <w:i/>
          <w:iCs/>
        </w:rPr>
        <w:t>Nature</w:t>
      </w:r>
      <w:r>
        <w:rPr>
          <w:rFonts w:ascii="Book Antiqua" w:hAnsi="Book Antiqua"/>
        </w:rPr>
        <w:t xml:space="preserve"> 2020; </w:t>
      </w:r>
      <w:r>
        <w:rPr>
          <w:rFonts w:ascii="Book Antiqua" w:hAnsi="Book Antiqua"/>
          <w:b/>
          <w:bCs/>
        </w:rPr>
        <w:t>584</w:t>
      </w:r>
      <w:r>
        <w:rPr>
          <w:rFonts w:ascii="Book Antiqua" w:hAnsi="Book Antiqua"/>
        </w:rPr>
        <w:t>: 463-469 [PMID: 32717743 DOI: 10.1038/s41586-020-2588-y]</w:t>
      </w:r>
    </w:p>
    <w:p>
      <w:pPr>
        <w:spacing w:line="360" w:lineRule="auto"/>
        <w:jc w:val="both"/>
        <w:rPr>
          <w:rFonts w:ascii="Book Antiqua" w:hAnsi="Book Antiqua"/>
        </w:rPr>
      </w:pPr>
      <w:r>
        <w:rPr>
          <w:rFonts w:ascii="Book Antiqua" w:hAnsi="Book Antiqua"/>
        </w:rPr>
        <w:t xml:space="preserve">53 </w:t>
      </w:r>
      <w:r>
        <w:rPr>
          <w:rFonts w:ascii="Book Antiqua" w:hAnsi="Book Antiqua"/>
          <w:b/>
          <w:bCs/>
        </w:rPr>
        <w:t>Laing AG</w:t>
      </w:r>
      <w:r>
        <w:rPr>
          <w:rFonts w:ascii="Book Antiqua" w:hAnsi="Book Antiqua"/>
        </w:rPr>
        <w:t xml:space="preserve">, Lorenc A, Del Molino Del Barrio I, Das A, Fish M, Monin L, Muñoz-Ruiz M, McKenzie DR, Hayday TS, Francos-Quijorna I, Kamdar S, Joseph M, Davies D, Davis R, Jennings A, Zlatareva I, Vantourout P, Wu Y, Sofra V, Cano F, Greco M, Theodoridis E, Freedman JD, Gee S, Chan JNE, Ryan S, Bugallo-Blanco E, Peterson P, Kisand K, Haljasmägi L, Chadli L, Moingeon P, Martinez L, Merrick B, Bisnauthsing K, Brooks K, Ibrahim MAA, Mason J, Lopez Gomez F, Babalola K, Abdul-Jawad S, Cason J, Mant C, Seow J, Graham C, Doores KJ, Di Rosa F, Edgeworth J, Shankar-Hari M, Hayday AC. A dynamic COVID-19 immune signature includes associations with poor prognosis. </w:t>
      </w:r>
      <w:r>
        <w:rPr>
          <w:rFonts w:ascii="Book Antiqua" w:hAnsi="Book Antiqua"/>
          <w:i/>
          <w:iCs/>
        </w:rPr>
        <w:t>Nat Med</w:t>
      </w:r>
      <w:r>
        <w:rPr>
          <w:rFonts w:ascii="Book Antiqua" w:hAnsi="Book Antiqua"/>
        </w:rPr>
        <w:t xml:space="preserve"> 2020; </w:t>
      </w:r>
      <w:r>
        <w:rPr>
          <w:rFonts w:ascii="Book Antiqua" w:hAnsi="Book Antiqua"/>
          <w:b/>
          <w:bCs/>
        </w:rPr>
        <w:t>26</w:t>
      </w:r>
      <w:r>
        <w:rPr>
          <w:rFonts w:ascii="Book Antiqua" w:hAnsi="Book Antiqua"/>
        </w:rPr>
        <w:t>: 1623-1635 [PMID: 32807934 DOI: 10.1038/s41591-020-1038-6]</w:t>
      </w:r>
    </w:p>
    <w:p>
      <w:pPr>
        <w:spacing w:line="360" w:lineRule="auto"/>
        <w:jc w:val="both"/>
        <w:rPr>
          <w:rFonts w:ascii="Book Antiqua" w:hAnsi="Book Antiqua"/>
        </w:rPr>
      </w:pPr>
      <w:r>
        <w:rPr>
          <w:rFonts w:ascii="Book Antiqua" w:hAnsi="Book Antiqua"/>
        </w:rPr>
        <w:t xml:space="preserve">54 </w:t>
      </w:r>
      <w:r>
        <w:rPr>
          <w:rFonts w:ascii="Book Antiqua" w:hAnsi="Book Antiqua"/>
          <w:b/>
          <w:bCs/>
        </w:rPr>
        <w:t>RECOVERY Collaborative Group,</w:t>
      </w:r>
      <w:r>
        <w:rPr>
          <w:rFonts w:ascii="Book Antiqua" w:hAnsi="Book Antiqua"/>
        </w:rPr>
        <w:t xml:space="preserve"> Horby P, Lim WS, Emberson JR, Mafham M, Bell JL, Linsell L, Staplin N, Brightling C, Ustianowski A, Elmahi E, Prudon B, Green C, Felton T, Chadwick D, Rege K, Fegan C, Chappell LC, Faust SN, Jaki T, Jeffery K, Montgomery A, Rowan K, Juszczak E, Baillie JK, Haynes R, Landray MJ. Dexamethasone in Hospitalized Patients with Covid-19. </w:t>
      </w:r>
      <w:r>
        <w:rPr>
          <w:rFonts w:ascii="Book Antiqua" w:hAnsi="Book Antiqua"/>
          <w:i/>
          <w:iCs/>
        </w:rPr>
        <w:t>N Engl J Med</w:t>
      </w:r>
      <w:r>
        <w:rPr>
          <w:rFonts w:ascii="Book Antiqua" w:hAnsi="Book Antiqua"/>
        </w:rPr>
        <w:t xml:space="preserve"> 2021; </w:t>
      </w:r>
      <w:r>
        <w:rPr>
          <w:rFonts w:ascii="Book Antiqua" w:hAnsi="Book Antiqua"/>
          <w:b/>
          <w:bCs/>
        </w:rPr>
        <w:t>384</w:t>
      </w:r>
      <w:r>
        <w:rPr>
          <w:rFonts w:ascii="Book Antiqua" w:hAnsi="Book Antiqua"/>
        </w:rPr>
        <w:t xml:space="preserve"> :693-704 [PMID: 32678530 DOI:</w:t>
      </w:r>
      <w:r>
        <w:rPr>
          <w:rFonts w:ascii="Book Antiqua" w:hAnsi="Book Antiqua" w:cs="Segoe UI"/>
          <w:color w:val="5B616B"/>
          <w:shd w:val="clear" w:color="auto" w:fill="FFFFFF"/>
        </w:rPr>
        <w:t xml:space="preserve"> </w:t>
      </w:r>
      <w:r>
        <w:rPr>
          <w:rFonts w:ascii="Book Antiqua" w:hAnsi="Book Antiqua"/>
        </w:rPr>
        <w:t>10.1056/NEJMoa2021436]</w:t>
      </w:r>
    </w:p>
    <w:p>
      <w:pPr>
        <w:spacing w:line="360" w:lineRule="auto"/>
        <w:jc w:val="both"/>
        <w:rPr>
          <w:rFonts w:ascii="Book Antiqua" w:hAnsi="Book Antiqua"/>
        </w:rPr>
      </w:pPr>
      <w:r>
        <w:rPr>
          <w:rFonts w:ascii="Book Antiqua" w:hAnsi="Book Antiqua"/>
        </w:rPr>
        <w:t xml:space="preserve">55 </w:t>
      </w:r>
      <w:r>
        <w:rPr>
          <w:rFonts w:ascii="Book Antiqua" w:hAnsi="Book Antiqua"/>
          <w:b/>
          <w:bCs/>
        </w:rPr>
        <w:t>Romani L</w:t>
      </w:r>
      <w:r>
        <w:rPr>
          <w:rFonts w:ascii="Book Antiqua" w:hAnsi="Book Antiqua"/>
        </w:rPr>
        <w:t xml:space="preserve">, Tomino C, Puccetti P, Garaci E. Off-label therapy targeting pathogenic inflammation in COVID-19. </w:t>
      </w:r>
      <w:r>
        <w:rPr>
          <w:rFonts w:ascii="Book Antiqua" w:hAnsi="Book Antiqua"/>
          <w:i/>
          <w:iCs/>
        </w:rPr>
        <w:t>Cell Death Discov</w:t>
      </w:r>
      <w:r>
        <w:rPr>
          <w:rFonts w:ascii="Book Antiqua" w:hAnsi="Book Antiqua"/>
        </w:rPr>
        <w:t xml:space="preserve"> 2020; </w:t>
      </w:r>
      <w:r>
        <w:rPr>
          <w:rFonts w:ascii="Book Antiqua" w:hAnsi="Book Antiqua"/>
          <w:b/>
          <w:bCs/>
        </w:rPr>
        <w:t>6</w:t>
      </w:r>
      <w:r>
        <w:rPr>
          <w:rFonts w:ascii="Book Antiqua" w:hAnsi="Book Antiqua"/>
        </w:rPr>
        <w:t>: 49 [PMID: 32547788 DOI: 10.1038/s41420-020-0283-2]</w:t>
      </w:r>
    </w:p>
    <w:p>
      <w:pPr>
        <w:spacing w:line="360" w:lineRule="auto"/>
        <w:jc w:val="both"/>
        <w:rPr>
          <w:rFonts w:ascii="Book Antiqua" w:hAnsi="Book Antiqua"/>
        </w:rPr>
      </w:pPr>
      <w:r>
        <w:rPr>
          <w:rFonts w:ascii="Book Antiqua" w:hAnsi="Book Antiqua"/>
        </w:rPr>
        <w:t xml:space="preserve">56 </w:t>
      </w:r>
      <w:r>
        <w:rPr>
          <w:rFonts w:ascii="Book Antiqua" w:hAnsi="Book Antiqua"/>
          <w:b/>
          <w:bCs/>
        </w:rPr>
        <w:t>Ryabkova VA</w:t>
      </w:r>
      <w:r>
        <w:rPr>
          <w:rFonts w:ascii="Book Antiqua" w:hAnsi="Book Antiqua"/>
        </w:rPr>
        <w:t xml:space="preserve">, Churilov LP, Shoenfeld Y. Influenza infection, SARS, MERS and COVID-19: Cytokine storm - The common denominator and the lessons to be learned. </w:t>
      </w:r>
      <w:r>
        <w:rPr>
          <w:rFonts w:ascii="Book Antiqua" w:hAnsi="Book Antiqua"/>
          <w:i/>
          <w:iCs/>
        </w:rPr>
        <w:t>Clin Immunol</w:t>
      </w:r>
      <w:r>
        <w:rPr>
          <w:rFonts w:ascii="Book Antiqua" w:hAnsi="Book Antiqua"/>
        </w:rPr>
        <w:t xml:space="preserve"> 2021; </w:t>
      </w:r>
      <w:r>
        <w:rPr>
          <w:rFonts w:ascii="Book Antiqua" w:hAnsi="Book Antiqua"/>
          <w:b/>
          <w:bCs/>
        </w:rPr>
        <w:t>223</w:t>
      </w:r>
      <w:r>
        <w:rPr>
          <w:rFonts w:ascii="Book Antiqua" w:hAnsi="Book Antiqua"/>
        </w:rPr>
        <w:t>: 108652 [PMID: 33333256 DOI: 10.1016/j.clim.2020.108652]</w:t>
      </w:r>
    </w:p>
    <w:p>
      <w:pPr>
        <w:spacing w:line="360" w:lineRule="auto"/>
        <w:jc w:val="both"/>
        <w:rPr>
          <w:rFonts w:ascii="Book Antiqua" w:hAnsi="Book Antiqua"/>
        </w:rPr>
      </w:pPr>
      <w:r>
        <w:rPr>
          <w:rFonts w:ascii="Book Antiqua" w:hAnsi="Book Antiqua"/>
        </w:rPr>
        <w:t xml:space="preserve">57 </w:t>
      </w:r>
      <w:r>
        <w:rPr>
          <w:rFonts w:ascii="Book Antiqua" w:hAnsi="Book Antiqua"/>
          <w:b/>
          <w:bCs/>
        </w:rPr>
        <w:t>Bianco P</w:t>
      </w:r>
      <w:r>
        <w:rPr>
          <w:rFonts w:ascii="Book Antiqua" w:hAnsi="Book Antiqua"/>
        </w:rPr>
        <w:t xml:space="preserve">, Robey PG, Simmons PJ. Mesenchymal stem cells: revisiting history, concepts, and assays. </w:t>
      </w:r>
      <w:r>
        <w:rPr>
          <w:rFonts w:ascii="Book Antiqua" w:hAnsi="Book Antiqua"/>
          <w:i/>
          <w:iCs/>
        </w:rPr>
        <w:t>Cell Stem Cell</w:t>
      </w:r>
      <w:r>
        <w:rPr>
          <w:rFonts w:ascii="Book Antiqua" w:hAnsi="Book Antiqua"/>
        </w:rPr>
        <w:t xml:space="preserve"> 2008; </w:t>
      </w:r>
      <w:r>
        <w:rPr>
          <w:rFonts w:ascii="Book Antiqua" w:hAnsi="Book Antiqua"/>
          <w:b/>
          <w:bCs/>
        </w:rPr>
        <w:t>2</w:t>
      </w:r>
      <w:r>
        <w:rPr>
          <w:rFonts w:ascii="Book Antiqua" w:hAnsi="Book Antiqua"/>
        </w:rPr>
        <w:t>: 313-319 [PMID: 18397751 DOI: 10.1016/j.stem.2008.03.002]</w:t>
      </w:r>
    </w:p>
    <w:p>
      <w:pPr>
        <w:spacing w:line="360" w:lineRule="auto"/>
        <w:jc w:val="both"/>
        <w:rPr>
          <w:rFonts w:ascii="Book Antiqua" w:hAnsi="Book Antiqua"/>
        </w:rPr>
      </w:pPr>
      <w:r>
        <w:rPr>
          <w:rFonts w:ascii="Book Antiqua" w:hAnsi="Book Antiqua"/>
        </w:rPr>
        <w:t xml:space="preserve">58 </w:t>
      </w:r>
      <w:r>
        <w:rPr>
          <w:rFonts w:ascii="Book Antiqua" w:hAnsi="Book Antiqua"/>
          <w:b/>
          <w:bCs/>
        </w:rPr>
        <w:t>Friedenstein AJ</w:t>
      </w:r>
      <w:r>
        <w:rPr>
          <w:rFonts w:ascii="Book Antiqua" w:hAnsi="Book Antiqua"/>
        </w:rPr>
        <w:t xml:space="preserve">, Petrakova KV, Kurolesova AI, Frolova GP. Heterotopic of bone marrow. Analysis of precursor cells for osteogenic and hematopoietic tissues. </w:t>
      </w:r>
      <w:r>
        <w:rPr>
          <w:rFonts w:ascii="Book Antiqua" w:hAnsi="Book Antiqua"/>
          <w:i/>
          <w:iCs/>
        </w:rPr>
        <w:t>Transplantation</w:t>
      </w:r>
      <w:r>
        <w:rPr>
          <w:rFonts w:ascii="Book Antiqua" w:hAnsi="Book Antiqua"/>
        </w:rPr>
        <w:t xml:space="preserve"> 1968; </w:t>
      </w:r>
      <w:r>
        <w:rPr>
          <w:rFonts w:ascii="Book Antiqua" w:hAnsi="Book Antiqua"/>
          <w:b/>
          <w:bCs/>
        </w:rPr>
        <w:t>6</w:t>
      </w:r>
      <w:r>
        <w:rPr>
          <w:rFonts w:ascii="Book Antiqua" w:hAnsi="Book Antiqua"/>
        </w:rPr>
        <w:t>: 230-247 [PMID: 5654088]</w:t>
      </w:r>
    </w:p>
    <w:p>
      <w:pPr>
        <w:spacing w:line="360" w:lineRule="auto"/>
        <w:jc w:val="both"/>
        <w:rPr>
          <w:rFonts w:ascii="Book Antiqua" w:hAnsi="Book Antiqua"/>
        </w:rPr>
      </w:pPr>
      <w:r>
        <w:rPr>
          <w:rFonts w:ascii="Book Antiqua" w:hAnsi="Book Antiqua"/>
        </w:rPr>
        <w:t xml:space="preserve">59 </w:t>
      </w:r>
      <w:r>
        <w:rPr>
          <w:rFonts w:ascii="Book Antiqua" w:hAnsi="Book Antiqua"/>
          <w:b/>
          <w:bCs/>
        </w:rPr>
        <w:t>Dominici M</w:t>
      </w:r>
      <w:r>
        <w:rPr>
          <w:rFonts w:ascii="Book Antiqua" w:hAnsi="Book Antiqua"/>
        </w:rPr>
        <w:t xml:space="preserve">, Le Blanc K, Mueller I, Slaper-Cortenbach I, Marini F, Krause D, Deans R, Keating A, Prockop Dj, Horwitz E. Minimal criteria for defining multipotent mesenchymal stromal cells. The International Society for Cellular Therapy position statement. </w:t>
      </w:r>
      <w:r>
        <w:rPr>
          <w:rFonts w:ascii="Book Antiqua" w:hAnsi="Book Antiqua"/>
          <w:i/>
          <w:iCs/>
        </w:rPr>
        <w:t>Cytotherapy</w:t>
      </w:r>
      <w:r>
        <w:rPr>
          <w:rFonts w:ascii="Book Antiqua" w:hAnsi="Book Antiqua"/>
        </w:rPr>
        <w:t xml:space="preserve"> 2006; </w:t>
      </w:r>
      <w:r>
        <w:rPr>
          <w:rFonts w:ascii="Book Antiqua" w:hAnsi="Book Antiqua"/>
          <w:b/>
          <w:bCs/>
        </w:rPr>
        <w:t>8</w:t>
      </w:r>
      <w:r>
        <w:rPr>
          <w:rFonts w:ascii="Book Antiqua" w:hAnsi="Book Antiqua"/>
        </w:rPr>
        <w:t>: 315-317 [PMID: 16923606 DOI: 10.1080/14653240600855905]</w:t>
      </w:r>
    </w:p>
    <w:p>
      <w:pPr>
        <w:spacing w:line="360" w:lineRule="auto"/>
        <w:jc w:val="both"/>
        <w:rPr>
          <w:rFonts w:ascii="Book Antiqua" w:hAnsi="Book Antiqua"/>
        </w:rPr>
      </w:pPr>
      <w:r>
        <w:rPr>
          <w:rFonts w:ascii="Book Antiqua" w:hAnsi="Book Antiqua"/>
        </w:rPr>
        <w:t xml:space="preserve">60 </w:t>
      </w:r>
      <w:r>
        <w:rPr>
          <w:rFonts w:ascii="Book Antiqua" w:hAnsi="Book Antiqua"/>
          <w:b/>
          <w:bCs/>
        </w:rPr>
        <w:t>Viswanathan S</w:t>
      </w:r>
      <w:r>
        <w:rPr>
          <w:rFonts w:ascii="Book Antiqua" w:hAnsi="Book Antiqua"/>
        </w:rPr>
        <w:t xml:space="preserve">, Shi Y, Galipeau J, Krampera M, Leblanc K, Martin I, Nolta J, Phinney DG, Sensebe L. Mesenchymal stem versus stromal cells: International Society for Cell &amp; Gene Therapy (ISCT®) Mesenchymal Stromal Cell committee position statement on nomenclature. </w:t>
      </w:r>
      <w:r>
        <w:rPr>
          <w:rFonts w:ascii="Book Antiqua" w:hAnsi="Book Antiqua"/>
          <w:i/>
          <w:iCs/>
        </w:rPr>
        <w:t>Cytotherapy</w:t>
      </w:r>
      <w:r>
        <w:rPr>
          <w:rFonts w:ascii="Book Antiqua" w:hAnsi="Book Antiqua"/>
        </w:rPr>
        <w:t xml:space="preserve"> 2019; </w:t>
      </w:r>
      <w:r>
        <w:rPr>
          <w:rFonts w:ascii="Book Antiqua" w:hAnsi="Book Antiqua"/>
          <w:b/>
          <w:bCs/>
        </w:rPr>
        <w:t>21</w:t>
      </w:r>
      <w:r>
        <w:rPr>
          <w:rFonts w:ascii="Book Antiqua" w:hAnsi="Book Antiqua"/>
        </w:rPr>
        <w:t>: 1019-1024 [PMID: 31526643 DOI: 10.1016/j.jcyt.2019.08.002]</w:t>
      </w:r>
    </w:p>
    <w:p>
      <w:pPr>
        <w:spacing w:line="360" w:lineRule="auto"/>
        <w:jc w:val="both"/>
        <w:rPr>
          <w:rFonts w:ascii="Book Antiqua" w:hAnsi="Book Antiqua"/>
        </w:rPr>
      </w:pPr>
      <w:r>
        <w:rPr>
          <w:rFonts w:ascii="Book Antiqua" w:hAnsi="Book Antiqua"/>
        </w:rPr>
        <w:t xml:space="preserve">61 </w:t>
      </w:r>
      <w:r>
        <w:rPr>
          <w:rFonts w:ascii="Book Antiqua" w:hAnsi="Book Antiqua"/>
          <w:b/>
          <w:bCs/>
        </w:rPr>
        <w:t>Jeyaraman M</w:t>
      </w:r>
      <w:r>
        <w:rPr>
          <w:rFonts w:ascii="Book Antiqua" w:hAnsi="Book Antiqua"/>
        </w:rPr>
        <w:t xml:space="preserve">, John A, Koshy S, Ranjan R, Anudeep TC, Jain R, Swati K, Jha NK, Sharma A, Kesari KK, Prakash A, Nand P, Jha SK, Reddy PH. Fostering mesenchymal stem cell therapy to halt cytokine storm in COVID-19. </w:t>
      </w:r>
      <w:r>
        <w:rPr>
          <w:rFonts w:ascii="Book Antiqua" w:hAnsi="Book Antiqua"/>
          <w:i/>
          <w:iCs/>
        </w:rPr>
        <w:t>Biochim Biophys Acta Mol Basis Dis</w:t>
      </w:r>
      <w:r>
        <w:rPr>
          <w:rFonts w:ascii="Book Antiqua" w:hAnsi="Book Antiqua"/>
        </w:rPr>
        <w:t xml:space="preserve"> 2021; </w:t>
      </w:r>
      <w:r>
        <w:rPr>
          <w:rFonts w:ascii="Book Antiqua" w:hAnsi="Book Antiqua"/>
          <w:b/>
          <w:bCs/>
        </w:rPr>
        <w:t>1867</w:t>
      </w:r>
      <w:r>
        <w:rPr>
          <w:rFonts w:ascii="Book Antiqua" w:hAnsi="Book Antiqua"/>
        </w:rPr>
        <w:t>: 166014 [PMID: 33232817 DOI: 10.1016/j.bbadis.2020.166014]</w:t>
      </w:r>
    </w:p>
    <w:p>
      <w:pPr>
        <w:spacing w:line="360" w:lineRule="auto"/>
        <w:jc w:val="both"/>
        <w:rPr>
          <w:rFonts w:ascii="Book Antiqua" w:hAnsi="Book Antiqua"/>
        </w:rPr>
      </w:pPr>
      <w:r>
        <w:rPr>
          <w:rFonts w:ascii="Book Antiqua" w:hAnsi="Book Antiqua"/>
        </w:rPr>
        <w:t xml:space="preserve">62 </w:t>
      </w:r>
      <w:r>
        <w:rPr>
          <w:rFonts w:ascii="Book Antiqua" w:hAnsi="Book Antiqua"/>
          <w:b/>
          <w:bCs/>
        </w:rPr>
        <w:t>Ishii E</w:t>
      </w:r>
      <w:r>
        <w:rPr>
          <w:rFonts w:ascii="Book Antiqua" w:hAnsi="Book Antiqua"/>
        </w:rPr>
        <w:t xml:space="preserve">. Hemophagocytic Lymphohistiocytosis in Children: Pathogenesis and Treatment. </w:t>
      </w:r>
      <w:r>
        <w:rPr>
          <w:rFonts w:ascii="Book Antiqua" w:hAnsi="Book Antiqua"/>
          <w:i/>
          <w:iCs/>
        </w:rPr>
        <w:t>Front Pediatr</w:t>
      </w:r>
      <w:r>
        <w:rPr>
          <w:rFonts w:ascii="Book Antiqua" w:hAnsi="Book Antiqua"/>
        </w:rPr>
        <w:t xml:space="preserve"> 2016; </w:t>
      </w:r>
      <w:r>
        <w:rPr>
          <w:rFonts w:ascii="Book Antiqua" w:hAnsi="Book Antiqua"/>
          <w:b/>
          <w:bCs/>
        </w:rPr>
        <w:t>4</w:t>
      </w:r>
      <w:r>
        <w:rPr>
          <w:rFonts w:ascii="Book Antiqua" w:hAnsi="Book Antiqua"/>
        </w:rPr>
        <w:t>: 47 [PMID: 27242976 DOI: 10.3389/fped.2016.00047]</w:t>
      </w:r>
    </w:p>
    <w:p>
      <w:pPr>
        <w:spacing w:line="360" w:lineRule="auto"/>
        <w:jc w:val="both"/>
        <w:rPr>
          <w:rFonts w:ascii="Book Antiqua" w:hAnsi="Book Antiqua"/>
        </w:rPr>
      </w:pPr>
      <w:r>
        <w:rPr>
          <w:rFonts w:ascii="Book Antiqua" w:hAnsi="Book Antiqua"/>
        </w:rPr>
        <w:t xml:space="preserve">63 </w:t>
      </w:r>
      <w:r>
        <w:rPr>
          <w:rFonts w:ascii="Book Antiqua" w:hAnsi="Book Antiqua"/>
          <w:b/>
          <w:bCs/>
        </w:rPr>
        <w:t>Latreille E</w:t>
      </w:r>
      <w:r>
        <w:rPr>
          <w:rFonts w:ascii="Book Antiqua" w:hAnsi="Book Antiqua"/>
        </w:rPr>
        <w:t xml:space="preserve">, Lee WL. Interactions of Influenza and SARS-CoV-2 with the Lung Endothelium: Similarities, Differences, and Implications for Therapy. </w:t>
      </w:r>
      <w:r>
        <w:rPr>
          <w:rFonts w:ascii="Book Antiqua" w:hAnsi="Book Antiqua"/>
          <w:i/>
          <w:iCs/>
        </w:rPr>
        <w:t>Viruses</w:t>
      </w:r>
      <w:r>
        <w:rPr>
          <w:rFonts w:ascii="Book Antiqua" w:hAnsi="Book Antiqua"/>
        </w:rPr>
        <w:t xml:space="preserve"> 2021; </w:t>
      </w:r>
      <w:r>
        <w:rPr>
          <w:rFonts w:ascii="Book Antiqua" w:hAnsi="Book Antiqua"/>
          <w:b/>
          <w:bCs/>
        </w:rPr>
        <w:t>13</w:t>
      </w:r>
      <w:r>
        <w:rPr>
          <w:rFonts w:ascii="Book Antiqua" w:hAnsi="Book Antiqua"/>
        </w:rPr>
        <w:t xml:space="preserve"> [PMID: 33499234 DOI: 10.3390/v13020161]</w:t>
      </w:r>
    </w:p>
    <w:p>
      <w:pPr>
        <w:spacing w:line="360" w:lineRule="auto"/>
        <w:jc w:val="both"/>
        <w:rPr>
          <w:rFonts w:ascii="Book Antiqua" w:hAnsi="Book Antiqua"/>
        </w:rPr>
      </w:pPr>
      <w:r>
        <w:rPr>
          <w:rFonts w:ascii="Book Antiqua" w:hAnsi="Book Antiqua"/>
        </w:rPr>
        <w:t xml:space="preserve">64 </w:t>
      </w:r>
      <w:r>
        <w:rPr>
          <w:rFonts w:ascii="Book Antiqua" w:hAnsi="Book Antiqua"/>
          <w:b/>
          <w:bCs/>
        </w:rPr>
        <w:t>Chan MC</w:t>
      </w:r>
      <w:r>
        <w:rPr>
          <w:rFonts w:ascii="Book Antiqua" w:hAnsi="Book Antiqua"/>
        </w:rPr>
        <w:t xml:space="preserve">, Kuok DI, Leung CY, Hui KP, Valkenburg SA, Lau EH, Nicholls JM, Fang X, Guan Y, Lee JW, Chan RW, Webster RG, Matthay MA, Peiris JS. Human mesenchymal stromal cells reduce influenza A H5N1-associated acute lung injury in vitro and in vivo. </w:t>
      </w:r>
      <w:r>
        <w:rPr>
          <w:rFonts w:ascii="Book Antiqua" w:hAnsi="Book Antiqua"/>
          <w:i/>
          <w:iCs/>
        </w:rPr>
        <w:t>Proc Natl Acad Sci U S A</w:t>
      </w:r>
      <w:r>
        <w:rPr>
          <w:rFonts w:ascii="Book Antiqua" w:hAnsi="Book Antiqua"/>
        </w:rPr>
        <w:t xml:space="preserve"> 2016; </w:t>
      </w:r>
      <w:r>
        <w:rPr>
          <w:rFonts w:ascii="Book Antiqua" w:hAnsi="Book Antiqua"/>
          <w:b/>
          <w:bCs/>
        </w:rPr>
        <w:t>113</w:t>
      </w:r>
      <w:r>
        <w:rPr>
          <w:rFonts w:ascii="Book Antiqua" w:hAnsi="Book Antiqua"/>
        </w:rPr>
        <w:t>: 3621-3626 [PMID: 26976597 DOI: 10.1073/pnas.1601911113]</w:t>
      </w:r>
    </w:p>
    <w:p>
      <w:pPr>
        <w:spacing w:line="360" w:lineRule="auto"/>
        <w:jc w:val="both"/>
        <w:rPr>
          <w:rFonts w:ascii="Book Antiqua" w:hAnsi="Book Antiqua"/>
        </w:rPr>
      </w:pPr>
      <w:r>
        <w:rPr>
          <w:rFonts w:ascii="Book Antiqua" w:hAnsi="Book Antiqua"/>
        </w:rPr>
        <w:t xml:space="preserve">65 </w:t>
      </w:r>
      <w:r>
        <w:rPr>
          <w:rFonts w:ascii="Book Antiqua" w:hAnsi="Book Antiqua"/>
          <w:b/>
          <w:bCs/>
        </w:rPr>
        <w:t>Mahendiratta S</w:t>
      </w:r>
      <w:r>
        <w:rPr>
          <w:rFonts w:ascii="Book Antiqua" w:hAnsi="Book Antiqua"/>
        </w:rPr>
        <w:t xml:space="preserve">, Bansal S, Sarma P, Kumar H, Choudhary G, Kumar S, Prakash A, Sehgal R, Medhi B. Stem cell therapy in COVID-19: Pooled evidence from SARS-CoV-2, SARS-CoV, MERS-CoV and ARDS: A systematic review. </w:t>
      </w:r>
      <w:r>
        <w:rPr>
          <w:rFonts w:ascii="Book Antiqua" w:hAnsi="Book Antiqua"/>
          <w:i/>
          <w:iCs/>
        </w:rPr>
        <w:t>Biomed Pharmacother</w:t>
      </w:r>
      <w:r>
        <w:rPr>
          <w:rFonts w:ascii="Book Antiqua" w:hAnsi="Book Antiqua"/>
        </w:rPr>
        <w:t xml:space="preserve"> 2021; </w:t>
      </w:r>
      <w:r>
        <w:rPr>
          <w:rFonts w:ascii="Book Antiqua" w:hAnsi="Book Antiqua"/>
          <w:b/>
          <w:bCs/>
        </w:rPr>
        <w:t>137</w:t>
      </w:r>
      <w:r>
        <w:rPr>
          <w:rFonts w:ascii="Book Antiqua" w:hAnsi="Book Antiqua"/>
        </w:rPr>
        <w:t>: 111300 [PMID: 33529945 DOI: 10.1016/j.biopha.2021.111300]</w:t>
      </w:r>
    </w:p>
    <w:p>
      <w:pPr>
        <w:spacing w:line="360" w:lineRule="auto"/>
        <w:jc w:val="both"/>
        <w:rPr>
          <w:rFonts w:ascii="Book Antiqua" w:hAnsi="Book Antiqua"/>
        </w:rPr>
      </w:pPr>
      <w:r>
        <w:rPr>
          <w:rFonts w:ascii="Book Antiqua" w:hAnsi="Book Antiqua"/>
        </w:rPr>
        <w:t xml:space="preserve">66 </w:t>
      </w:r>
      <w:r>
        <w:rPr>
          <w:rFonts w:ascii="Book Antiqua" w:hAnsi="Book Antiqua"/>
          <w:b/>
          <w:bCs/>
        </w:rPr>
        <w:t>Ryan JM</w:t>
      </w:r>
      <w:r>
        <w:rPr>
          <w:rFonts w:ascii="Book Antiqua" w:hAnsi="Book Antiqua"/>
        </w:rPr>
        <w:t xml:space="preserve">, Barry FP, Murphy JM, Mahon BP. Mesenchymal stem cells avoid allogeneic rejection. </w:t>
      </w:r>
      <w:r>
        <w:rPr>
          <w:rFonts w:ascii="Book Antiqua" w:hAnsi="Book Antiqua"/>
          <w:i/>
          <w:iCs/>
        </w:rPr>
        <w:t>J Inflamm (Lond)</w:t>
      </w:r>
      <w:r>
        <w:rPr>
          <w:rFonts w:ascii="Book Antiqua" w:hAnsi="Book Antiqua"/>
        </w:rPr>
        <w:t xml:space="preserve"> 2005; </w:t>
      </w:r>
      <w:r>
        <w:rPr>
          <w:rFonts w:ascii="Book Antiqua" w:hAnsi="Book Antiqua"/>
          <w:b/>
          <w:bCs/>
        </w:rPr>
        <w:t>2</w:t>
      </w:r>
      <w:r>
        <w:rPr>
          <w:rFonts w:ascii="Book Antiqua" w:hAnsi="Book Antiqua"/>
        </w:rPr>
        <w:t>: 8 [PMID: 16045800 DOI: 10.1186/1476-9255-2-8]</w:t>
      </w:r>
    </w:p>
    <w:p>
      <w:pPr>
        <w:spacing w:line="360" w:lineRule="auto"/>
        <w:jc w:val="both"/>
        <w:rPr>
          <w:rFonts w:ascii="Book Antiqua" w:hAnsi="Book Antiqua"/>
        </w:rPr>
      </w:pPr>
      <w:r>
        <w:rPr>
          <w:rFonts w:ascii="Book Antiqua" w:hAnsi="Book Antiqua"/>
        </w:rPr>
        <w:t xml:space="preserve">67 </w:t>
      </w:r>
      <w:r>
        <w:rPr>
          <w:rFonts w:ascii="Book Antiqua" w:hAnsi="Book Antiqua"/>
          <w:b/>
          <w:bCs/>
        </w:rPr>
        <w:t>Weiss ARR</w:t>
      </w:r>
      <w:r>
        <w:rPr>
          <w:rFonts w:ascii="Book Antiqua" w:hAnsi="Book Antiqua"/>
        </w:rPr>
        <w:t xml:space="preserve">, Dahlke MH. Immunomodulation by Mesenchymal Stem Cells (MSCs): Mechanisms of Action of Living, Apoptotic, and Dead MSCs.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1191 [PMID: 31214172 DOI: 10.3389/fimmu.2019.01191]</w:t>
      </w:r>
    </w:p>
    <w:p>
      <w:pPr>
        <w:spacing w:line="360" w:lineRule="auto"/>
        <w:jc w:val="both"/>
        <w:rPr>
          <w:rFonts w:ascii="Book Antiqua" w:hAnsi="Book Antiqua"/>
        </w:rPr>
      </w:pPr>
      <w:r>
        <w:rPr>
          <w:rFonts w:ascii="Book Antiqua" w:hAnsi="Book Antiqua"/>
        </w:rPr>
        <w:t xml:space="preserve">68 </w:t>
      </w:r>
      <w:r>
        <w:rPr>
          <w:rFonts w:ascii="Book Antiqua" w:hAnsi="Book Antiqua"/>
          <w:b/>
          <w:bCs/>
        </w:rPr>
        <w:t>Omarjee L</w:t>
      </w:r>
      <w:r>
        <w:rPr>
          <w:rFonts w:ascii="Book Antiqua" w:hAnsi="Book Antiqua"/>
        </w:rPr>
        <w:t xml:space="preserve">, Perrot F, Meilhac O, Mahe G, Bousquet G, Janin A. Immunometabolism at the cornerstone of inflammaging, immunosenescence, and autoimmunity in COVID-19.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26263-26278 [PMID: 33361522 DOI: 10.18632/aging.202422]</w:t>
      </w:r>
    </w:p>
    <w:p>
      <w:pPr>
        <w:spacing w:line="360" w:lineRule="auto"/>
        <w:jc w:val="both"/>
        <w:rPr>
          <w:rFonts w:ascii="Book Antiqua" w:hAnsi="Book Antiqua"/>
        </w:rPr>
      </w:pPr>
      <w:r>
        <w:rPr>
          <w:rFonts w:ascii="Book Antiqua" w:hAnsi="Book Antiqua"/>
        </w:rPr>
        <w:t xml:space="preserve">69 </w:t>
      </w:r>
      <w:r>
        <w:rPr>
          <w:rFonts w:ascii="Book Antiqua" w:hAnsi="Book Antiqua"/>
          <w:b/>
          <w:bCs/>
        </w:rPr>
        <w:t>Lee BC</w:t>
      </w:r>
      <w:r>
        <w:rPr>
          <w:rFonts w:ascii="Book Antiqua" w:hAnsi="Book Antiqua"/>
        </w:rPr>
        <w:t xml:space="preserve">, Yu KR. Impact of mesenchymal stem cell senescence on inflammaging. </w:t>
      </w:r>
      <w:r>
        <w:rPr>
          <w:rFonts w:ascii="Book Antiqua" w:hAnsi="Book Antiqua"/>
          <w:i/>
          <w:iCs/>
        </w:rPr>
        <w:t>BMB Rep</w:t>
      </w:r>
      <w:r>
        <w:rPr>
          <w:rFonts w:ascii="Book Antiqua" w:hAnsi="Book Antiqua"/>
        </w:rPr>
        <w:t xml:space="preserve"> 2020; </w:t>
      </w:r>
      <w:r>
        <w:rPr>
          <w:rFonts w:ascii="Book Antiqua" w:hAnsi="Book Antiqua"/>
          <w:b/>
          <w:bCs/>
        </w:rPr>
        <w:t>53</w:t>
      </w:r>
      <w:r>
        <w:rPr>
          <w:rFonts w:ascii="Book Antiqua" w:hAnsi="Book Antiqua"/>
        </w:rPr>
        <w:t>: 65-73 [PMID: 31964472 DOI: 10.5483/BMBRep.2020.53.2.291]</w:t>
      </w:r>
    </w:p>
    <w:p>
      <w:pPr>
        <w:spacing w:line="360" w:lineRule="auto"/>
        <w:jc w:val="both"/>
        <w:rPr>
          <w:rFonts w:ascii="Book Antiqua" w:hAnsi="Book Antiqua"/>
        </w:rPr>
      </w:pPr>
      <w:r>
        <w:rPr>
          <w:rFonts w:ascii="Book Antiqua" w:hAnsi="Book Antiqua"/>
        </w:rPr>
        <w:t xml:space="preserve">70 </w:t>
      </w:r>
      <w:r>
        <w:rPr>
          <w:rFonts w:ascii="Book Antiqua" w:hAnsi="Book Antiqua"/>
          <w:b/>
          <w:bCs/>
        </w:rPr>
        <w:t>Abraham A</w:t>
      </w:r>
      <w:r>
        <w:rPr>
          <w:rFonts w:ascii="Book Antiqua" w:hAnsi="Book Antiqua"/>
        </w:rPr>
        <w:t xml:space="preserve">, Krasnodembskaya A. Mesenchymal stem cell-derived extracellular vesicles for the treatment of acute respiratory distress syndrome. </w:t>
      </w:r>
      <w:r>
        <w:rPr>
          <w:rFonts w:ascii="Book Antiqua" w:hAnsi="Book Antiqua"/>
          <w:i/>
          <w:iCs/>
        </w:rPr>
        <w:t>Stem Cells Transl Med</w:t>
      </w:r>
      <w:r>
        <w:rPr>
          <w:rFonts w:ascii="Book Antiqua" w:hAnsi="Book Antiqua"/>
        </w:rPr>
        <w:t xml:space="preserve"> 2020; </w:t>
      </w:r>
      <w:r>
        <w:rPr>
          <w:rFonts w:ascii="Book Antiqua" w:hAnsi="Book Antiqua"/>
          <w:b/>
          <w:bCs/>
        </w:rPr>
        <w:t>9</w:t>
      </w:r>
      <w:r>
        <w:rPr>
          <w:rFonts w:ascii="Book Antiqua" w:hAnsi="Book Antiqua"/>
        </w:rPr>
        <w:t>: 28-38 [PMID: 31647191 DOI: 10.1002/sctm.19-0205]</w:t>
      </w:r>
    </w:p>
    <w:p>
      <w:pPr>
        <w:spacing w:line="360" w:lineRule="auto"/>
        <w:jc w:val="both"/>
        <w:rPr>
          <w:rFonts w:ascii="Book Antiqua" w:hAnsi="Book Antiqua"/>
        </w:rPr>
      </w:pPr>
      <w:r>
        <w:rPr>
          <w:rFonts w:ascii="Book Antiqua" w:hAnsi="Book Antiqua"/>
        </w:rPr>
        <w:t xml:space="preserve">71 </w:t>
      </w:r>
      <w:r>
        <w:rPr>
          <w:rFonts w:ascii="Book Antiqua" w:hAnsi="Book Antiqua"/>
          <w:b/>
          <w:bCs/>
        </w:rPr>
        <w:t>Bartholomew A</w:t>
      </w:r>
      <w:r>
        <w:rPr>
          <w:rFonts w:ascii="Book Antiqua" w:hAnsi="Book Antiqua"/>
        </w:rPr>
        <w:t xml:space="preserve">, Sturgeon C, Siatskas M, Ferrer K, McIntosh K, Patil S, Hardy W, Devine S, Ucker D, Deans R, Moseley A, Hoffman R. Mesenchymal stem cells suppress lymphocyte proliferation in vitro and prolong skin graft survival in vivo. </w:t>
      </w:r>
      <w:r>
        <w:rPr>
          <w:rFonts w:ascii="Book Antiqua" w:hAnsi="Book Antiqua"/>
          <w:i/>
          <w:iCs/>
        </w:rPr>
        <w:t>Exp Hematol</w:t>
      </w:r>
      <w:r>
        <w:rPr>
          <w:rFonts w:ascii="Book Antiqua" w:hAnsi="Book Antiqua"/>
        </w:rPr>
        <w:t xml:space="preserve"> 2002; </w:t>
      </w:r>
      <w:r>
        <w:rPr>
          <w:rFonts w:ascii="Book Antiqua" w:hAnsi="Book Antiqua"/>
          <w:b/>
          <w:bCs/>
        </w:rPr>
        <w:t>30</w:t>
      </w:r>
      <w:r>
        <w:rPr>
          <w:rFonts w:ascii="Book Antiqua" w:hAnsi="Book Antiqua"/>
        </w:rPr>
        <w:t>: 42-48 [PMID: 11823036 DOI: 10.1016/s0301-472x(01)00769-x]</w:t>
      </w:r>
    </w:p>
    <w:p>
      <w:pPr>
        <w:spacing w:line="360" w:lineRule="auto"/>
        <w:jc w:val="both"/>
        <w:rPr>
          <w:rFonts w:ascii="Book Antiqua" w:hAnsi="Book Antiqua"/>
        </w:rPr>
      </w:pPr>
      <w:r>
        <w:rPr>
          <w:rFonts w:ascii="Book Antiqua" w:hAnsi="Book Antiqua"/>
        </w:rPr>
        <w:t xml:space="preserve">72 </w:t>
      </w:r>
      <w:r>
        <w:rPr>
          <w:rFonts w:ascii="Book Antiqua" w:hAnsi="Book Antiqua"/>
          <w:b/>
          <w:bCs/>
        </w:rPr>
        <w:t>Plumas J</w:t>
      </w:r>
      <w:r>
        <w:rPr>
          <w:rFonts w:ascii="Book Antiqua" w:hAnsi="Book Antiqua"/>
        </w:rPr>
        <w:t xml:space="preserve">, Chaperot L, Richard MJ, Molens JP, Bensa JC, Favrot MC. Mesenchymal stem cells induce apoptosis of activated T cells. </w:t>
      </w:r>
      <w:r>
        <w:rPr>
          <w:rFonts w:ascii="Book Antiqua" w:hAnsi="Book Antiqua"/>
          <w:i/>
          <w:iCs/>
        </w:rPr>
        <w:t>Leukemia</w:t>
      </w:r>
      <w:r>
        <w:rPr>
          <w:rFonts w:ascii="Book Antiqua" w:hAnsi="Book Antiqua"/>
        </w:rPr>
        <w:t xml:space="preserve"> 2005; </w:t>
      </w:r>
      <w:r>
        <w:rPr>
          <w:rFonts w:ascii="Book Antiqua" w:hAnsi="Book Antiqua"/>
          <w:b/>
          <w:bCs/>
        </w:rPr>
        <w:t>19</w:t>
      </w:r>
      <w:r>
        <w:rPr>
          <w:rFonts w:ascii="Book Antiqua" w:hAnsi="Book Antiqua"/>
        </w:rPr>
        <w:t>: 1597-1604 [PMID: 16049516 DOI: 10.1038/sj.leu.2403871]</w:t>
      </w:r>
    </w:p>
    <w:p>
      <w:pPr>
        <w:spacing w:line="360" w:lineRule="auto"/>
        <w:jc w:val="both"/>
        <w:rPr>
          <w:rFonts w:ascii="Book Antiqua" w:hAnsi="Book Antiqua"/>
        </w:rPr>
      </w:pPr>
      <w:r>
        <w:rPr>
          <w:rFonts w:ascii="Book Antiqua" w:hAnsi="Book Antiqua"/>
        </w:rPr>
        <w:t xml:space="preserve">73 </w:t>
      </w:r>
      <w:r>
        <w:rPr>
          <w:rFonts w:ascii="Book Antiqua" w:hAnsi="Book Antiqua"/>
          <w:b/>
          <w:bCs/>
        </w:rPr>
        <w:t>Wang Y</w:t>
      </w:r>
      <w:r>
        <w:rPr>
          <w:rFonts w:ascii="Book Antiqua" w:hAnsi="Book Antiqua"/>
        </w:rPr>
        <w:t xml:space="preserve">, Chen X, Cao W, Shi Y. Plasticity of mesenchymal stem cells in immunomodulation: pathological and therapeutic implications. </w:t>
      </w:r>
      <w:r>
        <w:rPr>
          <w:rFonts w:ascii="Book Antiqua" w:hAnsi="Book Antiqua"/>
          <w:i/>
          <w:iCs/>
        </w:rPr>
        <w:t>Nat Immunol</w:t>
      </w:r>
      <w:r>
        <w:rPr>
          <w:rFonts w:ascii="Book Antiqua" w:hAnsi="Book Antiqua"/>
        </w:rPr>
        <w:t xml:space="preserve"> 2014; </w:t>
      </w:r>
      <w:r>
        <w:rPr>
          <w:rFonts w:ascii="Book Antiqua" w:hAnsi="Book Antiqua"/>
          <w:b/>
          <w:bCs/>
        </w:rPr>
        <w:t>15</w:t>
      </w:r>
      <w:r>
        <w:rPr>
          <w:rFonts w:ascii="Book Antiqua" w:hAnsi="Book Antiqua"/>
        </w:rPr>
        <w:t>: 1009-1016 [PMID: 25329189 DOI: 10.1038/ni.3002]</w:t>
      </w:r>
    </w:p>
    <w:p>
      <w:pPr>
        <w:spacing w:line="360" w:lineRule="auto"/>
        <w:jc w:val="both"/>
        <w:rPr>
          <w:rFonts w:ascii="Book Antiqua" w:hAnsi="Book Antiqua"/>
        </w:rPr>
      </w:pPr>
      <w:r>
        <w:rPr>
          <w:rFonts w:ascii="Book Antiqua" w:hAnsi="Book Antiqua"/>
        </w:rPr>
        <w:t xml:space="preserve">74 </w:t>
      </w:r>
      <w:r>
        <w:rPr>
          <w:rFonts w:ascii="Book Antiqua" w:hAnsi="Book Antiqua"/>
          <w:b/>
          <w:bCs/>
        </w:rPr>
        <w:t>Morrison TJ</w:t>
      </w:r>
      <w:r>
        <w:rPr>
          <w:rFonts w:ascii="Book Antiqua" w:hAnsi="Book Antiqua"/>
        </w:rPr>
        <w:t xml:space="preserve">, Jackson MV, Cunningham EK, Kissenpfennig A, McAuley DF, O'Kane CM, Krasnodembskaya AD. Mesenchymal Stromal Cells Modulate Macrophages in Clinically Relevant Lung Injury Models by Extracellular Vesicle Mitochondrial Transfer. </w:t>
      </w:r>
      <w:r>
        <w:rPr>
          <w:rFonts w:ascii="Book Antiqua" w:hAnsi="Book Antiqua"/>
          <w:i/>
          <w:iCs/>
        </w:rPr>
        <w:t>Am J Respir Crit Care Med</w:t>
      </w:r>
      <w:r>
        <w:rPr>
          <w:rFonts w:ascii="Book Antiqua" w:hAnsi="Book Antiqua"/>
        </w:rPr>
        <w:t xml:space="preserve"> 2017; </w:t>
      </w:r>
      <w:r>
        <w:rPr>
          <w:rFonts w:ascii="Book Antiqua" w:hAnsi="Book Antiqua"/>
          <w:b/>
          <w:bCs/>
        </w:rPr>
        <w:t>196</w:t>
      </w:r>
      <w:r>
        <w:rPr>
          <w:rFonts w:ascii="Book Antiqua" w:hAnsi="Book Antiqua"/>
        </w:rPr>
        <w:t>: 1275-1286 [PMID: 28598224 DOI: 10.1164/rccm.201701-0170OC]</w:t>
      </w:r>
    </w:p>
    <w:p>
      <w:pPr>
        <w:spacing w:line="360" w:lineRule="auto"/>
        <w:jc w:val="both"/>
        <w:rPr>
          <w:rFonts w:ascii="Book Antiqua" w:hAnsi="Book Antiqua"/>
        </w:rPr>
      </w:pPr>
      <w:r>
        <w:rPr>
          <w:rFonts w:ascii="Book Antiqua" w:hAnsi="Book Antiqua"/>
        </w:rPr>
        <w:t xml:space="preserve">75 </w:t>
      </w:r>
      <w:r>
        <w:rPr>
          <w:rFonts w:ascii="Book Antiqua" w:hAnsi="Book Antiqua"/>
          <w:b/>
          <w:bCs/>
        </w:rPr>
        <w:t>Ren G</w:t>
      </w:r>
      <w:r>
        <w:rPr>
          <w:rFonts w:ascii="Book Antiqua" w:hAnsi="Book Antiqua"/>
        </w:rPr>
        <w:t xml:space="preserve">, Zhang L, Zhao X, Xu G, Zhang Y, Roberts AI, Zhao RC, Shi Y. Mesenchymal stem cell-mediated immunosuppression occurs via concerted action of chemokines and nitric oxide. </w:t>
      </w:r>
      <w:r>
        <w:rPr>
          <w:rFonts w:ascii="Book Antiqua" w:hAnsi="Book Antiqua"/>
          <w:i/>
          <w:iCs/>
        </w:rPr>
        <w:t>Cell Stem Cell</w:t>
      </w:r>
      <w:r>
        <w:rPr>
          <w:rFonts w:ascii="Book Antiqua" w:hAnsi="Book Antiqua"/>
        </w:rPr>
        <w:t xml:space="preserve"> 2008; </w:t>
      </w:r>
      <w:r>
        <w:rPr>
          <w:rFonts w:ascii="Book Antiqua" w:hAnsi="Book Antiqua"/>
          <w:b/>
          <w:bCs/>
        </w:rPr>
        <w:t>2</w:t>
      </w:r>
      <w:r>
        <w:rPr>
          <w:rFonts w:ascii="Book Antiqua" w:hAnsi="Book Antiqua"/>
        </w:rPr>
        <w:t>: 141-150 [PMID: 18371435 DOI: 10.1016/j.stem.2007.11.014]</w:t>
      </w:r>
    </w:p>
    <w:p>
      <w:pPr>
        <w:spacing w:line="360" w:lineRule="auto"/>
        <w:jc w:val="both"/>
        <w:rPr>
          <w:rFonts w:ascii="Book Antiqua" w:hAnsi="Book Antiqua"/>
        </w:rPr>
      </w:pPr>
      <w:r>
        <w:rPr>
          <w:rFonts w:ascii="Book Antiqua" w:hAnsi="Book Antiqua"/>
        </w:rPr>
        <w:t xml:space="preserve">76 </w:t>
      </w:r>
      <w:r>
        <w:rPr>
          <w:rFonts w:ascii="Book Antiqua" w:hAnsi="Book Antiqua"/>
          <w:b/>
          <w:bCs/>
        </w:rPr>
        <w:t>Deffune E</w:t>
      </w:r>
      <w:r>
        <w:rPr>
          <w:rFonts w:ascii="Book Antiqua" w:hAnsi="Book Antiqua"/>
        </w:rPr>
        <w:t xml:space="preserve">, Prudenciatti A, Moroz A. Mesenchymal stem cell (MSc) secretome: A possible therapeutic strategy for intensive-care COVID-19 patients. </w:t>
      </w:r>
      <w:r>
        <w:rPr>
          <w:rFonts w:ascii="Book Antiqua" w:hAnsi="Book Antiqua"/>
          <w:i/>
          <w:iCs/>
        </w:rPr>
        <w:t>Med Hypotheses</w:t>
      </w:r>
      <w:r>
        <w:rPr>
          <w:rFonts w:ascii="Book Antiqua" w:hAnsi="Book Antiqua"/>
        </w:rPr>
        <w:t xml:space="preserve"> 2020; </w:t>
      </w:r>
      <w:r>
        <w:rPr>
          <w:rFonts w:ascii="Book Antiqua" w:hAnsi="Book Antiqua"/>
          <w:b/>
          <w:bCs/>
        </w:rPr>
        <w:t>142</w:t>
      </w:r>
      <w:r>
        <w:rPr>
          <w:rFonts w:ascii="Book Antiqua" w:hAnsi="Book Antiqua"/>
        </w:rPr>
        <w:t>: 109769 [PMID: 32371362 DOI: 10.1016/j.mehy.2020.109769]</w:t>
      </w:r>
    </w:p>
    <w:p>
      <w:pPr>
        <w:spacing w:line="360" w:lineRule="auto"/>
        <w:jc w:val="both"/>
        <w:rPr>
          <w:rFonts w:ascii="Book Antiqua" w:hAnsi="Book Antiqua"/>
        </w:rPr>
      </w:pPr>
      <w:r>
        <w:rPr>
          <w:rFonts w:ascii="Book Antiqua" w:hAnsi="Book Antiqua"/>
        </w:rPr>
        <w:t xml:space="preserve">77 </w:t>
      </w:r>
      <w:r>
        <w:rPr>
          <w:rFonts w:ascii="Book Antiqua" w:hAnsi="Book Antiqua"/>
          <w:b/>
          <w:bCs/>
        </w:rPr>
        <w:t>Zhang Y</w:t>
      </w:r>
      <w:r>
        <w:rPr>
          <w:rFonts w:ascii="Book Antiqua" w:hAnsi="Book Antiqua"/>
        </w:rPr>
        <w:t xml:space="preserve">, Ding J, Ren S, Wang W, Yang Y, Li S, Meng M, Wu T, Liu D, Tian S, Tian H, Chen S, Zhou C. Intravenous infusion of human umbilical cord Wharton's jelly-derived mesenchymal stem cells as a potential treatment for patients with COVID-19 pneumonia.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207 [PMID: 32460839 DOI: 10.1186/s13287-020-01725-4]</w:t>
      </w:r>
    </w:p>
    <w:p>
      <w:pPr>
        <w:spacing w:line="360" w:lineRule="auto"/>
        <w:jc w:val="both"/>
        <w:rPr>
          <w:rFonts w:ascii="Book Antiqua" w:hAnsi="Book Antiqua"/>
        </w:rPr>
      </w:pPr>
      <w:r>
        <w:rPr>
          <w:rFonts w:ascii="Book Antiqua" w:hAnsi="Book Antiqua"/>
        </w:rPr>
        <w:t xml:space="preserve">78 </w:t>
      </w:r>
      <w:r>
        <w:rPr>
          <w:rFonts w:ascii="Book Antiqua" w:hAnsi="Book Antiqua"/>
          <w:b/>
          <w:bCs/>
        </w:rPr>
        <w:t>Liang B</w:t>
      </w:r>
      <w:r>
        <w:rPr>
          <w:rFonts w:ascii="Book Antiqua" w:hAnsi="Book Antiqua"/>
        </w:rPr>
        <w:t xml:space="preserve">, Chen J, Li T, Wu H, Yang W, Li Y, Li J, Yu C, Nie F, Ma Z, Yang M, Xiao M, Nie P, Gao Y, Qian C, Hu M. Clinical remission of a critically ill COVID-19 patient treated by human umbilical cord mesenchymal stem cells: A case report.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e21429 [PMID: 32756149 DOI: 10.1097/MD.0000000000021429]</w:t>
      </w:r>
    </w:p>
    <w:p>
      <w:pPr>
        <w:spacing w:line="360" w:lineRule="auto"/>
        <w:jc w:val="both"/>
        <w:rPr>
          <w:rFonts w:ascii="Book Antiqua" w:hAnsi="Book Antiqua"/>
        </w:rPr>
      </w:pPr>
      <w:r>
        <w:rPr>
          <w:rFonts w:ascii="Book Antiqua" w:hAnsi="Book Antiqua"/>
        </w:rPr>
        <w:t xml:space="preserve">79 </w:t>
      </w:r>
      <w:r>
        <w:rPr>
          <w:rFonts w:ascii="Book Antiqua" w:hAnsi="Book Antiqua"/>
          <w:b/>
          <w:bCs/>
        </w:rPr>
        <w:t>Sensebé L</w:t>
      </w:r>
      <w:r>
        <w:rPr>
          <w:rFonts w:ascii="Book Antiqua" w:hAnsi="Book Antiqua"/>
        </w:rPr>
        <w:t xml:space="preserve">, Bourin P, Tarte K. Good manufacturing practices production of mesenchymal stem/stromal cells. </w:t>
      </w:r>
      <w:r>
        <w:rPr>
          <w:rFonts w:ascii="Book Antiqua" w:hAnsi="Book Antiqua"/>
          <w:i/>
          <w:iCs/>
        </w:rPr>
        <w:t>Hum Gene Ther</w:t>
      </w:r>
      <w:r>
        <w:rPr>
          <w:rFonts w:ascii="Book Antiqua" w:hAnsi="Book Antiqua"/>
        </w:rPr>
        <w:t xml:space="preserve"> 2011; </w:t>
      </w:r>
      <w:r>
        <w:rPr>
          <w:rFonts w:ascii="Book Antiqua" w:hAnsi="Book Antiqua"/>
          <w:b/>
          <w:bCs/>
        </w:rPr>
        <w:t>22</w:t>
      </w:r>
      <w:r>
        <w:rPr>
          <w:rFonts w:ascii="Book Antiqua" w:hAnsi="Book Antiqua"/>
        </w:rPr>
        <w:t>: 19-26 [PMID: 21028982 DOI: 10.1089/hum.2010.197]</w:t>
      </w:r>
    </w:p>
    <w:p>
      <w:pPr>
        <w:spacing w:line="360" w:lineRule="auto"/>
        <w:jc w:val="both"/>
        <w:rPr>
          <w:rFonts w:ascii="Book Antiqua" w:hAnsi="Book Antiqua"/>
        </w:rPr>
      </w:pPr>
      <w:r>
        <w:rPr>
          <w:rFonts w:ascii="Book Antiqua" w:hAnsi="Book Antiqua"/>
        </w:rPr>
        <w:t xml:space="preserve">80 </w:t>
      </w:r>
      <w:r>
        <w:rPr>
          <w:rFonts w:ascii="Book Antiqua" w:hAnsi="Book Antiqua"/>
          <w:b/>
          <w:bCs/>
        </w:rPr>
        <w:t>Armitage J</w:t>
      </w:r>
      <w:r>
        <w:rPr>
          <w:rFonts w:ascii="Book Antiqua" w:hAnsi="Book Antiqua"/>
        </w:rPr>
        <w:t xml:space="preserve">, Tan DBA, Troedson R, Young P, Lam KV, Shaw K, Sturm M, Weiss DJ, Moodley YP. Mesenchymal stromal cell infusion modulates systemic immunological responses in stable COPD patients: a phase I pilot study. </w:t>
      </w:r>
      <w:r>
        <w:rPr>
          <w:rFonts w:ascii="Book Antiqua" w:hAnsi="Book Antiqua"/>
          <w:i/>
          <w:iCs/>
        </w:rPr>
        <w:t>Eur Respir J</w:t>
      </w:r>
      <w:r>
        <w:rPr>
          <w:rFonts w:ascii="Book Antiqua" w:hAnsi="Book Antiqua"/>
        </w:rPr>
        <w:t xml:space="preserve"> 2018; </w:t>
      </w:r>
      <w:r>
        <w:rPr>
          <w:rFonts w:ascii="Book Antiqua" w:hAnsi="Book Antiqua"/>
          <w:b/>
          <w:bCs/>
        </w:rPr>
        <w:t>51</w:t>
      </w:r>
      <w:r>
        <w:rPr>
          <w:rFonts w:ascii="Book Antiqua" w:hAnsi="Book Antiqua"/>
        </w:rPr>
        <w:t xml:space="preserve"> [PMID: 29348155 DOI: 10.1183/13993003.02369-2017]</w:t>
      </w:r>
    </w:p>
    <w:p>
      <w:pPr>
        <w:spacing w:line="360" w:lineRule="auto"/>
        <w:jc w:val="both"/>
        <w:rPr>
          <w:rFonts w:ascii="Book Antiqua" w:hAnsi="Book Antiqua"/>
        </w:rPr>
      </w:pPr>
      <w:r>
        <w:rPr>
          <w:rFonts w:ascii="Book Antiqua" w:hAnsi="Book Antiqua"/>
        </w:rPr>
        <w:t xml:space="preserve">81 </w:t>
      </w:r>
      <w:r>
        <w:rPr>
          <w:rFonts w:ascii="Book Antiqua" w:hAnsi="Book Antiqua"/>
          <w:b/>
          <w:bCs/>
        </w:rPr>
        <w:t>Desterke C</w:t>
      </w:r>
      <w:r>
        <w:rPr>
          <w:rFonts w:ascii="Book Antiqua" w:hAnsi="Book Antiqua"/>
        </w:rPr>
        <w:t xml:space="preserve">, Griscelli F, Imeri J, Marcoux P, Lemonnier T, Latsis T, Turhan AG, Bennaceur-Griscelli A. Molecular investigation of adequate sources of mesenchymal stem cells for cell therapy of COVID-19-associated organ failure. </w:t>
      </w:r>
      <w:r>
        <w:rPr>
          <w:rFonts w:ascii="Book Antiqua" w:hAnsi="Book Antiqua"/>
          <w:i/>
          <w:iCs/>
        </w:rPr>
        <w:t>Stem Cells Transl Med</w:t>
      </w:r>
      <w:r>
        <w:rPr>
          <w:rFonts w:ascii="Book Antiqua" w:hAnsi="Book Antiqua"/>
        </w:rPr>
        <w:t xml:space="preserve"> 2021; </w:t>
      </w:r>
      <w:r>
        <w:rPr>
          <w:rFonts w:ascii="Book Antiqua" w:hAnsi="Book Antiqua"/>
          <w:b/>
          <w:bCs/>
        </w:rPr>
        <w:t>10</w:t>
      </w:r>
      <w:r>
        <w:rPr>
          <w:rFonts w:ascii="Book Antiqua" w:hAnsi="Book Antiqua"/>
        </w:rPr>
        <w:t>: 568-571 [PMID: 33237619 DOI: 10.1002/sctm.20-0189]</w:t>
      </w:r>
    </w:p>
    <w:p>
      <w:pPr>
        <w:spacing w:line="360" w:lineRule="auto"/>
        <w:jc w:val="both"/>
        <w:rPr>
          <w:rFonts w:ascii="Book Antiqua" w:hAnsi="Book Antiqua"/>
        </w:rPr>
      </w:pPr>
      <w:r>
        <w:rPr>
          <w:rFonts w:ascii="Book Antiqua" w:hAnsi="Book Antiqua"/>
        </w:rPr>
        <w:t xml:space="preserve">82 </w:t>
      </w:r>
      <w:r>
        <w:rPr>
          <w:rFonts w:ascii="Book Antiqua" w:hAnsi="Book Antiqua"/>
          <w:b/>
          <w:bCs/>
        </w:rPr>
        <w:t>Hoogduijn MJ</w:t>
      </w:r>
      <w:r>
        <w:rPr>
          <w:rFonts w:ascii="Book Antiqua" w:hAnsi="Book Antiqua"/>
        </w:rPr>
        <w:t xml:space="preserve">, Roemeling-van Rhijn M, Engela AU, Korevaar SS, Mensah FK, Franquesa M, de Bruin RW, Betjes MG, Weimar W, Baan CC. Mesenchymal stem cells induce an inflammatory response after intravenous infusion. </w:t>
      </w:r>
      <w:r>
        <w:rPr>
          <w:rFonts w:ascii="Book Antiqua" w:hAnsi="Book Antiqua"/>
          <w:i/>
          <w:iCs/>
        </w:rPr>
        <w:t>Stem Cells Dev</w:t>
      </w:r>
      <w:r>
        <w:rPr>
          <w:rFonts w:ascii="Book Antiqua" w:hAnsi="Book Antiqua"/>
        </w:rPr>
        <w:t xml:space="preserve"> 2013; </w:t>
      </w:r>
      <w:r>
        <w:rPr>
          <w:rFonts w:ascii="Book Antiqua" w:hAnsi="Book Antiqua"/>
          <w:b/>
          <w:bCs/>
        </w:rPr>
        <w:t>22</w:t>
      </w:r>
      <w:r>
        <w:rPr>
          <w:rFonts w:ascii="Book Antiqua" w:hAnsi="Book Antiqua"/>
        </w:rPr>
        <w:t>: 2825-2835 [PMID: 23767885 DOI: 10.1089/scd.2013.0193]</w:t>
      </w:r>
    </w:p>
    <w:p>
      <w:pPr>
        <w:spacing w:line="360" w:lineRule="auto"/>
        <w:jc w:val="both"/>
        <w:rPr>
          <w:rFonts w:ascii="Book Antiqua" w:hAnsi="Book Antiqua"/>
        </w:rPr>
      </w:pPr>
      <w:r>
        <w:rPr>
          <w:rFonts w:ascii="Book Antiqua" w:hAnsi="Book Antiqua"/>
        </w:rPr>
        <w:t xml:space="preserve">83 </w:t>
      </w:r>
      <w:r>
        <w:rPr>
          <w:rFonts w:ascii="Book Antiqua" w:hAnsi="Book Antiqua"/>
          <w:b/>
          <w:bCs/>
        </w:rPr>
        <w:t>Thompson M</w:t>
      </w:r>
      <w:r>
        <w:rPr>
          <w:rFonts w:ascii="Book Antiqua" w:hAnsi="Book Antiqua"/>
        </w:rPr>
        <w:t xml:space="preserve">, Mei SHJ, Wolfe D, Champagne J, Fergusson D, Stewart DJ, Sullivan KJ, Doxtator E, Lalu M, English SW, Granton J, Hutton B, Marshall J, Maybee A, Walley KR, Santos CD, Winston B, McIntyre L. Cell therapy with intravascular administration of mesenchymal stromal cells continues to appear safe: An updated systematic review and meta-analysis. </w:t>
      </w:r>
      <w:r>
        <w:rPr>
          <w:rFonts w:ascii="Book Antiqua" w:hAnsi="Book Antiqua"/>
          <w:i/>
          <w:iCs/>
        </w:rPr>
        <w:t>EClinicalMedicine</w:t>
      </w:r>
      <w:r>
        <w:rPr>
          <w:rFonts w:ascii="Book Antiqua" w:hAnsi="Book Antiqua"/>
        </w:rPr>
        <w:t xml:space="preserve"> 2020; </w:t>
      </w:r>
      <w:r>
        <w:rPr>
          <w:rFonts w:ascii="Book Antiqua" w:hAnsi="Book Antiqua"/>
          <w:b/>
          <w:bCs/>
        </w:rPr>
        <w:t>19</w:t>
      </w:r>
      <w:r>
        <w:rPr>
          <w:rFonts w:ascii="Book Antiqua" w:hAnsi="Book Antiqua"/>
        </w:rPr>
        <w:t>: 100249 [PMID: 31989101 DOI: 10.1016/j.eclinm.2019.100249]</w:t>
      </w:r>
    </w:p>
    <w:p>
      <w:pPr>
        <w:spacing w:line="360" w:lineRule="auto"/>
        <w:jc w:val="both"/>
        <w:rPr>
          <w:rFonts w:ascii="Book Antiqua" w:hAnsi="Book Antiqua"/>
        </w:rPr>
      </w:pPr>
      <w:r>
        <w:rPr>
          <w:rFonts w:ascii="Book Antiqua" w:hAnsi="Book Antiqua"/>
        </w:rPr>
        <w:t xml:space="preserve">84 </w:t>
      </w:r>
      <w:r>
        <w:rPr>
          <w:rFonts w:ascii="Book Antiqua" w:hAnsi="Book Antiqua"/>
          <w:b/>
          <w:bCs/>
        </w:rPr>
        <w:t>Moll G</w:t>
      </w:r>
      <w:r>
        <w:rPr>
          <w:rFonts w:ascii="Book Antiqua" w:hAnsi="Book Antiqua"/>
        </w:rPr>
        <w:t xml:space="preserve">, Drzeniek N, Kamhieh-Milz J, Geissler S, Volk HD, Reinke P. MSC Therapies for COVID-19: Importance of Patient Coagulopathy, Thromboprophylaxis, Cell Product Quality and Mode of Delivery for Treatment Safety and Efficacy. </w:t>
      </w:r>
      <w:r>
        <w:rPr>
          <w:rFonts w:ascii="Book Antiqua" w:hAnsi="Book Antiqua"/>
          <w:i/>
          <w:iCs/>
        </w:rPr>
        <w:t>Front Immunol</w:t>
      </w:r>
      <w:r>
        <w:rPr>
          <w:rFonts w:ascii="Book Antiqua" w:hAnsi="Book Antiqua"/>
        </w:rPr>
        <w:t xml:space="preserve"> 2020; </w:t>
      </w:r>
      <w:r>
        <w:rPr>
          <w:rFonts w:ascii="Book Antiqua" w:hAnsi="Book Antiqua"/>
          <w:b/>
          <w:bCs/>
        </w:rPr>
        <w:t>11</w:t>
      </w:r>
      <w:r>
        <w:rPr>
          <w:rFonts w:ascii="Book Antiqua" w:hAnsi="Book Antiqua"/>
        </w:rPr>
        <w:t>: 1091 [PMID: 32574263 DOI: 10.3389/fimmu.2020.01091]</w:t>
      </w:r>
    </w:p>
    <w:p>
      <w:pPr>
        <w:spacing w:line="360" w:lineRule="auto"/>
        <w:jc w:val="both"/>
        <w:rPr>
          <w:rFonts w:ascii="Book Antiqua" w:hAnsi="Book Antiqua"/>
        </w:rPr>
      </w:pPr>
      <w:r>
        <w:rPr>
          <w:rFonts w:ascii="Book Antiqua" w:hAnsi="Book Antiqua"/>
        </w:rPr>
        <w:t xml:space="preserve">85 </w:t>
      </w:r>
      <w:r>
        <w:rPr>
          <w:rFonts w:ascii="Book Antiqua" w:hAnsi="Book Antiqua"/>
          <w:b/>
          <w:bCs/>
        </w:rPr>
        <w:t>Golchin A</w:t>
      </w:r>
      <w:r>
        <w:rPr>
          <w:rFonts w:ascii="Book Antiqua" w:hAnsi="Book Antiqua"/>
        </w:rPr>
        <w:t xml:space="preserve">. Cell-Based Therapy for Severe COVID-19 Patients: Clinical Trials and Cost-Utility. </w:t>
      </w:r>
      <w:r>
        <w:rPr>
          <w:rFonts w:ascii="Book Antiqua" w:hAnsi="Book Antiqua"/>
          <w:i/>
          <w:iCs/>
        </w:rPr>
        <w:t>Stem Cell Rev Rep</w:t>
      </w:r>
      <w:r>
        <w:rPr>
          <w:rFonts w:ascii="Book Antiqua" w:hAnsi="Book Antiqua"/>
        </w:rPr>
        <w:t xml:space="preserve"> 2021; </w:t>
      </w:r>
      <w:r>
        <w:rPr>
          <w:rFonts w:ascii="Book Antiqua" w:hAnsi="Book Antiqua"/>
          <w:b/>
          <w:bCs/>
        </w:rPr>
        <w:t>17</w:t>
      </w:r>
      <w:r>
        <w:rPr>
          <w:rFonts w:ascii="Book Antiqua" w:hAnsi="Book Antiqua"/>
        </w:rPr>
        <w:t>: 56-62 [PMID: 33009982 DOI: 10.1007/s12015-020-10046-1]</w:t>
      </w:r>
    </w:p>
    <w:p>
      <w:pPr>
        <w:spacing w:line="360" w:lineRule="auto"/>
        <w:jc w:val="both"/>
        <w:rPr>
          <w:rFonts w:ascii="Book Antiqua" w:hAnsi="Book Antiqua"/>
        </w:rPr>
      </w:pPr>
      <w:r>
        <w:rPr>
          <w:rFonts w:ascii="Book Antiqua" w:hAnsi="Book Antiqua"/>
        </w:rPr>
        <w:t xml:space="preserve">86 </w:t>
      </w:r>
      <w:r>
        <w:rPr>
          <w:rFonts w:ascii="Book Antiqua" w:hAnsi="Book Antiqua"/>
          <w:b/>
          <w:bCs/>
        </w:rPr>
        <w:t>Leng Z</w:t>
      </w:r>
      <w:r>
        <w:rPr>
          <w:rFonts w:ascii="Book Antiqua" w:hAnsi="Book Antiqua"/>
        </w:rPr>
        <w:t>, Zhu R, Hou W, Feng Y, Yang Y, Han Q, Shan G, Meng F, Du D, Wang S, Fan J, Wang W, Deng L, Shi H, Li H, Hu Z, Zhang F, Gao J, Liu H, Li X, Zhao Y, Yin K, He X, Gao Z, Wang Y, Yang B, Jin R, Stambler I, Lim LW, Su H, Moskalev A, Cano A, Chakrabarti S, Min KJ, Ellison-Hughes G, Caruso C, Jin K, Zhao RC. Transplantation of ACE2</w:t>
      </w:r>
      <w:r>
        <w:rPr>
          <w:rFonts w:ascii="Book Antiqua" w:hAnsi="Book Antiqua"/>
          <w:vertAlign w:val="superscript"/>
        </w:rPr>
        <w:t>-</w:t>
      </w:r>
      <w:r>
        <w:rPr>
          <w:rFonts w:ascii="Book Antiqua" w:hAnsi="Book Antiqua"/>
        </w:rPr>
        <w:t xml:space="preserve"> Mesenchymal Stem Cells Improves the Outcome of Patients with COVID-19 Pneumonia. </w:t>
      </w:r>
      <w:r>
        <w:rPr>
          <w:rFonts w:ascii="Book Antiqua" w:hAnsi="Book Antiqua"/>
          <w:i/>
          <w:iCs/>
        </w:rPr>
        <w:t>Aging Dis</w:t>
      </w:r>
      <w:r>
        <w:rPr>
          <w:rFonts w:ascii="Book Antiqua" w:hAnsi="Book Antiqua"/>
        </w:rPr>
        <w:t xml:space="preserve"> 2020; </w:t>
      </w:r>
      <w:r>
        <w:rPr>
          <w:rFonts w:ascii="Book Antiqua" w:hAnsi="Book Antiqua"/>
          <w:b/>
          <w:bCs/>
        </w:rPr>
        <w:t>11</w:t>
      </w:r>
      <w:r>
        <w:rPr>
          <w:rFonts w:ascii="Book Antiqua" w:hAnsi="Book Antiqua"/>
        </w:rPr>
        <w:t>: 216-228 [PMID: 32257537 DOI: 10.14336/AD.2020.0228]</w:t>
      </w:r>
    </w:p>
    <w:p>
      <w:pPr>
        <w:spacing w:line="360" w:lineRule="auto"/>
        <w:jc w:val="both"/>
        <w:rPr>
          <w:rFonts w:ascii="Book Antiqua" w:hAnsi="Book Antiqua"/>
        </w:rPr>
      </w:pPr>
      <w:r>
        <w:rPr>
          <w:rFonts w:ascii="Book Antiqua" w:hAnsi="Book Antiqua"/>
        </w:rPr>
        <w:t xml:space="preserve">87 </w:t>
      </w:r>
      <w:r>
        <w:rPr>
          <w:rFonts w:ascii="Book Antiqua" w:hAnsi="Book Antiqua"/>
          <w:b/>
          <w:bCs/>
        </w:rPr>
        <w:t>Sánchez-Guijo F</w:t>
      </w:r>
      <w:r>
        <w:rPr>
          <w:rFonts w:ascii="Book Antiqua" w:hAnsi="Book Antiqua"/>
        </w:rPr>
        <w:t xml:space="preserve">, García-Arranz M, López-Parra M, Monedero P, Mata-Martínez C, Santos A, Sagredo V, Álvarez-Avello JM, Guerrero JE, Pérez-Calvo C, Sánchez-Hernández MV, Del-Pozo JL, Andreu EJ, Fernández-Santos ME, Soria-Juan B, Hernández-Blasco LM, Andreu E, Sempere JM, Zapata AG, Moraleda JM, Soria B, Fernández-Avilés F, García-Olmo D, Prósper F. Adipose-derived mesenchymal stromal cells for the treatment of patients with severe SARS-CoV-2 pneumonia requiring mechanical ventilation. A proof of concept study. </w:t>
      </w:r>
      <w:r>
        <w:rPr>
          <w:rFonts w:ascii="Book Antiqua" w:hAnsi="Book Antiqua"/>
          <w:i/>
          <w:iCs/>
        </w:rPr>
        <w:t>EClinicalMedicine</w:t>
      </w:r>
      <w:r>
        <w:rPr>
          <w:rFonts w:ascii="Book Antiqua" w:hAnsi="Book Antiqua"/>
        </w:rPr>
        <w:t xml:space="preserve"> 2020; </w:t>
      </w:r>
      <w:r>
        <w:rPr>
          <w:rFonts w:ascii="Book Antiqua" w:hAnsi="Book Antiqua"/>
          <w:b/>
          <w:bCs/>
        </w:rPr>
        <w:t>25</w:t>
      </w:r>
      <w:r>
        <w:rPr>
          <w:rFonts w:ascii="Book Antiqua" w:hAnsi="Book Antiqua"/>
        </w:rPr>
        <w:t>: 100454 [PMID: 32838232 DOI: 10.1016/j.eclinm.2020.100454]</w:t>
      </w:r>
    </w:p>
    <w:p>
      <w:pPr>
        <w:spacing w:line="360" w:lineRule="auto"/>
        <w:jc w:val="both"/>
        <w:rPr>
          <w:rFonts w:ascii="Book Antiqua" w:hAnsi="Book Antiqua"/>
        </w:rPr>
      </w:pPr>
      <w:r>
        <w:rPr>
          <w:rFonts w:ascii="Book Antiqua" w:hAnsi="Book Antiqua"/>
        </w:rPr>
        <w:t xml:space="preserve">88 </w:t>
      </w:r>
      <w:r>
        <w:rPr>
          <w:rFonts w:ascii="Book Antiqua" w:hAnsi="Book Antiqua"/>
          <w:b/>
          <w:bCs/>
        </w:rPr>
        <w:t>Sengupta V</w:t>
      </w:r>
      <w:r>
        <w:rPr>
          <w:rFonts w:ascii="Book Antiqua" w:hAnsi="Book Antiqua"/>
        </w:rPr>
        <w:t xml:space="preserve">, Sengupta S, Lazo A, Woods P, Nolan A, Bremer N. Exosomes Derived from Bone Marrow Mesenchymal Stem Cells as Treatment for Severe COVID-19. </w:t>
      </w:r>
      <w:r>
        <w:rPr>
          <w:rFonts w:ascii="Book Antiqua" w:hAnsi="Book Antiqua"/>
          <w:i/>
          <w:iCs/>
        </w:rPr>
        <w:t>Stem Cells Dev</w:t>
      </w:r>
      <w:r>
        <w:rPr>
          <w:rFonts w:ascii="Book Antiqua" w:hAnsi="Book Antiqua"/>
        </w:rPr>
        <w:t xml:space="preserve"> 2020; </w:t>
      </w:r>
      <w:r>
        <w:rPr>
          <w:rFonts w:ascii="Book Antiqua" w:hAnsi="Book Antiqua"/>
          <w:b/>
          <w:bCs/>
        </w:rPr>
        <w:t>29</w:t>
      </w:r>
      <w:r>
        <w:rPr>
          <w:rFonts w:ascii="Book Antiqua" w:hAnsi="Book Antiqua"/>
        </w:rPr>
        <w:t>: 747-754 [PMID: 32380908 DOI: 10.1089/scd.2020.0080]</w:t>
      </w:r>
    </w:p>
    <w:p>
      <w:pPr>
        <w:spacing w:line="360" w:lineRule="auto"/>
        <w:jc w:val="both"/>
        <w:rPr>
          <w:rFonts w:ascii="Book Antiqua" w:hAnsi="Book Antiqua"/>
        </w:rPr>
      </w:pPr>
      <w:r>
        <w:rPr>
          <w:rFonts w:ascii="Book Antiqua" w:hAnsi="Book Antiqua"/>
        </w:rPr>
        <w:t xml:space="preserve">89 </w:t>
      </w:r>
      <w:r>
        <w:rPr>
          <w:rFonts w:ascii="Book Antiqua" w:hAnsi="Book Antiqua"/>
          <w:b/>
          <w:bCs/>
        </w:rPr>
        <w:t>Peng H</w:t>
      </w:r>
      <w:r>
        <w:rPr>
          <w:rFonts w:ascii="Book Antiqua" w:hAnsi="Book Antiqua"/>
        </w:rPr>
        <w:t xml:space="preserve">, Gong T, Huang X, Sun X, Luo H, Wang W, Luo J, Luo B, Chen Y, Wang X, Long H, Mei H, Li C, Dai Y, Li H. A synergistic role of convalescent plasma and mesenchymal stem cells in the treatment of severely ill COVID-19 patients: a clinical case report.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291 [PMID: 32678017 DOI: 10.1186/s13287-020-01802-8]</w:t>
      </w:r>
    </w:p>
    <w:p>
      <w:pPr>
        <w:spacing w:line="360" w:lineRule="auto"/>
        <w:jc w:val="both"/>
        <w:rPr>
          <w:rFonts w:ascii="Book Antiqua" w:hAnsi="Book Antiqua"/>
        </w:rPr>
      </w:pPr>
      <w:r>
        <w:rPr>
          <w:rFonts w:ascii="Book Antiqua" w:hAnsi="Book Antiqua"/>
        </w:rPr>
        <w:t xml:space="preserve">90 </w:t>
      </w:r>
      <w:r>
        <w:rPr>
          <w:rFonts w:ascii="Book Antiqua" w:hAnsi="Book Antiqua"/>
          <w:b/>
          <w:bCs/>
        </w:rPr>
        <w:t>Tang L</w:t>
      </w:r>
      <w:r>
        <w:rPr>
          <w:rFonts w:ascii="Book Antiqua" w:hAnsi="Book Antiqua"/>
        </w:rPr>
        <w:t xml:space="preserve">, Jiang Y, Zhu M, Chen L, Zhou X, Zhou C, Ye P, Chen X, Wang B, Xu Z, Zhang Q, Xu X, Gao H, Wu X, Li D, Jiang W, Qu J, Xiang C, Li L. Clinical study using mesenchymal stem cells for the treatment of patients with severe COVID-19. </w:t>
      </w:r>
      <w:r>
        <w:rPr>
          <w:rFonts w:ascii="Book Antiqua" w:hAnsi="Book Antiqua"/>
          <w:i/>
          <w:iCs/>
        </w:rPr>
        <w:t>Front Med</w:t>
      </w:r>
      <w:r>
        <w:rPr>
          <w:rFonts w:ascii="Book Antiqua" w:hAnsi="Book Antiqua"/>
        </w:rPr>
        <w:t xml:space="preserve"> 2020; </w:t>
      </w:r>
      <w:r>
        <w:rPr>
          <w:rFonts w:ascii="Book Antiqua" w:hAnsi="Book Antiqua"/>
          <w:b/>
          <w:bCs/>
        </w:rPr>
        <w:t>14</w:t>
      </w:r>
      <w:r>
        <w:rPr>
          <w:rFonts w:ascii="Book Antiqua" w:hAnsi="Book Antiqua"/>
        </w:rPr>
        <w:t>: 664-673 [PMID: 32761491 DOI: 10.1007/s11684-020-0810-9]</w:t>
      </w:r>
    </w:p>
    <w:p>
      <w:pPr>
        <w:spacing w:line="360" w:lineRule="auto"/>
        <w:jc w:val="both"/>
        <w:rPr>
          <w:rFonts w:ascii="Book Antiqua" w:hAnsi="Book Antiqua"/>
        </w:rPr>
      </w:pPr>
      <w:r>
        <w:rPr>
          <w:rFonts w:ascii="Book Antiqua" w:hAnsi="Book Antiqua"/>
        </w:rPr>
        <w:t xml:space="preserve">91 </w:t>
      </w:r>
      <w:r>
        <w:rPr>
          <w:rFonts w:ascii="Book Antiqua" w:hAnsi="Book Antiqua"/>
          <w:b/>
          <w:bCs/>
        </w:rPr>
        <w:t>Shu L</w:t>
      </w:r>
      <w:r>
        <w:rPr>
          <w:rFonts w:ascii="Book Antiqua" w:hAnsi="Book Antiqua"/>
        </w:rPr>
        <w:t xml:space="preserve">, Niu C, Li R, Huang T, Wang Y, Huang M, Ji N, Zheng Y, Chen X, Shi L, Wu M, Deng K, Wei J, Wang X, Cao Y, Yan J, Feng G. Treatment of severe COVID-19 with human umbilical cord mesenchymal stem cells.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361 [PMID: 32811531 DOI: 10.1186/s13287-020-01875-5]</w:t>
      </w:r>
    </w:p>
    <w:p>
      <w:pPr>
        <w:spacing w:line="360" w:lineRule="auto"/>
        <w:jc w:val="both"/>
        <w:rPr>
          <w:rFonts w:ascii="Book Antiqua" w:hAnsi="Book Antiqua"/>
        </w:rPr>
      </w:pPr>
      <w:r>
        <w:rPr>
          <w:rFonts w:ascii="Book Antiqua" w:hAnsi="Book Antiqua"/>
        </w:rPr>
        <w:t xml:space="preserve">92 </w:t>
      </w:r>
      <w:r>
        <w:rPr>
          <w:rFonts w:ascii="Book Antiqua" w:hAnsi="Book Antiqua"/>
          <w:b/>
          <w:bCs/>
        </w:rPr>
        <w:t>Tao J</w:t>
      </w:r>
      <w:r>
        <w:rPr>
          <w:rFonts w:ascii="Book Antiqua" w:hAnsi="Book Antiqua"/>
        </w:rPr>
        <w:t xml:space="preserve">, Nie Y, Wu H, Cheng L, Qiu Y, Fu J, Jiang X. Umbilical cord blood-derived mesenchymal stem cells in treating a critically ill COVID-19 patient. </w:t>
      </w:r>
      <w:r>
        <w:rPr>
          <w:rFonts w:ascii="Book Antiqua" w:hAnsi="Book Antiqua"/>
          <w:i/>
          <w:iCs/>
        </w:rPr>
        <w:t>J Infect Dev Ctries</w:t>
      </w:r>
      <w:r>
        <w:rPr>
          <w:rFonts w:ascii="Book Antiqua" w:hAnsi="Book Antiqua"/>
        </w:rPr>
        <w:t xml:space="preserve"> 2020; </w:t>
      </w:r>
      <w:r>
        <w:rPr>
          <w:rFonts w:ascii="Book Antiqua" w:hAnsi="Book Antiqua"/>
          <w:b/>
          <w:bCs/>
        </w:rPr>
        <w:t>14</w:t>
      </w:r>
      <w:r>
        <w:rPr>
          <w:rFonts w:ascii="Book Antiqua" w:hAnsi="Book Antiqua"/>
        </w:rPr>
        <w:t>: 1138-1145 [PMID: 33175709 DOI: 10.3855/jidc.13081]</w:t>
      </w:r>
    </w:p>
    <w:p>
      <w:pPr>
        <w:spacing w:line="360" w:lineRule="auto"/>
        <w:jc w:val="both"/>
        <w:rPr>
          <w:rFonts w:ascii="Book Antiqua" w:hAnsi="Book Antiqua"/>
        </w:rPr>
      </w:pPr>
      <w:r>
        <w:rPr>
          <w:rFonts w:ascii="Book Antiqua" w:hAnsi="Book Antiqua"/>
        </w:rPr>
        <w:t xml:space="preserve">93 </w:t>
      </w:r>
      <w:r>
        <w:rPr>
          <w:rFonts w:ascii="Book Antiqua" w:hAnsi="Book Antiqua"/>
          <w:b/>
          <w:bCs/>
        </w:rPr>
        <w:t>Feng Y</w:t>
      </w:r>
      <w:r>
        <w:rPr>
          <w:rFonts w:ascii="Book Antiqua" w:hAnsi="Book Antiqua"/>
        </w:rPr>
        <w:t xml:space="preserve">, Huang J, Wu J, Xu Y, Chen B, Jiang L, Xiang H, Peng Z, Wang X. Safety and feasibility of umbilical cord mesenchymal stem cells in patients with COVID-19 pneumonia: A pilot study. </w:t>
      </w:r>
      <w:r>
        <w:rPr>
          <w:rFonts w:ascii="Book Antiqua" w:hAnsi="Book Antiqua"/>
          <w:i/>
          <w:iCs/>
        </w:rPr>
        <w:t>Cell Prolif</w:t>
      </w:r>
      <w:r>
        <w:rPr>
          <w:rFonts w:ascii="Book Antiqua" w:hAnsi="Book Antiqua"/>
        </w:rPr>
        <w:t xml:space="preserve"> 2020; </w:t>
      </w:r>
      <w:r>
        <w:rPr>
          <w:rFonts w:ascii="Book Antiqua" w:hAnsi="Book Antiqua"/>
          <w:b/>
          <w:bCs/>
        </w:rPr>
        <w:t>53</w:t>
      </w:r>
      <w:r>
        <w:rPr>
          <w:rFonts w:ascii="Book Antiqua" w:hAnsi="Book Antiqua"/>
        </w:rPr>
        <w:t>: e12947 [PMID: 33205469 DOI: 10.1111/cpr.12947]</w:t>
      </w:r>
    </w:p>
    <w:p>
      <w:pPr>
        <w:spacing w:line="360" w:lineRule="auto"/>
        <w:jc w:val="both"/>
        <w:rPr>
          <w:rFonts w:ascii="Book Antiqua" w:hAnsi="Book Antiqua"/>
        </w:rPr>
      </w:pPr>
      <w:r>
        <w:rPr>
          <w:rFonts w:ascii="Book Antiqua" w:hAnsi="Book Antiqua"/>
        </w:rPr>
        <w:t xml:space="preserve">94 </w:t>
      </w:r>
      <w:r>
        <w:rPr>
          <w:rFonts w:ascii="Book Antiqua" w:hAnsi="Book Antiqua"/>
          <w:b/>
          <w:bCs/>
        </w:rPr>
        <w:t>Guo Z</w:t>
      </w:r>
      <w:r>
        <w:rPr>
          <w:rFonts w:ascii="Book Antiqua" w:hAnsi="Book Antiqua"/>
        </w:rPr>
        <w:t xml:space="preserve">, Chen Y, Luo X, He X, Zhang Y, Wang J. Administration of umbilical cord mesenchymal stem cells in patients with severe COVID-19 pneumonia. </w:t>
      </w:r>
      <w:r>
        <w:rPr>
          <w:rFonts w:ascii="Book Antiqua" w:hAnsi="Book Antiqua"/>
          <w:i/>
          <w:iCs/>
        </w:rPr>
        <w:t>Crit Care</w:t>
      </w:r>
      <w:r>
        <w:rPr>
          <w:rFonts w:ascii="Book Antiqua" w:hAnsi="Book Antiqua"/>
        </w:rPr>
        <w:t xml:space="preserve"> 2020; </w:t>
      </w:r>
      <w:r>
        <w:rPr>
          <w:rFonts w:ascii="Book Antiqua" w:hAnsi="Book Antiqua"/>
          <w:b/>
          <w:bCs/>
        </w:rPr>
        <w:t>24</w:t>
      </w:r>
      <w:r>
        <w:rPr>
          <w:rFonts w:ascii="Book Antiqua" w:hAnsi="Book Antiqua"/>
        </w:rPr>
        <w:t>: 420 [PMID: 32653043 DOI: 10.1186/s13054-020-03142-8]</w:t>
      </w:r>
    </w:p>
    <w:bookmarkEnd w:id="9"/>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 of interest regarding the publication of this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Invited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5,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10, 2021</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Transplantation</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Turkey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Wu LH</w:t>
      </w:r>
      <w:r>
        <w:rPr>
          <w:rFonts w:ascii="Book Antiqua" w:hAnsi="Book Antiqua" w:eastAsia="Book Antiqua" w:cs="Book Antiqua"/>
          <w:b/>
          <w:color w:val="000000"/>
        </w:rPr>
        <w:t xml:space="preserve"> S-Editor: </w:t>
      </w:r>
      <w:r>
        <w:rPr>
          <w:rFonts w:ascii="Book Antiqua" w:hAnsi="Book Antiqua" w:eastAsia="Book Antiqua" w:cs="Book Antiqua"/>
          <w:color w:val="000000"/>
        </w:rPr>
        <w:t>Yan JP</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w:t>
      </w:r>
      <w:r>
        <w:rPr>
          <w:rFonts w:hint="eastAsia" w:ascii="Book Antiqua" w:hAnsi="Book Antiqua" w:eastAsia="Book Antiqua" w:cs="Book Antiqua"/>
          <w:color w:val="000000"/>
        </w:rPr>
        <w:t>i</w:t>
      </w:r>
      <w:r>
        <w:rPr>
          <w:rFonts w:ascii="Book Antiqua" w:hAnsi="Book Antiqua" w:eastAsia="Book Antiqua" w:cs="Book Antiqua"/>
          <w:color w:val="000000"/>
        </w:rPr>
        <w:t xml:space="preserve"> X</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drawing>
          <wp:inline distT="0" distB="0" distL="0" distR="0">
            <wp:extent cx="5274310" cy="6995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699579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Summary of coronavirus disease 2019 pathogenesis and mesenchymal stem cells benefits.</w:t>
      </w:r>
      <w:r>
        <w:rPr>
          <w:rFonts w:ascii="Book Antiqua" w:hAnsi="Book Antiqua" w:eastAsia="Book Antiqua" w:cs="Book Antiqua"/>
          <w:color w:val="000000"/>
        </w:rPr>
        <w:t xml:space="preserve"> IL: Interleukin; PAMP: Pathogen-associated molecular patterns; DAMP: Damage-associated molecular patterns; IP-10: Interferon gamma-induced protein 10; IFN: Interferon; MIP1a: Macrophage inflammatory protein-1a; TNF-α: Tumor necrosis factor α; IDO: Indoleamine 2,3-dioxygenase; G-CSF: Granulocyte colony-stimulating factor; PG: Prostaglandin; PD-1: Programmed cell death protein 1; HGF: Hepatocyte growth factor; TGF-β: Transforming growth factor-β; FCN1+: Ficolin-1 (highly inflammatory monocyte-derived macrophage); AT: Adipose tissue; DC: Dendritic cell; T reg: regulatory T lymphocytes; NK cells: Natural killer cells; CXCR: CXC motif chemokine receptors; IV: Intravenous; RAS: Renin-angiotensin system; N/L: Neutrophil/lymphocyte; MSC: Mesenchymal stem cells.</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b/>
          <w:bCs/>
        </w:rPr>
      </w:pPr>
      <w:r>
        <w:rPr>
          <w:rFonts w:ascii="Book Antiqua" w:hAnsi="Book Antiqua" w:cs="Arial"/>
          <w:b/>
          <w:bCs/>
        </w:rPr>
        <w:t xml:space="preserve">Table 1 Promising </w:t>
      </w:r>
      <w:r>
        <w:rPr>
          <w:rFonts w:ascii="Book Antiqua" w:hAnsi="Book Antiqua" w:eastAsia="Book Antiqua" w:cs="Book Antiqua"/>
          <w:b/>
          <w:bCs/>
          <w:color w:val="000000"/>
        </w:rPr>
        <w:t>mesenchymal stem cells</w:t>
      </w:r>
      <w:r>
        <w:rPr>
          <w:rFonts w:ascii="Book Antiqua" w:hAnsi="Book Antiqua" w:cs="Arial"/>
          <w:b/>
          <w:bCs/>
        </w:rPr>
        <w:t xml:space="preserve"> studies</w:t>
      </w:r>
    </w:p>
    <w:tbl>
      <w:tblPr>
        <w:tblStyle w:val="6"/>
        <w:tblpPr w:leftFromText="180" w:rightFromText="180" w:vertAnchor="text" w:horzAnchor="margin" w:tblpY="137"/>
        <w:tblW w:w="90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8"/>
        <w:gridCol w:w="1715"/>
        <w:gridCol w:w="1195"/>
        <w:gridCol w:w="1962"/>
        <w:gridCol w:w="30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168" w:type="dxa"/>
            <w:tcBorders>
              <w:top w:val="single" w:color="auto" w:sz="4" w:space="0"/>
              <w:bottom w:val="single" w:color="auto" w:sz="4" w:space="0"/>
            </w:tcBorders>
            <w:shd w:val="clear" w:color="auto" w:fill="FFFFFF" w:themeFill="background1"/>
            <w:vAlign w:val="center"/>
          </w:tcPr>
          <w:p>
            <w:pPr>
              <w:spacing w:line="360" w:lineRule="auto"/>
              <w:jc w:val="both"/>
              <w:rPr>
                <w:rFonts w:ascii="Book Antiqua" w:hAnsi="Book Antiqua" w:cs="Arial"/>
                <w:b/>
                <w:bCs/>
              </w:rPr>
            </w:pPr>
            <w:r>
              <w:rPr>
                <w:rFonts w:ascii="Book Antiqua" w:hAnsi="Book Antiqua" w:cs="Arial"/>
                <w:b/>
                <w:bCs/>
              </w:rPr>
              <w:t>Ref.</w:t>
            </w:r>
          </w:p>
        </w:tc>
        <w:tc>
          <w:tcPr>
            <w:tcW w:w="1715" w:type="dxa"/>
            <w:tcBorders>
              <w:top w:val="single" w:color="auto" w:sz="4" w:space="0"/>
              <w:bottom w:val="single" w:color="auto" w:sz="4" w:space="0"/>
            </w:tcBorders>
            <w:shd w:val="clear" w:color="auto" w:fill="FFFFFF" w:themeFill="background1"/>
            <w:vAlign w:val="center"/>
          </w:tcPr>
          <w:p>
            <w:pPr>
              <w:spacing w:line="360" w:lineRule="auto"/>
              <w:jc w:val="both"/>
              <w:rPr>
                <w:rFonts w:ascii="Book Antiqua" w:hAnsi="Book Antiqua" w:cs="Arial"/>
                <w:b/>
                <w:bCs/>
              </w:rPr>
            </w:pPr>
            <w:r>
              <w:rPr>
                <w:rFonts w:ascii="Book Antiqua" w:hAnsi="Book Antiqua" w:cs="Arial"/>
                <w:b/>
                <w:bCs/>
              </w:rPr>
              <w:t>MSC type</w:t>
            </w:r>
          </w:p>
        </w:tc>
        <w:tc>
          <w:tcPr>
            <w:tcW w:w="1195" w:type="dxa"/>
            <w:tcBorders>
              <w:top w:val="single" w:color="auto" w:sz="4" w:space="0"/>
              <w:bottom w:val="single" w:color="auto" w:sz="4" w:space="0"/>
            </w:tcBorders>
            <w:shd w:val="clear" w:color="auto" w:fill="FFFFFF" w:themeFill="background1"/>
            <w:vAlign w:val="center"/>
          </w:tcPr>
          <w:p>
            <w:pPr>
              <w:spacing w:line="360" w:lineRule="auto"/>
              <w:jc w:val="both"/>
              <w:rPr>
                <w:rFonts w:ascii="Book Antiqua" w:hAnsi="Book Antiqua" w:cs="Arial"/>
                <w:b/>
                <w:bCs/>
              </w:rPr>
            </w:pPr>
            <w:r>
              <w:rPr>
                <w:rFonts w:ascii="Book Antiqua" w:hAnsi="Book Antiqua" w:cs="Arial"/>
                <w:b/>
                <w:bCs/>
              </w:rPr>
              <w:t>Sample size</w:t>
            </w:r>
          </w:p>
        </w:tc>
        <w:tc>
          <w:tcPr>
            <w:tcW w:w="1962" w:type="dxa"/>
            <w:tcBorders>
              <w:top w:val="single" w:color="auto" w:sz="4" w:space="0"/>
              <w:bottom w:val="single" w:color="auto" w:sz="4" w:space="0"/>
            </w:tcBorders>
            <w:shd w:val="clear" w:color="auto" w:fill="FFFFFF" w:themeFill="background1"/>
            <w:vAlign w:val="center"/>
          </w:tcPr>
          <w:p>
            <w:pPr>
              <w:spacing w:line="360" w:lineRule="auto"/>
              <w:jc w:val="both"/>
              <w:rPr>
                <w:rFonts w:ascii="Book Antiqua" w:hAnsi="Book Antiqua" w:cs="Arial"/>
                <w:b/>
                <w:bCs/>
              </w:rPr>
            </w:pPr>
            <w:r>
              <w:rPr>
                <w:rFonts w:ascii="Book Antiqua" w:hAnsi="Book Antiqua" w:cs="Arial"/>
                <w:b/>
                <w:bCs/>
              </w:rPr>
              <w:t>Dose</w:t>
            </w:r>
          </w:p>
        </w:tc>
        <w:tc>
          <w:tcPr>
            <w:tcW w:w="3054" w:type="dxa"/>
            <w:tcBorders>
              <w:top w:val="single" w:color="auto" w:sz="4" w:space="0"/>
              <w:bottom w:val="single" w:color="auto" w:sz="4" w:space="0"/>
            </w:tcBorders>
            <w:shd w:val="clear" w:color="auto" w:fill="FFFFFF" w:themeFill="background1"/>
            <w:vAlign w:val="center"/>
          </w:tcPr>
          <w:p>
            <w:pPr>
              <w:spacing w:line="360" w:lineRule="auto"/>
              <w:jc w:val="both"/>
              <w:rPr>
                <w:rFonts w:ascii="Book Antiqua" w:hAnsi="Book Antiqua" w:cs="Arial"/>
                <w:b/>
                <w:bCs/>
              </w:rPr>
            </w:pPr>
            <w:r>
              <w:rPr>
                <w:rFonts w:ascii="Book Antiqua" w:hAnsi="Book Antiqua" w:cs="Arial"/>
                <w:b/>
                <w:bCs/>
              </w:rPr>
              <w:t>Outcome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168" w:type="dxa"/>
            <w:tcBorders>
              <w:top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Leng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{"citationID":"7pCx4doS","properties":{"formattedCitation":"\\super [86]\\nosupersub{}","plainCitation":"[86]","noteIndex":0},"citationItems":[{"id":166,"uris":["http://zotero.org/users/4075227/items/HH2DRR6J"],"uri":["http://zotero.org/users/4075227/items/HH2DRR6J"],"itemData":{"id":166,"type":"article-journal","abstract":"A coronavirus (HCoV-19) has caused the novel coronavirus disease (COVID-19) outbreak in Wuhan, China. Preventing and reversing the cytokine storm may be the key to save the patients with severe COVID-19 pneumonia. Mesenchymal stem cells (MSCs) have been shown to possess a comprehensive powerful immunomodulatory function. This study aims to investigate whether MSC transplantation improves the outcome of 7 enrolled patients with COVID-19 pneumonia in Beijing YouAn Hospital, China, from Jan 23, 2020 to Feb 16, 2020. The clinical outcomes, as well as changes of inflammatory and immune function levels and adverse effects of 7 enrolled patients were assessed for 14 days after MSC injection. MSCs could cure or significantly improve the functional outcomes of seven patients without observed adverse effects. The pulmonary function and symptoms of these seven patients were significantly improved in 2 days after MSC transplantation. Among them, two common and one severe patient were recovered and discharged in 10 days after treatment. After treatment, the peripheral lymphocytes were increased, the C-reactive protein decreased, and the overactivated cytokine-secreting immune cells CXCR3+CD4+ T cells, CXCR3+CD8+ T cells, and CXCR3+ NK cells disappeared in 3-6 days. In addition, a group of CD14+CD11c+CD11bmid regulatory DC cell population dramatically increased. Meanwhile, the level of TNF-α was significantly decreased, while IL-10 increased in MSC treatment group compared to the placebo control group. Furthermore, the gene expression profile showed MSCs were ACE2- and TMPRSS2- which indicated MSCs are free from COVID-19 infection. Thus, the intravenous transplantation of MSCs was safe and effective for treatment in patients with COVID-19 pneumonia, especially for the patients in critically severe condition.","container-title":"Aging and Disease","DOI":"10.14336/AD.2020.0228","ISSN":"2152-5250","issue":"2","journalAbbreviation":"Aging Dis","language":"eng","note":"ZSCC: NoCitationData[s1] \nPMID: 32257537\nPMCID: PMC7069465\n275 citations (Semantic Scholar/DOI) [2020-12-03]\n263 citations (Crossref) [2020-12-08]","page":"216-228","source":"PubMed","title":"Transplantation of ACE2- Mesenchymal Stem Cells Improves the Outcome of Patients with COVID-19 Pneumonia","volume":"11","author":[{"family":"Leng","given":"Zikuan"},{"family":"Zhu","given":"Rongjia"},{"family":"Hou","given":"Wei"},{"family":"Feng","given":"Yingmei"},{"family":"Yang","given":"Yanlei"},{"family":"Han","given":"Qin"},{"family":"Shan","given":"Guangliang"},{"family":"Meng","given":"Fanyan"},{"family":"Du","given":"Dongshu"},{"family":"Wang","given":"Shihua"},{"family":"Fan","given":"Junfen"},{"family":"Wang","given":"Wenjing"},{"family":"Deng","given":"Luchan"},{"family":"Shi","given":"Hongbo"},{"family":"Li","given":"Hongjun"},{"family":"Hu","given":"Zhongjie"},{"family":"Zhang","given":"Fengchun"},{"family":"Gao","given":"Jinming"},{"family":"Liu","given":"Hongjian"},{"family":"Li","given":"Xiaoxia"},{"family":"Zhao","given":"Yangyang"},{"family":"Yin","given":"Kan"},{"family":"He","given":"Xijing"},{"family":"Gao","given":"Zhengchao"},{"family":"Wang","given":"Yibin"},{"family":"Yang","given":"Bo"},{"family":"Jin","given":"Ronghua"},{"family":"Stambler","given":"Ilia"},{"family":"Lim","given":"Lee Wei"},{"family":"Su","given":"Huanxing"},{"family":"Moskalev","given":"Alexey"},{"family":"Cano","given":"Antonio"},{"family":"Chakrabarti","given":"Sasanka"},{"family":"Min","given":"Kyung-Jin"},{"family":"Ellison-Hughes","given":"Georgina"},{"family":"Caruso","given":"Calogero"},{"family":"Jin","given":"Kunlin"},{"family":"Zhao","given":"Robert Chunhua"}],"issued":{"date-parts":[["2020",4]]}}}],"schema":"https://github.com/citation-style-language/schema/raw/master/csl-citation.json"}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[86]</w:t>
            </w:r>
            <w:r>
              <w:rPr>
                <w:rFonts w:ascii="Book Antiqua" w:hAnsi="Book Antiqua" w:cs="Arial"/>
              </w:rPr>
              <w:fldChar w:fldCharType="end"/>
            </w:r>
          </w:p>
        </w:tc>
        <w:tc>
          <w:tcPr>
            <w:tcW w:w="1715" w:type="dxa"/>
            <w:tcBorders>
              <w:top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ACE2</w:t>
            </w:r>
            <w:r>
              <w:rPr>
                <w:rFonts w:ascii="Book Antiqua" w:hAnsi="Book Antiqua" w:cs="Arial"/>
                <w:vertAlign w:val="superscript"/>
              </w:rPr>
              <w:t>-</w:t>
            </w:r>
            <w:r>
              <w:rPr>
                <w:rFonts w:ascii="Book Antiqua" w:hAnsi="Book Antiqua" w:cs="Arial"/>
              </w:rPr>
              <w:t xml:space="preserve"> MSC</w:t>
            </w:r>
          </w:p>
        </w:tc>
        <w:tc>
          <w:tcPr>
            <w:tcW w:w="1195" w:type="dxa"/>
            <w:tcBorders>
              <w:top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10 patients </w:t>
            </w:r>
          </w:p>
          <w:p>
            <w:pPr>
              <w:spacing w:line="360" w:lineRule="auto"/>
              <w:jc w:val="both"/>
              <w:rPr>
                <w:rFonts w:ascii="Book Antiqua" w:hAnsi="Book Antiqua" w:cs="Arial"/>
              </w:rPr>
            </w:pPr>
            <w:r>
              <w:rPr>
                <w:rFonts w:ascii="Book Antiqua" w:hAnsi="Book Antiqua" w:cs="Arial"/>
              </w:rPr>
              <w:t>(7 MSC + 3 Placebo)</w:t>
            </w:r>
          </w:p>
        </w:tc>
        <w:tc>
          <w:tcPr>
            <w:tcW w:w="1962" w:type="dxa"/>
            <w:tcBorders>
              <w:top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Single infusion</w:t>
            </w:r>
            <w:r>
              <w:rPr>
                <w:rFonts w:hint="eastAsia" w:ascii="Book Antiqua" w:hAnsi="Book Antiqua" w:cs="Arial"/>
                <w:lang w:eastAsia="zh-CN"/>
              </w:rPr>
              <w:t xml:space="preserve"> </w:t>
            </w:r>
            <w:r>
              <w:rPr>
                <w:rFonts w:ascii="Book Antiqua" w:hAnsi="Book Antiqua" w:cs="Arial"/>
              </w:rPr>
              <w:t>10</w:t>
            </w:r>
            <w:r>
              <w:rPr>
                <w:rFonts w:ascii="Book Antiqua" w:hAnsi="Book Antiqua" w:cs="Arial"/>
                <w:vertAlign w:val="superscript"/>
              </w:rPr>
              <w:t xml:space="preserve">6 </w:t>
            </w:r>
            <w:r>
              <w:rPr>
                <w:rFonts w:ascii="Book Antiqua" w:hAnsi="Book Antiqua" w:cs="Arial"/>
              </w:rPr>
              <w:t>cells/kg cells</w:t>
            </w:r>
            <w:r>
              <w:rPr>
                <w:rFonts w:hint="eastAsia" w:ascii="Book Antiqua" w:hAnsi="Book Antiqua" w:cs="Arial"/>
                <w:lang w:eastAsia="zh-CN"/>
              </w:rPr>
              <w:t xml:space="preserve"> </w:t>
            </w:r>
            <w:r>
              <w:rPr>
                <w:rFonts w:ascii="Book Antiqua" w:hAnsi="Book Antiqua" w:cs="Arial"/>
              </w:rPr>
              <w:t>IV, 40 min</w:t>
            </w:r>
          </w:p>
        </w:tc>
        <w:tc>
          <w:tcPr>
            <w:tcW w:w="3054" w:type="dxa"/>
            <w:tcBorders>
              <w:top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A decrease of TNF-</w:t>
            </w:r>
            <w:r>
              <w:rPr>
                <w:rFonts w:ascii="Book Antiqua" w:hAnsi="Book Antiqua" w:cs="Arial"/>
                <w:lang w:eastAsia="zh-CN"/>
              </w:rPr>
              <w:t>α</w:t>
            </w:r>
            <w:r>
              <w:rPr>
                <w:rFonts w:ascii="Book Antiqua" w:hAnsi="Book Antiqua" w:cs="Arial"/>
              </w:rPr>
              <w:t xml:space="preserve"> and an increase of anti-inflammatory IL-10 were significant (</w:t>
            </w:r>
            <w:r>
              <w:rPr>
                <w:rFonts w:ascii="Book Antiqua" w:hAnsi="Book Antiqua" w:cs="Arial"/>
                <w:i/>
                <w:iCs/>
              </w:rPr>
              <w:t>P</w:t>
            </w:r>
            <w:r>
              <w:rPr>
                <w:rFonts w:ascii="Book Antiqua" w:hAnsi="Book Antiqua" w:cs="Arial"/>
              </w:rPr>
              <w:t xml:space="preserve"> &lt; 0.05). Other outcome data consisted of one critically ill patient. Three of the 7 patients who taken MSC discharged in the follow-up period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Zhang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{"citationID":"9zXKoznM","properties":{"formattedCitation":"\\super [77]\\nosupersub{}","plainCitation":"[77]","noteIndex":0},"citationItems":[{"id":76,"uris":["http://zotero.org/users/4075227/items/56PL3VSV"],"uri":["http://zotero.org/users/4075227/items/56PL3VSV"],"itemData":{"id":76,"type":"article-journal","abstract":"The novel coronavirus disease 2019 (COVID-19) has grown to be a global public health emergency since patients were first detected in Wuhan, China. Thus far, no specific drugs or vaccines are available to cure the patients with COVID-19 infection. The immune system and inflammation are proposed to play a central role in COVID-19 pathogenesis. Mesenchymal stem cells (MSCs) have been shown to possess a comprehensive powerful immunomodulatory function. Intravenous infusion of MSCs has shown promising results in COVID-19 treatment. Here, we report a case of a severe COVID-19 patient treated with human umbilical cord Wharton's jelly-derived MSCs (hWJCs) from a healthy donor in Liaocheng People's Hospital, China, from February 24, 2020. The pulmonary function and symptoms of the patient with COVID-19 pneumonia was significantly improved in 2</w:instrText>
            </w:r>
            <w:r>
              <w:rPr>
                <w:rFonts w:ascii="MS Mincho" w:hAnsi="MS Mincho" w:eastAsia="MS Mincho" w:cs="MS Mincho"/>
              </w:rPr>
              <w:instrText xml:space="preserve"> </w:instrText>
            </w:r>
            <w:r>
              <w:rPr>
                <w:rFonts w:ascii="Book Antiqua" w:hAnsi="Book Antiqua" w:cs="Arial"/>
              </w:rPr>
              <w:instrText xml:space="preserve">days after hWJC transplantation, and recovered and discharged in 7</w:instrText>
            </w:r>
            <w:r>
              <w:rPr>
                <w:rFonts w:ascii="MS Mincho" w:hAnsi="MS Mincho" w:eastAsia="MS Mincho" w:cs="MS Mincho"/>
              </w:rPr>
              <w:instrText xml:space="preserve"> </w:instrText>
            </w:r>
            <w:r>
              <w:rPr>
                <w:rFonts w:ascii="Book Antiqua" w:hAnsi="Book Antiqua" w:cs="Arial"/>
              </w:rPr>
              <w:instrText xml:space="preserve">days after treatment. After treatment, the percentage and counts of lymphocyte subsets (CD3+, CD4+, and CD8+ T cell) were increased, and the level of IL-6, TNF-α, and C-reactive protein is significantly decreased after hWJC treatment. Thus, the intravenous transplantation of hWJCs was safe and effective for the treatment of patients with COVID-19 pneumonia, especially for the patients in a critically severe condition. This report highlights the potential of hWJC infusions as an effective treatment for COVID-19 pneumonia.","container-title":"Stem Cell Research &amp; Therapy","DOI":"10.1186/s13287-020-01725-4","ISSN":"1757-6512","issue":"1","journalAbbreviation":"Stem Cell Res Ther","language":"eng","note":"ZSCC: 0000037 \nPMID: 32460839\nPMCID: PMC7251558\n16 citations (Crossref) [2020-11-30]","page":"207","source":"PubMed","title":"Intravenous infusion of human umbilical cord Wharton's jelly-derived mesenchymal stem cells as a potential treatment for patients with COVID-19 pneumonia","volume":"11","author":[{"family":"Zhang","given":"Yingxin"},{"family":"Ding","given":"Jie"},{"family":"Ren","given":"Shaoda"},{"family":"Wang","given":"Weihua"},{"family":"Yang","given":"Yapei"},{"family":"Li","given":"Shuangjing"},{"family":"Meng","given":"Min"},{"family":"Wu","given":"Tiejun"},{"family":"Liu","given":"Daliang"},{"family":"Tian","given":"Suochen"},{"family":"Tian","given":"Hui"},{"family":"Chen","given":"Shuangfeng"},{"family":"Zhou","given":"Changhui"}],"issued":{"date-parts":[["2020"]],"season":"27"}}}],"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[77]</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Human umbilical cord Wharton’s jelly-derived MSCs (hWJCs)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One critically ill patient</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Single infusion</w:t>
            </w:r>
            <w:r>
              <w:rPr>
                <w:rFonts w:hint="eastAsia" w:ascii="Book Antiqua" w:hAnsi="Book Antiqua" w:cs="Arial"/>
                <w:lang w:eastAsia="zh-CN"/>
              </w:rPr>
              <w:t xml:space="preserve"> </w:t>
            </w:r>
            <w:r>
              <w:rPr>
                <w:rFonts w:ascii="Book Antiqua" w:hAnsi="Book Antiqua" w:cs="Arial"/>
              </w:rPr>
              <w:t>10</w:t>
            </w:r>
            <w:r>
              <w:rPr>
                <w:rFonts w:ascii="Book Antiqua" w:hAnsi="Book Antiqua" w:cs="Arial"/>
                <w:vertAlign w:val="superscript"/>
              </w:rPr>
              <w:t xml:space="preserve">6 </w:t>
            </w:r>
            <w:r>
              <w:rPr>
                <w:rFonts w:ascii="Book Antiqua" w:hAnsi="Book Antiqua" w:cs="Arial"/>
              </w:rPr>
              <w:t>cells/kg cells</w:t>
            </w:r>
            <w:r>
              <w:rPr>
                <w:rFonts w:hint="eastAsia" w:ascii="Book Antiqua" w:hAnsi="Book Antiqua" w:cs="Arial"/>
                <w:lang w:eastAsia="zh-CN"/>
              </w:rPr>
              <w:t xml:space="preserve"> </w:t>
            </w:r>
            <w:r>
              <w:rPr>
                <w:rFonts w:ascii="Book Antiqua" w:hAnsi="Book Antiqua" w:cs="Arial"/>
              </w:rPr>
              <w:t>IV, 40 min</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The patient was discharged 6 d after the administration. They suggested that remarkable amelioration in imaging, laboratory, and clinical test outcomes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Sánchez-Guijo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{"citationID":"8anmapM8","properties":{"formattedCitation":"\\super [87]\\nosupersub{}","plainCitation":"[87]","noteIndex":0},"citationItems":[{"id":551,"uris":["http://zotero.org/users/4075227/items/QEQLUNJW"],"uri":["http://zotero.org/users/4075227/items/QEQLUNJW"],"itemData":{"id":551,"type":"article-journal","abstract":"Background: Identification of effective treatments in severe cases of COVID-19 requiring mechanical ventilation represents an unmet medical need. Our aim was to determine whether the administration of adipose-tissue derived mesenchymal stromal cells (AT-MSC) is safe and potentially useful in these patients.\nMethods: Thirteen COVID-19 adult patients under invasive mechanical ventilation who had received previous antiviral and/or anti-inflammatory treatments (including steroids, lopinavir/ritonavir, hydroxychloroquine and/or tocilizumab, among others) were treated with allogeneic AT-MSC. Ten patients received two doses, with the second dose administered a median of 3 days (interquartile range-IQR- 1 day) after the first one. Two patients received a single dose and another patient received 3 doses. Median number of cells per dose was 0.98 × 106 (IQR 0.50 × 106) AT-MSC/kg of recipient's body weight. Potential adverse effects related to cell infusion and clinical outcome were assessed. Additional parameters analyzed included changes in imaging, analytical and inflammatory parameters.\nFindings: First dose of AT-MSC was administered at a median of 7 days (IQR 12 days) after mechanical ventilation. No adverse events were related to cell therapy. With a median follow-up of 16 days (IQR 9 days) after the first dose, clinical improvement was observed in nine patients (70%). Seven patients were extubated and discharged from ICU while four patients remained intubated (two with an improvement in their ventilatory and radiological parameters and two in stable condition). Two patients died (one due to massive gastrointestinal bleeding unrelated to MSC therapy). Treatment with AT-MSC was followed by a decrease in inflammatory parameters (reduction in C-reactive protein, IL-6, ferritin, LDH and d-dimer) as well as an increase in lymphocytes, particularly in those patients with clinical improvement.\nInterpretation: Treatment with intravenous administration of AT-MSC in 13 severe COVID-19 pneumonia under mechanical ventilation in a small case series did not induce significant adverse events and was followed by clinical and biological improvement in most subjects.\nFunding: None.","container-title":"EClinicalMedicine","DOI":"10.1016/j.eclinm.2020.100454","ISSN":"2589-5370","journalAbbreviation":"EClinicalMedicine","language":"eng","note":"ZSCC: 0000024 \nPMID: 32838232\nPMCID: PMC7348610\n10 citations (Crossref) [2020-11-30]","page":"100454","source":"PubMed","title":"Adipose-derived mesenchymal stromal cells for the treatment of patients with severe SARS-CoV-2 pneumonia requiring mechanical ventilation. A proof of concept study","volume":"25","author":[{"family":"Sánchez-Guijo","given":"Fermín"},{"family":"García-Arranz","given":"Mariano"},{"family":"López-Parra","given":"Miriam"},{"family":"Monedero","given":"Pablo"},{"family":"Mata-Martínez","given":"Carmen"},{"family":"Santos","given":"Arnoldo"},{"family":"Sagredo","given":"Víctor"},{"family":"Álvarez-Avello","given":"José-Manuel"},{"family":"Guerrero","given":"José Eugenio"},{"family":"Pérez-Calvo","given":"César"},{"family":"Sánchez-Hernández","given":"Miguel-Vicente"},{"family":"Del-Pozo","given":"José Luis"},{"family":"Andreu","given":"Enrique J."},{"family":"Fernández-Santos","given":"María-Eugenia"},{"family":"Soria-Juan","given":"Barbara"},{"family":"Hernández-Blasco","given":"Luis M."},{"family":"Andreu","given":"Etelvina"},{"family":"Sempere","given":"José M."},{"family":"Zapata","given":"Agustín G."},{"family":"Moraleda","given":"José M."},{"family":"Soria","given":"Bernat"},{"family":"Fernández-Avilés","given":"Francisco"},{"family":"García-Olmo","given":"Damián"},{"family":"Prósper","given":"Felipe"}],"issued":{"date-parts":[["2020",8]]}}}],"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[87]</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Adipose-derived MSC (AT-MSC)</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13 severe ill patients</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More than 1 infusion approximately 10</w:t>
            </w:r>
            <w:r>
              <w:rPr>
                <w:rFonts w:ascii="Book Antiqua" w:hAnsi="Book Antiqua" w:cs="Arial"/>
                <w:vertAlign w:val="superscript"/>
              </w:rPr>
              <w:t xml:space="preserve">6 </w:t>
            </w:r>
            <w:r>
              <w:rPr>
                <w:rFonts w:ascii="Book Antiqua" w:hAnsi="Book Antiqua" w:cs="Arial"/>
              </w:rPr>
              <w:t>cells/kg cells IV</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Two patients </w:t>
            </w:r>
            <w:r>
              <w:rPr>
                <w:rFonts w:ascii="Book Antiqua" w:hAnsi="Book Antiqua" w:cs="Arial"/>
                <w:bCs/>
              </w:rPr>
              <w:t>died</w:t>
            </w:r>
            <w:r>
              <w:rPr>
                <w:rFonts w:ascii="Book Antiqua" w:hAnsi="Book Antiqua" w:cs="Arial"/>
              </w:rPr>
              <w:t xml:space="preserve"> during the follow-up period. They detected a decrease in inflammatory parameters and an increase in total lymphocyte counts 5 d after administration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Sengupta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{"citationID":"3sFbsN9w","properties":{"formattedCitation":"\\super [88]\\nosupersub{}","plainCitation":"[88]","noteIndex":0},"citationItems":[{"id":180,"uris":["http://zotero.org/users/4075227/items/D9KZNAFS"],"uri":["http://zotero.org/users/4075227/items/D9KZNAFS"],"itemData":{"id":180,"type":"article-journal","abstract":"This prospective nonrandomized open-label cohort study addresses the safety and efficacy of exosomes (ExoFlo™) derived from allogeneic bone marrow mesenchymal stem cells as treatment for severe COVID-19. During April 2020, ExoFlo was provided to 24 SARS-CoV-2 polymerase chain reaction-positive patients at a single hospital center, all of whom met criteria for severe COVID-19 as well as moderate-to-severe acute respiratory distress syndrome. Patients received a single 15</w:instrText>
            </w:r>
            <w:r>
              <w:rPr>
                <w:rFonts w:ascii="MS Mincho" w:hAnsi="MS Mincho" w:eastAsia="MS Mincho" w:cs="MS Mincho"/>
              </w:rPr>
              <w:instrText xml:space="preserve"> </w:instrText>
            </w:r>
            <w:r>
              <w:rPr>
                <w:rFonts w:ascii="Book Antiqua" w:hAnsi="Book Antiqua" w:cs="Arial"/>
              </w:rPr>
              <w:instrText xml:space="preserve">mL intravenous dose of ExoFlo and were evaluated for both safety and efficacy from days 1 to 14 post-treatment. All safety endpoints were met with no adverse events observed within 72</w:instrText>
            </w:r>
            <w:r>
              <w:rPr>
                <w:rFonts w:ascii="MS Mincho" w:hAnsi="MS Mincho" w:eastAsia="MS Mincho" w:cs="MS Mincho"/>
              </w:rPr>
              <w:instrText xml:space="preserve"> </w:instrText>
            </w:r>
            <w:r>
              <w:rPr>
                <w:rFonts w:ascii="Book Antiqua" w:hAnsi="Book Antiqua" w:cs="Arial"/>
              </w:rPr>
              <w:instrText xml:space="preserve">h of ExoFlo administration. A survival rate of 83% was observed. In total, 17 of 24 (71%) patients recovered, 3 of 24 (13%) patients remained critically ill though stable, and 4 of 24 (16%) patients expired for reasons unrelated to the treatment. Overall, after one treatment, patients' clinical status and oxygenation improved with an average pressure of arterial oxygen to fraction of inspired oxygen ratio (PaO2/FiO2) increase of 192%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0.001). Laboratory values revealed significant improvements in absolute neutrophil count [mean reduction 32% (P value &lt;0.001)] and lymphopenia with average CD3+, CD4+, and CD8+ lymphocyte counts increasing by 46%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0.05), 45%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0.05), and 46%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0.001), respectively. Likewise, acute phase reactants declined, with mean C-reactive protein, ferritin, and D-dimer reduction of 77%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0.001), 43%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0.001), and 42% (P</w:instrText>
            </w:r>
            <w:r>
              <w:rPr>
                <w:rFonts w:ascii="MS Mincho" w:hAnsi="MS Mincho" w:eastAsia="MS Mincho" w:cs="MS Mincho"/>
              </w:rPr>
              <w:instrText xml:space="preserve"> </w:instrText>
            </w:r>
            <w:r>
              <w:rPr>
                <w:rFonts w:ascii="Book Antiqua" w:hAnsi="Book Antiqua" w:cs="Arial"/>
              </w:rPr>
              <w:instrText xml:space="preserve">&lt;</w:instrText>
            </w:r>
            <w:r>
              <w:rPr>
                <w:rFonts w:ascii="MS Mincho" w:hAnsi="MS Mincho" w:eastAsia="MS Mincho" w:cs="MS Mincho"/>
              </w:rPr>
              <w:instrText xml:space="preserve"> </w:instrText>
            </w:r>
            <w:r>
              <w:rPr>
                <w:rFonts w:ascii="Book Antiqua" w:hAnsi="Book Antiqua" w:cs="Arial"/>
              </w:rPr>
              <w:instrText xml:space="preserve">0.05), respectively. In conclusion, owing to its safety profile, capacity to restore oxygenation, downregulate cytokine storm, and reconstitute immunity, ExoFlo is a promising therapeutic candidate for severe COVID-19. Future randomized controlled trials (RCTs) are needed to determine ExoFlo therapeutic potential.","container-title":"Stem Cells and Development","DOI":"10.1089/scd.2020.0080","ISSN":"1557-8534","issue":"12","journalAbbreviation":"Stem Cells Dev","language":"eng","note":"ZSCC: 0000062 \nPMID: 32380908\nPMCID: PMC7310206\n41 citations (Crossref) [2020-11-30]","page":"747-754","source":"PubMed","title":"Exosomes Derived from Bone Marrow Mesenchymal Stem Cells as Treatment for Severe COVID-19","volume":"29","author":[{"family":"Sengupta","given":"Vikram"},{"family":"Sengupta","given":"Sascha"},{"family":"Lazo","given":"Angel"},{"family":"Woods","given":"Peter"},{"family":"Nolan","given":"Anna"},{"family":"Bremer","given":"Nicholas"}],"issued":{"date-parts":[["2020"]],"season":"15"}}}],"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[88]</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Bone marrow MSCs derived exosomes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24 patients</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Single infusion 15 ml ExoFlo</w:t>
            </w:r>
            <w:r>
              <w:rPr>
                <w:rFonts w:ascii="Book Antiqua" w:hAnsi="Book Antiqua" w:cs="Arial"/>
                <w:vertAlign w:val="superscript"/>
              </w:rPr>
              <w:t>TM</w:t>
            </w:r>
            <w:r>
              <w:rPr>
                <w:rFonts w:ascii="Book Antiqua" w:hAnsi="Book Antiqua" w:cs="Arial"/>
              </w:rPr>
              <w:t xml:space="preserve"> IV</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The study's survival rate is 83%, and 71% of the patients were recovered in the study interval. The outcome of the study is a clinical improvement with an average PaO</w:t>
            </w:r>
            <w:r>
              <w:rPr>
                <w:rFonts w:ascii="Book Antiqua" w:hAnsi="Book Antiqua" w:cs="Arial"/>
                <w:vertAlign w:val="subscript"/>
              </w:rPr>
              <w:t>2</w:t>
            </w:r>
            <w:r>
              <w:rPr>
                <w:rFonts w:ascii="Book Antiqua" w:hAnsi="Book Antiqua" w:cs="Arial"/>
              </w:rPr>
              <w:t>/FiO</w:t>
            </w:r>
            <w:r>
              <w:rPr>
                <w:rFonts w:ascii="Book Antiqua" w:hAnsi="Book Antiqua" w:cs="Arial"/>
                <w:vertAlign w:val="subscript"/>
              </w:rPr>
              <w:t>2</w:t>
            </w:r>
            <w:r>
              <w:rPr>
                <w:rFonts w:ascii="Book Antiqua" w:hAnsi="Book Antiqua" w:cs="Arial"/>
              </w:rPr>
              <w:t xml:space="preserve"> rate increase of 192% (</w:t>
            </w:r>
            <w:r>
              <w:rPr>
                <w:rFonts w:ascii="Book Antiqua" w:hAnsi="Book Antiqua" w:cs="Arial"/>
                <w:i/>
                <w:iCs/>
              </w:rPr>
              <w:t>P</w:t>
            </w:r>
            <w:r>
              <w:rPr>
                <w:rFonts w:ascii="Book Antiqua" w:hAnsi="Book Antiqua" w:cs="Arial"/>
              </w:rPr>
              <w:t xml:space="preserve"> &lt; 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Peng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{"citationID":"pUonuTxO","properties":{"formattedCitation":"\\super [89]\\nosupersub{}","plainCitation":"[89]","noteIndex":0},"citationItems":[{"id":5,"uris":["http://zotero.org/users/4075227/items/CYPGI266"],"uri":["http://zotero.org/users/4075227/items/CYPGI266"],"itemData":{"id":5,"type":"article-journal","abstract":"Acute respiratory distress syndrome virus-2 (SARS-CoV-2) responsible for coronavirus disease 2019 (COVID-19) infection, which causes global public health emergencies, has sped widely for more than 5 months and has the risk of long-term transmission. No effective treatment has been discovered to date. In the cases we report, the patient continued to deteriorate even after administration of antiviral drugs such as lopinavir/ritonavir, interferon-α, and ribavirin, as well as intravenous injection of meropenem, methylprednisolone, and immunoglobulin. So, we infused the patient with convalescent plasma (CP), and the absolute lymphocyte count increased the next day and returned to normal on the fourth day. Followed by intravenous infusion of mesenchymal stem cells (MSCs), bilateral infiltrates were absorbed and the pulmonary function was significantly improved. We note that the intravenous infusion of CP and MSCs for the treatment of severe COVID-19 patients may have synergistic characteristics in inhibiting cytokine storm, promoting the repair of lung injury, and recovering pulmonary function. We hope to provide a reference for the research direction of COVID-19 clinical strategies.","container-title":"Stem Cell Research &amp; Therapy","DOI":"10.1186/s13287-020-01802-8","ISSN":"1757-6512","issue":"1","journalAbbreviation":"Stem Cell Res Ther","language":"en","note":"ZSCC: 0000004 \n citations (Semantic Scholar/DOI) [2020-12-01]","page":"291","source":"DOI.org (Crossref)","title":"A synergistic role of convalescent plasma and mesenchymal stem cells in the treatment of severely ill COVID-19 patients: a clinical case report","title-short":"A synergistic role of convalescent plasma and mesenchymal stem cells in the treatment of severely ill COVID-19 patients","volume":"11","author":[{"family":"Peng","given":"Hongbing"},{"family":"Gong","given":"Tiefeng"},{"family":"Huang","given":"Xiaoying"},{"family":"Sun","given":"Xun"},{"family":"Luo","given":"Hong"},{"family":"Wang","given":"Weizhong"},{"family":"Luo","given":"Junbiao"},{"family":"Luo","given":"Baowei"},{"family":"Chen","given":"Yanhui"},{"family":"Wang","given":"Xingxing"},{"family":"Long","given":"Haifeng"},{"family":"Mei","given":"Hua"},{"family":"Li","given":"Chuang"},{"family":"Dai","given":"Yanni"},{"family":"Li","given":"Honghui"}],"issued":{"date-parts":[["2020",12]]}}}],"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[89]</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UC-MSCs and CP</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1 severe ill patient</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Two times infusion</w:t>
            </w:r>
            <w:r>
              <w:rPr>
                <w:rFonts w:hint="eastAsia" w:ascii="Book Antiqua" w:hAnsi="Book Antiqua" w:cs="Arial"/>
                <w:lang w:eastAsia="zh-CN"/>
              </w:rPr>
              <w:t xml:space="preserve"> </w:t>
            </w:r>
            <w:r>
              <w:rPr>
                <w:rFonts w:ascii="Book Antiqua" w:hAnsi="Book Antiqua" w:cs="Arial"/>
              </w:rPr>
              <w:t>plasma volume 400ml (Total) (1:160 titer SARS-CoV-2 specific IgG);3 times infusion</w:t>
            </w:r>
            <w:r>
              <w:rPr>
                <w:rFonts w:hint="eastAsia" w:ascii="Book Antiqua" w:hAnsi="Book Antiqua" w:cs="Arial"/>
                <w:lang w:eastAsia="zh-CN"/>
              </w:rPr>
              <w:t xml:space="preserve"> </w:t>
            </w:r>
            <w:r>
              <w:rPr>
                <w:rFonts w:ascii="Book Antiqua" w:hAnsi="Book Antiqua" w:cs="Arial"/>
              </w:rPr>
              <w:t>10</w:t>
            </w:r>
            <w:r>
              <w:rPr>
                <w:rFonts w:ascii="Book Antiqua" w:hAnsi="Book Antiqua" w:cs="Arial"/>
                <w:vertAlign w:val="superscript"/>
              </w:rPr>
              <w:t>6</w:t>
            </w:r>
            <w:r>
              <w:rPr>
                <w:rFonts w:ascii="Book Antiqua" w:hAnsi="Book Antiqua" w:cs="Arial"/>
              </w:rPr>
              <w:t xml:space="preserve"> cells/kg (Total)IV 30-40 min</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Lack of response to CP treatment, MSCs were administrated to the patient. After the clinical improvement, the patient was discharged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Liang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{"citationID":"KjkISarq","properties":{"formattedCitation":"\\super [78]\\nosupersub{}","plainCitation":"[78]","noteIndex":0},"citationItems":[{"id":367,"uris":["http://zotero.org/users/4075227/items/WQE6UPSL"],"uri":["http://zotero.org/users/4075227/items/WQE6UPSL"],"itemData":{"id":367,"type":"article-journal","abstract":"RATIONALE: The COVID-19 cases increased very fast in January and February 2020. The mortality among critically ill patients, especially the elder ones, is relatively high. Considering many patients died of severe inflammation response, it is urgent to develop effective therapeutic strategies for these patients. The human umbilical cord mesenchymal stem cells (hUCMSCs) have shown good capabilities to modulate the immune response and repair the injured tissue. Therefore, investigating the potential of hUCMSCs to the treatment of COVID-19 critically ill patients is necessary.\nPATIENT CONCERNS: A 65-year-old woman felt fatigued and had a fever with body temperature of 38.2C, coughed up white foaming sputum. After 1 day, she had chest tightness with SPO2 of 81%, and blood pressure of 160/91 mm Hg.\nDIAGNOSE: According to the guideline for the diagnosis and treatment of 2019 novel coronavirus infected pneumonia (Trial 4th Edition), COVID-19 was diagnosed, based on the real-time RT-PCR test of SARS-CoV-2.\nINTERVENTIONS: After regular treatment for 12 days, the inflammation symptom of the patient was still very severe and the potential side effects of corticosteroid were observed. Then, allogenic hUCMSCs were given 3 times (5</w:instrText>
            </w:r>
            <w:r>
              <w:rPr>
                <w:rFonts w:ascii="微软雅黑" w:hAnsi="微软雅黑" w:eastAsia="微软雅黑" w:cs="微软雅黑"/>
              </w:rPr>
              <w:instrText xml:space="preserve"> </w:instrText>
            </w:r>
            <w:r>
              <w:rPr>
                <w:rFonts w:ascii="Book Antiqua" w:hAnsi="Book Antiqua" w:cs="Book Antiqua"/>
              </w:rPr>
              <w:instrText xml:space="preserve">×</w:instrText>
            </w:r>
            <w:r>
              <w:rPr>
                <w:rFonts w:ascii="微软雅黑" w:hAnsi="微软雅黑" w:eastAsia="微软雅黑" w:cs="微软雅黑"/>
              </w:rPr>
              <w:instrText xml:space="preserve"> </w:instrText>
            </w:r>
            <w:r>
              <w:rPr>
                <w:rFonts w:ascii="Book Antiqua" w:hAnsi="Book Antiqua" w:cs="Arial"/>
              </w:rPr>
              <w:instrText xml:space="preserve">10 cells each time) with a 3-day interval, together with thymosin </w:instrText>
            </w:r>
            <w:r>
              <w:rPr>
                <w:rFonts w:ascii="Book Antiqua" w:hAnsi="Book Antiqua" w:cs="Book Antiqua"/>
              </w:rPr>
              <w:instrText xml:space="preserve">α</w:instrText>
            </w:r>
            <w:r>
              <w:rPr>
                <w:rFonts w:ascii="Book Antiqua" w:hAnsi="Book Antiqua" w:cs="Arial"/>
              </w:rPr>
              <w:instrText xml:space="preserve">1 and antibiotics daily injection.\nOUTCOMES: After these treatments, most of the laboratory indexes and CT images showed remission of the inflammation symptom. The patient was subsequently transferred out of ICU, and the throat swabs test reported negative 4 days later.\nLESSONS: These results indicated the clinical outcome and good tolerance of allogenic hUCMSCs transfer.","container-title":"Medicine","DOI":"10.1097/MD.0000000000021429","ISSN":"1536-5964","issue":"31","journalAbbreviation":"Medicine (Baltimore)","language":"eng","note":"ZSCC: 0000087 \nPMID: 32756149\nPMCID: PMC7402800\n22 citations (Crossref) [2020-11-30]","page":"e21429","source":"PubMed","title":"Clinical remission of a critically ill COVID-19 patient treated by human umbilical cord mesenchymal stem cells: A case report","title-short":"Clinical remission of a critically ill COVID-19 patient treated by human umbilical cord mesenchymal stem cells","volume":"99","author":[{"family":"Liang","given":"Bing"},{"family":"Chen","given":"Junhui"},{"family":"Li","given":"Tao"},{"family":"Wu","given":"Haiying"},{"family":"Yang","given":"Wenjie"},{"family":"Li","given":"Yanjiao"},{"family":"Li","given":"Jianchun"},{"family":"Yu","given":"Congtao"},{"family":"Nie","given":"Fangang"},{"family":"Ma","given":"Zhaoxia"},{"family":"Yang","given":"Mingxi"},{"family":"Xiao","given":"Mingying"},{"family":"Nie","given":"Panrong"},{"family":"Gao","given":"Yanfeng"},{"family":"Qian","given":"Chuanyun"},{"family":"Hu","given":"Min"}],"issued":{"date-parts":[["2020",7,31]]}}}],"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[78]</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UC-MSCs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1 critically ill patient</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3 times infusion</w:t>
            </w:r>
            <w:r>
              <w:rPr>
                <w:rFonts w:hint="eastAsia" w:ascii="Book Antiqua" w:hAnsi="Book Antiqua" w:cs="Arial"/>
                <w:lang w:eastAsia="zh-CN"/>
              </w:rPr>
              <w:t xml:space="preserve"> </w:t>
            </w:r>
            <w:r>
              <w:rPr>
                <w:rFonts w:ascii="Book Antiqua" w:hAnsi="Book Antiqua" w:cs="Arial"/>
              </w:rPr>
              <w:t xml:space="preserve">5 </w:t>
            </w:r>
            <w:r>
              <w:rPr>
                <w:rFonts w:ascii="Book Antiqua" w:hAnsi="Book Antiqua"/>
              </w:rPr>
              <w:t>×</w:t>
            </w:r>
            <w:r>
              <w:rPr>
                <w:rFonts w:ascii="Book Antiqua" w:hAnsi="Book Antiqua" w:cs="Arial"/>
              </w:rPr>
              <w:t xml:space="preserve"> 10</w:t>
            </w:r>
            <w:r>
              <w:rPr>
                <w:rFonts w:ascii="Book Antiqua" w:hAnsi="Book Antiqua" w:cs="Arial"/>
                <w:vertAlign w:val="superscript"/>
              </w:rPr>
              <w:t>7</w:t>
            </w:r>
            <w:r>
              <w:rPr>
                <w:rFonts w:ascii="Book Antiqua" w:hAnsi="Book Antiqua" w:cs="Arial"/>
              </w:rPr>
              <w:t xml:space="preserve"> cell (each time)</w:t>
            </w:r>
            <w:r>
              <w:rPr>
                <w:rFonts w:hint="eastAsia" w:ascii="Book Antiqua" w:hAnsi="Book Antiqua" w:cs="Arial"/>
                <w:lang w:eastAsia="zh-CN"/>
              </w:rPr>
              <w:t xml:space="preserve"> </w:t>
            </w:r>
            <w:r>
              <w:rPr>
                <w:rFonts w:ascii="Book Antiqua" w:hAnsi="Book Antiqua" w:cs="Arial"/>
              </w:rPr>
              <w:t>with thymosin-a1</w:t>
            </w:r>
            <w:r>
              <w:rPr>
                <w:rFonts w:hint="eastAsia" w:ascii="Book Antiqua" w:hAnsi="Book Antiqua" w:cs="Arial"/>
                <w:lang w:eastAsia="zh-CN"/>
              </w:rPr>
              <w:t xml:space="preserve"> </w:t>
            </w:r>
            <w:r>
              <w:rPr>
                <w:rFonts w:ascii="Book Antiqua" w:hAnsi="Book Antiqua" w:cs="Arial"/>
              </w:rPr>
              <w:t>IV</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Clinical and laboratory improvement had been seen; The patient was discharged 17 d after the first MSC infusion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Tang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{"citationID":"bmCamA14","properties":{"formattedCitation":"\\super [90]\\nosupersub{}","plainCitation":"[90]","noteIndex":0},"citationItems":[{"id":317,"uris":["http://zotero.org/users/4075227/items/PCAJB4UJ"],"uri":["http://zotero.org/users/4075227/items/PCAJB4UJ"],"itemData":{"id":317,"type":"article-journal","abstract":"The Coronavirus disease 2019 (COVID-19) caused by SARS-CoV-2 was identified in December 2019. The symptoms include fever, cough, dyspnea, early symptom of sputum, and acute respiratory distress syndrome (ARDS). Mesenchymal stem cell (MSC) therapy is the immediate treatment used for patients with severe cases of COVID-19. Herein, we describe two confirmed cases of COVID-19 in Wuhan to explore the role of MSC in the treatment of COVID-19. MSC transplantation increases the immune indicators (including CD4 and lymphocytes) and decreases the inflammation indicators (interleukin-6 and C-reactive protein). High-flow nasal cannula can be used as an initial support strategy for patients with ARDS. With MSC transplantation, the fraction of inspired O2 (FiO2) of the two patients gradually decreased while the oxygen saturation (SaO2) and partial pressure of oxygen (PO2) improved. Additionally, the patients' chest computed tomography showed that bilateral lung exudate lesions were adsorbed after MSC infusion. Results indicated that MSC transplantation provides clinical data on the treatment of COVID-19 and may serve as an alternative method for treating COVID-19, particularly in patients with ARDS.","container-title":"Frontiers of Medicine","DOI":"10.1007/s11684-020-0810-9","ISSN":"2095-0225","issue":"5","journalAbbreviation":"Front Med","language":"eng","note":"ZSCC: 0000008 \nPMID: 32761491\nPMCID: PMC7406954\n1 citations (Crossref) [2020-11-30]","page":"664-673","source":"PubMed","title":"Clinical study using mesenchymal stem cells for the treatment of patients with severe COVID-19","volume":"14","author":[{"family":"Tang","given":"Lingling"},{"family":"Jiang","given":"Yingan"},{"family":"Zhu","given":"Mengfei"},{"family":"Chen","given":"Lijun"},{"family":"Zhou","given":"Xiaoyang"},{"family":"Zhou","given":"Chenliang"},{"family":"Ye","given":"Peng"},{"family":"Chen","given":"Xiaobei"},{"family":"Wang","given":"Baohong"},{"family":"Xu","given":"Zhenyu"},{"family":"Zhang","given":"Qiang"},{"family":"Xu","given":"Xiaowei"},{"family":"Gao","given":"Hainv"},{"family":"Wu","given":"Xiaojun"},{"family":"Li","given":"Dong"},{"family":"Jiang","given":"Wanli"},{"family":"Qu","given":"Jingjing"},{"family":"Xiang","given":"Charlie"},{"family":"Li","given":"Lanjuan"}],"issued":{"date-parts":[["2020",10]]}}}],"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[90]</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Menstrual blood-derived MSCs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2 patients</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3 times infusion</w:t>
            </w:r>
            <w:r>
              <w:rPr>
                <w:rFonts w:hint="eastAsia" w:ascii="Book Antiqua" w:hAnsi="Book Antiqua" w:cs="Arial"/>
                <w:lang w:eastAsia="zh-CN"/>
              </w:rPr>
              <w:t xml:space="preserve"> </w:t>
            </w:r>
            <w:r>
              <w:rPr>
                <w:rFonts w:ascii="Book Antiqua" w:hAnsi="Book Antiqua" w:cs="Arial"/>
              </w:rPr>
              <w:t>10</w:t>
            </w:r>
            <w:r>
              <w:rPr>
                <w:rFonts w:ascii="Book Antiqua" w:hAnsi="Book Antiqua" w:cs="Arial"/>
                <w:vertAlign w:val="superscript"/>
              </w:rPr>
              <w:t>6</w:t>
            </w:r>
            <w:r>
              <w:rPr>
                <w:rFonts w:ascii="Book Antiqua" w:hAnsi="Book Antiqua" w:cs="Arial"/>
              </w:rPr>
              <w:t>/kg cells</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Imaging and laboratory improvement had been seen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20"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Shu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{"citationID":"NN8THJBk","properties":{"formattedCitation":"\\super [91]\\nosupersub{}","plainCitation":"[91]","noteIndex":0},"citationItems":[{"id":203,"uris":["http://zotero.org/users/4075227/items/7S2C7XXU"],"uri":["http://zotero.org/users/4075227/items/7S2C7XXU"],"itemData":{"id":203,"type":"article-journal","abstract":"BACKGROUND: COVID-19 is a highly infectious respiratory disease. No therapeutics have yet been proven effective for treating severe COVID-19.\nOBJECTIVES: To determine whether human umbilical cord mesenchymal stem cell infusion may be effective and safe for the treatment of severe COVID-19.\nMETHODS: Patients with severe COVID-19 were randomly divided into 2 groups: the standard treatment group and the standard treatment plus hUC-MSC infusion group. The incidence of progression from severe to critical illness, 28-day mortality, clinical symptom improvement, time to clinical symptom improvement, hematologic indicators including C-reactive protein, lymphocyte number, and interleukin 6, and imaging changes were observed and compared between the two groups.\nMEASUREMENTS AND MAIN RESULTS: The incidence of progression from severe to critical illness and the 28-day mortality rate were 0 in the hUC-MSC treatment group, while 4 patients in the control group deteriorated to critical condition and received invasive ventilation; 3 of them died, and the 28-day mortality rate was 10.34%. In the hUC-MSC treatment group, the time to clinical improvement was shorter than that in the control group. Clinical symptoms of weakness and fatigue, shortness of breath, and low oxygen saturation obviously improved beginning on the third day of stem cell infusion and reached a significant difference on day 7. CRP and IL-6 levels were significantly lower from day 3 of infusion, the time for the lymphocyte count to return to the normal range was significantly faster, and lung inflammation absorption was significantly shorter on CT imaging in the hUC-MSC group than in the control group.\nCONCLUSIONS: Intravenous transplantation of hUC-MSCs is a safe and effective method that can be considered a salvage and priority treatment option for severe COVID-19.\nTRIAL REGISTRATION: Chinese Clinical Trial Registration; ChiCTR2000031494; Registered on 2 April 2020; http:// www.medresman.org.","container-title":"Stem Cell Research &amp; Therapy","DOI":"10.1186/s13287-020-01875-5","ISSN":"1757-6512","issue":"1","journalAbbreviation":"Stem Cell Res Ther","language":"eng","note":"ZSCC: NoCitationData[s0] \nPMID: 32811531\nPMCID: PMC7432540\n6 citations (Crossref) [2020-12-08]","page":"361","source":"PubMed","title":"Treatment of severe COVID-19 with human umbilical cord mesenchymal stem cells","volume":"11","author":[{"family":"Shu","given":"Lei"},{"family":"Niu","given":"Changming"},{"family":"Li","given":"Ruyou"},{"family":"Huang","given":"Tingrong"},{"family":"Wang","given":"Yan"},{"family":"Huang","given":"Mao"},{"family":"Ji","given":"Ningfei"},{"family":"Zheng","given":"You"},{"family":"Chen","given":"Xiaolin"},{"family":"Shi","given":"Lei"},{"family":"Wu","given":"Mingjing"},{"family":"Deng","given":"Kaili"},{"family":"Wei","given":"Jing"},{"family":"Wang","given":"Xueli"},{"family":"Cao","given":"Yang"},{"family":"Yan","given":"Jiaxin"},{"family":"Feng","given":"Ganzhu"}],"issued":{"date-parts":[["2020"]],"season":"18"}}}],"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[91]</w:t>
            </w:r>
            <w:r>
              <w:rPr>
                <w:rFonts w:ascii="Book Antiqua" w:hAnsi="Book Antiqua" w:cs="Arial"/>
              </w:rPr>
              <w:fldChar w:fldCharType="end"/>
            </w:r>
            <w:r>
              <w:rPr>
                <w:rFonts w:ascii="Book Antiqua" w:hAnsi="Book Antiqua" w:cs="Arial"/>
              </w:rPr>
              <w:t xml:space="preserve"> </w:t>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UC-MSCs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41 severe ill patients (12 MSC treatment + 29 Placebo)</w:t>
            </w:r>
          </w:p>
        </w:tc>
        <w:tc>
          <w:tcPr>
            <w:tcW w:w="1962" w:type="dxa"/>
            <w:shd w:val="clear" w:color="auto" w:fill="FFFFFF" w:themeFill="background1"/>
            <w:vAlign w:val="center"/>
          </w:tcPr>
          <w:p>
            <w:pPr>
              <w:spacing w:line="360" w:lineRule="auto"/>
              <w:ind w:firstLine="720" w:firstLineChars="300"/>
              <w:jc w:val="both"/>
              <w:rPr>
                <w:rFonts w:ascii="Book Antiqua" w:hAnsi="Book Antiqua" w:cs="Arial"/>
              </w:rPr>
            </w:pPr>
            <w:r>
              <w:rPr>
                <w:rFonts w:ascii="Book Antiqua" w:hAnsi="Book Antiqua" w:cs="Arial"/>
              </w:rPr>
              <w:t xml:space="preserve">Single infusion? 2 </w:t>
            </w:r>
            <w:r>
              <w:rPr>
                <w:rFonts w:ascii="Book Antiqua" w:hAnsi="Book Antiqua"/>
              </w:rPr>
              <w:t>×</w:t>
            </w:r>
            <w:r>
              <w:rPr>
                <w:rFonts w:ascii="Book Antiqua" w:hAnsi="Book Antiqua" w:cs="Arial"/>
              </w:rPr>
              <w:t xml:space="preserve"> 10</w:t>
            </w:r>
            <w:r>
              <w:rPr>
                <w:rFonts w:ascii="Book Antiqua" w:hAnsi="Book Antiqua" w:cs="Arial"/>
                <w:vertAlign w:val="superscript"/>
              </w:rPr>
              <w:t>6</w:t>
            </w:r>
            <w:r>
              <w:rPr>
                <w:rFonts w:ascii="Book Antiqua" w:hAnsi="Book Antiqua" w:cs="Arial"/>
              </w:rPr>
              <w:t xml:space="preserve"> cells/kgIV 60 min</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In treatment arm progression from severe to critical illness and 28-d mortality rate were 0, while 4 patients deteriorated to critical condition and 3 of them </w:t>
            </w:r>
            <w:r>
              <w:rPr>
                <w:rFonts w:ascii="Book Antiqua" w:hAnsi="Book Antiqua" w:cs="Arial"/>
                <w:bCs/>
              </w:rPr>
              <w:t>died</w:t>
            </w:r>
            <w:r>
              <w:rPr>
                <w:rFonts w:ascii="Book Antiqua" w:hAnsi="Book Antiqua" w:cs="Arial"/>
              </w:rPr>
              <w:t>, 28 d mortality rate was 10.34%. The treatment arm’s clinical and laboratory improvements were significantly faster than the placebo 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Tao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{"citationID":"pgLlLS5U","properties":{"formattedCitation":"\\super [92]\\nosupersub{}","plainCitation":"[92]","noteIndex":0},"citationItems":[{"id":354,"uris":["http://zotero.org/users/4075227/items/ESFY95R4"],"uri":["http://zotero.org/users/4075227/items/ESFY95R4"],"itemData":{"id":354,"type":"article-journal","abstract":"INTRODUCTION: The coronavirus disease 2019 (COVID-19) pandemic is spreading rapidly. Critically ill cases of COVID-19 can rapidly progress to acute respiratory distress syndrome and multiple organ failures. However, no effective drugs have been available till now, leading to more than 300,000 deaths up to 29 April 2020. Here, we present a critically ill case utilizing umbilical cord blood-derived mesenchymal stem cells (UCB-MSCs).\nCASE PRESENTATION: A 72-year-old man was admitted, with the diagnosis of COVID-19, ARDS, type-2 diabetes, diabetic nephropathy, renal insufficiency, and hypertension. His clinical condition continually developed to be life-threatening even receiving various treatment options including antiviral therapy and extracorporeal membrane oxygenation. Between 28 February and 8 March 2020, the patient was given 5-time intravenous infusions of UCB-MSCs. His hematological and biochemical indexes, including lymphocytes and renal function improved. Pulmonary static compliance increased significantly and PaO2/FiO2 ratio maintained stable. On March 10, he received lung transplantation.\nCONCLUSIONS: Our current findings suggested that UCB-MSCs therapy may show some positive effect in treating critical COVID-19 to some extent, for its delaying deterioration of the disease and efficacy in respiratory and renal function, though limited.","container-title":"Journal of Infection in Developing Countries","DOI":"10.3855/jidc.13081","ISSN":"1972-2680","issue":"10","journalAbbreviation":"J Infect Dev Ctries","language":"eng","note":"ZSCC: 0000000 \nPMID: 33175709\n0 citations (Crossref) [2020-11-30]","page":"1138-1145","source":"PubMed","title":"Umbilical cord blood-derived mesenchymal stem cells in treating a critically ill COVID-19 patient","volume":"14","author":[{"family":"Tao","given":"Jianxin"},{"family":"Nie","given":"Yunjuan"},{"family":"Wu","given":"Hui"},{"family":"Cheng","given":"Liang"},{"family":"Qiu","given":"Yuanwang"},{"family":"Fu","given":"Juanjuan"},{"family":"Jiang","given":"Xiufeng"}],"issued":{"date-parts":[["2020",10,31]]}}}],"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[92]</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Human umbilical cord blood-derived MSCs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1 critically ill patient</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5-times infusion</w:t>
            </w:r>
            <w:r>
              <w:rPr>
                <w:rFonts w:hint="eastAsia" w:ascii="Book Antiqua" w:hAnsi="Book Antiqua" w:cs="Arial"/>
                <w:lang w:eastAsia="zh-CN"/>
              </w:rPr>
              <w:t xml:space="preserve"> </w:t>
            </w:r>
            <w:r>
              <w:rPr>
                <w:rFonts w:ascii="Book Antiqua" w:hAnsi="Book Antiqua" w:cs="Arial"/>
              </w:rPr>
              <w:t xml:space="preserve">1.5 </w:t>
            </w:r>
            <w:r>
              <w:rPr>
                <w:rFonts w:ascii="Book Antiqua" w:hAnsi="Book Antiqua"/>
              </w:rPr>
              <w:t>×</w:t>
            </w:r>
            <w:r>
              <w:rPr>
                <w:rFonts w:ascii="Book Antiqua" w:hAnsi="Book Antiqua" w:cs="Arial"/>
              </w:rPr>
              <w:t xml:space="preserve"> 10</w:t>
            </w:r>
            <w:r>
              <w:rPr>
                <w:rFonts w:ascii="Book Antiqua" w:hAnsi="Book Antiqua" w:cs="Arial"/>
                <w:vertAlign w:val="superscript"/>
              </w:rPr>
              <w:t>6</w:t>
            </w:r>
            <w:r>
              <w:rPr>
                <w:rFonts w:ascii="Book Antiqua" w:hAnsi="Book Antiqua" w:cs="Arial"/>
              </w:rPr>
              <w:t xml:space="preserve"> cells/kg</w:t>
            </w:r>
            <w:r>
              <w:rPr>
                <w:rFonts w:hint="eastAsia" w:ascii="Book Antiqua" w:hAnsi="Book Antiqua" w:cs="Arial"/>
                <w:lang w:eastAsia="zh-CN"/>
              </w:rPr>
              <w:t xml:space="preserve"> </w:t>
            </w:r>
            <w:r>
              <w:rPr>
                <w:rFonts w:ascii="Book Antiqua" w:hAnsi="Book Antiqua" w:cs="Arial"/>
              </w:rPr>
              <w:t>(each time)</w:t>
            </w:r>
            <w:r>
              <w:rPr>
                <w:rFonts w:hint="eastAsia" w:ascii="Book Antiqua" w:hAnsi="Book Antiqua" w:cs="Arial"/>
                <w:lang w:eastAsia="zh-CN"/>
              </w:rPr>
              <w:t xml:space="preserve"> </w:t>
            </w:r>
            <w:r>
              <w:rPr>
                <w:rFonts w:ascii="Book Antiqua" w:hAnsi="Book Antiqua" w:cs="Arial"/>
              </w:rPr>
              <w:t>IV60-80 min</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After the MSC treatment, related to the clinical condition, the patient had undergone lung transplantation. The patient </w:t>
            </w:r>
            <w:r>
              <w:rPr>
                <w:rFonts w:ascii="Book Antiqua" w:hAnsi="Book Antiqua" w:cs="Arial"/>
                <w:bCs/>
              </w:rPr>
              <w:t>died</w:t>
            </w:r>
            <w:r>
              <w:rPr>
                <w:rFonts w:ascii="Book Antiqua" w:hAnsi="Book Antiqua" w:cs="Arial"/>
              </w:rPr>
              <w:t xml:space="preserve"> 6 d after the transplantation because of the rejection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168"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Feng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{"citationID":"mvqw7UMv","properties":{"formattedCitation":"\\super [93]\\nosupersub{}","plainCitation":"[93]","noteIndex":0},"citationItems":[{"id":279,"uris":["http://zotero.org/users/4075227/items/DB9PZ2CW"],"uri":["http://zotero.org/users/4075227/items/DB9PZ2CW"],"itemData":{"id":279,"type":"article-journal","abstract":"OBJECTIVES: We aim to explore the safety and feasibility of umbilical cord mesenchymal stem cells (UC-MSCs) transplantation in patients with severe and critically severe coronavirus disease-2019 (COVID-19).\nMETHODS: We conducted a small sample, single arm, pilot trial. In addition to standard therapy, we performed four rounds of transplantation of UC-MSCs in sixteen patients with severe and critically severe COVID-19. We recorded adverse events from enrolment to Day 28. We evaluated the oxygenation index, inflammatory biomarkers, radiological presentations of the disease and lymphocyte subsets count on the 7th day (D7 ± 1 day), the 14th day (D14 ± 1 day) and the 28th day (D28 ± 3 days).\nRESULTS: There were no infusion-related or allergic reactions. The oxygenation index was improved after transplantation. The mortality of enrolled patients was 6.25%, whereas the historical mortality rate was 45.4%. The level of cytokines estimated varied in the normal range, the radiological presentations (ground glass opacity) were improved and the lymphocyte count and lymphocyte subsets (CD4+ T cells, CD8+ T cells and NK cells) count showed recovery after transplantation.\nCONCLUSIONS: Intravenous transplantation of UC-MSCs was safe and feasible for treatment of patients with severe and critically severe COVID-19 pneumonia.","container-title":"Cell Proliferation","DOI":"10.1111/cpr.12947","ISSN":"1365-2184","journalAbbreviation":"Cell Prolif","language":"eng","note":"ZSCC: 0000000 \nPMID: 33205469\n0 citations (Crossref) [2020-11-30]","page":"e12947","source":"PubMed","title":"Safety and feasibility of umbilical cord mesenchymal stem cells in patients with COVID-19 pneumonia: A pilot study","title-short":"Safety and feasibility of umbilical cord mesenchymal stem cells in patients with COVID-19 pneumonia","author":[{"family":"Feng","given":"Ying"},{"family":"Huang","given":"Jianying"},{"family":"Wu","given":"Jianyuan"},{"family":"Xu","given":"Yan"},{"family":"Chen","given":"Bo"},{"family":"Jiang","given":"Lijun"},{"family":"Xiang","given":"Hui"},{"family":"Peng","given":"Zhiyong"},{"family":"Wang","given":"Xinghuan"}],"issued":{"date-parts":[["2020",11,17]]}}}],"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[93]</w:t>
            </w:r>
            <w:r>
              <w:rPr>
                <w:rFonts w:ascii="Book Antiqua" w:hAnsi="Book Antiqua" w:cs="Arial"/>
              </w:rPr>
              <w:fldChar w:fldCharType="end"/>
            </w:r>
          </w:p>
        </w:tc>
        <w:tc>
          <w:tcPr>
            <w:tcW w:w="171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UC-MSCs</w:t>
            </w:r>
          </w:p>
        </w:tc>
        <w:tc>
          <w:tcPr>
            <w:tcW w:w="1195"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16 severe and critically ill patients</w:t>
            </w:r>
          </w:p>
        </w:tc>
        <w:tc>
          <w:tcPr>
            <w:tcW w:w="1962"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4 times with one-day intervals</w:t>
            </w:r>
            <w:r>
              <w:rPr>
                <w:rFonts w:hint="eastAsia" w:ascii="Book Antiqua" w:hAnsi="Book Antiqua" w:cs="Arial"/>
                <w:lang w:eastAsia="zh-CN"/>
              </w:rPr>
              <w:t xml:space="preserve"> </w:t>
            </w:r>
            <w:r>
              <w:rPr>
                <w:rFonts w:ascii="Book Antiqua" w:hAnsi="Book Antiqua" w:cs="Arial"/>
              </w:rPr>
              <w:t xml:space="preserve">1 </w:t>
            </w:r>
            <w:r>
              <w:rPr>
                <w:rFonts w:ascii="Book Antiqua" w:hAnsi="Book Antiqua"/>
              </w:rPr>
              <w:t xml:space="preserve">× </w:t>
            </w:r>
            <w:r>
              <w:rPr>
                <w:rFonts w:ascii="Book Antiqua" w:hAnsi="Book Antiqua" w:cs="Arial"/>
              </w:rPr>
              <w:t>10</w:t>
            </w:r>
            <w:r>
              <w:rPr>
                <w:rFonts w:ascii="Book Antiqua" w:hAnsi="Book Antiqua" w:cs="Arial"/>
                <w:vertAlign w:val="superscript"/>
              </w:rPr>
              <w:t>8</w:t>
            </w:r>
            <w:r>
              <w:rPr>
                <w:rFonts w:ascii="Book Antiqua" w:hAnsi="Book Antiqua" w:cs="Arial"/>
              </w:rPr>
              <w:t xml:space="preserve"> cells once</w:t>
            </w:r>
            <w:r>
              <w:rPr>
                <w:rFonts w:hint="eastAsia" w:ascii="Book Antiqua" w:hAnsi="Book Antiqua" w:cs="Arial"/>
                <w:lang w:eastAsia="zh-CN"/>
              </w:rPr>
              <w:t xml:space="preserve"> </w:t>
            </w:r>
            <w:r>
              <w:rPr>
                <w:rFonts w:ascii="Book Antiqua" w:hAnsi="Book Antiqua" w:cs="Arial"/>
              </w:rPr>
              <w:t>90 min</w:t>
            </w:r>
          </w:p>
        </w:tc>
        <w:tc>
          <w:tcPr>
            <w:tcW w:w="3054" w:type="dxa"/>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The primary outcome was oxygenation index on </w:t>
            </w:r>
            <w:r>
              <w:rPr>
                <w:rFonts w:hint="eastAsia" w:ascii="Book Antiqua" w:hAnsi="Book Antiqua" w:cs="Arial"/>
                <w:lang w:eastAsia="zh-CN"/>
              </w:rPr>
              <w:t>d</w:t>
            </w:r>
            <w:r>
              <w:rPr>
                <w:rFonts w:ascii="Book Antiqua" w:hAnsi="Book Antiqua" w:cs="Arial"/>
              </w:rPr>
              <w:t>ay 14, and it has improved after UC-MSCs transplantation. On day 28, there is no significant difference between severe and critical types’ mortality rates (6.25%)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1168" w:type="dxa"/>
            <w:tcBorders>
              <w:bottom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 xml:space="preserve">Guo </w:t>
            </w:r>
            <w:r>
              <w:rPr>
                <w:rFonts w:ascii="Book Antiqua" w:hAnsi="Book Antiqua" w:cs="Arial"/>
                <w:i/>
                <w:iCs/>
              </w:rPr>
              <w:t>et al</w:t>
            </w:r>
            <w:r>
              <w:rPr>
                <w:rFonts w:ascii="Book Antiqua" w:hAnsi="Book Antiqua" w:cs="Arial"/>
              </w:rPr>
              <w:fldChar w:fldCharType="begin"/>
            </w:r>
            <w:r>
              <w:rPr>
                <w:rFonts w:ascii="Book Antiqua" w:hAnsi="Book Antiqua" w:cs="Arial"/>
              </w:rPr>
              <w:instrText xml:space="preserve"> ADDIN ZOTERO_ITEM CSL_CITATION {"citationID":"gZecvsaf","properties":{"formattedCitation":"\\super [94]\\nosupersub{}","plainCitation":"[94]","noteIndex":0},"citationItems":[{"id":408,"uris":["http://zotero.org/users/4075227/items/B4F7HQZN"],"uri":["http://zotero.org/users/4075227/items/B4F7HQZN"],"itemData":{"id":408,"type":"article-journal","container-title":"Critical Care (London, England)","DOI":"10.1186/s13054-020-03142-8","ISSN":"1466-609X","issue":"1","journalAbbreviation":"Crit Care","language":"eng","note":"ZSCC: 0000006 \nPMID: 32653043\nPMCID: PMC7351637\n3 citations (Crossref) [2020-11-30]","page":"420","source":"PubMed","title":"Administration of umbilical cord mesenchymal stem cells in patients with severe COVID-19 pneumonia","volume":"24","author":[{"family":"Guo","given":"Zhinian"},{"family":"Chen","given":"Yunlong"},{"family":"Luo","given":"Xiaoyu"},{"family":"He","given":"Xiaolong"},{"family":"Zhang","given":"Yong"},{"family":"Wang","given":"Jiang"}],"issued":{"date-parts":[["2020"]],"season":"11"}}}],"schema":"https://github.com/citation-style-language/schema/raw/master/csl-citation.json"} </w:instrText>
            </w:r>
            <w:r>
              <w:rPr>
                <w:rFonts w:ascii="Book Antiqua" w:hAnsi="Book Antiqua" w:cs="Arial"/>
              </w:rPr>
              <w:fldChar w:fldCharType="separate"/>
            </w:r>
            <w:r>
              <w:rPr>
                <w:rFonts w:ascii="Book Antiqua" w:hAnsi="Book Antiqua" w:cs="Arial"/>
                <w:vertAlign w:val="superscript"/>
              </w:rPr>
              <w:t>[94]</w:t>
            </w:r>
            <w:r>
              <w:rPr>
                <w:rFonts w:ascii="Book Antiqua" w:hAnsi="Book Antiqua" w:cs="Arial"/>
              </w:rPr>
              <w:fldChar w:fldCharType="end"/>
            </w:r>
          </w:p>
        </w:tc>
        <w:tc>
          <w:tcPr>
            <w:tcW w:w="1715" w:type="dxa"/>
            <w:tcBorders>
              <w:bottom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UC-MSCs</w:t>
            </w:r>
          </w:p>
        </w:tc>
        <w:tc>
          <w:tcPr>
            <w:tcW w:w="1195" w:type="dxa"/>
            <w:tcBorders>
              <w:bottom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31 severe and critically ill patients</w:t>
            </w:r>
          </w:p>
        </w:tc>
        <w:tc>
          <w:tcPr>
            <w:tcW w:w="1962" w:type="dxa"/>
            <w:tcBorders>
              <w:bottom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10</w:t>
            </w:r>
            <w:r>
              <w:rPr>
                <w:rFonts w:ascii="Book Antiqua" w:hAnsi="Book Antiqua" w:cs="Arial"/>
                <w:vertAlign w:val="superscript"/>
              </w:rPr>
              <w:t>6</w:t>
            </w:r>
            <w:r>
              <w:rPr>
                <w:rFonts w:ascii="Book Antiqua" w:hAnsi="Book Antiqua" w:cs="Arial"/>
              </w:rPr>
              <w:t>/kg cells in 100 mL saline 200 mL (median volume) for each patient</w:t>
            </w:r>
          </w:p>
        </w:tc>
        <w:tc>
          <w:tcPr>
            <w:tcW w:w="3054" w:type="dxa"/>
            <w:tcBorders>
              <w:bottom w:val="single" w:color="auto" w:sz="4" w:space="0"/>
            </w:tcBorders>
            <w:shd w:val="clear" w:color="auto" w:fill="FFFFFF" w:themeFill="background1"/>
            <w:vAlign w:val="center"/>
          </w:tcPr>
          <w:p>
            <w:pPr>
              <w:spacing w:line="360" w:lineRule="auto"/>
              <w:jc w:val="both"/>
              <w:rPr>
                <w:rFonts w:ascii="Book Antiqua" w:hAnsi="Book Antiqua" w:cs="Arial"/>
              </w:rPr>
            </w:pPr>
            <w:r>
              <w:rPr>
                <w:rFonts w:ascii="Book Antiqua" w:hAnsi="Book Antiqua" w:cs="Arial"/>
              </w:rPr>
              <w:t>They reported a significant increase in lymphocyte count, PaO</w:t>
            </w:r>
            <w:r>
              <w:rPr>
                <w:rFonts w:ascii="Book Antiqua" w:hAnsi="Book Antiqua" w:cs="Arial"/>
                <w:vertAlign w:val="subscript"/>
              </w:rPr>
              <w:t>2</w:t>
            </w:r>
            <w:r>
              <w:rPr>
                <w:rFonts w:ascii="Book Antiqua" w:hAnsi="Book Antiqua" w:cs="Arial"/>
              </w:rPr>
              <w:t>/FiO</w:t>
            </w:r>
            <w:r>
              <w:rPr>
                <w:rFonts w:ascii="Book Antiqua" w:hAnsi="Book Antiqua" w:cs="Arial"/>
                <w:vertAlign w:val="subscript"/>
              </w:rPr>
              <w:t>2</w:t>
            </w:r>
            <w:r>
              <w:rPr>
                <w:rFonts w:ascii="Book Antiqua" w:hAnsi="Book Antiqua" w:cs="Arial"/>
              </w:rPr>
              <w:t>, and decrease CRP, D-Dimer, IL-6, procalcitonin</w:t>
            </w:r>
          </w:p>
        </w:tc>
      </w:tr>
    </w:tbl>
    <w:p>
      <w:pPr>
        <w:spacing w:line="360" w:lineRule="auto"/>
        <w:jc w:val="both"/>
        <w:rPr>
          <w:rFonts w:ascii="Book Antiqua" w:hAnsi="Book Antiqua"/>
        </w:rPr>
      </w:pPr>
      <w:r>
        <w:rPr>
          <w:rFonts w:ascii="Book Antiqua" w:hAnsi="Book Antiqua"/>
        </w:rPr>
        <w:t>UC: Umbilical cord; MSC: Mesenchymal stem cell; AT: Adipose Tissue; CP: Convalescent plasma; IL: Interleukin; PaO</w:t>
      </w:r>
      <w:r>
        <w:rPr>
          <w:rFonts w:ascii="Book Antiqua" w:hAnsi="Book Antiqua"/>
          <w:vertAlign w:val="subscript"/>
        </w:rPr>
        <w:t>2</w:t>
      </w:r>
      <w:r>
        <w:rPr>
          <w:rFonts w:ascii="Book Antiqua" w:hAnsi="Book Antiqua"/>
        </w:rPr>
        <w:t>: Partial pressure of oxygen; FiO</w:t>
      </w:r>
      <w:r>
        <w:rPr>
          <w:rFonts w:ascii="Book Antiqua" w:hAnsi="Book Antiqua"/>
          <w:vertAlign w:val="subscript"/>
        </w:rPr>
        <w:t>2</w:t>
      </w:r>
      <w:r>
        <w:rPr>
          <w:rFonts w:ascii="Book Antiqua" w:hAnsi="Book Antiqua"/>
        </w:rPr>
        <w:t xml:space="preserve">: Fraction of inspired oxygen; CRP: C reactive protein. </w:t>
      </w:r>
      <w:bookmarkStart w:id="10" w:name="_GoBack"/>
      <w:bookmarkEnd w:id="10"/>
    </w:p>
    <w:p>
      <w:pPr>
        <w:spacing w:line="240" w:lineRule="auto"/>
        <w:jc w:val="left"/>
        <w:rPr>
          <w:rFonts w:ascii="Book Antiqua" w:hAnsi="Book Antiqua"/>
        </w:rPr>
      </w:pPr>
      <w:r>
        <w:rPr>
          <w:rFonts w:ascii="Book Antiqua" w:hAnsi="Book Antiqua"/>
        </w:rPr>
        <w:br w:type="page"/>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autoSpaceDE w:val="0"/>
        <w:autoSpaceDN w:val="0"/>
        <w:adjustRightInd w:val="0"/>
        <w:snapToGrid w:val="0"/>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lang w:eastAsia="zh-CN"/>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right"/>
        <w:rPr>
          <w:rFonts w:ascii="Book Antiqua" w:hAnsi="Book Antiqua"/>
          <w:color w:val="000000" w:themeColor="text1"/>
          <w:lang w:eastAsia="zh-CN"/>
          <w14:textFill>
            <w14:solidFill>
              <w14:schemeClr w14:val="tx1"/>
            </w14:solidFill>
          </w14:textFill>
        </w:rPr>
      </w:pPr>
    </w:p>
    <w:p>
      <w:pPr>
        <w:snapToGrid w:val="0"/>
        <w:spacing w:line="360" w:lineRule="auto"/>
        <w:jc w:val="center"/>
        <w:rPr>
          <w:rFonts w:ascii="Book Antiqua" w:hAnsi="Book Antiqua"/>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27</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32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9F5"/>
    <w:rsid w:val="00077CF4"/>
    <w:rsid w:val="00171839"/>
    <w:rsid w:val="00201A34"/>
    <w:rsid w:val="00242EE6"/>
    <w:rsid w:val="00314264"/>
    <w:rsid w:val="00340EA7"/>
    <w:rsid w:val="003719B0"/>
    <w:rsid w:val="003C6BF8"/>
    <w:rsid w:val="003C7397"/>
    <w:rsid w:val="005472EB"/>
    <w:rsid w:val="005A21B6"/>
    <w:rsid w:val="005A5365"/>
    <w:rsid w:val="005B0635"/>
    <w:rsid w:val="00821405"/>
    <w:rsid w:val="008359F5"/>
    <w:rsid w:val="008C69FD"/>
    <w:rsid w:val="009F3E55"/>
    <w:rsid w:val="00A6472D"/>
    <w:rsid w:val="00AC1B6C"/>
    <w:rsid w:val="00B006F3"/>
    <w:rsid w:val="00B36692"/>
    <w:rsid w:val="00C1450E"/>
    <w:rsid w:val="00C872BC"/>
    <w:rsid w:val="00E37B7D"/>
    <w:rsid w:val="00EA6B0B"/>
    <w:rsid w:val="00FE748B"/>
    <w:rsid w:val="06280A05"/>
    <w:rsid w:val="4DFF3AF6"/>
    <w:rsid w:val="773D4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kern w:val="0"/>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rFonts w:ascii="Tahoma" w:hAnsi="Tahoma" w:cs="Tahoma"/>
      <w:sz w:val="16"/>
      <w:szCs w:val="16"/>
    </w:rPr>
  </w:style>
  <w:style w:type="paragraph" w:styleId="3">
    <w:name w:val="footer"/>
    <w:basedOn w:val="1"/>
    <w:link w:val="9"/>
    <w:unhideWhenUsed/>
    <w:qFormat/>
    <w:uiPriority w:val="99"/>
    <w:pPr>
      <w:tabs>
        <w:tab w:val="center" w:pos="4153"/>
        <w:tab w:val="right" w:pos="8306"/>
      </w:tabs>
      <w:snapToGrid w:val="0"/>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rFonts w:ascii="Times New Roman" w:hAnsi="Times New Roman" w:cs="Times New Roman"/>
      <w:kern w:val="0"/>
      <w:sz w:val="18"/>
      <w:szCs w:val="18"/>
      <w:lang w:eastAsia="en-US"/>
    </w:rPr>
  </w:style>
  <w:style w:type="character" w:customStyle="1" w:styleId="9">
    <w:name w:val="页脚 字符"/>
    <w:basedOn w:val="7"/>
    <w:link w:val="3"/>
    <w:qFormat/>
    <w:uiPriority w:val="99"/>
    <w:rPr>
      <w:rFonts w:ascii="Times New Roman" w:hAnsi="Times New Roman" w:cs="Times New Roman"/>
      <w:kern w:val="0"/>
      <w:sz w:val="18"/>
      <w:szCs w:val="18"/>
      <w:lang w:eastAsia="en-US"/>
    </w:rPr>
  </w:style>
  <w:style w:type="paragraph" w:styleId="10">
    <w:name w:val="List Paragraph"/>
    <w:basedOn w:val="1"/>
    <w:qFormat/>
    <w:uiPriority w:val="34"/>
    <w:pPr>
      <w:ind w:firstLine="420" w:firstLineChars="200"/>
    </w:pPr>
  </w:style>
  <w:style w:type="character" w:customStyle="1" w:styleId="11">
    <w:name w:val="批注框文本 字符"/>
    <w:basedOn w:val="7"/>
    <w:link w:val="2"/>
    <w:semiHidden/>
    <w:uiPriority w:val="99"/>
    <w:rPr>
      <w:rFonts w:ascii="Tahoma" w:hAnsi="Tahoma" w:cs="Tahoma"/>
      <w:kern w:val="0"/>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13081</Words>
  <Characters>74567</Characters>
  <Lines>621</Lines>
  <Paragraphs>174</Paragraphs>
  <TotalTime>0</TotalTime>
  <ScaleCrop>false</ScaleCrop>
  <LinksUpToDate>false</LinksUpToDate>
  <CharactersWithSpaces>87474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2021-08-06T13:06:00Z</dcterms:created>
  <dc:creator>jingjie Wang</dc:creator>
  <cp:lastModifiedBy>晓晨</cp:lastModifiedBy>
  <dcterms:modified xsi:type="dcterms:W3CDTF">2021-08-12T06:05:44Z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D4874324E2B142E7B5685384F1E589AD</vt:lpwstr>
  </property>
</Properties>
</file>