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2ACC83" w14:textId="77777777" w:rsidR="00A77B3E" w:rsidRPr="00533FEF" w:rsidRDefault="0052574D">
      <w:pPr>
        <w:spacing w:line="360" w:lineRule="auto"/>
        <w:jc w:val="both"/>
      </w:pPr>
      <w:r w:rsidRPr="001D5732">
        <w:rPr>
          <w:rFonts w:ascii="Book Antiqua" w:eastAsia="Book Antiqua" w:hAnsi="Book Antiqua" w:cs="Book Antiqua"/>
          <w:b/>
          <w:color w:val="000000"/>
        </w:rPr>
        <w:t xml:space="preserve">Name of Journal: </w:t>
      </w:r>
      <w:r w:rsidRPr="00533FEF">
        <w:rPr>
          <w:rFonts w:ascii="Book Antiqua" w:eastAsia="Book Antiqua" w:hAnsi="Book Antiqua" w:cs="Book Antiqua"/>
          <w:i/>
          <w:color w:val="000000"/>
        </w:rPr>
        <w:t>World Journal of Gastrointestinal Oncology</w:t>
      </w:r>
    </w:p>
    <w:p w14:paraId="23F498A1" w14:textId="77777777" w:rsidR="00A77B3E" w:rsidRPr="00533FEF" w:rsidRDefault="0052574D">
      <w:pPr>
        <w:spacing w:line="360" w:lineRule="auto"/>
        <w:jc w:val="both"/>
      </w:pPr>
      <w:r w:rsidRPr="00533FEF">
        <w:rPr>
          <w:rFonts w:ascii="Book Antiqua" w:eastAsia="Book Antiqua" w:hAnsi="Book Antiqua" w:cs="Book Antiqua"/>
          <w:b/>
          <w:color w:val="000000"/>
        </w:rPr>
        <w:t xml:space="preserve">Manuscript NO: </w:t>
      </w:r>
      <w:r w:rsidRPr="00533FEF">
        <w:rPr>
          <w:rFonts w:ascii="Book Antiqua" w:eastAsia="Book Antiqua" w:hAnsi="Book Antiqua" w:cs="Book Antiqua"/>
          <w:color w:val="000000"/>
        </w:rPr>
        <w:t>64705</w:t>
      </w:r>
    </w:p>
    <w:p w14:paraId="7990268F" w14:textId="77777777" w:rsidR="00A77B3E" w:rsidRPr="00533FEF" w:rsidRDefault="0052574D">
      <w:pPr>
        <w:spacing w:line="360" w:lineRule="auto"/>
        <w:jc w:val="both"/>
      </w:pPr>
      <w:r w:rsidRPr="00533FEF">
        <w:rPr>
          <w:rFonts w:ascii="Book Antiqua" w:eastAsia="Book Antiqua" w:hAnsi="Book Antiqua" w:cs="Book Antiqua"/>
          <w:b/>
          <w:color w:val="000000"/>
        </w:rPr>
        <w:t xml:space="preserve">Manuscript Type: </w:t>
      </w:r>
      <w:bookmarkStart w:id="0" w:name="OLE_LINK150"/>
      <w:bookmarkStart w:id="1" w:name="OLE_LINK151"/>
      <w:r w:rsidRPr="00533FEF">
        <w:rPr>
          <w:rFonts w:ascii="Book Antiqua" w:eastAsia="Book Antiqua" w:hAnsi="Book Antiqua" w:cs="Book Antiqua"/>
          <w:color w:val="000000"/>
        </w:rPr>
        <w:t>REVIEW</w:t>
      </w:r>
      <w:bookmarkEnd w:id="0"/>
      <w:bookmarkEnd w:id="1"/>
    </w:p>
    <w:p w14:paraId="2A24467E" w14:textId="77777777" w:rsidR="00A77B3E" w:rsidRPr="00533FEF" w:rsidRDefault="00A77B3E">
      <w:pPr>
        <w:spacing w:line="360" w:lineRule="auto"/>
        <w:jc w:val="both"/>
      </w:pPr>
    </w:p>
    <w:p w14:paraId="4CB12411" w14:textId="77777777" w:rsidR="00A77B3E" w:rsidRPr="00533FEF" w:rsidRDefault="0052574D">
      <w:pPr>
        <w:spacing w:line="360" w:lineRule="auto"/>
        <w:jc w:val="both"/>
        <w:rPr>
          <w:lang w:eastAsia="zh-CN"/>
        </w:rPr>
      </w:pPr>
      <w:bookmarkStart w:id="2" w:name="OLE_LINK43"/>
      <w:bookmarkStart w:id="3" w:name="OLE_LINK44"/>
      <w:bookmarkStart w:id="4" w:name="OLE_LINK142"/>
      <w:bookmarkStart w:id="5" w:name="OLE_LINK156"/>
      <w:r w:rsidRPr="00533FEF">
        <w:rPr>
          <w:rFonts w:ascii="Book Antiqua" w:eastAsia="Book Antiqua" w:hAnsi="Book Antiqua" w:cs="Book Antiqua"/>
          <w:b/>
          <w:color w:val="000000"/>
        </w:rPr>
        <w:t>Real-time fluorescence image-guided gastr</w:t>
      </w:r>
      <w:r w:rsidR="00400BF9" w:rsidRPr="00533FEF">
        <w:rPr>
          <w:rFonts w:ascii="Book Antiqua" w:eastAsia="Book Antiqua" w:hAnsi="Book Antiqua" w:cs="Book Antiqua"/>
          <w:b/>
          <w:color w:val="000000"/>
        </w:rPr>
        <w:t xml:space="preserve">ointestinal oncologic surgery: </w:t>
      </w:r>
      <w:r w:rsidR="00400BF9" w:rsidRPr="00533FEF">
        <w:rPr>
          <w:rFonts w:ascii="Book Antiqua" w:hAnsi="Book Antiqua" w:cs="Book Antiqua"/>
          <w:b/>
          <w:color w:val="000000"/>
          <w:lang w:eastAsia="zh-CN"/>
        </w:rPr>
        <w:t>T</w:t>
      </w:r>
      <w:r w:rsidRPr="00533FEF">
        <w:rPr>
          <w:rFonts w:ascii="Book Antiqua" w:eastAsia="Book Antiqua" w:hAnsi="Book Antiqua" w:cs="Book Antiqua"/>
          <w:b/>
          <w:color w:val="000000"/>
        </w:rPr>
        <w:t>owards a new era</w:t>
      </w:r>
    </w:p>
    <w:bookmarkEnd w:id="2"/>
    <w:bookmarkEnd w:id="3"/>
    <w:bookmarkEnd w:id="4"/>
    <w:bookmarkEnd w:id="5"/>
    <w:p w14:paraId="42C18747" w14:textId="77777777" w:rsidR="00A77B3E" w:rsidRPr="00533FEF" w:rsidRDefault="00A77B3E">
      <w:pPr>
        <w:spacing w:line="360" w:lineRule="auto"/>
        <w:jc w:val="both"/>
      </w:pPr>
    </w:p>
    <w:p w14:paraId="156F863D" w14:textId="77777777" w:rsidR="00A77B3E" w:rsidRPr="00533FEF" w:rsidRDefault="00036B02">
      <w:pPr>
        <w:spacing w:line="360" w:lineRule="auto"/>
        <w:jc w:val="both"/>
        <w:rPr>
          <w:lang w:eastAsia="zh-CN"/>
        </w:rPr>
      </w:pPr>
      <w:r w:rsidRPr="00C07FE5">
        <w:rPr>
          <w:rFonts w:ascii="Book Antiqua" w:eastAsia="Book Antiqua" w:hAnsi="Book Antiqua" w:cs="Book Antiqua"/>
          <w:color w:val="000000"/>
          <w:lang w:val="es-ES"/>
        </w:rPr>
        <w:t xml:space="preserve">Martínez-López </w:t>
      </w:r>
      <w:r w:rsidRPr="00C07FE5">
        <w:rPr>
          <w:rFonts w:ascii="Book Antiqua" w:hAnsi="Book Antiqua" w:cs="Book Antiqua"/>
          <w:color w:val="000000"/>
          <w:lang w:val="es-ES" w:eastAsia="zh-CN"/>
        </w:rPr>
        <w:t xml:space="preserve">E </w:t>
      </w:r>
      <w:r w:rsidRPr="00C07FE5">
        <w:rPr>
          <w:rFonts w:ascii="Book Antiqua" w:hAnsi="Book Antiqua" w:cs="Book Antiqua"/>
          <w:i/>
          <w:color w:val="000000"/>
          <w:lang w:val="es-ES" w:eastAsia="zh-CN"/>
        </w:rPr>
        <w:t>et al</w:t>
      </w:r>
      <w:r w:rsidRPr="00C07FE5">
        <w:rPr>
          <w:rFonts w:ascii="Book Antiqua" w:hAnsi="Book Antiqua" w:cs="Book Antiqua"/>
          <w:color w:val="000000"/>
          <w:lang w:val="es-ES" w:eastAsia="zh-CN"/>
        </w:rPr>
        <w:t xml:space="preserve">. </w:t>
      </w:r>
      <w:bookmarkStart w:id="6" w:name="OLE_LINK143"/>
      <w:bookmarkStart w:id="7" w:name="OLE_LINK144"/>
      <w:bookmarkStart w:id="8" w:name="OLE_LINK157"/>
      <w:r w:rsidR="0052574D" w:rsidRPr="001D5732">
        <w:rPr>
          <w:rFonts w:ascii="Book Antiqua" w:eastAsia="Book Antiqua" w:hAnsi="Book Antiqua" w:cs="Book Antiqua"/>
          <w:color w:val="000000"/>
        </w:rPr>
        <w:t>Fluorescence image-guided gastrointestinal oncologic surgery</w:t>
      </w:r>
      <w:bookmarkEnd w:id="6"/>
      <w:bookmarkEnd w:id="7"/>
      <w:bookmarkEnd w:id="8"/>
    </w:p>
    <w:p w14:paraId="727D84A9" w14:textId="77777777" w:rsidR="00A77B3E" w:rsidRPr="001D5732" w:rsidRDefault="00A77B3E">
      <w:pPr>
        <w:spacing w:line="360" w:lineRule="auto"/>
        <w:jc w:val="both"/>
      </w:pPr>
    </w:p>
    <w:p w14:paraId="54573191" w14:textId="77777777" w:rsidR="00A77B3E" w:rsidRPr="00C07FE5" w:rsidRDefault="0052574D">
      <w:pPr>
        <w:spacing w:line="360" w:lineRule="auto"/>
        <w:jc w:val="both"/>
        <w:rPr>
          <w:lang w:val="es-ES"/>
        </w:rPr>
      </w:pPr>
      <w:bookmarkStart w:id="9" w:name="OLE_LINK4"/>
      <w:bookmarkStart w:id="10" w:name="OLE_LINK5"/>
      <w:r w:rsidRPr="00C07FE5">
        <w:rPr>
          <w:rFonts w:ascii="Book Antiqua" w:eastAsia="Book Antiqua" w:hAnsi="Book Antiqua" w:cs="Book Antiqua"/>
          <w:color w:val="000000"/>
          <w:lang w:val="es-ES"/>
        </w:rPr>
        <w:t xml:space="preserve">Elías </w:t>
      </w:r>
      <w:bookmarkStart w:id="11" w:name="OLE_LINK1"/>
      <w:bookmarkStart w:id="12" w:name="OLE_LINK2"/>
      <w:r w:rsidRPr="00C07FE5">
        <w:rPr>
          <w:rFonts w:ascii="Book Antiqua" w:eastAsia="Book Antiqua" w:hAnsi="Book Antiqua" w:cs="Book Antiqua"/>
          <w:color w:val="000000"/>
          <w:lang w:val="es-ES"/>
        </w:rPr>
        <w:t>Martínez-López</w:t>
      </w:r>
      <w:bookmarkEnd w:id="11"/>
      <w:bookmarkEnd w:id="12"/>
      <w:r w:rsidRPr="00C07FE5">
        <w:rPr>
          <w:rFonts w:ascii="Book Antiqua" w:eastAsia="Book Antiqua" w:hAnsi="Book Antiqua" w:cs="Book Antiqua"/>
          <w:color w:val="000000"/>
          <w:lang w:val="es-ES"/>
        </w:rPr>
        <w:t xml:space="preserve">, Aleix Martínez-Pérez, </w:t>
      </w:r>
      <w:bookmarkEnd w:id="9"/>
      <w:bookmarkEnd w:id="10"/>
      <w:r w:rsidRPr="00C07FE5">
        <w:rPr>
          <w:rFonts w:ascii="Book Antiqua" w:eastAsia="Book Antiqua" w:hAnsi="Book Antiqua" w:cs="Book Antiqua"/>
          <w:color w:val="000000"/>
          <w:lang w:val="es-ES"/>
        </w:rPr>
        <w:t>Sergio Navarro-Martínez, Juan Carlos Sebastián-Tomás, Nicola de'Angelis,</w:t>
      </w:r>
      <w:bookmarkStart w:id="13" w:name="OLE_LINK6"/>
      <w:bookmarkStart w:id="14" w:name="OLE_LINK7"/>
      <w:r w:rsidRPr="00C07FE5">
        <w:rPr>
          <w:rFonts w:ascii="Book Antiqua" w:eastAsia="Book Antiqua" w:hAnsi="Book Antiqua" w:cs="Book Antiqua"/>
          <w:color w:val="000000"/>
          <w:lang w:val="es-ES"/>
        </w:rPr>
        <w:t xml:space="preserve"> Eduardo García-Granero</w:t>
      </w:r>
      <w:bookmarkEnd w:id="13"/>
      <w:bookmarkEnd w:id="14"/>
    </w:p>
    <w:p w14:paraId="3015705A" w14:textId="77777777" w:rsidR="00A77B3E" w:rsidRPr="00C07FE5" w:rsidRDefault="00A77B3E">
      <w:pPr>
        <w:spacing w:line="360" w:lineRule="auto"/>
        <w:jc w:val="both"/>
        <w:rPr>
          <w:lang w:val="es-ES"/>
        </w:rPr>
      </w:pPr>
    </w:p>
    <w:p w14:paraId="4183FD05" w14:textId="77777777" w:rsidR="00A77B3E" w:rsidRPr="00C07FE5" w:rsidRDefault="0052574D">
      <w:pPr>
        <w:spacing w:line="360" w:lineRule="auto"/>
        <w:jc w:val="both"/>
        <w:rPr>
          <w:lang w:val="es-ES"/>
        </w:rPr>
      </w:pPr>
      <w:r w:rsidRPr="00C07FE5">
        <w:rPr>
          <w:rFonts w:ascii="Book Antiqua" w:eastAsia="Book Antiqua" w:hAnsi="Book Antiqua" w:cs="Book Antiqua"/>
          <w:b/>
          <w:bCs/>
          <w:color w:val="000000"/>
          <w:lang w:val="es-ES"/>
        </w:rPr>
        <w:t xml:space="preserve">Elías Martínez-López, Juan Carlos Sebastián-Tomás, Eduardo García-Granero, </w:t>
      </w:r>
      <w:bookmarkStart w:id="15" w:name="OLE_LINK3"/>
      <w:r w:rsidRPr="00C07FE5">
        <w:rPr>
          <w:rFonts w:ascii="Book Antiqua" w:eastAsia="Book Antiqua" w:hAnsi="Book Antiqua" w:cs="Book Antiqua"/>
          <w:color w:val="000000"/>
          <w:lang w:val="es-ES"/>
        </w:rPr>
        <w:t>Department of</w:t>
      </w:r>
      <w:bookmarkEnd w:id="15"/>
      <w:r w:rsidRPr="00C07FE5">
        <w:rPr>
          <w:rFonts w:ascii="Book Antiqua" w:eastAsia="Book Antiqua" w:hAnsi="Book Antiqua" w:cs="Book Antiqua"/>
          <w:color w:val="000000"/>
          <w:lang w:val="es-ES"/>
        </w:rPr>
        <w:t xml:space="preserve"> Surgery, University of Valencia, Valencia 46010, </w:t>
      </w:r>
      <w:bookmarkStart w:id="16" w:name="OLE_LINK145"/>
      <w:bookmarkStart w:id="17" w:name="OLE_LINK146"/>
      <w:r w:rsidRPr="00C07FE5">
        <w:rPr>
          <w:rFonts w:ascii="Book Antiqua" w:eastAsia="Book Antiqua" w:hAnsi="Book Antiqua" w:cs="Book Antiqua"/>
          <w:color w:val="000000"/>
          <w:lang w:val="es-ES"/>
        </w:rPr>
        <w:t>Spain</w:t>
      </w:r>
      <w:bookmarkEnd w:id="16"/>
      <w:bookmarkEnd w:id="17"/>
    </w:p>
    <w:p w14:paraId="7F8E77DD" w14:textId="77777777" w:rsidR="00A77B3E" w:rsidRPr="00C07FE5" w:rsidRDefault="00A77B3E">
      <w:pPr>
        <w:spacing w:line="360" w:lineRule="auto"/>
        <w:jc w:val="both"/>
        <w:rPr>
          <w:lang w:val="es-ES"/>
        </w:rPr>
      </w:pPr>
    </w:p>
    <w:p w14:paraId="17994B54" w14:textId="77777777" w:rsidR="00A77B3E" w:rsidRPr="00C07FE5" w:rsidRDefault="0052574D">
      <w:pPr>
        <w:spacing w:line="360" w:lineRule="auto"/>
        <w:jc w:val="both"/>
        <w:rPr>
          <w:lang w:val="es-ES"/>
        </w:rPr>
      </w:pPr>
      <w:r w:rsidRPr="00C07FE5">
        <w:rPr>
          <w:rFonts w:ascii="Book Antiqua" w:eastAsia="Book Antiqua" w:hAnsi="Book Antiqua" w:cs="Book Antiqua"/>
          <w:b/>
          <w:bCs/>
          <w:color w:val="000000"/>
          <w:lang w:val="es-ES"/>
        </w:rPr>
        <w:t xml:space="preserve">Elías Martínez-López, Sergio Navarro-Martínez, Juan Carlos Sebastián-Tomás, </w:t>
      </w:r>
      <w:bookmarkStart w:id="18" w:name="OLE_LINK147"/>
      <w:bookmarkStart w:id="19" w:name="OLE_LINK148"/>
      <w:bookmarkStart w:id="20" w:name="OLE_LINK149"/>
      <w:r w:rsidR="00226031" w:rsidRPr="00C07FE5">
        <w:rPr>
          <w:rFonts w:ascii="Book Antiqua" w:eastAsia="Book Antiqua" w:hAnsi="Book Antiqua" w:cs="Book Antiqua"/>
          <w:color w:val="000000"/>
          <w:lang w:val="es-ES"/>
        </w:rPr>
        <w:t xml:space="preserve">Department of </w:t>
      </w:r>
      <w:bookmarkEnd w:id="18"/>
      <w:bookmarkEnd w:id="19"/>
      <w:bookmarkEnd w:id="20"/>
      <w:r w:rsidRPr="00C07FE5">
        <w:rPr>
          <w:rFonts w:ascii="Book Antiqua" w:eastAsia="Book Antiqua" w:hAnsi="Book Antiqua" w:cs="Book Antiqua"/>
          <w:color w:val="000000"/>
          <w:lang w:val="es-ES"/>
        </w:rPr>
        <w:t>General and Digestive Surgery, Hospital Universitario Doctor Peset, Valencia 46017, Spain</w:t>
      </w:r>
    </w:p>
    <w:p w14:paraId="6EEB9AAC" w14:textId="77777777" w:rsidR="00A77B3E" w:rsidRPr="00C07FE5" w:rsidRDefault="00A77B3E">
      <w:pPr>
        <w:spacing w:line="360" w:lineRule="auto"/>
        <w:jc w:val="both"/>
        <w:rPr>
          <w:lang w:val="es-ES"/>
        </w:rPr>
      </w:pPr>
    </w:p>
    <w:p w14:paraId="5F99AB6C" w14:textId="77777777" w:rsidR="00A77B3E" w:rsidRPr="001D5732" w:rsidRDefault="0052574D">
      <w:pPr>
        <w:spacing w:line="360" w:lineRule="auto"/>
        <w:jc w:val="both"/>
      </w:pPr>
      <w:r w:rsidRPr="001D5732">
        <w:rPr>
          <w:rFonts w:ascii="Book Antiqua" w:eastAsia="Book Antiqua" w:hAnsi="Book Antiqua" w:cs="Book Antiqua"/>
          <w:b/>
          <w:bCs/>
          <w:color w:val="000000"/>
        </w:rPr>
        <w:t xml:space="preserve">Aleix Martínez-Pérez, </w:t>
      </w:r>
      <w:r w:rsidRPr="00533FEF">
        <w:rPr>
          <w:rFonts w:ascii="Book Antiqua" w:eastAsia="Book Antiqua" w:hAnsi="Book Antiqua" w:cs="Book Antiqua"/>
          <w:color w:val="000000"/>
        </w:rPr>
        <w:t>Faculty of Health Sciences, Valencian International University, Valencia 46002, Spain</w:t>
      </w:r>
    </w:p>
    <w:p w14:paraId="255240A7" w14:textId="77777777" w:rsidR="00A77B3E" w:rsidRPr="001D5732" w:rsidRDefault="00A77B3E">
      <w:pPr>
        <w:spacing w:line="360" w:lineRule="auto"/>
        <w:jc w:val="both"/>
      </w:pPr>
    </w:p>
    <w:p w14:paraId="5F870827" w14:textId="77777777" w:rsidR="00A77B3E" w:rsidRPr="001D5732" w:rsidRDefault="0052574D">
      <w:pPr>
        <w:spacing w:line="360" w:lineRule="auto"/>
        <w:jc w:val="both"/>
      </w:pPr>
      <w:r w:rsidRPr="001D5732">
        <w:rPr>
          <w:rFonts w:ascii="Book Antiqua" w:eastAsia="Book Antiqua" w:hAnsi="Book Antiqua" w:cs="Book Antiqua"/>
          <w:b/>
          <w:bCs/>
          <w:color w:val="000000"/>
        </w:rPr>
        <w:t xml:space="preserve">Aleix Martínez-Pérez, Nicola de'Angelis, </w:t>
      </w:r>
      <w:r w:rsidRPr="001D5732">
        <w:rPr>
          <w:rFonts w:ascii="Book Antiqua" w:eastAsia="Book Antiqua" w:hAnsi="Book Antiqua" w:cs="Book Antiqua"/>
          <w:color w:val="000000"/>
        </w:rPr>
        <w:t xml:space="preserve">Minimally Invasive and </w:t>
      </w:r>
      <w:r w:rsidR="00226031" w:rsidRPr="001D5732">
        <w:rPr>
          <w:rFonts w:ascii="Book Antiqua" w:eastAsia="Book Antiqua" w:hAnsi="Book Antiqua" w:cs="Book Antiqua"/>
          <w:color w:val="000000"/>
        </w:rPr>
        <w:t>Robotic Digestive Surgery Unit</w:t>
      </w:r>
      <w:r w:rsidRPr="001D5732">
        <w:rPr>
          <w:rFonts w:ascii="Book Antiqua" w:eastAsia="Book Antiqua" w:hAnsi="Book Antiqua" w:cs="Book Antiqua"/>
          <w:color w:val="000000"/>
        </w:rPr>
        <w:t>, Miulli Hospital, Acquaviva delle Fonti 70021, Italy</w:t>
      </w:r>
    </w:p>
    <w:p w14:paraId="5A50B6EE" w14:textId="77777777" w:rsidR="00A77B3E" w:rsidRPr="001D5732" w:rsidRDefault="00A77B3E">
      <w:pPr>
        <w:spacing w:line="360" w:lineRule="auto"/>
        <w:jc w:val="both"/>
      </w:pPr>
    </w:p>
    <w:p w14:paraId="65869E7A" w14:textId="77777777" w:rsidR="00A77B3E" w:rsidRPr="001D5732" w:rsidRDefault="0052574D">
      <w:pPr>
        <w:spacing w:line="360" w:lineRule="auto"/>
        <w:jc w:val="both"/>
      </w:pPr>
      <w:r w:rsidRPr="001D5732">
        <w:rPr>
          <w:rFonts w:ascii="Book Antiqua" w:eastAsia="Book Antiqua" w:hAnsi="Book Antiqua" w:cs="Book Antiqua"/>
          <w:b/>
          <w:bCs/>
          <w:color w:val="000000"/>
        </w:rPr>
        <w:t xml:space="preserve">Eduardo García-Granero, </w:t>
      </w:r>
      <w:r w:rsidR="00226031" w:rsidRPr="001D5732">
        <w:rPr>
          <w:rFonts w:ascii="Book Antiqua" w:eastAsia="Book Antiqua" w:hAnsi="Book Antiqua" w:cs="Book Antiqua"/>
          <w:color w:val="000000"/>
        </w:rPr>
        <w:t>Department of</w:t>
      </w:r>
      <w:r w:rsidR="00226031" w:rsidRPr="001D5732">
        <w:rPr>
          <w:rFonts w:ascii="Book Antiqua" w:hAnsi="Book Antiqua" w:cs="Book Antiqua"/>
          <w:color w:val="000000"/>
          <w:lang w:eastAsia="zh-CN"/>
        </w:rPr>
        <w:t xml:space="preserve"> </w:t>
      </w:r>
      <w:r w:rsidRPr="001D5732">
        <w:rPr>
          <w:rFonts w:ascii="Book Antiqua" w:eastAsia="Book Antiqua" w:hAnsi="Book Antiqua" w:cs="Book Antiqua"/>
          <w:color w:val="000000"/>
        </w:rPr>
        <w:t>General and Digestive Surgery, Hospital Universitario y Politécnico La Fe, Valencia 46026, Spain</w:t>
      </w:r>
    </w:p>
    <w:p w14:paraId="787A9C3D" w14:textId="77777777" w:rsidR="00A77B3E" w:rsidRPr="001D5732" w:rsidRDefault="00A77B3E">
      <w:pPr>
        <w:spacing w:line="360" w:lineRule="auto"/>
        <w:jc w:val="both"/>
      </w:pPr>
    </w:p>
    <w:p w14:paraId="12C8BBE9" w14:textId="41BFE43E" w:rsidR="00A77B3E" w:rsidRPr="001D5732" w:rsidRDefault="0052574D">
      <w:pPr>
        <w:spacing w:line="360" w:lineRule="auto"/>
        <w:jc w:val="both"/>
      </w:pPr>
      <w:r w:rsidRPr="001D5732">
        <w:rPr>
          <w:rFonts w:ascii="Book Antiqua" w:eastAsia="Book Antiqua" w:hAnsi="Book Antiqua" w:cs="Book Antiqua"/>
          <w:b/>
          <w:bCs/>
          <w:color w:val="000000"/>
        </w:rPr>
        <w:t xml:space="preserve">Author contributions: </w:t>
      </w:r>
      <w:bookmarkStart w:id="21" w:name="OLE_LINK158"/>
      <w:bookmarkStart w:id="22" w:name="OLE_LINK159"/>
      <w:r w:rsidR="00F11BCA" w:rsidRPr="001D5732">
        <w:rPr>
          <w:rFonts w:ascii="Book Antiqua" w:eastAsia="Book Antiqua" w:hAnsi="Book Antiqua" w:cs="Book Antiqua"/>
          <w:color w:val="000000"/>
        </w:rPr>
        <w:t>Martínez-López</w:t>
      </w:r>
      <w:r w:rsidR="00F11BCA" w:rsidRPr="001D5732">
        <w:rPr>
          <w:rFonts w:ascii="Book Antiqua" w:hAnsi="Book Antiqua" w:cs="Book Antiqua"/>
          <w:color w:val="000000"/>
          <w:lang w:eastAsia="zh-CN"/>
        </w:rPr>
        <w:t xml:space="preserve"> E</w:t>
      </w:r>
      <w:r w:rsidR="00F11BCA" w:rsidRPr="001D5732">
        <w:rPr>
          <w:rFonts w:ascii="Book Antiqua" w:eastAsia="Book Antiqua" w:hAnsi="Book Antiqua" w:cs="Book Antiqua"/>
          <w:color w:val="000000"/>
        </w:rPr>
        <w:t>, Martínez-Pérez</w:t>
      </w:r>
      <w:r w:rsidR="00F11BCA" w:rsidRPr="001D5732">
        <w:rPr>
          <w:rFonts w:ascii="Book Antiqua" w:hAnsi="Book Antiqua" w:cs="Book Antiqua"/>
          <w:color w:val="000000"/>
          <w:lang w:eastAsia="zh-CN"/>
        </w:rPr>
        <w:t xml:space="preserve"> A and</w:t>
      </w:r>
      <w:r w:rsidR="00F11BCA" w:rsidRPr="001D5732">
        <w:rPr>
          <w:rFonts w:ascii="Book Antiqua" w:eastAsia="Book Antiqua" w:hAnsi="Book Antiqua" w:cs="Book Antiqua"/>
          <w:color w:val="000000"/>
        </w:rPr>
        <w:t xml:space="preserve"> García-Granero</w:t>
      </w:r>
      <w:r w:rsidR="00F11BCA" w:rsidRPr="001D5732">
        <w:rPr>
          <w:rFonts w:ascii="Book Antiqua" w:hAnsi="Book Antiqua" w:cs="Book Antiqua"/>
          <w:color w:val="000000"/>
          <w:lang w:eastAsia="zh-CN"/>
        </w:rPr>
        <w:t xml:space="preserve"> E</w:t>
      </w:r>
      <w:r w:rsidR="00F11BCA" w:rsidRPr="001D5732">
        <w:rPr>
          <w:rFonts w:ascii="Book Antiqua" w:eastAsia="Book Antiqua" w:hAnsi="Book Antiqua" w:cs="Book Antiqua"/>
          <w:color w:val="000000"/>
        </w:rPr>
        <w:t xml:space="preserve"> </w:t>
      </w:r>
      <w:bookmarkStart w:id="23" w:name="OLE_LINK10"/>
      <w:r w:rsidR="00F11BCA" w:rsidRPr="001D5732">
        <w:rPr>
          <w:rFonts w:ascii="Book Antiqua" w:hAnsi="Book Antiqua" w:cs="Book Antiqua"/>
          <w:color w:val="000000"/>
          <w:lang w:eastAsia="zh-CN"/>
        </w:rPr>
        <w:t>contributed to</w:t>
      </w:r>
      <w:bookmarkEnd w:id="23"/>
      <w:r w:rsidR="00F11BCA" w:rsidRPr="001D5732">
        <w:rPr>
          <w:rFonts w:ascii="Book Antiqua" w:hAnsi="Book Antiqua" w:cs="Book Antiqua"/>
          <w:color w:val="000000"/>
          <w:lang w:eastAsia="zh-CN"/>
        </w:rPr>
        <w:t xml:space="preserve"> c</w:t>
      </w:r>
      <w:r w:rsidRPr="001D5732">
        <w:rPr>
          <w:rFonts w:ascii="Book Antiqua" w:eastAsia="Book Antiqua" w:hAnsi="Book Antiqua" w:cs="Book Antiqua"/>
          <w:color w:val="000000"/>
        </w:rPr>
        <w:t>o</w:t>
      </w:r>
      <w:r w:rsidR="00F11BCA" w:rsidRPr="001D5732">
        <w:rPr>
          <w:rFonts w:ascii="Book Antiqua" w:eastAsia="Book Antiqua" w:hAnsi="Book Antiqua" w:cs="Book Antiqua"/>
          <w:color w:val="000000"/>
        </w:rPr>
        <w:t>nception and design of the work</w:t>
      </w:r>
      <w:r w:rsidR="00F11BCA" w:rsidRPr="001D5732">
        <w:rPr>
          <w:rFonts w:ascii="Book Antiqua" w:hAnsi="Book Antiqua" w:cs="Book Antiqua"/>
          <w:color w:val="000000"/>
          <w:lang w:eastAsia="zh-CN"/>
        </w:rPr>
        <w:t>;</w:t>
      </w:r>
      <w:bookmarkStart w:id="24" w:name="OLE_LINK11"/>
      <w:bookmarkStart w:id="25" w:name="OLE_LINK12"/>
      <w:r w:rsidRPr="001D5732">
        <w:rPr>
          <w:rFonts w:ascii="Book Antiqua" w:eastAsia="Book Antiqua" w:hAnsi="Book Antiqua" w:cs="Book Antiqua"/>
          <w:color w:val="000000"/>
        </w:rPr>
        <w:t xml:space="preserve"> </w:t>
      </w:r>
      <w:r w:rsidR="00F11BCA" w:rsidRPr="001D5732">
        <w:rPr>
          <w:rFonts w:ascii="Book Antiqua" w:eastAsia="Book Antiqua" w:hAnsi="Book Antiqua" w:cs="Book Antiqua"/>
          <w:color w:val="000000"/>
        </w:rPr>
        <w:t xml:space="preserve">all authors </w:t>
      </w:r>
      <w:r w:rsidR="00F11BCA" w:rsidRPr="001D5732">
        <w:rPr>
          <w:rFonts w:ascii="Book Antiqua" w:hAnsi="Book Antiqua" w:cs="Book Antiqua"/>
          <w:color w:val="000000"/>
          <w:lang w:eastAsia="zh-CN"/>
        </w:rPr>
        <w:t>contributed to</w:t>
      </w:r>
      <w:bookmarkEnd w:id="24"/>
      <w:bookmarkEnd w:id="25"/>
      <w:r w:rsidR="00F11BCA" w:rsidRPr="001D5732">
        <w:rPr>
          <w:rFonts w:ascii="Book Antiqua" w:hAnsi="Book Antiqua" w:cs="Book Antiqua"/>
          <w:color w:val="000000"/>
          <w:lang w:eastAsia="zh-CN"/>
        </w:rPr>
        <w:t xml:space="preserve"> d</w:t>
      </w:r>
      <w:r w:rsidRPr="001D5732">
        <w:rPr>
          <w:rFonts w:ascii="Book Antiqua" w:eastAsia="Book Antiqua" w:hAnsi="Book Antiqua" w:cs="Book Antiqua"/>
          <w:color w:val="000000"/>
        </w:rPr>
        <w:t xml:space="preserve">rafting of </w:t>
      </w:r>
      <w:r w:rsidRPr="001D5732">
        <w:rPr>
          <w:rFonts w:ascii="Book Antiqua" w:eastAsia="Book Antiqua" w:hAnsi="Book Antiqua" w:cs="Book Antiqua"/>
          <w:color w:val="000000"/>
        </w:rPr>
        <w:lastRenderedPageBreak/>
        <w:t>the manuscript and critical revision for important intellectual content</w:t>
      </w:r>
      <w:r w:rsidR="00F11BCA" w:rsidRPr="001D5732">
        <w:rPr>
          <w:rFonts w:ascii="Book Antiqua" w:hAnsi="Book Antiqua" w:cs="Book Antiqua"/>
          <w:color w:val="000000"/>
          <w:lang w:eastAsia="zh-CN"/>
        </w:rPr>
        <w:t xml:space="preserve">; </w:t>
      </w:r>
      <w:r w:rsidR="00B04E4C" w:rsidRPr="001D5732">
        <w:rPr>
          <w:rFonts w:ascii="Book Antiqua" w:eastAsia="Book Antiqua" w:hAnsi="Book Antiqua" w:cs="Book Antiqua"/>
          <w:color w:val="000000"/>
        </w:rPr>
        <w:t>A</w:t>
      </w:r>
      <w:r w:rsidR="00F11BCA" w:rsidRPr="001D5732">
        <w:rPr>
          <w:rFonts w:ascii="Book Antiqua" w:eastAsia="Book Antiqua" w:hAnsi="Book Antiqua" w:cs="Book Antiqua"/>
          <w:color w:val="000000"/>
        </w:rPr>
        <w:t xml:space="preserve">ll authors </w:t>
      </w:r>
      <w:r w:rsidR="000C6315" w:rsidRPr="001D5732">
        <w:rPr>
          <w:rFonts w:ascii="Book Antiqua" w:hAnsi="Book Antiqua" w:cs="Book Antiqua"/>
          <w:color w:val="000000"/>
          <w:lang w:eastAsia="zh-CN"/>
        </w:rPr>
        <w:t>approved</w:t>
      </w:r>
      <w:r w:rsidRPr="001D5732">
        <w:rPr>
          <w:rFonts w:ascii="Book Antiqua" w:eastAsia="Book Antiqua" w:hAnsi="Book Antiqua" w:cs="Book Antiqua"/>
          <w:color w:val="000000"/>
        </w:rPr>
        <w:t xml:space="preserve"> the final version.</w:t>
      </w:r>
      <w:bookmarkEnd w:id="21"/>
      <w:bookmarkEnd w:id="22"/>
    </w:p>
    <w:p w14:paraId="39DD94EA" w14:textId="77777777" w:rsidR="00A77B3E" w:rsidRPr="001D5732" w:rsidRDefault="00A77B3E">
      <w:pPr>
        <w:spacing w:line="360" w:lineRule="auto"/>
        <w:jc w:val="both"/>
      </w:pPr>
    </w:p>
    <w:p w14:paraId="04A6A27D" w14:textId="1C39FBEF" w:rsidR="00A77B3E" w:rsidRPr="001D5732" w:rsidRDefault="0052574D">
      <w:pPr>
        <w:spacing w:line="360" w:lineRule="auto"/>
        <w:jc w:val="both"/>
      </w:pPr>
      <w:r w:rsidRPr="001D5732">
        <w:rPr>
          <w:rFonts w:ascii="Book Antiqua" w:eastAsia="Book Antiqua" w:hAnsi="Book Antiqua" w:cs="Book Antiqua"/>
          <w:b/>
          <w:bCs/>
          <w:color w:val="000000"/>
        </w:rPr>
        <w:t xml:space="preserve">Corresponding author: Aleix Martínez-Pérez, MD, PhD, </w:t>
      </w:r>
      <w:r w:rsidRPr="001D5732">
        <w:rPr>
          <w:rFonts w:ascii="Book Antiqua" w:eastAsia="Book Antiqua" w:hAnsi="Book Antiqua" w:cs="Book Antiqua"/>
          <w:color w:val="000000"/>
        </w:rPr>
        <w:t>Faculty of Health Sciences, Valencian International University, Pintor Sorolla 21, Valencia 46002, Spain. aleix.martinez.perez@gmail.com</w:t>
      </w:r>
    </w:p>
    <w:p w14:paraId="07B441D9" w14:textId="77777777" w:rsidR="00A77B3E" w:rsidRPr="001D5732" w:rsidRDefault="00A77B3E">
      <w:pPr>
        <w:spacing w:line="360" w:lineRule="auto"/>
        <w:jc w:val="both"/>
      </w:pPr>
    </w:p>
    <w:p w14:paraId="294ECA4C" w14:textId="77777777" w:rsidR="00A77B3E" w:rsidRPr="001D5732" w:rsidRDefault="0052574D">
      <w:pPr>
        <w:spacing w:line="360" w:lineRule="auto"/>
        <w:jc w:val="both"/>
      </w:pPr>
      <w:r w:rsidRPr="001D5732">
        <w:rPr>
          <w:rFonts w:ascii="Book Antiqua" w:eastAsia="Book Antiqua" w:hAnsi="Book Antiqua" w:cs="Book Antiqua"/>
          <w:b/>
          <w:bCs/>
          <w:color w:val="000000"/>
        </w:rPr>
        <w:t xml:space="preserve">Received: </w:t>
      </w:r>
      <w:r w:rsidRPr="001D5732">
        <w:rPr>
          <w:rFonts w:ascii="Book Antiqua" w:eastAsia="Book Antiqua" w:hAnsi="Book Antiqua" w:cs="Book Antiqua"/>
          <w:color w:val="000000"/>
        </w:rPr>
        <w:t>February 22, 2021</w:t>
      </w:r>
    </w:p>
    <w:p w14:paraId="4EB37C62" w14:textId="77777777" w:rsidR="000939DF" w:rsidRPr="001D5732" w:rsidRDefault="0052574D">
      <w:pPr>
        <w:spacing w:line="360" w:lineRule="auto"/>
        <w:jc w:val="both"/>
        <w:rPr>
          <w:rFonts w:ascii="Book Antiqua" w:hAnsi="Book Antiqua" w:cs="Book Antiqua"/>
          <w:bCs/>
          <w:color w:val="000000"/>
          <w:lang w:eastAsia="zh-CN"/>
        </w:rPr>
      </w:pPr>
      <w:r w:rsidRPr="001D5732">
        <w:rPr>
          <w:rFonts w:ascii="Book Antiqua" w:eastAsia="Book Antiqua" w:hAnsi="Book Antiqua" w:cs="Book Antiqua"/>
          <w:b/>
          <w:bCs/>
          <w:color w:val="000000"/>
        </w:rPr>
        <w:t xml:space="preserve">Revised: </w:t>
      </w:r>
      <w:r w:rsidR="000939DF" w:rsidRPr="001D5732">
        <w:rPr>
          <w:rFonts w:ascii="Book Antiqua" w:hAnsi="Book Antiqua" w:cs="Book Antiqua"/>
          <w:bCs/>
          <w:color w:val="000000"/>
          <w:lang w:eastAsia="zh-CN"/>
        </w:rPr>
        <w:t>June 14, 2021</w:t>
      </w:r>
    </w:p>
    <w:p w14:paraId="56B78CF9" w14:textId="28D6C5BD" w:rsidR="00A77B3E" w:rsidRPr="001D5732" w:rsidRDefault="0052574D">
      <w:pPr>
        <w:spacing w:line="360" w:lineRule="auto"/>
        <w:jc w:val="both"/>
      </w:pPr>
      <w:r w:rsidRPr="001D5732">
        <w:rPr>
          <w:rFonts w:ascii="Book Antiqua" w:eastAsia="Book Antiqua" w:hAnsi="Book Antiqua" w:cs="Book Antiqua"/>
          <w:b/>
          <w:bCs/>
          <w:color w:val="000000"/>
        </w:rPr>
        <w:t xml:space="preserve">Accepted: </w:t>
      </w:r>
      <w:bookmarkStart w:id="26" w:name="OLE_LINK48"/>
      <w:r w:rsidR="00CA7E3D" w:rsidRPr="001D5732">
        <w:rPr>
          <w:rFonts w:ascii="Book Antiqua" w:eastAsia="SimSun" w:hAnsi="Book Antiqua"/>
          <w:color w:val="000000" w:themeColor="text1"/>
        </w:rPr>
        <w:t>July 27, 2021</w:t>
      </w:r>
      <w:bookmarkEnd w:id="26"/>
    </w:p>
    <w:p w14:paraId="5AA81056" w14:textId="77777777" w:rsidR="00A77B3E" w:rsidRPr="001D5732" w:rsidRDefault="0052574D">
      <w:pPr>
        <w:spacing w:line="360" w:lineRule="auto"/>
        <w:jc w:val="both"/>
      </w:pPr>
      <w:r w:rsidRPr="001D5732">
        <w:rPr>
          <w:rFonts w:ascii="Book Antiqua" w:eastAsia="Book Antiqua" w:hAnsi="Book Antiqua" w:cs="Book Antiqua"/>
          <w:b/>
          <w:bCs/>
          <w:color w:val="000000"/>
        </w:rPr>
        <w:t xml:space="preserve">Published online: </w:t>
      </w:r>
    </w:p>
    <w:p w14:paraId="7C8791F3" w14:textId="77777777" w:rsidR="00A77B3E" w:rsidRPr="001D5732" w:rsidRDefault="00A77B3E">
      <w:pPr>
        <w:spacing w:line="360" w:lineRule="auto"/>
        <w:jc w:val="both"/>
        <w:sectPr w:rsidR="00A77B3E" w:rsidRPr="001D573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pPr>
    </w:p>
    <w:p w14:paraId="77F707E4" w14:textId="77777777" w:rsidR="00A77B3E" w:rsidRPr="001D5732" w:rsidRDefault="0052574D">
      <w:pPr>
        <w:spacing w:line="360" w:lineRule="auto"/>
        <w:jc w:val="both"/>
      </w:pPr>
      <w:r w:rsidRPr="001D5732">
        <w:rPr>
          <w:rFonts w:ascii="Book Antiqua" w:eastAsia="Book Antiqua" w:hAnsi="Book Antiqua" w:cs="Book Antiqua"/>
          <w:b/>
          <w:color w:val="000000"/>
        </w:rPr>
        <w:lastRenderedPageBreak/>
        <w:t>Abstract</w:t>
      </w:r>
    </w:p>
    <w:p w14:paraId="5AF6B654" w14:textId="7044532E" w:rsidR="00A77B3E" w:rsidRPr="001D5732" w:rsidRDefault="0052574D">
      <w:pPr>
        <w:spacing w:line="360" w:lineRule="auto"/>
        <w:jc w:val="both"/>
      </w:pPr>
      <w:bookmarkStart w:id="27" w:name="OLE_LINK163"/>
      <w:bookmarkStart w:id="28" w:name="OLE_LINK164"/>
      <w:r w:rsidRPr="001D5732">
        <w:rPr>
          <w:rFonts w:ascii="Book Antiqua" w:eastAsia="Book Antiqua" w:hAnsi="Book Antiqua" w:cs="Book Antiqua"/>
          <w:color w:val="000000"/>
        </w:rPr>
        <w:t xml:space="preserve">Technological improvements are crucial in the evolution of surgery. Real-time fluorescence-guided surgery (FGS) has spread worldwide, mainly </w:t>
      </w:r>
      <w:r w:rsidR="00592EA0" w:rsidRPr="001D5732">
        <w:rPr>
          <w:rFonts w:ascii="Book Antiqua" w:eastAsia="Book Antiqua" w:hAnsi="Book Antiqua" w:cs="Book Antiqua"/>
          <w:color w:val="000000"/>
        </w:rPr>
        <w:t xml:space="preserve">because of </w:t>
      </w:r>
      <w:r w:rsidRPr="001D5732">
        <w:rPr>
          <w:rFonts w:ascii="Book Antiqua" w:eastAsia="Book Antiqua" w:hAnsi="Book Antiqua" w:cs="Book Antiqua"/>
          <w:color w:val="000000"/>
        </w:rPr>
        <w:t xml:space="preserve">its usefulness during the intraoperative decision-making processes. The success of any gastrointestinal oncologic resection is based on the anatomical identification of the primary tumor and its regional lymph nodes. FGS allows also to evaluate the blood perfusion at the gastrointestinal stumps after colorectal or esophageal resections. Therefore, a reduction on the anastomotic leak rates has been postulated as one of the foreseeable benefits provided by the use of FGS in these procedures. Although the use of fluorescence in lymph node detection was initially described in breast cancer surgery, the technique is currently applied in gastric or splenic flexure cancers, as they both present complex and variable lymphatic drainages. FGS allows also to perform intraoperative lymphograms or sentinel lymph node biopsies. New applications of FGS are being developed to assist in the detection of peritoneal metastases or in the evaluation of the tumor resection margins. The present review aims to provide a general overview of the current status of real-time FGS in gastrointestinal oncologic surgery. </w:t>
      </w:r>
      <w:r w:rsidR="006B363B" w:rsidRPr="001D5732">
        <w:rPr>
          <w:rFonts w:ascii="Book Antiqua" w:eastAsia="Book Antiqua" w:hAnsi="Book Antiqua" w:cs="Book Antiqua"/>
          <w:color w:val="000000"/>
        </w:rPr>
        <w:t xml:space="preserve">We put a special focus on </w:t>
      </w:r>
      <w:r w:rsidRPr="001D5732">
        <w:rPr>
          <w:rFonts w:ascii="Book Antiqua" w:eastAsia="Book Antiqua" w:hAnsi="Book Antiqua" w:cs="Book Antiqua"/>
          <w:color w:val="000000"/>
        </w:rPr>
        <w:t xml:space="preserve">the </w:t>
      </w:r>
      <w:r w:rsidR="000939DF" w:rsidRPr="001D5732">
        <w:rPr>
          <w:rFonts w:ascii="Book Antiqua" w:eastAsia="Book Antiqua" w:hAnsi="Book Antiqua" w:cs="Book Antiqua"/>
          <w:color w:val="000000"/>
        </w:rPr>
        <w:t xml:space="preserve">different applications of FGS, </w:t>
      </w:r>
      <w:r w:rsidR="00592EA0" w:rsidRPr="001D5732">
        <w:rPr>
          <w:rFonts w:ascii="Book Antiqua" w:eastAsia="Book Antiqua" w:hAnsi="Book Antiqua" w:cs="Book Antiqua"/>
          <w:color w:val="000000"/>
        </w:rPr>
        <w:t>discussing</w:t>
      </w:r>
      <w:r w:rsidRPr="001D5732">
        <w:rPr>
          <w:rFonts w:ascii="Book Antiqua" w:eastAsia="Book Antiqua" w:hAnsi="Book Antiqua" w:cs="Book Antiqua"/>
          <w:color w:val="000000"/>
        </w:rPr>
        <w:t xml:space="preserve"> the main findings and limitations found in the contemporary literature </w:t>
      </w:r>
      <w:proofErr w:type="gramStart"/>
      <w:r w:rsidRPr="001D5732">
        <w:rPr>
          <w:rFonts w:ascii="Book Antiqua" w:eastAsia="Book Antiqua" w:hAnsi="Book Antiqua" w:cs="Book Antiqua"/>
          <w:color w:val="000000"/>
        </w:rPr>
        <w:t>and also</w:t>
      </w:r>
      <w:proofErr w:type="gramEnd"/>
      <w:r w:rsidRPr="001D5732">
        <w:rPr>
          <w:rFonts w:ascii="Book Antiqua" w:eastAsia="Book Antiqua" w:hAnsi="Book Antiqua" w:cs="Book Antiqua"/>
          <w:color w:val="000000"/>
        </w:rPr>
        <w:t xml:space="preserve"> the promising near future applications.</w:t>
      </w:r>
      <w:bookmarkEnd w:id="27"/>
      <w:bookmarkEnd w:id="28"/>
    </w:p>
    <w:p w14:paraId="45BDA223" w14:textId="77777777" w:rsidR="00A77B3E" w:rsidRPr="001D5732" w:rsidRDefault="00A77B3E">
      <w:pPr>
        <w:spacing w:line="360" w:lineRule="auto"/>
        <w:jc w:val="both"/>
      </w:pPr>
    </w:p>
    <w:p w14:paraId="1701E897" w14:textId="53CA0C04" w:rsidR="00A77B3E" w:rsidRPr="001D5732" w:rsidRDefault="0052574D">
      <w:pPr>
        <w:spacing w:line="360" w:lineRule="auto"/>
        <w:jc w:val="both"/>
        <w:rPr>
          <w:lang w:eastAsia="zh-CN"/>
        </w:rPr>
      </w:pPr>
      <w:r w:rsidRPr="001D5732">
        <w:rPr>
          <w:rFonts w:ascii="Book Antiqua" w:eastAsia="Book Antiqua" w:hAnsi="Book Antiqua" w:cs="Book Antiqua"/>
          <w:b/>
          <w:bCs/>
          <w:color w:val="000000"/>
        </w:rPr>
        <w:t xml:space="preserve">Key Words: </w:t>
      </w:r>
      <w:bookmarkStart w:id="29" w:name="OLE_LINK152"/>
      <w:bookmarkStart w:id="30" w:name="OLE_LINK153"/>
      <w:bookmarkStart w:id="31" w:name="OLE_LINK160"/>
      <w:r w:rsidRPr="001D5732">
        <w:rPr>
          <w:rFonts w:ascii="Book Antiqua" w:eastAsia="Book Antiqua" w:hAnsi="Book Antiqua" w:cs="Book Antiqua"/>
          <w:color w:val="000000"/>
        </w:rPr>
        <w:t>Surgery; Colorectal cancer; Esophageal cancer; Fluorescence; Image-guided surgery; Anastomotic leak; Lymph node</w:t>
      </w:r>
      <w:bookmarkEnd w:id="29"/>
      <w:bookmarkEnd w:id="30"/>
      <w:bookmarkEnd w:id="31"/>
    </w:p>
    <w:p w14:paraId="3F44B475" w14:textId="77777777" w:rsidR="00A77B3E" w:rsidRPr="001D5732" w:rsidRDefault="00A77B3E">
      <w:pPr>
        <w:spacing w:line="360" w:lineRule="auto"/>
        <w:jc w:val="both"/>
      </w:pPr>
    </w:p>
    <w:p w14:paraId="49CBD0E8" w14:textId="77777777" w:rsidR="00A77B3E" w:rsidRPr="00533FEF" w:rsidRDefault="0052574D">
      <w:pPr>
        <w:spacing w:line="360" w:lineRule="auto"/>
        <w:jc w:val="both"/>
      </w:pPr>
      <w:bookmarkStart w:id="32" w:name="OLE_LINK154"/>
      <w:bookmarkStart w:id="33" w:name="OLE_LINK155"/>
      <w:r w:rsidRPr="00C0009F">
        <w:rPr>
          <w:rFonts w:ascii="Book Antiqua" w:eastAsia="Book Antiqua" w:hAnsi="Book Antiqua" w:cs="Book Antiqua"/>
          <w:color w:val="000000"/>
          <w:lang w:val="es-ES"/>
        </w:rPr>
        <w:t>Martínez-López E, Martínez-Pérez A, Navarro-Martínez S, Sebastián-Tomás JC, de'Angelis N, García-Granero E. Real-time fluorescence image-guided gastrointestinal oncol</w:t>
      </w:r>
      <w:r w:rsidR="000939DF" w:rsidRPr="00C0009F">
        <w:rPr>
          <w:rFonts w:ascii="Book Antiqua" w:eastAsia="Book Antiqua" w:hAnsi="Book Antiqua" w:cs="Book Antiqua"/>
          <w:color w:val="000000"/>
          <w:lang w:val="es-ES"/>
        </w:rPr>
        <w:t xml:space="preserve">ogic surgery: </w:t>
      </w:r>
      <w:r w:rsidR="000939DF" w:rsidRPr="00C0009F">
        <w:rPr>
          <w:rFonts w:ascii="Book Antiqua" w:hAnsi="Book Antiqua" w:cs="Book Antiqua"/>
          <w:color w:val="000000"/>
          <w:lang w:val="es-ES" w:eastAsia="zh-CN"/>
        </w:rPr>
        <w:t>T</w:t>
      </w:r>
      <w:r w:rsidR="000939DF" w:rsidRPr="00C0009F">
        <w:rPr>
          <w:rFonts w:ascii="Book Antiqua" w:eastAsia="Book Antiqua" w:hAnsi="Book Antiqua" w:cs="Book Antiqua"/>
          <w:color w:val="000000"/>
          <w:lang w:val="es-ES"/>
        </w:rPr>
        <w:t>owards a new era</w:t>
      </w:r>
      <w:r w:rsidRPr="00C0009F">
        <w:rPr>
          <w:rFonts w:ascii="Book Antiqua" w:eastAsia="Book Antiqua" w:hAnsi="Book Antiqua" w:cs="Book Antiqua"/>
          <w:color w:val="000000"/>
          <w:lang w:val="es-ES"/>
        </w:rPr>
        <w:t xml:space="preserve">. </w:t>
      </w:r>
      <w:r w:rsidRPr="001D5732">
        <w:rPr>
          <w:rFonts w:ascii="Book Antiqua" w:eastAsia="Book Antiqua" w:hAnsi="Book Antiqua" w:cs="Book Antiqua"/>
          <w:i/>
          <w:iCs/>
          <w:color w:val="000000"/>
        </w:rPr>
        <w:t>World J Gastrointest Oncol</w:t>
      </w:r>
      <w:r w:rsidRPr="00533FEF">
        <w:rPr>
          <w:rFonts w:ascii="Book Antiqua" w:eastAsia="Book Antiqua" w:hAnsi="Book Antiqua" w:cs="Book Antiqua"/>
          <w:color w:val="000000"/>
        </w:rPr>
        <w:t xml:space="preserve"> 2021; In press</w:t>
      </w:r>
    </w:p>
    <w:bookmarkEnd w:id="32"/>
    <w:bookmarkEnd w:id="33"/>
    <w:p w14:paraId="2B1A3D68" w14:textId="77777777" w:rsidR="00A77B3E" w:rsidRPr="001D5732" w:rsidRDefault="00A77B3E">
      <w:pPr>
        <w:spacing w:line="360" w:lineRule="auto"/>
        <w:jc w:val="both"/>
      </w:pPr>
    </w:p>
    <w:p w14:paraId="28B2928E" w14:textId="1949B254" w:rsidR="00A77B3E" w:rsidRPr="001D5732" w:rsidRDefault="0052574D">
      <w:pPr>
        <w:spacing w:line="360" w:lineRule="auto"/>
        <w:jc w:val="both"/>
      </w:pPr>
      <w:r w:rsidRPr="001D5732">
        <w:rPr>
          <w:rFonts w:ascii="Book Antiqua" w:eastAsia="Book Antiqua" w:hAnsi="Book Antiqua" w:cs="Book Antiqua"/>
          <w:b/>
          <w:bCs/>
          <w:color w:val="000000"/>
        </w:rPr>
        <w:t xml:space="preserve">Core Tip: </w:t>
      </w:r>
      <w:bookmarkStart w:id="34" w:name="OLE_LINK161"/>
      <w:bookmarkStart w:id="35" w:name="OLE_LINK162"/>
      <w:r w:rsidRPr="001D5732">
        <w:rPr>
          <w:rFonts w:ascii="Book Antiqua" w:eastAsia="Book Antiqua" w:hAnsi="Book Antiqua" w:cs="Book Antiqua"/>
          <w:color w:val="000000"/>
        </w:rPr>
        <w:t xml:space="preserve">The continuous improvements on the postoperative and the oncological outcomes of patients undergoing gastrointestinal cancer surgery has focused the efforts of the whole surgical community during the last decades. Fluorescence-guided surgery is currently being developed and implemented in many countries and centers with </w:t>
      </w:r>
      <w:r w:rsidRPr="001D5732">
        <w:rPr>
          <w:rFonts w:ascii="Book Antiqua" w:eastAsia="Book Antiqua" w:hAnsi="Book Antiqua" w:cs="Book Antiqua"/>
          <w:color w:val="000000"/>
        </w:rPr>
        <w:lastRenderedPageBreak/>
        <w:t xml:space="preserve">promising expectancies. </w:t>
      </w:r>
      <w:r w:rsidR="00592EA0" w:rsidRPr="001D5732">
        <w:rPr>
          <w:rFonts w:ascii="Book Antiqua" w:eastAsia="Book Antiqua" w:hAnsi="Book Antiqua" w:cs="Book Antiqua"/>
          <w:color w:val="000000"/>
        </w:rPr>
        <w:t xml:space="preserve">Fluorescence-guided surgery </w:t>
      </w:r>
      <w:r w:rsidRPr="001D5732">
        <w:rPr>
          <w:rFonts w:ascii="Book Antiqua" w:eastAsia="Book Antiqua" w:hAnsi="Book Antiqua" w:cs="Book Antiqua"/>
          <w:color w:val="000000"/>
        </w:rPr>
        <w:t>has the potential to reduce anastomotic leak rates of colorectal or esophagogastric surgery. Moreover, this new technology provides intraoperative real-time lymph node mapping and detection of sentinel lymph nodes or occult peritoneal metastases.</w:t>
      </w:r>
      <w:bookmarkEnd w:id="34"/>
      <w:bookmarkEnd w:id="35"/>
    </w:p>
    <w:p w14:paraId="65AD07E8" w14:textId="77777777" w:rsidR="00A77B3E" w:rsidRPr="001D5732" w:rsidRDefault="00AC4D86">
      <w:pPr>
        <w:spacing w:line="360" w:lineRule="auto"/>
        <w:jc w:val="both"/>
      </w:pPr>
      <w:r w:rsidRPr="001D5732">
        <w:rPr>
          <w:rFonts w:ascii="Book Antiqua" w:eastAsia="Book Antiqua" w:hAnsi="Book Antiqua" w:cs="Book Antiqua"/>
          <w:b/>
          <w:caps/>
          <w:color w:val="000000"/>
          <w:u w:val="single"/>
        </w:rPr>
        <w:br w:type="page"/>
      </w:r>
      <w:r w:rsidR="0052574D" w:rsidRPr="001D5732">
        <w:rPr>
          <w:rFonts w:ascii="Book Antiqua" w:eastAsia="Book Antiqua" w:hAnsi="Book Antiqua" w:cs="Book Antiqua"/>
          <w:b/>
          <w:caps/>
          <w:color w:val="000000"/>
          <w:u w:val="single"/>
        </w:rPr>
        <w:lastRenderedPageBreak/>
        <w:t>INTRODUCTION</w:t>
      </w:r>
    </w:p>
    <w:p w14:paraId="3A154392" w14:textId="2A7D9133" w:rsidR="00A77B3E" w:rsidRPr="001D5732" w:rsidRDefault="0052574D">
      <w:pPr>
        <w:spacing w:line="360" w:lineRule="auto"/>
        <w:jc w:val="both"/>
      </w:pPr>
      <w:bookmarkStart w:id="36" w:name="OLE_LINK165"/>
      <w:bookmarkStart w:id="37" w:name="OLE_LINK166"/>
      <w:bookmarkStart w:id="38" w:name="OLE_LINK167"/>
      <w:r w:rsidRPr="001D5732">
        <w:rPr>
          <w:rFonts w:ascii="Book Antiqua" w:eastAsia="Book Antiqua" w:hAnsi="Book Antiqua" w:cs="Book Antiqua"/>
          <w:color w:val="000000"/>
        </w:rPr>
        <w:t xml:space="preserve">Fluorescence-guided surgery (FGS) was </w:t>
      </w:r>
      <w:r w:rsidR="00592EA0" w:rsidRPr="001D5732">
        <w:rPr>
          <w:rFonts w:ascii="Book Antiqua" w:eastAsia="Book Antiqua" w:hAnsi="Book Antiqua" w:cs="Book Antiqua"/>
          <w:color w:val="000000"/>
        </w:rPr>
        <w:t xml:space="preserve">first developed </w:t>
      </w:r>
      <w:r w:rsidRPr="001D5732">
        <w:rPr>
          <w:rFonts w:ascii="Book Antiqua" w:eastAsia="Book Antiqua" w:hAnsi="Book Antiqua" w:cs="Book Antiqua"/>
          <w:color w:val="000000"/>
        </w:rPr>
        <w:t>in 1947 with the introduction of fluorescein, a near-infrared (NIR) fluorescent dye, in brain tumor resections</w:t>
      </w:r>
      <w:r w:rsidRPr="001D5732">
        <w:rPr>
          <w:rFonts w:ascii="Book Antiqua" w:eastAsia="Book Antiqua" w:hAnsi="Book Antiqua" w:cs="Book Antiqua"/>
          <w:color w:val="000000"/>
          <w:szCs w:val="30"/>
          <w:vertAlign w:val="superscript"/>
        </w:rPr>
        <w:t>[1]</w:t>
      </w:r>
      <w:r w:rsidRPr="001D5732">
        <w:rPr>
          <w:rFonts w:ascii="Book Antiqua" w:eastAsia="Book Antiqua" w:hAnsi="Book Antiqua" w:cs="Book Antiqua"/>
          <w:color w:val="000000"/>
        </w:rPr>
        <w:t>. During the last decades, several authors have investigated the different applications of NIR as an intraoperative imaging tool in many gastrointestinal oncologic procedures. FGS is today considered a useful tool to complement the preoperative standard explorations and to assist in the intraoperative decision-making processes, contributing to improve</w:t>
      </w:r>
      <w:r w:rsidR="00592EA0" w:rsidRPr="001D5732">
        <w:rPr>
          <w:rFonts w:ascii="Book Antiqua" w:eastAsia="Book Antiqua" w:hAnsi="Book Antiqua" w:cs="Book Antiqua"/>
          <w:color w:val="000000"/>
        </w:rPr>
        <w:t>ments in</w:t>
      </w:r>
      <w:r w:rsidRPr="001D5732">
        <w:rPr>
          <w:rFonts w:ascii="Book Antiqua" w:eastAsia="Book Antiqua" w:hAnsi="Book Antiqua" w:cs="Book Antiqua"/>
          <w:color w:val="000000"/>
        </w:rPr>
        <w:t xml:space="preserve"> both clinical and oncologic outcomes. </w:t>
      </w:r>
      <w:bookmarkStart w:id="39" w:name="OLE_LINK25"/>
      <w:bookmarkStart w:id="40" w:name="OLE_LINK26"/>
      <w:r w:rsidRPr="001D5732">
        <w:rPr>
          <w:rFonts w:ascii="Book Antiqua" w:eastAsia="Book Antiqua" w:hAnsi="Book Antiqua" w:cs="Book Antiqua"/>
          <w:color w:val="000000"/>
        </w:rPr>
        <w:t>Indocyanine green</w:t>
      </w:r>
      <w:bookmarkEnd w:id="39"/>
      <w:bookmarkEnd w:id="40"/>
      <w:r w:rsidRPr="001D5732">
        <w:rPr>
          <w:rFonts w:ascii="Book Antiqua" w:eastAsia="Book Antiqua" w:hAnsi="Book Antiqua" w:cs="Book Antiqua"/>
          <w:color w:val="000000"/>
        </w:rPr>
        <w:t xml:space="preserve"> (ICG) is an NIR contrast agent that becomes fluorescent when excited by 800–900 nm wavelength light. In recent years, the intraoperative use of fluorescence with angiographic purposes has been expanded </w:t>
      </w:r>
      <w:r w:rsidR="00592EA0" w:rsidRPr="001D5732">
        <w:rPr>
          <w:rFonts w:ascii="Book Antiqua" w:eastAsia="Book Antiqua" w:hAnsi="Book Antiqua" w:cs="Book Antiqua"/>
          <w:color w:val="000000"/>
        </w:rPr>
        <w:t xml:space="preserve">by </w:t>
      </w:r>
      <w:r w:rsidRPr="001D5732">
        <w:rPr>
          <w:rFonts w:ascii="Book Antiqua" w:eastAsia="Book Antiqua" w:hAnsi="Book Antiqua" w:cs="Book Antiqua"/>
          <w:color w:val="000000"/>
        </w:rPr>
        <w:t xml:space="preserve">surgeons and </w:t>
      </w:r>
      <w:r w:rsidR="00592EA0" w:rsidRPr="001D5732">
        <w:rPr>
          <w:rFonts w:ascii="Book Antiqua" w:eastAsia="Book Antiqua" w:hAnsi="Book Antiqua" w:cs="Book Antiqua"/>
          <w:color w:val="000000"/>
        </w:rPr>
        <w:t xml:space="preserve">within </w:t>
      </w:r>
      <w:r w:rsidRPr="001D5732">
        <w:rPr>
          <w:rFonts w:ascii="Book Antiqua" w:eastAsia="Book Antiqua" w:hAnsi="Book Antiqua" w:cs="Book Antiqua"/>
          <w:color w:val="000000"/>
        </w:rPr>
        <w:t>centers worldwide. The objective is to assess the bowel’s perfusion before and after the anastomosis confection to reduce the risk of anastomotic leakage</w:t>
      </w:r>
      <w:r w:rsidRPr="001D5732">
        <w:rPr>
          <w:rFonts w:ascii="Book Antiqua" w:eastAsia="Book Antiqua" w:hAnsi="Book Antiqua" w:cs="Book Antiqua"/>
          <w:color w:val="000000"/>
          <w:szCs w:val="30"/>
          <w:vertAlign w:val="superscript"/>
        </w:rPr>
        <w:t>[2]</w:t>
      </w:r>
      <w:r w:rsidRPr="001D5732">
        <w:rPr>
          <w:rFonts w:ascii="Book Antiqua" w:eastAsia="Book Antiqua" w:hAnsi="Book Antiqua" w:cs="Book Antiqua"/>
          <w:color w:val="000000"/>
        </w:rPr>
        <w:t xml:space="preserve">. This complication is the most dreadful after both upper and lower gastrointestinal resections and often relates to an inadequate blood supply in the intestinal stumps. Additionally, NIR imaging is currently used or under investigation in a growing number of applications in the field: </w:t>
      </w:r>
      <w:r w:rsidR="00592EA0" w:rsidRPr="001D5732">
        <w:rPr>
          <w:rFonts w:ascii="Book Antiqua" w:eastAsia="Book Antiqua" w:hAnsi="Book Antiqua" w:cs="Book Antiqua"/>
          <w:color w:val="000000"/>
        </w:rPr>
        <w:t>T</w:t>
      </w:r>
      <w:r w:rsidRPr="001D5732">
        <w:rPr>
          <w:rFonts w:ascii="Book Antiqua" w:eastAsia="Book Antiqua" w:hAnsi="Book Antiqua" w:cs="Book Antiqua"/>
          <w:color w:val="000000"/>
        </w:rPr>
        <w:t xml:space="preserve">o identify peritoneal implants or sentinel lymph nodes, to perform lymph mapping, to guide an oncologic tumor resection, or to visualize biliary and urinary structures preventing iatrogenic harms. Then, real-time NIR is becoming an important tool in the surgeon’s armamentarium to perform safe and successful cancer resections, with the greatest future expectancies favored by the continuous technological improvements. We aimed to provide a complete and critical overview of the current evidence focusing on the different applications of FGS in gastrointestinal oncologic surgery. </w:t>
      </w:r>
    </w:p>
    <w:bookmarkEnd w:id="36"/>
    <w:bookmarkEnd w:id="37"/>
    <w:bookmarkEnd w:id="38"/>
    <w:p w14:paraId="5CCE0E48" w14:textId="77777777" w:rsidR="00A77B3E" w:rsidRPr="001D5732" w:rsidRDefault="00A77B3E">
      <w:pPr>
        <w:spacing w:line="360" w:lineRule="auto"/>
        <w:jc w:val="both"/>
      </w:pPr>
    </w:p>
    <w:p w14:paraId="6806BC9E" w14:textId="77777777" w:rsidR="00A77B3E" w:rsidRPr="001D5732" w:rsidRDefault="0052574D">
      <w:pPr>
        <w:spacing w:line="360" w:lineRule="auto"/>
        <w:jc w:val="both"/>
      </w:pPr>
      <w:bookmarkStart w:id="41" w:name="OLE_LINK168"/>
      <w:bookmarkStart w:id="42" w:name="OLE_LINK169"/>
      <w:r w:rsidRPr="001D5732">
        <w:rPr>
          <w:rFonts w:ascii="Book Antiqua" w:eastAsia="Book Antiqua" w:hAnsi="Book Antiqua" w:cs="Book Antiqua"/>
          <w:b/>
          <w:bCs/>
          <w:caps/>
          <w:color w:val="000000"/>
          <w:u w:val="single"/>
        </w:rPr>
        <w:t>ASSESSMENT OF THE ANASTOMOSIS PERFUSION AFTER COLORECTAL RESECTIONS</w:t>
      </w:r>
    </w:p>
    <w:p w14:paraId="657ED8C8" w14:textId="1C3E7C40" w:rsidR="00A77B3E" w:rsidRPr="001D5732" w:rsidRDefault="0052574D">
      <w:pPr>
        <w:spacing w:line="360" w:lineRule="auto"/>
        <w:jc w:val="both"/>
      </w:pPr>
      <w:bookmarkStart w:id="43" w:name="OLE_LINK170"/>
      <w:bookmarkStart w:id="44" w:name="OLE_LINK171"/>
      <w:bookmarkEnd w:id="41"/>
      <w:bookmarkEnd w:id="42"/>
      <w:r w:rsidRPr="001D5732">
        <w:rPr>
          <w:rFonts w:ascii="Book Antiqua" w:eastAsia="Book Antiqua" w:hAnsi="Book Antiqua" w:cs="Book Antiqua"/>
          <w:color w:val="000000"/>
        </w:rPr>
        <w:t>Colorectal cancer (CRC) is the third most common malignant tumor worldwide and the second cause of cancer-related death. CRC is responsible for 9.2% of the cancer deaths in the world</w:t>
      </w:r>
      <w:r w:rsidRPr="001D5732">
        <w:rPr>
          <w:rFonts w:ascii="Book Antiqua" w:eastAsia="Book Antiqua" w:hAnsi="Book Antiqua" w:cs="Book Antiqua"/>
          <w:color w:val="000000"/>
          <w:szCs w:val="30"/>
          <w:vertAlign w:val="superscript"/>
        </w:rPr>
        <w:t>[3]</w:t>
      </w:r>
      <w:r w:rsidRPr="001D5732">
        <w:rPr>
          <w:rFonts w:ascii="Book Antiqua" w:eastAsia="Book Antiqua" w:hAnsi="Book Antiqua" w:cs="Book Antiqua"/>
          <w:color w:val="000000"/>
        </w:rPr>
        <w:t xml:space="preserve">. </w:t>
      </w:r>
      <w:bookmarkStart w:id="45" w:name="OLE_LINK27"/>
      <w:bookmarkStart w:id="46" w:name="OLE_LINK28"/>
      <w:r w:rsidRPr="001D5732">
        <w:rPr>
          <w:rFonts w:ascii="Book Antiqua" w:eastAsia="Book Antiqua" w:hAnsi="Book Antiqua" w:cs="Book Antiqua"/>
          <w:color w:val="000000"/>
        </w:rPr>
        <w:t>Anastomotic leakage</w:t>
      </w:r>
      <w:bookmarkEnd w:id="45"/>
      <w:bookmarkEnd w:id="46"/>
      <w:r w:rsidRPr="001D5732">
        <w:rPr>
          <w:rFonts w:ascii="Book Antiqua" w:eastAsia="Book Antiqua" w:hAnsi="Book Antiqua" w:cs="Book Antiqua"/>
          <w:color w:val="000000"/>
        </w:rPr>
        <w:t xml:space="preserve"> (AL) is the most feared complication after any colorectal resection</w:t>
      </w:r>
      <w:r w:rsidRPr="001D5732">
        <w:rPr>
          <w:rFonts w:ascii="Book Antiqua" w:eastAsia="Book Antiqua" w:hAnsi="Book Antiqua" w:cs="Book Antiqua"/>
          <w:color w:val="000000"/>
          <w:szCs w:val="30"/>
          <w:vertAlign w:val="superscript"/>
        </w:rPr>
        <w:t>[4]</w:t>
      </w:r>
      <w:r w:rsidRPr="001D5732">
        <w:rPr>
          <w:rFonts w:ascii="Book Antiqua" w:eastAsia="Book Antiqua" w:hAnsi="Book Antiqua" w:cs="Book Antiqua"/>
          <w:color w:val="000000"/>
        </w:rPr>
        <w:t xml:space="preserve">. AL is associated with increased mortality and poorer long-term </w:t>
      </w:r>
      <w:r w:rsidRPr="001D5732">
        <w:rPr>
          <w:rFonts w:ascii="Book Antiqua" w:eastAsia="Book Antiqua" w:hAnsi="Book Antiqua" w:cs="Book Antiqua"/>
          <w:color w:val="000000"/>
        </w:rPr>
        <w:lastRenderedPageBreak/>
        <w:t>oncological outcomes</w:t>
      </w:r>
      <w:r w:rsidR="00832661" w:rsidRPr="001D5732">
        <w:rPr>
          <w:rFonts w:ascii="Book Antiqua" w:eastAsia="Book Antiqua" w:hAnsi="Book Antiqua" w:cs="Book Antiqua"/>
          <w:color w:val="000000"/>
          <w:szCs w:val="30"/>
          <w:vertAlign w:val="superscript"/>
        </w:rPr>
        <w:t>[5,</w:t>
      </w:r>
      <w:r w:rsidRPr="001D5732">
        <w:rPr>
          <w:rFonts w:ascii="Book Antiqua" w:eastAsia="Book Antiqua" w:hAnsi="Book Antiqua" w:cs="Book Antiqua"/>
          <w:color w:val="000000"/>
          <w:szCs w:val="30"/>
          <w:vertAlign w:val="superscript"/>
        </w:rPr>
        <w:t>6]</w:t>
      </w:r>
      <w:r w:rsidRPr="001D5732">
        <w:rPr>
          <w:rFonts w:ascii="Book Antiqua" w:eastAsia="Book Antiqua" w:hAnsi="Book Antiqua" w:cs="Book Antiqua"/>
          <w:color w:val="000000"/>
        </w:rPr>
        <w:t>, especially in rectal cancer patients</w:t>
      </w:r>
      <w:r w:rsidRPr="001D5732">
        <w:rPr>
          <w:rFonts w:ascii="Book Antiqua" w:eastAsia="Book Antiqua" w:hAnsi="Book Antiqua" w:cs="Book Antiqua"/>
          <w:color w:val="000000"/>
          <w:szCs w:val="30"/>
          <w:vertAlign w:val="superscript"/>
        </w:rPr>
        <w:t>[7]</w:t>
      </w:r>
      <w:r w:rsidRPr="001D5732">
        <w:rPr>
          <w:rFonts w:ascii="Book Antiqua" w:eastAsia="Book Antiqua" w:hAnsi="Book Antiqua" w:cs="Book Antiqua"/>
          <w:color w:val="000000"/>
        </w:rPr>
        <w:t>. High rates of AL are still reported despite the successive improvements in the stapler devices and minimally-invasive techniques during the last years</w:t>
      </w:r>
      <w:r w:rsidRPr="001D5732">
        <w:rPr>
          <w:rFonts w:ascii="Book Antiqua" w:eastAsia="Book Antiqua" w:hAnsi="Book Antiqua" w:cs="Book Antiqua"/>
          <w:color w:val="000000"/>
          <w:szCs w:val="30"/>
          <w:vertAlign w:val="superscript"/>
        </w:rPr>
        <w:t>[8]</w:t>
      </w:r>
      <w:r w:rsidRPr="001D5732">
        <w:rPr>
          <w:rFonts w:ascii="Book Antiqua" w:eastAsia="Book Antiqua" w:hAnsi="Book Antiqua" w:cs="Book Antiqua"/>
          <w:color w:val="000000"/>
        </w:rPr>
        <w:t xml:space="preserve">. Several risk factors for AL have been described. They include male gender, age, comorbidities, malnutrition, obesity, smoking, alcoholism, immunosuppression, neoadjuvant treatments, </w:t>
      </w:r>
      <w:r w:rsidR="00592EA0" w:rsidRPr="001D5732">
        <w:rPr>
          <w:rFonts w:ascii="Book Antiqua" w:eastAsia="Book Antiqua" w:hAnsi="Book Antiqua" w:cs="Book Antiqua"/>
          <w:i/>
          <w:iCs/>
          <w:color w:val="000000"/>
        </w:rPr>
        <w:t>etc.</w:t>
      </w:r>
      <w:r w:rsidR="00832661" w:rsidRPr="001D5732">
        <w:rPr>
          <w:rFonts w:ascii="Book Antiqua" w:eastAsia="Book Antiqua" w:hAnsi="Book Antiqua" w:cs="Book Antiqua"/>
          <w:color w:val="000000"/>
          <w:szCs w:val="30"/>
          <w:vertAlign w:val="superscript"/>
        </w:rPr>
        <w:t>[9,</w:t>
      </w:r>
      <w:r w:rsidRPr="001D5732">
        <w:rPr>
          <w:rFonts w:ascii="Book Antiqua" w:eastAsia="Book Antiqua" w:hAnsi="Book Antiqua" w:cs="Book Antiqua"/>
          <w:color w:val="000000"/>
          <w:szCs w:val="30"/>
          <w:vertAlign w:val="superscript"/>
        </w:rPr>
        <w:t>10]</w:t>
      </w:r>
      <w:r w:rsidRPr="001D5732">
        <w:rPr>
          <w:rFonts w:ascii="Book Antiqua" w:eastAsia="Book Antiqua" w:hAnsi="Book Antiqua" w:cs="Book Antiqua"/>
          <w:color w:val="000000"/>
        </w:rPr>
        <w:t>. The individual surgeon performance, which was systematically obviated in the literature, has been shown also to be an independent risk factor for AL</w:t>
      </w:r>
      <w:r w:rsidR="00832661" w:rsidRPr="001D5732">
        <w:rPr>
          <w:rFonts w:ascii="Book Antiqua" w:eastAsia="Book Antiqua" w:hAnsi="Book Antiqua" w:cs="Book Antiqua"/>
          <w:color w:val="000000"/>
          <w:szCs w:val="30"/>
          <w:vertAlign w:val="superscript"/>
        </w:rPr>
        <w:t>[11,</w:t>
      </w:r>
      <w:r w:rsidRPr="001D5732">
        <w:rPr>
          <w:rFonts w:ascii="Book Antiqua" w:eastAsia="Book Antiqua" w:hAnsi="Book Antiqua" w:cs="Book Antiqua"/>
          <w:color w:val="000000"/>
          <w:szCs w:val="30"/>
          <w:vertAlign w:val="superscript"/>
        </w:rPr>
        <w:t>12]</w:t>
      </w:r>
      <w:r w:rsidRPr="001D5732">
        <w:rPr>
          <w:rFonts w:ascii="Book Antiqua" w:eastAsia="Book Antiqua" w:hAnsi="Book Antiqua" w:cs="Book Antiqua"/>
          <w:color w:val="000000"/>
        </w:rPr>
        <w:t xml:space="preserve">. However, there is a general agreement in considering the ischemia of the anastomotic stumps as </w:t>
      </w:r>
      <w:r w:rsidR="00592EA0" w:rsidRPr="001D5732">
        <w:rPr>
          <w:rFonts w:ascii="Book Antiqua" w:eastAsia="Book Antiqua" w:hAnsi="Book Antiqua" w:cs="Book Antiqua"/>
          <w:color w:val="000000"/>
        </w:rPr>
        <w:t xml:space="preserve">a </w:t>
      </w:r>
      <w:r w:rsidRPr="001D5732">
        <w:rPr>
          <w:rFonts w:ascii="Book Antiqua" w:eastAsia="Book Antiqua" w:hAnsi="Book Antiqua" w:cs="Book Antiqua"/>
          <w:color w:val="000000"/>
        </w:rPr>
        <w:t>key factor in the development of the majority of AL</w:t>
      </w:r>
      <w:r w:rsidR="00832661" w:rsidRPr="001D5732">
        <w:rPr>
          <w:rFonts w:ascii="Book Antiqua" w:eastAsia="Book Antiqua" w:hAnsi="Book Antiqua" w:cs="Book Antiqua"/>
          <w:color w:val="000000"/>
          <w:szCs w:val="30"/>
          <w:vertAlign w:val="superscript"/>
        </w:rPr>
        <w:t>[9,13,</w:t>
      </w:r>
      <w:r w:rsidRPr="001D5732">
        <w:rPr>
          <w:rFonts w:ascii="Book Antiqua" w:eastAsia="Book Antiqua" w:hAnsi="Book Antiqua" w:cs="Book Antiqua"/>
          <w:color w:val="000000"/>
          <w:szCs w:val="30"/>
          <w:vertAlign w:val="superscript"/>
        </w:rPr>
        <w:t>14]</w:t>
      </w:r>
      <w:r w:rsidRPr="001D5732">
        <w:rPr>
          <w:rFonts w:ascii="Book Antiqua" w:eastAsia="Book Antiqua" w:hAnsi="Book Antiqua" w:cs="Book Antiqua"/>
          <w:color w:val="000000"/>
        </w:rPr>
        <w:t>.</w:t>
      </w:r>
    </w:p>
    <w:p w14:paraId="4E4F5343" w14:textId="613519FE" w:rsidR="00A77B3E" w:rsidRPr="001D5732" w:rsidRDefault="0052574D" w:rsidP="00832661">
      <w:pPr>
        <w:spacing w:line="360" w:lineRule="auto"/>
        <w:ind w:firstLineChars="100" w:firstLine="240"/>
        <w:jc w:val="both"/>
        <w:rPr>
          <w:lang w:eastAsia="zh-CN"/>
        </w:rPr>
      </w:pPr>
      <w:r w:rsidRPr="001D5732">
        <w:rPr>
          <w:rFonts w:ascii="Book Antiqua" w:eastAsia="Book Antiqua" w:hAnsi="Book Antiqua" w:cs="Book Antiqua"/>
          <w:color w:val="000000"/>
        </w:rPr>
        <w:t xml:space="preserve">AL can be defined as the separation between two bowel segments </w:t>
      </w:r>
      <w:r w:rsidR="00592EA0" w:rsidRPr="001D5732">
        <w:rPr>
          <w:rFonts w:ascii="Book Antiqua" w:eastAsia="Book Antiqua" w:hAnsi="Book Antiqua" w:cs="Book Antiqua"/>
          <w:color w:val="000000"/>
        </w:rPr>
        <w:t xml:space="preserve">that </w:t>
      </w:r>
      <w:r w:rsidRPr="001D5732">
        <w:rPr>
          <w:rFonts w:ascii="Book Antiqua" w:eastAsia="Book Antiqua" w:hAnsi="Book Antiqua" w:cs="Book Antiqua"/>
          <w:color w:val="000000"/>
        </w:rPr>
        <w:t>were previously attached. The definition includes a wide spectrum of situations, from small leaks without systemic consequences, to severe peritonitis causing septic shock or death. The high clinical variability in such terms and its definition highly jeopardizes the comparisons within the multiple studies on the subject. To overcome those biases, research teams have attempted to unify the criteria to define and grade AL through the elaboration of different systems. The Colon and the Dutch leakage scores were created for this purpose</w:t>
      </w:r>
      <w:r w:rsidRPr="001D5732">
        <w:rPr>
          <w:rFonts w:ascii="Book Antiqua" w:eastAsia="Book Antiqua" w:hAnsi="Book Antiqua" w:cs="Book Antiqua"/>
          <w:color w:val="000000"/>
          <w:szCs w:val="30"/>
          <w:vertAlign w:val="superscript"/>
        </w:rPr>
        <w:t>[15-17]</w:t>
      </w:r>
      <w:r w:rsidRPr="001D5732">
        <w:rPr>
          <w:rFonts w:ascii="Book Antiqua" w:eastAsia="Book Antiqua" w:hAnsi="Book Antiqua" w:cs="Book Antiqua"/>
          <w:color w:val="000000"/>
        </w:rPr>
        <w:t xml:space="preserve">. In 2010, the </w:t>
      </w:r>
      <w:r w:rsidR="00592EA0" w:rsidRPr="001D5732">
        <w:rPr>
          <w:rFonts w:ascii="Book Antiqua" w:eastAsia="Book Antiqua" w:hAnsi="Book Antiqua" w:cs="Book Antiqua"/>
          <w:color w:val="000000"/>
        </w:rPr>
        <w:t>I</w:t>
      </w:r>
      <w:r w:rsidRPr="001D5732">
        <w:rPr>
          <w:rFonts w:ascii="Book Antiqua" w:eastAsia="Book Antiqua" w:hAnsi="Book Antiqua" w:cs="Book Antiqua"/>
          <w:color w:val="000000"/>
        </w:rPr>
        <w:t xml:space="preserve">nternational </w:t>
      </w:r>
      <w:r w:rsidR="00592EA0" w:rsidRPr="001D5732">
        <w:rPr>
          <w:rFonts w:ascii="Book Antiqua" w:eastAsia="Book Antiqua" w:hAnsi="Book Antiqua" w:cs="Book Antiqua"/>
          <w:color w:val="000000"/>
        </w:rPr>
        <w:t>S</w:t>
      </w:r>
      <w:r w:rsidRPr="001D5732">
        <w:rPr>
          <w:rFonts w:ascii="Book Antiqua" w:eastAsia="Book Antiqua" w:hAnsi="Book Antiqua" w:cs="Book Antiqua"/>
          <w:color w:val="000000"/>
        </w:rPr>
        <w:t xml:space="preserve">tudy </w:t>
      </w:r>
      <w:r w:rsidR="00592EA0" w:rsidRPr="001D5732">
        <w:rPr>
          <w:rFonts w:ascii="Book Antiqua" w:eastAsia="Book Antiqua" w:hAnsi="Book Antiqua" w:cs="Book Antiqua"/>
          <w:color w:val="000000"/>
        </w:rPr>
        <w:t>G</w:t>
      </w:r>
      <w:r w:rsidRPr="001D5732">
        <w:rPr>
          <w:rFonts w:ascii="Book Antiqua" w:eastAsia="Book Antiqua" w:hAnsi="Book Antiqua" w:cs="Book Antiqua"/>
          <w:color w:val="000000"/>
        </w:rPr>
        <w:t xml:space="preserve">roup of </w:t>
      </w:r>
      <w:r w:rsidR="00592EA0" w:rsidRPr="001D5732">
        <w:rPr>
          <w:rFonts w:ascii="Book Antiqua" w:eastAsia="Book Antiqua" w:hAnsi="Book Antiqua" w:cs="Book Antiqua"/>
          <w:color w:val="000000"/>
        </w:rPr>
        <w:t>R</w:t>
      </w:r>
      <w:r w:rsidRPr="001D5732">
        <w:rPr>
          <w:rFonts w:ascii="Book Antiqua" w:eastAsia="Book Antiqua" w:hAnsi="Book Antiqua" w:cs="Book Antiqua"/>
          <w:color w:val="000000"/>
        </w:rPr>
        <w:t xml:space="preserve">ectal </w:t>
      </w:r>
      <w:r w:rsidR="00592EA0" w:rsidRPr="001D5732">
        <w:rPr>
          <w:rFonts w:ascii="Book Antiqua" w:eastAsia="Book Antiqua" w:hAnsi="Book Antiqua" w:cs="Book Antiqua"/>
          <w:color w:val="000000"/>
        </w:rPr>
        <w:t>C</w:t>
      </w:r>
      <w:r w:rsidRPr="001D5732">
        <w:rPr>
          <w:rFonts w:ascii="Book Antiqua" w:eastAsia="Book Antiqua" w:hAnsi="Book Antiqua" w:cs="Book Antiqua"/>
          <w:color w:val="000000"/>
        </w:rPr>
        <w:t>ancer (ISGRC) presented an extensive literature review and proposed a new definition and grading system for AL in rectal resections. AL was defined as any defect of the intestinal wall integrity at the colorectal or coloanal anastomotic site leading to a communication between the intra- and extra-luminal compartments</w:t>
      </w:r>
      <w:r w:rsidRPr="001D5732">
        <w:rPr>
          <w:rFonts w:ascii="Book Antiqua" w:eastAsia="Book Antiqua" w:hAnsi="Book Antiqua" w:cs="Book Antiqua"/>
          <w:color w:val="000000"/>
          <w:szCs w:val="30"/>
          <w:vertAlign w:val="superscript"/>
        </w:rPr>
        <w:t>[18]</w:t>
      </w:r>
      <w:r w:rsidR="000313E0" w:rsidRPr="001D5732">
        <w:rPr>
          <w:rFonts w:ascii="Book Antiqua" w:eastAsia="Book Antiqua" w:hAnsi="Book Antiqua" w:cs="Book Antiqua"/>
          <w:color w:val="000000"/>
        </w:rPr>
        <w:t>.</w:t>
      </w:r>
      <w:r w:rsidRPr="001D5732">
        <w:rPr>
          <w:rFonts w:ascii="Book Antiqua" w:eastAsia="Book Antiqua" w:hAnsi="Book Antiqua" w:cs="Book Antiqua"/>
          <w:color w:val="000000"/>
        </w:rPr>
        <w:t xml:space="preserve"> This definition included leaks from suture and the staple lines of neo-rectal reservoirs or pelvic abscess close to the anastomosis. The ISGRC graded AL in a three-tiered system: Grade A reflects no need</w:t>
      </w:r>
      <w:r w:rsidR="006612B2" w:rsidRPr="001D5732">
        <w:rPr>
          <w:rFonts w:ascii="Book Antiqua" w:eastAsia="Book Antiqua" w:hAnsi="Book Antiqua" w:cs="Book Antiqua"/>
          <w:color w:val="000000"/>
        </w:rPr>
        <w:t xml:space="preserve"> for therapeutic intervention; </w:t>
      </w:r>
      <w:r w:rsidR="006612B2" w:rsidRPr="001D5732">
        <w:rPr>
          <w:rFonts w:ascii="Book Antiqua" w:hAnsi="Book Antiqua" w:cs="Book Antiqua"/>
          <w:color w:val="000000"/>
          <w:lang w:eastAsia="zh-CN"/>
        </w:rPr>
        <w:t>g</w:t>
      </w:r>
      <w:r w:rsidRPr="001D5732">
        <w:rPr>
          <w:rFonts w:ascii="Book Antiqua" w:eastAsia="Book Antiqua" w:hAnsi="Book Antiqua" w:cs="Book Antiqua"/>
          <w:color w:val="000000"/>
        </w:rPr>
        <w:t>rade B if the AL requires therapeutic intervention but is managea</w:t>
      </w:r>
      <w:r w:rsidR="006612B2" w:rsidRPr="001D5732">
        <w:rPr>
          <w:rFonts w:ascii="Book Antiqua" w:eastAsia="Book Antiqua" w:hAnsi="Book Antiqua" w:cs="Book Antiqua"/>
          <w:color w:val="000000"/>
        </w:rPr>
        <w:t xml:space="preserve">ble without re-laparotomy; and </w:t>
      </w:r>
      <w:r w:rsidR="006612B2" w:rsidRPr="001D5732">
        <w:rPr>
          <w:rFonts w:ascii="Book Antiqua" w:hAnsi="Book Antiqua" w:cs="Book Antiqua"/>
          <w:color w:val="000000"/>
          <w:lang w:eastAsia="zh-CN"/>
        </w:rPr>
        <w:t>g</w:t>
      </w:r>
      <w:r w:rsidRPr="001D5732">
        <w:rPr>
          <w:rFonts w:ascii="Book Antiqua" w:eastAsia="Book Antiqua" w:hAnsi="Book Antiqua" w:cs="Book Antiqua"/>
          <w:color w:val="000000"/>
        </w:rPr>
        <w:t>rade C when it requires re-laparotomy</w:t>
      </w:r>
      <w:r w:rsidRPr="001D5732">
        <w:rPr>
          <w:rFonts w:ascii="Book Antiqua" w:eastAsia="Book Antiqua" w:hAnsi="Book Antiqua" w:cs="Book Antiqua"/>
          <w:color w:val="000000"/>
          <w:szCs w:val="30"/>
          <w:vertAlign w:val="superscript"/>
        </w:rPr>
        <w:t>[18]</w:t>
      </w:r>
      <w:r w:rsidRPr="001D5732">
        <w:rPr>
          <w:rFonts w:ascii="Book Antiqua" w:eastAsia="Book Antiqua" w:hAnsi="Book Antiqua" w:cs="Book Antiqua"/>
          <w:color w:val="000000"/>
        </w:rPr>
        <w:t>.</w:t>
      </w:r>
    </w:p>
    <w:p w14:paraId="543A0CAD" w14:textId="469F4ED7" w:rsidR="00A77B3E" w:rsidRPr="001D5732" w:rsidRDefault="0052574D" w:rsidP="00BC6DD2">
      <w:pPr>
        <w:spacing w:line="360" w:lineRule="auto"/>
        <w:ind w:firstLineChars="100" w:firstLine="240"/>
        <w:jc w:val="both"/>
      </w:pPr>
      <w:r w:rsidRPr="001D5732">
        <w:rPr>
          <w:rFonts w:ascii="Book Antiqua" w:eastAsia="Book Antiqua" w:hAnsi="Book Antiqua" w:cs="Book Antiqua"/>
          <w:color w:val="000000"/>
        </w:rPr>
        <w:t>The assessment of the anastomosis perfusion is a crucial step during colorectal resections. Multiple methods have been described to assess the viability of the intestinal stumps, mainly implying different degrees of subjectivity</w:t>
      </w:r>
      <w:r w:rsidRPr="001D5732">
        <w:rPr>
          <w:rFonts w:ascii="Book Antiqua" w:eastAsia="Book Antiqua" w:hAnsi="Book Antiqua" w:cs="Book Antiqua"/>
          <w:color w:val="000000"/>
          <w:szCs w:val="30"/>
          <w:vertAlign w:val="superscript"/>
        </w:rPr>
        <w:t>[19]</w:t>
      </w:r>
      <w:r w:rsidRPr="001D5732">
        <w:rPr>
          <w:rFonts w:ascii="Book Antiqua" w:eastAsia="Book Antiqua" w:hAnsi="Book Antiqua" w:cs="Book Antiqua"/>
          <w:color w:val="000000"/>
        </w:rPr>
        <w:t xml:space="preserve">. The air leak test was proposed by Lazorthes </w:t>
      </w:r>
      <w:r w:rsidR="000D4DEC" w:rsidRPr="001D5732">
        <w:rPr>
          <w:rFonts w:ascii="Book Antiqua" w:hAnsi="Book Antiqua" w:cs="Book Antiqua"/>
          <w:i/>
          <w:color w:val="000000"/>
          <w:lang w:eastAsia="zh-CN"/>
        </w:rPr>
        <w:t>et al</w:t>
      </w:r>
      <w:r w:rsidR="000D4DEC" w:rsidRPr="001D5732">
        <w:rPr>
          <w:rFonts w:ascii="Book Antiqua" w:eastAsia="Book Antiqua" w:hAnsi="Book Antiqua" w:cs="Book Antiqua"/>
          <w:color w:val="000000"/>
          <w:szCs w:val="30"/>
          <w:vertAlign w:val="superscript"/>
        </w:rPr>
        <w:t>[20]</w:t>
      </w:r>
      <w:r w:rsidRPr="001D5732">
        <w:rPr>
          <w:rFonts w:ascii="Book Antiqua" w:eastAsia="Book Antiqua" w:hAnsi="Book Antiqua" w:cs="Book Antiqua"/>
          <w:color w:val="000000"/>
        </w:rPr>
        <w:t xml:space="preserve"> in the 1980s. Conventional inspection by the surgical team is based on the bowel appearance and coloration, bleeding on the edges of the intestinal </w:t>
      </w:r>
      <w:r w:rsidRPr="001D5732">
        <w:rPr>
          <w:rFonts w:ascii="Book Antiqua" w:eastAsia="Book Antiqua" w:hAnsi="Book Antiqua" w:cs="Book Antiqua"/>
          <w:color w:val="000000"/>
        </w:rPr>
        <w:lastRenderedPageBreak/>
        <w:t>stumps, or in the detection of the arterial pulse</w:t>
      </w:r>
      <w:r w:rsidR="000D4DEC" w:rsidRPr="001D5732">
        <w:rPr>
          <w:rFonts w:ascii="Book Antiqua" w:eastAsia="Book Antiqua" w:hAnsi="Book Antiqua" w:cs="Book Antiqua"/>
          <w:color w:val="000000"/>
          <w:szCs w:val="30"/>
          <w:vertAlign w:val="superscript"/>
        </w:rPr>
        <w:t>[6,</w:t>
      </w:r>
      <w:r w:rsidRPr="001D5732">
        <w:rPr>
          <w:rFonts w:ascii="Book Antiqua" w:eastAsia="Book Antiqua" w:hAnsi="Book Antiqua" w:cs="Book Antiqua"/>
          <w:color w:val="000000"/>
          <w:szCs w:val="30"/>
          <w:vertAlign w:val="superscript"/>
        </w:rPr>
        <w:t>21]</w:t>
      </w:r>
      <w:r w:rsidRPr="001D5732">
        <w:rPr>
          <w:rFonts w:ascii="Book Antiqua" w:eastAsia="Book Antiqua" w:hAnsi="Book Antiqua" w:cs="Book Antiqua"/>
          <w:color w:val="000000"/>
        </w:rPr>
        <w:t xml:space="preserve">. In the last years, the use of ICG </w:t>
      </w:r>
      <w:bookmarkStart w:id="47" w:name="OLE_LINK24"/>
      <w:r w:rsidRPr="001D5732">
        <w:rPr>
          <w:rFonts w:ascii="Book Antiqua" w:eastAsia="Book Antiqua" w:hAnsi="Book Antiqua" w:cs="Book Antiqua"/>
          <w:color w:val="000000"/>
        </w:rPr>
        <w:t>fluorescence angiography</w:t>
      </w:r>
      <w:bookmarkEnd w:id="47"/>
      <w:r w:rsidRPr="001D5732">
        <w:rPr>
          <w:rFonts w:ascii="Book Antiqua" w:eastAsia="Book Antiqua" w:hAnsi="Book Antiqua" w:cs="Book Antiqua"/>
          <w:color w:val="000000"/>
        </w:rPr>
        <w:t xml:space="preserve"> (ICG-FA) has</w:t>
      </w:r>
      <w:r w:rsidR="009E18DD" w:rsidRPr="001D5732">
        <w:rPr>
          <w:rFonts w:ascii="Book Antiqua" w:eastAsia="Book Antiqua" w:hAnsi="Book Antiqua" w:cs="Book Antiqua"/>
          <w:color w:val="000000"/>
        </w:rPr>
        <w:t xml:space="preserve"> become</w:t>
      </w:r>
      <w:r w:rsidRPr="001D5732">
        <w:rPr>
          <w:rFonts w:ascii="Book Antiqua" w:eastAsia="Book Antiqua" w:hAnsi="Book Antiqua" w:cs="Book Antiqua"/>
          <w:color w:val="000000"/>
        </w:rPr>
        <w:t xml:space="preserve"> widespread, especially within colorectal surgeons (Table 1). The first large clinical experience with ICG-FA was reported by Kudszus </w:t>
      </w:r>
      <w:r w:rsidRPr="001D5732">
        <w:rPr>
          <w:rFonts w:ascii="Book Antiqua" w:eastAsia="Book Antiqua" w:hAnsi="Book Antiqua" w:cs="Book Antiqua"/>
          <w:i/>
          <w:iCs/>
          <w:color w:val="000000"/>
        </w:rPr>
        <w:t>et al</w:t>
      </w:r>
      <w:r w:rsidR="000D4DEC" w:rsidRPr="001D5732">
        <w:rPr>
          <w:rFonts w:ascii="Book Antiqua" w:hAnsi="Book Antiqua" w:cs="Book Antiqua"/>
          <w:iCs/>
          <w:color w:val="000000"/>
          <w:vertAlign w:val="superscript"/>
          <w:lang w:eastAsia="zh-CN"/>
        </w:rPr>
        <w:t>[22]</w:t>
      </w:r>
      <w:r w:rsidRPr="001D5732">
        <w:rPr>
          <w:rFonts w:ascii="Book Antiqua" w:eastAsia="Book Antiqua" w:hAnsi="Book Antiqua" w:cs="Book Antiqua"/>
          <w:color w:val="000000"/>
        </w:rPr>
        <w:t xml:space="preserve"> in 2010. They used laser fluorescence angiography by injecting ICG to assess the bowel perfusion. They compared the study group with a matched historical cohort, 201 patients in each group. </w:t>
      </w:r>
      <w:r w:rsidR="009E18DD" w:rsidRPr="001D5732">
        <w:rPr>
          <w:rFonts w:ascii="Book Antiqua" w:eastAsia="Book Antiqua" w:hAnsi="Book Antiqua" w:cs="Book Antiqua"/>
          <w:color w:val="000000"/>
        </w:rPr>
        <w:t xml:space="preserve">Overall, </w:t>
      </w:r>
      <w:r w:rsidRPr="001D5732">
        <w:rPr>
          <w:rFonts w:ascii="Book Antiqua" w:eastAsia="Book Antiqua" w:hAnsi="Book Antiqua" w:cs="Book Antiqua"/>
          <w:color w:val="000000"/>
        </w:rPr>
        <w:t xml:space="preserve">3.5% of the patients in the </w:t>
      </w:r>
      <w:r w:rsidR="009E18DD" w:rsidRPr="001D5732">
        <w:rPr>
          <w:rFonts w:ascii="Book Antiqua" w:eastAsia="Book Antiqua" w:hAnsi="Book Antiqua" w:cs="Book Antiqua"/>
          <w:color w:val="000000"/>
        </w:rPr>
        <w:t xml:space="preserve">laser fluorescence angiography </w:t>
      </w:r>
      <w:r w:rsidRPr="001D5732">
        <w:rPr>
          <w:rFonts w:ascii="Book Antiqua" w:eastAsia="Book Antiqua" w:hAnsi="Book Antiqua" w:cs="Book Antiqua"/>
          <w:color w:val="000000"/>
        </w:rPr>
        <w:t>group developed Grade C AL compared to 7.5% of the controls. The use of ICG reduced the risk of AL by 60% in elective surgery and changed the surgical plan in the 16% of the operations</w:t>
      </w:r>
      <w:r w:rsidRPr="001D5732">
        <w:rPr>
          <w:rFonts w:ascii="Book Antiqua" w:eastAsia="Book Antiqua" w:hAnsi="Book Antiqua" w:cs="Book Antiqua"/>
          <w:bCs/>
          <w:color w:val="000000"/>
          <w:szCs w:val="30"/>
          <w:vertAlign w:val="superscript"/>
        </w:rPr>
        <w:t>[22]</w:t>
      </w:r>
      <w:r w:rsidRPr="001D5732">
        <w:rPr>
          <w:rFonts w:ascii="Book Antiqua" w:eastAsia="Book Antiqua" w:hAnsi="Book Antiqua" w:cs="Book Antiqua"/>
          <w:color w:val="000000"/>
        </w:rPr>
        <w:t>. The safety and feasibility of ICG-FA were further confirmed in two phase-2 prospective clinical trials</w:t>
      </w:r>
      <w:r w:rsidR="000D4DEC" w:rsidRPr="001D5732">
        <w:rPr>
          <w:rFonts w:ascii="Book Antiqua" w:eastAsia="Book Antiqua" w:hAnsi="Book Antiqua" w:cs="Book Antiqua"/>
          <w:color w:val="000000"/>
          <w:szCs w:val="30"/>
          <w:vertAlign w:val="superscript"/>
        </w:rPr>
        <w:t>[23,</w:t>
      </w:r>
      <w:r w:rsidRPr="001D5732">
        <w:rPr>
          <w:rFonts w:ascii="Book Antiqua" w:eastAsia="Book Antiqua" w:hAnsi="Book Antiqua" w:cs="Book Antiqua"/>
          <w:color w:val="000000"/>
          <w:szCs w:val="30"/>
          <w:vertAlign w:val="superscript"/>
        </w:rPr>
        <w:t>24]</w:t>
      </w:r>
      <w:r w:rsidRPr="001D5732">
        <w:rPr>
          <w:rFonts w:ascii="Book Antiqua" w:eastAsia="Book Antiqua" w:hAnsi="Book Antiqua" w:cs="Book Antiqua"/>
          <w:color w:val="000000"/>
        </w:rPr>
        <w:t xml:space="preserve">. Moreover, in 2020 two randomized controlled trials (RCT) assessed the effectiveness of the new technique when compared with the conventional surgeon’s judgment. The first was a multi-centric Italian superiority RCT. </w:t>
      </w:r>
      <w:r w:rsidR="009E18DD" w:rsidRPr="001D5732">
        <w:rPr>
          <w:rFonts w:ascii="Book Antiqua" w:eastAsia="Book Antiqua" w:hAnsi="Book Antiqua" w:cs="Book Antiqua"/>
          <w:color w:val="000000"/>
        </w:rPr>
        <w:t xml:space="preserve">Two </w:t>
      </w:r>
      <w:r w:rsidR="00605922" w:rsidRPr="001D5732">
        <w:rPr>
          <w:rFonts w:ascii="Book Antiqua" w:eastAsia="Book Antiqua" w:hAnsi="Book Antiqua" w:cs="Book Antiqua"/>
          <w:color w:val="000000"/>
        </w:rPr>
        <w:t>hundred</w:t>
      </w:r>
      <w:r w:rsidR="009E18DD" w:rsidRPr="001D5732">
        <w:rPr>
          <w:rFonts w:ascii="Book Antiqua" w:eastAsia="Book Antiqua" w:hAnsi="Book Antiqua" w:cs="Book Antiqua"/>
          <w:color w:val="000000"/>
        </w:rPr>
        <w:t xml:space="preserve"> fifty-two</w:t>
      </w:r>
      <w:r w:rsidRPr="001D5732">
        <w:rPr>
          <w:rFonts w:ascii="Book Antiqua" w:eastAsia="Book Antiqua" w:hAnsi="Book Antiqua" w:cs="Book Antiqua"/>
          <w:color w:val="000000"/>
        </w:rPr>
        <w:t xml:space="preserve"> patients were referred for laparoscopic anterior rectal resection or left colectomy with a colorectal anastomosis, which was expected to be located between 2 and 15 cm from the anal verge. The primary outcome was the rate of AL defined by the ISGRC criteria within 30 d from surgery. In 13 patients, extended resections were performed according to the ICG-FA findings (11%). AL were developed in 6 (5%) patients in the ICG-FA group and in 11 patients (9%) in the control group (</w:t>
      </w:r>
      <w:r w:rsidR="000D4DEC" w:rsidRPr="001D5732">
        <w:rPr>
          <w:rFonts w:ascii="Book Antiqua" w:eastAsia="Book Antiqua" w:hAnsi="Book Antiqua" w:cs="Book Antiqua"/>
          <w:i/>
          <w:color w:val="000000"/>
        </w:rPr>
        <w:t>P</w:t>
      </w:r>
      <w:r w:rsidR="000D4DEC" w:rsidRPr="001D5732">
        <w:rPr>
          <w:rFonts w:ascii="Book Antiqua" w:eastAsia="Book Antiqua" w:hAnsi="Book Antiqua" w:cs="Book Antiqua"/>
          <w:color w:val="000000"/>
        </w:rPr>
        <w:t xml:space="preserve"> </w:t>
      </w:r>
      <w:r w:rsidRPr="001D5732">
        <w:rPr>
          <w:rFonts w:ascii="Book Antiqua" w:eastAsia="Book Antiqua" w:hAnsi="Book Antiqua" w:cs="Book Antiqua"/>
          <w:color w:val="000000"/>
        </w:rPr>
        <w:t xml:space="preserve">= </w:t>
      </w:r>
      <w:r w:rsidR="009E18DD" w:rsidRPr="001D5732">
        <w:rPr>
          <w:rFonts w:ascii="Book Antiqua" w:eastAsia="Book Antiqua" w:hAnsi="Book Antiqua" w:cs="Book Antiqua"/>
          <w:color w:val="000000"/>
        </w:rPr>
        <w:t>not significant</w:t>
      </w:r>
      <w:r w:rsidRPr="001D5732">
        <w:rPr>
          <w:rFonts w:ascii="Book Antiqua" w:eastAsia="Book Antiqua" w:hAnsi="Book Antiqua" w:cs="Book Antiqua"/>
          <w:color w:val="000000"/>
        </w:rPr>
        <w:t>)</w:t>
      </w:r>
      <w:r w:rsidRPr="001D5732">
        <w:rPr>
          <w:rFonts w:ascii="Book Antiqua" w:eastAsia="Book Antiqua" w:hAnsi="Book Antiqua" w:cs="Book Antiqua"/>
          <w:bCs/>
          <w:color w:val="000000"/>
          <w:szCs w:val="30"/>
          <w:vertAlign w:val="superscript"/>
        </w:rPr>
        <w:t>[25]</w:t>
      </w:r>
      <w:r w:rsidRPr="001D5732">
        <w:rPr>
          <w:rFonts w:ascii="Book Antiqua" w:eastAsia="Book Antiqua" w:hAnsi="Book Antiqua" w:cs="Book Antiqua"/>
          <w:color w:val="000000"/>
        </w:rPr>
        <w:t>.</w:t>
      </w:r>
      <w:r w:rsidRPr="001D5732">
        <w:rPr>
          <w:rFonts w:ascii="Book Antiqua" w:eastAsia="Book Antiqua" w:hAnsi="Book Antiqua" w:cs="Book Antiqua"/>
          <w:bCs/>
          <w:color w:val="000000"/>
        </w:rPr>
        <w:t xml:space="preserve"> </w:t>
      </w:r>
      <w:r w:rsidRPr="001D5732">
        <w:rPr>
          <w:rFonts w:ascii="Book Antiqua" w:eastAsia="Book Antiqua" w:hAnsi="Book Antiqua" w:cs="Book Antiqua"/>
          <w:color w:val="000000"/>
        </w:rPr>
        <w:t>The second RCT enrolled 380 patients who underwent sigmoid or rectal resections between 2018 and 2019 in a single Russian institution. They observed that ICG-FA did not decrease the rate of AL in high (</w:t>
      </w:r>
      <w:proofErr w:type="gramStart"/>
      <w:r w:rsidRPr="001D5732">
        <w:rPr>
          <w:rFonts w:ascii="Book Antiqua" w:eastAsia="Book Antiqua" w:hAnsi="Book Antiqua" w:cs="Book Antiqua"/>
          <w:i/>
          <w:color w:val="000000"/>
        </w:rPr>
        <w:t>i.e.</w:t>
      </w:r>
      <w:proofErr w:type="gramEnd"/>
      <w:r w:rsidRPr="001D5732">
        <w:rPr>
          <w:rFonts w:ascii="Book Antiqua" w:eastAsia="Book Antiqua" w:hAnsi="Book Antiqua" w:cs="Book Antiqua"/>
          <w:color w:val="000000"/>
        </w:rPr>
        <w:t xml:space="preserve"> 9-15 cm from the anal verge) anastomoses: 1.3% </w:t>
      </w:r>
      <w:r w:rsidRPr="001D5732">
        <w:rPr>
          <w:rFonts w:ascii="Book Antiqua" w:eastAsia="Book Antiqua" w:hAnsi="Book Antiqua" w:cs="Book Antiqua"/>
          <w:i/>
          <w:color w:val="000000"/>
        </w:rPr>
        <w:t>vs</w:t>
      </w:r>
      <w:r w:rsidRPr="001D5732">
        <w:rPr>
          <w:rFonts w:ascii="Book Antiqua" w:eastAsia="Book Antiqua" w:hAnsi="Book Antiqua" w:cs="Book Antiqua"/>
          <w:color w:val="000000"/>
        </w:rPr>
        <w:t xml:space="preserve"> 4.6% in the control group (</w:t>
      </w:r>
      <w:r w:rsidR="00DD4E36" w:rsidRPr="001D5732">
        <w:rPr>
          <w:rFonts w:ascii="Book Antiqua" w:eastAsia="Book Antiqua" w:hAnsi="Book Antiqua" w:cs="Book Antiqua"/>
          <w:i/>
          <w:color w:val="000000"/>
        </w:rPr>
        <w:t>P</w:t>
      </w:r>
      <w:r w:rsidR="00DD4E36" w:rsidRPr="001D5732">
        <w:rPr>
          <w:rFonts w:ascii="Book Antiqua" w:hAnsi="Book Antiqua" w:cs="Book Antiqua"/>
          <w:color w:val="000000"/>
          <w:lang w:eastAsia="zh-CN"/>
        </w:rPr>
        <w:t xml:space="preserve"> </w:t>
      </w:r>
      <w:r w:rsidRPr="001D5732">
        <w:rPr>
          <w:rFonts w:ascii="Book Antiqua" w:eastAsia="Book Antiqua" w:hAnsi="Book Antiqua" w:cs="Book Antiqua"/>
          <w:color w:val="000000"/>
        </w:rPr>
        <w:t>=</w:t>
      </w:r>
      <w:r w:rsidR="00DD4E36" w:rsidRPr="001D5732">
        <w:rPr>
          <w:rFonts w:ascii="Book Antiqua" w:hAnsi="Book Antiqua" w:cs="Book Antiqua"/>
          <w:color w:val="000000"/>
          <w:lang w:eastAsia="zh-CN"/>
        </w:rPr>
        <w:t xml:space="preserve"> </w:t>
      </w:r>
      <w:r w:rsidR="009E18DD" w:rsidRPr="001D5732">
        <w:rPr>
          <w:rFonts w:ascii="Book Antiqua" w:hAnsi="Book Antiqua" w:cs="Book Antiqua"/>
          <w:color w:val="000000"/>
          <w:lang w:eastAsia="zh-CN"/>
        </w:rPr>
        <w:t>not significant</w:t>
      </w:r>
      <w:r w:rsidRPr="001D5732">
        <w:rPr>
          <w:rFonts w:ascii="Book Antiqua" w:eastAsia="Book Antiqua" w:hAnsi="Book Antiqua" w:cs="Book Antiqua"/>
          <w:color w:val="000000"/>
        </w:rPr>
        <w:t>). In low colorectal anastomoses (</w:t>
      </w:r>
      <w:proofErr w:type="gramStart"/>
      <w:r w:rsidRPr="001D5732">
        <w:rPr>
          <w:rFonts w:ascii="Book Antiqua" w:eastAsia="Book Antiqua" w:hAnsi="Book Antiqua" w:cs="Book Antiqua"/>
          <w:i/>
          <w:color w:val="000000"/>
        </w:rPr>
        <w:t>i.e.</w:t>
      </w:r>
      <w:proofErr w:type="gramEnd"/>
      <w:r w:rsidRPr="001D5732">
        <w:rPr>
          <w:rFonts w:ascii="Book Antiqua" w:eastAsia="Book Antiqua" w:hAnsi="Book Antiqua" w:cs="Book Antiqua"/>
          <w:color w:val="000000"/>
        </w:rPr>
        <w:t xml:space="preserve"> 4–8 cm)</w:t>
      </w:r>
      <w:r w:rsidR="009E18DD" w:rsidRPr="001D5732">
        <w:rPr>
          <w:rFonts w:ascii="Book Antiqua" w:eastAsia="Book Antiqua" w:hAnsi="Book Antiqua" w:cs="Book Antiqua"/>
          <w:color w:val="000000"/>
        </w:rPr>
        <w:t>,</w:t>
      </w:r>
      <w:r w:rsidRPr="001D5732">
        <w:rPr>
          <w:rFonts w:ascii="Book Antiqua" w:eastAsia="Book Antiqua" w:hAnsi="Book Antiqua" w:cs="Book Antiqua"/>
          <w:color w:val="000000"/>
        </w:rPr>
        <w:t xml:space="preserve"> the AL rate was significantly lower in ICG FA group: 14.4% </w:t>
      </w:r>
      <w:r w:rsidRPr="001D5732">
        <w:rPr>
          <w:rFonts w:ascii="Book Antiqua" w:eastAsia="Book Antiqua" w:hAnsi="Book Antiqua" w:cs="Book Antiqua"/>
          <w:i/>
          <w:color w:val="000000"/>
        </w:rPr>
        <w:t>vs</w:t>
      </w:r>
      <w:r w:rsidRPr="001D5732">
        <w:rPr>
          <w:rFonts w:ascii="Book Antiqua" w:eastAsia="Book Antiqua" w:hAnsi="Book Antiqua" w:cs="Book Antiqua"/>
          <w:color w:val="000000"/>
        </w:rPr>
        <w:t xml:space="preserve"> 25.7%, respectively (</w:t>
      </w:r>
      <w:r w:rsidRPr="001D5732">
        <w:rPr>
          <w:rFonts w:ascii="Book Antiqua" w:eastAsia="Book Antiqua" w:hAnsi="Book Antiqua" w:cs="Book Antiqua"/>
          <w:i/>
          <w:iCs/>
          <w:color w:val="000000"/>
        </w:rPr>
        <w:t>P</w:t>
      </w:r>
      <w:r w:rsidRPr="001D5732">
        <w:rPr>
          <w:rFonts w:ascii="Book Antiqua" w:eastAsia="Book Antiqua" w:hAnsi="Book Antiqua" w:cs="Book Antiqua"/>
          <w:color w:val="000000"/>
        </w:rPr>
        <w:t xml:space="preserve"> = 0.04). However, the difference was caused by the higher rate of Grade A leaks in the control group. The rates of clinically relevant AL (Grades B and C) were found to be similar between the two arms</w:t>
      </w:r>
      <w:r w:rsidRPr="001D5732">
        <w:rPr>
          <w:rFonts w:ascii="Book Antiqua" w:eastAsia="Book Antiqua" w:hAnsi="Book Antiqua" w:cs="Book Antiqua"/>
          <w:color w:val="000000"/>
          <w:szCs w:val="30"/>
          <w:vertAlign w:val="superscript"/>
        </w:rPr>
        <w:t>[26]</w:t>
      </w:r>
      <w:r w:rsidRPr="001D5732">
        <w:rPr>
          <w:rFonts w:ascii="Book Antiqua" w:eastAsia="Book Antiqua" w:hAnsi="Book Antiqua" w:cs="Book Antiqua"/>
          <w:color w:val="000000"/>
        </w:rPr>
        <w:t xml:space="preserve">. Arezzo </w:t>
      </w:r>
      <w:r w:rsidRPr="001D5732">
        <w:rPr>
          <w:rFonts w:ascii="Book Antiqua" w:eastAsia="Book Antiqua" w:hAnsi="Book Antiqua" w:cs="Book Antiqua"/>
          <w:i/>
          <w:iCs/>
          <w:color w:val="000000"/>
        </w:rPr>
        <w:t>et al</w:t>
      </w:r>
      <w:r w:rsidR="00DD4E36" w:rsidRPr="001D5732">
        <w:rPr>
          <w:rFonts w:ascii="Book Antiqua" w:eastAsia="Book Antiqua" w:hAnsi="Book Antiqua" w:cs="Book Antiqua"/>
          <w:color w:val="000000"/>
          <w:szCs w:val="30"/>
          <w:vertAlign w:val="superscript"/>
        </w:rPr>
        <w:t>[27]</w:t>
      </w:r>
      <w:r w:rsidRPr="001D5732">
        <w:rPr>
          <w:rFonts w:ascii="Book Antiqua" w:eastAsia="Book Antiqua" w:hAnsi="Book Antiqua" w:cs="Book Antiqua"/>
          <w:color w:val="000000"/>
        </w:rPr>
        <w:t xml:space="preserve"> recently published an individual patient data meta-analysis including the </w:t>
      </w:r>
      <w:r w:rsidR="009E18DD" w:rsidRPr="001D5732">
        <w:rPr>
          <w:rFonts w:ascii="Book Antiqua" w:eastAsia="Book Antiqua" w:hAnsi="Book Antiqua" w:cs="Book Antiqua"/>
          <w:color w:val="000000"/>
        </w:rPr>
        <w:t>two</w:t>
      </w:r>
      <w:r w:rsidRPr="001D5732">
        <w:rPr>
          <w:rFonts w:ascii="Book Antiqua" w:eastAsia="Book Antiqua" w:hAnsi="Book Antiqua" w:cs="Book Antiqua"/>
          <w:color w:val="000000"/>
        </w:rPr>
        <w:t xml:space="preserve"> previous RCT and </w:t>
      </w:r>
      <w:r w:rsidR="009E18DD" w:rsidRPr="001D5732">
        <w:rPr>
          <w:rFonts w:ascii="Book Antiqua" w:eastAsia="Book Antiqua" w:hAnsi="Book Antiqua" w:cs="Book Antiqua"/>
          <w:color w:val="000000"/>
        </w:rPr>
        <w:t>seven</w:t>
      </w:r>
      <w:r w:rsidRPr="001D5732">
        <w:rPr>
          <w:rFonts w:ascii="Book Antiqua" w:eastAsia="Book Antiqua" w:hAnsi="Book Antiqua" w:cs="Book Antiqua"/>
          <w:color w:val="000000"/>
        </w:rPr>
        <w:t xml:space="preserve"> non-randomized studies. Pooled data from 1330 patients were analyzed, 862 in the ICG-FA group and 468 in the control group. The main outcome was the rat</w:t>
      </w:r>
      <w:r w:rsidR="00DD4E36" w:rsidRPr="001D5732">
        <w:rPr>
          <w:rFonts w:ascii="Book Antiqua" w:eastAsia="Book Antiqua" w:hAnsi="Book Antiqua" w:cs="Book Antiqua"/>
          <w:color w:val="000000"/>
        </w:rPr>
        <w:t>e of AL during the first 30 d</w:t>
      </w:r>
      <w:r w:rsidRPr="001D5732">
        <w:rPr>
          <w:rFonts w:ascii="Book Antiqua" w:eastAsia="Book Antiqua" w:hAnsi="Book Antiqua" w:cs="Book Antiqua"/>
          <w:color w:val="000000"/>
        </w:rPr>
        <w:t xml:space="preserve"> after surgery. The site of the anastomosis was modified after ICG-FA in 11.3% of the </w:t>
      </w:r>
      <w:r w:rsidRPr="001D5732">
        <w:rPr>
          <w:rFonts w:ascii="Book Antiqua" w:eastAsia="Book Antiqua" w:hAnsi="Book Antiqua" w:cs="Book Antiqua"/>
          <w:color w:val="000000"/>
        </w:rPr>
        <w:lastRenderedPageBreak/>
        <w:t xml:space="preserve">patients, whereas a new anastomosis was performed in 2% of the cases. ICG-FA reduced the odds of AL by 89.7%; indeed, the incidence of AL was significantly lower in the ICG-FA group than in the control group (4.2% </w:t>
      </w:r>
      <w:r w:rsidRPr="001D5732">
        <w:rPr>
          <w:rFonts w:ascii="Book Antiqua" w:eastAsia="Book Antiqua" w:hAnsi="Book Antiqua" w:cs="Book Antiqua"/>
          <w:i/>
          <w:color w:val="000000"/>
        </w:rPr>
        <w:t>vs</w:t>
      </w:r>
      <w:r w:rsidRPr="001D5732">
        <w:rPr>
          <w:rFonts w:ascii="Book Antiqua" w:eastAsia="Book Antiqua" w:hAnsi="Book Antiqua" w:cs="Book Antiqua"/>
          <w:color w:val="000000"/>
        </w:rPr>
        <w:t xml:space="preserve"> 11.3%, respectively)</w:t>
      </w:r>
      <w:r w:rsidRPr="001D5732">
        <w:rPr>
          <w:rFonts w:ascii="Book Antiqua" w:eastAsia="Book Antiqua" w:hAnsi="Book Antiqua" w:cs="Book Antiqua"/>
          <w:color w:val="000000"/>
          <w:szCs w:val="30"/>
          <w:vertAlign w:val="superscript"/>
        </w:rPr>
        <w:t>[27]</w:t>
      </w:r>
      <w:r w:rsidRPr="001D5732">
        <w:rPr>
          <w:rFonts w:ascii="Book Antiqua" w:eastAsia="Book Antiqua" w:hAnsi="Book Antiqua" w:cs="Book Antiqua"/>
          <w:color w:val="000000"/>
        </w:rPr>
        <w:t xml:space="preserve">. </w:t>
      </w:r>
      <w:bookmarkEnd w:id="43"/>
      <w:bookmarkEnd w:id="44"/>
    </w:p>
    <w:p w14:paraId="520532CC" w14:textId="77777777" w:rsidR="00A77B3E" w:rsidRPr="001D5732" w:rsidRDefault="00A77B3E">
      <w:pPr>
        <w:spacing w:line="360" w:lineRule="auto"/>
        <w:jc w:val="both"/>
      </w:pPr>
    </w:p>
    <w:p w14:paraId="2C7A8FCE" w14:textId="77777777" w:rsidR="00A77B3E" w:rsidRPr="001D5732" w:rsidRDefault="0052574D">
      <w:pPr>
        <w:spacing w:line="360" w:lineRule="auto"/>
        <w:jc w:val="both"/>
      </w:pPr>
      <w:bookmarkStart w:id="48" w:name="OLE_LINK172"/>
      <w:bookmarkStart w:id="49" w:name="OLE_LINK173"/>
      <w:r w:rsidRPr="001D5732">
        <w:rPr>
          <w:rFonts w:ascii="Book Antiqua" w:eastAsia="Book Antiqua" w:hAnsi="Book Antiqua" w:cs="Book Antiqua"/>
          <w:b/>
          <w:bCs/>
          <w:caps/>
          <w:color w:val="000000"/>
          <w:u w:val="single"/>
        </w:rPr>
        <w:t xml:space="preserve">ASSESSMENT OF GASTRIC TUBE PERFUSION FOLLOWING ESOPHAGECTOMY </w:t>
      </w:r>
    </w:p>
    <w:bookmarkEnd w:id="48"/>
    <w:bookmarkEnd w:id="49"/>
    <w:p w14:paraId="74EBA78D" w14:textId="1F6F22AA" w:rsidR="00A77B3E" w:rsidRPr="001D5732" w:rsidRDefault="0052574D">
      <w:pPr>
        <w:spacing w:line="360" w:lineRule="auto"/>
        <w:jc w:val="both"/>
        <w:rPr>
          <w:lang w:eastAsia="zh-CN"/>
        </w:rPr>
      </w:pPr>
      <w:r w:rsidRPr="001D5732">
        <w:rPr>
          <w:rFonts w:ascii="Book Antiqua" w:eastAsia="Book Antiqua" w:hAnsi="Book Antiqua" w:cs="Book Antiqua"/>
          <w:color w:val="000000"/>
        </w:rPr>
        <w:t>The surgical resection of esophageal cancers is associated with high rates of postoperative morbidity and mortality. AL and respiratory complications are the most frequent severe adverse events following an esophagectomy</w:t>
      </w:r>
      <w:r w:rsidR="004D1658" w:rsidRPr="001D5732">
        <w:rPr>
          <w:rFonts w:ascii="Book Antiqua" w:eastAsia="Book Antiqua" w:hAnsi="Book Antiqua" w:cs="Book Antiqua"/>
          <w:color w:val="000000"/>
          <w:szCs w:val="30"/>
          <w:vertAlign w:val="superscript"/>
        </w:rPr>
        <w:t>[28,</w:t>
      </w:r>
      <w:r w:rsidRPr="001D5732">
        <w:rPr>
          <w:rFonts w:ascii="Book Antiqua" w:eastAsia="Book Antiqua" w:hAnsi="Book Antiqua" w:cs="Book Antiqua"/>
          <w:color w:val="000000"/>
          <w:szCs w:val="30"/>
          <w:vertAlign w:val="superscript"/>
        </w:rPr>
        <w:t>29]</w:t>
      </w:r>
      <w:r w:rsidR="004D1658" w:rsidRPr="001D5732">
        <w:rPr>
          <w:rFonts w:ascii="Book Antiqua" w:eastAsia="Book Antiqua" w:hAnsi="Book Antiqua" w:cs="Book Antiqua"/>
          <w:color w:val="000000"/>
        </w:rPr>
        <w:t xml:space="preserve">. </w:t>
      </w:r>
      <w:r w:rsidRPr="001D5732">
        <w:rPr>
          <w:rFonts w:ascii="Book Antiqua" w:eastAsia="Book Antiqua" w:hAnsi="Book Antiqua" w:cs="Book Antiqua"/>
          <w:color w:val="000000"/>
        </w:rPr>
        <w:t>The incidence of AL in the literature ranges betwee</w:t>
      </w:r>
      <w:r w:rsidR="004D1658" w:rsidRPr="001D5732">
        <w:rPr>
          <w:rFonts w:ascii="Book Antiqua" w:eastAsia="Book Antiqua" w:hAnsi="Book Antiqua" w:cs="Book Antiqua"/>
          <w:color w:val="000000"/>
        </w:rPr>
        <w:t>n 5</w:t>
      </w:r>
      <w:r w:rsidR="004D1658" w:rsidRPr="001D5732">
        <w:rPr>
          <w:rFonts w:ascii="Book Antiqua" w:hAnsi="Book Antiqua" w:cs="Book Antiqua"/>
          <w:color w:val="000000"/>
          <w:lang w:eastAsia="zh-CN"/>
        </w:rPr>
        <w:t>%</w:t>
      </w:r>
      <w:r w:rsidR="004D1658" w:rsidRPr="001D5732">
        <w:rPr>
          <w:rFonts w:ascii="Book Antiqua" w:eastAsia="Book Antiqua" w:hAnsi="Book Antiqua" w:cs="Book Antiqua"/>
          <w:color w:val="000000"/>
        </w:rPr>
        <w:t xml:space="preserve"> and 20% and </w:t>
      </w:r>
      <w:r w:rsidRPr="001D5732">
        <w:rPr>
          <w:rFonts w:ascii="Book Antiqua" w:eastAsia="Book Antiqua" w:hAnsi="Book Antiqua" w:cs="Book Antiqua"/>
          <w:color w:val="000000"/>
        </w:rPr>
        <w:t>has been associated with mortality rates of 18% to 40%</w:t>
      </w:r>
      <w:r w:rsidR="004D1658" w:rsidRPr="001D5732">
        <w:rPr>
          <w:rFonts w:ascii="Book Antiqua" w:eastAsia="Book Antiqua" w:hAnsi="Book Antiqua" w:cs="Book Antiqua"/>
          <w:color w:val="000000"/>
          <w:szCs w:val="30"/>
          <w:vertAlign w:val="superscript"/>
        </w:rPr>
        <w:t>[30,</w:t>
      </w:r>
      <w:r w:rsidRPr="001D5732">
        <w:rPr>
          <w:rFonts w:ascii="Book Antiqua" w:eastAsia="Book Antiqua" w:hAnsi="Book Antiqua" w:cs="Book Antiqua"/>
          <w:color w:val="000000"/>
          <w:szCs w:val="30"/>
          <w:vertAlign w:val="superscript"/>
        </w:rPr>
        <w:t>31]</w:t>
      </w:r>
      <w:r w:rsidRPr="001D5732">
        <w:rPr>
          <w:rFonts w:ascii="Book Antiqua" w:eastAsia="Book Antiqua" w:hAnsi="Book Antiqua" w:cs="Book Antiqua"/>
          <w:color w:val="000000"/>
        </w:rPr>
        <w:t>. Remarkably, up to 40% of the long-term survivors after an AL will develop an anastomotic stricture and therefore may require additional interventions or permanent nutritional support</w:t>
      </w:r>
      <w:r w:rsidR="004D1658" w:rsidRPr="001D5732">
        <w:rPr>
          <w:rFonts w:ascii="Book Antiqua" w:eastAsia="Book Antiqua" w:hAnsi="Book Antiqua" w:cs="Book Antiqua"/>
          <w:color w:val="000000"/>
          <w:szCs w:val="30"/>
          <w:vertAlign w:val="superscript"/>
        </w:rPr>
        <w:t>[32,</w:t>
      </w:r>
      <w:r w:rsidRPr="001D5732">
        <w:rPr>
          <w:rFonts w:ascii="Book Antiqua" w:eastAsia="Book Antiqua" w:hAnsi="Book Antiqua" w:cs="Book Antiqua"/>
          <w:color w:val="000000"/>
          <w:szCs w:val="30"/>
          <w:vertAlign w:val="superscript"/>
        </w:rPr>
        <w:t>33]</w:t>
      </w:r>
      <w:r w:rsidRPr="001D5732">
        <w:rPr>
          <w:rFonts w:ascii="Book Antiqua" w:eastAsia="Book Antiqua" w:hAnsi="Book Antiqua" w:cs="Book Antiqua"/>
          <w:color w:val="000000"/>
        </w:rPr>
        <w:t>. The most frequent methods for intestinal reconstruction after an esophageal resection include the performance of a stapled gastric tube by using the greater curvature of the stomach. The gastroplasty is then anastomosed with the cervical or the thoracic esophagus. The ischemia of the gastric tube is known to be the main predisposing factor for AL at esophagogastric anastomosis</w:t>
      </w:r>
      <w:r w:rsidRPr="001D5732">
        <w:rPr>
          <w:rFonts w:ascii="Book Antiqua" w:eastAsia="Book Antiqua" w:hAnsi="Book Antiqua" w:cs="Book Antiqua"/>
          <w:color w:val="000000"/>
          <w:szCs w:val="30"/>
          <w:vertAlign w:val="superscript"/>
        </w:rPr>
        <w:t>[34-36]</w:t>
      </w:r>
      <w:r w:rsidRPr="001D5732">
        <w:rPr>
          <w:rFonts w:ascii="Book Antiqua" w:eastAsia="Book Antiqua" w:hAnsi="Book Antiqua" w:cs="Book Antiqua"/>
          <w:color w:val="000000"/>
        </w:rPr>
        <w:t>. The tip of the gastric tube is the poorest perfused area</w:t>
      </w:r>
      <w:r w:rsidRPr="001D5732">
        <w:rPr>
          <w:rFonts w:ascii="Book Antiqua" w:eastAsia="Book Antiqua" w:hAnsi="Book Antiqua" w:cs="Book Antiqua"/>
          <w:color w:val="000000"/>
          <w:szCs w:val="30"/>
          <w:vertAlign w:val="superscript"/>
        </w:rPr>
        <w:t>[37]</w:t>
      </w:r>
      <w:r w:rsidRPr="001D5732">
        <w:rPr>
          <w:rFonts w:ascii="Book Antiqua" w:eastAsia="Book Antiqua" w:hAnsi="Book Antiqua" w:cs="Book Antiqua"/>
          <w:color w:val="000000"/>
        </w:rPr>
        <w:t xml:space="preserve">. Many other predictors for AL following esophagectomy have been described and include male gender, tobacco or alcohol abuse, obesity, the severity of comorbidities, corticoid therapy, emergency setting, </w:t>
      </w:r>
      <w:r w:rsidR="009E18DD" w:rsidRPr="001D5732">
        <w:rPr>
          <w:rFonts w:ascii="Book Antiqua" w:eastAsia="Book Antiqua" w:hAnsi="Book Antiqua" w:cs="Book Antiqua"/>
          <w:color w:val="000000"/>
        </w:rPr>
        <w:t>and</w:t>
      </w:r>
      <w:r w:rsidRPr="001D5732">
        <w:rPr>
          <w:rFonts w:ascii="Book Antiqua" w:eastAsia="Book Antiqua" w:hAnsi="Book Antiqua" w:cs="Book Antiqua"/>
          <w:color w:val="000000"/>
        </w:rPr>
        <w:t xml:space="preserve"> blood transfusions</w:t>
      </w:r>
      <w:r w:rsidR="004D1658" w:rsidRPr="001D5732">
        <w:rPr>
          <w:rFonts w:ascii="Book Antiqua" w:eastAsia="Book Antiqua" w:hAnsi="Book Antiqua" w:cs="Book Antiqua"/>
          <w:color w:val="000000"/>
          <w:szCs w:val="30"/>
          <w:vertAlign w:val="superscript"/>
        </w:rPr>
        <w:t>[30,35,</w:t>
      </w:r>
      <w:r w:rsidRPr="001D5732">
        <w:rPr>
          <w:rFonts w:ascii="Book Antiqua" w:eastAsia="Book Antiqua" w:hAnsi="Book Antiqua" w:cs="Book Antiqua"/>
          <w:color w:val="000000"/>
          <w:szCs w:val="30"/>
          <w:vertAlign w:val="superscript"/>
        </w:rPr>
        <w:t>36]</w:t>
      </w:r>
      <w:r w:rsidRPr="001D5732">
        <w:rPr>
          <w:rFonts w:ascii="Book Antiqua" w:eastAsia="Book Antiqua" w:hAnsi="Book Antiqua" w:cs="Book Antiqua"/>
          <w:color w:val="000000"/>
        </w:rPr>
        <w:t xml:space="preserve">. The conventional intraoperative methods to evaluate the perfusion of the gastric conduit are mainly based on the human visual inspection and therefore offer low accuracy. In </w:t>
      </w:r>
      <w:r w:rsidR="009E18DD" w:rsidRPr="001D5732">
        <w:rPr>
          <w:rFonts w:ascii="Book Antiqua" w:eastAsia="Book Antiqua" w:hAnsi="Book Antiqua" w:cs="Book Antiqua"/>
          <w:color w:val="000000"/>
        </w:rPr>
        <w:t>recent</w:t>
      </w:r>
      <w:r w:rsidRPr="001D5732">
        <w:rPr>
          <w:rFonts w:ascii="Book Antiqua" w:eastAsia="Book Antiqua" w:hAnsi="Book Antiqua" w:cs="Book Antiqua"/>
          <w:color w:val="000000"/>
        </w:rPr>
        <w:t xml:space="preserve"> years, different teams have experienced with ICG-IF intending to mitigate the burden of this deleterious complication, with variable results (Table 1). Some of them showed no effect of the ICG-IF to prevent an AL</w:t>
      </w:r>
      <w:r w:rsidR="004D1658" w:rsidRPr="001D5732">
        <w:rPr>
          <w:rFonts w:ascii="Book Antiqua" w:eastAsia="Book Antiqua" w:hAnsi="Book Antiqua" w:cs="Book Antiqua"/>
          <w:color w:val="000000"/>
          <w:szCs w:val="30"/>
          <w:vertAlign w:val="superscript"/>
        </w:rPr>
        <w:t>[28,</w:t>
      </w:r>
      <w:r w:rsidRPr="001D5732">
        <w:rPr>
          <w:rFonts w:ascii="Book Antiqua" w:eastAsia="Book Antiqua" w:hAnsi="Book Antiqua" w:cs="Book Antiqua"/>
          <w:color w:val="000000"/>
          <w:szCs w:val="30"/>
          <w:vertAlign w:val="superscript"/>
        </w:rPr>
        <w:t>38]</w:t>
      </w:r>
      <w:r w:rsidRPr="001D5732">
        <w:rPr>
          <w:rFonts w:ascii="Book Antiqua" w:eastAsia="Book Antiqua" w:hAnsi="Book Antiqua" w:cs="Book Antiqua"/>
          <w:color w:val="000000"/>
        </w:rPr>
        <w:t>, while others did</w:t>
      </w:r>
      <w:r w:rsidRPr="001D5732">
        <w:rPr>
          <w:rFonts w:ascii="Book Antiqua" w:eastAsia="Book Antiqua" w:hAnsi="Book Antiqua" w:cs="Book Antiqua"/>
          <w:color w:val="000000"/>
          <w:szCs w:val="30"/>
          <w:vertAlign w:val="superscript"/>
        </w:rPr>
        <w:t>[29]</w:t>
      </w:r>
      <w:r w:rsidRPr="001D5732">
        <w:rPr>
          <w:rFonts w:ascii="Book Antiqua" w:eastAsia="Book Antiqua" w:hAnsi="Book Antiqua" w:cs="Book Antiqua"/>
          <w:color w:val="000000"/>
        </w:rPr>
        <w:t>. Other authors showed lower severity of AL but not a decrease in the AL rates</w:t>
      </w:r>
      <w:r w:rsidRPr="001D5732">
        <w:rPr>
          <w:rFonts w:ascii="Book Antiqua" w:eastAsia="Book Antiqua" w:hAnsi="Book Antiqua" w:cs="Book Antiqua"/>
          <w:color w:val="000000"/>
          <w:szCs w:val="30"/>
          <w:vertAlign w:val="superscript"/>
        </w:rPr>
        <w:t>[39-42]</w:t>
      </w:r>
      <w:r w:rsidRPr="001D5732">
        <w:rPr>
          <w:rFonts w:ascii="Book Antiqua" w:eastAsia="Book Antiqua" w:hAnsi="Book Antiqua" w:cs="Book Antiqua"/>
          <w:color w:val="000000"/>
        </w:rPr>
        <w:t>.</w:t>
      </w:r>
    </w:p>
    <w:p w14:paraId="0F87C4A3" w14:textId="7EA5319E" w:rsidR="00A77B3E" w:rsidRPr="001D5732" w:rsidRDefault="0052574D" w:rsidP="004D1658">
      <w:pPr>
        <w:spacing w:line="360" w:lineRule="auto"/>
        <w:ind w:firstLineChars="100" w:firstLine="240"/>
        <w:jc w:val="both"/>
      </w:pPr>
      <w:r w:rsidRPr="001D5732">
        <w:rPr>
          <w:rFonts w:ascii="Book Antiqua" w:eastAsia="Book Antiqua" w:hAnsi="Book Antiqua" w:cs="Book Antiqua"/>
          <w:color w:val="000000"/>
        </w:rPr>
        <w:t xml:space="preserve">Zehetner </w:t>
      </w:r>
      <w:r w:rsidRPr="001D5732">
        <w:rPr>
          <w:rFonts w:ascii="Book Antiqua" w:eastAsia="Book Antiqua" w:hAnsi="Book Antiqua" w:cs="Book Antiqua"/>
          <w:i/>
          <w:iCs/>
          <w:color w:val="000000"/>
        </w:rPr>
        <w:t>et al</w:t>
      </w:r>
      <w:r w:rsidR="004D1658" w:rsidRPr="001D5732">
        <w:rPr>
          <w:rFonts w:ascii="Book Antiqua" w:hAnsi="Book Antiqua" w:cs="Book Antiqua"/>
          <w:iCs/>
          <w:color w:val="000000"/>
          <w:vertAlign w:val="superscript"/>
          <w:lang w:eastAsia="zh-CN"/>
        </w:rPr>
        <w:t>[43]</w:t>
      </w:r>
      <w:r w:rsidRPr="001D5732">
        <w:rPr>
          <w:rFonts w:ascii="Book Antiqua" w:eastAsia="Book Antiqua" w:hAnsi="Book Antiqua" w:cs="Book Antiqua"/>
          <w:color w:val="000000"/>
        </w:rPr>
        <w:t xml:space="preserve"> presented in 2015 one of the earliest prospective studies using laser-assisted angiography with ICG. They enrolled 150 patients who underwent esophagectomy with a cervical reconstruction. Two-thirds of all anastomosis sites were changed due to the angiographic findings. There was one postoperative death, and 22% of the participants developed major complications. AL occurred in 16.7% of the cases, but </w:t>
      </w:r>
      <w:r w:rsidRPr="001D5732">
        <w:rPr>
          <w:rFonts w:ascii="Book Antiqua" w:eastAsia="Book Antiqua" w:hAnsi="Book Antiqua" w:cs="Book Antiqua"/>
          <w:color w:val="000000"/>
        </w:rPr>
        <w:lastRenderedPageBreak/>
        <w:t>most of them were successfully managed without a surgical reoperation. The placement of the anastomosis and the precedent of arterial hypertension were significantly associated with AL</w:t>
      </w:r>
      <w:r w:rsidRPr="001D5732">
        <w:rPr>
          <w:rFonts w:ascii="Book Antiqua" w:eastAsia="Book Antiqua" w:hAnsi="Book Antiqua" w:cs="Book Antiqua"/>
          <w:bCs/>
          <w:color w:val="000000"/>
          <w:szCs w:val="30"/>
          <w:vertAlign w:val="superscript"/>
        </w:rPr>
        <w:t>[43]</w:t>
      </w:r>
      <w:r w:rsidRPr="001D5732">
        <w:rPr>
          <w:rFonts w:ascii="Book Antiqua" w:eastAsia="Book Antiqua" w:hAnsi="Book Antiqua" w:cs="Book Antiqua"/>
          <w:bCs/>
          <w:color w:val="000000"/>
        </w:rPr>
        <w:t>.</w:t>
      </w:r>
      <w:r w:rsidRPr="001D5732">
        <w:rPr>
          <w:rFonts w:ascii="Book Antiqua" w:eastAsia="Book Antiqua" w:hAnsi="Book Antiqua" w:cs="Book Antiqua"/>
          <w:color w:val="000000"/>
        </w:rPr>
        <w:t xml:space="preserve"> Later, Koyanagi </w:t>
      </w:r>
      <w:r w:rsidRPr="001D5732">
        <w:rPr>
          <w:rFonts w:ascii="Book Antiqua" w:eastAsia="Book Antiqua" w:hAnsi="Book Antiqua" w:cs="Book Antiqua"/>
          <w:i/>
          <w:iCs/>
          <w:color w:val="000000"/>
        </w:rPr>
        <w:t>et al</w:t>
      </w:r>
      <w:r w:rsidR="004D1658" w:rsidRPr="001D5732">
        <w:rPr>
          <w:rFonts w:ascii="Book Antiqua" w:hAnsi="Book Antiqua" w:cs="Book Antiqua"/>
          <w:iCs/>
          <w:color w:val="000000"/>
          <w:vertAlign w:val="superscript"/>
          <w:lang w:eastAsia="zh-CN"/>
        </w:rPr>
        <w:t>[42]</w:t>
      </w:r>
      <w:r w:rsidRPr="001D5732">
        <w:rPr>
          <w:rFonts w:ascii="Book Antiqua" w:eastAsia="Book Antiqua" w:hAnsi="Book Antiqua" w:cs="Book Antiqua"/>
          <w:color w:val="000000"/>
        </w:rPr>
        <w:t xml:space="preserve"> </w:t>
      </w:r>
      <w:r w:rsidR="009E18DD" w:rsidRPr="001D5732">
        <w:rPr>
          <w:rFonts w:ascii="Book Antiqua" w:eastAsia="Book Antiqua" w:hAnsi="Book Antiqua" w:cs="Book Antiqua"/>
          <w:color w:val="000000"/>
        </w:rPr>
        <w:t>evaluated</w:t>
      </w:r>
      <w:r w:rsidRPr="001D5732">
        <w:rPr>
          <w:rFonts w:ascii="Book Antiqua" w:eastAsia="Book Antiqua" w:hAnsi="Book Antiqua" w:cs="Book Antiqua"/>
          <w:color w:val="000000"/>
        </w:rPr>
        <w:t xml:space="preserve"> 40 prospective patients with esophageal cancer to receive ICG-FA. They established </w:t>
      </w:r>
      <w:r w:rsidR="009E18DD" w:rsidRPr="001D5732">
        <w:rPr>
          <w:rFonts w:ascii="Book Antiqua" w:eastAsia="Book Antiqua" w:hAnsi="Book Antiqua" w:cs="Book Antiqua"/>
          <w:color w:val="000000"/>
        </w:rPr>
        <w:t>four</w:t>
      </w:r>
      <w:r w:rsidRPr="001D5732">
        <w:rPr>
          <w:rFonts w:ascii="Book Antiqua" w:eastAsia="Book Antiqua" w:hAnsi="Book Antiqua" w:cs="Book Antiqua"/>
          <w:color w:val="000000"/>
        </w:rPr>
        <w:t xml:space="preserve"> points in the gastric tube and determined the flow by calculating the time spent by the ICG to move between them. After they divided the flow into simultaneously or delayed. Morbidity was greater in the delayed group (60% </w:t>
      </w:r>
      <w:r w:rsidRPr="001D5732">
        <w:rPr>
          <w:rFonts w:ascii="Book Antiqua" w:eastAsia="Book Antiqua" w:hAnsi="Book Antiqua" w:cs="Book Antiqua"/>
          <w:i/>
          <w:color w:val="000000"/>
        </w:rPr>
        <w:t>vs</w:t>
      </w:r>
      <w:r w:rsidRPr="001D5732">
        <w:rPr>
          <w:rFonts w:ascii="Book Antiqua" w:eastAsia="Book Antiqua" w:hAnsi="Book Antiqua" w:cs="Book Antiqua"/>
          <w:color w:val="000000"/>
        </w:rPr>
        <w:t xml:space="preserve"> 32%; </w:t>
      </w:r>
      <w:r w:rsidRPr="001D5732">
        <w:rPr>
          <w:rFonts w:ascii="Book Antiqua" w:eastAsia="Book Antiqua" w:hAnsi="Book Antiqua" w:cs="Book Antiqua"/>
          <w:i/>
          <w:iCs/>
          <w:color w:val="000000"/>
        </w:rPr>
        <w:t>P</w:t>
      </w:r>
      <w:r w:rsidRPr="001D5732">
        <w:rPr>
          <w:rFonts w:ascii="Book Antiqua" w:eastAsia="Book Antiqua" w:hAnsi="Book Antiqua" w:cs="Book Antiqua"/>
          <w:color w:val="000000"/>
        </w:rPr>
        <w:t xml:space="preserve"> = 0.055). AL was observed in 7 patients, all belong</w:t>
      </w:r>
      <w:r w:rsidR="009E18DD" w:rsidRPr="001D5732">
        <w:rPr>
          <w:rFonts w:ascii="Book Antiqua" w:eastAsia="Book Antiqua" w:hAnsi="Book Antiqua" w:cs="Book Antiqua"/>
          <w:color w:val="000000"/>
        </w:rPr>
        <w:t>ing</w:t>
      </w:r>
      <w:r w:rsidRPr="001D5732">
        <w:rPr>
          <w:rFonts w:ascii="Book Antiqua" w:eastAsia="Book Antiqua" w:hAnsi="Book Antiqua" w:cs="Book Antiqua"/>
          <w:color w:val="000000"/>
        </w:rPr>
        <w:t xml:space="preserve"> to the latest group. The same researchers designed an ancillary study recruiting 109 additional patients to confirm the findings of their first work. They also evaluated the calcifications in the aorta, celiac trunk, and superior mesenteric artery with computerized tomography scan. AL rate was 13.7% in the study. The blood flow at the gastric conduit and the calcifications in the superior mesenteric artery were significantly correlated with AL development</w:t>
      </w:r>
      <w:r w:rsidRPr="001D5732">
        <w:rPr>
          <w:rFonts w:ascii="Book Antiqua" w:eastAsia="Book Antiqua" w:hAnsi="Book Antiqua" w:cs="Book Antiqua"/>
          <w:color w:val="000000"/>
          <w:szCs w:val="30"/>
          <w:vertAlign w:val="superscript"/>
        </w:rPr>
        <w:t>[44]</w:t>
      </w:r>
      <w:r w:rsidRPr="001D5732">
        <w:rPr>
          <w:rFonts w:ascii="Book Antiqua" w:eastAsia="Book Antiqua" w:hAnsi="Book Antiqua" w:cs="Book Antiqua"/>
          <w:color w:val="000000"/>
        </w:rPr>
        <w:t xml:space="preserve">. Ladak </w:t>
      </w:r>
      <w:r w:rsidRPr="001D5732">
        <w:rPr>
          <w:rFonts w:ascii="Book Antiqua" w:eastAsia="Book Antiqua" w:hAnsi="Book Antiqua" w:cs="Book Antiqua"/>
          <w:i/>
          <w:iCs/>
          <w:color w:val="000000"/>
        </w:rPr>
        <w:t>et al</w:t>
      </w:r>
      <w:r w:rsidR="004D1658" w:rsidRPr="001D5732">
        <w:rPr>
          <w:rFonts w:ascii="Book Antiqua" w:eastAsia="Book Antiqua" w:hAnsi="Book Antiqua" w:cs="Book Antiqua"/>
          <w:color w:val="000000"/>
          <w:szCs w:val="30"/>
          <w:vertAlign w:val="superscript"/>
        </w:rPr>
        <w:t>[45]</w:t>
      </w:r>
      <w:r w:rsidRPr="001D5732">
        <w:rPr>
          <w:rFonts w:ascii="Book Antiqua" w:eastAsia="Book Antiqua" w:hAnsi="Book Antiqua" w:cs="Book Antiqua"/>
          <w:color w:val="000000"/>
        </w:rPr>
        <w:t xml:space="preserve"> recently published a systematic review including 17 studies and 1067 patients. The pooled anastomotic leak rate was found to be 10% when ICG was used. They performed a meta-analysis including </w:t>
      </w:r>
      <w:r w:rsidR="00813D0D" w:rsidRPr="001D5732">
        <w:rPr>
          <w:rFonts w:ascii="Book Antiqua" w:eastAsia="Book Antiqua" w:hAnsi="Book Antiqua" w:cs="Book Antiqua"/>
          <w:color w:val="000000"/>
        </w:rPr>
        <w:t>six</w:t>
      </w:r>
      <w:r w:rsidRPr="001D5732">
        <w:rPr>
          <w:rFonts w:ascii="Book Antiqua" w:eastAsia="Book Antiqua" w:hAnsi="Book Antiqua" w:cs="Book Antiqua"/>
          <w:color w:val="000000"/>
        </w:rPr>
        <w:t xml:space="preserve"> non-RCTs </w:t>
      </w:r>
      <w:r w:rsidR="00813D0D" w:rsidRPr="001D5732">
        <w:rPr>
          <w:rFonts w:ascii="Book Antiqua" w:eastAsia="Book Antiqua" w:hAnsi="Book Antiqua" w:cs="Book Antiqua"/>
          <w:color w:val="000000"/>
        </w:rPr>
        <w:t xml:space="preserve">that </w:t>
      </w:r>
      <w:r w:rsidRPr="001D5732">
        <w:rPr>
          <w:rFonts w:ascii="Book Antiqua" w:eastAsia="Book Antiqua" w:hAnsi="Book Antiqua" w:cs="Book Antiqua"/>
          <w:color w:val="000000"/>
        </w:rPr>
        <w:t>resulted in a risk reduction of 69% for ICG compared with the control group (</w:t>
      </w:r>
      <w:r w:rsidR="00813D0D" w:rsidRPr="001D5732">
        <w:rPr>
          <w:rFonts w:ascii="Book Antiqua" w:eastAsia="Book Antiqua" w:hAnsi="Book Antiqua" w:cs="Book Antiqua"/>
          <w:color w:val="000000"/>
        </w:rPr>
        <w:t>odds ratio</w:t>
      </w:r>
      <w:r w:rsidRPr="001D5732">
        <w:rPr>
          <w:rFonts w:ascii="Book Antiqua" w:eastAsia="Book Antiqua" w:hAnsi="Book Antiqua" w:cs="Book Antiqua"/>
          <w:color w:val="000000"/>
        </w:rPr>
        <w:t xml:space="preserve"> 0.31, 95%</w:t>
      </w:r>
      <w:r w:rsidR="00813D0D" w:rsidRPr="001D5732">
        <w:rPr>
          <w:rFonts w:ascii="Book Antiqua" w:eastAsia="Book Antiqua" w:hAnsi="Book Antiqua" w:cs="Book Antiqua"/>
          <w:color w:val="000000"/>
        </w:rPr>
        <w:t xml:space="preserve"> confidence interval</w:t>
      </w:r>
      <w:r w:rsidR="00CA7E3D" w:rsidRPr="001D5732">
        <w:rPr>
          <w:rFonts w:ascii="Book Antiqua" w:eastAsia="Book Antiqua" w:hAnsi="Book Antiqua" w:cs="Book Antiqua"/>
          <w:color w:val="000000"/>
        </w:rPr>
        <w:t>:</w:t>
      </w:r>
      <w:r w:rsidRPr="001D5732">
        <w:rPr>
          <w:rFonts w:ascii="Book Antiqua" w:eastAsia="Book Antiqua" w:hAnsi="Book Antiqua" w:cs="Book Antiqua"/>
          <w:color w:val="000000"/>
        </w:rPr>
        <w:t xml:space="preserve"> 0.15–0.63). However, there was high heterogeneity between the few studies published to date, and there is no prospective study comparing ICG </w:t>
      </w:r>
      <w:r w:rsidR="004D1658" w:rsidRPr="001D5732">
        <w:rPr>
          <w:rFonts w:ascii="Book Antiqua" w:eastAsia="Book Antiqua" w:hAnsi="Book Antiqua" w:cs="Book Antiqua"/>
          <w:color w:val="000000"/>
        </w:rPr>
        <w:t>and no-ICG for this indication.</w:t>
      </w:r>
      <w:r w:rsidRPr="001D5732">
        <w:rPr>
          <w:rFonts w:ascii="Book Antiqua" w:eastAsia="Book Antiqua" w:hAnsi="Book Antiqua" w:cs="Book Antiqua"/>
          <w:color w:val="000000"/>
        </w:rPr>
        <w:t xml:space="preserve"> Therefore, the quality of the evidence regarding the real effectiveness of ICG-FA in esophagogastric anastomosis is still poor.</w:t>
      </w:r>
    </w:p>
    <w:p w14:paraId="668F50CB" w14:textId="06F88E9E" w:rsidR="00A77B3E" w:rsidRPr="001D5732" w:rsidRDefault="0052574D" w:rsidP="004D1658">
      <w:pPr>
        <w:spacing w:line="360" w:lineRule="auto"/>
        <w:ind w:firstLineChars="100" w:firstLine="240"/>
        <w:jc w:val="both"/>
        <w:rPr>
          <w:lang w:eastAsia="zh-CN"/>
        </w:rPr>
      </w:pPr>
      <w:r w:rsidRPr="001D5732">
        <w:rPr>
          <w:rFonts w:ascii="Book Antiqua" w:eastAsia="Book Antiqua" w:hAnsi="Book Antiqua" w:cs="Book Antiqua"/>
          <w:color w:val="000000"/>
        </w:rPr>
        <w:t xml:space="preserve">Recently, the quantification of the time-dependent change in the fluorescence signal has been postulated as a promising method to assess the future viability of the gastric conduit. New studies appeared recently with the aim to establish a standardized quantitative method for evaluation. One of the first was conducted by Kumagai </w:t>
      </w:r>
      <w:r w:rsidRPr="001D5732">
        <w:rPr>
          <w:rFonts w:ascii="Book Antiqua" w:eastAsia="Book Antiqua" w:hAnsi="Book Antiqua" w:cs="Book Antiqua"/>
          <w:i/>
          <w:iCs/>
          <w:color w:val="000000"/>
        </w:rPr>
        <w:t>et al</w:t>
      </w:r>
      <w:r w:rsidR="00634E40" w:rsidRPr="001D5732">
        <w:rPr>
          <w:rFonts w:ascii="Book Antiqua" w:eastAsia="Book Antiqua" w:hAnsi="Book Antiqua" w:cs="Book Antiqua"/>
          <w:color w:val="000000"/>
          <w:szCs w:val="30"/>
          <w:vertAlign w:val="superscript"/>
        </w:rPr>
        <w:t>[46]</w:t>
      </w:r>
      <w:r w:rsidR="00634E40" w:rsidRPr="001D5732">
        <w:rPr>
          <w:rFonts w:ascii="Book Antiqua" w:eastAsia="Book Antiqua" w:hAnsi="Book Antiqua" w:cs="Book Antiqua"/>
          <w:color w:val="000000"/>
        </w:rPr>
        <w:t xml:space="preserve"> presenting the 90-s</w:t>
      </w:r>
      <w:r w:rsidRPr="001D5732">
        <w:rPr>
          <w:rFonts w:ascii="Book Antiqua" w:eastAsia="Book Antiqua" w:hAnsi="Book Antiqua" w:cs="Book Antiqua"/>
          <w:color w:val="000000"/>
        </w:rPr>
        <w:t xml:space="preserve"> rule to find the best place to perform the anastomosis as the one enhancing within 90 s of the injection. They conducted a further prospective study including 70 patients. In 50% of the cases, the tip of the gastric tube was excised. Only a minor AL was diagnosed and developed into one of the </w:t>
      </w:r>
      <w:r w:rsidR="00813D0D" w:rsidRPr="001D5732">
        <w:rPr>
          <w:rFonts w:ascii="Book Antiqua" w:eastAsia="Book Antiqua" w:hAnsi="Book Antiqua" w:cs="Book Antiqua"/>
          <w:color w:val="000000"/>
        </w:rPr>
        <w:t xml:space="preserve">3 </w:t>
      </w:r>
      <w:r w:rsidRPr="001D5732">
        <w:rPr>
          <w:rFonts w:ascii="Book Antiqua" w:eastAsia="Book Antiqua" w:hAnsi="Book Antiqua" w:cs="Book Antiqua"/>
          <w:color w:val="000000"/>
        </w:rPr>
        <w:t>cases in which the enhancement time exceeded 60 s</w:t>
      </w:r>
      <w:r w:rsidRPr="001D5732">
        <w:rPr>
          <w:rFonts w:ascii="Book Antiqua" w:eastAsia="Book Antiqua" w:hAnsi="Book Antiqua" w:cs="Book Antiqua"/>
          <w:color w:val="000000"/>
          <w:szCs w:val="30"/>
          <w:vertAlign w:val="superscript"/>
        </w:rPr>
        <w:t>[47]</w:t>
      </w:r>
      <w:r w:rsidRPr="001D5732">
        <w:rPr>
          <w:rFonts w:ascii="Book Antiqua" w:eastAsia="Book Antiqua" w:hAnsi="Book Antiqua" w:cs="Book Antiqua"/>
          <w:color w:val="000000"/>
        </w:rPr>
        <w:t xml:space="preserve">. Slooter </w:t>
      </w:r>
      <w:r w:rsidRPr="001D5732">
        <w:rPr>
          <w:rFonts w:ascii="Book Antiqua" w:eastAsia="Book Antiqua" w:hAnsi="Book Antiqua" w:cs="Book Antiqua"/>
          <w:i/>
          <w:iCs/>
          <w:color w:val="000000"/>
        </w:rPr>
        <w:t>et al</w:t>
      </w:r>
      <w:r w:rsidR="00634E40" w:rsidRPr="001D5732">
        <w:rPr>
          <w:rFonts w:ascii="Book Antiqua" w:eastAsia="Book Antiqua" w:hAnsi="Book Antiqua" w:cs="Book Antiqua"/>
          <w:color w:val="000000"/>
          <w:szCs w:val="30"/>
          <w:vertAlign w:val="superscript"/>
        </w:rPr>
        <w:t>[48]</w:t>
      </w:r>
      <w:r w:rsidRPr="001D5732">
        <w:rPr>
          <w:rFonts w:ascii="Book Antiqua" w:eastAsia="Book Antiqua" w:hAnsi="Book Antiqua" w:cs="Book Antiqua"/>
          <w:color w:val="000000"/>
        </w:rPr>
        <w:t xml:space="preserve"> recently presented a prospective study aiming to evaluate the time until the fluorescent enhancement of the gastric conduit as a </w:t>
      </w:r>
      <w:r w:rsidRPr="001D5732">
        <w:rPr>
          <w:rFonts w:ascii="Book Antiqua" w:eastAsia="Book Antiqua" w:hAnsi="Book Antiqua" w:cs="Book Antiqua"/>
          <w:color w:val="000000"/>
        </w:rPr>
        <w:lastRenderedPageBreak/>
        <w:t>quantitative fluorescent value for ICG-FA. They determined a threshold to predict anastomotic complications in 84 patients. The anastomosis site was changed in 2.4% of the cases as a result of ICG-FA. AL was observed in 14.3% of the included pat</w:t>
      </w:r>
      <w:r w:rsidR="00634E40" w:rsidRPr="001D5732">
        <w:rPr>
          <w:rFonts w:ascii="Book Antiqua" w:eastAsia="Book Antiqua" w:hAnsi="Book Antiqua" w:cs="Book Antiqua"/>
          <w:color w:val="000000"/>
        </w:rPr>
        <w:t>ients. When using the 90-s</w:t>
      </w:r>
      <w:r w:rsidRPr="001D5732">
        <w:rPr>
          <w:rFonts w:ascii="Book Antiqua" w:eastAsia="Book Antiqua" w:hAnsi="Book Antiqua" w:cs="Book Antiqua"/>
          <w:color w:val="000000"/>
        </w:rPr>
        <w:t xml:space="preserve"> threshold, the time between ICG injection and the enhancement of the gastric conduit tip was a predictor for AL with a specificity of 98% but a sensitivity of 17% in the study.</w:t>
      </w:r>
    </w:p>
    <w:p w14:paraId="231B62B3" w14:textId="77777777" w:rsidR="00A77B3E" w:rsidRPr="001D5732" w:rsidRDefault="00A77B3E">
      <w:pPr>
        <w:spacing w:line="360" w:lineRule="auto"/>
        <w:jc w:val="both"/>
      </w:pPr>
    </w:p>
    <w:p w14:paraId="6CA63688" w14:textId="77777777" w:rsidR="00A77B3E" w:rsidRPr="001D5732" w:rsidRDefault="0052574D">
      <w:pPr>
        <w:spacing w:line="360" w:lineRule="auto"/>
        <w:jc w:val="both"/>
      </w:pPr>
      <w:bookmarkStart w:id="50" w:name="OLE_LINK174"/>
      <w:bookmarkStart w:id="51" w:name="OLE_LINK175"/>
      <w:r w:rsidRPr="001D5732">
        <w:rPr>
          <w:rFonts w:ascii="Book Antiqua" w:eastAsia="Book Antiqua" w:hAnsi="Book Antiqua" w:cs="Book Antiqua"/>
          <w:b/>
          <w:bCs/>
          <w:caps/>
          <w:color w:val="000000"/>
          <w:u w:val="single"/>
        </w:rPr>
        <w:t>LYMPH NODE DETECTION AND MAPPING</w:t>
      </w:r>
    </w:p>
    <w:bookmarkEnd w:id="50"/>
    <w:bookmarkEnd w:id="51"/>
    <w:p w14:paraId="3F86E083" w14:textId="0883EC8A" w:rsidR="00A77B3E" w:rsidRPr="001D5732" w:rsidRDefault="0052574D">
      <w:pPr>
        <w:spacing w:line="360" w:lineRule="auto"/>
        <w:jc w:val="both"/>
      </w:pPr>
      <w:r w:rsidRPr="001D5732">
        <w:rPr>
          <w:rFonts w:ascii="Book Antiqua" w:eastAsia="Book Antiqua" w:hAnsi="Book Antiqua" w:cs="Book Antiqua"/>
          <w:color w:val="000000"/>
        </w:rPr>
        <w:t xml:space="preserve">In 1992, Morton </w:t>
      </w:r>
      <w:r w:rsidRPr="001D5732">
        <w:rPr>
          <w:rFonts w:ascii="Book Antiqua" w:eastAsia="Book Antiqua" w:hAnsi="Book Antiqua" w:cs="Book Antiqua"/>
          <w:i/>
          <w:iCs/>
          <w:color w:val="000000"/>
        </w:rPr>
        <w:t>et al</w:t>
      </w:r>
      <w:r w:rsidR="00A80B54" w:rsidRPr="001D5732">
        <w:rPr>
          <w:rFonts w:ascii="Book Antiqua" w:eastAsia="Book Antiqua" w:hAnsi="Book Antiqua" w:cs="Book Antiqua"/>
          <w:color w:val="000000"/>
          <w:szCs w:val="30"/>
          <w:vertAlign w:val="superscript"/>
        </w:rPr>
        <w:t>[49]</w:t>
      </w:r>
      <w:r w:rsidRPr="001D5732">
        <w:rPr>
          <w:rFonts w:ascii="Book Antiqua" w:eastAsia="Book Antiqua" w:hAnsi="Book Antiqua" w:cs="Book Antiqua"/>
          <w:color w:val="000000"/>
        </w:rPr>
        <w:t xml:space="preserve"> introduced the sentinel lymph node (SLN) concept by injecting technetium-labeled dextran to 223 patients with non-advanced melanoma. Shortly after, Giuliano </w:t>
      </w:r>
      <w:r w:rsidRPr="001D5732">
        <w:rPr>
          <w:rFonts w:ascii="Book Antiqua" w:eastAsia="Book Antiqua" w:hAnsi="Book Antiqua" w:cs="Book Antiqua"/>
          <w:i/>
          <w:iCs/>
          <w:color w:val="000000"/>
        </w:rPr>
        <w:t>et al</w:t>
      </w:r>
      <w:r w:rsidR="00A80B54" w:rsidRPr="001D5732">
        <w:rPr>
          <w:rFonts w:ascii="Book Antiqua" w:eastAsia="Book Antiqua" w:hAnsi="Book Antiqua" w:cs="Book Antiqua"/>
          <w:color w:val="000000"/>
          <w:szCs w:val="30"/>
          <w:vertAlign w:val="superscript"/>
        </w:rPr>
        <w:t>[50]</w:t>
      </w:r>
      <w:r w:rsidRPr="001D5732">
        <w:rPr>
          <w:rFonts w:ascii="Book Antiqua" w:eastAsia="Book Antiqua" w:hAnsi="Book Antiqua" w:cs="Book Antiqua"/>
          <w:color w:val="000000"/>
        </w:rPr>
        <w:t xml:space="preserve"> applied this technique by using blue dye in 172 women with breast cancer. Both groups obtained excellent results, the SLN procedure expanded, and it is currently being implemented in the treatment of a growing number of cancers. The use of ICG for SLN was first reported in 2005, also in breast cancer</w:t>
      </w:r>
      <w:r w:rsidRPr="001D5732">
        <w:rPr>
          <w:rFonts w:ascii="Book Antiqua" w:eastAsia="Book Antiqua" w:hAnsi="Book Antiqua" w:cs="Book Antiqua"/>
          <w:color w:val="000000"/>
          <w:szCs w:val="30"/>
          <w:vertAlign w:val="superscript"/>
        </w:rPr>
        <w:t>[51]</w:t>
      </w:r>
      <w:r w:rsidRPr="001D5732">
        <w:rPr>
          <w:rFonts w:ascii="Book Antiqua" w:eastAsia="Book Antiqua" w:hAnsi="Book Antiqua" w:cs="Book Antiqua"/>
          <w:color w:val="000000"/>
        </w:rPr>
        <w:t>. Nowadays, the knowledge gained regarding SLN biopsy (SLNB) in breast cancer and melanoma has been extrapolated to gastrointestinal cancers, especially gastric and colorectal ones. The metastatic involvement of the lymph nodes is a major prognostic factor in those tumors. There is a permanent controversy regarding whether more extensive lymphadenectomies provide survival benefits in gastrointestinal malignancies</w:t>
      </w:r>
      <w:r w:rsidR="00A80B54" w:rsidRPr="001D5732">
        <w:rPr>
          <w:rFonts w:ascii="Book Antiqua" w:eastAsia="Book Antiqua" w:hAnsi="Book Antiqua" w:cs="Book Antiqua"/>
          <w:color w:val="000000"/>
          <w:szCs w:val="30"/>
          <w:vertAlign w:val="superscript"/>
        </w:rPr>
        <w:t>[52,</w:t>
      </w:r>
      <w:r w:rsidRPr="001D5732">
        <w:rPr>
          <w:rFonts w:ascii="Book Antiqua" w:eastAsia="Book Antiqua" w:hAnsi="Book Antiqua" w:cs="Book Antiqua"/>
          <w:color w:val="000000"/>
          <w:szCs w:val="30"/>
          <w:vertAlign w:val="superscript"/>
        </w:rPr>
        <w:t>53]</w:t>
      </w:r>
      <w:r w:rsidRPr="001D5732">
        <w:rPr>
          <w:rFonts w:ascii="Book Antiqua" w:eastAsia="Book Antiqua" w:hAnsi="Book Antiqua" w:cs="Book Antiqua"/>
          <w:color w:val="000000"/>
        </w:rPr>
        <w:t>. It is noteworthy that greater lymphadenectomies are associated with higher morbidity and mortality rates</w:t>
      </w:r>
      <w:r w:rsidRPr="001D5732">
        <w:rPr>
          <w:rFonts w:ascii="Book Antiqua" w:eastAsia="Book Antiqua" w:hAnsi="Book Antiqua" w:cs="Book Antiqua"/>
          <w:color w:val="000000"/>
          <w:szCs w:val="30"/>
          <w:vertAlign w:val="superscript"/>
        </w:rPr>
        <w:t>[54]</w:t>
      </w:r>
      <w:r w:rsidRPr="001D5732">
        <w:rPr>
          <w:rFonts w:ascii="Book Antiqua" w:eastAsia="Book Antiqua" w:hAnsi="Book Antiqua" w:cs="Book Antiqua"/>
          <w:color w:val="000000"/>
        </w:rPr>
        <w:t>.</w:t>
      </w:r>
    </w:p>
    <w:p w14:paraId="345FEB04" w14:textId="65B0E2A6" w:rsidR="00A77B3E" w:rsidRPr="001D5732" w:rsidRDefault="0052574D" w:rsidP="00A80B54">
      <w:pPr>
        <w:spacing w:line="360" w:lineRule="auto"/>
        <w:ind w:firstLineChars="100" w:firstLine="240"/>
        <w:jc w:val="both"/>
      </w:pPr>
      <w:r w:rsidRPr="001D5732">
        <w:rPr>
          <w:rFonts w:ascii="Book Antiqua" w:eastAsia="Book Antiqua" w:hAnsi="Book Antiqua" w:cs="Book Antiqua"/>
          <w:color w:val="000000"/>
        </w:rPr>
        <w:t xml:space="preserve">The available preoperative radiologic examinations do not achieve enough accuracy to </w:t>
      </w:r>
      <w:r w:rsidR="00493D2D" w:rsidRPr="001D5732">
        <w:rPr>
          <w:rFonts w:ascii="Book Antiqua" w:eastAsia="Book Antiqua" w:hAnsi="Book Antiqua" w:cs="Book Antiqua"/>
          <w:color w:val="000000"/>
        </w:rPr>
        <w:t xml:space="preserve">identify </w:t>
      </w:r>
      <w:r w:rsidRPr="001D5732">
        <w:rPr>
          <w:rFonts w:ascii="Book Antiqua" w:eastAsia="Book Antiqua" w:hAnsi="Book Antiqua" w:cs="Book Antiqua"/>
          <w:color w:val="000000"/>
        </w:rPr>
        <w:t xml:space="preserve">adequately the lymph node metastases. In this scenario, ICG emerged as a promising tool, allowing </w:t>
      </w:r>
      <w:r w:rsidR="00493D2D" w:rsidRPr="001D5732">
        <w:rPr>
          <w:rFonts w:ascii="Book Antiqua" w:eastAsia="Book Antiqua" w:hAnsi="Book Antiqua" w:cs="Book Antiqua"/>
          <w:color w:val="000000"/>
        </w:rPr>
        <w:t>the performance of</w:t>
      </w:r>
      <w:r w:rsidRPr="001D5732">
        <w:rPr>
          <w:rFonts w:ascii="Book Antiqua" w:eastAsia="Book Antiqua" w:hAnsi="Book Antiqua" w:cs="Book Antiqua"/>
          <w:color w:val="000000"/>
        </w:rPr>
        <w:t xml:space="preserve"> real-time intraoperative lymphograms (Table 2). Similar to the above mentioned applications of ICG in oncologic digestive surgery, the timing, dose, and technique presented high heterogeneity within the existing literature on the subject</w:t>
      </w:r>
      <w:r w:rsidR="00557C26" w:rsidRPr="001D5732">
        <w:rPr>
          <w:rFonts w:ascii="Book Antiqua" w:eastAsia="Book Antiqua" w:hAnsi="Book Antiqua" w:cs="Book Antiqua"/>
          <w:color w:val="000000"/>
          <w:szCs w:val="30"/>
          <w:vertAlign w:val="superscript"/>
        </w:rPr>
        <w:t>[55,</w:t>
      </w:r>
      <w:r w:rsidRPr="001D5732">
        <w:rPr>
          <w:rFonts w:ascii="Book Antiqua" w:eastAsia="Book Antiqua" w:hAnsi="Book Antiqua" w:cs="Book Antiqua"/>
          <w:color w:val="000000"/>
          <w:szCs w:val="30"/>
          <w:vertAlign w:val="superscript"/>
        </w:rPr>
        <w:t>56]</w:t>
      </w:r>
      <w:r w:rsidRPr="001D5732">
        <w:rPr>
          <w:rFonts w:ascii="Book Antiqua" w:eastAsia="Book Antiqua" w:hAnsi="Book Antiqua" w:cs="Book Antiqua"/>
          <w:color w:val="000000"/>
        </w:rPr>
        <w:t>. The latency time from the injection to the measurement was 40 min (range 3 to 152)</w:t>
      </w:r>
      <w:r w:rsidR="00363C4C" w:rsidRPr="001D5732">
        <w:rPr>
          <w:rFonts w:ascii="Book Antiqua" w:eastAsia="Book Antiqua" w:hAnsi="Book Antiqua" w:cs="Book Antiqua"/>
          <w:color w:val="000000"/>
        </w:rPr>
        <w:t>,</w:t>
      </w:r>
      <w:r w:rsidRPr="001D5732">
        <w:rPr>
          <w:rFonts w:ascii="Book Antiqua" w:eastAsia="Book Antiqua" w:hAnsi="Book Antiqua" w:cs="Book Antiqua"/>
          <w:color w:val="000000"/>
        </w:rPr>
        <w:t xml:space="preserve"> which represents a non-despicable increasement in the duration of the anesthesia</w:t>
      </w:r>
      <w:r w:rsidRPr="001D5732">
        <w:rPr>
          <w:rFonts w:ascii="Book Antiqua" w:eastAsia="Book Antiqua" w:hAnsi="Book Antiqua" w:cs="Book Antiqua"/>
          <w:color w:val="000000"/>
          <w:szCs w:val="30"/>
          <w:vertAlign w:val="superscript"/>
        </w:rPr>
        <w:t>[57-61]</w:t>
      </w:r>
      <w:r w:rsidRPr="001D5732">
        <w:rPr>
          <w:rFonts w:ascii="Book Antiqua" w:eastAsia="Book Antiqua" w:hAnsi="Book Antiqua" w:cs="Book Antiqua"/>
          <w:color w:val="000000"/>
        </w:rPr>
        <w:t>. Most authors prefer the intraoperative injection to perform LN mapping (LNM), while others the day before surgery looking for a more complete LNM in gastric cancers</w:t>
      </w:r>
      <w:r w:rsidR="00B24DCA" w:rsidRPr="001D5732">
        <w:rPr>
          <w:rFonts w:ascii="Book Antiqua" w:eastAsia="Book Antiqua" w:hAnsi="Book Antiqua" w:cs="Book Antiqua"/>
          <w:color w:val="000000"/>
          <w:szCs w:val="30"/>
          <w:vertAlign w:val="superscript"/>
        </w:rPr>
        <w:t>[62,</w:t>
      </w:r>
      <w:r w:rsidRPr="001D5732">
        <w:rPr>
          <w:rFonts w:ascii="Book Antiqua" w:eastAsia="Book Antiqua" w:hAnsi="Book Antiqua" w:cs="Book Antiqua"/>
          <w:color w:val="000000"/>
          <w:szCs w:val="30"/>
          <w:vertAlign w:val="superscript"/>
        </w:rPr>
        <w:t>63]</w:t>
      </w:r>
      <w:r w:rsidRPr="001D5732">
        <w:rPr>
          <w:rFonts w:ascii="Book Antiqua" w:eastAsia="Book Antiqua" w:hAnsi="Book Antiqua" w:cs="Book Antiqua"/>
          <w:color w:val="000000"/>
        </w:rPr>
        <w:t xml:space="preserve">. Peritumoral and subserosal seem to be the most widespread </w:t>
      </w:r>
      <w:r w:rsidRPr="001D5732">
        <w:rPr>
          <w:rFonts w:ascii="Book Antiqua" w:eastAsia="Book Antiqua" w:hAnsi="Book Antiqua" w:cs="Book Antiqua"/>
          <w:color w:val="000000"/>
        </w:rPr>
        <w:lastRenderedPageBreak/>
        <w:t>injection site</w:t>
      </w:r>
      <w:r w:rsidR="00D16659" w:rsidRPr="001D5732">
        <w:rPr>
          <w:rFonts w:ascii="Book Antiqua" w:eastAsia="Book Antiqua" w:hAnsi="Book Antiqua" w:cs="Book Antiqua"/>
          <w:color w:val="000000"/>
        </w:rPr>
        <w:t>s</w:t>
      </w:r>
      <w:r w:rsidR="00B24DCA" w:rsidRPr="001D5732">
        <w:rPr>
          <w:rFonts w:ascii="Book Antiqua" w:eastAsia="Book Antiqua" w:hAnsi="Book Antiqua" w:cs="Book Antiqua"/>
          <w:color w:val="000000"/>
          <w:szCs w:val="30"/>
          <w:vertAlign w:val="superscript"/>
        </w:rPr>
        <w:t>[60,</w:t>
      </w:r>
      <w:r w:rsidRPr="001D5732">
        <w:rPr>
          <w:rFonts w:ascii="Book Antiqua" w:eastAsia="Book Antiqua" w:hAnsi="Book Antiqua" w:cs="Book Antiqua"/>
          <w:color w:val="000000"/>
          <w:szCs w:val="30"/>
          <w:vertAlign w:val="superscript"/>
        </w:rPr>
        <w:t>61</w:t>
      </w:r>
      <w:r w:rsidR="00B24DCA" w:rsidRPr="001D5732">
        <w:rPr>
          <w:rFonts w:ascii="Book Antiqua" w:eastAsia="Book Antiqua" w:hAnsi="Book Antiqua" w:cs="Book Antiqua"/>
          <w:color w:val="000000"/>
          <w:szCs w:val="30"/>
          <w:vertAlign w:val="superscript"/>
        </w:rPr>
        <w:t>,</w:t>
      </w:r>
      <w:r w:rsidRPr="001D5732">
        <w:rPr>
          <w:rFonts w:ascii="Book Antiqua" w:eastAsia="Book Antiqua" w:hAnsi="Book Antiqua" w:cs="Book Antiqua"/>
          <w:color w:val="000000"/>
          <w:szCs w:val="30"/>
          <w:vertAlign w:val="superscript"/>
        </w:rPr>
        <w:t>64-66]</w:t>
      </w:r>
      <w:r w:rsidRPr="001D5732">
        <w:rPr>
          <w:rFonts w:ascii="Book Antiqua" w:eastAsia="Book Antiqua" w:hAnsi="Book Antiqua" w:cs="Book Antiqua"/>
          <w:color w:val="000000"/>
        </w:rPr>
        <w:t>. However, some authors have reported a series of submucosal injections obtaining favorable results</w:t>
      </w:r>
      <w:r w:rsidRPr="001D5732">
        <w:rPr>
          <w:rFonts w:ascii="Book Antiqua" w:eastAsia="Book Antiqua" w:hAnsi="Book Antiqua" w:cs="Book Antiqua"/>
          <w:color w:val="000000"/>
          <w:szCs w:val="30"/>
          <w:vertAlign w:val="superscript"/>
        </w:rPr>
        <w:t>[67-69]</w:t>
      </w:r>
      <w:r w:rsidRPr="001D5732">
        <w:rPr>
          <w:rFonts w:ascii="Book Antiqua" w:eastAsia="Book Antiqua" w:hAnsi="Book Antiqua" w:cs="Book Antiqua"/>
          <w:color w:val="000000"/>
        </w:rPr>
        <w:t xml:space="preserve">. Xiong </w:t>
      </w:r>
      <w:r w:rsidRPr="001D5732">
        <w:rPr>
          <w:rFonts w:ascii="Book Antiqua" w:eastAsia="Book Antiqua" w:hAnsi="Book Antiqua" w:cs="Book Antiqua"/>
          <w:i/>
          <w:iCs/>
          <w:color w:val="000000"/>
        </w:rPr>
        <w:t>et al</w:t>
      </w:r>
      <w:r w:rsidR="00B24DCA" w:rsidRPr="001D5732">
        <w:rPr>
          <w:rFonts w:ascii="Book Antiqua" w:eastAsia="Book Antiqua" w:hAnsi="Book Antiqua" w:cs="Book Antiqua"/>
          <w:color w:val="000000"/>
          <w:szCs w:val="30"/>
          <w:vertAlign w:val="superscript"/>
        </w:rPr>
        <w:t>[70]</w:t>
      </w:r>
      <w:r w:rsidRPr="001D5732">
        <w:rPr>
          <w:rFonts w:ascii="Book Antiqua" w:eastAsia="Book Antiqua" w:hAnsi="Book Antiqua" w:cs="Book Antiqua"/>
          <w:color w:val="000000"/>
        </w:rPr>
        <w:t xml:space="preserve"> showed that concentrations &lt;</w:t>
      </w:r>
      <w:r w:rsidR="00B24DCA" w:rsidRPr="001D5732">
        <w:rPr>
          <w:rFonts w:ascii="Book Antiqua" w:hAnsi="Book Antiqua" w:cs="Book Antiqua"/>
          <w:color w:val="000000"/>
          <w:lang w:eastAsia="zh-CN"/>
        </w:rPr>
        <w:t xml:space="preserve"> </w:t>
      </w:r>
      <w:r w:rsidRPr="001D5732">
        <w:rPr>
          <w:rFonts w:ascii="Book Antiqua" w:eastAsia="Book Antiqua" w:hAnsi="Book Antiqua" w:cs="Book Antiqua"/>
          <w:color w:val="000000"/>
        </w:rPr>
        <w:t>5 mg/mL and volumes injected ≥</w:t>
      </w:r>
      <w:r w:rsidR="00B24DCA" w:rsidRPr="001D5732">
        <w:rPr>
          <w:rFonts w:ascii="Book Antiqua" w:hAnsi="Book Antiqua" w:cs="Book Antiqua"/>
          <w:color w:val="000000"/>
          <w:lang w:eastAsia="zh-CN"/>
        </w:rPr>
        <w:t xml:space="preserve"> </w:t>
      </w:r>
      <w:r w:rsidRPr="001D5732">
        <w:rPr>
          <w:rFonts w:ascii="Book Antiqua" w:eastAsia="Book Antiqua" w:hAnsi="Book Antiqua" w:cs="Book Antiqua"/>
          <w:color w:val="000000"/>
        </w:rPr>
        <w:t>2 mL presented higher sensitivity and detection rates.</w:t>
      </w:r>
    </w:p>
    <w:p w14:paraId="5EC7C1BB" w14:textId="4DF3F14A" w:rsidR="00A77B3E" w:rsidRPr="001D5732" w:rsidRDefault="0052574D" w:rsidP="00B24DCA">
      <w:pPr>
        <w:spacing w:line="360" w:lineRule="auto"/>
        <w:ind w:firstLineChars="100" w:firstLine="240"/>
        <w:jc w:val="both"/>
      </w:pPr>
      <w:r w:rsidRPr="001D5732">
        <w:rPr>
          <w:rFonts w:ascii="Book Antiqua" w:eastAsia="Book Antiqua" w:hAnsi="Book Antiqua" w:cs="Book Antiqua"/>
          <w:color w:val="000000"/>
        </w:rPr>
        <w:t>With the injection of ICG and a subsequent LNM, extra-anatomical routes of lymphatic spread can be evidenced in real-time. This is especially useful in gastric</w:t>
      </w:r>
      <w:r w:rsidRPr="001D5732">
        <w:rPr>
          <w:rFonts w:ascii="Book Antiqua" w:eastAsia="Book Antiqua" w:hAnsi="Book Antiqua" w:cs="Book Antiqua"/>
          <w:color w:val="000000"/>
          <w:szCs w:val="30"/>
          <w:vertAlign w:val="superscript"/>
        </w:rPr>
        <w:t>[71]</w:t>
      </w:r>
      <w:r w:rsidRPr="001D5732">
        <w:rPr>
          <w:rFonts w:ascii="Book Antiqua" w:eastAsia="Book Antiqua" w:hAnsi="Book Antiqua" w:cs="Book Antiqua"/>
          <w:color w:val="000000"/>
        </w:rPr>
        <w:t xml:space="preserve"> or splenic flexure colonic cancers</w:t>
      </w:r>
      <w:r w:rsidRPr="001D5732">
        <w:rPr>
          <w:rFonts w:ascii="Book Antiqua" w:eastAsia="Book Antiqua" w:hAnsi="Book Antiqua" w:cs="Book Antiqua"/>
          <w:color w:val="000000"/>
          <w:szCs w:val="30"/>
          <w:vertAlign w:val="superscript"/>
        </w:rPr>
        <w:t>[65]</w:t>
      </w:r>
      <w:r w:rsidR="00363C4C" w:rsidRPr="001D5732">
        <w:rPr>
          <w:rFonts w:ascii="Book Antiqua" w:eastAsia="Book Antiqua" w:hAnsi="Book Antiqua" w:cs="Book Antiqua"/>
          <w:color w:val="000000"/>
        </w:rPr>
        <w:t xml:space="preserve">, </w:t>
      </w:r>
      <w:r w:rsidRPr="001D5732">
        <w:rPr>
          <w:rFonts w:ascii="Book Antiqua" w:eastAsia="Book Antiqua" w:hAnsi="Book Antiqua" w:cs="Book Antiqua"/>
          <w:color w:val="000000"/>
        </w:rPr>
        <w:t>both presenting complex lymphatic drainages. Likewise, ICG has demonstrated its usefulness to detect the lateral SLN in mid-low rectal cancer and to decrease the rate of complications</w:t>
      </w:r>
      <w:r w:rsidRPr="001D5732">
        <w:rPr>
          <w:rFonts w:ascii="Book Antiqua" w:eastAsia="Book Antiqua" w:hAnsi="Book Antiqua" w:cs="Book Antiqua"/>
          <w:color w:val="000000"/>
          <w:szCs w:val="30"/>
          <w:vertAlign w:val="superscript"/>
        </w:rPr>
        <w:t>[72]</w:t>
      </w:r>
      <w:r w:rsidRPr="001D5732">
        <w:rPr>
          <w:rFonts w:ascii="Book Antiqua" w:eastAsia="Book Antiqua" w:hAnsi="Book Antiqua" w:cs="Book Antiqua"/>
          <w:color w:val="000000"/>
        </w:rPr>
        <w:t xml:space="preserve">. Noura </w:t>
      </w:r>
      <w:r w:rsidRPr="001D5732">
        <w:rPr>
          <w:rFonts w:ascii="Book Antiqua" w:eastAsia="Book Antiqua" w:hAnsi="Book Antiqua" w:cs="Book Antiqua"/>
          <w:i/>
          <w:iCs/>
          <w:color w:val="000000"/>
        </w:rPr>
        <w:t>et al</w:t>
      </w:r>
      <w:r w:rsidR="00B24DCA" w:rsidRPr="001D5732">
        <w:rPr>
          <w:rFonts w:ascii="Book Antiqua" w:eastAsia="Book Antiqua" w:hAnsi="Book Antiqua" w:cs="Book Antiqua"/>
          <w:color w:val="000000"/>
          <w:szCs w:val="30"/>
          <w:vertAlign w:val="superscript"/>
        </w:rPr>
        <w:t>[58]</w:t>
      </w:r>
      <w:r w:rsidRPr="001D5732">
        <w:rPr>
          <w:rFonts w:ascii="Book Antiqua" w:eastAsia="Book Antiqua" w:hAnsi="Book Antiqua" w:cs="Book Antiqua"/>
          <w:color w:val="000000"/>
        </w:rPr>
        <w:t xml:space="preserve"> reported a 92% detection rate of lateral SN in low rectal cancer in a pilot study with 25 patients. Moreover, ICG combined with NIR allows a deeper visualization of the lymphatic structures than the classical contrasts under </w:t>
      </w:r>
      <w:r w:rsidR="00D16659" w:rsidRPr="001D5732">
        <w:rPr>
          <w:rFonts w:ascii="Book Antiqua" w:eastAsia="Book Antiqua" w:hAnsi="Book Antiqua" w:cs="Book Antiqua"/>
          <w:color w:val="000000"/>
        </w:rPr>
        <w:t>conventional</w:t>
      </w:r>
      <w:r w:rsidRPr="001D5732">
        <w:rPr>
          <w:rFonts w:ascii="Book Antiqua" w:eastAsia="Book Antiqua" w:hAnsi="Book Antiqua" w:cs="Book Antiqua"/>
          <w:color w:val="000000"/>
        </w:rPr>
        <w:t xml:space="preserve"> light</w:t>
      </w:r>
      <w:r w:rsidR="00B24DCA" w:rsidRPr="001D5732">
        <w:rPr>
          <w:rFonts w:ascii="Book Antiqua" w:eastAsia="Book Antiqua" w:hAnsi="Book Antiqua" w:cs="Book Antiqua"/>
          <w:color w:val="000000"/>
          <w:szCs w:val="30"/>
          <w:vertAlign w:val="superscript"/>
        </w:rPr>
        <w:t>[63,</w:t>
      </w:r>
      <w:r w:rsidRPr="001D5732">
        <w:rPr>
          <w:rFonts w:ascii="Book Antiqua" w:eastAsia="Book Antiqua" w:hAnsi="Book Antiqua" w:cs="Book Antiqua"/>
          <w:color w:val="000000"/>
          <w:szCs w:val="30"/>
          <w:vertAlign w:val="superscript"/>
        </w:rPr>
        <w:t>72]</w:t>
      </w:r>
      <w:r w:rsidRPr="001D5732">
        <w:rPr>
          <w:rFonts w:ascii="Book Antiqua" w:eastAsia="Book Antiqua" w:hAnsi="Book Antiqua" w:cs="Book Antiqua"/>
          <w:color w:val="000000"/>
        </w:rPr>
        <w:t>. This would increase the lymph node harvest and mitigate the risk for tumor downstaging and then suboptimal indications of adjuvant treatments</w:t>
      </w:r>
      <w:r w:rsidRPr="001D5732">
        <w:rPr>
          <w:rFonts w:ascii="Book Antiqua" w:eastAsia="Book Antiqua" w:hAnsi="Book Antiqua" w:cs="Book Antiqua"/>
          <w:color w:val="000000"/>
          <w:szCs w:val="30"/>
          <w:vertAlign w:val="superscript"/>
        </w:rPr>
        <w:t>[73-75]</w:t>
      </w:r>
      <w:r w:rsidR="00D16659" w:rsidRPr="001D5732">
        <w:rPr>
          <w:rFonts w:ascii="Book Antiqua" w:eastAsia="Book Antiqua" w:hAnsi="Book Antiqua" w:cs="Book Antiqua"/>
          <w:color w:val="000000"/>
        </w:rPr>
        <w:t>. This</w:t>
      </w:r>
      <w:r w:rsidRPr="001D5732">
        <w:rPr>
          <w:rFonts w:ascii="Book Antiqua" w:eastAsia="Book Antiqua" w:hAnsi="Book Antiqua" w:cs="Book Antiqua"/>
          <w:color w:val="000000"/>
        </w:rPr>
        <w:t xml:space="preserve"> can be of particular interest in Western countries because of the high prevalence of obesity</w:t>
      </w:r>
      <w:r w:rsidRPr="001D5732">
        <w:rPr>
          <w:rFonts w:ascii="Book Antiqua" w:eastAsia="Book Antiqua" w:hAnsi="Book Antiqua" w:cs="Book Antiqua"/>
          <w:color w:val="000000"/>
          <w:szCs w:val="30"/>
          <w:vertAlign w:val="superscript"/>
        </w:rPr>
        <w:t>[63]</w:t>
      </w:r>
      <w:r w:rsidRPr="001D5732">
        <w:rPr>
          <w:rFonts w:ascii="Book Antiqua" w:eastAsia="Book Antiqua" w:hAnsi="Book Antiqua" w:cs="Book Antiqua"/>
          <w:color w:val="000000"/>
        </w:rPr>
        <w:t>.</w:t>
      </w:r>
    </w:p>
    <w:p w14:paraId="30601580" w14:textId="0046A673" w:rsidR="00A77B3E" w:rsidRPr="001D5732" w:rsidRDefault="0052574D" w:rsidP="00B24DCA">
      <w:pPr>
        <w:spacing w:line="360" w:lineRule="auto"/>
        <w:ind w:firstLineChars="100" w:firstLine="240"/>
        <w:jc w:val="both"/>
        <w:rPr>
          <w:lang w:eastAsia="zh-CN"/>
        </w:rPr>
      </w:pPr>
      <w:r w:rsidRPr="001D5732">
        <w:rPr>
          <w:rFonts w:ascii="Book Antiqua" w:eastAsia="Book Antiqua" w:hAnsi="Book Antiqua" w:cs="Book Antiqua"/>
          <w:color w:val="000000"/>
        </w:rPr>
        <w:t xml:space="preserve">Kusano </w:t>
      </w:r>
      <w:r w:rsidRPr="001D5732">
        <w:rPr>
          <w:rFonts w:ascii="Book Antiqua" w:eastAsia="Book Antiqua" w:hAnsi="Book Antiqua" w:cs="Book Antiqua"/>
          <w:i/>
          <w:iCs/>
          <w:color w:val="000000"/>
        </w:rPr>
        <w:t>et al</w:t>
      </w:r>
      <w:r w:rsidR="00B24DCA" w:rsidRPr="001D5732">
        <w:rPr>
          <w:rFonts w:ascii="Book Antiqua" w:eastAsia="Book Antiqua" w:hAnsi="Book Antiqua" w:cs="Book Antiqua"/>
          <w:color w:val="000000"/>
          <w:szCs w:val="30"/>
          <w:vertAlign w:val="superscript"/>
        </w:rPr>
        <w:t>[76]</w:t>
      </w:r>
      <w:r w:rsidRPr="001D5732">
        <w:rPr>
          <w:rFonts w:ascii="Book Antiqua" w:eastAsia="Book Antiqua" w:hAnsi="Book Antiqua" w:cs="Book Antiqua"/>
          <w:color w:val="000000"/>
        </w:rPr>
        <w:t xml:space="preserve"> reported the first experience of SLNB in gastrointestinal tumors with SLN detection rates of 90.9% in CRC and 88% in gastric cancer. Following them</w:t>
      </w:r>
      <w:r w:rsidR="00363C4C" w:rsidRPr="001D5732">
        <w:rPr>
          <w:rFonts w:ascii="Book Antiqua" w:eastAsia="Book Antiqua" w:hAnsi="Book Antiqua" w:cs="Book Antiqua"/>
          <w:color w:val="000000"/>
        </w:rPr>
        <w:t>,</w:t>
      </w:r>
      <w:r w:rsidRPr="001D5732">
        <w:rPr>
          <w:rFonts w:ascii="Book Antiqua" w:eastAsia="Book Antiqua" w:hAnsi="Book Antiqua" w:cs="Book Antiqua"/>
          <w:color w:val="000000"/>
        </w:rPr>
        <w:t xml:space="preserve"> many teams repeated the experience, and </w:t>
      </w:r>
      <w:r w:rsidR="00D16659" w:rsidRPr="001D5732">
        <w:rPr>
          <w:rFonts w:ascii="Book Antiqua" w:eastAsia="Book Antiqua" w:hAnsi="Book Antiqua" w:cs="Book Antiqua"/>
          <w:color w:val="000000"/>
        </w:rPr>
        <w:t xml:space="preserve">the </w:t>
      </w:r>
      <w:r w:rsidRPr="001D5732">
        <w:rPr>
          <w:rFonts w:ascii="Book Antiqua" w:eastAsia="Book Antiqua" w:hAnsi="Book Antiqua" w:cs="Book Antiqua"/>
          <w:color w:val="000000"/>
        </w:rPr>
        <w:t>detection rates ranged between 80</w:t>
      </w:r>
      <w:r w:rsidR="00B24DCA" w:rsidRPr="001D5732">
        <w:rPr>
          <w:rFonts w:ascii="Book Antiqua" w:hAnsi="Book Antiqua" w:cs="Book Antiqua"/>
          <w:color w:val="000000"/>
          <w:lang w:eastAsia="zh-CN"/>
        </w:rPr>
        <w:t>%</w:t>
      </w:r>
      <w:r w:rsidRPr="001D5732">
        <w:rPr>
          <w:rFonts w:ascii="Book Antiqua" w:eastAsia="Book Antiqua" w:hAnsi="Book Antiqua" w:cs="Book Antiqua"/>
          <w:color w:val="000000"/>
        </w:rPr>
        <w:t xml:space="preserve"> and 99%</w:t>
      </w:r>
      <w:r w:rsidRPr="001D5732">
        <w:rPr>
          <w:rFonts w:ascii="Book Antiqua" w:eastAsia="Book Antiqua" w:hAnsi="Book Antiqua" w:cs="Book Antiqua"/>
          <w:color w:val="000000"/>
          <w:szCs w:val="30"/>
          <w:vertAlign w:val="superscript"/>
        </w:rPr>
        <w:t>[57]</w:t>
      </w:r>
      <w:r w:rsidRPr="001D5732">
        <w:rPr>
          <w:rFonts w:ascii="Book Antiqua" w:eastAsia="Book Antiqua" w:hAnsi="Book Antiqua" w:cs="Book Antiqua"/>
          <w:color w:val="000000"/>
        </w:rPr>
        <w:t>. Those rates, as the accuracy of SLNB, are influenced by the tumor size, the T-stage, the body mass index, the tracer used, and the surgeon’s experience</w:t>
      </w:r>
      <w:r w:rsidRPr="001D5732">
        <w:rPr>
          <w:rFonts w:ascii="Book Antiqua" w:eastAsia="Book Antiqua" w:hAnsi="Book Antiqua" w:cs="Book Antiqua"/>
          <w:color w:val="000000"/>
          <w:szCs w:val="30"/>
          <w:vertAlign w:val="superscript"/>
        </w:rPr>
        <w:t>[77]</w:t>
      </w:r>
      <w:r w:rsidRPr="001D5732">
        <w:rPr>
          <w:rFonts w:ascii="Book Antiqua" w:eastAsia="Book Antiqua" w:hAnsi="Book Antiqua" w:cs="Book Antiqua"/>
          <w:color w:val="000000"/>
        </w:rPr>
        <w:t xml:space="preserve">. Cahill </w:t>
      </w:r>
      <w:r w:rsidRPr="001D5732">
        <w:rPr>
          <w:rFonts w:ascii="Book Antiqua" w:eastAsia="Book Antiqua" w:hAnsi="Book Antiqua" w:cs="Book Antiqua"/>
          <w:i/>
          <w:iCs/>
          <w:color w:val="000000"/>
        </w:rPr>
        <w:t>et al</w:t>
      </w:r>
      <w:r w:rsidR="00DC0253" w:rsidRPr="001D5732">
        <w:rPr>
          <w:rFonts w:ascii="Book Antiqua" w:eastAsia="Book Antiqua" w:hAnsi="Book Antiqua" w:cs="Book Antiqua"/>
          <w:color w:val="000000"/>
          <w:szCs w:val="30"/>
          <w:vertAlign w:val="superscript"/>
        </w:rPr>
        <w:t>[78]</w:t>
      </w:r>
      <w:r w:rsidRPr="001D5732">
        <w:rPr>
          <w:rFonts w:ascii="Book Antiqua" w:eastAsia="Book Antiqua" w:hAnsi="Book Antiqua" w:cs="Book Antiqua"/>
          <w:color w:val="000000"/>
        </w:rPr>
        <w:t xml:space="preserve"> suggested that ICG-guided SLNB in CRC is more sensitive and has a lower tumor false negative (FN) rate if the tumor size is lesser than 35</w:t>
      </w:r>
      <w:r w:rsidR="00DC0253" w:rsidRPr="001D5732">
        <w:rPr>
          <w:rFonts w:ascii="Book Antiqua" w:hAnsi="Book Antiqua" w:cs="Book Antiqua"/>
          <w:color w:val="000000"/>
          <w:lang w:eastAsia="zh-CN"/>
        </w:rPr>
        <w:t xml:space="preserve"> </w:t>
      </w:r>
      <w:r w:rsidRPr="001D5732">
        <w:rPr>
          <w:rFonts w:ascii="Book Antiqua" w:eastAsia="Book Antiqua" w:hAnsi="Book Antiqua" w:cs="Book Antiqua"/>
          <w:color w:val="000000"/>
        </w:rPr>
        <w:t xml:space="preserve">mm. The SLNB could be useful in selected patients presenting cT1-2 gastric tumors where a routine D2 </w:t>
      </w:r>
      <w:r w:rsidR="00363C4C" w:rsidRPr="001D5732">
        <w:rPr>
          <w:rFonts w:ascii="Book Antiqua" w:eastAsia="Book Antiqua" w:hAnsi="Book Antiqua" w:cs="Book Antiqua"/>
          <w:color w:val="000000"/>
        </w:rPr>
        <w:t>l</w:t>
      </w:r>
      <w:r w:rsidRPr="001D5732">
        <w:rPr>
          <w:rFonts w:ascii="Book Antiqua" w:eastAsia="Book Antiqua" w:hAnsi="Book Antiqua" w:cs="Book Antiqua"/>
          <w:color w:val="000000"/>
        </w:rPr>
        <w:t xml:space="preserve">ymphadenectomy could lead to unacceptable morbidity. However, the main issue that limits the applicability of ICG to SLNB is caused by its diffusion towards the second-tier nodes. Tummers </w:t>
      </w:r>
      <w:r w:rsidRPr="001D5732">
        <w:rPr>
          <w:rFonts w:ascii="Book Antiqua" w:eastAsia="Book Antiqua" w:hAnsi="Book Antiqua" w:cs="Book Antiqua"/>
          <w:i/>
          <w:iCs/>
          <w:color w:val="000000"/>
        </w:rPr>
        <w:t>et al</w:t>
      </w:r>
      <w:r w:rsidR="00DC0253" w:rsidRPr="001D5732">
        <w:rPr>
          <w:rFonts w:ascii="Book Antiqua" w:eastAsia="Book Antiqua" w:hAnsi="Book Antiqua" w:cs="Book Antiqua"/>
          <w:color w:val="000000"/>
          <w:szCs w:val="30"/>
          <w:vertAlign w:val="superscript"/>
        </w:rPr>
        <w:t>[79]</w:t>
      </w:r>
      <w:r w:rsidRPr="001D5732">
        <w:rPr>
          <w:rFonts w:ascii="Book Antiqua" w:eastAsia="Book Antiqua" w:hAnsi="Book Antiqua" w:cs="Book Antiqua"/>
          <w:color w:val="000000"/>
        </w:rPr>
        <w:t xml:space="preserve"> addressed this problem by adding nanocolloids to the ICG. However, 9% of the patients were FN (</w:t>
      </w:r>
      <w:proofErr w:type="gramStart"/>
      <w:r w:rsidRPr="001D5732">
        <w:rPr>
          <w:rFonts w:ascii="Book Antiqua" w:eastAsia="Book Antiqua" w:hAnsi="Book Antiqua" w:cs="Book Antiqua"/>
          <w:i/>
          <w:color w:val="000000"/>
        </w:rPr>
        <w:t>i.e.</w:t>
      </w:r>
      <w:proofErr w:type="gramEnd"/>
      <w:r w:rsidRPr="001D5732">
        <w:rPr>
          <w:rFonts w:ascii="Book Antiqua" w:eastAsia="Book Antiqua" w:hAnsi="Book Antiqua" w:cs="Book Antiqua"/>
          <w:color w:val="000000"/>
        </w:rPr>
        <w:t xml:space="preserve"> macrometastatic nodes not stained), likely due to a tumoral blockage of the lymph flow. In a recent meta-analysis, the detection rate of SLN with ICG in CRC was 91%. Nevertheless, the accuracy in the prediction of nodal involvement was poor with an area under the curve of 66.5% and a sensitivity of 65%</w:t>
      </w:r>
      <w:r w:rsidRPr="001D5732">
        <w:rPr>
          <w:rFonts w:ascii="Book Antiqua" w:eastAsia="Book Antiqua" w:hAnsi="Book Antiqua" w:cs="Book Antiqua"/>
          <w:color w:val="000000"/>
          <w:szCs w:val="30"/>
          <w:vertAlign w:val="superscript"/>
        </w:rPr>
        <w:t>[57]</w:t>
      </w:r>
      <w:r w:rsidRPr="001D5732">
        <w:rPr>
          <w:rFonts w:ascii="Book Antiqua" w:eastAsia="Book Antiqua" w:hAnsi="Book Antiqua" w:cs="Book Antiqua"/>
          <w:color w:val="000000"/>
        </w:rPr>
        <w:t>. Other authors used dual-tracer techniques (</w:t>
      </w:r>
      <w:r w:rsidRPr="001D5732">
        <w:rPr>
          <w:rFonts w:ascii="Book Antiqua" w:eastAsia="Book Antiqua" w:hAnsi="Book Antiqua" w:cs="Book Antiqua"/>
          <w:i/>
          <w:color w:val="000000"/>
        </w:rPr>
        <w:t>i.e.</w:t>
      </w:r>
      <w:r w:rsidRPr="001D5732">
        <w:rPr>
          <w:rFonts w:ascii="Book Antiqua" w:eastAsia="Book Antiqua" w:hAnsi="Book Antiqua" w:cs="Book Antiqua"/>
          <w:color w:val="000000"/>
        </w:rPr>
        <w:t xml:space="preserve"> blue dye + radiotracer) and reported an </w:t>
      </w:r>
      <w:r w:rsidRPr="001D5732">
        <w:rPr>
          <w:rFonts w:ascii="Book Antiqua" w:eastAsia="Book Antiqua" w:hAnsi="Book Antiqua" w:cs="Book Antiqua"/>
          <w:color w:val="000000"/>
        </w:rPr>
        <w:lastRenderedPageBreak/>
        <w:t>accuracy close to 99% in gastric cancer patients with stages cT1 and cT2 smaller than 4</w:t>
      </w:r>
      <w:r w:rsidR="0026450D" w:rsidRPr="001D5732">
        <w:rPr>
          <w:rFonts w:ascii="Book Antiqua" w:hAnsi="Book Antiqua" w:cs="Book Antiqua"/>
          <w:color w:val="000000"/>
          <w:lang w:eastAsia="zh-CN"/>
        </w:rPr>
        <w:t xml:space="preserve"> </w:t>
      </w:r>
      <w:r w:rsidRPr="001D5732">
        <w:rPr>
          <w:rFonts w:ascii="Book Antiqua" w:eastAsia="Book Antiqua" w:hAnsi="Book Antiqua" w:cs="Book Antiqua"/>
          <w:color w:val="000000"/>
        </w:rPr>
        <w:t>cm but still with a high FN rate in the T2-</w:t>
      </w:r>
      <w:proofErr w:type="gramStart"/>
      <w:r w:rsidRPr="001D5732">
        <w:rPr>
          <w:rFonts w:ascii="Book Antiqua" w:eastAsia="Book Antiqua" w:hAnsi="Book Antiqua" w:cs="Book Antiqua"/>
          <w:color w:val="000000"/>
        </w:rPr>
        <w:t>stages</w:t>
      </w:r>
      <w:r w:rsidRPr="001D5732">
        <w:rPr>
          <w:rFonts w:ascii="Book Antiqua" w:eastAsia="Book Antiqua" w:hAnsi="Book Antiqua" w:cs="Book Antiqua"/>
          <w:color w:val="000000"/>
          <w:szCs w:val="30"/>
          <w:vertAlign w:val="superscript"/>
        </w:rPr>
        <w:t>[</w:t>
      </w:r>
      <w:proofErr w:type="gramEnd"/>
      <w:r w:rsidRPr="001D5732">
        <w:rPr>
          <w:rFonts w:ascii="Book Antiqua" w:eastAsia="Book Antiqua" w:hAnsi="Book Antiqua" w:cs="Book Antiqua"/>
          <w:color w:val="000000"/>
          <w:szCs w:val="30"/>
          <w:vertAlign w:val="superscript"/>
        </w:rPr>
        <w:t>80]</w:t>
      </w:r>
      <w:r w:rsidRPr="001D5732">
        <w:rPr>
          <w:rFonts w:ascii="Book Antiqua" w:eastAsia="Book Antiqua" w:hAnsi="Book Antiqua" w:cs="Book Antiqua"/>
          <w:color w:val="000000"/>
        </w:rPr>
        <w:t>. The high FN rate is the most critical limitation in ICG-guided SLNB. The Japan Clinical Oncology Group multicenter trial (JCOG0302) was suspended due to a high proportion of FN in ICG-guided SLNB</w:t>
      </w:r>
      <w:r w:rsidRPr="001D5732">
        <w:rPr>
          <w:rFonts w:ascii="Book Antiqua" w:eastAsia="Book Antiqua" w:hAnsi="Book Antiqua" w:cs="Book Antiqua"/>
          <w:color w:val="000000"/>
          <w:szCs w:val="30"/>
          <w:vertAlign w:val="superscript"/>
        </w:rPr>
        <w:t>[81]</w:t>
      </w:r>
      <w:r w:rsidRPr="001D5732">
        <w:rPr>
          <w:rFonts w:ascii="Book Antiqua" w:eastAsia="Book Antiqua" w:hAnsi="Book Antiqua" w:cs="Book Antiqua"/>
          <w:color w:val="000000"/>
        </w:rPr>
        <w:t xml:space="preserve">. Although Kinami </w:t>
      </w:r>
      <w:r w:rsidRPr="001D5732">
        <w:rPr>
          <w:rFonts w:ascii="Book Antiqua" w:eastAsia="Book Antiqua" w:hAnsi="Book Antiqua" w:cs="Book Antiqua"/>
          <w:i/>
          <w:iCs/>
          <w:color w:val="000000"/>
        </w:rPr>
        <w:t>et al</w:t>
      </w:r>
      <w:r w:rsidRPr="001D5732">
        <w:rPr>
          <w:rFonts w:ascii="Book Antiqua" w:eastAsia="Book Antiqua" w:hAnsi="Book Antiqua" w:cs="Book Antiqua"/>
          <w:color w:val="000000"/>
          <w:szCs w:val="30"/>
          <w:vertAlign w:val="superscript"/>
        </w:rPr>
        <w:t>[82]</w:t>
      </w:r>
      <w:r w:rsidRPr="001D5732">
        <w:rPr>
          <w:rFonts w:ascii="Book Antiqua" w:eastAsia="Book Antiqua" w:hAnsi="Book Antiqua" w:cs="Book Antiqua"/>
          <w:color w:val="000000"/>
        </w:rPr>
        <w:t xml:space="preserve"> and Lee </w:t>
      </w:r>
      <w:r w:rsidRPr="001D5732">
        <w:rPr>
          <w:rFonts w:ascii="Book Antiqua" w:eastAsia="Book Antiqua" w:hAnsi="Book Antiqua" w:cs="Book Antiqua"/>
          <w:i/>
          <w:iCs/>
          <w:color w:val="000000"/>
        </w:rPr>
        <w:t>et al</w:t>
      </w:r>
      <w:r w:rsidRPr="001D5732">
        <w:rPr>
          <w:rFonts w:ascii="Book Antiqua" w:eastAsia="Book Antiqua" w:hAnsi="Book Antiqua" w:cs="Book Antiqua"/>
          <w:color w:val="000000"/>
          <w:szCs w:val="30"/>
          <w:vertAlign w:val="superscript"/>
        </w:rPr>
        <w:t>[83]</w:t>
      </w:r>
      <w:r w:rsidRPr="001D5732">
        <w:rPr>
          <w:rFonts w:ascii="Book Antiqua" w:eastAsia="Book Antiqua" w:hAnsi="Book Antiqua" w:cs="Book Antiqua"/>
          <w:color w:val="000000"/>
        </w:rPr>
        <w:t xml:space="preserve"> reported a 1.3% and 0% rate of FN, respectively, the majority of the studies have FN rates of approximately 20%, with small variations among them</w:t>
      </w:r>
      <w:r w:rsidR="00DC0253" w:rsidRPr="001D5732">
        <w:rPr>
          <w:rFonts w:ascii="Book Antiqua" w:eastAsia="Book Antiqua" w:hAnsi="Book Antiqua" w:cs="Book Antiqua"/>
          <w:color w:val="000000"/>
          <w:szCs w:val="30"/>
          <w:vertAlign w:val="superscript"/>
        </w:rPr>
        <w:t>[60,67,79,</w:t>
      </w:r>
      <w:r w:rsidRPr="001D5732">
        <w:rPr>
          <w:rFonts w:ascii="Book Antiqua" w:eastAsia="Book Antiqua" w:hAnsi="Book Antiqua" w:cs="Book Antiqua"/>
          <w:color w:val="000000"/>
          <w:szCs w:val="30"/>
          <w:vertAlign w:val="superscript"/>
        </w:rPr>
        <w:t>84]</w:t>
      </w:r>
      <w:r w:rsidRPr="001D5732">
        <w:rPr>
          <w:rFonts w:ascii="Book Antiqua" w:eastAsia="Book Antiqua" w:hAnsi="Book Antiqua" w:cs="Book Antiqua"/>
          <w:color w:val="000000"/>
        </w:rPr>
        <w:t>.</w:t>
      </w:r>
    </w:p>
    <w:p w14:paraId="71259EEC" w14:textId="2C4702B0" w:rsidR="00A77B3E" w:rsidRPr="001D5732" w:rsidRDefault="0052574D" w:rsidP="00DC0253">
      <w:pPr>
        <w:spacing w:line="360" w:lineRule="auto"/>
        <w:ind w:firstLineChars="100" w:firstLine="240"/>
        <w:jc w:val="both"/>
      </w:pPr>
      <w:r w:rsidRPr="001D5732">
        <w:rPr>
          <w:rFonts w:ascii="Book Antiqua" w:eastAsia="Book Antiqua" w:hAnsi="Book Antiqua" w:cs="Book Antiqua"/>
          <w:color w:val="000000"/>
        </w:rPr>
        <w:t xml:space="preserve">Last, by applying molecular biology techniques such as immunohistochemistry or one-step nucleic acid amplification it is possible to detect micrometastases and isolated tumor cells in the lymph nodes. The meta-analysis by Ankersmit </w:t>
      </w:r>
      <w:r w:rsidRPr="001D5732">
        <w:rPr>
          <w:rFonts w:ascii="Book Antiqua" w:eastAsia="Book Antiqua" w:hAnsi="Book Antiqua" w:cs="Book Antiqua"/>
          <w:i/>
          <w:iCs/>
          <w:color w:val="000000"/>
        </w:rPr>
        <w:t>et al</w:t>
      </w:r>
      <w:r w:rsidR="00046C32" w:rsidRPr="001D5732">
        <w:rPr>
          <w:rFonts w:ascii="Book Antiqua" w:eastAsia="Book Antiqua" w:hAnsi="Book Antiqua" w:cs="Book Antiqua"/>
          <w:color w:val="000000"/>
          <w:szCs w:val="30"/>
          <w:vertAlign w:val="superscript"/>
        </w:rPr>
        <w:t>[73]</w:t>
      </w:r>
      <w:r w:rsidRPr="001D5732">
        <w:rPr>
          <w:rFonts w:ascii="Book Antiqua" w:eastAsia="Book Antiqua" w:hAnsi="Book Antiqua" w:cs="Book Antiqua"/>
          <w:color w:val="000000"/>
        </w:rPr>
        <w:t xml:space="preserve"> reported an upstaging rate of 15% after immunohistochemistry analysis due to the detection of micrometastasis. Even higher upstaging rates have been reported with the combination of ICG and intraoperative </w:t>
      </w:r>
      <w:r w:rsidR="00363C4C" w:rsidRPr="001D5732">
        <w:rPr>
          <w:rFonts w:ascii="Book Antiqua" w:eastAsia="Book Antiqua" w:hAnsi="Book Antiqua" w:cs="Book Antiqua"/>
          <w:color w:val="000000"/>
        </w:rPr>
        <w:t xml:space="preserve">one-step nucleic acid amplification </w:t>
      </w:r>
      <w:r w:rsidRPr="001D5732">
        <w:rPr>
          <w:rFonts w:ascii="Book Antiqua" w:eastAsia="Book Antiqua" w:hAnsi="Book Antiqua" w:cs="Book Antiqua"/>
          <w:color w:val="000000"/>
        </w:rPr>
        <w:t>analysis of the fluorescence nodes</w:t>
      </w:r>
      <w:r w:rsidRPr="001D5732">
        <w:rPr>
          <w:rFonts w:ascii="Book Antiqua" w:eastAsia="Book Antiqua" w:hAnsi="Book Antiqua" w:cs="Book Antiqua"/>
          <w:color w:val="000000"/>
          <w:szCs w:val="30"/>
          <w:vertAlign w:val="superscript"/>
        </w:rPr>
        <w:t>[85-87]</w:t>
      </w:r>
      <w:r w:rsidRPr="001D5732">
        <w:rPr>
          <w:rFonts w:ascii="Book Antiqua" w:eastAsia="Book Antiqua" w:hAnsi="Book Antiqua" w:cs="Book Antiqua"/>
          <w:color w:val="000000"/>
        </w:rPr>
        <w:t xml:space="preserve">. </w:t>
      </w:r>
      <w:r w:rsidR="00363C4C" w:rsidRPr="001D5732">
        <w:rPr>
          <w:rFonts w:ascii="Book Antiqua" w:eastAsia="Book Antiqua" w:hAnsi="Book Antiqua" w:cs="Book Antiqua"/>
          <w:color w:val="000000"/>
        </w:rPr>
        <w:t>Although</w:t>
      </w:r>
      <w:r w:rsidRPr="001D5732">
        <w:rPr>
          <w:rFonts w:ascii="Book Antiqua" w:eastAsia="Book Antiqua" w:hAnsi="Book Antiqua" w:cs="Book Antiqua"/>
          <w:color w:val="000000"/>
        </w:rPr>
        <w:t xml:space="preserve"> there is currently no recommendation to indicate adjuvant treatments in colorectal or esophageal cancers based on the presence of </w:t>
      </w:r>
      <w:r w:rsidR="00363C4C" w:rsidRPr="001D5732">
        <w:rPr>
          <w:rFonts w:ascii="Book Antiqua" w:eastAsia="Book Antiqua" w:hAnsi="Book Antiqua" w:cs="Book Antiqua"/>
          <w:color w:val="000000"/>
        </w:rPr>
        <w:t>isolated tumor cells</w:t>
      </w:r>
      <w:r w:rsidRPr="001D5732">
        <w:rPr>
          <w:rFonts w:ascii="Book Antiqua" w:eastAsia="Book Antiqua" w:hAnsi="Book Antiqua" w:cs="Book Antiqua"/>
          <w:color w:val="000000"/>
        </w:rPr>
        <w:t xml:space="preserve">, in the foreseeable future the ICG-guided SLNB may contribute to offer more personalized and optimized options to treat </w:t>
      </w:r>
      <w:r w:rsidR="00D16659" w:rsidRPr="001D5732">
        <w:rPr>
          <w:rFonts w:ascii="Book Antiqua" w:eastAsia="Book Antiqua" w:hAnsi="Book Antiqua" w:cs="Book Antiqua"/>
          <w:color w:val="000000"/>
        </w:rPr>
        <w:t xml:space="preserve">the </w:t>
      </w:r>
      <w:r w:rsidRPr="001D5732">
        <w:rPr>
          <w:rFonts w:ascii="Book Antiqua" w:eastAsia="Book Antiqua" w:hAnsi="Book Antiqua" w:cs="Book Antiqua"/>
          <w:color w:val="000000"/>
        </w:rPr>
        <w:t>patients.</w:t>
      </w:r>
    </w:p>
    <w:p w14:paraId="4B4EB241" w14:textId="77777777" w:rsidR="00A77B3E" w:rsidRPr="001D5732" w:rsidRDefault="00A77B3E">
      <w:pPr>
        <w:spacing w:line="360" w:lineRule="auto"/>
        <w:jc w:val="both"/>
      </w:pPr>
    </w:p>
    <w:p w14:paraId="25193E75" w14:textId="77777777" w:rsidR="00A77B3E" w:rsidRPr="001D5732" w:rsidRDefault="0052574D">
      <w:pPr>
        <w:spacing w:line="360" w:lineRule="auto"/>
        <w:jc w:val="both"/>
      </w:pPr>
      <w:bookmarkStart w:id="52" w:name="OLE_LINK176"/>
      <w:bookmarkStart w:id="53" w:name="OLE_LINK177"/>
      <w:r w:rsidRPr="001D5732">
        <w:rPr>
          <w:rFonts w:ascii="Book Antiqua" w:eastAsia="Book Antiqua" w:hAnsi="Book Antiqua" w:cs="Book Antiqua"/>
          <w:b/>
          <w:bCs/>
          <w:caps/>
          <w:color w:val="000000"/>
          <w:u w:val="single"/>
        </w:rPr>
        <w:t>PERITONEAL METASTASIS DETECTION AND TUMOR RESECTION</w:t>
      </w:r>
    </w:p>
    <w:p w14:paraId="547DD5FC" w14:textId="29280C75" w:rsidR="00A77B3E" w:rsidRPr="001D5732" w:rsidRDefault="0052574D">
      <w:pPr>
        <w:spacing w:line="360" w:lineRule="auto"/>
        <w:jc w:val="both"/>
      </w:pPr>
      <w:bookmarkStart w:id="54" w:name="OLE_LINK178"/>
      <w:bookmarkStart w:id="55" w:name="OLE_LINK179"/>
      <w:bookmarkEnd w:id="52"/>
      <w:bookmarkEnd w:id="53"/>
      <w:r w:rsidRPr="001D5732">
        <w:rPr>
          <w:rFonts w:ascii="Book Antiqua" w:eastAsia="Book Antiqua" w:hAnsi="Book Antiqua" w:cs="Book Antiqua"/>
          <w:color w:val="000000"/>
        </w:rPr>
        <w:t>Peritoneal metastases (PM) are a common evolution of gastrointestinal cancer,</w:t>
      </w:r>
      <w:r w:rsidR="00363C4C" w:rsidRPr="001D5732">
        <w:rPr>
          <w:rFonts w:ascii="Book Antiqua" w:eastAsia="Book Antiqua" w:hAnsi="Book Antiqua" w:cs="Book Antiqua"/>
          <w:color w:val="000000"/>
        </w:rPr>
        <w:t xml:space="preserve"> and</w:t>
      </w:r>
      <w:r w:rsidRPr="001D5732">
        <w:rPr>
          <w:rFonts w:ascii="Book Antiqua" w:eastAsia="Book Antiqua" w:hAnsi="Book Antiqua" w:cs="Book Antiqua"/>
          <w:color w:val="000000"/>
        </w:rPr>
        <w:t xml:space="preserve"> they are strongly associated with a poor prognosis. Around 8</w:t>
      </w:r>
      <w:r w:rsidR="00585E9F" w:rsidRPr="001D5732">
        <w:rPr>
          <w:rFonts w:ascii="Book Antiqua" w:hAnsi="Book Antiqua" w:cs="Book Antiqua"/>
          <w:color w:val="000000"/>
          <w:lang w:eastAsia="zh-CN"/>
        </w:rPr>
        <w:t>%</w:t>
      </w:r>
      <w:r w:rsidRPr="001D5732">
        <w:rPr>
          <w:rFonts w:ascii="Book Antiqua" w:eastAsia="Book Antiqua" w:hAnsi="Book Antiqua" w:cs="Book Antiqua"/>
          <w:color w:val="000000"/>
        </w:rPr>
        <w:t>-25% of CRC patients will develop PM</w:t>
      </w:r>
      <w:r w:rsidR="00585E9F" w:rsidRPr="001D5732">
        <w:rPr>
          <w:rFonts w:ascii="Book Antiqua" w:eastAsia="Book Antiqua" w:hAnsi="Book Antiqua" w:cs="Book Antiqua"/>
          <w:color w:val="000000"/>
          <w:szCs w:val="30"/>
          <w:vertAlign w:val="superscript"/>
        </w:rPr>
        <w:t>[88,</w:t>
      </w:r>
      <w:r w:rsidRPr="001D5732">
        <w:rPr>
          <w:rFonts w:ascii="Book Antiqua" w:eastAsia="Book Antiqua" w:hAnsi="Book Antiqua" w:cs="Book Antiqua"/>
          <w:color w:val="000000"/>
          <w:szCs w:val="30"/>
          <w:vertAlign w:val="superscript"/>
        </w:rPr>
        <w:t>89]</w:t>
      </w:r>
      <w:r w:rsidRPr="001D5732">
        <w:rPr>
          <w:rFonts w:ascii="Book Antiqua" w:eastAsia="Book Antiqua" w:hAnsi="Book Antiqua" w:cs="Book Antiqua"/>
          <w:color w:val="000000"/>
        </w:rPr>
        <w:t xml:space="preserve">. In the 1990s, the use of cytoreductive surgery and hyper-thermic intraperitoneal chemotherapy was proposed by Sugarbaker </w:t>
      </w:r>
      <w:r w:rsidRPr="001D5732">
        <w:rPr>
          <w:rFonts w:ascii="Book Antiqua" w:eastAsia="Book Antiqua" w:hAnsi="Book Antiqua" w:cs="Book Antiqua"/>
          <w:i/>
          <w:iCs/>
          <w:color w:val="000000"/>
        </w:rPr>
        <w:t>et al</w:t>
      </w:r>
      <w:r w:rsidR="00585E9F" w:rsidRPr="001D5732">
        <w:rPr>
          <w:rFonts w:ascii="Book Antiqua" w:eastAsia="Book Antiqua" w:hAnsi="Book Antiqua" w:cs="Book Antiqua"/>
          <w:color w:val="000000"/>
          <w:szCs w:val="30"/>
          <w:vertAlign w:val="superscript"/>
        </w:rPr>
        <w:t>[90]</w:t>
      </w:r>
      <w:r w:rsidRPr="001D5732">
        <w:rPr>
          <w:rFonts w:ascii="Book Antiqua" w:eastAsia="Book Antiqua" w:hAnsi="Book Antiqua" w:cs="Book Antiqua"/>
          <w:color w:val="000000"/>
        </w:rPr>
        <w:t>, showing a marked improvement in the patient’s overall survival. Those aggressive procedures are associated with non-despicable rates of postoperative morbidity (16</w:t>
      </w:r>
      <w:r w:rsidR="00585E9F" w:rsidRPr="001D5732">
        <w:rPr>
          <w:rFonts w:ascii="Book Antiqua" w:hAnsi="Book Antiqua" w:cs="Book Antiqua"/>
          <w:color w:val="000000"/>
          <w:lang w:eastAsia="zh-CN"/>
        </w:rPr>
        <w:t>%</w:t>
      </w:r>
      <w:r w:rsidRPr="001D5732">
        <w:rPr>
          <w:rFonts w:ascii="Book Antiqua" w:eastAsia="Book Antiqua" w:hAnsi="Book Antiqua" w:cs="Book Antiqua"/>
          <w:color w:val="000000"/>
        </w:rPr>
        <w:t>-64%) and mortality (5%)</w:t>
      </w:r>
      <w:r w:rsidRPr="001D5732">
        <w:rPr>
          <w:rFonts w:ascii="Book Antiqua" w:eastAsia="Book Antiqua" w:hAnsi="Book Antiqua" w:cs="Book Antiqua"/>
          <w:color w:val="000000"/>
          <w:szCs w:val="30"/>
          <w:vertAlign w:val="superscript"/>
        </w:rPr>
        <w:t>[91]</w:t>
      </w:r>
      <w:r w:rsidRPr="001D5732">
        <w:rPr>
          <w:rFonts w:ascii="Book Antiqua" w:eastAsia="Book Antiqua" w:hAnsi="Book Antiqua" w:cs="Book Antiqua"/>
          <w:color w:val="000000"/>
        </w:rPr>
        <w:t xml:space="preserve">. Moreover, the completeness of tumor removal is still the most critical prognostic factor in patients with CRC and PM, as patients undergoing incomplete resections may expect only few oncologic benefits from the surgery. Thus, a careful patient selection in these complex scenarios is mandatory. Unfortunately, the available preoperative diagnostic imaging systems, as the intraoperative visual inspection, have </w:t>
      </w:r>
      <w:r w:rsidRPr="001D5732">
        <w:rPr>
          <w:rFonts w:ascii="Book Antiqua" w:eastAsia="Book Antiqua" w:hAnsi="Book Antiqua" w:cs="Book Antiqua"/>
          <w:color w:val="000000"/>
        </w:rPr>
        <w:lastRenderedPageBreak/>
        <w:t>shown a low sensitivity to detect PM nodules smaller than 5</w:t>
      </w:r>
      <w:r w:rsidR="00363C4C" w:rsidRPr="001D5732">
        <w:rPr>
          <w:rFonts w:ascii="Book Antiqua" w:eastAsia="Book Antiqua" w:hAnsi="Book Antiqua" w:cs="Book Antiqua"/>
          <w:color w:val="000000"/>
        </w:rPr>
        <w:t xml:space="preserve"> </w:t>
      </w:r>
      <w:r w:rsidRPr="001D5732">
        <w:rPr>
          <w:rFonts w:ascii="Book Antiqua" w:eastAsia="Book Antiqua" w:hAnsi="Book Antiqua" w:cs="Book Antiqua"/>
          <w:color w:val="000000"/>
        </w:rPr>
        <w:t>mm</w:t>
      </w:r>
      <w:r w:rsidR="00585E9F" w:rsidRPr="001D5732">
        <w:rPr>
          <w:rFonts w:ascii="Book Antiqua" w:eastAsia="Book Antiqua" w:hAnsi="Book Antiqua" w:cs="Book Antiqua"/>
          <w:color w:val="000000"/>
          <w:szCs w:val="30"/>
          <w:vertAlign w:val="superscript"/>
        </w:rPr>
        <w:t>[92,</w:t>
      </w:r>
      <w:r w:rsidRPr="001D5732">
        <w:rPr>
          <w:rFonts w:ascii="Book Antiqua" w:eastAsia="Book Antiqua" w:hAnsi="Book Antiqua" w:cs="Book Antiqua"/>
          <w:color w:val="000000"/>
          <w:szCs w:val="30"/>
          <w:vertAlign w:val="superscript"/>
        </w:rPr>
        <w:t>93]</w:t>
      </w:r>
      <w:r w:rsidRPr="001D5732">
        <w:rPr>
          <w:rFonts w:ascii="Book Antiqua" w:eastAsia="Book Antiqua" w:hAnsi="Book Antiqua" w:cs="Book Antiqua"/>
          <w:color w:val="000000"/>
        </w:rPr>
        <w:t xml:space="preserve">. The use of fluorescence </w:t>
      </w:r>
      <w:r w:rsidRPr="001D5732">
        <w:rPr>
          <w:rFonts w:ascii="Book Antiqua" w:eastAsia="Book Antiqua" w:hAnsi="Book Antiqua" w:cs="Book Antiqua"/>
          <w:i/>
          <w:iCs/>
          <w:color w:val="000000"/>
        </w:rPr>
        <w:t>via</w:t>
      </w:r>
      <w:r w:rsidRPr="001D5732">
        <w:rPr>
          <w:rFonts w:ascii="Book Antiqua" w:eastAsia="Book Antiqua" w:hAnsi="Book Antiqua" w:cs="Book Antiqua"/>
          <w:color w:val="000000"/>
        </w:rPr>
        <w:t xml:space="preserve"> ICG for these purposes is based on an effect named “enhanced permeability and retention” (EPR). The EPR illustrates the affinity of ICG towards the tumoral and near-tumoral tissue due to neovascularization and impaired lymphatic drainage. ICG detection in PM nodules was described by Kosaka </w:t>
      </w:r>
      <w:r w:rsidRPr="001D5732">
        <w:rPr>
          <w:rFonts w:ascii="Book Antiqua" w:eastAsia="Book Antiqua" w:hAnsi="Book Antiqua" w:cs="Book Antiqua"/>
          <w:i/>
          <w:iCs/>
          <w:color w:val="000000"/>
        </w:rPr>
        <w:t>et al</w:t>
      </w:r>
      <w:r w:rsidR="00782F37" w:rsidRPr="001D5732">
        <w:rPr>
          <w:rFonts w:ascii="Book Antiqua" w:eastAsia="Book Antiqua" w:hAnsi="Book Antiqua" w:cs="Book Antiqua"/>
          <w:color w:val="000000"/>
          <w:szCs w:val="30"/>
          <w:vertAlign w:val="superscript"/>
        </w:rPr>
        <w:t>[94]</w:t>
      </w:r>
      <w:r w:rsidRPr="001D5732">
        <w:rPr>
          <w:rFonts w:ascii="Book Antiqua" w:eastAsia="Book Antiqua" w:hAnsi="Book Antiqua" w:cs="Book Antiqua"/>
          <w:color w:val="000000"/>
        </w:rPr>
        <w:t xml:space="preserve"> in animal models. To date, only four groups have evaluated the role of ICG in the detection of PM from CRC. Liberale </w:t>
      </w:r>
      <w:r w:rsidRPr="001D5732">
        <w:rPr>
          <w:rFonts w:ascii="Book Antiqua" w:eastAsia="Book Antiqua" w:hAnsi="Book Antiqua" w:cs="Book Antiqua"/>
          <w:i/>
          <w:iCs/>
          <w:color w:val="000000"/>
        </w:rPr>
        <w:t>et al</w:t>
      </w:r>
      <w:r w:rsidR="00926118" w:rsidRPr="001D5732">
        <w:rPr>
          <w:rFonts w:ascii="Book Antiqua" w:eastAsia="Book Antiqua" w:hAnsi="Book Antiqua" w:cs="Book Antiqua"/>
          <w:color w:val="000000"/>
          <w:szCs w:val="30"/>
          <w:vertAlign w:val="superscript"/>
        </w:rPr>
        <w:t>[95]</w:t>
      </w:r>
      <w:r w:rsidRPr="001D5732">
        <w:rPr>
          <w:rFonts w:ascii="Book Antiqua" w:eastAsia="Book Antiqua" w:hAnsi="Book Antiqua" w:cs="Book Antiqua"/>
          <w:color w:val="000000"/>
        </w:rPr>
        <w:t xml:space="preserve"> published the proof-of-concept in 2016. They included 14 patients (63 evaluable nodules) after excluding patients with peritoneal carcinomatosis index (PCI) &gt;</w:t>
      </w:r>
      <w:r w:rsidR="00585E9F" w:rsidRPr="001D5732">
        <w:rPr>
          <w:rFonts w:ascii="Book Antiqua" w:hAnsi="Book Antiqua" w:cs="Book Antiqua"/>
          <w:color w:val="000000"/>
          <w:lang w:eastAsia="zh-CN"/>
        </w:rPr>
        <w:t xml:space="preserve"> </w:t>
      </w:r>
      <w:r w:rsidRPr="001D5732">
        <w:rPr>
          <w:rFonts w:ascii="Book Antiqua" w:eastAsia="Book Antiqua" w:hAnsi="Book Antiqua" w:cs="Book Antiqua"/>
          <w:color w:val="000000"/>
        </w:rPr>
        <w:t>17. In the first procedure, 0.25</w:t>
      </w:r>
      <w:r w:rsidR="00585E9F" w:rsidRPr="001D5732">
        <w:rPr>
          <w:rFonts w:ascii="Book Antiqua" w:hAnsi="Book Antiqua" w:cs="Book Antiqua"/>
          <w:color w:val="000000"/>
          <w:lang w:eastAsia="zh-CN"/>
        </w:rPr>
        <w:t xml:space="preserve"> </w:t>
      </w:r>
      <w:r w:rsidRPr="001D5732">
        <w:rPr>
          <w:rFonts w:ascii="Book Antiqua" w:eastAsia="Book Antiqua" w:hAnsi="Book Antiqua" w:cs="Book Antiqua"/>
          <w:color w:val="000000"/>
        </w:rPr>
        <w:t>mg/kg of free ICG were injected</w:t>
      </w:r>
      <w:r w:rsidR="00363C4C" w:rsidRPr="001D5732">
        <w:rPr>
          <w:rFonts w:ascii="Book Antiqua" w:eastAsia="Book Antiqua" w:hAnsi="Book Antiqua" w:cs="Book Antiqua"/>
          <w:color w:val="000000"/>
        </w:rPr>
        <w:t xml:space="preserve"> intravenously </w:t>
      </w:r>
      <w:r w:rsidRPr="001D5732">
        <w:rPr>
          <w:rFonts w:ascii="Book Antiqua" w:eastAsia="Book Antiqua" w:hAnsi="Book Antiqua" w:cs="Book Antiqua"/>
          <w:color w:val="000000"/>
        </w:rPr>
        <w:t xml:space="preserve">24 h before surgery, but no fluorescence was detected during the surgery. Thereafter, ICG was injected intraoperatively after a complete abdominal exposition. Nodules were classified </w:t>
      </w:r>
      <w:r w:rsidRPr="001D5732">
        <w:rPr>
          <w:rFonts w:ascii="Book Antiqua" w:eastAsia="Book Antiqua" w:hAnsi="Book Antiqua" w:cs="Book Antiqua"/>
          <w:i/>
          <w:iCs/>
          <w:color w:val="000000"/>
        </w:rPr>
        <w:t>in vivo</w:t>
      </w:r>
      <w:r w:rsidRPr="001D5732">
        <w:rPr>
          <w:rFonts w:ascii="Book Antiqua" w:eastAsia="Book Antiqua" w:hAnsi="Book Antiqua" w:cs="Book Antiqua"/>
          <w:color w:val="000000"/>
        </w:rPr>
        <w:t xml:space="preserve"> as hyperfluorescent, moderately hyperfluorescent, or hypofluorescent. ICG detected additional PM in 3 patients (21.4%). All these PM were found in the abdominal flank regions and paracolic gutters. Sensitivity and specificity in patients with non-mucinous adenocarcinoma were 87.5% and 100%, respectively. In patients with mucinous tumors, ICG was poorly sensitive (0%). The authors attributed these findings to the correlation between the presence of mucinous material and the absence of vascularized tissue within tumor nodules</w:t>
      </w:r>
      <w:r w:rsidRPr="001D5732">
        <w:rPr>
          <w:rFonts w:ascii="Book Antiqua" w:eastAsia="Book Antiqua" w:hAnsi="Book Antiqua" w:cs="Book Antiqua"/>
          <w:color w:val="000000"/>
          <w:szCs w:val="30"/>
          <w:vertAlign w:val="superscript"/>
        </w:rPr>
        <w:t>[95]</w:t>
      </w:r>
      <w:r w:rsidRPr="001D5732">
        <w:rPr>
          <w:rFonts w:ascii="Book Antiqua" w:eastAsia="Book Antiqua" w:hAnsi="Book Antiqua" w:cs="Book Antiqua"/>
          <w:color w:val="000000"/>
        </w:rPr>
        <w:t>.</w:t>
      </w:r>
    </w:p>
    <w:p w14:paraId="7A870952" w14:textId="77777777" w:rsidR="00A77B3E" w:rsidRPr="001D5732" w:rsidRDefault="0052574D" w:rsidP="00585E9F">
      <w:pPr>
        <w:spacing w:line="360" w:lineRule="auto"/>
        <w:ind w:firstLineChars="100" w:firstLine="240"/>
        <w:jc w:val="both"/>
      </w:pPr>
      <w:r w:rsidRPr="001D5732">
        <w:rPr>
          <w:rFonts w:ascii="Book Antiqua" w:eastAsia="Book Antiqua" w:hAnsi="Book Antiqua" w:cs="Book Antiqua"/>
          <w:color w:val="000000"/>
        </w:rPr>
        <w:t xml:space="preserve">Barabino </w:t>
      </w:r>
      <w:r w:rsidRPr="001D5732">
        <w:rPr>
          <w:rFonts w:ascii="Book Antiqua" w:eastAsia="Book Antiqua" w:hAnsi="Book Antiqua" w:cs="Book Antiqua"/>
          <w:i/>
          <w:iCs/>
          <w:color w:val="000000"/>
        </w:rPr>
        <w:t>et al</w:t>
      </w:r>
      <w:r w:rsidR="00585E9F" w:rsidRPr="001D5732">
        <w:rPr>
          <w:rFonts w:ascii="Book Antiqua" w:eastAsia="Book Antiqua" w:hAnsi="Book Antiqua" w:cs="Book Antiqua"/>
          <w:color w:val="000000"/>
          <w:szCs w:val="30"/>
          <w:vertAlign w:val="superscript"/>
        </w:rPr>
        <w:t>[96]</w:t>
      </w:r>
      <w:r w:rsidRPr="001D5732">
        <w:rPr>
          <w:rFonts w:ascii="Book Antiqua" w:eastAsia="Book Antiqua" w:hAnsi="Book Antiqua" w:cs="Book Antiqua"/>
          <w:color w:val="000000"/>
        </w:rPr>
        <w:t xml:space="preserve"> presented the same year a prospective study aiming to evaluate the detection of PM nodules </w:t>
      </w:r>
      <w:r w:rsidRPr="001D5732">
        <w:rPr>
          <w:rFonts w:ascii="Book Antiqua" w:eastAsia="Book Antiqua" w:hAnsi="Book Antiqua" w:cs="Book Antiqua"/>
          <w:i/>
          <w:iCs/>
          <w:color w:val="000000"/>
        </w:rPr>
        <w:t>ex vivo</w:t>
      </w:r>
      <w:r w:rsidRPr="001D5732">
        <w:rPr>
          <w:rFonts w:ascii="Book Antiqua" w:eastAsia="Book Antiqua" w:hAnsi="Book Antiqua" w:cs="Book Antiqua"/>
          <w:color w:val="000000"/>
        </w:rPr>
        <w:t xml:space="preserve"> using NIR and ICG injected 24 h before surgery in 10 patients and 88 Lesions. During the surgery, only the tissues macroscopically suspicious were resected. The group presented their results in three different publications. In the first report, they showed that the overall sensitivity and specificity for CRC-PM detection were 72.4% and 77.3%, respectively, which were lower than initially expected. They also found a high false-positive rate of 40%</w:t>
      </w:r>
      <w:bookmarkStart w:id="56" w:name="OLE_LINK13"/>
      <w:r w:rsidRPr="001D5732">
        <w:rPr>
          <w:rFonts w:ascii="Book Antiqua" w:eastAsia="Book Antiqua" w:hAnsi="Book Antiqua" w:cs="Book Antiqua"/>
          <w:color w:val="000000"/>
          <w:szCs w:val="30"/>
          <w:vertAlign w:val="superscript"/>
        </w:rPr>
        <w:t>[96]</w:t>
      </w:r>
      <w:bookmarkEnd w:id="56"/>
      <w:r w:rsidRPr="001D5732">
        <w:rPr>
          <w:rFonts w:ascii="Book Antiqua" w:eastAsia="Book Antiqua" w:hAnsi="Book Antiqua" w:cs="Book Antiqua"/>
          <w:color w:val="000000"/>
        </w:rPr>
        <w:t>. The same team published an ancillary report over the same 10 patients to assess the impact of bevacizumab, an anti-angiogenic agent, on the extravasation of ICG. It was hypothesized that it may reduce the EPR effect and increase the FN rates. All the patients in the study received preoperative chemotherapy, 4 treated with bevacizumab and 6 without (4 cetuximab/2 no biotherapy)</w:t>
      </w:r>
      <w:r w:rsidR="00585E9F" w:rsidRPr="001D5732">
        <w:rPr>
          <w:rFonts w:ascii="Book Antiqua" w:eastAsia="Book Antiqua" w:hAnsi="Book Antiqua" w:cs="Book Antiqua"/>
          <w:color w:val="000000"/>
        </w:rPr>
        <w:t xml:space="preserve"> who were included as controls.</w:t>
      </w:r>
      <w:r w:rsidRPr="001D5732">
        <w:rPr>
          <w:rFonts w:ascii="Book Antiqua" w:eastAsia="Book Antiqua" w:hAnsi="Book Antiqua" w:cs="Book Antiqua"/>
          <w:color w:val="000000"/>
        </w:rPr>
        <w:t xml:space="preserve"> Sensitivity and specificity were similar within groups</w:t>
      </w:r>
      <w:r w:rsidRPr="001D5732">
        <w:rPr>
          <w:rFonts w:ascii="Book Antiqua" w:eastAsia="Book Antiqua" w:hAnsi="Book Antiqua" w:cs="Book Antiqua"/>
          <w:color w:val="000000"/>
          <w:szCs w:val="30"/>
          <w:vertAlign w:val="superscript"/>
        </w:rPr>
        <w:t>[97]</w:t>
      </w:r>
      <w:r w:rsidRPr="001D5732">
        <w:rPr>
          <w:rFonts w:ascii="Book Antiqua" w:eastAsia="Book Antiqua" w:hAnsi="Book Antiqua" w:cs="Book Antiqua"/>
          <w:color w:val="000000"/>
        </w:rPr>
        <w:t xml:space="preserve">. In a further </w:t>
      </w:r>
      <w:r w:rsidRPr="001D5732">
        <w:rPr>
          <w:rFonts w:ascii="Book Antiqua" w:eastAsia="Book Antiqua" w:hAnsi="Book Antiqua" w:cs="Book Antiqua"/>
          <w:color w:val="000000"/>
        </w:rPr>
        <w:lastRenderedPageBreak/>
        <w:t>correspondence letter, the authors provided the data of 2 patients (22 nodules) presenting mucinous adenocarcinomas</w:t>
      </w:r>
      <w:r w:rsidR="00585E9F" w:rsidRPr="001D5732">
        <w:rPr>
          <w:rFonts w:ascii="Book Antiqua" w:eastAsia="Book Antiqua" w:hAnsi="Book Antiqua" w:cs="Book Antiqua"/>
          <w:color w:val="000000"/>
          <w:szCs w:val="30"/>
          <w:vertAlign w:val="superscript"/>
        </w:rPr>
        <w:t>[98,</w:t>
      </w:r>
      <w:r w:rsidRPr="001D5732">
        <w:rPr>
          <w:rFonts w:ascii="Book Antiqua" w:eastAsia="Book Antiqua" w:hAnsi="Book Antiqua" w:cs="Book Antiqua"/>
          <w:color w:val="000000"/>
          <w:szCs w:val="30"/>
          <w:vertAlign w:val="superscript"/>
        </w:rPr>
        <w:t>99]</w:t>
      </w:r>
      <w:r w:rsidRPr="001D5732">
        <w:rPr>
          <w:rFonts w:ascii="Book Antiqua" w:eastAsia="Book Antiqua" w:hAnsi="Book Antiqua" w:cs="Book Antiqua"/>
          <w:color w:val="000000"/>
        </w:rPr>
        <w:t xml:space="preserve">. The analysis showed a sensitivity of 72.2% and specificity of 75%, which was similar than the whole population, and contrasted with the findings of the earlier study on the subject. In 2018, Lieto </w:t>
      </w:r>
      <w:r w:rsidRPr="001D5732">
        <w:rPr>
          <w:rFonts w:ascii="Book Antiqua" w:eastAsia="Book Antiqua" w:hAnsi="Book Antiqua" w:cs="Book Antiqua"/>
          <w:i/>
          <w:iCs/>
          <w:color w:val="000000"/>
        </w:rPr>
        <w:t>et al</w:t>
      </w:r>
      <w:r w:rsidR="00585E9F" w:rsidRPr="001D5732">
        <w:rPr>
          <w:rFonts w:ascii="Book Antiqua" w:eastAsia="Book Antiqua" w:hAnsi="Book Antiqua" w:cs="Book Antiqua"/>
          <w:color w:val="000000"/>
          <w:szCs w:val="30"/>
          <w:vertAlign w:val="superscript"/>
        </w:rPr>
        <w:t>[100]</w:t>
      </w:r>
      <w:r w:rsidRPr="001D5732">
        <w:rPr>
          <w:rFonts w:ascii="Book Antiqua" w:eastAsia="Book Antiqua" w:hAnsi="Book Antiqua" w:cs="Book Antiqua"/>
          <w:color w:val="000000"/>
        </w:rPr>
        <w:t xml:space="preserve"> reported 4 patients in which ICG was injected intraoperatively and then detected by the INR camera system. Sixty-nine specimens were analyzed </w:t>
      </w:r>
      <w:r w:rsidRPr="001D5732">
        <w:rPr>
          <w:rFonts w:ascii="Book Antiqua" w:eastAsia="Book Antiqua" w:hAnsi="Book Antiqua" w:cs="Book Antiqua"/>
          <w:i/>
          <w:iCs/>
          <w:color w:val="000000"/>
        </w:rPr>
        <w:t>in vivo</w:t>
      </w:r>
      <w:r w:rsidRPr="001D5732">
        <w:rPr>
          <w:rFonts w:ascii="Book Antiqua" w:eastAsia="Book Antiqua" w:hAnsi="Book Antiqua" w:cs="Book Antiqua"/>
          <w:color w:val="000000"/>
        </w:rPr>
        <w:t xml:space="preserve"> and </w:t>
      </w:r>
      <w:r w:rsidRPr="001D5732">
        <w:rPr>
          <w:rFonts w:ascii="Book Antiqua" w:eastAsia="Book Antiqua" w:hAnsi="Book Antiqua" w:cs="Book Antiqua"/>
          <w:i/>
          <w:iCs/>
          <w:color w:val="000000"/>
        </w:rPr>
        <w:t>ex vivo</w:t>
      </w:r>
      <w:r w:rsidRPr="001D5732">
        <w:rPr>
          <w:rFonts w:ascii="Book Antiqua" w:eastAsia="Book Antiqua" w:hAnsi="Book Antiqua" w:cs="Book Antiqua"/>
          <w:color w:val="000000"/>
        </w:rPr>
        <w:t xml:space="preserve"> with complete correspondence. The use of ICG added 25% of diagnostic improvement, as detected 16 nodules missed by conventional procedures. Sensitivity was 96.9% and specificity 75%, with a false positive rate of 25% and a FN rate of 3%</w:t>
      </w:r>
      <w:bookmarkStart w:id="57" w:name="OLE_LINK14"/>
      <w:bookmarkStart w:id="58" w:name="OLE_LINK15"/>
      <w:r w:rsidRPr="001D5732">
        <w:rPr>
          <w:rFonts w:ascii="Book Antiqua" w:eastAsia="Book Antiqua" w:hAnsi="Book Antiqua" w:cs="Book Antiqua"/>
          <w:color w:val="000000"/>
          <w:szCs w:val="30"/>
          <w:vertAlign w:val="superscript"/>
        </w:rPr>
        <w:t>[100]</w:t>
      </w:r>
      <w:bookmarkEnd w:id="57"/>
      <w:bookmarkEnd w:id="58"/>
      <w:r w:rsidRPr="001D5732">
        <w:rPr>
          <w:rFonts w:ascii="Book Antiqua" w:eastAsia="Book Antiqua" w:hAnsi="Book Antiqua" w:cs="Book Antiqua"/>
          <w:color w:val="000000"/>
        </w:rPr>
        <w:t xml:space="preserve">. </w:t>
      </w:r>
    </w:p>
    <w:p w14:paraId="297D9AC2" w14:textId="47AA84F1" w:rsidR="00A77B3E" w:rsidRPr="001D5732" w:rsidRDefault="0052574D" w:rsidP="00585E9F">
      <w:pPr>
        <w:spacing w:line="360" w:lineRule="auto"/>
        <w:ind w:firstLineChars="100" w:firstLine="240"/>
        <w:jc w:val="both"/>
      </w:pPr>
      <w:r w:rsidRPr="001D5732">
        <w:rPr>
          <w:rFonts w:ascii="Book Antiqua" w:eastAsia="Book Antiqua" w:hAnsi="Book Antiqua" w:cs="Book Antiqua"/>
          <w:color w:val="000000"/>
        </w:rPr>
        <w:t>There are currently alternative imaging systems to detect PM. Narrow-band imaging (NBI) appeared in 2005 and has been routinely used in gastrointestinal endoscopy</w:t>
      </w:r>
      <w:r w:rsidRPr="001D5732">
        <w:rPr>
          <w:rFonts w:ascii="Book Antiqua" w:eastAsia="Book Antiqua" w:hAnsi="Book Antiqua" w:cs="Book Antiqua"/>
          <w:color w:val="000000"/>
          <w:szCs w:val="30"/>
          <w:vertAlign w:val="superscript"/>
        </w:rPr>
        <w:t>[101]</w:t>
      </w:r>
      <w:r w:rsidRPr="001D5732">
        <w:rPr>
          <w:rFonts w:ascii="Book Antiqua" w:eastAsia="Book Antiqua" w:hAnsi="Book Antiqua" w:cs="Book Antiqua"/>
          <w:color w:val="000000"/>
        </w:rPr>
        <w:t>. The system consists of a camera filter that allows the identification of 415-540 nm wavelength light. They match with the two absorption peaks of the hemoglobin, then highlighting the microvascular architecture</w:t>
      </w:r>
      <w:r w:rsidRPr="001D5732">
        <w:rPr>
          <w:rFonts w:ascii="Book Antiqua" w:eastAsia="Book Antiqua" w:hAnsi="Book Antiqua" w:cs="Book Antiqua"/>
          <w:color w:val="000000"/>
          <w:szCs w:val="30"/>
          <w:vertAlign w:val="superscript"/>
        </w:rPr>
        <w:t>[102]</w:t>
      </w:r>
      <w:r w:rsidRPr="001D5732">
        <w:rPr>
          <w:rFonts w:ascii="Book Antiqua" w:eastAsia="Book Antiqua" w:hAnsi="Book Antiqua" w:cs="Book Antiqua"/>
          <w:color w:val="000000"/>
        </w:rPr>
        <w:t>. Previous studies have shown promising results during staging laparoscopy in advanced gastric cancer when compared with the standard white light imaging</w:t>
      </w:r>
      <w:r w:rsidRPr="001D5732">
        <w:rPr>
          <w:rFonts w:ascii="Book Antiqua" w:eastAsia="Book Antiqua" w:hAnsi="Book Antiqua" w:cs="Book Antiqua"/>
          <w:color w:val="000000"/>
          <w:szCs w:val="30"/>
          <w:vertAlign w:val="superscript"/>
        </w:rPr>
        <w:t>[103]</w:t>
      </w:r>
      <w:r w:rsidRPr="001D5732">
        <w:rPr>
          <w:rFonts w:ascii="Book Antiqua" w:eastAsia="Book Antiqua" w:hAnsi="Book Antiqua" w:cs="Book Antiqua"/>
          <w:color w:val="000000"/>
        </w:rPr>
        <w:t xml:space="preserve">. Recently, Sluiter </w:t>
      </w:r>
      <w:r w:rsidRPr="001D5732">
        <w:rPr>
          <w:rFonts w:ascii="Book Antiqua" w:eastAsia="Book Antiqua" w:hAnsi="Book Antiqua" w:cs="Book Antiqua"/>
          <w:i/>
          <w:iCs/>
          <w:color w:val="000000"/>
        </w:rPr>
        <w:t>et al</w:t>
      </w:r>
      <w:r w:rsidR="00585E9F" w:rsidRPr="001D5732">
        <w:rPr>
          <w:rFonts w:ascii="Book Antiqua" w:eastAsia="Book Antiqua" w:hAnsi="Book Antiqua" w:cs="Book Antiqua"/>
          <w:color w:val="000000"/>
          <w:szCs w:val="30"/>
          <w:vertAlign w:val="superscript"/>
        </w:rPr>
        <w:t>[104]</w:t>
      </w:r>
      <w:r w:rsidRPr="001D5732">
        <w:rPr>
          <w:rFonts w:ascii="Book Antiqua" w:eastAsia="Book Antiqua" w:hAnsi="Book Antiqua" w:cs="Book Antiqua"/>
          <w:color w:val="000000"/>
        </w:rPr>
        <w:t xml:space="preserve"> published the results from a prospective clinical trial over 28 patients comparing three advanced imaging techniques with the conventional white-light to detect PM from CRC: </w:t>
      </w:r>
      <w:r w:rsidR="00585E9F" w:rsidRPr="001D5732">
        <w:rPr>
          <w:rFonts w:ascii="Book Antiqua" w:hAnsi="Book Antiqua" w:cs="Book Antiqua"/>
          <w:color w:val="000000"/>
          <w:lang w:eastAsia="zh-CN"/>
        </w:rPr>
        <w:t>(</w:t>
      </w:r>
      <w:r w:rsidR="00585E9F" w:rsidRPr="001D5732">
        <w:rPr>
          <w:rFonts w:ascii="Book Antiqua" w:eastAsia="Book Antiqua" w:hAnsi="Book Antiqua" w:cs="Book Antiqua"/>
          <w:color w:val="000000"/>
        </w:rPr>
        <w:t>1) NBI</w:t>
      </w:r>
      <w:r w:rsidR="00585E9F" w:rsidRPr="001D5732">
        <w:rPr>
          <w:rFonts w:ascii="Book Antiqua" w:hAnsi="Book Antiqua" w:cs="Book Antiqua"/>
          <w:color w:val="000000"/>
          <w:lang w:eastAsia="zh-CN"/>
        </w:rPr>
        <w:t>;</w:t>
      </w:r>
      <w:r w:rsidRPr="001D5732">
        <w:rPr>
          <w:rFonts w:ascii="Book Antiqua" w:eastAsia="Book Antiqua" w:hAnsi="Book Antiqua" w:cs="Book Antiqua"/>
          <w:color w:val="000000"/>
        </w:rPr>
        <w:t xml:space="preserve"> </w:t>
      </w:r>
      <w:r w:rsidR="00585E9F" w:rsidRPr="001D5732">
        <w:rPr>
          <w:rFonts w:ascii="Book Antiqua" w:hAnsi="Book Antiqua" w:cs="Book Antiqua"/>
          <w:color w:val="000000"/>
          <w:lang w:eastAsia="zh-CN"/>
        </w:rPr>
        <w:t>(</w:t>
      </w:r>
      <w:r w:rsidRPr="001D5732">
        <w:rPr>
          <w:rFonts w:ascii="Book Antiqua" w:eastAsia="Book Antiqua" w:hAnsi="Book Antiqua" w:cs="Book Antiqua"/>
          <w:color w:val="000000"/>
        </w:rPr>
        <w:t>2) NIR-ICG administrated 3-12 h bef</w:t>
      </w:r>
      <w:r w:rsidR="00585E9F" w:rsidRPr="001D5732">
        <w:rPr>
          <w:rFonts w:ascii="Book Antiqua" w:eastAsia="Book Antiqua" w:hAnsi="Book Antiqua" w:cs="Book Antiqua"/>
          <w:color w:val="000000"/>
        </w:rPr>
        <w:t>ore surgery</w:t>
      </w:r>
      <w:r w:rsidR="00585E9F" w:rsidRPr="001D5732">
        <w:rPr>
          <w:rFonts w:ascii="Book Antiqua" w:hAnsi="Book Antiqua" w:cs="Book Antiqua"/>
          <w:color w:val="000000"/>
          <w:lang w:eastAsia="zh-CN"/>
        </w:rPr>
        <w:t>;</w:t>
      </w:r>
      <w:r w:rsidRPr="001D5732">
        <w:rPr>
          <w:rFonts w:ascii="Book Antiqua" w:eastAsia="Book Antiqua" w:hAnsi="Book Antiqua" w:cs="Book Antiqua"/>
          <w:color w:val="000000"/>
        </w:rPr>
        <w:t xml:space="preserve"> and </w:t>
      </w:r>
      <w:r w:rsidR="00585E9F" w:rsidRPr="001D5732">
        <w:rPr>
          <w:rFonts w:ascii="Book Antiqua" w:hAnsi="Book Antiqua" w:cs="Book Antiqua"/>
          <w:color w:val="000000"/>
          <w:lang w:eastAsia="zh-CN"/>
        </w:rPr>
        <w:t>(</w:t>
      </w:r>
      <w:r w:rsidRPr="001D5732">
        <w:rPr>
          <w:rFonts w:ascii="Book Antiqua" w:eastAsia="Book Antiqua" w:hAnsi="Book Antiqua" w:cs="Book Antiqua"/>
          <w:color w:val="000000"/>
        </w:rPr>
        <w:t xml:space="preserve">3) </w:t>
      </w:r>
      <w:r w:rsidR="00CA7E3D" w:rsidRPr="001D5732">
        <w:rPr>
          <w:rFonts w:ascii="Book Antiqua" w:eastAsia="Book Antiqua" w:hAnsi="Book Antiqua" w:cs="Book Antiqua"/>
          <w:color w:val="000000"/>
        </w:rPr>
        <w:t>S</w:t>
      </w:r>
      <w:r w:rsidRPr="001D5732">
        <w:rPr>
          <w:rFonts w:ascii="Book Antiqua" w:eastAsia="Book Antiqua" w:hAnsi="Book Antiqua" w:cs="Book Antiqua"/>
          <w:color w:val="000000"/>
        </w:rPr>
        <w:t xml:space="preserve">pray-dye chromoendoscopy. The use of the two latest was discontinued after 10 patients because the lesions were not fluorescent using NIR-ICG, and the </w:t>
      </w:r>
      <w:r w:rsidR="00AB18F9" w:rsidRPr="001D5732">
        <w:rPr>
          <w:rFonts w:ascii="Book Antiqua" w:eastAsia="Book Antiqua" w:hAnsi="Book Antiqua" w:cs="Book Antiqua"/>
          <w:color w:val="000000"/>
        </w:rPr>
        <w:t xml:space="preserve">spray-dye chromoendoscopy </w:t>
      </w:r>
      <w:r w:rsidRPr="001D5732">
        <w:rPr>
          <w:rFonts w:ascii="Book Antiqua" w:eastAsia="Book Antiqua" w:hAnsi="Book Antiqua" w:cs="Book Antiqua"/>
          <w:color w:val="000000"/>
        </w:rPr>
        <w:t>did not allow the entire visualiz</w:t>
      </w:r>
      <w:r w:rsidR="00585E9F" w:rsidRPr="001D5732">
        <w:rPr>
          <w:rFonts w:ascii="Book Antiqua" w:eastAsia="Book Antiqua" w:hAnsi="Book Antiqua" w:cs="Book Antiqua"/>
          <w:color w:val="000000"/>
        </w:rPr>
        <w:t>ation of the peritoneal cavity.</w:t>
      </w:r>
      <w:r w:rsidRPr="001D5732">
        <w:rPr>
          <w:rFonts w:ascii="Book Antiqua" w:eastAsia="Book Antiqua" w:hAnsi="Book Antiqua" w:cs="Book Antiqua"/>
          <w:color w:val="000000"/>
        </w:rPr>
        <w:t xml:space="preserve"> The main finding of the study was that NBI increased the sensitivity in detecting PM to 96% when compared with the white light</w:t>
      </w:r>
      <w:r w:rsidR="00E228A0" w:rsidRPr="001D5732">
        <w:rPr>
          <w:rFonts w:ascii="Book Antiqua" w:hAnsi="Book Antiqua" w:cs="Book Antiqua"/>
          <w:color w:val="000000"/>
          <w:lang w:eastAsia="zh-CN"/>
        </w:rPr>
        <w:t xml:space="preserve"> (Table 3)</w:t>
      </w:r>
      <w:r w:rsidRPr="001D5732">
        <w:rPr>
          <w:rFonts w:ascii="Book Antiqua" w:eastAsia="Book Antiqua" w:hAnsi="Book Antiqua" w:cs="Book Antiqua"/>
          <w:color w:val="000000"/>
        </w:rPr>
        <w:t xml:space="preserve">. </w:t>
      </w:r>
    </w:p>
    <w:p w14:paraId="52A6C3A4" w14:textId="645B3EAB" w:rsidR="00A77B3E" w:rsidRPr="001D5732" w:rsidRDefault="0052574D" w:rsidP="00585E9F">
      <w:pPr>
        <w:spacing w:line="360" w:lineRule="auto"/>
        <w:ind w:firstLineChars="100" w:firstLine="240"/>
        <w:jc w:val="both"/>
      </w:pPr>
      <w:r w:rsidRPr="001D5732">
        <w:rPr>
          <w:rFonts w:ascii="Book Antiqua" w:eastAsia="Book Antiqua" w:hAnsi="Book Antiqua" w:cs="Book Antiqua"/>
          <w:color w:val="000000"/>
        </w:rPr>
        <w:t xml:space="preserve">We can consider that NIR-ICG imaging is a feasible tool to assist in the detection of the PM of CRC. The main advantages of ICG are its safety and its commercial availability. However, ICG is a non-specific molecule to detect the neoplastic tissue, therefore its specificity is limited. The standard dosage or timing of ICG injection are still to be determined. Moreover, its effectiveness may be limited in patients with mucinous neoplasms or already treated with antiangiogenics. The next step may be the detection of </w:t>
      </w:r>
      <w:r w:rsidRPr="001D5732">
        <w:rPr>
          <w:rFonts w:ascii="Book Antiqua" w:eastAsia="Book Antiqua" w:hAnsi="Book Antiqua" w:cs="Book Antiqua"/>
          <w:color w:val="000000"/>
        </w:rPr>
        <w:lastRenderedPageBreak/>
        <w:t>tumor tissue by molecular-FGS. The first clinical study evaluating the safety and feasibility of molecular-FGS using bevacizumab-800CW to detect PM from CRC reported a sensitivity of 100% and a specificity of 54%. The study involved 7 patients</w:t>
      </w:r>
      <w:r w:rsidR="00AB18F9" w:rsidRPr="001D5732">
        <w:rPr>
          <w:rFonts w:ascii="Book Antiqua" w:eastAsia="Book Antiqua" w:hAnsi="Book Antiqua" w:cs="Book Antiqua"/>
          <w:color w:val="000000"/>
        </w:rPr>
        <w:t>;</w:t>
      </w:r>
      <w:r w:rsidRPr="001D5732">
        <w:rPr>
          <w:rFonts w:ascii="Book Antiqua" w:eastAsia="Book Antiqua" w:hAnsi="Book Antiqua" w:cs="Book Antiqua"/>
          <w:color w:val="000000"/>
        </w:rPr>
        <w:t xml:space="preserve"> in 2 of them additional tumor deposits were detected. There were no serious adverse events related to the administration of the tracer</w:t>
      </w:r>
      <w:r w:rsidRPr="001D5732">
        <w:rPr>
          <w:rFonts w:ascii="Book Antiqua" w:eastAsia="Book Antiqua" w:hAnsi="Book Antiqua" w:cs="Book Antiqua"/>
          <w:color w:val="000000"/>
          <w:szCs w:val="30"/>
          <w:vertAlign w:val="superscript"/>
        </w:rPr>
        <w:t>[105]</w:t>
      </w:r>
      <w:r w:rsidR="00943454" w:rsidRPr="001D5732">
        <w:rPr>
          <w:rFonts w:ascii="Book Antiqua" w:eastAsia="Book Antiqua" w:hAnsi="Book Antiqua" w:cs="Book Antiqua"/>
          <w:color w:val="000000"/>
        </w:rPr>
        <w:t>.</w:t>
      </w:r>
      <w:r w:rsidRPr="001D5732">
        <w:rPr>
          <w:rFonts w:ascii="Book Antiqua" w:eastAsia="Book Antiqua" w:hAnsi="Book Antiqua" w:cs="Book Antiqua"/>
          <w:color w:val="000000"/>
        </w:rPr>
        <w:t xml:space="preserve"> A multicenter pilot study has been recently published including 14 patients diagnosed with PM from colorectal origin in which SGM-101, a</w:t>
      </w:r>
      <w:r w:rsidR="00943454" w:rsidRPr="001D5732">
        <w:rPr>
          <w:rFonts w:ascii="Book Antiqua" w:eastAsia="Book Antiqua" w:hAnsi="Book Antiqua" w:cs="Book Antiqua"/>
          <w:color w:val="000000"/>
        </w:rPr>
        <w:t xml:space="preserve"> carcinoembryonic antigen</w:t>
      </w:r>
      <w:r w:rsidRPr="001D5732">
        <w:rPr>
          <w:rFonts w:ascii="Book Antiqua" w:eastAsia="Book Antiqua" w:hAnsi="Book Antiqua" w:cs="Book Antiqua"/>
          <w:color w:val="000000"/>
        </w:rPr>
        <w:t xml:space="preserve">-specific tumor-targeted fluorescent agent, was administrated to identify peritoneal malignant tissue. There was no adverse effect. Sensitivity was 98.5% and specificity 62.2%. The </w:t>
      </w:r>
      <w:r w:rsidR="00943454" w:rsidRPr="001D5732">
        <w:rPr>
          <w:rFonts w:ascii="Book Antiqua" w:eastAsia="Book Antiqua" w:hAnsi="Book Antiqua" w:cs="Book Antiqua"/>
          <w:color w:val="000000"/>
        </w:rPr>
        <w:t xml:space="preserve">positive predictive value </w:t>
      </w:r>
      <w:r w:rsidRPr="001D5732">
        <w:rPr>
          <w:rFonts w:ascii="Book Antiqua" w:eastAsia="Book Antiqua" w:hAnsi="Book Antiqua" w:cs="Book Antiqua"/>
          <w:color w:val="000000"/>
        </w:rPr>
        <w:t xml:space="preserve">was 82.3% and the </w:t>
      </w:r>
      <w:r w:rsidR="00943454" w:rsidRPr="001D5732">
        <w:rPr>
          <w:rFonts w:ascii="Book Antiqua" w:eastAsia="Book Antiqua" w:hAnsi="Book Antiqua" w:cs="Book Antiqua"/>
          <w:color w:val="000000"/>
        </w:rPr>
        <w:t xml:space="preserve">negative predictive value </w:t>
      </w:r>
      <w:r w:rsidRPr="001D5732">
        <w:rPr>
          <w:rFonts w:ascii="Book Antiqua" w:eastAsia="Book Antiqua" w:hAnsi="Book Antiqua" w:cs="Book Antiqua"/>
          <w:color w:val="000000"/>
        </w:rPr>
        <w:t>was 95.8%</w:t>
      </w:r>
      <w:r w:rsidRPr="001D5732">
        <w:rPr>
          <w:rFonts w:ascii="Book Antiqua" w:eastAsia="Book Antiqua" w:hAnsi="Book Antiqua" w:cs="Book Antiqua"/>
          <w:color w:val="000000"/>
          <w:szCs w:val="30"/>
          <w:vertAlign w:val="superscript"/>
        </w:rPr>
        <w:t>[106]</w:t>
      </w:r>
      <w:r w:rsidRPr="001D5732">
        <w:rPr>
          <w:rFonts w:ascii="Book Antiqua" w:eastAsia="Book Antiqua" w:hAnsi="Book Antiqua" w:cs="Book Antiqua"/>
          <w:color w:val="000000"/>
        </w:rPr>
        <w:t xml:space="preserve">. </w:t>
      </w:r>
    </w:p>
    <w:p w14:paraId="62AC4923" w14:textId="77DDAE8A" w:rsidR="00A77B3E" w:rsidRPr="001D5732" w:rsidRDefault="0052574D" w:rsidP="00943454">
      <w:pPr>
        <w:spacing w:line="360" w:lineRule="auto"/>
        <w:ind w:firstLineChars="100" w:firstLine="240"/>
        <w:jc w:val="both"/>
      </w:pPr>
      <w:r w:rsidRPr="001D5732">
        <w:rPr>
          <w:rFonts w:ascii="Book Antiqua" w:eastAsia="Book Antiqua" w:hAnsi="Book Antiqua" w:cs="Book Antiqua"/>
          <w:color w:val="000000"/>
        </w:rPr>
        <w:t xml:space="preserve">The bevacizumab-800CW fluorescent tracer has been also recently used for back-table evaluation of the circumferential resection margin in </w:t>
      </w:r>
      <w:r w:rsidR="00AB18F9" w:rsidRPr="001D5732">
        <w:rPr>
          <w:rFonts w:ascii="Book Antiqua" w:eastAsia="Book Antiqua" w:hAnsi="Book Antiqua" w:cs="Book Antiqua"/>
          <w:color w:val="000000"/>
        </w:rPr>
        <w:t>eight</w:t>
      </w:r>
      <w:r w:rsidRPr="001D5732">
        <w:rPr>
          <w:rFonts w:ascii="Book Antiqua" w:eastAsia="Book Antiqua" w:hAnsi="Book Antiqua" w:cs="Book Antiqua"/>
          <w:color w:val="000000"/>
        </w:rPr>
        <w:t xml:space="preserve"> fresh surgical resection specimens of locally-advanced rectal </w:t>
      </w:r>
      <w:proofErr w:type="gramStart"/>
      <w:r w:rsidRPr="001D5732">
        <w:rPr>
          <w:rFonts w:ascii="Book Antiqua" w:eastAsia="Book Antiqua" w:hAnsi="Book Antiqua" w:cs="Book Antiqua"/>
          <w:color w:val="000000"/>
        </w:rPr>
        <w:t>cancer</w:t>
      </w:r>
      <w:r w:rsidRPr="001D5732">
        <w:rPr>
          <w:rFonts w:ascii="Book Antiqua" w:eastAsia="Book Antiqua" w:hAnsi="Book Antiqua" w:cs="Book Antiqua"/>
          <w:color w:val="000000"/>
          <w:szCs w:val="30"/>
          <w:vertAlign w:val="superscript"/>
        </w:rPr>
        <w:t>[</w:t>
      </w:r>
      <w:proofErr w:type="gramEnd"/>
      <w:r w:rsidRPr="001D5732">
        <w:rPr>
          <w:rFonts w:ascii="Book Antiqua" w:eastAsia="Book Antiqua" w:hAnsi="Book Antiqua" w:cs="Book Antiqua"/>
          <w:color w:val="000000"/>
          <w:szCs w:val="30"/>
          <w:vertAlign w:val="superscript"/>
        </w:rPr>
        <w:t>107]</w:t>
      </w:r>
      <w:r w:rsidRPr="001D5732">
        <w:rPr>
          <w:rFonts w:ascii="Book Antiqua" w:eastAsia="Book Antiqua" w:hAnsi="Book Antiqua" w:cs="Book Antiqua"/>
          <w:color w:val="000000"/>
        </w:rPr>
        <w:t xml:space="preserve">. The future development of these techniques towards its intraoperative application could drive surgical decision-making in the case of positive </w:t>
      </w:r>
      <w:r w:rsidR="00AB18F9" w:rsidRPr="001D5732">
        <w:rPr>
          <w:rFonts w:ascii="Book Antiqua" w:eastAsia="Book Antiqua" w:hAnsi="Book Antiqua" w:cs="Book Antiqua"/>
          <w:color w:val="000000"/>
        </w:rPr>
        <w:t xml:space="preserve">circumferential resection margin </w:t>
      </w:r>
      <w:r w:rsidRPr="001D5732">
        <w:rPr>
          <w:rFonts w:ascii="Book Antiqua" w:eastAsia="Book Antiqua" w:hAnsi="Book Antiqua" w:cs="Book Antiqua"/>
          <w:color w:val="000000"/>
        </w:rPr>
        <w:t>to extend resections or to indicate concomitant intraoperative radiation therapy.</w:t>
      </w:r>
      <w:bookmarkEnd w:id="54"/>
      <w:bookmarkEnd w:id="55"/>
    </w:p>
    <w:p w14:paraId="067EA666" w14:textId="77777777" w:rsidR="00A77B3E" w:rsidRPr="001D5732" w:rsidRDefault="00A77B3E">
      <w:pPr>
        <w:spacing w:line="360" w:lineRule="auto"/>
        <w:jc w:val="both"/>
      </w:pPr>
    </w:p>
    <w:p w14:paraId="43C252FF" w14:textId="77777777" w:rsidR="00A77B3E" w:rsidRPr="001D5732" w:rsidRDefault="0052574D">
      <w:pPr>
        <w:spacing w:line="360" w:lineRule="auto"/>
        <w:jc w:val="both"/>
      </w:pPr>
      <w:r w:rsidRPr="001D5732">
        <w:rPr>
          <w:rFonts w:ascii="Book Antiqua" w:eastAsia="Book Antiqua" w:hAnsi="Book Antiqua" w:cs="Book Antiqua"/>
          <w:b/>
          <w:caps/>
          <w:color w:val="000000"/>
          <w:u w:val="single"/>
        </w:rPr>
        <w:t>CONCLUSION</w:t>
      </w:r>
    </w:p>
    <w:p w14:paraId="10F6E678" w14:textId="0B2411A8" w:rsidR="00A77B3E" w:rsidRPr="001D5732" w:rsidRDefault="0052574D">
      <w:pPr>
        <w:spacing w:line="360" w:lineRule="auto"/>
        <w:jc w:val="both"/>
      </w:pPr>
      <w:bookmarkStart w:id="59" w:name="OLE_LINK180"/>
      <w:bookmarkStart w:id="60" w:name="OLE_LINK181"/>
      <w:r w:rsidRPr="001D5732">
        <w:rPr>
          <w:rFonts w:ascii="Book Antiqua" w:eastAsia="Book Antiqua" w:hAnsi="Book Antiqua" w:cs="Book Antiqua"/>
          <w:color w:val="000000"/>
        </w:rPr>
        <w:t xml:space="preserve">The use of fluorescence imaging in gastrointestinal oncologic surgery has expanded in the last years. The technology has demonstrated to be safe and has the potential to improve both the clinical and the oncologic outcomes. Preliminary studies showed that ICG-FA may reduce the risk to develop </w:t>
      </w:r>
      <w:r w:rsidR="00AB18F9" w:rsidRPr="001D5732">
        <w:rPr>
          <w:rFonts w:ascii="Book Antiqua" w:eastAsia="Book Antiqua" w:hAnsi="Book Antiqua" w:cs="Book Antiqua"/>
          <w:color w:val="000000"/>
        </w:rPr>
        <w:t>ALs</w:t>
      </w:r>
      <w:r w:rsidRPr="001D5732">
        <w:rPr>
          <w:rFonts w:ascii="Book Antiqua" w:eastAsia="Book Antiqua" w:hAnsi="Book Antiqua" w:cs="Book Antiqua"/>
          <w:color w:val="000000"/>
        </w:rPr>
        <w:t xml:space="preserve"> after esophageal or colorectal resections. ICG has been found to be successful to perform lymphographies or to detect sentinel nodes, with acceptable accuracy rates. Few studies recently addressed the applicability of fluorescence to identify occult peritoneal disease, also with promising returns. However, there is a notorious heterogeneity regarding the dosage, timing, and imaging systems used in the different studies. This heterogeneity is also noted in the outcomes they have evaluated. Future standardization is mandatory to elucidate the real role of FGS in these scenarios.</w:t>
      </w:r>
    </w:p>
    <w:bookmarkEnd w:id="59"/>
    <w:bookmarkEnd w:id="60"/>
    <w:p w14:paraId="6AF4374C" w14:textId="77777777" w:rsidR="00A77B3E" w:rsidRPr="001D5732" w:rsidRDefault="00A77B3E" w:rsidP="00795B08">
      <w:pPr>
        <w:adjustRightInd w:val="0"/>
        <w:snapToGrid w:val="0"/>
        <w:spacing w:line="360" w:lineRule="auto"/>
        <w:jc w:val="both"/>
        <w:rPr>
          <w:rFonts w:ascii="Book Antiqua" w:hAnsi="Book Antiqua"/>
        </w:rPr>
      </w:pPr>
    </w:p>
    <w:p w14:paraId="35FA572C" w14:textId="77777777" w:rsidR="00A77B3E" w:rsidRPr="001D5732" w:rsidRDefault="0052574D" w:rsidP="00795B08">
      <w:pPr>
        <w:adjustRightInd w:val="0"/>
        <w:snapToGrid w:val="0"/>
        <w:spacing w:line="360" w:lineRule="auto"/>
        <w:jc w:val="both"/>
        <w:rPr>
          <w:rFonts w:ascii="Book Antiqua" w:hAnsi="Book Antiqua"/>
        </w:rPr>
      </w:pPr>
      <w:r w:rsidRPr="001D5732">
        <w:rPr>
          <w:rFonts w:ascii="Book Antiqua" w:eastAsia="Book Antiqua" w:hAnsi="Book Antiqua" w:cs="Book Antiqua"/>
          <w:b/>
        </w:rPr>
        <w:lastRenderedPageBreak/>
        <w:t>REFERENCES</w:t>
      </w:r>
    </w:p>
    <w:p w14:paraId="5FEEF080" w14:textId="77777777" w:rsidR="00795B08" w:rsidRPr="001D5732" w:rsidRDefault="00795B08" w:rsidP="00795B08">
      <w:pPr>
        <w:pStyle w:val="NormalWeb"/>
        <w:shd w:val="clear" w:color="auto" w:fill="FFFFFF"/>
        <w:adjustRightInd w:val="0"/>
        <w:snapToGrid w:val="0"/>
        <w:spacing w:before="0" w:beforeAutospacing="0" w:after="0" w:afterAutospacing="0" w:line="360" w:lineRule="auto"/>
        <w:jc w:val="both"/>
        <w:rPr>
          <w:rFonts w:ascii="Book Antiqua" w:hAnsi="Book Antiqua"/>
        </w:rPr>
      </w:pPr>
      <w:bookmarkStart w:id="61" w:name="OLE_LINK182"/>
      <w:bookmarkStart w:id="62" w:name="OLE_LINK183"/>
      <w:bookmarkStart w:id="63" w:name="OLE_LINK8"/>
      <w:r w:rsidRPr="001D5732">
        <w:rPr>
          <w:rFonts w:ascii="Book Antiqua" w:hAnsi="Book Antiqua"/>
        </w:rPr>
        <w:t>1 </w:t>
      </w:r>
      <w:r w:rsidRPr="001D5732">
        <w:rPr>
          <w:rFonts w:ascii="Book Antiqua" w:hAnsi="Book Antiqua"/>
          <w:b/>
          <w:bCs/>
        </w:rPr>
        <w:t>Moore GE</w:t>
      </w:r>
      <w:r w:rsidRPr="001D5732">
        <w:rPr>
          <w:rFonts w:ascii="Book Antiqua" w:hAnsi="Book Antiqua"/>
        </w:rPr>
        <w:t>. Fluorescein as an Agent in the Differentiation of Normal and Malignant Tissues. </w:t>
      </w:r>
      <w:r w:rsidRPr="001D5732">
        <w:rPr>
          <w:rFonts w:ascii="Book Antiqua" w:hAnsi="Book Antiqua"/>
          <w:i/>
          <w:iCs/>
        </w:rPr>
        <w:t>Science</w:t>
      </w:r>
      <w:r w:rsidRPr="001D5732">
        <w:rPr>
          <w:rFonts w:ascii="Book Antiqua" w:hAnsi="Book Antiqua"/>
        </w:rPr>
        <w:t> 1947; </w:t>
      </w:r>
      <w:r w:rsidRPr="001D5732">
        <w:rPr>
          <w:rFonts w:ascii="Book Antiqua" w:hAnsi="Book Antiqua"/>
          <w:b/>
          <w:bCs/>
        </w:rPr>
        <w:t>106</w:t>
      </w:r>
      <w:r w:rsidRPr="001D5732">
        <w:rPr>
          <w:rFonts w:ascii="Book Antiqua" w:hAnsi="Book Antiqua"/>
        </w:rPr>
        <w:t>: 130-131 [PMID: 17750790 DOI: 10.1126/science.106.2745.130-a]</w:t>
      </w:r>
    </w:p>
    <w:p w14:paraId="6C8D3D35" w14:textId="77777777" w:rsidR="00795B08" w:rsidRPr="001D5732" w:rsidRDefault="00795B08" w:rsidP="00795B08">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1D5732">
        <w:rPr>
          <w:rFonts w:ascii="Book Antiqua" w:hAnsi="Book Antiqua"/>
        </w:rPr>
        <w:t>2 </w:t>
      </w:r>
      <w:r w:rsidRPr="001D5732">
        <w:rPr>
          <w:rFonts w:ascii="Book Antiqua" w:hAnsi="Book Antiqua"/>
          <w:b/>
          <w:bCs/>
        </w:rPr>
        <w:t>de'Angelis N</w:t>
      </w:r>
      <w:r w:rsidRPr="001D5732">
        <w:rPr>
          <w:rFonts w:ascii="Book Antiqua" w:hAnsi="Book Antiqua"/>
        </w:rPr>
        <w:t>, Moroni P, Brunetti F, Martínez-Pérez A. Indocyanine green fluorescence guided robotic right colectomy with intra-corporeal anastomosis - a video vignette. </w:t>
      </w:r>
      <w:r w:rsidRPr="001D5732">
        <w:rPr>
          <w:rFonts w:ascii="Book Antiqua" w:hAnsi="Book Antiqua"/>
          <w:i/>
          <w:iCs/>
        </w:rPr>
        <w:t>Colorectal Dis</w:t>
      </w:r>
      <w:r w:rsidRPr="001D5732">
        <w:rPr>
          <w:rFonts w:ascii="Book Antiqua" w:hAnsi="Book Antiqua"/>
        </w:rPr>
        <w:t> 2019; </w:t>
      </w:r>
      <w:r w:rsidRPr="001D5732">
        <w:rPr>
          <w:rFonts w:ascii="Book Antiqua" w:hAnsi="Book Antiqua"/>
          <w:b/>
          <w:bCs/>
        </w:rPr>
        <w:t>21</w:t>
      </w:r>
      <w:r w:rsidRPr="001D5732">
        <w:rPr>
          <w:rFonts w:ascii="Book Antiqua" w:hAnsi="Book Antiqua"/>
        </w:rPr>
        <w:t>: 1459-1460 [PMID: 31402537 DOI: 10.1111/codi.14820]</w:t>
      </w:r>
    </w:p>
    <w:p w14:paraId="01720AE0" w14:textId="77777777" w:rsidR="00795B08" w:rsidRPr="001D5732" w:rsidRDefault="00795B08" w:rsidP="00795B08">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1D5732">
        <w:rPr>
          <w:rFonts w:ascii="Book Antiqua" w:hAnsi="Book Antiqua"/>
        </w:rPr>
        <w:t>3 </w:t>
      </w:r>
      <w:r w:rsidRPr="001D5732">
        <w:rPr>
          <w:rFonts w:ascii="Book Antiqua" w:hAnsi="Book Antiqua"/>
          <w:b/>
          <w:bCs/>
        </w:rPr>
        <w:t>Bray F</w:t>
      </w:r>
      <w:r w:rsidRPr="001D5732">
        <w:rPr>
          <w:rFonts w:ascii="Book Antiqua" w:hAnsi="Book Antiqua"/>
        </w:rPr>
        <w:t>, Ferlay J, Soerjomataram I, Siegel RL, Torre LA, Jemal A. Global cancer statistics 2018: GLOBOCAN estimates of incidence and mortality worldwide for 36 cancers in 185 countries. </w:t>
      </w:r>
      <w:r w:rsidRPr="001D5732">
        <w:rPr>
          <w:rFonts w:ascii="Book Antiqua" w:hAnsi="Book Antiqua"/>
          <w:i/>
          <w:iCs/>
        </w:rPr>
        <w:t>CA Cancer J Clin</w:t>
      </w:r>
      <w:r w:rsidRPr="001D5732">
        <w:rPr>
          <w:rFonts w:ascii="Book Antiqua" w:hAnsi="Book Antiqua"/>
        </w:rPr>
        <w:t> 2018; </w:t>
      </w:r>
      <w:r w:rsidRPr="001D5732">
        <w:rPr>
          <w:rFonts w:ascii="Book Antiqua" w:hAnsi="Book Antiqua"/>
          <w:b/>
          <w:bCs/>
        </w:rPr>
        <w:t>68</w:t>
      </w:r>
      <w:r w:rsidRPr="001D5732">
        <w:rPr>
          <w:rFonts w:ascii="Book Antiqua" w:hAnsi="Book Antiqua"/>
        </w:rPr>
        <w:t>: 394-424 [PMID: 30207593 DOI: 10.3322/caac.21492]</w:t>
      </w:r>
    </w:p>
    <w:p w14:paraId="0F17E727" w14:textId="77777777" w:rsidR="00795B08" w:rsidRPr="001D5732" w:rsidRDefault="00795B08" w:rsidP="00795B08">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1D5732">
        <w:rPr>
          <w:rFonts w:ascii="Book Antiqua" w:hAnsi="Book Antiqua"/>
        </w:rPr>
        <w:t>4 </w:t>
      </w:r>
      <w:r w:rsidRPr="001D5732">
        <w:rPr>
          <w:rFonts w:ascii="Book Antiqua" w:hAnsi="Book Antiqua"/>
          <w:b/>
          <w:bCs/>
        </w:rPr>
        <w:t>Frouws MA</w:t>
      </w:r>
      <w:r w:rsidRPr="001D5732">
        <w:rPr>
          <w:rFonts w:ascii="Book Antiqua" w:hAnsi="Book Antiqua"/>
        </w:rPr>
        <w:t>, Snijders HS, Malm SH, Liefers GJ, Van de Velde CJH, Neijenhuis PA, Kroon HM. Clinical Relevance of a Grading System for Anastomotic Leakage After Low Anterior Resection: Analysis From a National Cohort Database. </w:t>
      </w:r>
      <w:r w:rsidRPr="001D5732">
        <w:rPr>
          <w:rFonts w:ascii="Book Antiqua" w:hAnsi="Book Antiqua"/>
          <w:i/>
          <w:iCs/>
        </w:rPr>
        <w:t>Dis Colon Rectum</w:t>
      </w:r>
      <w:r w:rsidRPr="001D5732">
        <w:rPr>
          <w:rFonts w:ascii="Book Antiqua" w:hAnsi="Book Antiqua"/>
        </w:rPr>
        <w:t> 2017; </w:t>
      </w:r>
      <w:r w:rsidRPr="001D5732">
        <w:rPr>
          <w:rFonts w:ascii="Book Antiqua" w:hAnsi="Book Antiqua"/>
          <w:b/>
          <w:bCs/>
        </w:rPr>
        <w:t>60</w:t>
      </w:r>
      <w:r w:rsidRPr="001D5732">
        <w:rPr>
          <w:rFonts w:ascii="Book Antiqua" w:hAnsi="Book Antiqua"/>
        </w:rPr>
        <w:t>: 706-713 [PMID: 28594720 DOI: 10.1097/DCR.0000000000000800]</w:t>
      </w:r>
    </w:p>
    <w:p w14:paraId="230B8A5A" w14:textId="77777777" w:rsidR="00795B08" w:rsidRPr="001D5732" w:rsidRDefault="00795B08" w:rsidP="00795B08">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1D5732">
        <w:rPr>
          <w:rFonts w:ascii="Book Antiqua" w:hAnsi="Book Antiqua"/>
        </w:rPr>
        <w:t>5 </w:t>
      </w:r>
      <w:r w:rsidRPr="001D5732">
        <w:rPr>
          <w:rFonts w:ascii="Book Antiqua" w:hAnsi="Book Antiqua"/>
          <w:b/>
          <w:bCs/>
        </w:rPr>
        <w:t>Ha GW</w:t>
      </w:r>
      <w:r w:rsidRPr="001D5732">
        <w:rPr>
          <w:rFonts w:ascii="Book Antiqua" w:hAnsi="Book Antiqua"/>
        </w:rPr>
        <w:t>, Kim JH, Lee MR. Oncologic Impact of Anastomotic Leakage Following Colorectal Cancer Surgery: A Systematic Review and Meta-Analysis. </w:t>
      </w:r>
      <w:r w:rsidRPr="001D5732">
        <w:rPr>
          <w:rFonts w:ascii="Book Antiqua" w:hAnsi="Book Antiqua"/>
          <w:i/>
          <w:iCs/>
        </w:rPr>
        <w:t>Ann Surg Oncol</w:t>
      </w:r>
      <w:r w:rsidRPr="001D5732">
        <w:rPr>
          <w:rFonts w:ascii="Book Antiqua" w:hAnsi="Book Antiqua"/>
        </w:rPr>
        <w:t> 2017; </w:t>
      </w:r>
      <w:r w:rsidRPr="001D5732">
        <w:rPr>
          <w:rFonts w:ascii="Book Antiqua" w:hAnsi="Book Antiqua"/>
          <w:b/>
          <w:bCs/>
        </w:rPr>
        <w:t>24</w:t>
      </w:r>
      <w:r w:rsidRPr="001D5732">
        <w:rPr>
          <w:rFonts w:ascii="Book Antiqua" w:hAnsi="Book Antiqua"/>
        </w:rPr>
        <w:t>: 3289-3299 [PMID: 28608118 DOI: 10.1245/s10434-017-5881-8]</w:t>
      </w:r>
    </w:p>
    <w:p w14:paraId="0CC7731B" w14:textId="77777777" w:rsidR="00795B08" w:rsidRPr="001D5732" w:rsidRDefault="00795B08" w:rsidP="00795B08">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1D5732">
        <w:rPr>
          <w:rFonts w:ascii="Book Antiqua" w:hAnsi="Book Antiqua"/>
        </w:rPr>
        <w:t>6 </w:t>
      </w:r>
      <w:r w:rsidRPr="001D5732">
        <w:rPr>
          <w:rFonts w:ascii="Book Antiqua" w:hAnsi="Book Antiqua"/>
          <w:b/>
          <w:bCs/>
        </w:rPr>
        <w:t>Nachiappan S</w:t>
      </w:r>
      <w:r w:rsidRPr="001D5732">
        <w:rPr>
          <w:rFonts w:ascii="Book Antiqua" w:hAnsi="Book Antiqua"/>
        </w:rPr>
        <w:t>, Faiz O. Anastomotic Leak Increases Distant Recurrence and Long-term Mortality After Curative Resection for Colonic Cancer. </w:t>
      </w:r>
      <w:r w:rsidRPr="001D5732">
        <w:rPr>
          <w:rFonts w:ascii="Book Antiqua" w:hAnsi="Book Antiqua"/>
          <w:i/>
          <w:iCs/>
        </w:rPr>
        <w:t>Ann Surg</w:t>
      </w:r>
      <w:r w:rsidRPr="001D5732">
        <w:rPr>
          <w:rFonts w:ascii="Book Antiqua" w:hAnsi="Book Antiqua"/>
        </w:rPr>
        <w:t> 2015; </w:t>
      </w:r>
      <w:r w:rsidRPr="001D5732">
        <w:rPr>
          <w:rFonts w:ascii="Book Antiqua" w:hAnsi="Book Antiqua"/>
          <w:b/>
          <w:bCs/>
        </w:rPr>
        <w:t>262</w:t>
      </w:r>
      <w:r w:rsidRPr="001D5732">
        <w:rPr>
          <w:rFonts w:ascii="Book Antiqua" w:hAnsi="Book Antiqua"/>
        </w:rPr>
        <w:t>: e111 [PMID: 24950267 DOI: 10.1097/SLA.0000000000000741]</w:t>
      </w:r>
    </w:p>
    <w:p w14:paraId="5A978AD1" w14:textId="77777777" w:rsidR="00795B08" w:rsidRPr="001D5732" w:rsidRDefault="00795B08" w:rsidP="00795B08">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1D5732">
        <w:rPr>
          <w:rFonts w:ascii="Book Antiqua" w:hAnsi="Book Antiqua"/>
        </w:rPr>
        <w:t>7 </w:t>
      </w:r>
      <w:r w:rsidRPr="001D5732">
        <w:rPr>
          <w:rFonts w:ascii="Book Antiqua" w:hAnsi="Book Antiqua"/>
          <w:b/>
          <w:bCs/>
        </w:rPr>
        <w:t>Park JS</w:t>
      </w:r>
      <w:r w:rsidRPr="001D5732">
        <w:rPr>
          <w:rFonts w:ascii="Book Antiqua" w:hAnsi="Book Antiqua"/>
        </w:rPr>
        <w:t>, Choi GS, Kim SH, Kim HR, Kim NK, Lee KY, Kang SB, Kim JY, Lee KY, Kim BC, Bae BN, Son GM, Lee SI, Kang H. Multicenter analysis of risk factors for anastomotic leakage after laparoscopic rectal cancer excision: the Korean laparoscopic colorectal surgery study group. </w:t>
      </w:r>
      <w:r w:rsidRPr="001D5732">
        <w:rPr>
          <w:rFonts w:ascii="Book Antiqua" w:hAnsi="Book Antiqua"/>
          <w:i/>
          <w:iCs/>
        </w:rPr>
        <w:t>Ann Surg</w:t>
      </w:r>
      <w:r w:rsidRPr="001D5732">
        <w:rPr>
          <w:rFonts w:ascii="Book Antiqua" w:hAnsi="Book Antiqua"/>
        </w:rPr>
        <w:t> 2013; </w:t>
      </w:r>
      <w:r w:rsidRPr="001D5732">
        <w:rPr>
          <w:rFonts w:ascii="Book Antiqua" w:hAnsi="Book Antiqua"/>
          <w:b/>
          <w:bCs/>
        </w:rPr>
        <w:t>257</w:t>
      </w:r>
      <w:r w:rsidRPr="001D5732">
        <w:rPr>
          <w:rFonts w:ascii="Book Antiqua" w:hAnsi="Book Antiqua"/>
        </w:rPr>
        <w:t>: 665-671 [PMID: 23333881 DOI: 10.1097/SLA.0b013e31827b8ed9]</w:t>
      </w:r>
    </w:p>
    <w:p w14:paraId="02B5585F" w14:textId="77777777" w:rsidR="00795B08" w:rsidRPr="001D5732" w:rsidRDefault="00795B08" w:rsidP="00795B08">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1D5732">
        <w:rPr>
          <w:rFonts w:ascii="Book Antiqua" w:hAnsi="Book Antiqua"/>
        </w:rPr>
        <w:t>8 </w:t>
      </w:r>
      <w:r w:rsidRPr="001D5732">
        <w:rPr>
          <w:rFonts w:ascii="Book Antiqua" w:hAnsi="Book Antiqua"/>
          <w:b/>
          <w:bCs/>
        </w:rPr>
        <w:t>Rausa E</w:t>
      </w:r>
      <w:r w:rsidRPr="001D5732">
        <w:rPr>
          <w:rFonts w:ascii="Book Antiqua" w:hAnsi="Book Antiqua"/>
        </w:rPr>
        <w:t>, Zappa MA, Kelly ME, Turati L, Russo A, Aiolfi A, Bonitta G, Sgroi LG. A standardized use of intraoperative anastomotic testing in colorectal surgery in the new millennium: is technology taking over? A systematic review and network meta-analysis. </w:t>
      </w:r>
      <w:r w:rsidRPr="001D5732">
        <w:rPr>
          <w:rFonts w:ascii="Book Antiqua" w:hAnsi="Book Antiqua"/>
          <w:i/>
          <w:iCs/>
        </w:rPr>
        <w:t>Tech Coloproctol</w:t>
      </w:r>
      <w:r w:rsidRPr="001D5732">
        <w:rPr>
          <w:rFonts w:ascii="Book Antiqua" w:hAnsi="Book Antiqua"/>
        </w:rPr>
        <w:t> 2019; </w:t>
      </w:r>
      <w:r w:rsidRPr="001D5732">
        <w:rPr>
          <w:rFonts w:ascii="Book Antiqua" w:hAnsi="Book Antiqua"/>
          <w:b/>
          <w:bCs/>
        </w:rPr>
        <w:t>23</w:t>
      </w:r>
      <w:r w:rsidRPr="001D5732">
        <w:rPr>
          <w:rFonts w:ascii="Book Antiqua" w:hAnsi="Book Antiqua"/>
        </w:rPr>
        <w:t>: 625-631 [PMID: 31302816 DOI: 10.1007/s10151-019-02034-6]</w:t>
      </w:r>
    </w:p>
    <w:p w14:paraId="020BE79E" w14:textId="77777777" w:rsidR="00795B08" w:rsidRPr="00C0009F" w:rsidRDefault="00795B08" w:rsidP="00795B08">
      <w:pPr>
        <w:pStyle w:val="NormalWeb"/>
        <w:shd w:val="clear" w:color="auto" w:fill="FFFFFF"/>
        <w:adjustRightInd w:val="0"/>
        <w:snapToGrid w:val="0"/>
        <w:spacing w:before="0" w:beforeAutospacing="0" w:after="0" w:afterAutospacing="0" w:line="360" w:lineRule="auto"/>
        <w:jc w:val="both"/>
        <w:rPr>
          <w:rFonts w:ascii="Book Antiqua" w:hAnsi="Book Antiqua"/>
          <w:lang w:val="es-ES"/>
        </w:rPr>
      </w:pPr>
      <w:r w:rsidRPr="001D5732">
        <w:rPr>
          <w:rFonts w:ascii="Book Antiqua" w:hAnsi="Book Antiqua"/>
        </w:rPr>
        <w:lastRenderedPageBreak/>
        <w:t>9 </w:t>
      </w:r>
      <w:r w:rsidRPr="001D5732">
        <w:rPr>
          <w:rFonts w:ascii="Book Antiqua" w:hAnsi="Book Antiqua"/>
          <w:b/>
          <w:bCs/>
        </w:rPr>
        <w:t>McDermott FD</w:t>
      </w:r>
      <w:r w:rsidRPr="001D5732">
        <w:rPr>
          <w:rFonts w:ascii="Book Antiqua" w:hAnsi="Book Antiqua"/>
        </w:rPr>
        <w:t>, Heeney A, Kelly ME, Steele RJ, Carlson GL, Winter DC. Systematic review of preoperative, intraoperative and postoperative risk factors for colorectal anastomotic leaks. </w:t>
      </w:r>
      <w:r w:rsidRPr="00C0009F">
        <w:rPr>
          <w:rFonts w:ascii="Book Antiqua" w:hAnsi="Book Antiqua"/>
          <w:i/>
          <w:iCs/>
          <w:lang w:val="es-ES"/>
        </w:rPr>
        <w:t>Br J Surg</w:t>
      </w:r>
      <w:r w:rsidRPr="00C0009F">
        <w:rPr>
          <w:rFonts w:ascii="Book Antiqua" w:hAnsi="Book Antiqua"/>
          <w:lang w:val="es-ES"/>
        </w:rPr>
        <w:t> 2015; </w:t>
      </w:r>
      <w:r w:rsidRPr="00C0009F">
        <w:rPr>
          <w:rFonts w:ascii="Book Antiqua" w:hAnsi="Book Antiqua"/>
          <w:b/>
          <w:bCs/>
          <w:lang w:val="es-ES"/>
        </w:rPr>
        <w:t>102</w:t>
      </w:r>
      <w:r w:rsidRPr="00C0009F">
        <w:rPr>
          <w:rFonts w:ascii="Book Antiqua" w:hAnsi="Book Antiqua"/>
          <w:lang w:val="es-ES"/>
        </w:rPr>
        <w:t>: 462-479 [PMID: 25703524 DOI: 10.1002/bjs.9697]</w:t>
      </w:r>
    </w:p>
    <w:p w14:paraId="1DC1473C" w14:textId="77777777" w:rsidR="00795B08" w:rsidRPr="001D5732" w:rsidRDefault="00795B08" w:rsidP="00795B08">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C0009F">
        <w:rPr>
          <w:rFonts w:ascii="Book Antiqua" w:hAnsi="Book Antiqua"/>
          <w:lang w:val="es-ES"/>
        </w:rPr>
        <w:t>10 </w:t>
      </w:r>
      <w:r w:rsidRPr="00C0009F">
        <w:rPr>
          <w:rFonts w:ascii="Book Antiqua" w:hAnsi="Book Antiqua"/>
          <w:b/>
          <w:bCs/>
          <w:lang w:val="es-ES"/>
        </w:rPr>
        <w:t>Frasson M</w:t>
      </w:r>
      <w:r w:rsidRPr="00C0009F">
        <w:rPr>
          <w:rFonts w:ascii="Book Antiqua" w:hAnsi="Book Antiqua"/>
          <w:lang w:val="es-ES"/>
        </w:rPr>
        <w:t xml:space="preserve">, Flor-Lorente B, Rodríguez JL, Granero-Castro P, Hervás D, Alvarez Rico MA, Brao MJ, Sánchez González JM, Garcia-Granero E; ANACO Study Group. </w:t>
      </w:r>
      <w:r w:rsidRPr="001D5732">
        <w:rPr>
          <w:rFonts w:ascii="Book Antiqua" w:hAnsi="Book Antiqua"/>
        </w:rPr>
        <w:t>Risk Factors for Anastomotic Leak After Colon Resection for Cancer: Multivariate Analysis and Nomogram From a Multicentric, Prospective, National Study With 3193 Patients. </w:t>
      </w:r>
      <w:r w:rsidRPr="001D5732">
        <w:rPr>
          <w:rFonts w:ascii="Book Antiqua" w:hAnsi="Book Antiqua"/>
          <w:i/>
          <w:iCs/>
        </w:rPr>
        <w:t>Ann Surg</w:t>
      </w:r>
      <w:r w:rsidRPr="001D5732">
        <w:rPr>
          <w:rFonts w:ascii="Book Antiqua" w:hAnsi="Book Antiqua"/>
        </w:rPr>
        <w:t> 2015; </w:t>
      </w:r>
      <w:r w:rsidRPr="001D5732">
        <w:rPr>
          <w:rFonts w:ascii="Book Antiqua" w:hAnsi="Book Antiqua"/>
          <w:b/>
          <w:bCs/>
        </w:rPr>
        <w:t>262</w:t>
      </w:r>
      <w:r w:rsidRPr="001D5732">
        <w:rPr>
          <w:rFonts w:ascii="Book Antiqua" w:hAnsi="Book Antiqua"/>
        </w:rPr>
        <w:t>: 321-330 [PMID: 25361221 DOI: 10.1097/SLA.0000000000000973]</w:t>
      </w:r>
    </w:p>
    <w:p w14:paraId="1AD68111" w14:textId="77777777" w:rsidR="00795B08" w:rsidRPr="001D5732" w:rsidRDefault="00795B08" w:rsidP="00795B08">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1D5732">
        <w:rPr>
          <w:rFonts w:ascii="Book Antiqua" w:hAnsi="Book Antiqua"/>
        </w:rPr>
        <w:t>11 </w:t>
      </w:r>
      <w:r w:rsidRPr="001D5732">
        <w:rPr>
          <w:rFonts w:ascii="Book Antiqua" w:hAnsi="Book Antiqua"/>
          <w:b/>
          <w:bCs/>
        </w:rPr>
        <w:t>Marinello FG</w:t>
      </w:r>
      <w:r w:rsidRPr="001D5732">
        <w:rPr>
          <w:rFonts w:ascii="Book Antiqua" w:hAnsi="Book Antiqua"/>
        </w:rPr>
        <w:t>, Baguena G, Lucas E, Frasson M, Hervás D, Flor-Lorente B, Esclapez P, Espí A, García-Granero E. Anastomotic leakage after colon cancer resection: does the individual surgeon matter? </w:t>
      </w:r>
      <w:r w:rsidRPr="001D5732">
        <w:rPr>
          <w:rFonts w:ascii="Book Antiqua" w:hAnsi="Book Antiqua"/>
          <w:i/>
          <w:iCs/>
        </w:rPr>
        <w:t>Colorectal Dis</w:t>
      </w:r>
      <w:r w:rsidRPr="001D5732">
        <w:rPr>
          <w:rFonts w:ascii="Book Antiqua" w:hAnsi="Book Antiqua"/>
        </w:rPr>
        <w:t> 2016; </w:t>
      </w:r>
      <w:r w:rsidRPr="001D5732">
        <w:rPr>
          <w:rFonts w:ascii="Book Antiqua" w:hAnsi="Book Antiqua"/>
          <w:b/>
          <w:bCs/>
        </w:rPr>
        <w:t>18</w:t>
      </w:r>
      <w:r w:rsidRPr="001D5732">
        <w:rPr>
          <w:rFonts w:ascii="Book Antiqua" w:hAnsi="Book Antiqua"/>
        </w:rPr>
        <w:t>: 562-569 [PMID: 26558741 DOI: 10.1111/codi.13212]</w:t>
      </w:r>
    </w:p>
    <w:p w14:paraId="322224D2" w14:textId="77777777" w:rsidR="00795B08" w:rsidRPr="001D5732" w:rsidRDefault="00795B08" w:rsidP="00795B08">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1D5732">
        <w:rPr>
          <w:rFonts w:ascii="Book Antiqua" w:hAnsi="Book Antiqua"/>
        </w:rPr>
        <w:t>12 </w:t>
      </w:r>
      <w:r w:rsidRPr="001D5732">
        <w:rPr>
          <w:rFonts w:ascii="Book Antiqua" w:hAnsi="Book Antiqua"/>
          <w:b/>
          <w:bCs/>
        </w:rPr>
        <w:t>García-Granero E</w:t>
      </w:r>
      <w:r w:rsidRPr="001D5732">
        <w:rPr>
          <w:rFonts w:ascii="Book Antiqua" w:hAnsi="Book Antiqua"/>
        </w:rPr>
        <w:t>, Navarro F, Cerdán Santacruz C, Frasson M, García-Granero A, Marinello F, Flor-Lorente B, Espí A. Individual surgeon is an independent risk factor for leak after double-stapled colorectal anastomosis: An institutional analysis of 800 patients. </w:t>
      </w:r>
      <w:r w:rsidRPr="001D5732">
        <w:rPr>
          <w:rFonts w:ascii="Book Antiqua" w:hAnsi="Book Antiqua"/>
          <w:i/>
          <w:iCs/>
        </w:rPr>
        <w:t>Surgery</w:t>
      </w:r>
      <w:r w:rsidRPr="001D5732">
        <w:rPr>
          <w:rFonts w:ascii="Book Antiqua" w:hAnsi="Book Antiqua"/>
        </w:rPr>
        <w:t> 2017; </w:t>
      </w:r>
      <w:r w:rsidRPr="001D5732">
        <w:rPr>
          <w:rFonts w:ascii="Book Antiqua" w:hAnsi="Book Antiqua"/>
          <w:b/>
          <w:bCs/>
        </w:rPr>
        <w:t>162</w:t>
      </w:r>
      <w:r w:rsidRPr="001D5732">
        <w:rPr>
          <w:rFonts w:ascii="Book Antiqua" w:hAnsi="Book Antiqua"/>
        </w:rPr>
        <w:t>: 1006-1016 [PMID: 28739093 DOI: 10.1016/j.surg.2017.05.023]</w:t>
      </w:r>
    </w:p>
    <w:p w14:paraId="62EB563E" w14:textId="77777777" w:rsidR="00795B08" w:rsidRPr="001D5732" w:rsidRDefault="00795B08" w:rsidP="00795B08">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1D5732">
        <w:rPr>
          <w:rFonts w:ascii="Book Antiqua" w:hAnsi="Book Antiqua"/>
        </w:rPr>
        <w:t>13 </w:t>
      </w:r>
      <w:r w:rsidRPr="001D5732">
        <w:rPr>
          <w:rFonts w:ascii="Book Antiqua" w:hAnsi="Book Antiqua"/>
          <w:b/>
          <w:bCs/>
        </w:rPr>
        <w:t>Vignali A</w:t>
      </w:r>
      <w:r w:rsidRPr="001D5732">
        <w:rPr>
          <w:rFonts w:ascii="Book Antiqua" w:hAnsi="Book Antiqua"/>
        </w:rPr>
        <w:t>, Gianotti L, Braga M, Radaelli G, Malvezzi L, Di Carlo V. Altered microperfusion at the rectal stump is predictive for rectal anastomotic leak. </w:t>
      </w:r>
      <w:r w:rsidRPr="001D5732">
        <w:rPr>
          <w:rFonts w:ascii="Book Antiqua" w:hAnsi="Book Antiqua"/>
          <w:i/>
          <w:iCs/>
        </w:rPr>
        <w:t>Dis Colon Rectum</w:t>
      </w:r>
      <w:r w:rsidRPr="001D5732">
        <w:rPr>
          <w:rFonts w:ascii="Book Antiqua" w:hAnsi="Book Antiqua"/>
        </w:rPr>
        <w:t> 2000; </w:t>
      </w:r>
      <w:r w:rsidRPr="001D5732">
        <w:rPr>
          <w:rFonts w:ascii="Book Antiqua" w:hAnsi="Book Antiqua"/>
          <w:b/>
          <w:bCs/>
        </w:rPr>
        <w:t>43</w:t>
      </w:r>
      <w:r w:rsidRPr="001D5732">
        <w:rPr>
          <w:rFonts w:ascii="Book Antiqua" w:hAnsi="Book Antiqua"/>
        </w:rPr>
        <w:t>: 76-82 [PMID: 10813128 DOI: 10.1007/BF02237248]</w:t>
      </w:r>
    </w:p>
    <w:p w14:paraId="79586D13" w14:textId="77777777" w:rsidR="00795B08" w:rsidRPr="001D5732" w:rsidRDefault="00795B08" w:rsidP="00795B08">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1D5732">
        <w:rPr>
          <w:rFonts w:ascii="Book Antiqua" w:hAnsi="Book Antiqua"/>
        </w:rPr>
        <w:t>14 </w:t>
      </w:r>
      <w:r w:rsidRPr="001D5732">
        <w:rPr>
          <w:rFonts w:ascii="Book Antiqua" w:hAnsi="Book Antiqua"/>
          <w:b/>
          <w:bCs/>
        </w:rPr>
        <w:t>Morse BC</w:t>
      </w:r>
      <w:r w:rsidRPr="001D5732">
        <w:rPr>
          <w:rFonts w:ascii="Book Antiqua" w:hAnsi="Book Antiqua"/>
        </w:rPr>
        <w:t>, Simpson JP, Jones YR, Johnson BL, Knott BM, Kotrady JA. Determination of independent predictive factors for anastomotic leak: analysis of 682 intestinal anastomoses. </w:t>
      </w:r>
      <w:r w:rsidRPr="001D5732">
        <w:rPr>
          <w:rFonts w:ascii="Book Antiqua" w:hAnsi="Book Antiqua"/>
          <w:i/>
          <w:iCs/>
        </w:rPr>
        <w:t>Am J Surg</w:t>
      </w:r>
      <w:r w:rsidRPr="001D5732">
        <w:rPr>
          <w:rFonts w:ascii="Book Antiqua" w:hAnsi="Book Antiqua"/>
        </w:rPr>
        <w:t> 2013; </w:t>
      </w:r>
      <w:r w:rsidRPr="001D5732">
        <w:rPr>
          <w:rFonts w:ascii="Book Antiqua" w:hAnsi="Book Antiqua"/>
          <w:b/>
          <w:bCs/>
        </w:rPr>
        <w:t>206</w:t>
      </w:r>
      <w:r w:rsidRPr="001D5732">
        <w:rPr>
          <w:rFonts w:ascii="Book Antiqua" w:hAnsi="Book Antiqua"/>
        </w:rPr>
        <w:t>: 950-5; discussion 955-6 [PMID: 24070663 DOI: 10.1016/j.amjsurg.2013.07.017]</w:t>
      </w:r>
    </w:p>
    <w:p w14:paraId="505D68F6" w14:textId="77777777" w:rsidR="00795B08" w:rsidRPr="001D5732" w:rsidRDefault="00795B08" w:rsidP="00795B08">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1D5732">
        <w:rPr>
          <w:rFonts w:ascii="Book Antiqua" w:hAnsi="Book Antiqua"/>
        </w:rPr>
        <w:t>15 </w:t>
      </w:r>
      <w:r w:rsidRPr="001D5732">
        <w:rPr>
          <w:rFonts w:ascii="Book Antiqua" w:hAnsi="Book Antiqua"/>
          <w:b/>
          <w:bCs/>
        </w:rPr>
        <w:t>Dekker JW</w:t>
      </w:r>
      <w:r w:rsidRPr="001D5732">
        <w:rPr>
          <w:rFonts w:ascii="Book Antiqua" w:hAnsi="Book Antiqua"/>
        </w:rPr>
        <w:t>, Liefers GJ, de Mol van Otterloo JC, Putter H, Tollenaar RA. Predicting the risk of anastomotic leakage in left-sided colorectal surgery using a colon leakage score. </w:t>
      </w:r>
      <w:r w:rsidRPr="001D5732">
        <w:rPr>
          <w:rFonts w:ascii="Book Antiqua" w:hAnsi="Book Antiqua"/>
          <w:i/>
          <w:iCs/>
        </w:rPr>
        <w:t>J Surg Res</w:t>
      </w:r>
      <w:r w:rsidRPr="001D5732">
        <w:rPr>
          <w:rFonts w:ascii="Book Antiqua" w:hAnsi="Book Antiqua"/>
        </w:rPr>
        <w:t> 2011; </w:t>
      </w:r>
      <w:r w:rsidRPr="001D5732">
        <w:rPr>
          <w:rFonts w:ascii="Book Antiqua" w:hAnsi="Book Antiqua"/>
          <w:b/>
          <w:bCs/>
        </w:rPr>
        <w:t>166</w:t>
      </w:r>
      <w:r w:rsidRPr="001D5732">
        <w:rPr>
          <w:rFonts w:ascii="Book Antiqua" w:hAnsi="Book Antiqua"/>
        </w:rPr>
        <w:t>: e27-e34 [PMID: 21195424 DOI: 10.1016/j.jss.2010.11.004]</w:t>
      </w:r>
    </w:p>
    <w:p w14:paraId="2A909756" w14:textId="77777777" w:rsidR="00795B08" w:rsidRPr="001D5732" w:rsidRDefault="00795B08" w:rsidP="00795B08">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1D5732">
        <w:rPr>
          <w:rFonts w:ascii="Book Antiqua" w:hAnsi="Book Antiqua"/>
        </w:rPr>
        <w:t>16 </w:t>
      </w:r>
      <w:r w:rsidRPr="001D5732">
        <w:rPr>
          <w:rFonts w:ascii="Book Antiqua" w:hAnsi="Book Antiqua"/>
          <w:b/>
          <w:bCs/>
        </w:rPr>
        <w:t>den Dulk M</w:t>
      </w:r>
      <w:r w:rsidRPr="001D5732">
        <w:rPr>
          <w:rFonts w:ascii="Book Antiqua" w:hAnsi="Book Antiqua"/>
        </w:rPr>
        <w:t xml:space="preserve">, Noter SL, Hendriks ER, Brouwers MA, van der Vlies CH, Oostenbroek RJ, Menon AG, Steup WH, van de Velde CJ. Improved diagnosis and treatment of </w:t>
      </w:r>
      <w:r w:rsidRPr="001D5732">
        <w:rPr>
          <w:rFonts w:ascii="Book Antiqua" w:hAnsi="Book Antiqua"/>
        </w:rPr>
        <w:lastRenderedPageBreak/>
        <w:t>anastomotic leakage after colorectal surgery. </w:t>
      </w:r>
      <w:r w:rsidRPr="001D5732">
        <w:rPr>
          <w:rFonts w:ascii="Book Antiqua" w:hAnsi="Book Antiqua"/>
          <w:i/>
          <w:iCs/>
        </w:rPr>
        <w:t>Eur J Surg Oncol</w:t>
      </w:r>
      <w:r w:rsidRPr="001D5732">
        <w:rPr>
          <w:rFonts w:ascii="Book Antiqua" w:hAnsi="Book Antiqua"/>
        </w:rPr>
        <w:t> 2009; </w:t>
      </w:r>
      <w:r w:rsidRPr="001D5732">
        <w:rPr>
          <w:rFonts w:ascii="Book Antiqua" w:hAnsi="Book Antiqua"/>
          <w:b/>
          <w:bCs/>
        </w:rPr>
        <w:t>35</w:t>
      </w:r>
      <w:r w:rsidRPr="001D5732">
        <w:rPr>
          <w:rFonts w:ascii="Book Antiqua" w:hAnsi="Book Antiqua"/>
        </w:rPr>
        <w:t>: 420-426 [PMID: 18585889 DOI: 10.1016/j.ejso.2008.04.009]</w:t>
      </w:r>
    </w:p>
    <w:p w14:paraId="080A7C49" w14:textId="77777777" w:rsidR="00795B08" w:rsidRPr="001D5732" w:rsidRDefault="00795B08" w:rsidP="00795B08">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1D5732">
        <w:rPr>
          <w:rFonts w:ascii="Book Antiqua" w:hAnsi="Book Antiqua"/>
        </w:rPr>
        <w:t>17 </w:t>
      </w:r>
      <w:r w:rsidRPr="001D5732">
        <w:rPr>
          <w:rFonts w:ascii="Book Antiqua" w:hAnsi="Book Antiqua"/>
          <w:b/>
          <w:bCs/>
        </w:rPr>
        <w:t>den Dulk M</w:t>
      </w:r>
      <w:r w:rsidRPr="001D5732">
        <w:rPr>
          <w:rFonts w:ascii="Book Antiqua" w:hAnsi="Book Antiqua"/>
        </w:rPr>
        <w:t>, Witvliet MJ, Kortram K, Neijenhuis PA, de Hingh IH, Engel AF, van de Velde CJ, de Brauw LM, Putter H, Brouwers MA, Steup WH. The DULK (Dutch leakage) and modified DULK score compared: actively seek the leak. </w:t>
      </w:r>
      <w:r w:rsidRPr="001D5732">
        <w:rPr>
          <w:rFonts w:ascii="Book Antiqua" w:hAnsi="Book Antiqua"/>
          <w:i/>
          <w:iCs/>
        </w:rPr>
        <w:t>Colorectal Dis</w:t>
      </w:r>
      <w:r w:rsidRPr="001D5732">
        <w:rPr>
          <w:rFonts w:ascii="Book Antiqua" w:hAnsi="Book Antiqua"/>
        </w:rPr>
        <w:t> 2013; </w:t>
      </w:r>
      <w:r w:rsidRPr="001D5732">
        <w:rPr>
          <w:rFonts w:ascii="Book Antiqua" w:hAnsi="Book Antiqua"/>
          <w:b/>
          <w:bCs/>
        </w:rPr>
        <w:t>15</w:t>
      </w:r>
      <w:r w:rsidRPr="001D5732">
        <w:rPr>
          <w:rFonts w:ascii="Book Antiqua" w:hAnsi="Book Antiqua"/>
        </w:rPr>
        <w:t>: e528-e533 [PMID: 24199233 DOI: 10.1111/codi.12379]</w:t>
      </w:r>
    </w:p>
    <w:p w14:paraId="154EBF49" w14:textId="77777777" w:rsidR="00795B08" w:rsidRPr="001D5732" w:rsidRDefault="00795B08" w:rsidP="00795B08">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1D5732">
        <w:rPr>
          <w:rFonts w:ascii="Book Antiqua" w:hAnsi="Book Antiqua"/>
        </w:rPr>
        <w:t>18 </w:t>
      </w:r>
      <w:r w:rsidRPr="001D5732">
        <w:rPr>
          <w:rFonts w:ascii="Book Antiqua" w:hAnsi="Book Antiqua"/>
          <w:b/>
          <w:bCs/>
        </w:rPr>
        <w:t>Rahbari NN</w:t>
      </w:r>
      <w:r w:rsidRPr="001D5732">
        <w:rPr>
          <w:rFonts w:ascii="Book Antiqua" w:hAnsi="Book Antiqua"/>
        </w:rPr>
        <w:t>, Weitz J, Hohenberger W, Heald RJ, Moran B, Ulrich A, Holm T, Wong WD, Tiret E, Moriya Y, Laurberg S, den Dulk M, van de Velde C, Büchler MW. Definition and grading of anastomotic leakage following anterior resection of the rectum: a proposal by the International Study Group of Rectal Cancer. </w:t>
      </w:r>
      <w:r w:rsidRPr="001D5732">
        <w:rPr>
          <w:rFonts w:ascii="Book Antiqua" w:hAnsi="Book Antiqua"/>
          <w:i/>
          <w:iCs/>
        </w:rPr>
        <w:t>Surgery</w:t>
      </w:r>
      <w:r w:rsidRPr="001D5732">
        <w:rPr>
          <w:rFonts w:ascii="Book Antiqua" w:hAnsi="Book Antiqua"/>
        </w:rPr>
        <w:t> 2010; </w:t>
      </w:r>
      <w:r w:rsidRPr="001D5732">
        <w:rPr>
          <w:rFonts w:ascii="Book Antiqua" w:hAnsi="Book Antiqua"/>
          <w:b/>
          <w:bCs/>
        </w:rPr>
        <w:t>147</w:t>
      </w:r>
      <w:r w:rsidRPr="001D5732">
        <w:rPr>
          <w:rFonts w:ascii="Book Antiqua" w:hAnsi="Book Antiqua"/>
        </w:rPr>
        <w:t>: 339-351 [PMID: 20004450 DOI: 10.1016/j.surg.2009.10.012]</w:t>
      </w:r>
    </w:p>
    <w:p w14:paraId="090D00EE" w14:textId="77777777" w:rsidR="00795B08" w:rsidRPr="001D5732" w:rsidRDefault="00795B08" w:rsidP="00795B08">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1D5732">
        <w:rPr>
          <w:rFonts w:ascii="Book Antiqua" w:hAnsi="Book Antiqua"/>
        </w:rPr>
        <w:t>19 </w:t>
      </w:r>
      <w:r w:rsidRPr="001D5732">
        <w:rPr>
          <w:rFonts w:ascii="Book Antiqua" w:hAnsi="Book Antiqua"/>
          <w:b/>
          <w:bCs/>
        </w:rPr>
        <w:t>Hirst NA</w:t>
      </w:r>
      <w:r w:rsidRPr="001D5732">
        <w:rPr>
          <w:rFonts w:ascii="Book Antiqua" w:hAnsi="Book Antiqua"/>
        </w:rPr>
        <w:t>, Tiernan JP, Millner PA, Jayne DG. Systematic review of methods to predict and detect anastomotic leakage in colorectal surgery. </w:t>
      </w:r>
      <w:r w:rsidRPr="001D5732">
        <w:rPr>
          <w:rFonts w:ascii="Book Antiqua" w:hAnsi="Book Antiqua"/>
          <w:i/>
          <w:iCs/>
        </w:rPr>
        <w:t>Colorectal Dis</w:t>
      </w:r>
      <w:r w:rsidRPr="001D5732">
        <w:rPr>
          <w:rFonts w:ascii="Book Antiqua" w:hAnsi="Book Antiqua"/>
        </w:rPr>
        <w:t> 2014; </w:t>
      </w:r>
      <w:r w:rsidRPr="001D5732">
        <w:rPr>
          <w:rFonts w:ascii="Book Antiqua" w:hAnsi="Book Antiqua"/>
          <w:b/>
          <w:bCs/>
        </w:rPr>
        <w:t>16</w:t>
      </w:r>
      <w:r w:rsidRPr="001D5732">
        <w:rPr>
          <w:rFonts w:ascii="Book Antiqua" w:hAnsi="Book Antiqua"/>
        </w:rPr>
        <w:t>: 95-109 [PMID: 23992097 DOI: 10.1111/codi.12411]</w:t>
      </w:r>
    </w:p>
    <w:p w14:paraId="52E960C8" w14:textId="77777777" w:rsidR="00795B08" w:rsidRPr="001D5732" w:rsidRDefault="00795B08" w:rsidP="00795B08">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1D5732">
        <w:rPr>
          <w:rFonts w:ascii="Book Antiqua" w:hAnsi="Book Antiqua"/>
        </w:rPr>
        <w:t>20 </w:t>
      </w:r>
      <w:r w:rsidRPr="001D5732">
        <w:rPr>
          <w:rFonts w:ascii="Book Antiqua" w:hAnsi="Book Antiqua"/>
          <w:b/>
          <w:bCs/>
        </w:rPr>
        <w:t>Lazorthes F</w:t>
      </w:r>
      <w:r w:rsidRPr="001D5732">
        <w:rPr>
          <w:rFonts w:ascii="Book Antiqua" w:hAnsi="Book Antiqua"/>
        </w:rPr>
        <w:t>, Chiotassol P. Stapled colorectal anastomoses: peroperative integrity of the anastomosis and risk of postoperative leakage. </w:t>
      </w:r>
      <w:r w:rsidRPr="001D5732">
        <w:rPr>
          <w:rFonts w:ascii="Book Antiqua" w:hAnsi="Book Antiqua"/>
          <w:i/>
          <w:iCs/>
        </w:rPr>
        <w:t>Int J Colorectal Dis</w:t>
      </w:r>
      <w:r w:rsidRPr="001D5732">
        <w:rPr>
          <w:rFonts w:ascii="Book Antiqua" w:hAnsi="Book Antiqua"/>
        </w:rPr>
        <w:t> 1986; </w:t>
      </w:r>
      <w:r w:rsidRPr="001D5732">
        <w:rPr>
          <w:rFonts w:ascii="Book Antiqua" w:hAnsi="Book Antiqua"/>
          <w:b/>
          <w:bCs/>
        </w:rPr>
        <w:t>1</w:t>
      </w:r>
      <w:r w:rsidRPr="001D5732">
        <w:rPr>
          <w:rFonts w:ascii="Book Antiqua" w:hAnsi="Book Antiqua"/>
        </w:rPr>
        <w:t>: 96-98 [PMID: 3611941 DOI: 10.1007/BF01648414]</w:t>
      </w:r>
    </w:p>
    <w:p w14:paraId="5E32CCF2" w14:textId="77777777" w:rsidR="00795B08" w:rsidRPr="001D5732" w:rsidRDefault="00795B08" w:rsidP="00795B08">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1D5732">
        <w:rPr>
          <w:rFonts w:ascii="Book Antiqua" w:hAnsi="Book Antiqua"/>
        </w:rPr>
        <w:t>21 </w:t>
      </w:r>
      <w:r w:rsidRPr="001D5732">
        <w:rPr>
          <w:rFonts w:ascii="Book Antiqua" w:hAnsi="Book Antiqua"/>
          <w:b/>
          <w:bCs/>
        </w:rPr>
        <w:t>Urbanavičius L</w:t>
      </w:r>
      <w:r w:rsidRPr="001D5732">
        <w:rPr>
          <w:rFonts w:ascii="Book Antiqua" w:hAnsi="Book Antiqua"/>
        </w:rPr>
        <w:t>, Pattyn P, de Putte DV, Venskutonis D. How to assess intestinal viability during surgery: A review of techniques. </w:t>
      </w:r>
      <w:r w:rsidRPr="001D5732">
        <w:rPr>
          <w:rFonts w:ascii="Book Antiqua" w:hAnsi="Book Antiqua"/>
          <w:i/>
          <w:iCs/>
        </w:rPr>
        <w:t>World J Gastrointest Surg</w:t>
      </w:r>
      <w:r w:rsidRPr="001D5732">
        <w:rPr>
          <w:rFonts w:ascii="Book Antiqua" w:hAnsi="Book Antiqua"/>
        </w:rPr>
        <w:t> 2011; </w:t>
      </w:r>
      <w:r w:rsidRPr="001D5732">
        <w:rPr>
          <w:rFonts w:ascii="Book Antiqua" w:hAnsi="Book Antiqua"/>
          <w:b/>
          <w:bCs/>
        </w:rPr>
        <w:t>3</w:t>
      </w:r>
      <w:r w:rsidRPr="001D5732">
        <w:rPr>
          <w:rFonts w:ascii="Book Antiqua" w:hAnsi="Book Antiqua"/>
        </w:rPr>
        <w:t>: 59-69 [PMID: 21666808 DOI: 10.4240/wjgs.v3.i5.59]</w:t>
      </w:r>
    </w:p>
    <w:p w14:paraId="5DED3628" w14:textId="77777777" w:rsidR="00795B08" w:rsidRPr="001D5732" w:rsidRDefault="00795B08" w:rsidP="00795B08">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1D5732">
        <w:rPr>
          <w:rFonts w:ascii="Book Antiqua" w:hAnsi="Book Antiqua"/>
        </w:rPr>
        <w:t>22 </w:t>
      </w:r>
      <w:r w:rsidRPr="001D5732">
        <w:rPr>
          <w:rFonts w:ascii="Book Antiqua" w:hAnsi="Book Antiqua"/>
          <w:b/>
          <w:bCs/>
        </w:rPr>
        <w:t>Kudszus S</w:t>
      </w:r>
      <w:r w:rsidRPr="001D5732">
        <w:rPr>
          <w:rFonts w:ascii="Book Antiqua" w:hAnsi="Book Antiqua"/>
        </w:rPr>
        <w:t>, Roesel C, Schachtrupp A, Höer JJ. Intraoperative laser fluorescence angiography in colorectal surgery: a noninvasive analysis to reduce the rate of anastomotic leakage. </w:t>
      </w:r>
      <w:r w:rsidRPr="001D5732">
        <w:rPr>
          <w:rFonts w:ascii="Book Antiqua" w:hAnsi="Book Antiqua"/>
          <w:i/>
          <w:iCs/>
        </w:rPr>
        <w:t>Langenbecks Arch Surg</w:t>
      </w:r>
      <w:r w:rsidRPr="001D5732">
        <w:rPr>
          <w:rFonts w:ascii="Book Antiqua" w:hAnsi="Book Antiqua"/>
        </w:rPr>
        <w:t> 2010; </w:t>
      </w:r>
      <w:r w:rsidRPr="001D5732">
        <w:rPr>
          <w:rFonts w:ascii="Book Antiqua" w:hAnsi="Book Antiqua"/>
          <w:b/>
          <w:bCs/>
        </w:rPr>
        <w:t>395</w:t>
      </w:r>
      <w:r w:rsidRPr="001D5732">
        <w:rPr>
          <w:rFonts w:ascii="Book Antiqua" w:hAnsi="Book Antiqua"/>
        </w:rPr>
        <w:t>: 1025-1030 [PMID: 20700603 DOI: 10.1007/s00423-010-0699-x]</w:t>
      </w:r>
    </w:p>
    <w:p w14:paraId="704378FD" w14:textId="77777777" w:rsidR="00795B08" w:rsidRPr="001D5732" w:rsidRDefault="00795B08" w:rsidP="00795B08">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1D5732">
        <w:rPr>
          <w:rFonts w:ascii="Book Antiqua" w:hAnsi="Book Antiqua"/>
        </w:rPr>
        <w:t>23 </w:t>
      </w:r>
      <w:r w:rsidRPr="001D5732">
        <w:rPr>
          <w:rFonts w:ascii="Book Antiqua" w:hAnsi="Book Antiqua"/>
          <w:b/>
          <w:bCs/>
        </w:rPr>
        <w:t>Jafari MD</w:t>
      </w:r>
      <w:r w:rsidRPr="001D5732">
        <w:rPr>
          <w:rFonts w:ascii="Book Antiqua" w:hAnsi="Book Antiqua"/>
        </w:rPr>
        <w:t>, Wexner SD, Martz JE, McLemore EC, Margolin DA, Sherwinter DA, Lee SW, Senagore AJ, Phelan MJ, Stamos MJ. Perfusion assessment in laparoscopic left-sided/anterior resection (PILLAR II): a multi-institutional study. </w:t>
      </w:r>
      <w:r w:rsidRPr="001D5732">
        <w:rPr>
          <w:rFonts w:ascii="Book Antiqua" w:hAnsi="Book Antiqua"/>
          <w:i/>
          <w:iCs/>
        </w:rPr>
        <w:t>J Am Coll Surg</w:t>
      </w:r>
      <w:r w:rsidRPr="001D5732">
        <w:rPr>
          <w:rFonts w:ascii="Book Antiqua" w:hAnsi="Book Antiqua"/>
        </w:rPr>
        <w:t> 2015; </w:t>
      </w:r>
      <w:r w:rsidRPr="001D5732">
        <w:rPr>
          <w:rFonts w:ascii="Book Antiqua" w:hAnsi="Book Antiqua"/>
          <w:b/>
          <w:bCs/>
        </w:rPr>
        <w:t>220</w:t>
      </w:r>
      <w:r w:rsidRPr="001D5732">
        <w:rPr>
          <w:rFonts w:ascii="Book Antiqua" w:hAnsi="Book Antiqua"/>
        </w:rPr>
        <w:t>: 82-92.e1 [PMID: 25451666 DOI: 10.1016/j.jamcollsurg.2014.09.015]</w:t>
      </w:r>
    </w:p>
    <w:p w14:paraId="678587A8" w14:textId="77777777" w:rsidR="00795B08" w:rsidRPr="001D5732" w:rsidRDefault="00795B08" w:rsidP="00795B08">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1D5732">
        <w:rPr>
          <w:rFonts w:ascii="Book Antiqua" w:hAnsi="Book Antiqua"/>
        </w:rPr>
        <w:t>24 </w:t>
      </w:r>
      <w:r w:rsidRPr="001D5732">
        <w:rPr>
          <w:rFonts w:ascii="Book Antiqua" w:hAnsi="Book Antiqua"/>
          <w:b/>
          <w:bCs/>
        </w:rPr>
        <w:t>Ris F</w:t>
      </w:r>
      <w:r w:rsidRPr="001D5732">
        <w:rPr>
          <w:rFonts w:ascii="Book Antiqua" w:hAnsi="Book Antiqua"/>
        </w:rPr>
        <w:t>, Liot E, Buchs NC, Kraus R, Ismael G, Belfontali V, Douissard J, Cunningham C, Lindsey I, Guy R, Jones O, George B, Morel P, Mortensen NJ, Hompes R, Cahill RA; Near-</w:t>
      </w:r>
      <w:r w:rsidRPr="001D5732">
        <w:rPr>
          <w:rFonts w:ascii="Book Antiqua" w:hAnsi="Book Antiqua"/>
        </w:rPr>
        <w:lastRenderedPageBreak/>
        <w:t>Infrared Anastomotic Perfusion Assessment Network VOIR. Multicentre phase II trial of near-infrared imaging in elective colorectal surgery. </w:t>
      </w:r>
      <w:r w:rsidRPr="001D5732">
        <w:rPr>
          <w:rFonts w:ascii="Book Antiqua" w:hAnsi="Book Antiqua"/>
          <w:i/>
          <w:iCs/>
        </w:rPr>
        <w:t>Br J Surg</w:t>
      </w:r>
      <w:r w:rsidRPr="001D5732">
        <w:rPr>
          <w:rFonts w:ascii="Book Antiqua" w:hAnsi="Book Antiqua"/>
        </w:rPr>
        <w:t> 2018; </w:t>
      </w:r>
      <w:r w:rsidRPr="001D5732">
        <w:rPr>
          <w:rFonts w:ascii="Book Antiqua" w:hAnsi="Book Antiqua"/>
          <w:b/>
          <w:bCs/>
        </w:rPr>
        <w:t>105</w:t>
      </w:r>
      <w:r w:rsidRPr="001D5732">
        <w:rPr>
          <w:rFonts w:ascii="Book Antiqua" w:hAnsi="Book Antiqua"/>
        </w:rPr>
        <w:t>: 1359-1367 [PMID: 29663330 DOI: 10.1002/bjs.10844]</w:t>
      </w:r>
    </w:p>
    <w:p w14:paraId="08B21AB7" w14:textId="77777777" w:rsidR="00795B08" w:rsidRPr="001D5732" w:rsidRDefault="00795B08" w:rsidP="00795B08">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1D5732">
        <w:rPr>
          <w:rFonts w:ascii="Book Antiqua" w:hAnsi="Book Antiqua"/>
        </w:rPr>
        <w:t>25 </w:t>
      </w:r>
      <w:r w:rsidRPr="001D5732">
        <w:rPr>
          <w:rFonts w:ascii="Book Antiqua" w:hAnsi="Book Antiqua"/>
          <w:b/>
          <w:bCs/>
        </w:rPr>
        <w:t>De Nardi P</w:t>
      </w:r>
      <w:r w:rsidRPr="001D5732">
        <w:rPr>
          <w:rFonts w:ascii="Book Antiqua" w:hAnsi="Book Antiqua"/>
        </w:rPr>
        <w:t>, Elmore U, Maggi G, Maggiore R, Boni L, Cassinotti E, Fumagalli U, Gardani M, De Pascale S, Parise P, Vignali A, Rosati R. Intraoperative angiography with indocyanine green to assess anastomosis perfusion in patients undergoing laparoscopic colorectal resection: results of a multicenter randomized controlled trial. </w:t>
      </w:r>
      <w:r w:rsidRPr="001D5732">
        <w:rPr>
          <w:rFonts w:ascii="Book Antiqua" w:hAnsi="Book Antiqua"/>
          <w:i/>
          <w:iCs/>
        </w:rPr>
        <w:t>Surg Endosc</w:t>
      </w:r>
      <w:r w:rsidRPr="001D5732">
        <w:rPr>
          <w:rFonts w:ascii="Book Antiqua" w:hAnsi="Book Antiqua"/>
        </w:rPr>
        <w:t> 2020; </w:t>
      </w:r>
      <w:r w:rsidRPr="001D5732">
        <w:rPr>
          <w:rFonts w:ascii="Book Antiqua" w:hAnsi="Book Antiqua"/>
          <w:b/>
          <w:bCs/>
        </w:rPr>
        <w:t>34</w:t>
      </w:r>
      <w:r w:rsidRPr="001D5732">
        <w:rPr>
          <w:rFonts w:ascii="Book Antiqua" w:hAnsi="Book Antiqua"/>
        </w:rPr>
        <w:t>: 53-60 [PMID: 30903276 DOI: 10.1007/s00464-019-06730-0]</w:t>
      </w:r>
    </w:p>
    <w:p w14:paraId="33B79A6D" w14:textId="77777777" w:rsidR="00795B08" w:rsidRPr="001D5732" w:rsidRDefault="00795B08" w:rsidP="00795B08">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1D5732">
        <w:rPr>
          <w:rFonts w:ascii="Book Antiqua" w:hAnsi="Book Antiqua"/>
        </w:rPr>
        <w:t>26 </w:t>
      </w:r>
      <w:r w:rsidRPr="001D5732">
        <w:rPr>
          <w:rFonts w:ascii="Book Antiqua" w:hAnsi="Book Antiqua"/>
          <w:b/>
          <w:bCs/>
        </w:rPr>
        <w:t>Alekseev M</w:t>
      </w:r>
      <w:r w:rsidRPr="001D5732">
        <w:rPr>
          <w:rFonts w:ascii="Book Antiqua" w:hAnsi="Book Antiqua"/>
        </w:rPr>
        <w:t>, Rybakov E, Shelygin Y, Chernyshov S, Zarodnyuk I. A study investigating the perfusion of colorectal anastomoses using fluorescence angiography: results of the FLAG randomized trial. </w:t>
      </w:r>
      <w:r w:rsidRPr="001D5732">
        <w:rPr>
          <w:rFonts w:ascii="Book Antiqua" w:hAnsi="Book Antiqua"/>
          <w:i/>
          <w:iCs/>
        </w:rPr>
        <w:t>Colorectal Dis</w:t>
      </w:r>
      <w:r w:rsidRPr="001D5732">
        <w:rPr>
          <w:rFonts w:ascii="Book Antiqua" w:hAnsi="Book Antiqua"/>
        </w:rPr>
        <w:t> 2020; </w:t>
      </w:r>
      <w:r w:rsidRPr="001D5732">
        <w:rPr>
          <w:rFonts w:ascii="Book Antiqua" w:hAnsi="Book Antiqua"/>
          <w:b/>
          <w:bCs/>
        </w:rPr>
        <w:t>22</w:t>
      </w:r>
      <w:r w:rsidRPr="001D5732">
        <w:rPr>
          <w:rFonts w:ascii="Book Antiqua" w:hAnsi="Book Antiqua"/>
        </w:rPr>
        <w:t>: 1147-1153 [PMID: 32189424 DOI: 10.1111/codi.15037]</w:t>
      </w:r>
    </w:p>
    <w:p w14:paraId="25AC0710" w14:textId="77777777" w:rsidR="00795B08" w:rsidRPr="001D5732" w:rsidRDefault="00795B08" w:rsidP="00795B08">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1D5732">
        <w:rPr>
          <w:rFonts w:ascii="Book Antiqua" w:hAnsi="Book Antiqua"/>
        </w:rPr>
        <w:t>27 </w:t>
      </w:r>
      <w:r w:rsidRPr="001D5732">
        <w:rPr>
          <w:rFonts w:ascii="Book Antiqua" w:hAnsi="Book Antiqua"/>
          <w:b/>
          <w:bCs/>
        </w:rPr>
        <w:t>Arezzo A</w:t>
      </w:r>
      <w:r w:rsidRPr="001D5732">
        <w:rPr>
          <w:rFonts w:ascii="Book Antiqua" w:hAnsi="Book Antiqua"/>
        </w:rPr>
        <w:t>, Bonino MA, Ris F, Boni L, Cassinotti E, Foo DCC, Shum NF, Brolese A, Ciarleglio F, Keller DS, Rosati R, De Nardi P, Elmore U, Fumagalli Romario U, Jafari MD, Pigazzi A, Rybakov E, Alekseev M, Watanabe J, Vettoretto N, Cirocchi R, Passera R, Forcignanò E, Morino M. Intraoperative use of fluorescence with indocyanine green reduces anastomotic leak rates in rectal cancer surgery: an individual participant data analysis. </w:t>
      </w:r>
      <w:r w:rsidRPr="001D5732">
        <w:rPr>
          <w:rFonts w:ascii="Book Antiqua" w:hAnsi="Book Antiqua"/>
          <w:i/>
          <w:iCs/>
        </w:rPr>
        <w:t>Surg Endosc</w:t>
      </w:r>
      <w:r w:rsidRPr="001D5732">
        <w:rPr>
          <w:rFonts w:ascii="Book Antiqua" w:hAnsi="Book Antiqua"/>
        </w:rPr>
        <w:t> 2020; </w:t>
      </w:r>
      <w:r w:rsidRPr="001D5732">
        <w:rPr>
          <w:rFonts w:ascii="Book Antiqua" w:hAnsi="Book Antiqua"/>
          <w:b/>
          <w:bCs/>
        </w:rPr>
        <w:t>34</w:t>
      </w:r>
      <w:r w:rsidRPr="001D5732">
        <w:rPr>
          <w:rFonts w:ascii="Book Antiqua" w:hAnsi="Book Antiqua"/>
        </w:rPr>
        <w:t>: 4281-4290 [PMID: 32556696 DOI: 10.1007/s00464-020-07735-w]</w:t>
      </w:r>
    </w:p>
    <w:p w14:paraId="5397C4E2" w14:textId="77777777" w:rsidR="00795B08" w:rsidRPr="001D5732" w:rsidRDefault="00795B08" w:rsidP="00795B08">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1D5732">
        <w:rPr>
          <w:rFonts w:ascii="Book Antiqua" w:hAnsi="Book Antiqua"/>
        </w:rPr>
        <w:t>28 </w:t>
      </w:r>
      <w:r w:rsidRPr="001D5732">
        <w:rPr>
          <w:rFonts w:ascii="Book Antiqua" w:hAnsi="Book Antiqua"/>
          <w:b/>
          <w:bCs/>
        </w:rPr>
        <w:t>Dalton BGA</w:t>
      </w:r>
      <w:r w:rsidRPr="001D5732">
        <w:rPr>
          <w:rFonts w:ascii="Book Antiqua" w:hAnsi="Book Antiqua"/>
        </w:rPr>
        <w:t>, Ali AA, Crandall M, Awad ZT. Near infrared perfusion assessment of gastric conduit during minimally invasive Ivor Lewis esophagectomy. </w:t>
      </w:r>
      <w:r w:rsidRPr="001D5732">
        <w:rPr>
          <w:rFonts w:ascii="Book Antiqua" w:hAnsi="Book Antiqua"/>
          <w:i/>
          <w:iCs/>
        </w:rPr>
        <w:t>Am J Surg</w:t>
      </w:r>
      <w:r w:rsidRPr="001D5732">
        <w:rPr>
          <w:rFonts w:ascii="Book Antiqua" w:hAnsi="Book Antiqua"/>
        </w:rPr>
        <w:t> 2018; </w:t>
      </w:r>
      <w:r w:rsidRPr="001D5732">
        <w:rPr>
          <w:rFonts w:ascii="Book Antiqua" w:hAnsi="Book Antiqua"/>
          <w:b/>
          <w:bCs/>
        </w:rPr>
        <w:t>216</w:t>
      </w:r>
      <w:r w:rsidRPr="001D5732">
        <w:rPr>
          <w:rFonts w:ascii="Book Antiqua" w:hAnsi="Book Antiqua"/>
        </w:rPr>
        <w:t>: 524-527 [PMID: 29203037 DOI: 10.1016/j.amjsurg.2017.11.026]</w:t>
      </w:r>
    </w:p>
    <w:p w14:paraId="0068E44D" w14:textId="77777777" w:rsidR="00795B08" w:rsidRPr="001D5732" w:rsidRDefault="00795B08" w:rsidP="00795B08">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1D5732">
        <w:rPr>
          <w:rFonts w:ascii="Book Antiqua" w:hAnsi="Book Antiqua"/>
        </w:rPr>
        <w:t>29 </w:t>
      </w:r>
      <w:r w:rsidRPr="001D5732">
        <w:rPr>
          <w:rFonts w:ascii="Book Antiqua" w:hAnsi="Book Antiqua"/>
          <w:b/>
          <w:bCs/>
        </w:rPr>
        <w:t>Karampinis I</w:t>
      </w:r>
      <w:r w:rsidRPr="001D5732">
        <w:rPr>
          <w:rFonts w:ascii="Book Antiqua" w:hAnsi="Book Antiqua"/>
        </w:rPr>
        <w:t>, Ronellenfitsch U, Mertens C, Gerken A, Hetjens S, Post S, Kienle P, Nowak K. Indocyanine green tissue angiography affects anastomotic leakage after esophagectomy. A retrospective, case-control study. </w:t>
      </w:r>
      <w:r w:rsidRPr="001D5732">
        <w:rPr>
          <w:rFonts w:ascii="Book Antiqua" w:hAnsi="Book Antiqua"/>
          <w:i/>
          <w:iCs/>
        </w:rPr>
        <w:t>Int J Surg</w:t>
      </w:r>
      <w:r w:rsidRPr="001D5732">
        <w:rPr>
          <w:rFonts w:ascii="Book Antiqua" w:hAnsi="Book Antiqua"/>
        </w:rPr>
        <w:t> 2017; </w:t>
      </w:r>
      <w:r w:rsidRPr="001D5732">
        <w:rPr>
          <w:rFonts w:ascii="Book Antiqua" w:hAnsi="Book Antiqua"/>
          <w:b/>
          <w:bCs/>
        </w:rPr>
        <w:t>48</w:t>
      </w:r>
      <w:r w:rsidRPr="001D5732">
        <w:rPr>
          <w:rFonts w:ascii="Book Antiqua" w:hAnsi="Book Antiqua"/>
        </w:rPr>
        <w:t>: 210-214 [PMID: 29146267 DOI: 10.1016/j.ijsu.2017.11.001]</w:t>
      </w:r>
    </w:p>
    <w:p w14:paraId="530B1B6A" w14:textId="77777777" w:rsidR="00795B08" w:rsidRPr="001D5732" w:rsidRDefault="00795B08" w:rsidP="00795B08">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1D5732">
        <w:rPr>
          <w:rFonts w:ascii="Book Antiqua" w:hAnsi="Book Antiqua"/>
        </w:rPr>
        <w:t>30 </w:t>
      </w:r>
      <w:r w:rsidRPr="001D5732">
        <w:rPr>
          <w:rFonts w:ascii="Book Antiqua" w:hAnsi="Book Antiqua"/>
          <w:b/>
          <w:bCs/>
        </w:rPr>
        <w:t>Van Daele E</w:t>
      </w:r>
      <w:r w:rsidRPr="001D5732">
        <w:rPr>
          <w:rFonts w:ascii="Book Antiqua" w:hAnsi="Book Antiqua"/>
        </w:rPr>
        <w:t>, Van de Putte D, Ceelen W, Van Nieuwenhove Y, Pattyn P. Risk factors and consequences of anastomotic leakage after Ivor Lewis oesophagectomy†. </w:t>
      </w:r>
      <w:r w:rsidRPr="001D5732">
        <w:rPr>
          <w:rFonts w:ascii="Book Antiqua" w:hAnsi="Book Antiqua"/>
          <w:i/>
          <w:iCs/>
        </w:rPr>
        <w:t>Interact Cardiovasc Thorac Surg</w:t>
      </w:r>
      <w:r w:rsidRPr="001D5732">
        <w:rPr>
          <w:rFonts w:ascii="Book Antiqua" w:hAnsi="Book Antiqua"/>
        </w:rPr>
        <w:t> 2016; </w:t>
      </w:r>
      <w:r w:rsidRPr="001D5732">
        <w:rPr>
          <w:rFonts w:ascii="Book Antiqua" w:hAnsi="Book Antiqua"/>
          <w:b/>
          <w:bCs/>
        </w:rPr>
        <w:t>22</w:t>
      </w:r>
      <w:r w:rsidRPr="001D5732">
        <w:rPr>
          <w:rFonts w:ascii="Book Antiqua" w:hAnsi="Book Antiqua"/>
        </w:rPr>
        <w:t>: 32-37 [PMID: 26433973 DOI: 10.1093/icvts/ivv276]</w:t>
      </w:r>
    </w:p>
    <w:p w14:paraId="6C27893F" w14:textId="77777777" w:rsidR="00795B08" w:rsidRPr="001D5732" w:rsidRDefault="00795B08" w:rsidP="00795B08">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1D5732">
        <w:rPr>
          <w:rFonts w:ascii="Book Antiqua" w:hAnsi="Book Antiqua"/>
        </w:rPr>
        <w:lastRenderedPageBreak/>
        <w:t>31 </w:t>
      </w:r>
      <w:r w:rsidRPr="001D5732">
        <w:rPr>
          <w:rFonts w:ascii="Book Antiqua" w:hAnsi="Book Antiqua"/>
          <w:b/>
          <w:bCs/>
        </w:rPr>
        <w:t>Biere SS</w:t>
      </w:r>
      <w:r w:rsidRPr="001D5732">
        <w:rPr>
          <w:rFonts w:ascii="Book Antiqua" w:hAnsi="Book Antiqua"/>
        </w:rPr>
        <w:t>, Maas KW, Cuesta MA, van der Peet DL. Cervical or thoracic anastomosis after esophagectomy for cancer: a systematic review and meta-analysis. </w:t>
      </w:r>
      <w:r w:rsidRPr="001D5732">
        <w:rPr>
          <w:rFonts w:ascii="Book Antiqua" w:hAnsi="Book Antiqua"/>
          <w:i/>
          <w:iCs/>
        </w:rPr>
        <w:t>Dig Surg</w:t>
      </w:r>
      <w:r w:rsidRPr="001D5732">
        <w:rPr>
          <w:rFonts w:ascii="Book Antiqua" w:hAnsi="Book Antiqua"/>
        </w:rPr>
        <w:t> 2011; </w:t>
      </w:r>
      <w:r w:rsidRPr="001D5732">
        <w:rPr>
          <w:rFonts w:ascii="Book Antiqua" w:hAnsi="Book Antiqua"/>
          <w:b/>
          <w:bCs/>
        </w:rPr>
        <w:t>28</w:t>
      </w:r>
      <w:r w:rsidRPr="001D5732">
        <w:rPr>
          <w:rFonts w:ascii="Book Antiqua" w:hAnsi="Book Antiqua"/>
        </w:rPr>
        <w:t>: 29-35 [PMID: 21293129 DOI: 10.1159/000322014]</w:t>
      </w:r>
    </w:p>
    <w:p w14:paraId="43C93903" w14:textId="77777777" w:rsidR="00795B08" w:rsidRPr="001D5732" w:rsidRDefault="00795B08" w:rsidP="00795B08">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1D5732">
        <w:rPr>
          <w:rFonts w:ascii="Book Antiqua" w:hAnsi="Book Antiqua"/>
        </w:rPr>
        <w:t>32 </w:t>
      </w:r>
      <w:r w:rsidRPr="001D5732">
        <w:rPr>
          <w:rFonts w:ascii="Book Antiqua" w:hAnsi="Book Antiqua"/>
          <w:b/>
          <w:bCs/>
        </w:rPr>
        <w:t>Helminen O</w:t>
      </w:r>
      <w:r w:rsidRPr="001D5732">
        <w:rPr>
          <w:rFonts w:ascii="Book Antiqua" w:hAnsi="Book Antiqua"/>
        </w:rPr>
        <w:t>, Kytö V, Kauppila JH, Gunn J, Lagergren J, Sihvo E. Population-based study of anastomotic stricture rates after minimally invasive and open oesophagectomy for cancer. </w:t>
      </w:r>
      <w:r w:rsidRPr="001D5732">
        <w:rPr>
          <w:rFonts w:ascii="Book Antiqua" w:hAnsi="Book Antiqua"/>
          <w:i/>
          <w:iCs/>
        </w:rPr>
        <w:t>BJS Open</w:t>
      </w:r>
      <w:r w:rsidRPr="001D5732">
        <w:rPr>
          <w:rFonts w:ascii="Book Antiqua" w:hAnsi="Book Antiqua"/>
        </w:rPr>
        <w:t> 2019; </w:t>
      </w:r>
      <w:r w:rsidRPr="001D5732">
        <w:rPr>
          <w:rFonts w:ascii="Book Antiqua" w:hAnsi="Book Antiqua"/>
          <w:b/>
          <w:bCs/>
        </w:rPr>
        <w:t>3</w:t>
      </w:r>
      <w:r w:rsidRPr="001D5732">
        <w:rPr>
          <w:rFonts w:ascii="Book Antiqua" w:hAnsi="Book Antiqua"/>
        </w:rPr>
        <w:t>: 634-640 [PMID: 31592081 DOI: 10.1002/bjs5.50176]</w:t>
      </w:r>
    </w:p>
    <w:p w14:paraId="199CFD23" w14:textId="77777777" w:rsidR="00795B08" w:rsidRPr="001D5732" w:rsidRDefault="00795B08" w:rsidP="00795B08">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1D5732">
        <w:rPr>
          <w:rFonts w:ascii="Book Antiqua" w:hAnsi="Book Antiqua"/>
        </w:rPr>
        <w:t>33 </w:t>
      </w:r>
      <w:r w:rsidRPr="001D5732">
        <w:rPr>
          <w:rFonts w:ascii="Book Antiqua" w:hAnsi="Book Antiqua"/>
          <w:b/>
          <w:bCs/>
        </w:rPr>
        <w:t>van Heijl M</w:t>
      </w:r>
      <w:r w:rsidRPr="001D5732">
        <w:rPr>
          <w:rFonts w:ascii="Book Antiqua" w:hAnsi="Book Antiqua"/>
        </w:rPr>
        <w:t>, Gooszen JA, Fockens P, Busch OR, van Lanschot JJ, van Berge Henegouwen MI. Risk factors for development of benign cervical strictures after esophagectomy. </w:t>
      </w:r>
      <w:r w:rsidRPr="001D5732">
        <w:rPr>
          <w:rFonts w:ascii="Book Antiqua" w:hAnsi="Book Antiqua"/>
          <w:i/>
          <w:iCs/>
        </w:rPr>
        <w:t>Ann Surg</w:t>
      </w:r>
      <w:r w:rsidRPr="001D5732">
        <w:rPr>
          <w:rFonts w:ascii="Book Antiqua" w:hAnsi="Book Antiqua"/>
        </w:rPr>
        <w:t> 2010; </w:t>
      </w:r>
      <w:r w:rsidRPr="001D5732">
        <w:rPr>
          <w:rFonts w:ascii="Book Antiqua" w:hAnsi="Book Antiqua"/>
          <w:b/>
          <w:bCs/>
        </w:rPr>
        <w:t>251</w:t>
      </w:r>
      <w:r w:rsidRPr="001D5732">
        <w:rPr>
          <w:rFonts w:ascii="Book Antiqua" w:hAnsi="Book Antiqua"/>
        </w:rPr>
        <w:t>: 1064-1069 [PMID: 20485137 DOI: 10.1097/SLA.0b013e3181deb4b7]</w:t>
      </w:r>
    </w:p>
    <w:p w14:paraId="36A7E169" w14:textId="77777777" w:rsidR="00795B08" w:rsidRPr="001D5732" w:rsidRDefault="00795B08" w:rsidP="00795B08">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1D5732">
        <w:rPr>
          <w:rFonts w:ascii="Book Antiqua" w:hAnsi="Book Antiqua"/>
        </w:rPr>
        <w:t>34 </w:t>
      </w:r>
      <w:r w:rsidRPr="001D5732">
        <w:rPr>
          <w:rFonts w:ascii="Book Antiqua" w:hAnsi="Book Antiqua"/>
          <w:b/>
          <w:bCs/>
        </w:rPr>
        <w:t>Ryan CE</w:t>
      </w:r>
      <w:r w:rsidRPr="001D5732">
        <w:rPr>
          <w:rFonts w:ascii="Book Antiqua" w:hAnsi="Book Antiqua"/>
        </w:rPr>
        <w:t>, Paniccia A, Meguid RA, McCarter MD. Transthoracic Anastomotic Leak After Esophagectomy: Current Trends. </w:t>
      </w:r>
      <w:r w:rsidRPr="001D5732">
        <w:rPr>
          <w:rFonts w:ascii="Book Antiqua" w:hAnsi="Book Antiqua"/>
          <w:i/>
          <w:iCs/>
        </w:rPr>
        <w:t>Ann Surg Oncol</w:t>
      </w:r>
      <w:r w:rsidRPr="001D5732">
        <w:rPr>
          <w:rFonts w:ascii="Book Antiqua" w:hAnsi="Book Antiqua"/>
        </w:rPr>
        <w:t> 2017; </w:t>
      </w:r>
      <w:r w:rsidRPr="001D5732">
        <w:rPr>
          <w:rFonts w:ascii="Book Antiqua" w:hAnsi="Book Antiqua"/>
          <w:b/>
          <w:bCs/>
        </w:rPr>
        <w:t>24</w:t>
      </w:r>
      <w:r w:rsidRPr="001D5732">
        <w:rPr>
          <w:rFonts w:ascii="Book Antiqua" w:hAnsi="Book Antiqua"/>
        </w:rPr>
        <w:t>: 281-290 [PMID: 27406098 DOI: 10.1245/s10434-016-5417-7]</w:t>
      </w:r>
    </w:p>
    <w:p w14:paraId="617F4DBD" w14:textId="77777777" w:rsidR="00795B08" w:rsidRPr="001D5732" w:rsidRDefault="00795B08" w:rsidP="00795B08">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1D5732">
        <w:rPr>
          <w:rFonts w:ascii="Book Antiqua" w:hAnsi="Book Antiqua"/>
        </w:rPr>
        <w:t>35 </w:t>
      </w:r>
      <w:r w:rsidRPr="001D5732">
        <w:rPr>
          <w:rFonts w:ascii="Book Antiqua" w:hAnsi="Book Antiqua"/>
          <w:b/>
          <w:bCs/>
        </w:rPr>
        <w:t>Markar SR</w:t>
      </w:r>
      <w:r w:rsidRPr="001D5732">
        <w:rPr>
          <w:rFonts w:ascii="Book Antiqua" w:hAnsi="Book Antiqua"/>
        </w:rPr>
        <w:t>, Arya S, Karthikesalingam A, Hanna GB. Technical factors that affect anastomotic integrity following esophagectomy: systematic review and meta-analysis. </w:t>
      </w:r>
      <w:r w:rsidRPr="001D5732">
        <w:rPr>
          <w:rFonts w:ascii="Book Antiqua" w:hAnsi="Book Antiqua"/>
          <w:i/>
          <w:iCs/>
        </w:rPr>
        <w:t>Ann Surg Oncol</w:t>
      </w:r>
      <w:r w:rsidRPr="001D5732">
        <w:rPr>
          <w:rFonts w:ascii="Book Antiqua" w:hAnsi="Book Antiqua"/>
        </w:rPr>
        <w:t> 2013; </w:t>
      </w:r>
      <w:r w:rsidRPr="001D5732">
        <w:rPr>
          <w:rFonts w:ascii="Book Antiqua" w:hAnsi="Book Antiqua"/>
          <w:b/>
          <w:bCs/>
        </w:rPr>
        <w:t>20</w:t>
      </w:r>
      <w:r w:rsidRPr="001D5732">
        <w:rPr>
          <w:rFonts w:ascii="Book Antiqua" w:hAnsi="Book Antiqua"/>
        </w:rPr>
        <w:t>: 4274-4281 [PMID: 23943033 DOI: 10.1245/s10434-013-3189-x]</w:t>
      </w:r>
    </w:p>
    <w:p w14:paraId="6BD62845" w14:textId="77777777" w:rsidR="00795B08" w:rsidRPr="001D5732" w:rsidRDefault="00795B08" w:rsidP="00795B08">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1D5732">
        <w:rPr>
          <w:rFonts w:ascii="Book Antiqua" w:hAnsi="Book Antiqua"/>
        </w:rPr>
        <w:t>36 </w:t>
      </w:r>
      <w:r w:rsidRPr="001D5732">
        <w:rPr>
          <w:rFonts w:ascii="Book Antiqua" w:hAnsi="Book Antiqua"/>
          <w:b/>
          <w:bCs/>
        </w:rPr>
        <w:t>Junemann-Ramirez M</w:t>
      </w:r>
      <w:r w:rsidRPr="001D5732">
        <w:rPr>
          <w:rFonts w:ascii="Book Antiqua" w:hAnsi="Book Antiqua"/>
        </w:rPr>
        <w:t>, Awan MY, Khan ZM, Rahamim JS. Anastomotic leakage post-esophagogastrectomy for esophageal carcinoma: retrospective analysis of predictive factors, management and influence on longterm survival in a high volume centre. </w:t>
      </w:r>
      <w:r w:rsidRPr="001D5732">
        <w:rPr>
          <w:rFonts w:ascii="Book Antiqua" w:hAnsi="Book Antiqua"/>
          <w:i/>
          <w:iCs/>
        </w:rPr>
        <w:t>Eur J Cardiothorac Surg</w:t>
      </w:r>
      <w:r w:rsidRPr="001D5732">
        <w:rPr>
          <w:rFonts w:ascii="Book Antiqua" w:hAnsi="Book Antiqua"/>
        </w:rPr>
        <w:t> 2005; </w:t>
      </w:r>
      <w:r w:rsidRPr="001D5732">
        <w:rPr>
          <w:rFonts w:ascii="Book Antiqua" w:hAnsi="Book Antiqua"/>
          <w:b/>
          <w:bCs/>
        </w:rPr>
        <w:t>27</w:t>
      </w:r>
      <w:r w:rsidRPr="001D5732">
        <w:rPr>
          <w:rFonts w:ascii="Book Antiqua" w:hAnsi="Book Antiqua"/>
        </w:rPr>
        <w:t>: 3-7 [PMID: 15621463 DOI: 10.1016/j.ejcts.2004.09.018]</w:t>
      </w:r>
    </w:p>
    <w:p w14:paraId="11D3CC64" w14:textId="77777777" w:rsidR="00795B08" w:rsidRPr="001D5732" w:rsidRDefault="00795B08" w:rsidP="00795B08">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1D5732">
        <w:rPr>
          <w:rFonts w:ascii="Book Antiqua" w:hAnsi="Book Antiqua"/>
        </w:rPr>
        <w:t>37 </w:t>
      </w:r>
      <w:r w:rsidRPr="001D5732">
        <w:rPr>
          <w:rFonts w:ascii="Book Antiqua" w:hAnsi="Book Antiqua"/>
          <w:b/>
          <w:bCs/>
        </w:rPr>
        <w:t>Akiyama H</w:t>
      </w:r>
      <w:r w:rsidRPr="001D5732">
        <w:rPr>
          <w:rFonts w:ascii="Book Antiqua" w:hAnsi="Book Antiqua"/>
        </w:rPr>
        <w:t>, Miyazono H, Tsurumaru M, Hashimoto C, Kawamura T. Use of the stomach as an esophageal substitute. </w:t>
      </w:r>
      <w:r w:rsidRPr="001D5732">
        <w:rPr>
          <w:rFonts w:ascii="Book Antiqua" w:hAnsi="Book Antiqua"/>
          <w:i/>
          <w:iCs/>
        </w:rPr>
        <w:t>Ann Surg</w:t>
      </w:r>
      <w:r w:rsidRPr="001D5732">
        <w:rPr>
          <w:rFonts w:ascii="Book Antiqua" w:hAnsi="Book Antiqua"/>
        </w:rPr>
        <w:t> 1978; </w:t>
      </w:r>
      <w:r w:rsidRPr="001D5732">
        <w:rPr>
          <w:rFonts w:ascii="Book Antiqua" w:hAnsi="Book Antiqua"/>
          <w:b/>
          <w:bCs/>
        </w:rPr>
        <w:t>188</w:t>
      </w:r>
      <w:r w:rsidRPr="001D5732">
        <w:rPr>
          <w:rFonts w:ascii="Book Antiqua" w:hAnsi="Book Antiqua"/>
        </w:rPr>
        <w:t>: 606-610 [PMID: 718285 DOI: 10.1097/00000658-197811000-00004]</w:t>
      </w:r>
    </w:p>
    <w:p w14:paraId="0554CC68" w14:textId="77777777" w:rsidR="00795B08" w:rsidRPr="001D5732" w:rsidRDefault="00795B08" w:rsidP="00795B08">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1D5732">
        <w:rPr>
          <w:rFonts w:ascii="Book Antiqua" w:hAnsi="Book Antiqua"/>
        </w:rPr>
        <w:t>38 </w:t>
      </w:r>
      <w:r w:rsidRPr="001D5732">
        <w:rPr>
          <w:rFonts w:ascii="Book Antiqua" w:hAnsi="Book Antiqua"/>
          <w:b/>
          <w:bCs/>
        </w:rPr>
        <w:t>Di Furia M</w:t>
      </w:r>
      <w:r w:rsidRPr="001D5732">
        <w:rPr>
          <w:rFonts w:ascii="Book Antiqua" w:hAnsi="Book Antiqua"/>
        </w:rPr>
        <w:t>, Romano L, Salvatorelli A, Brandolin D, Lomanto D, Cianca G, Schietroma M, Carlei F, Giuliani A. Indocyanine Green Fluorescent Angiography During Laparoscopic Sleeve Gastrectomy: Preliminary Results. </w:t>
      </w:r>
      <w:r w:rsidRPr="001D5732">
        <w:rPr>
          <w:rFonts w:ascii="Book Antiqua" w:hAnsi="Book Antiqua"/>
          <w:i/>
          <w:iCs/>
        </w:rPr>
        <w:t>Obes Surg</w:t>
      </w:r>
      <w:r w:rsidRPr="001D5732">
        <w:rPr>
          <w:rFonts w:ascii="Book Antiqua" w:hAnsi="Book Antiqua"/>
        </w:rPr>
        <w:t> 2019; </w:t>
      </w:r>
      <w:r w:rsidRPr="001D5732">
        <w:rPr>
          <w:rFonts w:ascii="Book Antiqua" w:hAnsi="Book Antiqua"/>
          <w:b/>
          <w:bCs/>
        </w:rPr>
        <w:t>29</w:t>
      </w:r>
      <w:r w:rsidRPr="001D5732">
        <w:rPr>
          <w:rFonts w:ascii="Book Antiqua" w:hAnsi="Book Antiqua"/>
        </w:rPr>
        <w:t>: 3786-3790 [PMID: 31290111 DOI: 10.1007/s11695-019-04085-y]</w:t>
      </w:r>
    </w:p>
    <w:p w14:paraId="21326E7A" w14:textId="77777777" w:rsidR="00795B08" w:rsidRPr="001D5732" w:rsidRDefault="00795B08" w:rsidP="00795B08">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1D5732">
        <w:rPr>
          <w:rFonts w:ascii="Book Antiqua" w:hAnsi="Book Antiqua"/>
        </w:rPr>
        <w:t>39 </w:t>
      </w:r>
      <w:r w:rsidRPr="001D5732">
        <w:rPr>
          <w:rFonts w:ascii="Book Antiqua" w:hAnsi="Book Antiqua"/>
          <w:b/>
          <w:bCs/>
        </w:rPr>
        <w:t>Noma K</w:t>
      </w:r>
      <w:r w:rsidRPr="001D5732">
        <w:rPr>
          <w:rFonts w:ascii="Book Antiqua" w:hAnsi="Book Antiqua"/>
        </w:rPr>
        <w:t xml:space="preserve">, Shirakawa Y, Kanaya N, Okada T, Maeda N, Ninomiya T, Tanabe S, Sakurama K, Fujiwara T. Visualized Evaluation of Blood Flow to the Gastric Conduit and </w:t>
      </w:r>
      <w:r w:rsidRPr="001D5732">
        <w:rPr>
          <w:rFonts w:ascii="Book Antiqua" w:hAnsi="Book Antiqua"/>
        </w:rPr>
        <w:lastRenderedPageBreak/>
        <w:t>Complications in Esophageal Reconstruction. </w:t>
      </w:r>
      <w:r w:rsidRPr="001D5732">
        <w:rPr>
          <w:rFonts w:ascii="Book Antiqua" w:hAnsi="Book Antiqua"/>
          <w:i/>
          <w:iCs/>
        </w:rPr>
        <w:t>J Am Coll Surg</w:t>
      </w:r>
      <w:r w:rsidRPr="001D5732">
        <w:rPr>
          <w:rFonts w:ascii="Book Antiqua" w:hAnsi="Book Antiqua"/>
        </w:rPr>
        <w:t> 2018; </w:t>
      </w:r>
      <w:r w:rsidRPr="001D5732">
        <w:rPr>
          <w:rFonts w:ascii="Book Antiqua" w:hAnsi="Book Antiqua"/>
          <w:b/>
          <w:bCs/>
        </w:rPr>
        <w:t>226</w:t>
      </w:r>
      <w:r w:rsidRPr="001D5732">
        <w:rPr>
          <w:rFonts w:ascii="Book Antiqua" w:hAnsi="Book Antiqua"/>
        </w:rPr>
        <w:t>: 241-251 [PMID: 29174858 DOI: 10.1016/j.jamcollsurg.2017.11.007]</w:t>
      </w:r>
    </w:p>
    <w:p w14:paraId="26C4F6BE" w14:textId="77777777" w:rsidR="00795B08" w:rsidRPr="001D5732" w:rsidRDefault="00795B08" w:rsidP="00795B08">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1D5732">
        <w:rPr>
          <w:rFonts w:ascii="Book Antiqua" w:hAnsi="Book Antiqua"/>
        </w:rPr>
        <w:t>40 </w:t>
      </w:r>
      <w:r w:rsidRPr="001D5732">
        <w:rPr>
          <w:rFonts w:ascii="Book Antiqua" w:hAnsi="Book Antiqua"/>
          <w:b/>
          <w:bCs/>
        </w:rPr>
        <w:t>Kitagawa H</w:t>
      </w:r>
      <w:r w:rsidRPr="001D5732">
        <w:rPr>
          <w:rFonts w:ascii="Book Antiqua" w:hAnsi="Book Antiqua"/>
        </w:rPr>
        <w:t>, Namikawa T, Iwabu J, Fujisawa K, Uemura S, Tsuda S, Hanazaki K. Assessment of the blood supply using the indocyanine green fluorescence method and postoperative endoscopic evaluation of anastomosis of the gastric tube during esophagectomy. </w:t>
      </w:r>
      <w:r w:rsidRPr="001D5732">
        <w:rPr>
          <w:rFonts w:ascii="Book Antiqua" w:hAnsi="Book Antiqua"/>
          <w:i/>
          <w:iCs/>
        </w:rPr>
        <w:t>Surg Endosc</w:t>
      </w:r>
      <w:r w:rsidRPr="001D5732">
        <w:rPr>
          <w:rFonts w:ascii="Book Antiqua" w:hAnsi="Book Antiqua"/>
        </w:rPr>
        <w:t> 2018; </w:t>
      </w:r>
      <w:r w:rsidRPr="001D5732">
        <w:rPr>
          <w:rFonts w:ascii="Book Antiqua" w:hAnsi="Book Antiqua"/>
          <w:b/>
          <w:bCs/>
        </w:rPr>
        <w:t>32</w:t>
      </w:r>
      <w:r w:rsidRPr="001D5732">
        <w:rPr>
          <w:rFonts w:ascii="Book Antiqua" w:hAnsi="Book Antiqua"/>
        </w:rPr>
        <w:t>: 1749-1754 [PMID: 28916846 DOI: 10.1007/s00464-017-5857-6]</w:t>
      </w:r>
    </w:p>
    <w:p w14:paraId="6D3AA83E" w14:textId="77777777" w:rsidR="00795B08" w:rsidRPr="001D5732" w:rsidRDefault="00795B08" w:rsidP="00795B08">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1D5732">
        <w:rPr>
          <w:rFonts w:ascii="Book Antiqua" w:hAnsi="Book Antiqua"/>
        </w:rPr>
        <w:t>41 </w:t>
      </w:r>
      <w:r w:rsidRPr="001D5732">
        <w:rPr>
          <w:rFonts w:ascii="Book Antiqua" w:hAnsi="Book Antiqua"/>
          <w:b/>
          <w:bCs/>
        </w:rPr>
        <w:t>Kitagawa H</w:t>
      </w:r>
      <w:r w:rsidRPr="001D5732">
        <w:rPr>
          <w:rFonts w:ascii="Book Antiqua" w:hAnsi="Book Antiqua"/>
        </w:rPr>
        <w:t>, Namikawa T, Iwabu J, Yokota K, Uemura S, Munekage M, Hanazaki K. Correlation between indocyanine green visualization time in the gastric tube and postoperative endoscopic assessment of the anastomosis after esophageal surgery. </w:t>
      </w:r>
      <w:r w:rsidRPr="001D5732">
        <w:rPr>
          <w:rFonts w:ascii="Book Antiqua" w:hAnsi="Book Antiqua"/>
          <w:i/>
          <w:iCs/>
        </w:rPr>
        <w:t>Surg Today</w:t>
      </w:r>
      <w:r w:rsidRPr="001D5732">
        <w:rPr>
          <w:rFonts w:ascii="Book Antiqua" w:hAnsi="Book Antiqua"/>
        </w:rPr>
        <w:t> 2020; </w:t>
      </w:r>
      <w:r w:rsidRPr="001D5732">
        <w:rPr>
          <w:rFonts w:ascii="Book Antiqua" w:hAnsi="Book Antiqua"/>
          <w:b/>
          <w:bCs/>
        </w:rPr>
        <w:t>50</w:t>
      </w:r>
      <w:r w:rsidRPr="001D5732">
        <w:rPr>
          <w:rFonts w:ascii="Book Antiqua" w:hAnsi="Book Antiqua"/>
        </w:rPr>
        <w:t>: 1375-1382 [PMID: 32445048 DOI: 10.1007/s00595-020-02025-3]</w:t>
      </w:r>
    </w:p>
    <w:p w14:paraId="7E554ED3" w14:textId="77777777" w:rsidR="00795B08" w:rsidRPr="001D5732" w:rsidRDefault="00795B08" w:rsidP="00795B08">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1D5732">
        <w:rPr>
          <w:rFonts w:ascii="Book Antiqua" w:hAnsi="Book Antiqua"/>
        </w:rPr>
        <w:t>42 </w:t>
      </w:r>
      <w:r w:rsidRPr="001D5732">
        <w:rPr>
          <w:rFonts w:ascii="Book Antiqua" w:hAnsi="Book Antiqua"/>
          <w:b/>
          <w:bCs/>
        </w:rPr>
        <w:t>Koyanagi K</w:t>
      </w:r>
      <w:r w:rsidRPr="001D5732">
        <w:rPr>
          <w:rFonts w:ascii="Book Antiqua" w:hAnsi="Book Antiqua"/>
        </w:rPr>
        <w:t>, Ozawa S, Oguma J, Kazuno A, Yamazaki Y, Ninomiya Y, Ochiai H, Tachimori Y. Blood flow speed of the gastric conduit assessed by indocyanine green fluorescence: New predictive evaluation of anastomotic leakage after esophagectomy. </w:t>
      </w:r>
      <w:r w:rsidRPr="001D5732">
        <w:rPr>
          <w:rFonts w:ascii="Book Antiqua" w:hAnsi="Book Antiqua"/>
          <w:i/>
          <w:iCs/>
        </w:rPr>
        <w:t>Medicine (Baltimore)</w:t>
      </w:r>
      <w:r w:rsidRPr="001D5732">
        <w:rPr>
          <w:rFonts w:ascii="Book Antiqua" w:hAnsi="Book Antiqua"/>
        </w:rPr>
        <w:t> 2016; </w:t>
      </w:r>
      <w:r w:rsidRPr="001D5732">
        <w:rPr>
          <w:rFonts w:ascii="Book Antiqua" w:hAnsi="Book Antiqua"/>
          <w:b/>
          <w:bCs/>
        </w:rPr>
        <w:t>95</w:t>
      </w:r>
      <w:r w:rsidRPr="001D5732">
        <w:rPr>
          <w:rFonts w:ascii="Book Antiqua" w:hAnsi="Book Antiqua"/>
        </w:rPr>
        <w:t>: e4386 [PMID: 27472732 DOI: 10.1097/MD.0000000000004386]</w:t>
      </w:r>
    </w:p>
    <w:p w14:paraId="29BE020B" w14:textId="77777777" w:rsidR="00795B08" w:rsidRPr="001D5732" w:rsidRDefault="00795B08" w:rsidP="00795B08">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1D5732">
        <w:rPr>
          <w:rFonts w:ascii="Book Antiqua" w:hAnsi="Book Antiqua"/>
        </w:rPr>
        <w:t>43 </w:t>
      </w:r>
      <w:r w:rsidRPr="001D5732">
        <w:rPr>
          <w:rFonts w:ascii="Book Antiqua" w:hAnsi="Book Antiqua"/>
          <w:b/>
          <w:bCs/>
        </w:rPr>
        <w:t>Zehetner J</w:t>
      </w:r>
      <w:r w:rsidRPr="001D5732">
        <w:rPr>
          <w:rFonts w:ascii="Book Antiqua" w:hAnsi="Book Antiqua"/>
        </w:rPr>
        <w:t>, DeMeester SR, Alicuben ET, Oh DS, Lipham JC, Hagen JA, DeMeester TR. Intraoperative Assessment of Perfusion of the Gastric Graft and Correlation With Anastomotic Leaks After Esophagectomy. </w:t>
      </w:r>
      <w:r w:rsidRPr="001D5732">
        <w:rPr>
          <w:rFonts w:ascii="Book Antiqua" w:hAnsi="Book Antiqua"/>
          <w:i/>
          <w:iCs/>
        </w:rPr>
        <w:t>Ann Surg</w:t>
      </w:r>
      <w:r w:rsidRPr="001D5732">
        <w:rPr>
          <w:rFonts w:ascii="Book Antiqua" w:hAnsi="Book Antiqua"/>
        </w:rPr>
        <w:t> 2015; </w:t>
      </w:r>
      <w:r w:rsidRPr="001D5732">
        <w:rPr>
          <w:rFonts w:ascii="Book Antiqua" w:hAnsi="Book Antiqua"/>
          <w:b/>
          <w:bCs/>
        </w:rPr>
        <w:t>262</w:t>
      </w:r>
      <w:r w:rsidRPr="001D5732">
        <w:rPr>
          <w:rFonts w:ascii="Book Antiqua" w:hAnsi="Book Antiqua"/>
        </w:rPr>
        <w:t>: 74-78 [PMID: 25029436 DOI: 10.1097/SLA.0000000000000811]</w:t>
      </w:r>
    </w:p>
    <w:p w14:paraId="7961308A" w14:textId="77777777" w:rsidR="00795B08" w:rsidRPr="001D5732" w:rsidRDefault="00795B08" w:rsidP="00795B08">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1D5732">
        <w:rPr>
          <w:rFonts w:ascii="Book Antiqua" w:hAnsi="Book Antiqua"/>
        </w:rPr>
        <w:t>44 </w:t>
      </w:r>
      <w:r w:rsidRPr="001D5732">
        <w:rPr>
          <w:rFonts w:ascii="Book Antiqua" w:hAnsi="Book Antiqua"/>
          <w:b/>
          <w:bCs/>
        </w:rPr>
        <w:t>Koyanagi K</w:t>
      </w:r>
      <w:r w:rsidRPr="001D5732">
        <w:rPr>
          <w:rFonts w:ascii="Book Antiqua" w:hAnsi="Book Antiqua"/>
        </w:rPr>
        <w:t>, Ozawa S, Ninomiya Y, Oguma J, Kazuno A, Yatabe K, Higuchi T, Yamamoto M. Association between indocyanine green fluorescence blood flow speed in the gastric conduit wall and superior mesenteric artery calcification: predictive significance for anastomotic leakage after esophagectomy. </w:t>
      </w:r>
      <w:r w:rsidRPr="001D5732">
        <w:rPr>
          <w:rFonts w:ascii="Book Antiqua" w:hAnsi="Book Antiqua"/>
          <w:i/>
          <w:iCs/>
        </w:rPr>
        <w:t>Esophagus</w:t>
      </w:r>
      <w:r w:rsidRPr="001D5732">
        <w:rPr>
          <w:rFonts w:ascii="Book Antiqua" w:hAnsi="Book Antiqua"/>
        </w:rPr>
        <w:t> 2021; </w:t>
      </w:r>
      <w:r w:rsidRPr="001D5732">
        <w:rPr>
          <w:rFonts w:ascii="Book Antiqua" w:hAnsi="Book Antiqua"/>
          <w:b/>
          <w:bCs/>
        </w:rPr>
        <w:t>18</w:t>
      </w:r>
      <w:r w:rsidRPr="001D5732">
        <w:rPr>
          <w:rFonts w:ascii="Book Antiqua" w:hAnsi="Book Antiqua"/>
        </w:rPr>
        <w:t>: 248-257 [PMID: 33165752 DOI: 10.1007/s10388-020-00797-8]</w:t>
      </w:r>
    </w:p>
    <w:p w14:paraId="20902874" w14:textId="77777777" w:rsidR="00795B08" w:rsidRPr="001D5732" w:rsidRDefault="00795B08" w:rsidP="00795B08">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1D5732">
        <w:rPr>
          <w:rFonts w:ascii="Book Antiqua" w:hAnsi="Book Antiqua"/>
        </w:rPr>
        <w:t>45 </w:t>
      </w:r>
      <w:r w:rsidRPr="001D5732">
        <w:rPr>
          <w:rFonts w:ascii="Book Antiqua" w:hAnsi="Book Antiqua"/>
          <w:b/>
          <w:bCs/>
        </w:rPr>
        <w:t>Ladak F</w:t>
      </w:r>
      <w:r w:rsidRPr="001D5732">
        <w:rPr>
          <w:rFonts w:ascii="Book Antiqua" w:hAnsi="Book Antiqua"/>
        </w:rPr>
        <w:t>, Dang JT, Switzer N, Mocanu V, Tian C, Birch D, Turner SR, Karmali S. Indocyanine green for the prevention of anastomotic leaks following esophagectomy: a meta-analysis. </w:t>
      </w:r>
      <w:r w:rsidRPr="001D5732">
        <w:rPr>
          <w:rFonts w:ascii="Book Antiqua" w:hAnsi="Book Antiqua"/>
          <w:i/>
          <w:iCs/>
        </w:rPr>
        <w:t>Surg Endosc</w:t>
      </w:r>
      <w:r w:rsidRPr="001D5732">
        <w:rPr>
          <w:rFonts w:ascii="Book Antiqua" w:hAnsi="Book Antiqua"/>
        </w:rPr>
        <w:t> 2019; </w:t>
      </w:r>
      <w:r w:rsidRPr="001D5732">
        <w:rPr>
          <w:rFonts w:ascii="Book Antiqua" w:hAnsi="Book Antiqua"/>
          <w:b/>
          <w:bCs/>
        </w:rPr>
        <w:t>33</w:t>
      </w:r>
      <w:r w:rsidRPr="001D5732">
        <w:rPr>
          <w:rFonts w:ascii="Book Antiqua" w:hAnsi="Book Antiqua"/>
        </w:rPr>
        <w:t>: 384-394 [PMID: 30386983 DOI: 10.1007/s00464-018-6503-7]</w:t>
      </w:r>
    </w:p>
    <w:p w14:paraId="556CA99B" w14:textId="77777777" w:rsidR="00795B08" w:rsidRPr="001D5732" w:rsidRDefault="00795B08" w:rsidP="00795B08">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1D5732">
        <w:rPr>
          <w:rFonts w:ascii="Book Antiqua" w:hAnsi="Book Antiqua"/>
        </w:rPr>
        <w:lastRenderedPageBreak/>
        <w:t>46 </w:t>
      </w:r>
      <w:r w:rsidRPr="001D5732">
        <w:rPr>
          <w:rFonts w:ascii="Book Antiqua" w:hAnsi="Book Antiqua"/>
          <w:b/>
          <w:bCs/>
        </w:rPr>
        <w:t>Kumagai Y</w:t>
      </w:r>
      <w:r w:rsidRPr="001D5732">
        <w:rPr>
          <w:rFonts w:ascii="Book Antiqua" w:hAnsi="Book Antiqua"/>
        </w:rPr>
        <w:t>, Ishiguro T, Haga N, Kuwabara K, Kawano T, Ishida H. Hemodynamics of the reconstructed gastric tube during esophagectomy: assessment of outcomes with indocyanine green fluorescence. </w:t>
      </w:r>
      <w:r w:rsidRPr="001D5732">
        <w:rPr>
          <w:rFonts w:ascii="Book Antiqua" w:hAnsi="Book Antiqua"/>
          <w:i/>
          <w:iCs/>
        </w:rPr>
        <w:t>World J Surg</w:t>
      </w:r>
      <w:r w:rsidRPr="001D5732">
        <w:rPr>
          <w:rFonts w:ascii="Book Antiqua" w:hAnsi="Book Antiqua"/>
        </w:rPr>
        <w:t> 2014; </w:t>
      </w:r>
      <w:r w:rsidRPr="001D5732">
        <w:rPr>
          <w:rFonts w:ascii="Book Antiqua" w:hAnsi="Book Antiqua"/>
          <w:b/>
          <w:bCs/>
        </w:rPr>
        <w:t>38</w:t>
      </w:r>
      <w:r w:rsidRPr="001D5732">
        <w:rPr>
          <w:rFonts w:ascii="Book Antiqua" w:hAnsi="Book Antiqua"/>
        </w:rPr>
        <w:t>: 138-143 [PMID: 24196170 DOI: 10.1007/s00268-013-2237-9]</w:t>
      </w:r>
    </w:p>
    <w:p w14:paraId="44B37361" w14:textId="77777777" w:rsidR="00795B08" w:rsidRPr="00C0009F" w:rsidRDefault="00795B08" w:rsidP="00795B08">
      <w:pPr>
        <w:pStyle w:val="NormalWeb"/>
        <w:shd w:val="clear" w:color="auto" w:fill="FFFFFF"/>
        <w:adjustRightInd w:val="0"/>
        <w:snapToGrid w:val="0"/>
        <w:spacing w:before="0" w:beforeAutospacing="0" w:after="0" w:afterAutospacing="0" w:line="360" w:lineRule="auto"/>
        <w:jc w:val="both"/>
        <w:rPr>
          <w:rFonts w:ascii="Book Antiqua" w:hAnsi="Book Antiqua"/>
          <w:lang w:val="es-ES"/>
        </w:rPr>
      </w:pPr>
      <w:r w:rsidRPr="001D5732">
        <w:rPr>
          <w:rFonts w:ascii="Book Antiqua" w:hAnsi="Book Antiqua"/>
        </w:rPr>
        <w:t>47 </w:t>
      </w:r>
      <w:r w:rsidRPr="001D5732">
        <w:rPr>
          <w:rFonts w:ascii="Book Antiqua" w:hAnsi="Book Antiqua"/>
          <w:b/>
          <w:bCs/>
        </w:rPr>
        <w:t>Kumagai Y</w:t>
      </w:r>
      <w:r w:rsidRPr="001D5732">
        <w:rPr>
          <w:rFonts w:ascii="Book Antiqua" w:hAnsi="Book Antiqua"/>
        </w:rPr>
        <w:t>, Hatano S, Sobajima J, Ishiguro T, Fukuchi M, Ishibashi KI, Mochiki E, Nakajima Y, Ishida H. Indocyanine green fluorescence angiography of the reconstructed gastric tube during esophagectomy: efficacy of the 90-second rule. </w:t>
      </w:r>
      <w:r w:rsidRPr="00C0009F">
        <w:rPr>
          <w:rFonts w:ascii="Book Antiqua" w:hAnsi="Book Antiqua"/>
          <w:i/>
          <w:iCs/>
          <w:lang w:val="es-ES"/>
        </w:rPr>
        <w:t>Dis Esophagus</w:t>
      </w:r>
      <w:r w:rsidRPr="00C0009F">
        <w:rPr>
          <w:rFonts w:ascii="Book Antiqua" w:hAnsi="Book Antiqua"/>
          <w:lang w:val="es-ES"/>
        </w:rPr>
        <w:t> 2018; </w:t>
      </w:r>
      <w:r w:rsidRPr="00C0009F">
        <w:rPr>
          <w:rFonts w:ascii="Book Antiqua" w:hAnsi="Book Antiqua"/>
          <w:b/>
          <w:bCs/>
          <w:lang w:val="es-ES"/>
        </w:rPr>
        <w:t>31</w:t>
      </w:r>
      <w:r w:rsidRPr="00C0009F">
        <w:rPr>
          <w:rFonts w:ascii="Book Antiqua" w:hAnsi="Book Antiqua"/>
          <w:lang w:val="es-ES"/>
        </w:rPr>
        <w:t> [PMID: 29897432 DOI: 10.1093/dote/doy052]</w:t>
      </w:r>
    </w:p>
    <w:p w14:paraId="335E2270" w14:textId="77777777" w:rsidR="00795B08" w:rsidRPr="001D5732" w:rsidRDefault="00795B08" w:rsidP="00795B08">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C0009F">
        <w:rPr>
          <w:rFonts w:ascii="Book Antiqua" w:hAnsi="Book Antiqua"/>
          <w:lang w:val="es-ES"/>
        </w:rPr>
        <w:t>48 </w:t>
      </w:r>
      <w:r w:rsidRPr="00C0009F">
        <w:rPr>
          <w:rFonts w:ascii="Book Antiqua" w:hAnsi="Book Antiqua"/>
          <w:b/>
          <w:bCs/>
          <w:lang w:val="es-ES"/>
        </w:rPr>
        <w:t>Slooter MD</w:t>
      </w:r>
      <w:r w:rsidRPr="00C0009F">
        <w:rPr>
          <w:rFonts w:ascii="Book Antiqua" w:hAnsi="Book Antiqua"/>
          <w:lang w:val="es-ES"/>
        </w:rPr>
        <w:t xml:space="preserve">, de Bruin DM, Eshuis WJ, Veelo DP, van Dieren S, Gisbertz SS, van Berge Henegouwen MI. </w:t>
      </w:r>
      <w:r w:rsidRPr="001D5732">
        <w:rPr>
          <w:rFonts w:ascii="Book Antiqua" w:hAnsi="Book Antiqua"/>
        </w:rPr>
        <w:t>Quantitativ</w:t>
      </w:r>
      <w:r w:rsidRPr="00533FEF">
        <w:rPr>
          <w:rFonts w:ascii="Book Antiqua" w:hAnsi="Book Antiqua"/>
        </w:rPr>
        <w:t>e fluorescence-guided perfusion assessment of the gastric conduit to predict anastomotic complications after esophagectomy. </w:t>
      </w:r>
      <w:r w:rsidRPr="001D5732">
        <w:rPr>
          <w:rFonts w:ascii="Book Antiqua" w:hAnsi="Book Antiqua"/>
          <w:i/>
          <w:iCs/>
        </w:rPr>
        <w:t>Dis Esophagus</w:t>
      </w:r>
      <w:r w:rsidRPr="001D5732">
        <w:rPr>
          <w:rFonts w:ascii="Book Antiqua" w:hAnsi="Book Antiqua"/>
        </w:rPr>
        <w:t> 2021; </w:t>
      </w:r>
      <w:r w:rsidRPr="001D5732">
        <w:rPr>
          <w:rFonts w:ascii="Book Antiqua" w:hAnsi="Book Antiqua"/>
          <w:b/>
          <w:bCs/>
        </w:rPr>
        <w:t>34</w:t>
      </w:r>
      <w:r w:rsidRPr="001D5732">
        <w:rPr>
          <w:rFonts w:ascii="Book Antiqua" w:hAnsi="Book Antiqua"/>
        </w:rPr>
        <w:t> [PMID: 33016305 DOI: 10.1093/dote/doaa100]</w:t>
      </w:r>
    </w:p>
    <w:p w14:paraId="3D5BE021" w14:textId="77777777" w:rsidR="00795B08" w:rsidRPr="001D5732" w:rsidRDefault="00795B08" w:rsidP="00795B08">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1D5732">
        <w:rPr>
          <w:rFonts w:ascii="Book Antiqua" w:hAnsi="Book Antiqua"/>
        </w:rPr>
        <w:t>49 </w:t>
      </w:r>
      <w:r w:rsidRPr="001D5732">
        <w:rPr>
          <w:rFonts w:ascii="Book Antiqua" w:hAnsi="Book Antiqua"/>
          <w:b/>
          <w:bCs/>
        </w:rPr>
        <w:t>Morton DL</w:t>
      </w:r>
      <w:r w:rsidRPr="001D5732">
        <w:rPr>
          <w:rFonts w:ascii="Book Antiqua" w:hAnsi="Book Antiqua"/>
        </w:rPr>
        <w:t>, Wen DR, Wong JH, Economou JS, Cagle LA, Storm FK, Foshag LJ, Cochran AJ. Technical details of intraoperative lymphatic mapping for early stage melanoma. </w:t>
      </w:r>
      <w:r w:rsidRPr="001D5732">
        <w:rPr>
          <w:rFonts w:ascii="Book Antiqua" w:hAnsi="Book Antiqua"/>
          <w:i/>
          <w:iCs/>
        </w:rPr>
        <w:t>Arch Surg</w:t>
      </w:r>
      <w:r w:rsidRPr="001D5732">
        <w:rPr>
          <w:rFonts w:ascii="Book Antiqua" w:hAnsi="Book Antiqua"/>
        </w:rPr>
        <w:t> 1992; </w:t>
      </w:r>
      <w:r w:rsidRPr="001D5732">
        <w:rPr>
          <w:rFonts w:ascii="Book Antiqua" w:hAnsi="Book Antiqua"/>
          <w:b/>
          <w:bCs/>
        </w:rPr>
        <w:t>127</w:t>
      </w:r>
      <w:r w:rsidRPr="001D5732">
        <w:rPr>
          <w:rFonts w:ascii="Book Antiqua" w:hAnsi="Book Antiqua"/>
        </w:rPr>
        <w:t>: 392-399 [PMID: 1558490 DOI: 10.1001/archsurg.1992.01420040034005]</w:t>
      </w:r>
    </w:p>
    <w:p w14:paraId="08B229BC" w14:textId="77777777" w:rsidR="00795B08" w:rsidRPr="001D5732" w:rsidRDefault="00795B08" w:rsidP="00795B08">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1D5732">
        <w:rPr>
          <w:rFonts w:ascii="Book Antiqua" w:hAnsi="Book Antiqua"/>
        </w:rPr>
        <w:t>50 </w:t>
      </w:r>
      <w:r w:rsidRPr="001D5732">
        <w:rPr>
          <w:rFonts w:ascii="Book Antiqua" w:hAnsi="Book Antiqua"/>
          <w:b/>
          <w:bCs/>
        </w:rPr>
        <w:t>Giuliano AE</w:t>
      </w:r>
      <w:r w:rsidRPr="001D5732">
        <w:rPr>
          <w:rFonts w:ascii="Book Antiqua" w:hAnsi="Book Antiqua"/>
        </w:rPr>
        <w:t>, Kirgan DM, Guenther JM, Morton DL. Lymphatic mapping and sentinel lymphadenectomy for breast cancer. </w:t>
      </w:r>
      <w:r w:rsidRPr="001D5732">
        <w:rPr>
          <w:rFonts w:ascii="Book Antiqua" w:hAnsi="Book Antiqua"/>
          <w:i/>
          <w:iCs/>
        </w:rPr>
        <w:t>Ann Surg</w:t>
      </w:r>
      <w:r w:rsidRPr="001D5732">
        <w:rPr>
          <w:rFonts w:ascii="Book Antiqua" w:hAnsi="Book Antiqua"/>
        </w:rPr>
        <w:t> 1994; </w:t>
      </w:r>
      <w:r w:rsidRPr="001D5732">
        <w:rPr>
          <w:rFonts w:ascii="Book Antiqua" w:hAnsi="Book Antiqua"/>
          <w:b/>
          <w:bCs/>
        </w:rPr>
        <w:t>220</w:t>
      </w:r>
      <w:r w:rsidRPr="001D5732">
        <w:rPr>
          <w:rFonts w:ascii="Book Antiqua" w:hAnsi="Book Antiqua"/>
        </w:rPr>
        <w:t>: 391-8; discussion 398-401 [PMID: 8092905 DOI: 10.1097/00000658-199409000-00015]</w:t>
      </w:r>
    </w:p>
    <w:p w14:paraId="35F7B94F" w14:textId="77777777" w:rsidR="00795B08" w:rsidRPr="001D5732" w:rsidRDefault="00795B08" w:rsidP="00795B08">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1D5732">
        <w:rPr>
          <w:rFonts w:ascii="Book Antiqua" w:hAnsi="Book Antiqua"/>
        </w:rPr>
        <w:t>51 </w:t>
      </w:r>
      <w:r w:rsidRPr="001D5732">
        <w:rPr>
          <w:rFonts w:ascii="Book Antiqua" w:hAnsi="Book Antiqua"/>
          <w:b/>
          <w:bCs/>
        </w:rPr>
        <w:t>Kitai T</w:t>
      </w:r>
      <w:r w:rsidRPr="001D5732">
        <w:rPr>
          <w:rFonts w:ascii="Book Antiqua" w:hAnsi="Book Antiqua"/>
        </w:rPr>
        <w:t>, Inomoto T, Miwa M, Shikayama T. Fluorescence navigation with indocyanine green for detecting sentinel lymph nodes in breast cancer. </w:t>
      </w:r>
      <w:r w:rsidRPr="001D5732">
        <w:rPr>
          <w:rFonts w:ascii="Book Antiqua" w:hAnsi="Book Antiqua"/>
          <w:i/>
          <w:iCs/>
        </w:rPr>
        <w:t>Breast Cancer</w:t>
      </w:r>
      <w:r w:rsidRPr="001D5732">
        <w:rPr>
          <w:rFonts w:ascii="Book Antiqua" w:hAnsi="Book Antiqua"/>
        </w:rPr>
        <w:t> 2005; </w:t>
      </w:r>
      <w:r w:rsidRPr="001D5732">
        <w:rPr>
          <w:rFonts w:ascii="Book Antiqua" w:hAnsi="Book Antiqua"/>
          <w:b/>
          <w:bCs/>
        </w:rPr>
        <w:t>12</w:t>
      </w:r>
      <w:r w:rsidRPr="001D5732">
        <w:rPr>
          <w:rFonts w:ascii="Book Antiqua" w:hAnsi="Book Antiqua"/>
        </w:rPr>
        <w:t>: 211-215 [PMID: 16110291 DOI: 10.2325/jbcs.12.211]</w:t>
      </w:r>
    </w:p>
    <w:p w14:paraId="7B8CE563" w14:textId="77777777" w:rsidR="00795B08" w:rsidRPr="001D5732" w:rsidRDefault="00795B08" w:rsidP="00795B08">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1D5732">
        <w:rPr>
          <w:rFonts w:ascii="Book Antiqua" w:hAnsi="Book Antiqua"/>
        </w:rPr>
        <w:t>52 </w:t>
      </w:r>
      <w:r w:rsidRPr="001D5732">
        <w:rPr>
          <w:rFonts w:ascii="Book Antiqua" w:hAnsi="Book Antiqua"/>
          <w:b/>
          <w:bCs/>
        </w:rPr>
        <w:t>Yu P</w:t>
      </w:r>
      <w:r w:rsidRPr="001D5732">
        <w:rPr>
          <w:rFonts w:ascii="Book Antiqua" w:hAnsi="Book Antiqua"/>
        </w:rPr>
        <w:t>, Du Y, Xu Z, Huang L, Cheng X. Comparison of D2 and D2 plus radical surgery for advanced distal gastric cancer: a randomized controlled study. </w:t>
      </w:r>
      <w:r w:rsidRPr="001D5732">
        <w:rPr>
          <w:rFonts w:ascii="Book Antiqua" w:hAnsi="Book Antiqua"/>
          <w:i/>
          <w:iCs/>
        </w:rPr>
        <w:t>World J Surg Oncol</w:t>
      </w:r>
      <w:r w:rsidRPr="001D5732">
        <w:rPr>
          <w:rFonts w:ascii="Book Antiqua" w:hAnsi="Book Antiqua"/>
        </w:rPr>
        <w:t> 2019; </w:t>
      </w:r>
      <w:r w:rsidRPr="001D5732">
        <w:rPr>
          <w:rFonts w:ascii="Book Antiqua" w:hAnsi="Book Antiqua"/>
          <w:b/>
          <w:bCs/>
        </w:rPr>
        <w:t>17</w:t>
      </w:r>
      <w:r w:rsidRPr="001D5732">
        <w:rPr>
          <w:rFonts w:ascii="Book Antiqua" w:hAnsi="Book Antiqua"/>
        </w:rPr>
        <w:t>: 28 [PMID: 30728027 DOI: 10.1186/s12957-019-1572-1]</w:t>
      </w:r>
    </w:p>
    <w:p w14:paraId="6748F110" w14:textId="77777777" w:rsidR="00795B08" w:rsidRPr="00C0009F" w:rsidRDefault="00795B08" w:rsidP="00795B08">
      <w:pPr>
        <w:pStyle w:val="NormalWeb"/>
        <w:shd w:val="clear" w:color="auto" w:fill="FFFFFF"/>
        <w:adjustRightInd w:val="0"/>
        <w:snapToGrid w:val="0"/>
        <w:spacing w:before="0" w:beforeAutospacing="0" w:after="0" w:afterAutospacing="0" w:line="360" w:lineRule="auto"/>
        <w:jc w:val="both"/>
        <w:rPr>
          <w:rFonts w:ascii="Book Antiqua" w:hAnsi="Book Antiqua"/>
          <w:lang w:val="es-ES"/>
        </w:rPr>
      </w:pPr>
      <w:r w:rsidRPr="001D5732">
        <w:rPr>
          <w:rFonts w:ascii="Book Antiqua" w:hAnsi="Book Antiqua"/>
        </w:rPr>
        <w:t>53 </w:t>
      </w:r>
      <w:r w:rsidRPr="001D5732">
        <w:rPr>
          <w:rFonts w:ascii="Book Antiqua" w:hAnsi="Book Antiqua"/>
          <w:b/>
          <w:bCs/>
        </w:rPr>
        <w:t>Athanasiou CD</w:t>
      </w:r>
      <w:r w:rsidRPr="001D5732">
        <w:rPr>
          <w:rFonts w:ascii="Book Antiqua" w:hAnsi="Book Antiqua"/>
        </w:rPr>
        <w:t>, Markides GA, Kotb A, Jia X, Gonsalves S, Miskovic D. Open compared with laparoscopic complete mesocolic excision with central lymphadenectomy for colon cancer: a systematic review and meta-analysis. </w:t>
      </w:r>
      <w:r w:rsidRPr="00C0009F">
        <w:rPr>
          <w:rFonts w:ascii="Book Antiqua" w:hAnsi="Book Antiqua"/>
          <w:i/>
          <w:iCs/>
          <w:lang w:val="es-ES"/>
        </w:rPr>
        <w:t>Colorectal Dis</w:t>
      </w:r>
      <w:r w:rsidRPr="00C0009F">
        <w:rPr>
          <w:rFonts w:ascii="Book Antiqua" w:hAnsi="Book Antiqua"/>
          <w:lang w:val="es-ES"/>
        </w:rPr>
        <w:t> 2016; </w:t>
      </w:r>
      <w:r w:rsidRPr="00C0009F">
        <w:rPr>
          <w:rFonts w:ascii="Book Antiqua" w:hAnsi="Book Antiqua"/>
          <w:b/>
          <w:bCs/>
          <w:lang w:val="es-ES"/>
        </w:rPr>
        <w:t>18</w:t>
      </w:r>
      <w:r w:rsidRPr="00C0009F">
        <w:rPr>
          <w:rFonts w:ascii="Book Antiqua" w:hAnsi="Book Antiqua"/>
          <w:lang w:val="es-ES"/>
        </w:rPr>
        <w:t>: O224-O235 [PMID: 27187520 DOI: 10.1111/codi.13385]</w:t>
      </w:r>
    </w:p>
    <w:p w14:paraId="7454D471" w14:textId="77777777" w:rsidR="00795B08" w:rsidRPr="001D5732" w:rsidRDefault="00795B08" w:rsidP="00795B08">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C0009F">
        <w:rPr>
          <w:rFonts w:ascii="Book Antiqua" w:hAnsi="Book Antiqua"/>
          <w:lang w:val="es-ES"/>
        </w:rPr>
        <w:lastRenderedPageBreak/>
        <w:t>54 </w:t>
      </w:r>
      <w:r w:rsidRPr="00C0009F">
        <w:rPr>
          <w:rFonts w:ascii="Book Antiqua" w:hAnsi="Book Antiqua"/>
          <w:b/>
          <w:bCs/>
          <w:lang w:val="es-ES"/>
        </w:rPr>
        <w:t>Koh FH</w:t>
      </w:r>
      <w:r w:rsidRPr="00C0009F">
        <w:rPr>
          <w:rFonts w:ascii="Book Antiqua" w:hAnsi="Book Antiqua"/>
          <w:lang w:val="es-ES"/>
        </w:rPr>
        <w:t xml:space="preserve">, Tan KK. </w:t>
      </w:r>
      <w:r w:rsidRPr="001D5732">
        <w:rPr>
          <w:rFonts w:ascii="Book Antiqua" w:hAnsi="Book Antiqua"/>
        </w:rPr>
        <w:t xml:space="preserve">Complete mesocolic excision for colon cancer: </w:t>
      </w:r>
      <w:proofErr w:type="gramStart"/>
      <w:r w:rsidRPr="001D5732">
        <w:rPr>
          <w:rFonts w:ascii="Book Antiqua" w:hAnsi="Book Antiqua"/>
        </w:rPr>
        <w:t>is it worth it?</w:t>
      </w:r>
      <w:proofErr w:type="gramEnd"/>
      <w:r w:rsidRPr="001D5732">
        <w:rPr>
          <w:rFonts w:ascii="Book Antiqua" w:hAnsi="Book Antiqua"/>
        </w:rPr>
        <w:t> </w:t>
      </w:r>
      <w:r w:rsidRPr="00533FEF">
        <w:rPr>
          <w:rFonts w:ascii="Book Antiqua" w:hAnsi="Book Antiqua"/>
          <w:i/>
          <w:iCs/>
        </w:rPr>
        <w:t>J Gast</w:t>
      </w:r>
      <w:r w:rsidRPr="001D5732">
        <w:rPr>
          <w:rFonts w:ascii="Book Antiqua" w:hAnsi="Book Antiqua"/>
          <w:i/>
          <w:iCs/>
        </w:rPr>
        <w:t>rointest Oncol</w:t>
      </w:r>
      <w:r w:rsidRPr="001D5732">
        <w:rPr>
          <w:rFonts w:ascii="Book Antiqua" w:hAnsi="Book Antiqua"/>
        </w:rPr>
        <w:t> 2019; </w:t>
      </w:r>
      <w:r w:rsidRPr="001D5732">
        <w:rPr>
          <w:rFonts w:ascii="Book Antiqua" w:hAnsi="Book Antiqua"/>
          <w:b/>
          <w:bCs/>
        </w:rPr>
        <w:t>10</w:t>
      </w:r>
      <w:r w:rsidRPr="001D5732">
        <w:rPr>
          <w:rFonts w:ascii="Book Antiqua" w:hAnsi="Book Antiqua"/>
        </w:rPr>
        <w:t>: 1215-1221 [PMID: 31949942 DOI: 10.21037/jgo.2019.05.01]</w:t>
      </w:r>
    </w:p>
    <w:p w14:paraId="7566E6E3" w14:textId="77777777" w:rsidR="00795B08" w:rsidRPr="001D5732" w:rsidRDefault="00795B08" w:rsidP="00795B08">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1D5732">
        <w:rPr>
          <w:rFonts w:ascii="Book Antiqua" w:hAnsi="Book Antiqua"/>
        </w:rPr>
        <w:t>55 </w:t>
      </w:r>
      <w:r w:rsidRPr="001D5732">
        <w:rPr>
          <w:rFonts w:ascii="Book Antiqua" w:hAnsi="Book Antiqua"/>
          <w:b/>
          <w:bCs/>
        </w:rPr>
        <w:t>Kim H</w:t>
      </w:r>
      <w:r w:rsidRPr="001D5732">
        <w:rPr>
          <w:rFonts w:ascii="Book Antiqua" w:hAnsi="Book Antiqua"/>
        </w:rPr>
        <w:t>, Lee SK, Kim YM, Lee EH, Lim SJ, Kim SH, Yang J, Lim JS, Hyung WJ. Fluorescent iodized emulsion for pre- and intraoperative sentinel lymph node imaging: validation in a preclinical model. </w:t>
      </w:r>
      <w:r w:rsidRPr="001D5732">
        <w:rPr>
          <w:rFonts w:ascii="Book Antiqua" w:hAnsi="Book Antiqua"/>
          <w:i/>
          <w:iCs/>
        </w:rPr>
        <w:t>Radiology</w:t>
      </w:r>
      <w:r w:rsidRPr="001D5732">
        <w:rPr>
          <w:rFonts w:ascii="Book Antiqua" w:hAnsi="Book Antiqua"/>
        </w:rPr>
        <w:t> 2015; </w:t>
      </w:r>
      <w:r w:rsidRPr="001D5732">
        <w:rPr>
          <w:rFonts w:ascii="Book Antiqua" w:hAnsi="Book Antiqua"/>
          <w:b/>
          <w:bCs/>
        </w:rPr>
        <w:t>275</w:t>
      </w:r>
      <w:r w:rsidRPr="001D5732">
        <w:rPr>
          <w:rFonts w:ascii="Book Antiqua" w:hAnsi="Book Antiqua"/>
        </w:rPr>
        <w:t>: 196-204 [PMID: 25474180 DOI: 10.1148/radiol.14141159]</w:t>
      </w:r>
    </w:p>
    <w:p w14:paraId="07B48BC7" w14:textId="77777777" w:rsidR="00795B08" w:rsidRPr="00C0009F" w:rsidRDefault="00795B08" w:rsidP="00795B08">
      <w:pPr>
        <w:pStyle w:val="NormalWeb"/>
        <w:shd w:val="clear" w:color="auto" w:fill="FFFFFF"/>
        <w:adjustRightInd w:val="0"/>
        <w:snapToGrid w:val="0"/>
        <w:spacing w:before="0" w:beforeAutospacing="0" w:after="0" w:afterAutospacing="0" w:line="360" w:lineRule="auto"/>
        <w:jc w:val="both"/>
        <w:rPr>
          <w:rFonts w:ascii="Book Antiqua" w:hAnsi="Book Antiqua"/>
          <w:lang w:val="es-ES"/>
        </w:rPr>
      </w:pPr>
      <w:r w:rsidRPr="001D5732">
        <w:rPr>
          <w:rFonts w:ascii="Book Antiqua" w:hAnsi="Book Antiqua"/>
        </w:rPr>
        <w:t>56 </w:t>
      </w:r>
      <w:r w:rsidRPr="001D5732">
        <w:rPr>
          <w:rFonts w:ascii="Book Antiqua" w:hAnsi="Book Antiqua"/>
          <w:b/>
          <w:bCs/>
        </w:rPr>
        <w:t>Tajima Y</w:t>
      </w:r>
      <w:r w:rsidRPr="001D5732">
        <w:rPr>
          <w:rFonts w:ascii="Book Antiqua" w:hAnsi="Book Antiqua"/>
        </w:rPr>
        <w:t>, Yamazaki K, Masuda Y, Kato M, Yasuda D, Aoki T, Kato T, Murakami M, Miwa M, Kusano M. Sentinel node mapping guided by indocyanine green fluorescence imaging in gastric cancer. </w:t>
      </w:r>
      <w:r w:rsidRPr="00C0009F">
        <w:rPr>
          <w:rFonts w:ascii="Book Antiqua" w:hAnsi="Book Antiqua"/>
          <w:i/>
          <w:iCs/>
          <w:lang w:val="es-ES"/>
        </w:rPr>
        <w:t>Ann Surg</w:t>
      </w:r>
      <w:r w:rsidRPr="00C0009F">
        <w:rPr>
          <w:rFonts w:ascii="Book Antiqua" w:hAnsi="Book Antiqua"/>
          <w:lang w:val="es-ES"/>
        </w:rPr>
        <w:t> 2009; </w:t>
      </w:r>
      <w:r w:rsidRPr="00C0009F">
        <w:rPr>
          <w:rFonts w:ascii="Book Antiqua" w:hAnsi="Book Antiqua"/>
          <w:b/>
          <w:bCs/>
          <w:lang w:val="es-ES"/>
        </w:rPr>
        <w:t>249</w:t>
      </w:r>
      <w:r w:rsidRPr="00C0009F">
        <w:rPr>
          <w:rFonts w:ascii="Book Antiqua" w:hAnsi="Book Antiqua"/>
          <w:lang w:val="es-ES"/>
        </w:rPr>
        <w:t>: 58-62 [PMID: 19106676 DOI: 10.1097/SLA.0b013e3181927267]</w:t>
      </w:r>
    </w:p>
    <w:p w14:paraId="346307C4" w14:textId="77777777" w:rsidR="00795B08" w:rsidRPr="001D5732" w:rsidRDefault="00795B08" w:rsidP="00795B08">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C0009F">
        <w:rPr>
          <w:rFonts w:ascii="Book Antiqua" w:hAnsi="Book Antiqua"/>
          <w:lang w:val="es-ES"/>
        </w:rPr>
        <w:t>57 </w:t>
      </w:r>
      <w:r w:rsidRPr="00C0009F">
        <w:rPr>
          <w:rFonts w:ascii="Book Antiqua" w:hAnsi="Book Antiqua"/>
          <w:b/>
          <w:bCs/>
          <w:lang w:val="es-ES"/>
        </w:rPr>
        <w:t>Villegas-Tovar E</w:t>
      </w:r>
      <w:r w:rsidRPr="00C0009F">
        <w:rPr>
          <w:rFonts w:ascii="Book Antiqua" w:hAnsi="Book Antiqua"/>
          <w:lang w:val="es-ES"/>
        </w:rPr>
        <w:t xml:space="preserve">, Jimenez-Lillo J, Jimenez-Valerio V, Diaz-Giron-Gidi A, Faes-Petersen R, Otero-Piñeiro A, De Lacy FB, Martinez-Portilla RJ, Lacy AM. </w:t>
      </w:r>
      <w:r w:rsidRPr="001D5732">
        <w:rPr>
          <w:rFonts w:ascii="Book Antiqua" w:hAnsi="Book Antiqua"/>
        </w:rPr>
        <w:t>Performance of Indocyanine green for sentinel lymph node mapping and lymph node metastasis in colorectal cancer: a diagnostic test accuracy meta-analysis. </w:t>
      </w:r>
      <w:r w:rsidRPr="001D5732">
        <w:rPr>
          <w:rFonts w:ascii="Book Antiqua" w:hAnsi="Book Antiqua"/>
          <w:i/>
          <w:iCs/>
        </w:rPr>
        <w:t>Surg Endosc</w:t>
      </w:r>
      <w:r w:rsidRPr="001D5732">
        <w:rPr>
          <w:rFonts w:ascii="Book Antiqua" w:hAnsi="Book Antiqua"/>
        </w:rPr>
        <w:t> 2020; </w:t>
      </w:r>
      <w:r w:rsidRPr="001D5732">
        <w:rPr>
          <w:rFonts w:ascii="Book Antiqua" w:hAnsi="Book Antiqua"/>
          <w:b/>
          <w:bCs/>
        </w:rPr>
        <w:t>34</w:t>
      </w:r>
      <w:r w:rsidRPr="001D5732">
        <w:rPr>
          <w:rFonts w:ascii="Book Antiqua" w:hAnsi="Book Antiqua"/>
        </w:rPr>
        <w:t>: 1035-1047 [PMID: 31754853 DOI: 10.1007/s00464-019-07274-z]</w:t>
      </w:r>
    </w:p>
    <w:p w14:paraId="562DC610" w14:textId="77777777" w:rsidR="00795B08" w:rsidRPr="001D5732" w:rsidRDefault="00795B08" w:rsidP="00795B08">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1D5732">
        <w:rPr>
          <w:rFonts w:ascii="Book Antiqua" w:hAnsi="Book Antiqua"/>
        </w:rPr>
        <w:t>58 </w:t>
      </w:r>
      <w:r w:rsidRPr="001D5732">
        <w:rPr>
          <w:rFonts w:ascii="Book Antiqua" w:hAnsi="Book Antiqua"/>
          <w:b/>
          <w:bCs/>
        </w:rPr>
        <w:t>Noura S</w:t>
      </w:r>
      <w:r w:rsidRPr="001D5732">
        <w:rPr>
          <w:rFonts w:ascii="Book Antiqua" w:hAnsi="Book Antiqua"/>
        </w:rPr>
        <w:t>, Ohue M, Seki Y, Tanaka K, Motoori M, Kishi K, Miyashiro I, Ohigashi H, Yano M, Ishikawa O, Miyamoto Y. Feasibility of a lateral region sentinel node biopsy of lower rectal cancer guided by indocyanine green using a near-infrared camera system. </w:t>
      </w:r>
      <w:r w:rsidRPr="001D5732">
        <w:rPr>
          <w:rFonts w:ascii="Book Antiqua" w:hAnsi="Book Antiqua"/>
          <w:i/>
          <w:iCs/>
        </w:rPr>
        <w:t>Ann Surg Oncol</w:t>
      </w:r>
      <w:r w:rsidRPr="001D5732">
        <w:rPr>
          <w:rFonts w:ascii="Book Antiqua" w:hAnsi="Book Antiqua"/>
        </w:rPr>
        <w:t> 2010; </w:t>
      </w:r>
      <w:r w:rsidRPr="001D5732">
        <w:rPr>
          <w:rFonts w:ascii="Book Antiqua" w:hAnsi="Book Antiqua"/>
          <w:b/>
          <w:bCs/>
        </w:rPr>
        <w:t>17</w:t>
      </w:r>
      <w:r w:rsidRPr="001D5732">
        <w:rPr>
          <w:rFonts w:ascii="Book Antiqua" w:hAnsi="Book Antiqua"/>
        </w:rPr>
        <w:t>: 144-151 [PMID: 19774415 DOI: 10.1245/s10434-009-0711-2]</w:t>
      </w:r>
    </w:p>
    <w:p w14:paraId="3514482D" w14:textId="77777777" w:rsidR="00795B08" w:rsidRPr="001D5732" w:rsidRDefault="00795B08" w:rsidP="00795B08">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1D5732">
        <w:rPr>
          <w:rFonts w:ascii="Book Antiqua" w:hAnsi="Book Antiqua"/>
        </w:rPr>
        <w:t>59 </w:t>
      </w:r>
      <w:r w:rsidRPr="001D5732">
        <w:rPr>
          <w:rFonts w:ascii="Book Antiqua" w:hAnsi="Book Antiqua"/>
          <w:b/>
          <w:bCs/>
        </w:rPr>
        <w:t>Noura S</w:t>
      </w:r>
      <w:r w:rsidRPr="001D5732">
        <w:rPr>
          <w:rFonts w:ascii="Book Antiqua" w:hAnsi="Book Antiqua"/>
        </w:rPr>
        <w:t>, Ohue M, Seki Y, Yamamoto T, Idota A, Fujii J, Yamasaki T, Nakajima H, Murata K, Kameyama M, Yamada T, Miyashiro I, Ohigashi H, Yano M, Ishikawa O, Imaoka S. Evaluation of the lateral sentinel node by indocyanine green for rectal cancer based on micrometastasis determined by reverse transcriptase-polymerase chain reaction. </w:t>
      </w:r>
      <w:r w:rsidRPr="001D5732">
        <w:rPr>
          <w:rFonts w:ascii="Book Antiqua" w:hAnsi="Book Antiqua"/>
          <w:i/>
          <w:iCs/>
        </w:rPr>
        <w:t>Oncol Rep</w:t>
      </w:r>
      <w:r w:rsidRPr="001D5732">
        <w:rPr>
          <w:rFonts w:ascii="Book Antiqua" w:hAnsi="Book Antiqua"/>
        </w:rPr>
        <w:t> 2008; </w:t>
      </w:r>
      <w:r w:rsidRPr="001D5732">
        <w:rPr>
          <w:rFonts w:ascii="Book Antiqua" w:hAnsi="Book Antiqua"/>
          <w:b/>
          <w:bCs/>
        </w:rPr>
        <w:t>20</w:t>
      </w:r>
      <w:r w:rsidRPr="001D5732">
        <w:rPr>
          <w:rFonts w:ascii="Book Antiqua" w:hAnsi="Book Antiqua"/>
        </w:rPr>
        <w:t>: 745-750 [</w:t>
      </w:r>
      <w:bookmarkStart w:id="64" w:name="OLE_LINK18"/>
      <w:bookmarkStart w:id="65" w:name="OLE_LINK19"/>
      <w:r w:rsidRPr="001D5732">
        <w:rPr>
          <w:rFonts w:ascii="Book Antiqua" w:hAnsi="Book Antiqua"/>
        </w:rPr>
        <w:t>PMID: 18813813</w:t>
      </w:r>
      <w:bookmarkEnd w:id="64"/>
      <w:bookmarkEnd w:id="65"/>
      <w:r w:rsidRPr="001D5732">
        <w:rPr>
          <w:rFonts w:ascii="Book Antiqua" w:hAnsi="Book Antiqua"/>
        </w:rPr>
        <w:t>]</w:t>
      </w:r>
    </w:p>
    <w:p w14:paraId="6621C38E" w14:textId="77777777" w:rsidR="00795B08" w:rsidRPr="001D5732" w:rsidRDefault="00795B08" w:rsidP="00795B08">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1D5732">
        <w:rPr>
          <w:rFonts w:ascii="Book Antiqua" w:hAnsi="Book Antiqua"/>
        </w:rPr>
        <w:t>60 </w:t>
      </w:r>
      <w:r w:rsidRPr="001D5732">
        <w:rPr>
          <w:rFonts w:ascii="Book Antiqua" w:hAnsi="Book Antiqua"/>
          <w:b/>
          <w:bCs/>
        </w:rPr>
        <w:t>Hirche C</w:t>
      </w:r>
      <w:r w:rsidRPr="001D5732">
        <w:rPr>
          <w:rFonts w:ascii="Book Antiqua" w:hAnsi="Book Antiqua"/>
        </w:rPr>
        <w:t>, Mohr Z, Kneif S, Doniga S, Murawa D, Strik M, Hünerbein M. Ultrastaging of colon cancer by sentinel node biopsy using fluorescence navigation with indocyanine green. </w:t>
      </w:r>
      <w:r w:rsidRPr="001D5732">
        <w:rPr>
          <w:rFonts w:ascii="Book Antiqua" w:hAnsi="Book Antiqua"/>
          <w:i/>
          <w:iCs/>
        </w:rPr>
        <w:t>Int J Colorectal Dis</w:t>
      </w:r>
      <w:r w:rsidRPr="001D5732">
        <w:rPr>
          <w:rFonts w:ascii="Book Antiqua" w:hAnsi="Book Antiqua"/>
        </w:rPr>
        <w:t> 2012; </w:t>
      </w:r>
      <w:r w:rsidRPr="001D5732">
        <w:rPr>
          <w:rFonts w:ascii="Book Antiqua" w:hAnsi="Book Antiqua"/>
          <w:b/>
          <w:bCs/>
        </w:rPr>
        <w:t>27</w:t>
      </w:r>
      <w:r w:rsidRPr="001D5732">
        <w:rPr>
          <w:rFonts w:ascii="Book Antiqua" w:hAnsi="Book Antiqua"/>
        </w:rPr>
        <w:t>: 319-324 [PMID: 21912878 DOI: 10.1007/s00384-011-1306-5]</w:t>
      </w:r>
    </w:p>
    <w:p w14:paraId="38581D4A" w14:textId="77777777" w:rsidR="00795B08" w:rsidRPr="001D5732" w:rsidRDefault="00795B08" w:rsidP="00795B08">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1D5732">
        <w:rPr>
          <w:rFonts w:ascii="Book Antiqua" w:hAnsi="Book Antiqua"/>
        </w:rPr>
        <w:lastRenderedPageBreak/>
        <w:t>61 </w:t>
      </w:r>
      <w:r w:rsidRPr="001D5732">
        <w:rPr>
          <w:rFonts w:ascii="Book Antiqua" w:hAnsi="Book Antiqua"/>
          <w:b/>
          <w:bCs/>
        </w:rPr>
        <w:t>Liberale G</w:t>
      </w:r>
      <w:r w:rsidRPr="001D5732">
        <w:rPr>
          <w:rFonts w:ascii="Book Antiqua" w:hAnsi="Book Antiqua"/>
        </w:rPr>
        <w:t>, Galdon MG, Moreau M, Vankerckhove S, El Nakadi I, Larsimont D, Donckier V, Bourgeois P. Ex vivo detection of tumoral lymph nodes of colorectal origin with fluorescence imaging after intraoperative intravenous injection of indocyanine green. </w:t>
      </w:r>
      <w:r w:rsidRPr="001D5732">
        <w:rPr>
          <w:rFonts w:ascii="Book Antiqua" w:hAnsi="Book Antiqua"/>
          <w:i/>
          <w:iCs/>
        </w:rPr>
        <w:t>J Surg Oncol</w:t>
      </w:r>
      <w:r w:rsidRPr="001D5732">
        <w:rPr>
          <w:rFonts w:ascii="Book Antiqua" w:hAnsi="Book Antiqua"/>
        </w:rPr>
        <w:t> 2016; </w:t>
      </w:r>
      <w:r w:rsidRPr="001D5732">
        <w:rPr>
          <w:rFonts w:ascii="Book Antiqua" w:hAnsi="Book Antiqua"/>
          <w:b/>
          <w:bCs/>
        </w:rPr>
        <w:t>114</w:t>
      </w:r>
      <w:r w:rsidRPr="001D5732">
        <w:rPr>
          <w:rFonts w:ascii="Book Antiqua" w:hAnsi="Book Antiqua"/>
        </w:rPr>
        <w:t>: 348-353 [PMID: 27264200 DOI: 10.1002/jso.24318]</w:t>
      </w:r>
    </w:p>
    <w:p w14:paraId="27687FA5" w14:textId="77777777" w:rsidR="00795B08" w:rsidRPr="001D5732" w:rsidRDefault="00795B08" w:rsidP="00795B08">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1D5732">
        <w:rPr>
          <w:rFonts w:ascii="Book Antiqua" w:hAnsi="Book Antiqua"/>
        </w:rPr>
        <w:t>62 </w:t>
      </w:r>
      <w:r w:rsidRPr="001D5732">
        <w:rPr>
          <w:rFonts w:ascii="Book Antiqua" w:hAnsi="Book Antiqua"/>
          <w:b/>
          <w:bCs/>
        </w:rPr>
        <w:t>Chen QY</w:t>
      </w:r>
      <w:r w:rsidRPr="001D5732">
        <w:rPr>
          <w:rFonts w:ascii="Book Antiqua" w:hAnsi="Book Antiqua"/>
        </w:rPr>
        <w:t>, Xie JW, Zhong Q, Wang JB, Lin JX, Lu J, Cao LL, Lin M, Tu RH, Huang ZN, Lin JL, Zheng HL, Li P, Zheng CH, Huang CM. Safety and Efficacy of Indocyanine Green Tracer-Guided Lymph Node Dissection During Laparoscopic Radical Gastrectomy in Patients With Gastric Cancer: A Randomized Clinical Trial. </w:t>
      </w:r>
      <w:r w:rsidRPr="001D5732">
        <w:rPr>
          <w:rFonts w:ascii="Book Antiqua" w:hAnsi="Book Antiqua"/>
          <w:i/>
          <w:iCs/>
        </w:rPr>
        <w:t>JAMA Surg</w:t>
      </w:r>
      <w:r w:rsidRPr="001D5732">
        <w:rPr>
          <w:rFonts w:ascii="Book Antiqua" w:hAnsi="Book Antiqua"/>
        </w:rPr>
        <w:t> 2020; </w:t>
      </w:r>
      <w:r w:rsidRPr="001D5732">
        <w:rPr>
          <w:rFonts w:ascii="Book Antiqua" w:hAnsi="Book Antiqua"/>
          <w:b/>
          <w:bCs/>
        </w:rPr>
        <w:t>155</w:t>
      </w:r>
      <w:r w:rsidRPr="001D5732">
        <w:rPr>
          <w:rFonts w:ascii="Book Antiqua" w:hAnsi="Book Antiqua"/>
        </w:rPr>
        <w:t>: 300-311 [PMID: 32101269 DOI: 10.1001/jamasurg.2019.6033]</w:t>
      </w:r>
    </w:p>
    <w:p w14:paraId="6EF595A9" w14:textId="77777777" w:rsidR="00795B08" w:rsidRPr="001D5732" w:rsidRDefault="00795B08" w:rsidP="00795B08">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1D5732">
        <w:rPr>
          <w:rFonts w:ascii="Book Antiqua" w:hAnsi="Book Antiqua"/>
        </w:rPr>
        <w:t>63 </w:t>
      </w:r>
      <w:r w:rsidRPr="001D5732">
        <w:rPr>
          <w:rFonts w:ascii="Book Antiqua" w:hAnsi="Book Antiqua"/>
          <w:b/>
          <w:bCs/>
        </w:rPr>
        <w:t>Kwon IG</w:t>
      </w:r>
      <w:r w:rsidRPr="001D5732">
        <w:rPr>
          <w:rFonts w:ascii="Book Antiqua" w:hAnsi="Book Antiqua"/>
        </w:rPr>
        <w:t>, Son T, Kim HI, Hyung WJ. Fluorescent Lymphography-Guided Lymphadenectomy During Robotic Radical Gastrectomy for Gastric Cancer. </w:t>
      </w:r>
      <w:r w:rsidRPr="001D5732">
        <w:rPr>
          <w:rFonts w:ascii="Book Antiqua" w:hAnsi="Book Antiqua"/>
          <w:i/>
          <w:iCs/>
        </w:rPr>
        <w:t>JAMA Surg</w:t>
      </w:r>
      <w:r w:rsidRPr="001D5732">
        <w:rPr>
          <w:rFonts w:ascii="Book Antiqua" w:hAnsi="Book Antiqua"/>
        </w:rPr>
        <w:t> 2019; </w:t>
      </w:r>
      <w:r w:rsidRPr="001D5732">
        <w:rPr>
          <w:rFonts w:ascii="Book Antiqua" w:hAnsi="Book Antiqua"/>
          <w:b/>
          <w:bCs/>
        </w:rPr>
        <w:t>154</w:t>
      </w:r>
      <w:r w:rsidRPr="001D5732">
        <w:rPr>
          <w:rFonts w:ascii="Book Antiqua" w:hAnsi="Book Antiqua"/>
        </w:rPr>
        <w:t>: 150-158 [PMID: 30427990 DOI: 10.1001/jamasurg.2018.4267]</w:t>
      </w:r>
    </w:p>
    <w:p w14:paraId="5E7B617D" w14:textId="77777777" w:rsidR="00795B08" w:rsidRPr="001D5732" w:rsidRDefault="00795B08" w:rsidP="00795B08">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1D5732">
        <w:rPr>
          <w:rFonts w:ascii="Book Antiqua" w:hAnsi="Book Antiqua"/>
        </w:rPr>
        <w:t>64 </w:t>
      </w:r>
      <w:r w:rsidRPr="001D5732">
        <w:rPr>
          <w:rFonts w:ascii="Book Antiqua" w:hAnsi="Book Antiqua"/>
          <w:b/>
          <w:bCs/>
        </w:rPr>
        <w:t>Andersen HS</w:t>
      </w:r>
      <w:r w:rsidRPr="001D5732">
        <w:rPr>
          <w:rFonts w:ascii="Book Antiqua" w:hAnsi="Book Antiqua"/>
        </w:rPr>
        <w:t>, Bennedsen ALB, Burgdorf SK, Eriksen JR, Eiholm S, Toxværd A, Riis LB, Rosenberg J, Gögenur I. In vivo and ex vivo sentinel node mapping does not identify the same lymph nodes in colon cancer. </w:t>
      </w:r>
      <w:r w:rsidRPr="001D5732">
        <w:rPr>
          <w:rFonts w:ascii="Book Antiqua" w:hAnsi="Book Antiqua"/>
          <w:i/>
          <w:iCs/>
        </w:rPr>
        <w:t>Int J Colorectal Dis</w:t>
      </w:r>
      <w:r w:rsidRPr="001D5732">
        <w:rPr>
          <w:rFonts w:ascii="Book Antiqua" w:hAnsi="Book Antiqua"/>
        </w:rPr>
        <w:t> 2017; </w:t>
      </w:r>
      <w:r w:rsidRPr="001D5732">
        <w:rPr>
          <w:rFonts w:ascii="Book Antiqua" w:hAnsi="Book Antiqua"/>
          <w:b/>
          <w:bCs/>
        </w:rPr>
        <w:t>32</w:t>
      </w:r>
      <w:r w:rsidRPr="001D5732">
        <w:rPr>
          <w:rFonts w:ascii="Book Antiqua" w:hAnsi="Book Antiqua"/>
        </w:rPr>
        <w:t>: 983-990 [PMID: 28210851 DOI: 10.1007/s00384-017-2777-9]</w:t>
      </w:r>
    </w:p>
    <w:p w14:paraId="3E57E43B" w14:textId="77777777" w:rsidR="00795B08" w:rsidRPr="001D5732" w:rsidRDefault="00795B08" w:rsidP="00795B08">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1D5732">
        <w:rPr>
          <w:rFonts w:ascii="Book Antiqua" w:hAnsi="Book Antiqua"/>
        </w:rPr>
        <w:t>65 </w:t>
      </w:r>
      <w:r w:rsidRPr="001D5732">
        <w:rPr>
          <w:rFonts w:ascii="Book Antiqua" w:hAnsi="Book Antiqua"/>
          <w:b/>
          <w:bCs/>
        </w:rPr>
        <w:t>Watanabe J</w:t>
      </w:r>
      <w:r w:rsidRPr="001D5732">
        <w:rPr>
          <w:rFonts w:ascii="Book Antiqua" w:hAnsi="Book Antiqua"/>
        </w:rPr>
        <w:t>, Ota M, Suwa Y, Ishibe A, Masui H, Nagahori K. Real-Time Indocyanine Green Fluorescence Imaging-Guided Complete Mesocolic Excision in Laparoscopic Flexural Colon Cancer Surgery. </w:t>
      </w:r>
      <w:r w:rsidRPr="001D5732">
        <w:rPr>
          <w:rFonts w:ascii="Book Antiqua" w:hAnsi="Book Antiqua"/>
          <w:i/>
          <w:iCs/>
        </w:rPr>
        <w:t>Dis Colon Rectum</w:t>
      </w:r>
      <w:r w:rsidRPr="001D5732">
        <w:rPr>
          <w:rFonts w:ascii="Book Antiqua" w:hAnsi="Book Antiqua"/>
        </w:rPr>
        <w:t> 2016; </w:t>
      </w:r>
      <w:r w:rsidRPr="001D5732">
        <w:rPr>
          <w:rFonts w:ascii="Book Antiqua" w:hAnsi="Book Antiqua"/>
          <w:b/>
          <w:bCs/>
        </w:rPr>
        <w:t>59</w:t>
      </w:r>
      <w:r w:rsidRPr="001D5732">
        <w:rPr>
          <w:rFonts w:ascii="Book Antiqua" w:hAnsi="Book Antiqua"/>
        </w:rPr>
        <w:t>: 701-705 [PMID: 27270525 DOI: 10.1097/DCR.0000000000000608]</w:t>
      </w:r>
    </w:p>
    <w:p w14:paraId="4CDB93E2" w14:textId="77777777" w:rsidR="00795B08" w:rsidRPr="001D5732" w:rsidRDefault="00795B08" w:rsidP="00795B08">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1D5732">
        <w:rPr>
          <w:rFonts w:ascii="Book Antiqua" w:hAnsi="Book Antiqua"/>
        </w:rPr>
        <w:t>66 </w:t>
      </w:r>
      <w:r w:rsidRPr="001D5732">
        <w:rPr>
          <w:rFonts w:ascii="Book Antiqua" w:hAnsi="Book Antiqua"/>
          <w:b/>
          <w:bCs/>
        </w:rPr>
        <w:t>Chand M</w:t>
      </w:r>
      <w:r w:rsidRPr="001D5732">
        <w:rPr>
          <w:rFonts w:ascii="Book Antiqua" w:hAnsi="Book Antiqua"/>
        </w:rPr>
        <w:t>, Keller DS, Joshi HM, Devoto L, Rodriguez-Justo M, Cohen R. Feasibility of fluorescence lymph node imaging in colon cancer: FLICC. </w:t>
      </w:r>
      <w:r w:rsidRPr="001D5732">
        <w:rPr>
          <w:rFonts w:ascii="Book Antiqua" w:hAnsi="Book Antiqua"/>
          <w:i/>
          <w:iCs/>
        </w:rPr>
        <w:t>Tech Coloproctol</w:t>
      </w:r>
      <w:r w:rsidRPr="001D5732">
        <w:rPr>
          <w:rFonts w:ascii="Book Antiqua" w:hAnsi="Book Antiqua"/>
        </w:rPr>
        <w:t> 2018; </w:t>
      </w:r>
      <w:r w:rsidRPr="001D5732">
        <w:rPr>
          <w:rFonts w:ascii="Book Antiqua" w:hAnsi="Book Antiqua"/>
          <w:b/>
          <w:bCs/>
        </w:rPr>
        <w:t>22</w:t>
      </w:r>
      <w:r w:rsidRPr="001D5732">
        <w:rPr>
          <w:rFonts w:ascii="Book Antiqua" w:hAnsi="Book Antiqua"/>
        </w:rPr>
        <w:t>: 271-277 [PMID: 29551004 DOI: 10.1007/s10151-018-1773-6]</w:t>
      </w:r>
    </w:p>
    <w:p w14:paraId="1EC526E3" w14:textId="77777777" w:rsidR="00795B08" w:rsidRPr="001D5732" w:rsidRDefault="00795B08" w:rsidP="00795B08">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1D5732">
        <w:rPr>
          <w:rFonts w:ascii="Book Antiqua" w:hAnsi="Book Antiqua"/>
        </w:rPr>
        <w:t>67 </w:t>
      </w:r>
      <w:r w:rsidRPr="001D5732">
        <w:rPr>
          <w:rFonts w:ascii="Book Antiqua" w:hAnsi="Book Antiqua"/>
          <w:b/>
          <w:bCs/>
        </w:rPr>
        <w:t>Currie AC</w:t>
      </w:r>
      <w:r w:rsidRPr="001D5732">
        <w:rPr>
          <w:rFonts w:ascii="Book Antiqua" w:hAnsi="Book Antiqua"/>
        </w:rPr>
        <w:t>, Brigic A, Thomas-Gibson S, Suzuki N, Moorghen M, Jenkins JT, Faiz OD, Kennedy RH. A pilot study to assess near infrared laparoscopy with indocyanine green (ICG) for intraoperative sentinel lymph node mapping in early colon cancer. </w:t>
      </w:r>
      <w:r w:rsidRPr="001D5732">
        <w:rPr>
          <w:rFonts w:ascii="Book Antiqua" w:hAnsi="Book Antiqua"/>
          <w:i/>
          <w:iCs/>
        </w:rPr>
        <w:t>Eur J Surg Oncol</w:t>
      </w:r>
      <w:r w:rsidRPr="001D5732">
        <w:rPr>
          <w:rFonts w:ascii="Book Antiqua" w:hAnsi="Book Antiqua"/>
        </w:rPr>
        <w:t> 2017; </w:t>
      </w:r>
      <w:r w:rsidRPr="001D5732">
        <w:rPr>
          <w:rFonts w:ascii="Book Antiqua" w:hAnsi="Book Antiqua"/>
          <w:b/>
          <w:bCs/>
        </w:rPr>
        <w:t>43</w:t>
      </w:r>
      <w:r w:rsidRPr="001D5732">
        <w:rPr>
          <w:rFonts w:ascii="Book Antiqua" w:hAnsi="Book Antiqua"/>
        </w:rPr>
        <w:t>: 2044-2051 [PMID: 28919031 DOI: 10.1016/j.ejso.2017.05.026]</w:t>
      </w:r>
    </w:p>
    <w:p w14:paraId="0C718784" w14:textId="77777777" w:rsidR="00795B08" w:rsidRPr="001D5732" w:rsidRDefault="00795B08" w:rsidP="00795B08">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1D5732">
        <w:rPr>
          <w:rFonts w:ascii="Book Antiqua" w:hAnsi="Book Antiqua"/>
        </w:rPr>
        <w:t>68 </w:t>
      </w:r>
      <w:r w:rsidRPr="001D5732">
        <w:rPr>
          <w:rFonts w:ascii="Book Antiqua" w:hAnsi="Book Antiqua"/>
          <w:b/>
          <w:bCs/>
        </w:rPr>
        <w:t>Schaafsma BE</w:t>
      </w:r>
      <w:r w:rsidRPr="001D5732">
        <w:rPr>
          <w:rFonts w:ascii="Book Antiqua" w:hAnsi="Book Antiqua"/>
        </w:rPr>
        <w:t xml:space="preserve">, Verbeek FP, van der Vorst JR, Hutteman M, Kuppen PJ, Frangioni JV, van de Velde CJ, Vahrmeijer AL. Ex vivo sentinel node mapping in colon cancer </w:t>
      </w:r>
      <w:r w:rsidRPr="001D5732">
        <w:rPr>
          <w:rFonts w:ascii="Book Antiqua" w:hAnsi="Book Antiqua"/>
        </w:rPr>
        <w:lastRenderedPageBreak/>
        <w:t>combining blue dye staining and fluorescence imaging. </w:t>
      </w:r>
      <w:r w:rsidRPr="001D5732">
        <w:rPr>
          <w:rFonts w:ascii="Book Antiqua" w:hAnsi="Book Antiqua"/>
          <w:i/>
          <w:iCs/>
        </w:rPr>
        <w:t>J Surg Res</w:t>
      </w:r>
      <w:r w:rsidRPr="001D5732">
        <w:rPr>
          <w:rFonts w:ascii="Book Antiqua" w:hAnsi="Book Antiqua"/>
        </w:rPr>
        <w:t> 2013; </w:t>
      </w:r>
      <w:r w:rsidRPr="001D5732">
        <w:rPr>
          <w:rFonts w:ascii="Book Antiqua" w:hAnsi="Book Antiqua"/>
          <w:b/>
          <w:bCs/>
        </w:rPr>
        <w:t>183</w:t>
      </w:r>
      <w:r w:rsidRPr="001D5732">
        <w:rPr>
          <w:rFonts w:ascii="Book Antiqua" w:hAnsi="Book Antiqua"/>
        </w:rPr>
        <w:t>: 253-257 [PMID: 23391167 DOI: 10.1016/j.jss.2013.01.003]</w:t>
      </w:r>
    </w:p>
    <w:p w14:paraId="7A689D81" w14:textId="77777777" w:rsidR="00795B08" w:rsidRPr="001D5732" w:rsidRDefault="00795B08" w:rsidP="00795B08">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1D5732">
        <w:rPr>
          <w:rFonts w:ascii="Book Antiqua" w:hAnsi="Book Antiqua"/>
        </w:rPr>
        <w:t>69 </w:t>
      </w:r>
      <w:r w:rsidRPr="001D5732">
        <w:rPr>
          <w:rFonts w:ascii="Book Antiqua" w:hAnsi="Book Antiqua"/>
          <w:b/>
          <w:bCs/>
        </w:rPr>
        <w:t>Hutteman M</w:t>
      </w:r>
      <w:r w:rsidRPr="001D5732">
        <w:rPr>
          <w:rFonts w:ascii="Book Antiqua" w:hAnsi="Book Antiqua"/>
        </w:rPr>
        <w:t>, Choi HS, Mieog JS, van der Vorst JR, Ashitate Y, Kuppen PJ, van Groningen MC, Löwik CW, Smit VT, van de Velde CJ, Frangioni JV, Vahrmeijer AL. Clinical translation of ex vivo sentinel lymph node mapping for colorectal cancer using invisible near-infrared fluorescence light. </w:t>
      </w:r>
      <w:r w:rsidRPr="001D5732">
        <w:rPr>
          <w:rFonts w:ascii="Book Antiqua" w:hAnsi="Book Antiqua"/>
          <w:i/>
          <w:iCs/>
        </w:rPr>
        <w:t>Ann Surg Oncol</w:t>
      </w:r>
      <w:r w:rsidRPr="001D5732">
        <w:rPr>
          <w:rFonts w:ascii="Book Antiqua" w:hAnsi="Book Antiqua"/>
        </w:rPr>
        <w:t> 2011; </w:t>
      </w:r>
      <w:r w:rsidRPr="001D5732">
        <w:rPr>
          <w:rFonts w:ascii="Book Antiqua" w:hAnsi="Book Antiqua"/>
          <w:b/>
          <w:bCs/>
        </w:rPr>
        <w:t>18</w:t>
      </w:r>
      <w:r w:rsidRPr="001D5732">
        <w:rPr>
          <w:rFonts w:ascii="Book Antiqua" w:hAnsi="Book Antiqua"/>
        </w:rPr>
        <w:t>: 1006-1014 [PMID: 21080086 DOI: 10.1245/s10434-010-1426-0]</w:t>
      </w:r>
    </w:p>
    <w:p w14:paraId="1A6F53CE" w14:textId="77777777" w:rsidR="00795B08" w:rsidRPr="001D5732" w:rsidRDefault="00795B08" w:rsidP="00795B08">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1D5732">
        <w:rPr>
          <w:rFonts w:ascii="Book Antiqua" w:hAnsi="Book Antiqua"/>
        </w:rPr>
        <w:t>70 </w:t>
      </w:r>
      <w:r w:rsidRPr="001D5732">
        <w:rPr>
          <w:rFonts w:ascii="Book Antiqua" w:hAnsi="Book Antiqua"/>
          <w:b/>
          <w:bCs/>
        </w:rPr>
        <w:t>Xiong L</w:t>
      </w:r>
      <w:r w:rsidRPr="001D5732">
        <w:rPr>
          <w:rFonts w:ascii="Book Antiqua" w:hAnsi="Book Antiqua"/>
        </w:rPr>
        <w:t>, Gazyakan E, Yang W, Engel H, Hünerbein M, Kneser U, Hirche C. Indocyanine green fluorescence-guided sentinel node biopsy: a meta-analysis on detection rate and diagnostic performance. </w:t>
      </w:r>
      <w:r w:rsidRPr="001D5732">
        <w:rPr>
          <w:rFonts w:ascii="Book Antiqua" w:hAnsi="Book Antiqua"/>
          <w:i/>
          <w:iCs/>
        </w:rPr>
        <w:t>Eur J Surg Oncol</w:t>
      </w:r>
      <w:r w:rsidRPr="001D5732">
        <w:rPr>
          <w:rFonts w:ascii="Book Antiqua" w:hAnsi="Book Antiqua"/>
        </w:rPr>
        <w:t> 2014; </w:t>
      </w:r>
      <w:r w:rsidRPr="001D5732">
        <w:rPr>
          <w:rFonts w:ascii="Book Antiqua" w:hAnsi="Book Antiqua"/>
          <w:b/>
          <w:bCs/>
        </w:rPr>
        <w:t>40</w:t>
      </w:r>
      <w:r w:rsidRPr="001D5732">
        <w:rPr>
          <w:rFonts w:ascii="Book Antiqua" w:hAnsi="Book Antiqua"/>
        </w:rPr>
        <w:t>: 843-849 [PMID: 24613744 DOI: 10.1016/j.ejso.2014.02.228]</w:t>
      </w:r>
    </w:p>
    <w:p w14:paraId="3BEEB5B7" w14:textId="77777777" w:rsidR="00795B08" w:rsidRPr="001D5732" w:rsidRDefault="00795B08" w:rsidP="00795B08">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1D5732">
        <w:rPr>
          <w:rFonts w:ascii="Book Antiqua" w:hAnsi="Book Antiqua"/>
        </w:rPr>
        <w:t>71 </w:t>
      </w:r>
      <w:r w:rsidRPr="001D5732">
        <w:rPr>
          <w:rFonts w:ascii="Book Antiqua" w:hAnsi="Book Antiqua"/>
          <w:b/>
          <w:bCs/>
        </w:rPr>
        <w:t>Tokunaga M</w:t>
      </w:r>
      <w:r w:rsidRPr="001D5732">
        <w:rPr>
          <w:rFonts w:ascii="Book Antiqua" w:hAnsi="Book Antiqua"/>
        </w:rPr>
        <w:t>, Ohyama S, Hiki N, Fukunaga T, Yamada K, Sano T, Yamaguchi T. Investigation of the lymphatic stream of the stomach in gastric cancer with solitary lymph node metastasis. </w:t>
      </w:r>
      <w:r w:rsidRPr="001D5732">
        <w:rPr>
          <w:rFonts w:ascii="Book Antiqua" w:hAnsi="Book Antiqua"/>
          <w:i/>
          <w:iCs/>
        </w:rPr>
        <w:t>World J Surg</w:t>
      </w:r>
      <w:r w:rsidRPr="001D5732">
        <w:rPr>
          <w:rFonts w:ascii="Book Antiqua" w:hAnsi="Book Antiqua"/>
        </w:rPr>
        <w:t> 2009; </w:t>
      </w:r>
      <w:r w:rsidRPr="001D5732">
        <w:rPr>
          <w:rFonts w:ascii="Book Antiqua" w:hAnsi="Book Antiqua"/>
          <w:b/>
          <w:bCs/>
        </w:rPr>
        <w:t>33</w:t>
      </w:r>
      <w:r w:rsidRPr="001D5732">
        <w:rPr>
          <w:rFonts w:ascii="Book Antiqua" w:hAnsi="Book Antiqua"/>
        </w:rPr>
        <w:t>: 1235-1239 [PMID: 19288280 DOI: 10.1007/s00268-009-9985-6]</w:t>
      </w:r>
    </w:p>
    <w:p w14:paraId="4FBE09F1" w14:textId="77777777" w:rsidR="00795B08" w:rsidRPr="001D5732" w:rsidRDefault="00795B08" w:rsidP="00795B08">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1D5732">
        <w:rPr>
          <w:rFonts w:ascii="Book Antiqua" w:hAnsi="Book Antiqua"/>
        </w:rPr>
        <w:t>72 </w:t>
      </w:r>
      <w:r w:rsidRPr="001D5732">
        <w:rPr>
          <w:rFonts w:ascii="Book Antiqua" w:hAnsi="Book Antiqua"/>
          <w:b/>
          <w:bCs/>
        </w:rPr>
        <w:t>Zhou SC</w:t>
      </w:r>
      <w:r w:rsidRPr="001D5732">
        <w:rPr>
          <w:rFonts w:ascii="Book Antiqua" w:hAnsi="Book Antiqua"/>
        </w:rPr>
        <w:t>, Tian YT, Wang XW, Zhao CD, Ma S, Jiang J, Li EN, Zhou HT, Liu Q, Liang JW, Zhou ZX, Wang XS. Application of indocyanine green-enhanced near-infrared fluorescence-guided imaging in laparoscopic lateral pelvic lymph node dissection for middle-low rectal cancer. </w:t>
      </w:r>
      <w:r w:rsidRPr="001D5732">
        <w:rPr>
          <w:rFonts w:ascii="Book Antiqua" w:hAnsi="Book Antiqua"/>
          <w:i/>
          <w:iCs/>
        </w:rPr>
        <w:t>World J Gastroenterol</w:t>
      </w:r>
      <w:r w:rsidRPr="001D5732">
        <w:rPr>
          <w:rFonts w:ascii="Book Antiqua" w:hAnsi="Book Antiqua"/>
        </w:rPr>
        <w:t> 2019; </w:t>
      </w:r>
      <w:r w:rsidRPr="001D5732">
        <w:rPr>
          <w:rFonts w:ascii="Book Antiqua" w:hAnsi="Book Antiqua"/>
          <w:b/>
          <w:bCs/>
        </w:rPr>
        <w:t>25</w:t>
      </w:r>
      <w:r w:rsidRPr="001D5732">
        <w:rPr>
          <w:rFonts w:ascii="Book Antiqua" w:hAnsi="Book Antiqua"/>
        </w:rPr>
        <w:t>: 4502-4511 [PMID: 31496628 DOI: 10.3748/wjg.v25.i31.4502]</w:t>
      </w:r>
    </w:p>
    <w:p w14:paraId="489041EF" w14:textId="77777777" w:rsidR="00795B08" w:rsidRPr="001D5732" w:rsidRDefault="00795B08" w:rsidP="00795B08">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1D5732">
        <w:rPr>
          <w:rFonts w:ascii="Book Antiqua" w:hAnsi="Book Antiqua"/>
        </w:rPr>
        <w:t>73 </w:t>
      </w:r>
      <w:r w:rsidRPr="001D5732">
        <w:rPr>
          <w:rFonts w:ascii="Book Antiqua" w:hAnsi="Book Antiqua"/>
          <w:b/>
          <w:bCs/>
        </w:rPr>
        <w:t>Ankersmit M</w:t>
      </w:r>
      <w:r w:rsidRPr="001D5732">
        <w:rPr>
          <w:rFonts w:ascii="Book Antiqua" w:hAnsi="Book Antiqua"/>
        </w:rPr>
        <w:t>, Bonjer HJ, Hannink G, Schoonmade LJ, van der Pas MHGM, Meijerink WJHJ. Near-infrared fluorescence imaging for sentinel lymph node identification in colon cancer: a prospective single-center study and systematic review with meta-analysis. </w:t>
      </w:r>
      <w:r w:rsidRPr="001D5732">
        <w:rPr>
          <w:rFonts w:ascii="Book Antiqua" w:hAnsi="Book Antiqua"/>
          <w:i/>
          <w:iCs/>
        </w:rPr>
        <w:t>Tech Coloproctol</w:t>
      </w:r>
      <w:r w:rsidRPr="001D5732">
        <w:rPr>
          <w:rFonts w:ascii="Book Antiqua" w:hAnsi="Book Antiqua"/>
        </w:rPr>
        <w:t> 2019; </w:t>
      </w:r>
      <w:r w:rsidRPr="001D5732">
        <w:rPr>
          <w:rFonts w:ascii="Book Antiqua" w:hAnsi="Book Antiqua"/>
          <w:b/>
          <w:bCs/>
        </w:rPr>
        <w:t>23</w:t>
      </w:r>
      <w:r w:rsidRPr="001D5732">
        <w:rPr>
          <w:rFonts w:ascii="Book Antiqua" w:hAnsi="Book Antiqua"/>
        </w:rPr>
        <w:t>: 1113-1126 [PMID: 31741099 DOI: 10.1007/s10151-019-02107-6]</w:t>
      </w:r>
    </w:p>
    <w:p w14:paraId="613E506E" w14:textId="77777777" w:rsidR="00795B08" w:rsidRPr="001D5732" w:rsidRDefault="00795B08" w:rsidP="00795B08">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1D5732">
        <w:rPr>
          <w:rFonts w:ascii="Book Antiqua" w:hAnsi="Book Antiqua"/>
        </w:rPr>
        <w:t>74 </w:t>
      </w:r>
      <w:r w:rsidRPr="001D5732">
        <w:rPr>
          <w:rFonts w:ascii="Book Antiqua" w:hAnsi="Book Antiqua"/>
          <w:b/>
          <w:bCs/>
        </w:rPr>
        <w:t>Cianchi F</w:t>
      </w:r>
      <w:r w:rsidRPr="001D5732">
        <w:rPr>
          <w:rFonts w:ascii="Book Antiqua" w:hAnsi="Book Antiqua"/>
        </w:rPr>
        <w:t>, Indennitate G, Paoli B, Ortolani M, Lami G, Manetti N, Tarantino O, Messeri S, Foppa C, Badii B, Novelli L, Skalamera I, Nelli T, Coratti F, Perigli G, Staderini F. The Clinical Value of Fluorescent Lymphography with Indocyanine Green During Robotic Surgery for Gastric Cancer: a Matched Cohort Study. </w:t>
      </w:r>
      <w:r w:rsidRPr="001D5732">
        <w:rPr>
          <w:rFonts w:ascii="Book Antiqua" w:hAnsi="Book Antiqua"/>
          <w:i/>
          <w:iCs/>
        </w:rPr>
        <w:t>J Gastrointest Surg</w:t>
      </w:r>
      <w:r w:rsidRPr="001D5732">
        <w:rPr>
          <w:rFonts w:ascii="Book Antiqua" w:hAnsi="Book Antiqua"/>
        </w:rPr>
        <w:t> 2020; </w:t>
      </w:r>
      <w:r w:rsidRPr="001D5732">
        <w:rPr>
          <w:rFonts w:ascii="Book Antiqua" w:hAnsi="Book Antiqua"/>
          <w:b/>
          <w:bCs/>
        </w:rPr>
        <w:t>24</w:t>
      </w:r>
      <w:r w:rsidRPr="001D5732">
        <w:rPr>
          <w:rFonts w:ascii="Book Antiqua" w:hAnsi="Book Antiqua"/>
        </w:rPr>
        <w:t>: 2197-2203 [PMID: 31485904 DOI: 10.1007/s11605-019-04382-y]</w:t>
      </w:r>
    </w:p>
    <w:p w14:paraId="2EA0674D" w14:textId="77777777" w:rsidR="00795B08" w:rsidRPr="001D5732" w:rsidRDefault="00795B08" w:rsidP="00795B08">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1D5732">
        <w:rPr>
          <w:rFonts w:ascii="Book Antiqua" w:hAnsi="Book Antiqua"/>
        </w:rPr>
        <w:lastRenderedPageBreak/>
        <w:t>75 </w:t>
      </w:r>
      <w:r w:rsidRPr="001D5732">
        <w:rPr>
          <w:rFonts w:ascii="Book Antiqua" w:hAnsi="Book Antiqua"/>
          <w:b/>
          <w:bCs/>
        </w:rPr>
        <w:t>Goo JJ</w:t>
      </w:r>
      <w:r w:rsidRPr="001D5732">
        <w:rPr>
          <w:rFonts w:ascii="Book Antiqua" w:hAnsi="Book Antiqua"/>
        </w:rPr>
        <w:t>, Ryu DG, Kim HW, Park SB, Kang DH, Choi CW, Kim SJ, Nam HS, Kim HS, Son GM, Park BS. Efficacy of preoperative colonoscopic tattooing with indocyanine green on lymph node harvest and factors associated with inadequate lymph node harvest in colorectal cancer. </w:t>
      </w:r>
      <w:r w:rsidRPr="001D5732">
        <w:rPr>
          <w:rFonts w:ascii="Book Antiqua" w:hAnsi="Book Antiqua"/>
          <w:i/>
          <w:iCs/>
        </w:rPr>
        <w:t>Scand J Gastroenterol</w:t>
      </w:r>
      <w:r w:rsidRPr="001D5732">
        <w:rPr>
          <w:rFonts w:ascii="Book Antiqua" w:hAnsi="Book Antiqua"/>
        </w:rPr>
        <w:t> 2019; </w:t>
      </w:r>
      <w:r w:rsidRPr="001D5732">
        <w:rPr>
          <w:rFonts w:ascii="Book Antiqua" w:hAnsi="Book Antiqua"/>
          <w:b/>
          <w:bCs/>
        </w:rPr>
        <w:t>54</w:t>
      </w:r>
      <w:r w:rsidRPr="001D5732">
        <w:rPr>
          <w:rFonts w:ascii="Book Antiqua" w:hAnsi="Book Antiqua"/>
        </w:rPr>
        <w:t>: 666-672 [PMID: 31071272 DOI: 10.1080/00365521.2019.1612940]</w:t>
      </w:r>
    </w:p>
    <w:p w14:paraId="5AA7B88F" w14:textId="77777777" w:rsidR="00795B08" w:rsidRPr="001D5732" w:rsidRDefault="00795B08" w:rsidP="00795B08">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1D5732">
        <w:rPr>
          <w:rFonts w:ascii="Book Antiqua" w:hAnsi="Book Antiqua"/>
        </w:rPr>
        <w:t>76 </w:t>
      </w:r>
      <w:r w:rsidRPr="001D5732">
        <w:rPr>
          <w:rFonts w:ascii="Book Antiqua" w:hAnsi="Book Antiqua"/>
          <w:b/>
          <w:bCs/>
        </w:rPr>
        <w:t>Kusano M</w:t>
      </w:r>
      <w:r w:rsidRPr="001D5732">
        <w:rPr>
          <w:rFonts w:ascii="Book Antiqua" w:hAnsi="Book Antiqua"/>
        </w:rPr>
        <w:t>, Tajima Y, Yamazaki K, Kato M, Watanabe M, Miwa M. Sentinel node mapping guided by indocyanine green fluorescence imaging: a new method for sentinel node navigation surgery in gastrointestinal cancer. </w:t>
      </w:r>
      <w:r w:rsidRPr="001D5732">
        <w:rPr>
          <w:rFonts w:ascii="Book Antiqua" w:hAnsi="Book Antiqua"/>
          <w:i/>
          <w:iCs/>
        </w:rPr>
        <w:t>Dig Surg</w:t>
      </w:r>
      <w:r w:rsidRPr="001D5732">
        <w:rPr>
          <w:rFonts w:ascii="Book Antiqua" w:hAnsi="Book Antiqua"/>
        </w:rPr>
        <w:t> 2008; </w:t>
      </w:r>
      <w:r w:rsidRPr="001D5732">
        <w:rPr>
          <w:rFonts w:ascii="Book Antiqua" w:hAnsi="Book Antiqua"/>
          <w:b/>
          <w:bCs/>
        </w:rPr>
        <w:t>25</w:t>
      </w:r>
      <w:r w:rsidRPr="001D5732">
        <w:rPr>
          <w:rFonts w:ascii="Book Antiqua" w:hAnsi="Book Antiqua"/>
        </w:rPr>
        <w:t>: 103-108 [PMID: 18379188 DOI: 10.1159/000121905]</w:t>
      </w:r>
    </w:p>
    <w:p w14:paraId="6F6019A4" w14:textId="77777777" w:rsidR="00795B08" w:rsidRPr="001D5732" w:rsidRDefault="00795B08" w:rsidP="00795B08">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1D5732">
        <w:rPr>
          <w:rFonts w:ascii="Book Antiqua" w:hAnsi="Book Antiqua"/>
        </w:rPr>
        <w:t>77 </w:t>
      </w:r>
      <w:r w:rsidRPr="001D5732">
        <w:rPr>
          <w:rFonts w:ascii="Book Antiqua" w:hAnsi="Book Antiqua"/>
          <w:b/>
          <w:bCs/>
        </w:rPr>
        <w:t>Bembenek AE</w:t>
      </w:r>
      <w:r w:rsidRPr="001D5732">
        <w:rPr>
          <w:rFonts w:ascii="Book Antiqua" w:hAnsi="Book Antiqua"/>
        </w:rPr>
        <w:t>, Rosenberg R, Wagler E, Gretschel S, Sendler A, Siewert JR, Nährig J, Witzigmann H, Hauss J, Knorr C, Dimmler A, Gröne J, Buhr HJ, Haier J, Herbst H, Tepel J, Siphos B, Kleespies A, Koenigsrainer A, Stoecklein NH, Horstmann O, Grützmann R, Imdahl A, Svoboda D, Wittekind C, Schneider W, Wernecke KD, Schlag PM. Sentinel lymph node biopsy in colon cancer: a prospective multicenter trial. </w:t>
      </w:r>
      <w:r w:rsidRPr="001D5732">
        <w:rPr>
          <w:rFonts w:ascii="Book Antiqua" w:hAnsi="Book Antiqua"/>
          <w:i/>
          <w:iCs/>
        </w:rPr>
        <w:t>Ann Surg</w:t>
      </w:r>
      <w:r w:rsidRPr="001D5732">
        <w:rPr>
          <w:rFonts w:ascii="Book Antiqua" w:hAnsi="Book Antiqua"/>
        </w:rPr>
        <w:t> 2007; </w:t>
      </w:r>
      <w:r w:rsidRPr="001D5732">
        <w:rPr>
          <w:rFonts w:ascii="Book Antiqua" w:hAnsi="Book Antiqua"/>
          <w:b/>
          <w:bCs/>
        </w:rPr>
        <w:t>245</w:t>
      </w:r>
      <w:r w:rsidRPr="001D5732">
        <w:rPr>
          <w:rFonts w:ascii="Book Antiqua" w:hAnsi="Book Antiqua"/>
        </w:rPr>
        <w:t>: 858-863 [PMID: 17522509 DOI: 10.1097/01.sla.0000250428.46656.7e]</w:t>
      </w:r>
    </w:p>
    <w:p w14:paraId="54C4A4A9" w14:textId="77777777" w:rsidR="00795B08" w:rsidRPr="001D5732" w:rsidRDefault="00795B08" w:rsidP="00795B08">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1D5732">
        <w:rPr>
          <w:rFonts w:ascii="Book Antiqua" w:hAnsi="Book Antiqua"/>
        </w:rPr>
        <w:t>78 </w:t>
      </w:r>
      <w:r w:rsidRPr="001D5732">
        <w:rPr>
          <w:rFonts w:ascii="Book Antiqua" w:hAnsi="Book Antiqua"/>
          <w:b/>
          <w:bCs/>
        </w:rPr>
        <w:t>Cahill RA</w:t>
      </w:r>
      <w:r w:rsidRPr="001D5732">
        <w:rPr>
          <w:rFonts w:ascii="Book Antiqua" w:hAnsi="Book Antiqua"/>
        </w:rPr>
        <w:t>, Bembenek A, Sirop S, Waterhouse DF, Schneider W, Leroy J, Wiese D, Beutler T, Bilchik A, Saha S, Schlag PM. Sentinel node biopsy for the individualization of surgical strategy for cure of early-stage colon cancer. </w:t>
      </w:r>
      <w:r w:rsidRPr="001D5732">
        <w:rPr>
          <w:rFonts w:ascii="Book Antiqua" w:hAnsi="Book Antiqua"/>
          <w:i/>
          <w:iCs/>
        </w:rPr>
        <w:t>Ann Surg Oncol</w:t>
      </w:r>
      <w:r w:rsidRPr="001D5732">
        <w:rPr>
          <w:rFonts w:ascii="Book Antiqua" w:hAnsi="Book Antiqua"/>
        </w:rPr>
        <w:t> 2009; </w:t>
      </w:r>
      <w:r w:rsidRPr="001D5732">
        <w:rPr>
          <w:rFonts w:ascii="Book Antiqua" w:hAnsi="Book Antiqua"/>
          <w:b/>
          <w:bCs/>
        </w:rPr>
        <w:t>16</w:t>
      </w:r>
      <w:r w:rsidRPr="001D5732">
        <w:rPr>
          <w:rFonts w:ascii="Book Antiqua" w:hAnsi="Book Antiqua"/>
        </w:rPr>
        <w:t>: 2170-2180 [PMID: 19472012 DOI: 10.1245/s10434-009-0510-9]</w:t>
      </w:r>
    </w:p>
    <w:p w14:paraId="16EDB972" w14:textId="77777777" w:rsidR="00795B08" w:rsidRPr="001D5732" w:rsidRDefault="00795B08" w:rsidP="00795B08">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1D5732">
        <w:rPr>
          <w:rFonts w:ascii="Book Antiqua" w:hAnsi="Book Antiqua"/>
        </w:rPr>
        <w:t>79 </w:t>
      </w:r>
      <w:r w:rsidRPr="001D5732">
        <w:rPr>
          <w:rFonts w:ascii="Book Antiqua" w:hAnsi="Book Antiqua"/>
          <w:b/>
          <w:bCs/>
        </w:rPr>
        <w:t>Tummers QR</w:t>
      </w:r>
      <w:r w:rsidRPr="001D5732">
        <w:rPr>
          <w:rFonts w:ascii="Book Antiqua" w:hAnsi="Book Antiqua"/>
        </w:rPr>
        <w:t>, Boogerd LS, de Steur WO, Verbeek FP, Boonstra MC, Handgraaf HJ, Frangioni JV, van de Velde CJ, Hartgrink HH, Vahrmeijer AL. Near-infrared fluorescence sentinel lymph node detection in gastric cancer: A pilot study. </w:t>
      </w:r>
      <w:r w:rsidRPr="001D5732">
        <w:rPr>
          <w:rFonts w:ascii="Book Antiqua" w:hAnsi="Book Antiqua"/>
          <w:i/>
          <w:iCs/>
        </w:rPr>
        <w:t>World J Gastroenterol</w:t>
      </w:r>
      <w:r w:rsidRPr="001D5732">
        <w:rPr>
          <w:rFonts w:ascii="Book Antiqua" w:hAnsi="Book Antiqua"/>
        </w:rPr>
        <w:t> 2016; </w:t>
      </w:r>
      <w:r w:rsidRPr="001D5732">
        <w:rPr>
          <w:rFonts w:ascii="Book Antiqua" w:hAnsi="Book Antiqua"/>
          <w:b/>
          <w:bCs/>
        </w:rPr>
        <w:t>22</w:t>
      </w:r>
      <w:r w:rsidRPr="001D5732">
        <w:rPr>
          <w:rFonts w:ascii="Book Antiqua" w:hAnsi="Book Antiqua"/>
        </w:rPr>
        <w:t>: 3644-3651 [PMID: 27053856 DOI: 10.3748/wjg.v22.i13.3644]</w:t>
      </w:r>
    </w:p>
    <w:p w14:paraId="38EFF9EB" w14:textId="77777777" w:rsidR="00795B08" w:rsidRPr="001D5732" w:rsidRDefault="00795B08" w:rsidP="00795B08">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1D5732">
        <w:rPr>
          <w:rFonts w:ascii="Book Antiqua" w:hAnsi="Book Antiqua"/>
        </w:rPr>
        <w:t>80 </w:t>
      </w:r>
      <w:r w:rsidRPr="001D5732">
        <w:rPr>
          <w:rFonts w:ascii="Book Antiqua" w:hAnsi="Book Antiqua"/>
          <w:b/>
          <w:bCs/>
        </w:rPr>
        <w:t>Kitagawa Y</w:t>
      </w:r>
      <w:r w:rsidRPr="001D5732">
        <w:rPr>
          <w:rFonts w:ascii="Book Antiqua" w:hAnsi="Book Antiqua"/>
        </w:rPr>
        <w:t>, Takeuchi H, Takagi Y, Natsugoe S, Terashima M, Murakami N, Fujimura T, Tsujimoto H, Hayashi H, Yoshimizu N, Takagane A, Mohri Y, Nabeshima K, Uenosono Y, Kinami S, Sakamoto J, Morita S, Aikou T, Miwa K, Kitajima M. Sentinel node mapping for gastric cancer: a prospective multicenter trial in Japan. </w:t>
      </w:r>
      <w:r w:rsidRPr="001D5732">
        <w:rPr>
          <w:rFonts w:ascii="Book Antiqua" w:hAnsi="Book Antiqua"/>
          <w:i/>
          <w:iCs/>
        </w:rPr>
        <w:t>J Clin Oncol</w:t>
      </w:r>
      <w:r w:rsidRPr="001D5732">
        <w:rPr>
          <w:rFonts w:ascii="Book Antiqua" w:hAnsi="Book Antiqua"/>
        </w:rPr>
        <w:t> 2013; </w:t>
      </w:r>
      <w:r w:rsidRPr="001D5732">
        <w:rPr>
          <w:rFonts w:ascii="Book Antiqua" w:hAnsi="Book Antiqua"/>
          <w:b/>
          <w:bCs/>
        </w:rPr>
        <w:t>31</w:t>
      </w:r>
      <w:r w:rsidRPr="001D5732">
        <w:rPr>
          <w:rFonts w:ascii="Book Antiqua" w:hAnsi="Book Antiqua"/>
        </w:rPr>
        <w:t>: 3704-3710 [PMID: 24019550 DOI: 10.1200/JCO.2013.50.3789]</w:t>
      </w:r>
    </w:p>
    <w:p w14:paraId="69538C5A" w14:textId="77777777" w:rsidR="00795B08" w:rsidRPr="001D5732" w:rsidRDefault="00795B08" w:rsidP="00795B08">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1D5732">
        <w:rPr>
          <w:rFonts w:ascii="Book Antiqua" w:hAnsi="Book Antiqua"/>
        </w:rPr>
        <w:t>81 </w:t>
      </w:r>
      <w:r w:rsidRPr="001D5732">
        <w:rPr>
          <w:rFonts w:ascii="Book Antiqua" w:hAnsi="Book Antiqua"/>
          <w:b/>
          <w:bCs/>
        </w:rPr>
        <w:t>Miyashiro I</w:t>
      </w:r>
      <w:r w:rsidRPr="001D5732">
        <w:rPr>
          <w:rFonts w:ascii="Book Antiqua" w:hAnsi="Book Antiqua"/>
        </w:rPr>
        <w:t xml:space="preserve">, Hiratsuka M, Sasako M, Sano T, Mizusawa J, Nakamura K, Nashimoto A, Tsuburaya A, Fukushima N; Gastric Cancer Surgical Study Group (GCSSG) in the </w:t>
      </w:r>
      <w:r w:rsidRPr="001D5732">
        <w:rPr>
          <w:rFonts w:ascii="Book Antiqua" w:hAnsi="Book Antiqua"/>
        </w:rPr>
        <w:lastRenderedPageBreak/>
        <w:t>Japan Clinical Oncology Group (JCOG). High false-negative proportion of intraoperative histological examination as a serious problem for clinical application of sentinel node biopsy for early gastric cancer: final results of the Japan Clinical Oncology Group multicenter trial JCOG0302. </w:t>
      </w:r>
      <w:r w:rsidRPr="001D5732">
        <w:rPr>
          <w:rFonts w:ascii="Book Antiqua" w:hAnsi="Book Antiqua"/>
          <w:i/>
          <w:iCs/>
        </w:rPr>
        <w:t>Gastric Cancer</w:t>
      </w:r>
      <w:r w:rsidRPr="001D5732">
        <w:rPr>
          <w:rFonts w:ascii="Book Antiqua" w:hAnsi="Book Antiqua"/>
        </w:rPr>
        <w:t> 2014; </w:t>
      </w:r>
      <w:r w:rsidRPr="001D5732">
        <w:rPr>
          <w:rFonts w:ascii="Book Antiqua" w:hAnsi="Book Antiqua"/>
          <w:b/>
          <w:bCs/>
        </w:rPr>
        <w:t>17</w:t>
      </w:r>
      <w:r w:rsidRPr="001D5732">
        <w:rPr>
          <w:rFonts w:ascii="Book Antiqua" w:hAnsi="Book Antiqua"/>
        </w:rPr>
        <w:t>: 316-323 [PMID: 23933782 DOI: 10.1007/s10120-013-0285-3]</w:t>
      </w:r>
    </w:p>
    <w:p w14:paraId="453C4CAF" w14:textId="77777777" w:rsidR="00795B08" w:rsidRPr="001D5732" w:rsidRDefault="00795B08" w:rsidP="00795B08">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1D5732">
        <w:rPr>
          <w:rFonts w:ascii="Book Antiqua" w:hAnsi="Book Antiqua"/>
        </w:rPr>
        <w:t>82 </w:t>
      </w:r>
      <w:r w:rsidRPr="001D5732">
        <w:rPr>
          <w:rFonts w:ascii="Book Antiqua" w:hAnsi="Book Antiqua"/>
          <w:b/>
          <w:bCs/>
        </w:rPr>
        <w:t>Kinami S</w:t>
      </w:r>
      <w:r w:rsidRPr="001D5732">
        <w:rPr>
          <w:rFonts w:ascii="Book Antiqua" w:hAnsi="Book Antiqua"/>
        </w:rPr>
        <w:t>, Oonishi T, Fujita J, Tomita Y, Funaki H, Fujita H, Nakano Y, Ueda N, Kosaka T. Optimal settings and accuracy of indocyanine green fluorescence imaging for sentinel node biopsy in early gastric cancer. </w:t>
      </w:r>
      <w:r w:rsidRPr="001D5732">
        <w:rPr>
          <w:rFonts w:ascii="Book Antiqua" w:hAnsi="Book Antiqua"/>
          <w:i/>
          <w:iCs/>
        </w:rPr>
        <w:t>Oncol Lett</w:t>
      </w:r>
      <w:r w:rsidRPr="001D5732">
        <w:rPr>
          <w:rFonts w:ascii="Book Antiqua" w:hAnsi="Book Antiqua"/>
        </w:rPr>
        <w:t> 2016; </w:t>
      </w:r>
      <w:r w:rsidRPr="001D5732">
        <w:rPr>
          <w:rFonts w:ascii="Book Antiqua" w:hAnsi="Book Antiqua"/>
          <w:b/>
          <w:bCs/>
        </w:rPr>
        <w:t>11</w:t>
      </w:r>
      <w:r w:rsidRPr="001D5732">
        <w:rPr>
          <w:rFonts w:ascii="Book Antiqua" w:hAnsi="Book Antiqua"/>
        </w:rPr>
        <w:t>: 4055-4062 [PMID: 27313740 DOI: 10.3892/ol.2016.4492]</w:t>
      </w:r>
    </w:p>
    <w:p w14:paraId="3556B64F" w14:textId="77777777" w:rsidR="00795B08" w:rsidRPr="001D5732" w:rsidRDefault="00795B08" w:rsidP="00795B08">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1D5732">
        <w:rPr>
          <w:rFonts w:ascii="Book Antiqua" w:hAnsi="Book Antiqua"/>
        </w:rPr>
        <w:t>83 </w:t>
      </w:r>
      <w:r w:rsidRPr="001D5732">
        <w:rPr>
          <w:rFonts w:ascii="Book Antiqua" w:hAnsi="Book Antiqua"/>
          <w:b/>
          <w:bCs/>
        </w:rPr>
        <w:t>Lee CM</w:t>
      </w:r>
      <w:r w:rsidRPr="001D5732">
        <w:rPr>
          <w:rFonts w:ascii="Book Antiqua" w:hAnsi="Book Antiqua"/>
        </w:rPr>
        <w:t>, Park S, Park SH, Jung SW, Choe JW, Sul JY, Jang YJ, Mok YJ, Kim JH. Sentinel Node Mapping Using a Fluorescent Dye and Visible Light During Laparoscopic Gastrectomy for Early Gastric Cancer: Result of a Prospective Study From a Single Institute. </w:t>
      </w:r>
      <w:r w:rsidRPr="001D5732">
        <w:rPr>
          <w:rFonts w:ascii="Book Antiqua" w:hAnsi="Book Antiqua"/>
          <w:i/>
          <w:iCs/>
        </w:rPr>
        <w:t>Ann Surg</w:t>
      </w:r>
      <w:r w:rsidRPr="001D5732">
        <w:rPr>
          <w:rFonts w:ascii="Book Antiqua" w:hAnsi="Book Antiqua"/>
        </w:rPr>
        <w:t> 2017; </w:t>
      </w:r>
      <w:r w:rsidRPr="001D5732">
        <w:rPr>
          <w:rFonts w:ascii="Book Antiqua" w:hAnsi="Book Antiqua"/>
          <w:b/>
          <w:bCs/>
        </w:rPr>
        <w:t>265</w:t>
      </w:r>
      <w:r w:rsidRPr="001D5732">
        <w:rPr>
          <w:rFonts w:ascii="Book Antiqua" w:hAnsi="Book Antiqua"/>
        </w:rPr>
        <w:t>: 766-773 [PMID: 27058946 DOI: 10.1097/SLA.0000000000001739]</w:t>
      </w:r>
    </w:p>
    <w:p w14:paraId="5A9CBB48" w14:textId="77777777" w:rsidR="00795B08" w:rsidRPr="001D5732" w:rsidRDefault="00795B08" w:rsidP="00795B08">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1D5732">
        <w:rPr>
          <w:rFonts w:ascii="Book Antiqua" w:hAnsi="Book Antiqua"/>
        </w:rPr>
        <w:t>84 </w:t>
      </w:r>
      <w:r w:rsidRPr="001D5732">
        <w:rPr>
          <w:rFonts w:ascii="Book Antiqua" w:hAnsi="Book Antiqua"/>
          <w:b/>
          <w:bCs/>
        </w:rPr>
        <w:t>Weixler B</w:t>
      </w:r>
      <w:r w:rsidRPr="001D5732">
        <w:rPr>
          <w:rFonts w:ascii="Book Antiqua" w:hAnsi="Book Antiqua"/>
        </w:rPr>
        <w:t>, Rickenbacher A, Raptis DA, Viehl CT, Guller U, Rueff J, Zettl A, Zuber M. Sentinel Lymph Node Mapping with Isosulfan Blue or Indocyanine Green in Colon Cancer Shows Comparable Results and Identifies Patients with Decreased Survival: A Prospective Single-Center Trial. </w:t>
      </w:r>
      <w:r w:rsidRPr="001D5732">
        <w:rPr>
          <w:rFonts w:ascii="Book Antiqua" w:hAnsi="Book Antiqua"/>
          <w:i/>
          <w:iCs/>
        </w:rPr>
        <w:t>World J Surg</w:t>
      </w:r>
      <w:r w:rsidRPr="001D5732">
        <w:rPr>
          <w:rFonts w:ascii="Book Antiqua" w:hAnsi="Book Antiqua"/>
        </w:rPr>
        <w:t> 2017; </w:t>
      </w:r>
      <w:r w:rsidRPr="001D5732">
        <w:rPr>
          <w:rFonts w:ascii="Book Antiqua" w:hAnsi="Book Antiqua"/>
          <w:b/>
          <w:bCs/>
        </w:rPr>
        <w:t>41</w:t>
      </w:r>
      <w:r w:rsidRPr="001D5732">
        <w:rPr>
          <w:rFonts w:ascii="Book Antiqua" w:hAnsi="Book Antiqua"/>
        </w:rPr>
        <w:t>: 2378-2386 [PMID: 28508233 DOI: 10.1007/s00268-017-4051-2]</w:t>
      </w:r>
    </w:p>
    <w:p w14:paraId="49C9970B" w14:textId="77777777" w:rsidR="00795B08" w:rsidRPr="001D5732" w:rsidRDefault="00795B08" w:rsidP="00795B08">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1D5732">
        <w:rPr>
          <w:rFonts w:ascii="Book Antiqua" w:hAnsi="Book Antiqua"/>
        </w:rPr>
        <w:t>85 </w:t>
      </w:r>
      <w:r w:rsidRPr="001D5732">
        <w:rPr>
          <w:rFonts w:ascii="Book Antiqua" w:hAnsi="Book Antiqua"/>
          <w:b/>
          <w:bCs/>
        </w:rPr>
        <w:t>Güller U</w:t>
      </w:r>
      <w:r w:rsidRPr="001D5732">
        <w:rPr>
          <w:rFonts w:ascii="Book Antiqua" w:hAnsi="Book Antiqua"/>
        </w:rPr>
        <w:t>, Zettl A, Worni M, Langer I, Cabalzar-Wondberg D, Viehl CT, Demartines N, Zuber M. Molecular investigation of lymph nodes in colon cancer patients using one-step nucleic acid amplification (OSNA): a new road to better staging? </w:t>
      </w:r>
      <w:r w:rsidRPr="001D5732">
        <w:rPr>
          <w:rFonts w:ascii="Book Antiqua" w:hAnsi="Book Antiqua"/>
          <w:i/>
          <w:iCs/>
        </w:rPr>
        <w:t>Cancer</w:t>
      </w:r>
      <w:r w:rsidRPr="001D5732">
        <w:rPr>
          <w:rFonts w:ascii="Book Antiqua" w:hAnsi="Book Antiqua"/>
        </w:rPr>
        <w:t> 2012; </w:t>
      </w:r>
      <w:r w:rsidRPr="001D5732">
        <w:rPr>
          <w:rFonts w:ascii="Book Antiqua" w:hAnsi="Book Antiqua"/>
          <w:b/>
          <w:bCs/>
        </w:rPr>
        <w:t>118</w:t>
      </w:r>
      <w:r w:rsidRPr="001D5732">
        <w:rPr>
          <w:rFonts w:ascii="Book Antiqua" w:hAnsi="Book Antiqua"/>
        </w:rPr>
        <w:t>: 6039-6045 [PMID: 22684906 DOI: 10.1002/cncr.27667]</w:t>
      </w:r>
    </w:p>
    <w:p w14:paraId="55B44B53" w14:textId="77777777" w:rsidR="00795B08" w:rsidRPr="001D5732" w:rsidRDefault="00795B08" w:rsidP="00795B08">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1D5732">
        <w:rPr>
          <w:rFonts w:ascii="Book Antiqua" w:hAnsi="Book Antiqua"/>
        </w:rPr>
        <w:t>86 </w:t>
      </w:r>
      <w:r w:rsidRPr="001D5732">
        <w:rPr>
          <w:rFonts w:ascii="Book Antiqua" w:hAnsi="Book Antiqua"/>
          <w:b/>
          <w:bCs/>
        </w:rPr>
        <w:t>Vogelaar FJ</w:t>
      </w:r>
      <w:r w:rsidRPr="001D5732">
        <w:rPr>
          <w:rFonts w:ascii="Book Antiqua" w:hAnsi="Book Antiqua"/>
        </w:rPr>
        <w:t>, Reimers MS, van der Linden RL, van der Linden JC, Smit VT, Lips DJ, van de Velde CJ, Bosscha K. The diagnostic value of one-step nucleic acid amplification (OSNA) for sentinel lymph nodes in colon cancer patients. </w:t>
      </w:r>
      <w:r w:rsidRPr="001D5732">
        <w:rPr>
          <w:rFonts w:ascii="Book Antiqua" w:hAnsi="Book Antiqua"/>
          <w:i/>
          <w:iCs/>
        </w:rPr>
        <w:t>Ann Surg Oncol</w:t>
      </w:r>
      <w:r w:rsidRPr="001D5732">
        <w:rPr>
          <w:rFonts w:ascii="Book Antiqua" w:hAnsi="Book Antiqua"/>
        </w:rPr>
        <w:t> 2014; </w:t>
      </w:r>
      <w:r w:rsidRPr="001D5732">
        <w:rPr>
          <w:rFonts w:ascii="Book Antiqua" w:hAnsi="Book Antiqua"/>
          <w:b/>
          <w:bCs/>
        </w:rPr>
        <w:t>21</w:t>
      </w:r>
      <w:r w:rsidRPr="001D5732">
        <w:rPr>
          <w:rFonts w:ascii="Book Antiqua" w:hAnsi="Book Antiqua"/>
        </w:rPr>
        <w:t>: 3924-3930 [PMID: 24912612 DOI: 10.1245/s10434-014-3820-5]</w:t>
      </w:r>
    </w:p>
    <w:p w14:paraId="00BA9030" w14:textId="77777777" w:rsidR="00795B08" w:rsidRPr="001D5732" w:rsidRDefault="00795B08" w:rsidP="00795B08">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1D5732">
        <w:rPr>
          <w:rFonts w:ascii="Book Antiqua" w:hAnsi="Book Antiqua"/>
        </w:rPr>
        <w:t>87 </w:t>
      </w:r>
      <w:r w:rsidRPr="001D5732">
        <w:rPr>
          <w:rFonts w:ascii="Book Antiqua" w:hAnsi="Book Antiqua"/>
          <w:b/>
          <w:bCs/>
        </w:rPr>
        <w:t>Croner RS</w:t>
      </w:r>
      <w:r w:rsidRPr="001D5732">
        <w:rPr>
          <w:rFonts w:ascii="Book Antiqua" w:hAnsi="Book Antiqua"/>
        </w:rPr>
        <w:t xml:space="preserve">, Geppert CI, Bader FG, Nitsche U, Späth C, Rosenberg R, Zettl A, Matias-Guiu X, Tarragona J, Güller U, Stürzl M, Zuber M. Molecular staging of lymph node-negative colon carcinomas by one-step nucleic acid amplification (OSNA) results in </w:t>
      </w:r>
      <w:r w:rsidRPr="001D5732">
        <w:rPr>
          <w:rFonts w:ascii="Book Antiqua" w:hAnsi="Book Antiqua"/>
        </w:rPr>
        <w:lastRenderedPageBreak/>
        <w:t>upstaging of a quarter of patients in a prospective, European, multicentre study. </w:t>
      </w:r>
      <w:r w:rsidRPr="001D5732">
        <w:rPr>
          <w:rFonts w:ascii="Book Antiqua" w:hAnsi="Book Antiqua"/>
          <w:i/>
          <w:iCs/>
        </w:rPr>
        <w:t>Br J Cancer</w:t>
      </w:r>
      <w:r w:rsidRPr="001D5732">
        <w:rPr>
          <w:rFonts w:ascii="Book Antiqua" w:hAnsi="Book Antiqua"/>
        </w:rPr>
        <w:t> 2014; </w:t>
      </w:r>
      <w:r w:rsidRPr="001D5732">
        <w:rPr>
          <w:rFonts w:ascii="Book Antiqua" w:hAnsi="Book Antiqua"/>
          <w:b/>
          <w:bCs/>
        </w:rPr>
        <w:t>110</w:t>
      </w:r>
      <w:r w:rsidRPr="001D5732">
        <w:rPr>
          <w:rFonts w:ascii="Book Antiqua" w:hAnsi="Book Antiqua"/>
        </w:rPr>
        <w:t>: 2544-2550 [PMID: 24722182 DOI: 10.1038/bjc.2014.170]</w:t>
      </w:r>
    </w:p>
    <w:p w14:paraId="103A3D89" w14:textId="77777777" w:rsidR="00795B08" w:rsidRPr="001D5732" w:rsidRDefault="00795B08" w:rsidP="00795B08">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1D5732">
        <w:rPr>
          <w:rFonts w:ascii="Book Antiqua" w:hAnsi="Book Antiqua"/>
        </w:rPr>
        <w:t>88 </w:t>
      </w:r>
      <w:r w:rsidRPr="001D5732">
        <w:rPr>
          <w:rFonts w:ascii="Book Antiqua" w:hAnsi="Book Antiqua"/>
          <w:b/>
          <w:bCs/>
        </w:rPr>
        <w:t>Hompes D</w:t>
      </w:r>
      <w:r w:rsidRPr="001D5732">
        <w:rPr>
          <w:rFonts w:ascii="Book Antiqua" w:hAnsi="Book Antiqua"/>
        </w:rPr>
        <w:t>, D'Hoore A, Van Cutsem E, Fieuws S, Ceelen W, Peeters M, Van der Speeten K, Bertrand C, Legendre H, Kerger J. The treatment of peritoneal carcinomatosis of colorectal cancer with complete cytoreductive surgery and hyperthermic intraperitoneal peroperative chemotherapy (HIPEC) with oxaliplatin: a Belgian multicentre prospective phase II clinical study. </w:t>
      </w:r>
      <w:r w:rsidRPr="001D5732">
        <w:rPr>
          <w:rFonts w:ascii="Book Antiqua" w:hAnsi="Book Antiqua"/>
          <w:i/>
          <w:iCs/>
        </w:rPr>
        <w:t>Ann Surg Oncol</w:t>
      </w:r>
      <w:r w:rsidRPr="001D5732">
        <w:rPr>
          <w:rFonts w:ascii="Book Antiqua" w:hAnsi="Book Antiqua"/>
        </w:rPr>
        <w:t> 2012; </w:t>
      </w:r>
      <w:r w:rsidRPr="001D5732">
        <w:rPr>
          <w:rFonts w:ascii="Book Antiqua" w:hAnsi="Book Antiqua"/>
          <w:b/>
          <w:bCs/>
        </w:rPr>
        <w:t>19</w:t>
      </w:r>
      <w:r w:rsidRPr="001D5732">
        <w:rPr>
          <w:rFonts w:ascii="Book Antiqua" w:hAnsi="Book Antiqua"/>
        </w:rPr>
        <w:t>: 2186-2194 [PMID: 22395983 DOI: 10.1245/s10434-012-2264-z]</w:t>
      </w:r>
    </w:p>
    <w:p w14:paraId="255757CF" w14:textId="77777777" w:rsidR="00795B08" w:rsidRPr="001D5732" w:rsidRDefault="00795B08" w:rsidP="00795B08">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1D5732">
        <w:rPr>
          <w:rFonts w:ascii="Book Antiqua" w:hAnsi="Book Antiqua"/>
        </w:rPr>
        <w:t>89 </w:t>
      </w:r>
      <w:r w:rsidRPr="001D5732">
        <w:rPr>
          <w:rFonts w:ascii="Book Antiqua" w:hAnsi="Book Antiqua"/>
          <w:b/>
          <w:bCs/>
        </w:rPr>
        <w:t>Flood M</w:t>
      </w:r>
      <w:r w:rsidRPr="001D5732">
        <w:rPr>
          <w:rFonts w:ascii="Book Antiqua" w:hAnsi="Book Antiqua"/>
        </w:rPr>
        <w:t>, Narasimhan V, Waters P, Ramsay R, Michael M, Warrier S, Heriot A. Survival after cytoreductive surgery and hyperthermic intraperitoneal chemotherapy for colorectal peritoneal metastases: A systematic review and discussion of latest controversies. </w:t>
      </w:r>
      <w:r w:rsidRPr="001D5732">
        <w:rPr>
          <w:rFonts w:ascii="Book Antiqua" w:hAnsi="Book Antiqua"/>
          <w:i/>
          <w:iCs/>
        </w:rPr>
        <w:t>Surgeon</w:t>
      </w:r>
      <w:r w:rsidRPr="001D5732">
        <w:rPr>
          <w:rFonts w:ascii="Book Antiqua" w:hAnsi="Book Antiqua"/>
        </w:rPr>
        <w:t> 2020 [PMID: 33023847 DOI: 10.1016/j.surge.2020.08.016]</w:t>
      </w:r>
    </w:p>
    <w:p w14:paraId="22D07788" w14:textId="77777777" w:rsidR="00795B08" w:rsidRPr="001D5732" w:rsidRDefault="00795B08" w:rsidP="00795B08">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1D5732">
        <w:rPr>
          <w:rFonts w:ascii="Book Antiqua" w:hAnsi="Book Antiqua"/>
        </w:rPr>
        <w:t>90 </w:t>
      </w:r>
      <w:r w:rsidRPr="001D5732">
        <w:rPr>
          <w:rFonts w:ascii="Book Antiqua" w:hAnsi="Book Antiqua"/>
          <w:b/>
          <w:bCs/>
        </w:rPr>
        <w:t>Sugarbaker PH</w:t>
      </w:r>
      <w:r w:rsidRPr="001D5732">
        <w:rPr>
          <w:rFonts w:ascii="Book Antiqua" w:hAnsi="Book Antiqua"/>
        </w:rPr>
        <w:t>. Peritonectomy procedures. </w:t>
      </w:r>
      <w:r w:rsidRPr="001D5732">
        <w:rPr>
          <w:rFonts w:ascii="Book Antiqua" w:hAnsi="Book Antiqua"/>
          <w:i/>
          <w:iCs/>
        </w:rPr>
        <w:t>Ann Surg</w:t>
      </w:r>
      <w:r w:rsidRPr="001D5732">
        <w:rPr>
          <w:rFonts w:ascii="Book Antiqua" w:hAnsi="Book Antiqua"/>
        </w:rPr>
        <w:t> 1995; </w:t>
      </w:r>
      <w:r w:rsidRPr="001D5732">
        <w:rPr>
          <w:rFonts w:ascii="Book Antiqua" w:hAnsi="Book Antiqua"/>
          <w:b/>
          <w:bCs/>
        </w:rPr>
        <w:t>221</w:t>
      </w:r>
      <w:r w:rsidRPr="001D5732">
        <w:rPr>
          <w:rFonts w:ascii="Book Antiqua" w:hAnsi="Book Antiqua"/>
        </w:rPr>
        <w:t>: 29-42 [PMID: 7826158 DOI: 10.1097/00000658-199501000-00004]</w:t>
      </w:r>
    </w:p>
    <w:p w14:paraId="328657A3" w14:textId="77777777" w:rsidR="00795B08" w:rsidRPr="001D5732" w:rsidRDefault="00795B08" w:rsidP="00795B08">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1D5732">
        <w:rPr>
          <w:rFonts w:ascii="Book Antiqua" w:hAnsi="Book Antiqua"/>
        </w:rPr>
        <w:t>91 </w:t>
      </w:r>
      <w:r w:rsidRPr="001D5732">
        <w:rPr>
          <w:rFonts w:ascii="Book Antiqua" w:hAnsi="Book Antiqua"/>
          <w:b/>
          <w:bCs/>
        </w:rPr>
        <w:t>Saxena A</w:t>
      </w:r>
      <w:r w:rsidRPr="001D5732">
        <w:rPr>
          <w:rFonts w:ascii="Book Antiqua" w:hAnsi="Book Antiqua"/>
        </w:rPr>
        <w:t>, Yan TD, Morris DL. A critical evaluation of risk factors for complications after cytoreductive surgery and perioperative intraperitoneal chemotherapy for colorectal peritoneal carcinomatosis. </w:t>
      </w:r>
      <w:r w:rsidRPr="001D5732">
        <w:rPr>
          <w:rFonts w:ascii="Book Antiqua" w:hAnsi="Book Antiqua"/>
          <w:i/>
          <w:iCs/>
        </w:rPr>
        <w:t>World J Surg</w:t>
      </w:r>
      <w:r w:rsidRPr="001D5732">
        <w:rPr>
          <w:rFonts w:ascii="Book Antiqua" w:hAnsi="Book Antiqua"/>
        </w:rPr>
        <w:t> 2010; </w:t>
      </w:r>
      <w:r w:rsidRPr="001D5732">
        <w:rPr>
          <w:rFonts w:ascii="Book Antiqua" w:hAnsi="Book Antiqua"/>
          <w:b/>
          <w:bCs/>
        </w:rPr>
        <w:t>34</w:t>
      </w:r>
      <w:r w:rsidRPr="001D5732">
        <w:rPr>
          <w:rFonts w:ascii="Book Antiqua" w:hAnsi="Book Antiqua"/>
        </w:rPr>
        <w:t>: 70-78 [PMID: 19760317 DOI: 10.1007/s00268-009-0206-0]</w:t>
      </w:r>
    </w:p>
    <w:p w14:paraId="66DCE563" w14:textId="77777777" w:rsidR="00795B08" w:rsidRPr="001D5732" w:rsidRDefault="00795B08" w:rsidP="00795B08">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1D5732">
        <w:rPr>
          <w:rFonts w:ascii="Book Antiqua" w:hAnsi="Book Antiqua"/>
        </w:rPr>
        <w:t>92 </w:t>
      </w:r>
      <w:r w:rsidRPr="001D5732">
        <w:rPr>
          <w:rFonts w:ascii="Book Antiqua" w:hAnsi="Book Antiqua"/>
          <w:b/>
          <w:bCs/>
        </w:rPr>
        <w:t>Low RN</w:t>
      </w:r>
      <w:r w:rsidRPr="001D5732">
        <w:rPr>
          <w:rFonts w:ascii="Book Antiqua" w:hAnsi="Book Antiqua"/>
        </w:rPr>
        <w:t>, Barone RM, Lucero J. Comparison of MRI and CT for predicting the Peritoneal Cancer Index (PCI) preoperatively in patients being considered for cytoreductive surgical procedures. </w:t>
      </w:r>
      <w:r w:rsidRPr="001D5732">
        <w:rPr>
          <w:rFonts w:ascii="Book Antiqua" w:hAnsi="Book Antiqua"/>
          <w:i/>
          <w:iCs/>
        </w:rPr>
        <w:t>Ann Surg Oncol</w:t>
      </w:r>
      <w:r w:rsidRPr="001D5732">
        <w:rPr>
          <w:rFonts w:ascii="Book Antiqua" w:hAnsi="Book Antiqua"/>
        </w:rPr>
        <w:t> 2015; </w:t>
      </w:r>
      <w:r w:rsidRPr="001D5732">
        <w:rPr>
          <w:rFonts w:ascii="Book Antiqua" w:hAnsi="Book Antiqua"/>
          <w:b/>
          <w:bCs/>
        </w:rPr>
        <w:t>22</w:t>
      </w:r>
      <w:r w:rsidRPr="001D5732">
        <w:rPr>
          <w:rFonts w:ascii="Book Antiqua" w:hAnsi="Book Antiqua"/>
        </w:rPr>
        <w:t>: 1708-1715 [PMID: 25201499 DOI: 10.1245/s10434-014-4041-7]</w:t>
      </w:r>
    </w:p>
    <w:p w14:paraId="4358EF01" w14:textId="77777777" w:rsidR="00795B08" w:rsidRPr="001D5732" w:rsidRDefault="00795B08" w:rsidP="00795B08">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1D5732">
        <w:rPr>
          <w:rFonts w:ascii="Book Antiqua" w:hAnsi="Book Antiqua"/>
        </w:rPr>
        <w:t>93 </w:t>
      </w:r>
      <w:r w:rsidRPr="001D5732">
        <w:rPr>
          <w:rFonts w:ascii="Book Antiqua" w:hAnsi="Book Antiqua"/>
          <w:b/>
          <w:bCs/>
        </w:rPr>
        <w:t>Ikoma N</w:t>
      </w:r>
      <w:r w:rsidRPr="001D5732">
        <w:rPr>
          <w:rFonts w:ascii="Book Antiqua" w:hAnsi="Book Antiqua"/>
        </w:rPr>
        <w:t>, Blum M, Chiang YJ, Estrella JS, Roy-Chowdhuri S, Fournier K, Mansfield P, Ajani JA, Badgwell BD. Yield of Staging Laparoscopy and Lavage Cytology for Radiologically Occult Peritoneal Carcinomatosis of Gastric Cancer. </w:t>
      </w:r>
      <w:r w:rsidRPr="001D5732">
        <w:rPr>
          <w:rFonts w:ascii="Book Antiqua" w:hAnsi="Book Antiqua"/>
          <w:i/>
          <w:iCs/>
        </w:rPr>
        <w:t>Ann Surg Oncol</w:t>
      </w:r>
      <w:r w:rsidRPr="001D5732">
        <w:rPr>
          <w:rFonts w:ascii="Book Antiqua" w:hAnsi="Book Antiqua"/>
        </w:rPr>
        <w:t> 2016; </w:t>
      </w:r>
      <w:r w:rsidRPr="001D5732">
        <w:rPr>
          <w:rFonts w:ascii="Book Antiqua" w:hAnsi="Book Antiqua"/>
          <w:b/>
          <w:bCs/>
        </w:rPr>
        <w:t>23</w:t>
      </w:r>
      <w:r w:rsidRPr="001D5732">
        <w:rPr>
          <w:rFonts w:ascii="Book Antiqua" w:hAnsi="Book Antiqua"/>
        </w:rPr>
        <w:t>: 4332-4337 [PMID: 27384751 DOI: 10.1245/s10434-016-5409-7]</w:t>
      </w:r>
    </w:p>
    <w:p w14:paraId="45D5C80A" w14:textId="77777777" w:rsidR="00795B08" w:rsidRPr="001D5732" w:rsidRDefault="00795B08" w:rsidP="00795B08">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1D5732">
        <w:rPr>
          <w:rFonts w:ascii="Book Antiqua" w:hAnsi="Book Antiqua"/>
        </w:rPr>
        <w:t>94 </w:t>
      </w:r>
      <w:r w:rsidRPr="001D5732">
        <w:rPr>
          <w:rFonts w:ascii="Book Antiqua" w:hAnsi="Book Antiqua"/>
          <w:b/>
          <w:bCs/>
        </w:rPr>
        <w:t>Kosaka N</w:t>
      </w:r>
      <w:r w:rsidRPr="001D5732">
        <w:rPr>
          <w:rFonts w:ascii="Book Antiqua" w:hAnsi="Book Antiqua"/>
        </w:rPr>
        <w:t>, Mitsunaga M, Longmire MR, Choyke PL, Kobayashi H. Near infrared fluorescence-guided real-time endoscopic detection of peritoneal ovarian cancer nodules using intravenously injected indocyanine green. </w:t>
      </w:r>
      <w:r w:rsidRPr="001D5732">
        <w:rPr>
          <w:rFonts w:ascii="Book Antiqua" w:hAnsi="Book Antiqua"/>
          <w:i/>
          <w:iCs/>
        </w:rPr>
        <w:t>Int J Cancer</w:t>
      </w:r>
      <w:r w:rsidRPr="001D5732">
        <w:rPr>
          <w:rFonts w:ascii="Book Antiqua" w:hAnsi="Book Antiqua"/>
        </w:rPr>
        <w:t> 2011; </w:t>
      </w:r>
      <w:r w:rsidRPr="001D5732">
        <w:rPr>
          <w:rFonts w:ascii="Book Antiqua" w:hAnsi="Book Antiqua"/>
          <w:b/>
          <w:bCs/>
        </w:rPr>
        <w:t>129</w:t>
      </w:r>
      <w:r w:rsidRPr="001D5732">
        <w:rPr>
          <w:rFonts w:ascii="Book Antiqua" w:hAnsi="Book Antiqua"/>
        </w:rPr>
        <w:t>: 1671-1677 [PMID: 21469142 DOI: 10.1002/ijc.26113]</w:t>
      </w:r>
    </w:p>
    <w:p w14:paraId="3567F6D5" w14:textId="77777777" w:rsidR="00795B08" w:rsidRPr="001D5732" w:rsidRDefault="00795B08" w:rsidP="00795B08">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1D5732">
        <w:rPr>
          <w:rFonts w:ascii="Book Antiqua" w:hAnsi="Book Antiqua"/>
        </w:rPr>
        <w:lastRenderedPageBreak/>
        <w:t>95 </w:t>
      </w:r>
      <w:r w:rsidRPr="001D5732">
        <w:rPr>
          <w:rFonts w:ascii="Book Antiqua" w:hAnsi="Book Antiqua"/>
          <w:b/>
          <w:bCs/>
        </w:rPr>
        <w:t>Liberale G</w:t>
      </w:r>
      <w:r w:rsidRPr="001D5732">
        <w:rPr>
          <w:rFonts w:ascii="Book Antiqua" w:hAnsi="Book Antiqua"/>
        </w:rPr>
        <w:t>, Vankerckhove S, Caldon MG, Ahmed B, Moreau M, Nakadi IE, Larsimont D, Donckier V, Bourgeois P; Group R&amp;D for the Clinical Application of Fluorescence Imaging of the Jules Bordet</w:t>
      </w:r>
      <w:r w:rsidRPr="001D5732">
        <w:rPr>
          <w:rFonts w:ascii="Times New Roman" w:hAnsi="Times New Roman" w:cs="Times New Roman"/>
        </w:rPr>
        <w:t>ʼ</w:t>
      </w:r>
      <w:r w:rsidRPr="001D5732">
        <w:rPr>
          <w:rFonts w:ascii="Book Antiqua" w:hAnsi="Book Antiqua"/>
        </w:rPr>
        <w:t>s Institute. Fluorescence Imaging After Indocyanine Green Injection for Detection of Peritoneal Metastases in Patients Undergoing Cytoreductive Surgery for Peritoneal Carcinomatosis From Colorectal Cancer: A Pilot Study. </w:t>
      </w:r>
      <w:r w:rsidRPr="001D5732">
        <w:rPr>
          <w:rFonts w:ascii="Book Antiqua" w:hAnsi="Book Antiqua"/>
          <w:i/>
          <w:iCs/>
        </w:rPr>
        <w:t>Ann Surg</w:t>
      </w:r>
      <w:r w:rsidRPr="001D5732">
        <w:rPr>
          <w:rFonts w:ascii="Book Antiqua" w:hAnsi="Book Antiqua"/>
        </w:rPr>
        <w:t> 2016; </w:t>
      </w:r>
      <w:r w:rsidRPr="001D5732">
        <w:rPr>
          <w:rFonts w:ascii="Book Antiqua" w:hAnsi="Book Antiqua"/>
          <w:b/>
          <w:bCs/>
        </w:rPr>
        <w:t>264</w:t>
      </w:r>
      <w:r w:rsidRPr="001D5732">
        <w:rPr>
          <w:rFonts w:ascii="Book Antiqua" w:hAnsi="Book Antiqua"/>
        </w:rPr>
        <w:t>: 1110-1115 [PMID: 27828822 DOI: 10.1097/SLA.0000000000001618]</w:t>
      </w:r>
    </w:p>
    <w:p w14:paraId="707522FE" w14:textId="77777777" w:rsidR="00795B08" w:rsidRPr="001D5732" w:rsidRDefault="00795B08" w:rsidP="00795B08">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1D5732">
        <w:rPr>
          <w:rFonts w:ascii="Book Antiqua" w:hAnsi="Book Antiqua"/>
        </w:rPr>
        <w:t>96 </w:t>
      </w:r>
      <w:r w:rsidRPr="001D5732">
        <w:rPr>
          <w:rFonts w:ascii="Book Antiqua" w:hAnsi="Book Antiqua"/>
          <w:b/>
          <w:bCs/>
        </w:rPr>
        <w:t>Barabino G</w:t>
      </w:r>
      <w:r w:rsidRPr="001D5732">
        <w:rPr>
          <w:rFonts w:ascii="Book Antiqua" w:hAnsi="Book Antiqua"/>
        </w:rPr>
        <w:t>, Klein JP, Porcheron J, Grichine A, Coll JL, Cottier M. Intraoperative Near-Infrared Fluorescence Imaging using indocyanine green in colorectal carcinomatosis surgery: Proof of concept. </w:t>
      </w:r>
      <w:r w:rsidRPr="001D5732">
        <w:rPr>
          <w:rFonts w:ascii="Book Antiqua" w:hAnsi="Book Antiqua"/>
          <w:i/>
          <w:iCs/>
        </w:rPr>
        <w:t>Eur J Surg Oncol</w:t>
      </w:r>
      <w:r w:rsidRPr="001D5732">
        <w:rPr>
          <w:rFonts w:ascii="Book Antiqua" w:hAnsi="Book Antiqua"/>
        </w:rPr>
        <w:t> 2016; </w:t>
      </w:r>
      <w:r w:rsidRPr="001D5732">
        <w:rPr>
          <w:rFonts w:ascii="Book Antiqua" w:hAnsi="Book Antiqua"/>
          <w:b/>
          <w:bCs/>
        </w:rPr>
        <w:t>42</w:t>
      </w:r>
      <w:r w:rsidRPr="001D5732">
        <w:rPr>
          <w:rFonts w:ascii="Book Antiqua" w:hAnsi="Book Antiqua"/>
        </w:rPr>
        <w:t>: 1931-1937 [PMID: 27378159 DOI: 10.1016/j.ejso.2016.06.389]</w:t>
      </w:r>
    </w:p>
    <w:p w14:paraId="58CC4D67" w14:textId="77777777" w:rsidR="00795B08" w:rsidRPr="001D5732" w:rsidRDefault="00795B08" w:rsidP="00795B08">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1D5732">
        <w:rPr>
          <w:rFonts w:ascii="Book Antiqua" w:hAnsi="Book Antiqua"/>
        </w:rPr>
        <w:t>97 </w:t>
      </w:r>
      <w:bookmarkStart w:id="66" w:name="OLE_LINK39"/>
      <w:bookmarkStart w:id="67" w:name="OLE_LINK40"/>
      <w:r w:rsidRPr="001D5732">
        <w:rPr>
          <w:rFonts w:ascii="Book Antiqua" w:hAnsi="Book Antiqua"/>
          <w:b/>
          <w:bCs/>
        </w:rPr>
        <w:t xml:space="preserve">Filippello </w:t>
      </w:r>
      <w:bookmarkEnd w:id="66"/>
      <w:bookmarkEnd w:id="67"/>
      <w:r w:rsidRPr="001D5732">
        <w:rPr>
          <w:rFonts w:ascii="Book Antiqua" w:hAnsi="Book Antiqua"/>
          <w:b/>
          <w:bCs/>
        </w:rPr>
        <w:t>A</w:t>
      </w:r>
      <w:r w:rsidRPr="001D5732">
        <w:rPr>
          <w:rFonts w:ascii="Book Antiqua" w:hAnsi="Book Antiqua"/>
        </w:rPr>
        <w:t>, Porcheron J, Klein JP, Cottier M, Barabino G. Affinity of Indocyanine Green in the Detection of Colorectal Peritoneal Carcinomatosis. </w:t>
      </w:r>
      <w:r w:rsidRPr="001D5732">
        <w:rPr>
          <w:rFonts w:ascii="Book Antiqua" w:hAnsi="Book Antiqua"/>
          <w:i/>
          <w:iCs/>
        </w:rPr>
        <w:t>Surg Innov</w:t>
      </w:r>
      <w:r w:rsidRPr="001D5732">
        <w:rPr>
          <w:rFonts w:ascii="Book Antiqua" w:hAnsi="Book Antiqua"/>
        </w:rPr>
        <w:t> 2017; </w:t>
      </w:r>
      <w:r w:rsidRPr="001D5732">
        <w:rPr>
          <w:rFonts w:ascii="Book Antiqua" w:hAnsi="Book Antiqua"/>
          <w:b/>
          <w:bCs/>
        </w:rPr>
        <w:t>24</w:t>
      </w:r>
      <w:r w:rsidRPr="001D5732">
        <w:rPr>
          <w:rFonts w:ascii="Book Antiqua" w:hAnsi="Book Antiqua"/>
        </w:rPr>
        <w:t>: 103-108 [PMID: 27909239 DOI: 10.1177/1553350616681897]</w:t>
      </w:r>
    </w:p>
    <w:p w14:paraId="30C24E3F" w14:textId="77777777" w:rsidR="00795B08" w:rsidRPr="001D5732" w:rsidRDefault="00795B08" w:rsidP="00795B08">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1D5732">
        <w:rPr>
          <w:rFonts w:ascii="Book Antiqua" w:hAnsi="Book Antiqua"/>
        </w:rPr>
        <w:t>98 </w:t>
      </w:r>
      <w:r w:rsidRPr="001D5732">
        <w:rPr>
          <w:rFonts w:ascii="Book Antiqua" w:hAnsi="Book Antiqua"/>
          <w:b/>
          <w:bCs/>
        </w:rPr>
        <w:t>Liberale G</w:t>
      </w:r>
      <w:r w:rsidRPr="001D5732">
        <w:rPr>
          <w:rFonts w:ascii="Book Antiqua" w:hAnsi="Book Antiqua"/>
        </w:rPr>
        <w:t>, Bourgeois P, Donckier V; R&amp;D Clinical Applications Fluorescence Imagings (GCAFI). Comments on "intraoperative near-infrared fluorescence imaging using indocyanine green in colorectal carcinomatosis surgery: proof of concept". </w:t>
      </w:r>
      <w:r w:rsidRPr="001D5732">
        <w:rPr>
          <w:rFonts w:ascii="Book Antiqua" w:hAnsi="Book Antiqua"/>
          <w:i/>
          <w:iCs/>
        </w:rPr>
        <w:t>Eur J Surg Oncol</w:t>
      </w:r>
      <w:r w:rsidRPr="001D5732">
        <w:rPr>
          <w:rFonts w:ascii="Book Antiqua" w:hAnsi="Book Antiqua"/>
        </w:rPr>
        <w:t> 2017; </w:t>
      </w:r>
      <w:r w:rsidRPr="001D5732">
        <w:rPr>
          <w:rFonts w:ascii="Book Antiqua" w:hAnsi="Book Antiqua"/>
          <w:b/>
          <w:bCs/>
        </w:rPr>
        <w:t>43</w:t>
      </w:r>
      <w:r w:rsidRPr="001D5732">
        <w:rPr>
          <w:rFonts w:ascii="Book Antiqua" w:hAnsi="Book Antiqua"/>
        </w:rPr>
        <w:t>: 240-241 [PMID: 27720565 DOI: 10.1016/j.ejso.2016.08.025]</w:t>
      </w:r>
    </w:p>
    <w:p w14:paraId="29409AF5" w14:textId="77777777" w:rsidR="00795B08" w:rsidRPr="001D5732" w:rsidRDefault="00795B08" w:rsidP="00795B08">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1D5732">
        <w:rPr>
          <w:rFonts w:ascii="Book Antiqua" w:hAnsi="Book Antiqua"/>
        </w:rPr>
        <w:t>99 </w:t>
      </w:r>
      <w:r w:rsidRPr="001D5732">
        <w:rPr>
          <w:rFonts w:ascii="Book Antiqua" w:hAnsi="Book Antiqua"/>
          <w:b/>
          <w:bCs/>
        </w:rPr>
        <w:t>Barabino G</w:t>
      </w:r>
      <w:r w:rsidRPr="001D5732">
        <w:rPr>
          <w:rFonts w:ascii="Book Antiqua" w:hAnsi="Book Antiqua"/>
        </w:rPr>
        <w:t>, Klein JP, Porcheron J, Grichine A, Coll JL, Cottier M. Reply to: Comments on 'Intraoperative near-infrared fluorescence imaging using indocyanine green in colorectal carcinomatosis surgery: Proof of concept'. </w:t>
      </w:r>
      <w:r w:rsidRPr="001D5732">
        <w:rPr>
          <w:rFonts w:ascii="Book Antiqua" w:hAnsi="Book Antiqua"/>
          <w:i/>
          <w:iCs/>
        </w:rPr>
        <w:t>Eur J Surg Oncol</w:t>
      </w:r>
      <w:r w:rsidRPr="001D5732">
        <w:rPr>
          <w:rFonts w:ascii="Book Antiqua" w:hAnsi="Book Antiqua"/>
        </w:rPr>
        <w:t> 2017; </w:t>
      </w:r>
      <w:r w:rsidRPr="001D5732">
        <w:rPr>
          <w:rFonts w:ascii="Book Antiqua" w:hAnsi="Book Antiqua"/>
          <w:b/>
          <w:bCs/>
        </w:rPr>
        <w:t>43</w:t>
      </w:r>
      <w:r w:rsidRPr="001D5732">
        <w:rPr>
          <w:rFonts w:ascii="Book Antiqua" w:hAnsi="Book Antiqua"/>
        </w:rPr>
        <w:t>: 242-243 [PMID: 27780676 DOI: 10.1016/j.ejso.2016.10.001]</w:t>
      </w:r>
    </w:p>
    <w:p w14:paraId="2E857B34" w14:textId="77777777" w:rsidR="00795B08" w:rsidRPr="001D5732" w:rsidRDefault="00795B08" w:rsidP="00795B08">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1D5732">
        <w:rPr>
          <w:rFonts w:ascii="Book Antiqua" w:hAnsi="Book Antiqua"/>
        </w:rPr>
        <w:t>100 </w:t>
      </w:r>
      <w:r w:rsidRPr="001D5732">
        <w:rPr>
          <w:rFonts w:ascii="Book Antiqua" w:hAnsi="Book Antiqua"/>
          <w:b/>
          <w:bCs/>
        </w:rPr>
        <w:t>Lieto E</w:t>
      </w:r>
      <w:r w:rsidRPr="001D5732">
        <w:rPr>
          <w:rFonts w:ascii="Book Antiqua" w:hAnsi="Book Antiqua"/>
        </w:rPr>
        <w:t>, Auricchio A, Cardella F, Mabilia A, Basile N, Castellano P, Orditura M, Galizia G. Fluorescence-Guided Surgery in the Combined Treatment of Peritoneal Carcinomatosis from Colorectal Cancer: Preliminary Results and Considerations. </w:t>
      </w:r>
      <w:r w:rsidRPr="001D5732">
        <w:rPr>
          <w:rFonts w:ascii="Book Antiqua" w:hAnsi="Book Antiqua"/>
          <w:i/>
          <w:iCs/>
        </w:rPr>
        <w:t>World J Surg</w:t>
      </w:r>
      <w:r w:rsidRPr="001D5732">
        <w:rPr>
          <w:rFonts w:ascii="Book Antiqua" w:hAnsi="Book Antiqua"/>
        </w:rPr>
        <w:t> 2018; </w:t>
      </w:r>
      <w:r w:rsidRPr="001D5732">
        <w:rPr>
          <w:rFonts w:ascii="Book Antiqua" w:hAnsi="Book Antiqua"/>
          <w:b/>
          <w:bCs/>
        </w:rPr>
        <w:t>42</w:t>
      </w:r>
      <w:r w:rsidRPr="001D5732">
        <w:rPr>
          <w:rFonts w:ascii="Book Antiqua" w:hAnsi="Book Antiqua"/>
        </w:rPr>
        <w:t>: 1154-1160 [PMID: 28929277 DOI: 10.1007/s00268-017-4237-7]</w:t>
      </w:r>
    </w:p>
    <w:p w14:paraId="51D43755" w14:textId="77777777" w:rsidR="00795B08" w:rsidRPr="001D5732" w:rsidRDefault="00795B08" w:rsidP="00795B08">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1D5732">
        <w:rPr>
          <w:rFonts w:ascii="Book Antiqua" w:hAnsi="Book Antiqua"/>
        </w:rPr>
        <w:t>101 </w:t>
      </w:r>
      <w:r w:rsidRPr="001D5732">
        <w:rPr>
          <w:rFonts w:ascii="Book Antiqua" w:hAnsi="Book Antiqua"/>
          <w:b/>
          <w:bCs/>
        </w:rPr>
        <w:t>Muto M</w:t>
      </w:r>
      <w:r w:rsidRPr="001D5732">
        <w:rPr>
          <w:rFonts w:ascii="Book Antiqua" w:hAnsi="Book Antiqua"/>
        </w:rPr>
        <w:t>, Horimatsu T, Ezoe Y, Hori K, Yukawa Y, Morita S, Miyamoto S, Chiba T. Narrow-band imaging of the gastrointestinal tract. </w:t>
      </w:r>
      <w:r w:rsidRPr="001D5732">
        <w:rPr>
          <w:rFonts w:ascii="Book Antiqua" w:hAnsi="Book Antiqua"/>
          <w:i/>
          <w:iCs/>
        </w:rPr>
        <w:t>J Gastroenterol</w:t>
      </w:r>
      <w:r w:rsidRPr="001D5732">
        <w:rPr>
          <w:rFonts w:ascii="Book Antiqua" w:hAnsi="Book Antiqua"/>
        </w:rPr>
        <w:t> 2009; </w:t>
      </w:r>
      <w:r w:rsidRPr="001D5732">
        <w:rPr>
          <w:rFonts w:ascii="Book Antiqua" w:hAnsi="Book Antiqua"/>
          <w:b/>
          <w:bCs/>
        </w:rPr>
        <w:t>44</w:t>
      </w:r>
      <w:r w:rsidRPr="001D5732">
        <w:rPr>
          <w:rFonts w:ascii="Book Antiqua" w:hAnsi="Book Antiqua"/>
        </w:rPr>
        <w:t>: 13-25 [PMID: 19159070 DOI: 10.1007/s00535-008-2291-5]</w:t>
      </w:r>
    </w:p>
    <w:p w14:paraId="555B8F9E" w14:textId="77777777" w:rsidR="00795B08" w:rsidRPr="001D5732" w:rsidRDefault="00795B08" w:rsidP="00795B08">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1D5732">
        <w:rPr>
          <w:rFonts w:ascii="Book Antiqua" w:hAnsi="Book Antiqua"/>
        </w:rPr>
        <w:t>102 </w:t>
      </w:r>
      <w:r w:rsidRPr="001D5732">
        <w:rPr>
          <w:rFonts w:ascii="Book Antiqua" w:hAnsi="Book Antiqua"/>
          <w:b/>
          <w:bCs/>
        </w:rPr>
        <w:t>Gono K</w:t>
      </w:r>
      <w:r w:rsidRPr="001D5732">
        <w:rPr>
          <w:rFonts w:ascii="Book Antiqua" w:hAnsi="Book Antiqua"/>
        </w:rPr>
        <w:t>. Narrow Band Imaging: Technology Basis and Research and Development History. </w:t>
      </w:r>
      <w:r w:rsidRPr="001D5732">
        <w:rPr>
          <w:rFonts w:ascii="Book Antiqua" w:hAnsi="Book Antiqua"/>
          <w:i/>
          <w:iCs/>
        </w:rPr>
        <w:t>Clin Endosc</w:t>
      </w:r>
      <w:r w:rsidRPr="001D5732">
        <w:rPr>
          <w:rFonts w:ascii="Book Antiqua" w:hAnsi="Book Antiqua"/>
        </w:rPr>
        <w:t> 2015; </w:t>
      </w:r>
      <w:r w:rsidRPr="001D5732">
        <w:rPr>
          <w:rFonts w:ascii="Book Antiqua" w:hAnsi="Book Antiqua"/>
          <w:b/>
          <w:bCs/>
        </w:rPr>
        <w:t>48</w:t>
      </w:r>
      <w:r w:rsidRPr="001D5732">
        <w:rPr>
          <w:rFonts w:ascii="Book Antiqua" w:hAnsi="Book Antiqua"/>
        </w:rPr>
        <w:t>: 476-480 [PMID: 26668792 DOI: 10.5946/ce.2015.48.6.476]</w:t>
      </w:r>
    </w:p>
    <w:p w14:paraId="34A19523" w14:textId="77777777" w:rsidR="00795B08" w:rsidRPr="001D5732" w:rsidRDefault="00795B08" w:rsidP="00795B08">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1D5732">
        <w:rPr>
          <w:rFonts w:ascii="Book Antiqua" w:hAnsi="Book Antiqua"/>
        </w:rPr>
        <w:lastRenderedPageBreak/>
        <w:t>103 </w:t>
      </w:r>
      <w:r w:rsidRPr="001D5732">
        <w:rPr>
          <w:rFonts w:ascii="Book Antiqua" w:hAnsi="Book Antiqua"/>
          <w:b/>
          <w:bCs/>
        </w:rPr>
        <w:t>Kikuchi H</w:t>
      </w:r>
      <w:r w:rsidRPr="001D5732">
        <w:rPr>
          <w:rFonts w:ascii="Book Antiqua" w:hAnsi="Book Antiqua"/>
        </w:rPr>
        <w:t>, Kamiya K, Hiramatsu Y, Miyazaki S, Yamamoto M, Ohta M, Baba S, Konno H. Laparoscopic narrow-band imaging for the diagnosis of peritoneal metastasis in gastric cancer. </w:t>
      </w:r>
      <w:r w:rsidRPr="001D5732">
        <w:rPr>
          <w:rFonts w:ascii="Book Antiqua" w:hAnsi="Book Antiqua"/>
          <w:i/>
          <w:iCs/>
        </w:rPr>
        <w:t>Ann Surg Oncol</w:t>
      </w:r>
      <w:r w:rsidRPr="001D5732">
        <w:rPr>
          <w:rFonts w:ascii="Book Antiqua" w:hAnsi="Book Antiqua"/>
        </w:rPr>
        <w:t> 2014; </w:t>
      </w:r>
      <w:r w:rsidRPr="001D5732">
        <w:rPr>
          <w:rFonts w:ascii="Book Antiqua" w:hAnsi="Book Antiqua"/>
          <w:b/>
          <w:bCs/>
        </w:rPr>
        <w:t>21</w:t>
      </w:r>
      <w:r w:rsidRPr="001D5732">
        <w:rPr>
          <w:rFonts w:ascii="Book Antiqua" w:hAnsi="Book Antiqua"/>
        </w:rPr>
        <w:t>: 3954-3962 [PMID: 24859934 DOI: 10.1245/s10434-014-3781-8]</w:t>
      </w:r>
    </w:p>
    <w:p w14:paraId="35E33968" w14:textId="77777777" w:rsidR="00795B08" w:rsidRPr="001D5732" w:rsidRDefault="00795B08" w:rsidP="00795B08">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1D5732">
        <w:rPr>
          <w:rFonts w:ascii="Book Antiqua" w:hAnsi="Book Antiqua"/>
        </w:rPr>
        <w:t>104 </w:t>
      </w:r>
      <w:r w:rsidRPr="001D5732">
        <w:rPr>
          <w:rFonts w:ascii="Book Antiqua" w:hAnsi="Book Antiqua"/>
          <w:b/>
          <w:bCs/>
        </w:rPr>
        <w:t>Sluiter NR</w:t>
      </w:r>
      <w:r w:rsidRPr="001D5732">
        <w:rPr>
          <w:rFonts w:ascii="Book Antiqua" w:hAnsi="Book Antiqua"/>
        </w:rPr>
        <w:t>, Vlek SL, Wijsmuller AR, Brandsma HT, de Vet HCW, van Grieken NCT, Kazemier G, Tuynman JB. Narrow-Band Imaging Improves Detection of Colorectal Peritoneal Metastases: A Clinical Study Comparing Advanced Imaging Techniques. </w:t>
      </w:r>
      <w:r w:rsidRPr="001D5732">
        <w:rPr>
          <w:rFonts w:ascii="Book Antiqua" w:hAnsi="Book Antiqua"/>
          <w:i/>
          <w:iCs/>
        </w:rPr>
        <w:t>Ann Surg Oncol</w:t>
      </w:r>
      <w:r w:rsidRPr="001D5732">
        <w:rPr>
          <w:rFonts w:ascii="Book Antiqua" w:hAnsi="Book Antiqua"/>
        </w:rPr>
        <w:t> 2019; </w:t>
      </w:r>
      <w:r w:rsidRPr="001D5732">
        <w:rPr>
          <w:rFonts w:ascii="Book Antiqua" w:hAnsi="Book Antiqua"/>
          <w:b/>
          <w:bCs/>
        </w:rPr>
        <w:t>26</w:t>
      </w:r>
      <w:r w:rsidRPr="001D5732">
        <w:rPr>
          <w:rFonts w:ascii="Book Antiqua" w:hAnsi="Book Antiqua"/>
        </w:rPr>
        <w:t>: 156-164 [PMID: 30421052 DOI: 10.1245/s10434-018-7005-5]</w:t>
      </w:r>
    </w:p>
    <w:p w14:paraId="691E0E84" w14:textId="77777777" w:rsidR="00795B08" w:rsidRPr="001D5732" w:rsidRDefault="00795B08" w:rsidP="00795B08">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1D5732">
        <w:rPr>
          <w:rFonts w:ascii="Book Antiqua" w:hAnsi="Book Antiqua"/>
        </w:rPr>
        <w:t>105 </w:t>
      </w:r>
      <w:r w:rsidRPr="001D5732">
        <w:rPr>
          <w:rFonts w:ascii="Book Antiqua" w:hAnsi="Book Antiqua"/>
          <w:b/>
          <w:bCs/>
        </w:rPr>
        <w:t>Harlaar NJ</w:t>
      </w:r>
      <w:r w:rsidRPr="001D5732">
        <w:rPr>
          <w:rFonts w:ascii="Book Antiqua" w:hAnsi="Book Antiqua"/>
        </w:rPr>
        <w:t>, Koller M, de Jongh SJ, van Leeuwen BL, Hemmer PH, Kruijff S, van Ginkel RJ, Been LB, de Jong JS, Kats-Ugurlu G, Linssen MD, Jorritsma-Smit A, van Oosten M, Nagengast WB, Ntziachristos V, van Dam GM. Molecular fluorescence-guided surgery of peritoneal carcinomatosis of colorectal origin: a single-centre feasibility study. </w:t>
      </w:r>
      <w:r w:rsidRPr="001D5732">
        <w:rPr>
          <w:rFonts w:ascii="Book Antiqua" w:hAnsi="Book Antiqua"/>
          <w:i/>
          <w:iCs/>
        </w:rPr>
        <w:t>Lancet Gastroenterol Hepatol</w:t>
      </w:r>
      <w:r w:rsidRPr="001D5732">
        <w:rPr>
          <w:rFonts w:ascii="Book Antiqua" w:hAnsi="Book Antiqua"/>
        </w:rPr>
        <w:t> 2016; </w:t>
      </w:r>
      <w:r w:rsidRPr="001D5732">
        <w:rPr>
          <w:rFonts w:ascii="Book Antiqua" w:hAnsi="Book Antiqua"/>
          <w:b/>
          <w:bCs/>
        </w:rPr>
        <w:t>1</w:t>
      </w:r>
      <w:r w:rsidRPr="001D5732">
        <w:rPr>
          <w:rFonts w:ascii="Book Antiqua" w:hAnsi="Book Antiqua"/>
        </w:rPr>
        <w:t>: 283-290 [PMID: 28404198 DOI: 10.1016/S2468-1253(16)30082-6]</w:t>
      </w:r>
    </w:p>
    <w:p w14:paraId="411FBF96" w14:textId="77777777" w:rsidR="00795B08" w:rsidRPr="001D5732" w:rsidRDefault="00795B08" w:rsidP="00795B08">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1D5732">
        <w:rPr>
          <w:rFonts w:ascii="Book Antiqua" w:hAnsi="Book Antiqua"/>
        </w:rPr>
        <w:t>106 </w:t>
      </w:r>
      <w:r w:rsidRPr="001D5732">
        <w:rPr>
          <w:rFonts w:ascii="Book Antiqua" w:hAnsi="Book Antiqua"/>
          <w:b/>
          <w:bCs/>
        </w:rPr>
        <w:t>Schaap DP</w:t>
      </w:r>
      <w:r w:rsidRPr="001D5732">
        <w:rPr>
          <w:rFonts w:ascii="Book Antiqua" w:hAnsi="Book Antiqua"/>
        </w:rPr>
        <w:t>, de Valk KS, Deken MM, Meijer RPJ, Burggraaf J, Vahrmeijer AL, Kusters M; SGM-101 study group. Carcinoembryonic antigen-specific, fluorescent image-guided cytoreductive surgery with hyperthermic intraperitoneal chemotherapy for metastatic colorectal cancer. </w:t>
      </w:r>
      <w:r w:rsidRPr="001D5732">
        <w:rPr>
          <w:rFonts w:ascii="Book Antiqua" w:hAnsi="Book Antiqua"/>
          <w:i/>
          <w:iCs/>
        </w:rPr>
        <w:t>Br J Surg</w:t>
      </w:r>
      <w:r w:rsidRPr="001D5732">
        <w:rPr>
          <w:rFonts w:ascii="Book Antiqua" w:hAnsi="Book Antiqua"/>
        </w:rPr>
        <w:t> 2020; </w:t>
      </w:r>
      <w:r w:rsidRPr="001D5732">
        <w:rPr>
          <w:rFonts w:ascii="Book Antiqua" w:hAnsi="Book Antiqua"/>
          <w:b/>
          <w:bCs/>
        </w:rPr>
        <w:t>107</w:t>
      </w:r>
      <w:r w:rsidRPr="001D5732">
        <w:rPr>
          <w:rFonts w:ascii="Book Antiqua" w:hAnsi="Book Antiqua"/>
        </w:rPr>
        <w:t>: 334-337 [PMID: 31960953 DOI: 10.1002/bjs.11523]</w:t>
      </w:r>
    </w:p>
    <w:p w14:paraId="7A05AAF7" w14:textId="77777777" w:rsidR="00795B08" w:rsidRPr="001D5732" w:rsidRDefault="00795B08" w:rsidP="00795B08">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1D5732">
        <w:rPr>
          <w:rFonts w:ascii="Book Antiqua" w:hAnsi="Book Antiqua"/>
        </w:rPr>
        <w:t>107 </w:t>
      </w:r>
      <w:r w:rsidRPr="001D5732">
        <w:rPr>
          <w:rFonts w:ascii="Book Antiqua" w:hAnsi="Book Antiqua"/>
          <w:b/>
          <w:bCs/>
        </w:rPr>
        <w:t>de Jongh SJ</w:t>
      </w:r>
      <w:r w:rsidRPr="001D5732">
        <w:rPr>
          <w:rFonts w:ascii="Book Antiqua" w:hAnsi="Book Antiqua"/>
        </w:rPr>
        <w:t>, Tjalma JJJ, Koller M, Linssen MD, Vonk J, Dobosz M, Jorritsma-Smit A, Kleibeuker JH, Hospers GAP, Havenga K, Hemmer PHJ, Karrenbeld A, van Dam GM, van Etten B, Nagengast WB. Back-Table Fluorescence-Guided Imaging for Circumferential Resection Margin Evaluation Using Bevacizumab-800CW in Patients with Locally Advanced Rectal Cancer. </w:t>
      </w:r>
      <w:r w:rsidRPr="001D5732">
        <w:rPr>
          <w:rFonts w:ascii="Book Antiqua" w:hAnsi="Book Antiqua"/>
          <w:i/>
          <w:iCs/>
        </w:rPr>
        <w:t>J Nucl Med</w:t>
      </w:r>
      <w:r w:rsidRPr="001D5732">
        <w:rPr>
          <w:rFonts w:ascii="Book Antiqua" w:hAnsi="Book Antiqua"/>
        </w:rPr>
        <w:t> 2020; </w:t>
      </w:r>
      <w:r w:rsidRPr="001D5732">
        <w:rPr>
          <w:rFonts w:ascii="Book Antiqua" w:hAnsi="Book Antiqua"/>
          <w:b/>
          <w:bCs/>
        </w:rPr>
        <w:t>61</w:t>
      </w:r>
      <w:r w:rsidRPr="001D5732">
        <w:rPr>
          <w:rFonts w:ascii="Book Antiqua" w:hAnsi="Book Antiqua"/>
        </w:rPr>
        <w:t>: 655-661 [PMID: 31628218 DOI: 10.2967/jnumed.119.232355]</w:t>
      </w:r>
      <w:bookmarkEnd w:id="61"/>
      <w:bookmarkEnd w:id="62"/>
    </w:p>
    <w:bookmarkEnd w:id="63"/>
    <w:p w14:paraId="467CBEE4" w14:textId="77777777" w:rsidR="00A77B3E" w:rsidRPr="001D5732" w:rsidRDefault="00A77B3E">
      <w:pPr>
        <w:spacing w:line="360" w:lineRule="auto"/>
        <w:jc w:val="both"/>
        <w:sectPr w:rsidR="00A77B3E" w:rsidRPr="001D5732">
          <w:pgSz w:w="12240" w:h="15840"/>
          <w:pgMar w:top="1440" w:right="1440" w:bottom="1440" w:left="1440" w:header="720" w:footer="720" w:gutter="0"/>
          <w:cols w:space="720"/>
          <w:docGrid w:linePitch="360"/>
        </w:sectPr>
      </w:pPr>
    </w:p>
    <w:p w14:paraId="3AB3FFBA" w14:textId="77777777" w:rsidR="00A77B3E" w:rsidRPr="001D5732" w:rsidRDefault="0052574D">
      <w:pPr>
        <w:spacing w:line="360" w:lineRule="auto"/>
        <w:jc w:val="both"/>
      </w:pPr>
      <w:r w:rsidRPr="001D5732">
        <w:rPr>
          <w:rFonts w:ascii="Book Antiqua" w:eastAsia="Book Antiqua" w:hAnsi="Book Antiqua" w:cs="Book Antiqua"/>
          <w:b/>
          <w:color w:val="000000"/>
        </w:rPr>
        <w:lastRenderedPageBreak/>
        <w:t>Footnotes</w:t>
      </w:r>
    </w:p>
    <w:p w14:paraId="266666AD" w14:textId="77777777" w:rsidR="00A77B3E" w:rsidRPr="001D5732" w:rsidRDefault="0052574D">
      <w:pPr>
        <w:spacing w:line="360" w:lineRule="auto"/>
        <w:jc w:val="both"/>
      </w:pPr>
      <w:r w:rsidRPr="001D5732">
        <w:rPr>
          <w:rFonts w:ascii="Book Antiqua" w:eastAsia="Book Antiqua" w:hAnsi="Book Antiqua" w:cs="Book Antiqua"/>
          <w:b/>
          <w:bCs/>
          <w:color w:val="000000"/>
        </w:rPr>
        <w:t xml:space="preserve">Conflict-of-interest statement: </w:t>
      </w:r>
      <w:bookmarkStart w:id="68" w:name="OLE_LINK184"/>
      <w:r w:rsidRPr="001D5732">
        <w:rPr>
          <w:rFonts w:ascii="Book Antiqua" w:eastAsia="Book Antiqua" w:hAnsi="Book Antiqua" w:cs="Book Antiqua"/>
          <w:color w:val="000000"/>
          <w:shd w:val="clear" w:color="auto" w:fill="FFFFFF"/>
        </w:rPr>
        <w:t>The authors declare no conflict of interest.</w:t>
      </w:r>
      <w:bookmarkEnd w:id="68"/>
    </w:p>
    <w:p w14:paraId="417DC819" w14:textId="77777777" w:rsidR="00A77B3E" w:rsidRPr="001D5732" w:rsidRDefault="00A77B3E">
      <w:pPr>
        <w:spacing w:line="360" w:lineRule="auto"/>
        <w:jc w:val="both"/>
      </w:pPr>
    </w:p>
    <w:p w14:paraId="11724B57" w14:textId="77777777" w:rsidR="00A77B3E" w:rsidRPr="001D5732" w:rsidRDefault="0052574D">
      <w:pPr>
        <w:spacing w:line="360" w:lineRule="auto"/>
        <w:jc w:val="both"/>
      </w:pPr>
      <w:r w:rsidRPr="001D5732">
        <w:rPr>
          <w:rFonts w:ascii="Book Antiqua" w:eastAsia="Book Antiqua" w:hAnsi="Book Antiqua" w:cs="Book Antiqua"/>
          <w:b/>
          <w:bCs/>
          <w:color w:val="000000"/>
        </w:rPr>
        <w:t xml:space="preserve">Open-Access: </w:t>
      </w:r>
      <w:r w:rsidRPr="001D5732">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68C0FD6E" w14:textId="77777777" w:rsidR="00A77B3E" w:rsidRPr="001D5732" w:rsidRDefault="00A77B3E">
      <w:pPr>
        <w:spacing w:line="360" w:lineRule="auto"/>
        <w:jc w:val="both"/>
      </w:pPr>
    </w:p>
    <w:p w14:paraId="4EC740F9" w14:textId="54551006" w:rsidR="00A77B3E" w:rsidRPr="001D5732" w:rsidRDefault="0052574D">
      <w:pPr>
        <w:spacing w:line="360" w:lineRule="auto"/>
        <w:jc w:val="both"/>
        <w:rPr>
          <w:rFonts w:ascii="Book Antiqua" w:eastAsia="Book Antiqua" w:hAnsi="Book Antiqua" w:cs="Book Antiqua"/>
          <w:color w:val="000000"/>
        </w:rPr>
      </w:pPr>
      <w:r w:rsidRPr="001D5732">
        <w:rPr>
          <w:rFonts w:ascii="Book Antiqua" w:eastAsia="Book Antiqua" w:hAnsi="Book Antiqua" w:cs="Book Antiqua"/>
          <w:b/>
          <w:color w:val="000000"/>
        </w:rPr>
        <w:t xml:space="preserve">Manuscript source: </w:t>
      </w:r>
      <w:r w:rsidRPr="001D5732">
        <w:rPr>
          <w:rFonts w:ascii="Book Antiqua" w:eastAsia="Book Antiqua" w:hAnsi="Book Antiqua" w:cs="Book Antiqua"/>
          <w:color w:val="000000"/>
        </w:rPr>
        <w:t xml:space="preserve">Invited </w:t>
      </w:r>
      <w:r w:rsidRPr="001D5732">
        <w:rPr>
          <w:rFonts w:ascii="Book Antiqua" w:hAnsi="Book Antiqua" w:cs="Book Antiqua"/>
          <w:color w:val="000000"/>
          <w:lang w:eastAsia="zh-CN"/>
        </w:rPr>
        <w:t>m</w:t>
      </w:r>
      <w:r w:rsidRPr="001D5732">
        <w:rPr>
          <w:rFonts w:ascii="Book Antiqua" w:eastAsia="Book Antiqua" w:hAnsi="Book Antiqua" w:cs="Book Antiqua"/>
          <w:color w:val="000000"/>
        </w:rPr>
        <w:t>anuscript</w:t>
      </w:r>
    </w:p>
    <w:p w14:paraId="5E548BF9" w14:textId="77777777" w:rsidR="00CA7E3D" w:rsidRPr="001D5732" w:rsidRDefault="00CA7E3D">
      <w:pPr>
        <w:spacing w:line="360" w:lineRule="auto"/>
        <w:jc w:val="both"/>
      </w:pPr>
    </w:p>
    <w:p w14:paraId="4D146C65" w14:textId="77777777" w:rsidR="00A77B3E" w:rsidRPr="001D5732" w:rsidRDefault="0052574D">
      <w:pPr>
        <w:spacing w:line="360" w:lineRule="auto"/>
        <w:jc w:val="both"/>
      </w:pPr>
      <w:r w:rsidRPr="001D5732">
        <w:rPr>
          <w:rFonts w:ascii="Book Antiqua" w:eastAsia="Book Antiqua" w:hAnsi="Book Antiqua" w:cs="Book Antiqua"/>
          <w:b/>
          <w:color w:val="000000"/>
        </w:rPr>
        <w:t xml:space="preserve">Corresponding Author's Membership in Professional Societies: </w:t>
      </w:r>
      <w:r w:rsidRPr="001D5732">
        <w:rPr>
          <w:rFonts w:ascii="Book Antiqua" w:eastAsia="Book Antiqua" w:hAnsi="Book Antiqua" w:cs="Book Antiqua"/>
          <w:color w:val="000000"/>
        </w:rPr>
        <w:t>Spanish Society of Surgeons; European Association of Endoscopic Surgeons; World Society of Emergency Surgery.</w:t>
      </w:r>
    </w:p>
    <w:p w14:paraId="238F33AA" w14:textId="77777777" w:rsidR="00A77B3E" w:rsidRPr="001D5732" w:rsidRDefault="00A77B3E">
      <w:pPr>
        <w:spacing w:line="360" w:lineRule="auto"/>
        <w:jc w:val="both"/>
      </w:pPr>
    </w:p>
    <w:p w14:paraId="47BDB37C" w14:textId="77777777" w:rsidR="00A77B3E" w:rsidRPr="001D5732" w:rsidRDefault="0052574D">
      <w:pPr>
        <w:spacing w:line="360" w:lineRule="auto"/>
        <w:jc w:val="both"/>
      </w:pPr>
      <w:r w:rsidRPr="001D5732">
        <w:rPr>
          <w:rFonts w:ascii="Book Antiqua" w:eastAsia="Book Antiqua" w:hAnsi="Book Antiqua" w:cs="Book Antiqua"/>
          <w:b/>
          <w:color w:val="000000"/>
        </w:rPr>
        <w:t xml:space="preserve">Peer-review started: </w:t>
      </w:r>
      <w:r w:rsidRPr="001D5732">
        <w:rPr>
          <w:rFonts w:ascii="Book Antiqua" w:eastAsia="Book Antiqua" w:hAnsi="Book Antiqua" w:cs="Book Antiqua"/>
          <w:color w:val="000000"/>
        </w:rPr>
        <w:t>February 22, 2021</w:t>
      </w:r>
    </w:p>
    <w:p w14:paraId="539B74C3" w14:textId="77777777" w:rsidR="00A77B3E" w:rsidRPr="001D5732" w:rsidRDefault="0052574D">
      <w:pPr>
        <w:spacing w:line="360" w:lineRule="auto"/>
        <w:jc w:val="both"/>
      </w:pPr>
      <w:r w:rsidRPr="001D5732">
        <w:rPr>
          <w:rFonts w:ascii="Book Antiqua" w:eastAsia="Book Antiqua" w:hAnsi="Book Antiqua" w:cs="Book Antiqua"/>
          <w:b/>
          <w:color w:val="000000"/>
        </w:rPr>
        <w:t xml:space="preserve">First decision: </w:t>
      </w:r>
      <w:r w:rsidRPr="001D5732">
        <w:rPr>
          <w:rFonts w:ascii="Book Antiqua" w:eastAsia="Book Antiqua" w:hAnsi="Book Antiqua" w:cs="Book Antiqua"/>
          <w:color w:val="000000"/>
        </w:rPr>
        <w:t>June 14, 2021</w:t>
      </w:r>
    </w:p>
    <w:p w14:paraId="0DDB3914" w14:textId="77777777" w:rsidR="00A77B3E" w:rsidRPr="001D5732" w:rsidRDefault="0052574D">
      <w:pPr>
        <w:spacing w:line="360" w:lineRule="auto"/>
        <w:jc w:val="both"/>
      </w:pPr>
      <w:r w:rsidRPr="001D5732">
        <w:rPr>
          <w:rFonts w:ascii="Book Antiqua" w:eastAsia="Book Antiqua" w:hAnsi="Book Antiqua" w:cs="Book Antiqua"/>
          <w:b/>
          <w:color w:val="000000"/>
        </w:rPr>
        <w:t xml:space="preserve">Article in press: </w:t>
      </w:r>
    </w:p>
    <w:p w14:paraId="2E297EBF" w14:textId="77777777" w:rsidR="00A77B3E" w:rsidRPr="001D5732" w:rsidRDefault="00A77B3E">
      <w:pPr>
        <w:spacing w:line="360" w:lineRule="auto"/>
        <w:jc w:val="both"/>
      </w:pPr>
    </w:p>
    <w:p w14:paraId="08F02DFF" w14:textId="77777777" w:rsidR="00A77B3E" w:rsidRPr="001D5732" w:rsidRDefault="0052574D">
      <w:pPr>
        <w:spacing w:line="360" w:lineRule="auto"/>
        <w:jc w:val="both"/>
      </w:pPr>
      <w:r w:rsidRPr="001D5732">
        <w:rPr>
          <w:rFonts w:ascii="Book Antiqua" w:eastAsia="Book Antiqua" w:hAnsi="Book Antiqua" w:cs="Book Antiqua"/>
          <w:b/>
          <w:color w:val="000000"/>
        </w:rPr>
        <w:t xml:space="preserve">Specialty type: </w:t>
      </w:r>
      <w:r w:rsidRPr="001D5732">
        <w:rPr>
          <w:rFonts w:ascii="Book Antiqua" w:eastAsia="Book Antiqua" w:hAnsi="Book Antiqua" w:cs="Book Antiqua"/>
          <w:color w:val="000000"/>
        </w:rPr>
        <w:t>Surgery</w:t>
      </w:r>
    </w:p>
    <w:p w14:paraId="0121437E" w14:textId="77777777" w:rsidR="00A77B3E" w:rsidRPr="001D5732" w:rsidRDefault="0052574D">
      <w:pPr>
        <w:spacing w:line="360" w:lineRule="auto"/>
        <w:jc w:val="both"/>
      </w:pPr>
      <w:r w:rsidRPr="001D5732">
        <w:rPr>
          <w:rFonts w:ascii="Book Antiqua" w:eastAsia="Book Antiqua" w:hAnsi="Book Antiqua" w:cs="Book Antiqua"/>
          <w:b/>
          <w:color w:val="000000"/>
        </w:rPr>
        <w:t xml:space="preserve">Country/Territory of origin: </w:t>
      </w:r>
      <w:r w:rsidRPr="001D5732">
        <w:rPr>
          <w:rFonts w:ascii="Book Antiqua" w:eastAsia="Book Antiqua" w:hAnsi="Book Antiqua" w:cs="Book Antiqua"/>
          <w:color w:val="000000"/>
        </w:rPr>
        <w:t>Italy</w:t>
      </w:r>
    </w:p>
    <w:p w14:paraId="7426E08F" w14:textId="77777777" w:rsidR="00A77B3E" w:rsidRPr="001D5732" w:rsidRDefault="0052574D">
      <w:pPr>
        <w:spacing w:line="360" w:lineRule="auto"/>
        <w:jc w:val="both"/>
      </w:pPr>
      <w:r w:rsidRPr="001D5732">
        <w:rPr>
          <w:rFonts w:ascii="Book Antiqua" w:eastAsia="Book Antiqua" w:hAnsi="Book Antiqua" w:cs="Book Antiqua"/>
          <w:b/>
          <w:color w:val="000000"/>
        </w:rPr>
        <w:t>Peer-review report’s scientific quality classification</w:t>
      </w:r>
    </w:p>
    <w:p w14:paraId="1281B91A" w14:textId="77777777" w:rsidR="00A77B3E" w:rsidRPr="001D5732" w:rsidRDefault="0052574D">
      <w:pPr>
        <w:spacing w:line="360" w:lineRule="auto"/>
        <w:jc w:val="both"/>
      </w:pPr>
      <w:r w:rsidRPr="001D5732">
        <w:rPr>
          <w:rFonts w:ascii="Book Antiqua" w:eastAsia="Book Antiqua" w:hAnsi="Book Antiqua" w:cs="Book Antiqua"/>
          <w:color w:val="000000"/>
        </w:rPr>
        <w:t>Grade A (Excellent): 0</w:t>
      </w:r>
    </w:p>
    <w:p w14:paraId="15A6CFB9" w14:textId="77777777" w:rsidR="00A77B3E" w:rsidRPr="001D5732" w:rsidRDefault="0052574D">
      <w:pPr>
        <w:spacing w:line="360" w:lineRule="auto"/>
        <w:jc w:val="both"/>
      </w:pPr>
      <w:r w:rsidRPr="001D5732">
        <w:rPr>
          <w:rFonts w:ascii="Book Antiqua" w:eastAsia="Book Antiqua" w:hAnsi="Book Antiqua" w:cs="Book Antiqua"/>
          <w:color w:val="000000"/>
        </w:rPr>
        <w:t>Grade B (Very good): 0</w:t>
      </w:r>
    </w:p>
    <w:p w14:paraId="3B7BA54E" w14:textId="77777777" w:rsidR="00A77B3E" w:rsidRPr="001D5732" w:rsidRDefault="0052574D">
      <w:pPr>
        <w:spacing w:line="360" w:lineRule="auto"/>
        <w:jc w:val="both"/>
      </w:pPr>
      <w:r w:rsidRPr="001D5732">
        <w:rPr>
          <w:rFonts w:ascii="Book Antiqua" w:eastAsia="Book Antiqua" w:hAnsi="Book Antiqua" w:cs="Book Antiqua"/>
          <w:color w:val="000000"/>
        </w:rPr>
        <w:t>Grade C (Good): C</w:t>
      </w:r>
    </w:p>
    <w:p w14:paraId="1181648D" w14:textId="77777777" w:rsidR="00A77B3E" w:rsidRPr="001D5732" w:rsidRDefault="0052574D">
      <w:pPr>
        <w:spacing w:line="360" w:lineRule="auto"/>
        <w:jc w:val="both"/>
      </w:pPr>
      <w:r w:rsidRPr="001D5732">
        <w:rPr>
          <w:rFonts w:ascii="Book Antiqua" w:eastAsia="Book Antiqua" w:hAnsi="Book Antiqua" w:cs="Book Antiqua"/>
          <w:color w:val="000000"/>
        </w:rPr>
        <w:t>Grade D (Fair): 0</w:t>
      </w:r>
    </w:p>
    <w:p w14:paraId="2BFB2614" w14:textId="77777777" w:rsidR="00A77B3E" w:rsidRPr="001D5732" w:rsidRDefault="0052574D">
      <w:pPr>
        <w:spacing w:line="360" w:lineRule="auto"/>
        <w:jc w:val="both"/>
      </w:pPr>
      <w:r w:rsidRPr="001D5732">
        <w:rPr>
          <w:rFonts w:ascii="Book Antiqua" w:eastAsia="Book Antiqua" w:hAnsi="Book Antiqua" w:cs="Book Antiqua"/>
          <w:color w:val="000000"/>
        </w:rPr>
        <w:t>Grade E (Poor): 0</w:t>
      </w:r>
    </w:p>
    <w:p w14:paraId="5CF09139" w14:textId="77777777" w:rsidR="00A77B3E" w:rsidRPr="001D5732" w:rsidRDefault="00A77B3E">
      <w:pPr>
        <w:spacing w:line="360" w:lineRule="auto"/>
        <w:jc w:val="both"/>
      </w:pPr>
    </w:p>
    <w:p w14:paraId="14002E3F" w14:textId="39D151AE" w:rsidR="0052574D" w:rsidRPr="001D5732" w:rsidRDefault="0052574D">
      <w:pPr>
        <w:spacing w:line="360" w:lineRule="auto"/>
        <w:jc w:val="both"/>
        <w:rPr>
          <w:rFonts w:ascii="Book Antiqua" w:eastAsia="Book Antiqua" w:hAnsi="Book Antiqua" w:cs="Book Antiqua"/>
          <w:b/>
          <w:color w:val="000000"/>
        </w:rPr>
      </w:pPr>
      <w:r w:rsidRPr="001D5732">
        <w:rPr>
          <w:rFonts w:ascii="Book Antiqua" w:eastAsia="Book Antiqua" w:hAnsi="Book Antiqua" w:cs="Book Antiqua"/>
          <w:b/>
          <w:color w:val="000000"/>
        </w:rPr>
        <w:t xml:space="preserve">P-Reviewer: </w:t>
      </w:r>
      <w:r w:rsidRPr="001D5732">
        <w:rPr>
          <w:rFonts w:ascii="Book Antiqua" w:eastAsia="Book Antiqua" w:hAnsi="Book Antiqua" w:cs="Book Antiqua"/>
          <w:color w:val="000000"/>
        </w:rPr>
        <w:t>Hidaka E</w:t>
      </w:r>
      <w:r w:rsidRPr="001D5732">
        <w:rPr>
          <w:rFonts w:ascii="Book Antiqua" w:eastAsia="Book Antiqua" w:hAnsi="Book Antiqua" w:cs="Book Antiqua"/>
          <w:b/>
          <w:color w:val="000000"/>
        </w:rPr>
        <w:t xml:space="preserve"> S-Editor: </w:t>
      </w:r>
      <w:r w:rsidRPr="001D5732">
        <w:rPr>
          <w:rFonts w:ascii="Book Antiqua" w:hAnsi="Book Antiqua" w:cs="Book Antiqua"/>
          <w:color w:val="000000"/>
          <w:lang w:eastAsia="zh-CN"/>
        </w:rPr>
        <w:t>Zhang</w:t>
      </w:r>
      <w:r w:rsidRPr="001D5732">
        <w:rPr>
          <w:rFonts w:ascii="Book Antiqua" w:eastAsia="Book Antiqua" w:hAnsi="Book Antiqua" w:cs="Book Antiqua"/>
          <w:b/>
          <w:color w:val="000000"/>
        </w:rPr>
        <w:t xml:space="preserve"> </w:t>
      </w:r>
      <w:r w:rsidRPr="001D5732">
        <w:rPr>
          <w:rFonts w:ascii="Book Antiqua" w:hAnsi="Book Antiqua" w:cs="Book Antiqua"/>
          <w:b/>
          <w:color w:val="000000"/>
          <w:lang w:eastAsia="zh-CN"/>
        </w:rPr>
        <w:t xml:space="preserve">H </w:t>
      </w:r>
      <w:r w:rsidRPr="001D5732">
        <w:rPr>
          <w:rFonts w:ascii="Book Antiqua" w:eastAsia="Book Antiqua" w:hAnsi="Book Antiqua" w:cs="Book Antiqua"/>
          <w:b/>
          <w:color w:val="000000"/>
        </w:rPr>
        <w:t>L-Editor:</w:t>
      </w:r>
      <w:r w:rsidR="00985DDE" w:rsidRPr="001D5732">
        <w:rPr>
          <w:rFonts w:ascii="Book Antiqua" w:eastAsia="Book Antiqua" w:hAnsi="Book Antiqua" w:cs="Book Antiqua"/>
          <w:b/>
          <w:color w:val="000000"/>
        </w:rPr>
        <w:t xml:space="preserve"> </w:t>
      </w:r>
      <w:r w:rsidR="00985DDE" w:rsidRPr="001D5732">
        <w:rPr>
          <w:rFonts w:ascii="Book Antiqua" w:eastAsia="Book Antiqua" w:hAnsi="Book Antiqua" w:cs="Book Antiqua"/>
          <w:bCs/>
          <w:color w:val="000000"/>
        </w:rPr>
        <w:t xml:space="preserve">Filipodia </w:t>
      </w:r>
      <w:r w:rsidRPr="001D5732">
        <w:rPr>
          <w:rFonts w:ascii="Book Antiqua" w:eastAsia="Book Antiqua" w:hAnsi="Book Antiqua" w:cs="Book Antiqua"/>
          <w:b/>
          <w:color w:val="000000"/>
        </w:rPr>
        <w:t xml:space="preserve">P-Editor: </w:t>
      </w:r>
    </w:p>
    <w:p w14:paraId="65FAE7FF" w14:textId="77777777" w:rsidR="0052574D" w:rsidRPr="001D5732" w:rsidRDefault="0052574D" w:rsidP="0052574D">
      <w:pPr>
        <w:adjustRightInd w:val="0"/>
        <w:snapToGrid w:val="0"/>
        <w:spacing w:line="360" w:lineRule="auto"/>
        <w:jc w:val="both"/>
        <w:rPr>
          <w:rFonts w:ascii="Book Antiqua" w:hAnsi="Book Antiqua" w:cs="Book Antiqua"/>
          <w:b/>
          <w:color w:val="000000"/>
          <w:lang w:eastAsia="zh-CN"/>
        </w:rPr>
        <w:sectPr w:rsidR="0052574D" w:rsidRPr="001D5732">
          <w:pgSz w:w="12240" w:h="15840"/>
          <w:pgMar w:top="1440" w:right="1440" w:bottom="1440" w:left="1440" w:header="720" w:footer="720" w:gutter="0"/>
          <w:cols w:space="720"/>
          <w:docGrid w:linePitch="360"/>
        </w:sectPr>
      </w:pPr>
    </w:p>
    <w:p w14:paraId="65A31BEB" w14:textId="77777777" w:rsidR="0052574D" w:rsidRPr="001D5732" w:rsidRDefault="0052574D" w:rsidP="0052574D">
      <w:pPr>
        <w:adjustRightInd w:val="0"/>
        <w:snapToGrid w:val="0"/>
        <w:spacing w:line="360" w:lineRule="auto"/>
        <w:jc w:val="both"/>
        <w:rPr>
          <w:rFonts w:ascii="Book Antiqua" w:hAnsi="Book Antiqua"/>
          <w:b/>
          <w:bCs/>
          <w:lang w:eastAsia="zh-CN"/>
        </w:rPr>
      </w:pPr>
      <w:r w:rsidRPr="001D5732">
        <w:rPr>
          <w:rFonts w:ascii="Book Antiqua" w:hAnsi="Book Antiqua"/>
          <w:b/>
        </w:rPr>
        <w:lastRenderedPageBreak/>
        <w:t xml:space="preserve">Table 1 Summary of the </w:t>
      </w:r>
      <w:r w:rsidRPr="001D5732">
        <w:rPr>
          <w:rFonts w:ascii="Book Antiqua" w:hAnsi="Book Antiqua"/>
          <w:b/>
          <w:bCs/>
        </w:rPr>
        <w:t xml:space="preserve">outcomes of </w:t>
      </w:r>
      <w:bookmarkStart w:id="69" w:name="OLE_LINK31"/>
      <w:bookmarkStart w:id="70" w:name="OLE_LINK32"/>
      <w:bookmarkStart w:id="71" w:name="OLE_LINK34"/>
      <w:r w:rsidR="00BF0484" w:rsidRPr="001D5732">
        <w:rPr>
          <w:rFonts w:ascii="Book Antiqua" w:hAnsi="Book Antiqua"/>
          <w:b/>
          <w:bCs/>
          <w:lang w:eastAsia="zh-CN"/>
        </w:rPr>
        <w:t>i</w:t>
      </w:r>
      <w:r w:rsidR="00BF0484" w:rsidRPr="001D5732">
        <w:rPr>
          <w:rFonts w:ascii="Book Antiqua" w:hAnsi="Book Antiqua"/>
          <w:b/>
          <w:bCs/>
        </w:rPr>
        <w:t>ndocyanine green</w:t>
      </w:r>
      <w:bookmarkEnd w:id="69"/>
      <w:bookmarkEnd w:id="70"/>
      <w:bookmarkEnd w:id="71"/>
      <w:r w:rsidRPr="001D5732">
        <w:rPr>
          <w:rFonts w:ascii="Book Antiqua" w:hAnsi="Book Antiqua"/>
          <w:b/>
          <w:bCs/>
        </w:rPr>
        <w:t>-</w:t>
      </w:r>
      <w:r w:rsidR="00BF0484" w:rsidRPr="001D5732">
        <w:rPr>
          <w:rFonts w:ascii="Book Antiqua" w:hAnsi="Book Antiqua"/>
          <w:b/>
          <w:bCs/>
        </w:rPr>
        <w:t xml:space="preserve">fluorescence angiography </w:t>
      </w:r>
      <w:r w:rsidRPr="001D5732">
        <w:rPr>
          <w:rFonts w:ascii="Book Antiqua" w:hAnsi="Book Antiqua"/>
          <w:b/>
          <w:bCs/>
        </w:rPr>
        <w:t xml:space="preserve">to prevent </w:t>
      </w:r>
      <w:r w:rsidR="00BF0484" w:rsidRPr="001D5732">
        <w:rPr>
          <w:rFonts w:ascii="Book Antiqua" w:hAnsi="Book Antiqua"/>
          <w:b/>
          <w:bCs/>
          <w:lang w:eastAsia="zh-CN"/>
        </w:rPr>
        <w:t>a</w:t>
      </w:r>
      <w:r w:rsidR="00BF0484" w:rsidRPr="001D5732">
        <w:rPr>
          <w:rFonts w:ascii="Book Antiqua" w:hAnsi="Book Antiqua"/>
          <w:b/>
          <w:bCs/>
        </w:rPr>
        <w:t xml:space="preserve">nastomotic leakage </w:t>
      </w:r>
      <w:r w:rsidRPr="001D5732">
        <w:rPr>
          <w:rFonts w:ascii="Book Antiqua" w:hAnsi="Book Antiqua"/>
          <w:b/>
          <w:bCs/>
        </w:rPr>
        <w:t>after color</w:t>
      </w:r>
      <w:r w:rsidR="00BF0484" w:rsidRPr="001D5732">
        <w:rPr>
          <w:rFonts w:ascii="Book Antiqua" w:hAnsi="Book Antiqua"/>
          <w:b/>
          <w:bCs/>
        </w:rPr>
        <w:t>ectal and esophageal resections</w:t>
      </w:r>
    </w:p>
    <w:tbl>
      <w:tblPr>
        <w:tblStyle w:val="TableGrid"/>
        <w:tblW w:w="4736"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9"/>
        <w:gridCol w:w="1662"/>
        <w:gridCol w:w="1110"/>
        <w:gridCol w:w="1120"/>
        <w:gridCol w:w="1348"/>
        <w:gridCol w:w="2057"/>
        <w:gridCol w:w="1269"/>
        <w:gridCol w:w="2271"/>
      </w:tblGrid>
      <w:tr w:rsidR="00DB53E8" w:rsidRPr="001D5732" w14:paraId="1A62042D" w14:textId="77777777" w:rsidTr="009A4D1A">
        <w:trPr>
          <w:trHeight w:val="456"/>
        </w:trPr>
        <w:tc>
          <w:tcPr>
            <w:tcW w:w="586" w:type="pct"/>
            <w:tcBorders>
              <w:top w:val="single" w:sz="4" w:space="0" w:color="auto"/>
              <w:bottom w:val="single" w:sz="4" w:space="0" w:color="auto"/>
            </w:tcBorders>
            <w:shd w:val="clear" w:color="auto" w:fill="auto"/>
          </w:tcPr>
          <w:p w14:paraId="3D72F0FF" w14:textId="77777777" w:rsidR="00DB53E8" w:rsidRPr="00C0009F" w:rsidRDefault="00DB53E8" w:rsidP="0052574D">
            <w:pPr>
              <w:adjustRightInd w:val="0"/>
              <w:snapToGrid w:val="0"/>
              <w:spacing w:line="360" w:lineRule="auto"/>
              <w:jc w:val="both"/>
              <w:rPr>
                <w:rFonts w:ascii="Book Antiqua" w:hAnsi="Book Antiqua"/>
                <w:b/>
                <w:bCs/>
                <w:lang w:val="en-US" w:eastAsia="zh-CN"/>
              </w:rPr>
            </w:pPr>
            <w:r w:rsidRPr="001D5732">
              <w:rPr>
                <w:rFonts w:ascii="Book Antiqua" w:hAnsi="Book Antiqua"/>
                <w:b/>
                <w:bCs/>
                <w:lang w:eastAsia="zh-CN"/>
              </w:rPr>
              <w:t>Ref.</w:t>
            </w:r>
          </w:p>
        </w:tc>
        <w:tc>
          <w:tcPr>
            <w:tcW w:w="677" w:type="pct"/>
            <w:tcBorders>
              <w:top w:val="single" w:sz="4" w:space="0" w:color="auto"/>
              <w:bottom w:val="single" w:sz="4" w:space="0" w:color="auto"/>
            </w:tcBorders>
            <w:shd w:val="clear" w:color="auto" w:fill="auto"/>
          </w:tcPr>
          <w:p w14:paraId="7D942C51" w14:textId="77777777" w:rsidR="00DB53E8" w:rsidRPr="00C0009F" w:rsidRDefault="00DB53E8" w:rsidP="0052574D">
            <w:pPr>
              <w:adjustRightInd w:val="0"/>
              <w:snapToGrid w:val="0"/>
              <w:spacing w:line="360" w:lineRule="auto"/>
              <w:jc w:val="both"/>
              <w:rPr>
                <w:rFonts w:ascii="Book Antiqua" w:hAnsi="Book Antiqua"/>
                <w:b/>
                <w:bCs/>
                <w:lang w:val="en-US"/>
              </w:rPr>
            </w:pPr>
            <w:r w:rsidRPr="001D5732">
              <w:rPr>
                <w:rFonts w:ascii="Book Antiqua" w:hAnsi="Book Antiqua"/>
                <w:b/>
                <w:bCs/>
              </w:rPr>
              <w:t>Study design</w:t>
            </w:r>
          </w:p>
        </w:tc>
        <w:tc>
          <w:tcPr>
            <w:tcW w:w="452" w:type="pct"/>
            <w:tcBorders>
              <w:top w:val="single" w:sz="4" w:space="0" w:color="auto"/>
              <w:bottom w:val="single" w:sz="4" w:space="0" w:color="auto"/>
            </w:tcBorders>
            <w:shd w:val="clear" w:color="auto" w:fill="auto"/>
          </w:tcPr>
          <w:p w14:paraId="38751CC8" w14:textId="77777777" w:rsidR="00DB53E8" w:rsidRPr="00C0009F" w:rsidRDefault="00DB53E8" w:rsidP="0052574D">
            <w:pPr>
              <w:adjustRightInd w:val="0"/>
              <w:snapToGrid w:val="0"/>
              <w:spacing w:line="360" w:lineRule="auto"/>
              <w:jc w:val="both"/>
              <w:rPr>
                <w:rFonts w:ascii="Book Antiqua" w:hAnsi="Book Antiqua"/>
                <w:b/>
                <w:bCs/>
                <w:lang w:val="en-US"/>
              </w:rPr>
            </w:pPr>
            <w:r w:rsidRPr="001D5732">
              <w:rPr>
                <w:rFonts w:ascii="Book Antiqua" w:hAnsi="Book Antiqua"/>
                <w:b/>
                <w:bCs/>
              </w:rPr>
              <w:t xml:space="preserve">Total </w:t>
            </w:r>
            <w:r w:rsidRPr="001D5732">
              <w:rPr>
                <w:rFonts w:ascii="Book Antiqua" w:hAnsi="Book Antiqua"/>
                <w:b/>
                <w:bCs/>
                <w:i/>
              </w:rPr>
              <w:t>n</w:t>
            </w:r>
          </w:p>
        </w:tc>
        <w:tc>
          <w:tcPr>
            <w:tcW w:w="456" w:type="pct"/>
            <w:tcBorders>
              <w:top w:val="single" w:sz="4" w:space="0" w:color="auto"/>
              <w:bottom w:val="single" w:sz="4" w:space="0" w:color="auto"/>
            </w:tcBorders>
            <w:shd w:val="clear" w:color="auto" w:fill="auto"/>
          </w:tcPr>
          <w:p w14:paraId="7FDDFA25" w14:textId="77777777" w:rsidR="00DB53E8" w:rsidRPr="00C0009F" w:rsidRDefault="00DB53E8" w:rsidP="0052574D">
            <w:pPr>
              <w:adjustRightInd w:val="0"/>
              <w:snapToGrid w:val="0"/>
              <w:spacing w:line="360" w:lineRule="auto"/>
              <w:jc w:val="both"/>
              <w:rPr>
                <w:rFonts w:ascii="Book Antiqua" w:hAnsi="Book Antiqua"/>
                <w:b/>
                <w:bCs/>
                <w:lang w:val="en-US"/>
              </w:rPr>
            </w:pPr>
            <w:bookmarkStart w:id="72" w:name="OLE_LINK29"/>
            <w:bookmarkStart w:id="73" w:name="OLE_LINK30"/>
            <w:r w:rsidRPr="001D5732">
              <w:rPr>
                <w:rFonts w:ascii="Book Antiqua" w:hAnsi="Book Antiqua"/>
                <w:b/>
                <w:bCs/>
              </w:rPr>
              <w:t xml:space="preserve">ICG </w:t>
            </w:r>
            <w:bookmarkEnd w:id="72"/>
            <w:bookmarkEnd w:id="73"/>
            <w:r w:rsidRPr="001D5732">
              <w:rPr>
                <w:rFonts w:ascii="Book Antiqua" w:hAnsi="Book Antiqua"/>
                <w:b/>
                <w:bCs/>
              </w:rPr>
              <w:t>group</w:t>
            </w:r>
          </w:p>
        </w:tc>
        <w:tc>
          <w:tcPr>
            <w:tcW w:w="549" w:type="pct"/>
            <w:tcBorders>
              <w:top w:val="single" w:sz="4" w:space="0" w:color="auto"/>
              <w:bottom w:val="single" w:sz="4" w:space="0" w:color="auto"/>
            </w:tcBorders>
            <w:shd w:val="clear" w:color="auto" w:fill="auto"/>
          </w:tcPr>
          <w:p w14:paraId="01D26750" w14:textId="77777777" w:rsidR="00DB53E8" w:rsidRPr="00C0009F" w:rsidRDefault="00DB53E8" w:rsidP="0052574D">
            <w:pPr>
              <w:adjustRightInd w:val="0"/>
              <w:snapToGrid w:val="0"/>
              <w:spacing w:line="360" w:lineRule="auto"/>
              <w:jc w:val="both"/>
              <w:rPr>
                <w:rFonts w:ascii="Book Antiqua" w:hAnsi="Book Antiqua"/>
                <w:b/>
                <w:bCs/>
                <w:lang w:val="en-US"/>
              </w:rPr>
            </w:pPr>
            <w:r w:rsidRPr="001D5732">
              <w:rPr>
                <w:rFonts w:ascii="Book Antiqua" w:hAnsi="Book Antiqua"/>
                <w:b/>
                <w:bCs/>
              </w:rPr>
              <w:t>Non-ICG group</w:t>
            </w:r>
          </w:p>
        </w:tc>
        <w:tc>
          <w:tcPr>
            <w:tcW w:w="838" w:type="pct"/>
            <w:tcBorders>
              <w:top w:val="single" w:sz="4" w:space="0" w:color="auto"/>
              <w:bottom w:val="single" w:sz="4" w:space="0" w:color="auto"/>
            </w:tcBorders>
            <w:shd w:val="clear" w:color="auto" w:fill="auto"/>
          </w:tcPr>
          <w:p w14:paraId="7FD223ED" w14:textId="77777777" w:rsidR="00DB53E8" w:rsidRPr="00C0009F" w:rsidRDefault="00DB53E8" w:rsidP="0052574D">
            <w:pPr>
              <w:adjustRightInd w:val="0"/>
              <w:snapToGrid w:val="0"/>
              <w:spacing w:line="360" w:lineRule="auto"/>
              <w:jc w:val="both"/>
              <w:rPr>
                <w:rFonts w:ascii="Book Antiqua" w:hAnsi="Book Antiqua"/>
                <w:b/>
                <w:bCs/>
                <w:lang w:val="en-US"/>
              </w:rPr>
            </w:pPr>
            <w:r w:rsidRPr="001D5732">
              <w:rPr>
                <w:rFonts w:ascii="Book Antiqua" w:hAnsi="Book Antiqua"/>
                <w:b/>
                <w:bCs/>
              </w:rPr>
              <w:t xml:space="preserve">Anastomosis leak </w:t>
            </w:r>
            <w:r w:rsidRPr="001D5732">
              <w:rPr>
                <w:rFonts w:ascii="Book Antiqua" w:hAnsi="Book Antiqua"/>
                <w:b/>
                <w:bCs/>
                <w:i/>
              </w:rPr>
              <w:t>n</w:t>
            </w:r>
            <w:r w:rsidRPr="001D5732">
              <w:rPr>
                <w:rFonts w:ascii="Book Antiqua" w:hAnsi="Book Antiqua"/>
                <w:b/>
                <w:bCs/>
              </w:rPr>
              <w:t xml:space="preserve"> (%)</w:t>
            </w:r>
          </w:p>
        </w:tc>
        <w:tc>
          <w:tcPr>
            <w:tcW w:w="517" w:type="pct"/>
            <w:tcBorders>
              <w:top w:val="single" w:sz="4" w:space="0" w:color="auto"/>
              <w:bottom w:val="single" w:sz="4" w:space="0" w:color="auto"/>
            </w:tcBorders>
            <w:shd w:val="clear" w:color="auto" w:fill="auto"/>
          </w:tcPr>
          <w:p w14:paraId="3BB94053" w14:textId="77777777" w:rsidR="00DB53E8" w:rsidRPr="00C0009F" w:rsidRDefault="00DB53E8" w:rsidP="0052574D">
            <w:pPr>
              <w:adjustRightInd w:val="0"/>
              <w:snapToGrid w:val="0"/>
              <w:spacing w:line="360" w:lineRule="auto"/>
              <w:jc w:val="both"/>
              <w:rPr>
                <w:rFonts w:ascii="Book Antiqua" w:hAnsi="Book Antiqua"/>
                <w:b/>
                <w:bCs/>
                <w:lang w:val="en-US"/>
              </w:rPr>
            </w:pPr>
            <w:r w:rsidRPr="001D5732">
              <w:rPr>
                <w:rFonts w:ascii="Book Antiqua" w:hAnsi="Book Antiqua"/>
                <w:b/>
                <w:bCs/>
                <w:i/>
              </w:rPr>
              <w:t>P</w:t>
            </w:r>
            <w:r w:rsidRPr="001D5732">
              <w:rPr>
                <w:rFonts w:ascii="Book Antiqua" w:hAnsi="Book Antiqua"/>
                <w:b/>
                <w:bCs/>
                <w:lang w:eastAsia="zh-CN"/>
              </w:rPr>
              <w:t xml:space="preserve"> </w:t>
            </w:r>
            <w:r w:rsidRPr="001D5732">
              <w:rPr>
                <w:rFonts w:ascii="Book Antiqua" w:hAnsi="Book Antiqua"/>
                <w:b/>
                <w:bCs/>
              </w:rPr>
              <w:t>value</w:t>
            </w:r>
          </w:p>
        </w:tc>
        <w:tc>
          <w:tcPr>
            <w:tcW w:w="926" w:type="pct"/>
            <w:tcBorders>
              <w:top w:val="single" w:sz="4" w:space="0" w:color="auto"/>
              <w:bottom w:val="single" w:sz="4" w:space="0" w:color="auto"/>
            </w:tcBorders>
            <w:shd w:val="clear" w:color="auto" w:fill="auto"/>
          </w:tcPr>
          <w:p w14:paraId="4CE5790F" w14:textId="77777777" w:rsidR="00DB53E8" w:rsidRPr="00C0009F" w:rsidRDefault="00DB53E8" w:rsidP="0052574D">
            <w:pPr>
              <w:adjustRightInd w:val="0"/>
              <w:snapToGrid w:val="0"/>
              <w:spacing w:line="360" w:lineRule="auto"/>
              <w:jc w:val="both"/>
              <w:rPr>
                <w:rFonts w:ascii="Book Antiqua" w:hAnsi="Book Antiqua"/>
                <w:b/>
                <w:bCs/>
                <w:lang w:val="en-US"/>
              </w:rPr>
            </w:pPr>
            <w:r w:rsidRPr="001D5732">
              <w:rPr>
                <w:rFonts w:ascii="Book Antiqua" w:hAnsi="Book Antiqua"/>
                <w:b/>
                <w:bCs/>
              </w:rPr>
              <w:t>Surg</w:t>
            </w:r>
            <w:r w:rsidRPr="00C0009F">
              <w:rPr>
                <w:rFonts w:ascii="Book Antiqua" w:hAnsi="Book Antiqua"/>
                <w:b/>
                <w:bCs/>
                <w:lang w:val="en-US"/>
              </w:rPr>
              <w:t>ical plan change (%)</w:t>
            </w:r>
          </w:p>
        </w:tc>
      </w:tr>
      <w:tr w:rsidR="00DB53E8" w:rsidRPr="001D5732" w14:paraId="318CBAD5" w14:textId="77777777" w:rsidTr="009A4D1A">
        <w:trPr>
          <w:trHeight w:val="287"/>
        </w:trPr>
        <w:tc>
          <w:tcPr>
            <w:tcW w:w="586" w:type="pct"/>
            <w:tcBorders>
              <w:top w:val="single" w:sz="4" w:space="0" w:color="auto"/>
              <w:bottom w:val="nil"/>
            </w:tcBorders>
            <w:shd w:val="clear" w:color="auto" w:fill="auto"/>
          </w:tcPr>
          <w:p w14:paraId="3D46F004" w14:textId="77777777" w:rsidR="00DB53E8" w:rsidRPr="00C0009F" w:rsidRDefault="00DB53E8" w:rsidP="001C6213">
            <w:pPr>
              <w:adjustRightInd w:val="0"/>
              <w:snapToGrid w:val="0"/>
              <w:spacing w:line="360" w:lineRule="auto"/>
              <w:jc w:val="both"/>
              <w:rPr>
                <w:rFonts w:ascii="Book Antiqua" w:hAnsi="Book Antiqua"/>
                <w:bCs/>
                <w:lang w:val="en-US"/>
              </w:rPr>
            </w:pPr>
            <w:r w:rsidRPr="001D5732">
              <w:rPr>
                <w:rFonts w:ascii="Book Antiqua" w:hAnsi="Book Antiqua"/>
                <w:bCs/>
              </w:rPr>
              <w:t>Colorectal</w:t>
            </w:r>
          </w:p>
        </w:tc>
        <w:tc>
          <w:tcPr>
            <w:tcW w:w="677" w:type="pct"/>
            <w:tcBorders>
              <w:top w:val="single" w:sz="4" w:space="0" w:color="auto"/>
              <w:bottom w:val="nil"/>
            </w:tcBorders>
            <w:shd w:val="clear" w:color="auto" w:fill="auto"/>
          </w:tcPr>
          <w:p w14:paraId="65728FBC" w14:textId="77777777" w:rsidR="00DB53E8" w:rsidRPr="00C0009F" w:rsidRDefault="00DB53E8" w:rsidP="001C6213">
            <w:pPr>
              <w:adjustRightInd w:val="0"/>
              <w:snapToGrid w:val="0"/>
              <w:spacing w:line="360" w:lineRule="auto"/>
              <w:jc w:val="both"/>
              <w:rPr>
                <w:rFonts w:ascii="Book Antiqua" w:hAnsi="Book Antiqua"/>
                <w:bCs/>
                <w:lang w:val="en-US"/>
              </w:rPr>
            </w:pPr>
          </w:p>
        </w:tc>
        <w:tc>
          <w:tcPr>
            <w:tcW w:w="452" w:type="pct"/>
            <w:tcBorders>
              <w:top w:val="single" w:sz="4" w:space="0" w:color="auto"/>
              <w:bottom w:val="nil"/>
            </w:tcBorders>
            <w:shd w:val="clear" w:color="auto" w:fill="auto"/>
          </w:tcPr>
          <w:p w14:paraId="770107AB" w14:textId="77777777" w:rsidR="00DB53E8" w:rsidRPr="00C0009F" w:rsidRDefault="00DB53E8" w:rsidP="001C6213">
            <w:pPr>
              <w:adjustRightInd w:val="0"/>
              <w:snapToGrid w:val="0"/>
              <w:spacing w:line="360" w:lineRule="auto"/>
              <w:jc w:val="both"/>
              <w:rPr>
                <w:rFonts w:ascii="Book Antiqua" w:hAnsi="Book Antiqua"/>
                <w:bCs/>
                <w:lang w:val="en-US"/>
              </w:rPr>
            </w:pPr>
          </w:p>
        </w:tc>
        <w:tc>
          <w:tcPr>
            <w:tcW w:w="456" w:type="pct"/>
            <w:tcBorders>
              <w:top w:val="single" w:sz="4" w:space="0" w:color="auto"/>
              <w:bottom w:val="nil"/>
            </w:tcBorders>
            <w:shd w:val="clear" w:color="auto" w:fill="auto"/>
          </w:tcPr>
          <w:p w14:paraId="7D902C4B" w14:textId="77777777" w:rsidR="00DB53E8" w:rsidRPr="00C0009F" w:rsidRDefault="00DB53E8" w:rsidP="001C6213">
            <w:pPr>
              <w:adjustRightInd w:val="0"/>
              <w:snapToGrid w:val="0"/>
              <w:spacing w:line="360" w:lineRule="auto"/>
              <w:jc w:val="both"/>
              <w:rPr>
                <w:rFonts w:ascii="Book Antiqua" w:hAnsi="Book Antiqua"/>
                <w:bCs/>
                <w:lang w:val="en-US"/>
              </w:rPr>
            </w:pPr>
          </w:p>
        </w:tc>
        <w:tc>
          <w:tcPr>
            <w:tcW w:w="549" w:type="pct"/>
            <w:tcBorders>
              <w:top w:val="single" w:sz="4" w:space="0" w:color="auto"/>
              <w:bottom w:val="nil"/>
            </w:tcBorders>
            <w:shd w:val="clear" w:color="auto" w:fill="auto"/>
          </w:tcPr>
          <w:p w14:paraId="1F003F25" w14:textId="77777777" w:rsidR="00DB53E8" w:rsidRPr="00C0009F" w:rsidRDefault="00DB53E8" w:rsidP="001C6213">
            <w:pPr>
              <w:adjustRightInd w:val="0"/>
              <w:snapToGrid w:val="0"/>
              <w:spacing w:line="360" w:lineRule="auto"/>
              <w:jc w:val="both"/>
              <w:rPr>
                <w:rFonts w:ascii="Book Antiqua" w:hAnsi="Book Antiqua"/>
                <w:bCs/>
                <w:lang w:val="en-US"/>
              </w:rPr>
            </w:pPr>
          </w:p>
        </w:tc>
        <w:tc>
          <w:tcPr>
            <w:tcW w:w="838" w:type="pct"/>
            <w:tcBorders>
              <w:top w:val="single" w:sz="4" w:space="0" w:color="auto"/>
              <w:bottom w:val="nil"/>
            </w:tcBorders>
            <w:shd w:val="clear" w:color="auto" w:fill="auto"/>
          </w:tcPr>
          <w:p w14:paraId="678338B1" w14:textId="77777777" w:rsidR="00DB53E8" w:rsidRPr="00C0009F" w:rsidRDefault="00DB53E8" w:rsidP="001C6213">
            <w:pPr>
              <w:adjustRightInd w:val="0"/>
              <w:snapToGrid w:val="0"/>
              <w:spacing w:line="360" w:lineRule="auto"/>
              <w:jc w:val="both"/>
              <w:rPr>
                <w:rFonts w:ascii="Book Antiqua" w:hAnsi="Book Antiqua"/>
                <w:bCs/>
                <w:lang w:val="en-US"/>
              </w:rPr>
            </w:pPr>
          </w:p>
        </w:tc>
        <w:tc>
          <w:tcPr>
            <w:tcW w:w="517" w:type="pct"/>
            <w:tcBorders>
              <w:top w:val="single" w:sz="4" w:space="0" w:color="auto"/>
              <w:bottom w:val="nil"/>
            </w:tcBorders>
            <w:shd w:val="clear" w:color="auto" w:fill="auto"/>
          </w:tcPr>
          <w:p w14:paraId="3022DEBB" w14:textId="77777777" w:rsidR="00DB53E8" w:rsidRPr="00C0009F" w:rsidRDefault="00DB53E8" w:rsidP="001C6213">
            <w:pPr>
              <w:adjustRightInd w:val="0"/>
              <w:snapToGrid w:val="0"/>
              <w:spacing w:line="360" w:lineRule="auto"/>
              <w:jc w:val="both"/>
              <w:rPr>
                <w:rFonts w:ascii="Book Antiqua" w:hAnsi="Book Antiqua"/>
                <w:bCs/>
                <w:lang w:val="en-US"/>
              </w:rPr>
            </w:pPr>
          </w:p>
        </w:tc>
        <w:tc>
          <w:tcPr>
            <w:tcW w:w="926" w:type="pct"/>
            <w:tcBorders>
              <w:top w:val="single" w:sz="4" w:space="0" w:color="auto"/>
              <w:bottom w:val="nil"/>
            </w:tcBorders>
            <w:shd w:val="clear" w:color="auto" w:fill="auto"/>
          </w:tcPr>
          <w:p w14:paraId="44C76C26" w14:textId="77777777" w:rsidR="00DB53E8" w:rsidRPr="00C0009F" w:rsidRDefault="00DB53E8" w:rsidP="001C6213">
            <w:pPr>
              <w:adjustRightInd w:val="0"/>
              <w:snapToGrid w:val="0"/>
              <w:spacing w:line="360" w:lineRule="auto"/>
              <w:jc w:val="both"/>
              <w:rPr>
                <w:rFonts w:ascii="Book Antiqua" w:hAnsi="Book Antiqua"/>
                <w:bCs/>
                <w:lang w:val="en-US"/>
              </w:rPr>
            </w:pPr>
          </w:p>
        </w:tc>
      </w:tr>
      <w:tr w:rsidR="00DB53E8" w:rsidRPr="001D5732" w14:paraId="069E578C" w14:textId="77777777" w:rsidTr="009A4D1A">
        <w:trPr>
          <w:trHeight w:val="293"/>
        </w:trPr>
        <w:tc>
          <w:tcPr>
            <w:tcW w:w="586" w:type="pct"/>
            <w:tcBorders>
              <w:top w:val="nil"/>
              <w:bottom w:val="nil"/>
            </w:tcBorders>
            <w:shd w:val="clear" w:color="auto" w:fill="auto"/>
          </w:tcPr>
          <w:p w14:paraId="7EE84CB9" w14:textId="77777777" w:rsidR="00DB53E8" w:rsidRPr="00C0009F" w:rsidRDefault="00DB53E8" w:rsidP="003A0C59">
            <w:pPr>
              <w:adjustRightInd w:val="0"/>
              <w:snapToGrid w:val="0"/>
              <w:spacing w:line="360" w:lineRule="auto"/>
              <w:jc w:val="both"/>
              <w:rPr>
                <w:rFonts w:ascii="Book Antiqua" w:hAnsi="Book Antiqua"/>
                <w:lang w:val="en-US" w:eastAsia="zh-CN"/>
              </w:rPr>
            </w:pPr>
            <w:r w:rsidRPr="00C0009F">
              <w:rPr>
                <w:rFonts w:ascii="Book Antiqua" w:hAnsi="Book Antiqua"/>
                <w:lang w:val="en-US"/>
              </w:rPr>
              <w:t>Kudszus</w:t>
            </w:r>
            <w:r w:rsidRPr="00C0009F">
              <w:rPr>
                <w:rFonts w:ascii="Book Antiqua" w:hAnsi="Book Antiqua"/>
                <w:lang w:val="en-US" w:eastAsia="zh-CN"/>
              </w:rPr>
              <w:t xml:space="preserve"> </w:t>
            </w:r>
            <w:r w:rsidRPr="00C0009F">
              <w:rPr>
                <w:rFonts w:ascii="Book Antiqua" w:hAnsi="Book Antiqua"/>
                <w:i/>
                <w:lang w:val="en-US" w:eastAsia="zh-CN"/>
              </w:rPr>
              <w:t>et al</w:t>
            </w:r>
            <w:bookmarkStart w:id="74" w:name="OLE_LINK22"/>
            <w:bookmarkStart w:id="75" w:name="OLE_LINK23"/>
            <w:r w:rsidRPr="00C0009F">
              <w:rPr>
                <w:rFonts w:ascii="Book Antiqua" w:hAnsi="Book Antiqua"/>
                <w:vertAlign w:val="superscript"/>
                <w:lang w:val="en-US" w:eastAsia="zh-CN"/>
              </w:rPr>
              <w:t>[22]</w:t>
            </w:r>
            <w:bookmarkEnd w:id="74"/>
            <w:bookmarkEnd w:id="75"/>
            <w:r w:rsidRPr="00C0009F">
              <w:rPr>
                <w:rFonts w:ascii="Book Antiqua" w:hAnsi="Book Antiqua"/>
                <w:lang w:val="en-US" w:eastAsia="zh-CN"/>
              </w:rPr>
              <w:t>, 2010</w:t>
            </w:r>
          </w:p>
        </w:tc>
        <w:tc>
          <w:tcPr>
            <w:tcW w:w="677" w:type="pct"/>
            <w:tcBorders>
              <w:top w:val="nil"/>
              <w:bottom w:val="nil"/>
            </w:tcBorders>
            <w:shd w:val="clear" w:color="auto" w:fill="auto"/>
          </w:tcPr>
          <w:p w14:paraId="30D4631F" w14:textId="77777777" w:rsidR="00DB53E8" w:rsidRPr="00C0009F" w:rsidRDefault="00DB53E8" w:rsidP="0052574D">
            <w:pPr>
              <w:adjustRightInd w:val="0"/>
              <w:snapToGrid w:val="0"/>
              <w:spacing w:line="360" w:lineRule="auto"/>
              <w:jc w:val="both"/>
              <w:rPr>
                <w:rFonts w:ascii="Book Antiqua" w:hAnsi="Book Antiqua"/>
                <w:lang w:val="en-US"/>
              </w:rPr>
            </w:pPr>
            <w:r w:rsidRPr="00C0009F">
              <w:rPr>
                <w:rFonts w:ascii="Book Antiqua" w:hAnsi="Book Antiqua"/>
                <w:lang w:val="en-US"/>
              </w:rPr>
              <w:t>Retrospective</w:t>
            </w:r>
          </w:p>
          <w:p w14:paraId="5EEB774C" w14:textId="77777777" w:rsidR="00DB53E8" w:rsidRPr="00C0009F" w:rsidRDefault="00DD47E6" w:rsidP="0052574D">
            <w:pPr>
              <w:adjustRightInd w:val="0"/>
              <w:snapToGrid w:val="0"/>
              <w:spacing w:line="360" w:lineRule="auto"/>
              <w:jc w:val="both"/>
              <w:rPr>
                <w:rFonts w:ascii="Book Antiqua" w:hAnsi="Book Antiqua"/>
                <w:lang w:val="en-US" w:eastAsia="zh-CN"/>
              </w:rPr>
            </w:pPr>
            <w:r w:rsidRPr="00C0009F">
              <w:rPr>
                <w:rFonts w:ascii="Book Antiqua" w:hAnsi="Book Antiqua"/>
                <w:lang w:val="en-US"/>
              </w:rPr>
              <w:t>matched</w:t>
            </w:r>
          </w:p>
        </w:tc>
        <w:tc>
          <w:tcPr>
            <w:tcW w:w="452" w:type="pct"/>
            <w:tcBorders>
              <w:top w:val="nil"/>
              <w:bottom w:val="nil"/>
            </w:tcBorders>
            <w:shd w:val="clear" w:color="auto" w:fill="auto"/>
          </w:tcPr>
          <w:p w14:paraId="0A4C930D" w14:textId="77777777" w:rsidR="00DB53E8" w:rsidRPr="00C0009F" w:rsidRDefault="00DB53E8" w:rsidP="0052574D">
            <w:pPr>
              <w:adjustRightInd w:val="0"/>
              <w:snapToGrid w:val="0"/>
              <w:spacing w:line="360" w:lineRule="auto"/>
              <w:jc w:val="both"/>
              <w:rPr>
                <w:rFonts w:ascii="Book Antiqua" w:hAnsi="Book Antiqua"/>
                <w:lang w:val="en-US"/>
              </w:rPr>
            </w:pPr>
            <w:r w:rsidRPr="00C0009F">
              <w:rPr>
                <w:rFonts w:ascii="Book Antiqua" w:hAnsi="Book Antiqua"/>
                <w:lang w:val="en-US"/>
              </w:rPr>
              <w:t>402</w:t>
            </w:r>
          </w:p>
        </w:tc>
        <w:tc>
          <w:tcPr>
            <w:tcW w:w="456" w:type="pct"/>
            <w:tcBorders>
              <w:top w:val="nil"/>
              <w:bottom w:val="nil"/>
            </w:tcBorders>
            <w:shd w:val="clear" w:color="auto" w:fill="auto"/>
          </w:tcPr>
          <w:p w14:paraId="36B2178A" w14:textId="77777777" w:rsidR="00DB53E8" w:rsidRPr="00C0009F" w:rsidRDefault="00DB53E8" w:rsidP="0052574D">
            <w:pPr>
              <w:adjustRightInd w:val="0"/>
              <w:snapToGrid w:val="0"/>
              <w:spacing w:line="360" w:lineRule="auto"/>
              <w:jc w:val="both"/>
              <w:rPr>
                <w:rFonts w:ascii="Book Antiqua" w:hAnsi="Book Antiqua"/>
                <w:lang w:val="en-US"/>
              </w:rPr>
            </w:pPr>
            <w:r w:rsidRPr="00C0009F">
              <w:rPr>
                <w:rFonts w:ascii="Book Antiqua" w:hAnsi="Book Antiqua"/>
                <w:lang w:val="en-US"/>
              </w:rPr>
              <w:t>201</w:t>
            </w:r>
          </w:p>
        </w:tc>
        <w:tc>
          <w:tcPr>
            <w:tcW w:w="549" w:type="pct"/>
            <w:tcBorders>
              <w:top w:val="nil"/>
              <w:bottom w:val="nil"/>
            </w:tcBorders>
            <w:shd w:val="clear" w:color="auto" w:fill="auto"/>
          </w:tcPr>
          <w:p w14:paraId="693DDD5A" w14:textId="77777777" w:rsidR="00DB53E8" w:rsidRPr="00C0009F" w:rsidRDefault="00DB53E8" w:rsidP="0052574D">
            <w:pPr>
              <w:adjustRightInd w:val="0"/>
              <w:snapToGrid w:val="0"/>
              <w:spacing w:line="360" w:lineRule="auto"/>
              <w:jc w:val="both"/>
              <w:rPr>
                <w:rFonts w:ascii="Book Antiqua" w:hAnsi="Book Antiqua"/>
                <w:lang w:val="en-US"/>
              </w:rPr>
            </w:pPr>
            <w:r w:rsidRPr="00C0009F">
              <w:rPr>
                <w:rFonts w:ascii="Book Antiqua" w:hAnsi="Book Antiqua"/>
                <w:lang w:val="en-US"/>
              </w:rPr>
              <w:t>201</w:t>
            </w:r>
          </w:p>
        </w:tc>
        <w:tc>
          <w:tcPr>
            <w:tcW w:w="838" w:type="pct"/>
            <w:tcBorders>
              <w:top w:val="nil"/>
              <w:bottom w:val="nil"/>
            </w:tcBorders>
            <w:shd w:val="clear" w:color="auto" w:fill="auto"/>
          </w:tcPr>
          <w:p w14:paraId="0561A5D5" w14:textId="77777777" w:rsidR="00DB53E8" w:rsidRPr="00C0009F" w:rsidRDefault="00DB53E8" w:rsidP="0052574D">
            <w:pPr>
              <w:adjustRightInd w:val="0"/>
              <w:snapToGrid w:val="0"/>
              <w:spacing w:line="360" w:lineRule="auto"/>
              <w:jc w:val="both"/>
              <w:rPr>
                <w:rFonts w:ascii="Book Antiqua" w:hAnsi="Book Antiqua"/>
                <w:lang w:val="en-US"/>
              </w:rPr>
            </w:pPr>
            <w:r w:rsidRPr="00C0009F">
              <w:rPr>
                <w:rFonts w:ascii="Book Antiqua" w:hAnsi="Book Antiqua"/>
                <w:lang w:val="en-US"/>
              </w:rPr>
              <w:t>ICG: 7 (3.5%)</w:t>
            </w:r>
          </w:p>
          <w:p w14:paraId="0E239195" w14:textId="77777777" w:rsidR="00DB53E8" w:rsidRPr="00C0009F" w:rsidRDefault="00DB53E8" w:rsidP="0052574D">
            <w:pPr>
              <w:adjustRightInd w:val="0"/>
              <w:snapToGrid w:val="0"/>
              <w:spacing w:line="360" w:lineRule="auto"/>
              <w:jc w:val="both"/>
              <w:rPr>
                <w:rFonts w:ascii="Book Antiqua" w:hAnsi="Book Antiqua"/>
                <w:lang w:val="en-US"/>
              </w:rPr>
            </w:pPr>
            <w:r w:rsidRPr="00C0009F">
              <w:rPr>
                <w:rFonts w:ascii="Book Antiqua" w:hAnsi="Book Antiqua"/>
                <w:lang w:val="en-US"/>
              </w:rPr>
              <w:t>NICG: 15 (7.5%)</w:t>
            </w:r>
          </w:p>
        </w:tc>
        <w:tc>
          <w:tcPr>
            <w:tcW w:w="517" w:type="pct"/>
            <w:tcBorders>
              <w:top w:val="nil"/>
              <w:bottom w:val="nil"/>
            </w:tcBorders>
            <w:shd w:val="clear" w:color="auto" w:fill="auto"/>
          </w:tcPr>
          <w:p w14:paraId="0594B343" w14:textId="77777777" w:rsidR="00DB53E8" w:rsidRPr="00C0009F" w:rsidRDefault="00DB53E8" w:rsidP="0052574D">
            <w:pPr>
              <w:adjustRightInd w:val="0"/>
              <w:snapToGrid w:val="0"/>
              <w:spacing w:line="360" w:lineRule="auto"/>
              <w:jc w:val="both"/>
              <w:rPr>
                <w:rFonts w:ascii="Book Antiqua" w:hAnsi="Book Antiqua"/>
                <w:lang w:val="en-US"/>
              </w:rPr>
            </w:pPr>
            <w:r w:rsidRPr="00C0009F">
              <w:rPr>
                <w:rFonts w:ascii="Book Antiqua" w:hAnsi="Book Antiqua"/>
                <w:lang w:val="en-US"/>
              </w:rPr>
              <w:t>0.04</w:t>
            </w:r>
          </w:p>
        </w:tc>
        <w:tc>
          <w:tcPr>
            <w:tcW w:w="926" w:type="pct"/>
            <w:tcBorders>
              <w:top w:val="nil"/>
              <w:bottom w:val="nil"/>
            </w:tcBorders>
            <w:shd w:val="clear" w:color="auto" w:fill="auto"/>
          </w:tcPr>
          <w:p w14:paraId="34ADB24F" w14:textId="77777777" w:rsidR="00DB53E8" w:rsidRPr="00C0009F" w:rsidRDefault="00DB53E8" w:rsidP="0052574D">
            <w:pPr>
              <w:adjustRightInd w:val="0"/>
              <w:snapToGrid w:val="0"/>
              <w:spacing w:line="360" w:lineRule="auto"/>
              <w:jc w:val="both"/>
              <w:rPr>
                <w:rFonts w:ascii="Book Antiqua" w:hAnsi="Book Antiqua"/>
                <w:lang w:val="en-US"/>
              </w:rPr>
            </w:pPr>
            <w:r w:rsidRPr="00C0009F">
              <w:rPr>
                <w:rFonts w:ascii="Book Antiqua" w:hAnsi="Book Antiqua"/>
                <w:lang w:val="en-US"/>
              </w:rPr>
              <w:t>16%</w:t>
            </w:r>
          </w:p>
        </w:tc>
      </w:tr>
      <w:tr w:rsidR="00DB53E8" w:rsidRPr="001D5732" w14:paraId="3CC2D29B" w14:textId="77777777" w:rsidTr="009A4D1A">
        <w:trPr>
          <w:trHeight w:val="456"/>
        </w:trPr>
        <w:tc>
          <w:tcPr>
            <w:tcW w:w="586" w:type="pct"/>
            <w:tcBorders>
              <w:top w:val="nil"/>
            </w:tcBorders>
            <w:shd w:val="clear" w:color="auto" w:fill="auto"/>
          </w:tcPr>
          <w:p w14:paraId="039136FB" w14:textId="77777777" w:rsidR="00DB53E8" w:rsidRPr="00C0009F" w:rsidRDefault="00DB53E8" w:rsidP="003A0C59">
            <w:pPr>
              <w:adjustRightInd w:val="0"/>
              <w:snapToGrid w:val="0"/>
              <w:spacing w:line="360" w:lineRule="auto"/>
              <w:jc w:val="both"/>
              <w:rPr>
                <w:rFonts w:ascii="Book Antiqua" w:hAnsi="Book Antiqua"/>
                <w:lang w:val="en-US" w:eastAsia="zh-CN"/>
              </w:rPr>
            </w:pPr>
            <w:r w:rsidRPr="00C0009F">
              <w:rPr>
                <w:rFonts w:ascii="Book Antiqua" w:hAnsi="Book Antiqua"/>
                <w:lang w:val="en-US"/>
              </w:rPr>
              <w:t>Jafari</w:t>
            </w:r>
            <w:r w:rsidRPr="00C0009F">
              <w:rPr>
                <w:rFonts w:ascii="Book Antiqua" w:hAnsi="Book Antiqua"/>
                <w:lang w:val="en-US" w:eastAsia="zh-CN"/>
              </w:rPr>
              <w:t xml:space="preserve"> </w:t>
            </w:r>
            <w:r w:rsidRPr="00C0009F">
              <w:rPr>
                <w:rFonts w:ascii="Book Antiqua" w:hAnsi="Book Antiqua"/>
                <w:i/>
                <w:lang w:val="en-US" w:eastAsia="zh-CN"/>
              </w:rPr>
              <w:t>et al</w:t>
            </w:r>
            <w:r w:rsidRPr="00C0009F">
              <w:rPr>
                <w:rFonts w:ascii="Book Antiqua" w:hAnsi="Book Antiqua"/>
                <w:vertAlign w:val="superscript"/>
                <w:lang w:val="en-US" w:eastAsia="zh-CN"/>
              </w:rPr>
              <w:t>[23]</w:t>
            </w:r>
            <w:r w:rsidRPr="00C0009F">
              <w:rPr>
                <w:rFonts w:ascii="Book Antiqua" w:hAnsi="Book Antiqua"/>
                <w:lang w:val="en-US" w:eastAsia="zh-CN"/>
              </w:rPr>
              <w:t>, 2013</w:t>
            </w:r>
          </w:p>
        </w:tc>
        <w:tc>
          <w:tcPr>
            <w:tcW w:w="677" w:type="pct"/>
            <w:tcBorders>
              <w:top w:val="nil"/>
            </w:tcBorders>
            <w:shd w:val="clear" w:color="auto" w:fill="auto"/>
          </w:tcPr>
          <w:p w14:paraId="74F6F999" w14:textId="77777777" w:rsidR="00DB53E8" w:rsidRPr="00C0009F" w:rsidRDefault="00DB53E8" w:rsidP="0052574D">
            <w:pPr>
              <w:adjustRightInd w:val="0"/>
              <w:snapToGrid w:val="0"/>
              <w:spacing w:line="360" w:lineRule="auto"/>
              <w:jc w:val="both"/>
              <w:rPr>
                <w:rFonts w:ascii="Book Antiqua" w:hAnsi="Book Antiqua"/>
                <w:lang w:val="en-US"/>
              </w:rPr>
            </w:pPr>
            <w:r w:rsidRPr="00C0009F">
              <w:rPr>
                <w:rFonts w:ascii="Book Antiqua" w:hAnsi="Book Antiqua"/>
                <w:lang w:val="en-US"/>
              </w:rPr>
              <w:t>Case-control</w:t>
            </w:r>
          </w:p>
        </w:tc>
        <w:tc>
          <w:tcPr>
            <w:tcW w:w="452" w:type="pct"/>
            <w:tcBorders>
              <w:top w:val="nil"/>
            </w:tcBorders>
            <w:shd w:val="clear" w:color="auto" w:fill="auto"/>
          </w:tcPr>
          <w:p w14:paraId="41D2482F" w14:textId="77777777" w:rsidR="00DB53E8" w:rsidRPr="00C0009F" w:rsidRDefault="00DB53E8" w:rsidP="0052574D">
            <w:pPr>
              <w:adjustRightInd w:val="0"/>
              <w:snapToGrid w:val="0"/>
              <w:spacing w:line="360" w:lineRule="auto"/>
              <w:jc w:val="both"/>
              <w:rPr>
                <w:rFonts w:ascii="Book Antiqua" w:hAnsi="Book Antiqua"/>
                <w:lang w:val="en-US"/>
              </w:rPr>
            </w:pPr>
            <w:r w:rsidRPr="00C0009F">
              <w:rPr>
                <w:rFonts w:ascii="Book Antiqua" w:hAnsi="Book Antiqua"/>
                <w:lang w:val="en-US"/>
              </w:rPr>
              <w:t>38</w:t>
            </w:r>
          </w:p>
        </w:tc>
        <w:tc>
          <w:tcPr>
            <w:tcW w:w="456" w:type="pct"/>
            <w:tcBorders>
              <w:top w:val="nil"/>
            </w:tcBorders>
            <w:shd w:val="clear" w:color="auto" w:fill="auto"/>
          </w:tcPr>
          <w:p w14:paraId="3B28189A" w14:textId="77777777" w:rsidR="00DB53E8" w:rsidRPr="00C0009F" w:rsidRDefault="00DB53E8" w:rsidP="0052574D">
            <w:pPr>
              <w:adjustRightInd w:val="0"/>
              <w:snapToGrid w:val="0"/>
              <w:spacing w:line="360" w:lineRule="auto"/>
              <w:jc w:val="both"/>
              <w:rPr>
                <w:rFonts w:ascii="Book Antiqua" w:hAnsi="Book Antiqua"/>
                <w:lang w:val="en-US"/>
              </w:rPr>
            </w:pPr>
            <w:r w:rsidRPr="00C0009F">
              <w:rPr>
                <w:rFonts w:ascii="Book Antiqua" w:hAnsi="Book Antiqua"/>
                <w:lang w:val="en-US"/>
              </w:rPr>
              <w:t>16</w:t>
            </w:r>
          </w:p>
        </w:tc>
        <w:tc>
          <w:tcPr>
            <w:tcW w:w="549" w:type="pct"/>
            <w:tcBorders>
              <w:top w:val="nil"/>
            </w:tcBorders>
            <w:shd w:val="clear" w:color="auto" w:fill="auto"/>
          </w:tcPr>
          <w:p w14:paraId="0C44AA82" w14:textId="77777777" w:rsidR="00DB53E8" w:rsidRPr="00C0009F" w:rsidRDefault="00DB53E8" w:rsidP="0052574D">
            <w:pPr>
              <w:adjustRightInd w:val="0"/>
              <w:snapToGrid w:val="0"/>
              <w:spacing w:line="360" w:lineRule="auto"/>
              <w:jc w:val="both"/>
              <w:rPr>
                <w:rFonts w:ascii="Book Antiqua" w:hAnsi="Book Antiqua"/>
                <w:lang w:val="en-US"/>
              </w:rPr>
            </w:pPr>
            <w:r w:rsidRPr="00C0009F">
              <w:rPr>
                <w:rFonts w:ascii="Book Antiqua" w:hAnsi="Book Antiqua"/>
                <w:lang w:val="en-US"/>
              </w:rPr>
              <w:t>22</w:t>
            </w:r>
          </w:p>
        </w:tc>
        <w:tc>
          <w:tcPr>
            <w:tcW w:w="838" w:type="pct"/>
            <w:tcBorders>
              <w:top w:val="nil"/>
            </w:tcBorders>
            <w:shd w:val="clear" w:color="auto" w:fill="auto"/>
          </w:tcPr>
          <w:p w14:paraId="414DF98B" w14:textId="77777777" w:rsidR="00DB53E8" w:rsidRPr="00C0009F" w:rsidRDefault="00DB53E8" w:rsidP="0052574D">
            <w:pPr>
              <w:adjustRightInd w:val="0"/>
              <w:snapToGrid w:val="0"/>
              <w:spacing w:line="360" w:lineRule="auto"/>
              <w:jc w:val="both"/>
              <w:rPr>
                <w:rFonts w:ascii="Book Antiqua" w:hAnsi="Book Antiqua"/>
                <w:lang w:val="en-US"/>
              </w:rPr>
            </w:pPr>
            <w:r w:rsidRPr="00C0009F">
              <w:rPr>
                <w:rFonts w:ascii="Book Antiqua" w:hAnsi="Book Antiqua"/>
                <w:lang w:val="en-US"/>
              </w:rPr>
              <w:t>ICG: 1 (6%)</w:t>
            </w:r>
          </w:p>
          <w:p w14:paraId="676B2BCD" w14:textId="77777777" w:rsidR="00DB53E8" w:rsidRPr="00C0009F" w:rsidRDefault="00DB53E8" w:rsidP="0052574D">
            <w:pPr>
              <w:adjustRightInd w:val="0"/>
              <w:snapToGrid w:val="0"/>
              <w:spacing w:line="360" w:lineRule="auto"/>
              <w:jc w:val="both"/>
              <w:rPr>
                <w:rFonts w:ascii="Book Antiqua" w:hAnsi="Book Antiqua"/>
                <w:lang w:val="en-US"/>
              </w:rPr>
            </w:pPr>
            <w:r w:rsidRPr="00C0009F">
              <w:rPr>
                <w:rFonts w:ascii="Book Antiqua" w:hAnsi="Book Antiqua"/>
                <w:lang w:val="en-US"/>
              </w:rPr>
              <w:t>NICG: 4 (18%)</w:t>
            </w:r>
          </w:p>
        </w:tc>
        <w:tc>
          <w:tcPr>
            <w:tcW w:w="517" w:type="pct"/>
            <w:tcBorders>
              <w:top w:val="nil"/>
            </w:tcBorders>
            <w:shd w:val="clear" w:color="auto" w:fill="auto"/>
          </w:tcPr>
          <w:p w14:paraId="157C3D4E" w14:textId="1FFA3C91" w:rsidR="00DB53E8" w:rsidRPr="00C0009F" w:rsidRDefault="00CA7E3D" w:rsidP="0052574D">
            <w:pPr>
              <w:adjustRightInd w:val="0"/>
              <w:snapToGrid w:val="0"/>
              <w:spacing w:line="360" w:lineRule="auto"/>
              <w:jc w:val="both"/>
              <w:rPr>
                <w:rFonts w:ascii="Book Antiqua" w:hAnsi="Book Antiqua"/>
                <w:lang w:val="en-US"/>
              </w:rPr>
            </w:pPr>
            <w:r w:rsidRPr="00C0009F">
              <w:rPr>
                <w:rFonts w:ascii="Book Antiqua" w:hAnsi="Book Antiqua"/>
                <w:lang w:val="en-US"/>
              </w:rPr>
              <w:t>NS</w:t>
            </w:r>
          </w:p>
        </w:tc>
        <w:tc>
          <w:tcPr>
            <w:tcW w:w="926" w:type="pct"/>
            <w:tcBorders>
              <w:top w:val="nil"/>
            </w:tcBorders>
            <w:shd w:val="clear" w:color="auto" w:fill="auto"/>
          </w:tcPr>
          <w:p w14:paraId="5A48870A" w14:textId="77777777" w:rsidR="00DB53E8" w:rsidRPr="00C0009F" w:rsidRDefault="00DB53E8" w:rsidP="0052574D">
            <w:pPr>
              <w:adjustRightInd w:val="0"/>
              <w:snapToGrid w:val="0"/>
              <w:spacing w:line="360" w:lineRule="auto"/>
              <w:jc w:val="both"/>
              <w:rPr>
                <w:rFonts w:ascii="Book Antiqua" w:hAnsi="Book Antiqua"/>
                <w:lang w:val="en-US"/>
              </w:rPr>
            </w:pPr>
            <w:r w:rsidRPr="00C0009F">
              <w:rPr>
                <w:rFonts w:ascii="Book Antiqua" w:hAnsi="Book Antiqua"/>
                <w:lang w:val="en-US"/>
              </w:rPr>
              <w:t>19% cases</w:t>
            </w:r>
          </w:p>
          <w:p w14:paraId="2B718332" w14:textId="77777777" w:rsidR="00DB53E8" w:rsidRPr="00C0009F" w:rsidRDefault="00DB53E8" w:rsidP="0052574D">
            <w:pPr>
              <w:adjustRightInd w:val="0"/>
              <w:snapToGrid w:val="0"/>
              <w:spacing w:line="360" w:lineRule="auto"/>
              <w:jc w:val="both"/>
              <w:rPr>
                <w:rFonts w:ascii="Book Antiqua" w:hAnsi="Book Antiqua"/>
                <w:lang w:val="en-US"/>
              </w:rPr>
            </w:pPr>
            <w:r w:rsidRPr="00C0009F">
              <w:rPr>
                <w:rFonts w:ascii="Book Antiqua" w:hAnsi="Book Antiqua"/>
                <w:lang w:val="en-US"/>
              </w:rPr>
              <w:t>4.5% controls</w:t>
            </w:r>
          </w:p>
        </w:tc>
      </w:tr>
      <w:tr w:rsidR="00DB53E8" w:rsidRPr="001D5732" w14:paraId="68087FEB" w14:textId="77777777" w:rsidTr="009A4D1A">
        <w:trPr>
          <w:trHeight w:val="287"/>
        </w:trPr>
        <w:tc>
          <w:tcPr>
            <w:tcW w:w="586" w:type="pct"/>
            <w:shd w:val="clear" w:color="auto" w:fill="auto"/>
          </w:tcPr>
          <w:p w14:paraId="19165C0D" w14:textId="77777777" w:rsidR="00DB53E8" w:rsidRPr="00C0009F" w:rsidRDefault="00DB53E8" w:rsidP="003A0C59">
            <w:pPr>
              <w:adjustRightInd w:val="0"/>
              <w:snapToGrid w:val="0"/>
              <w:spacing w:line="360" w:lineRule="auto"/>
              <w:jc w:val="both"/>
              <w:rPr>
                <w:rFonts w:ascii="Book Antiqua" w:hAnsi="Book Antiqua"/>
                <w:lang w:val="en-US"/>
              </w:rPr>
            </w:pPr>
            <w:r w:rsidRPr="00C0009F">
              <w:rPr>
                <w:rFonts w:ascii="Book Antiqua" w:hAnsi="Book Antiqua"/>
                <w:lang w:val="en-US"/>
              </w:rPr>
              <w:t>Kim</w:t>
            </w:r>
            <w:r w:rsidRPr="00C0009F">
              <w:rPr>
                <w:rFonts w:ascii="Book Antiqua" w:hAnsi="Book Antiqua"/>
                <w:i/>
                <w:lang w:val="en-US" w:eastAsia="zh-CN"/>
              </w:rPr>
              <w:t xml:space="preserve"> et al</w:t>
            </w:r>
            <w:r w:rsidRPr="00C0009F">
              <w:rPr>
                <w:rFonts w:ascii="Book Antiqua" w:hAnsi="Book Antiqua"/>
                <w:vertAlign w:val="superscript"/>
                <w:lang w:val="en-US" w:eastAsia="zh-CN"/>
              </w:rPr>
              <w:t>[55]</w:t>
            </w:r>
            <w:r w:rsidRPr="00C0009F">
              <w:rPr>
                <w:rFonts w:ascii="Book Antiqua" w:hAnsi="Book Antiqua"/>
                <w:lang w:val="en-US" w:eastAsia="zh-CN"/>
              </w:rPr>
              <w:t>, 2015</w:t>
            </w:r>
          </w:p>
        </w:tc>
        <w:tc>
          <w:tcPr>
            <w:tcW w:w="677" w:type="pct"/>
            <w:shd w:val="clear" w:color="auto" w:fill="auto"/>
          </w:tcPr>
          <w:p w14:paraId="09D62D1A" w14:textId="77777777" w:rsidR="00DB53E8" w:rsidRPr="00C0009F" w:rsidRDefault="00DB53E8" w:rsidP="0052574D">
            <w:pPr>
              <w:adjustRightInd w:val="0"/>
              <w:snapToGrid w:val="0"/>
              <w:spacing w:line="360" w:lineRule="auto"/>
              <w:jc w:val="both"/>
              <w:rPr>
                <w:rFonts w:ascii="Book Antiqua" w:hAnsi="Book Antiqua"/>
                <w:lang w:val="en-US"/>
              </w:rPr>
            </w:pPr>
            <w:r w:rsidRPr="00C0009F">
              <w:rPr>
                <w:rFonts w:ascii="Book Antiqua" w:hAnsi="Book Antiqua"/>
                <w:lang w:val="en-US"/>
              </w:rPr>
              <w:t>Case-control</w:t>
            </w:r>
          </w:p>
        </w:tc>
        <w:tc>
          <w:tcPr>
            <w:tcW w:w="452" w:type="pct"/>
            <w:shd w:val="clear" w:color="auto" w:fill="auto"/>
          </w:tcPr>
          <w:p w14:paraId="788CF1C5" w14:textId="77777777" w:rsidR="00DB53E8" w:rsidRPr="00C0009F" w:rsidRDefault="00DB53E8" w:rsidP="0052574D">
            <w:pPr>
              <w:adjustRightInd w:val="0"/>
              <w:snapToGrid w:val="0"/>
              <w:spacing w:line="360" w:lineRule="auto"/>
              <w:jc w:val="both"/>
              <w:rPr>
                <w:rFonts w:ascii="Book Antiqua" w:hAnsi="Book Antiqua"/>
                <w:lang w:val="en-US"/>
              </w:rPr>
            </w:pPr>
            <w:r w:rsidRPr="00C0009F">
              <w:rPr>
                <w:rFonts w:ascii="Book Antiqua" w:hAnsi="Book Antiqua"/>
                <w:lang w:val="en-US"/>
              </w:rPr>
              <w:t>436</w:t>
            </w:r>
          </w:p>
        </w:tc>
        <w:tc>
          <w:tcPr>
            <w:tcW w:w="456" w:type="pct"/>
            <w:shd w:val="clear" w:color="auto" w:fill="auto"/>
          </w:tcPr>
          <w:p w14:paraId="5223FCAA" w14:textId="77777777" w:rsidR="00DB53E8" w:rsidRPr="00C0009F" w:rsidRDefault="00DB53E8" w:rsidP="0052574D">
            <w:pPr>
              <w:adjustRightInd w:val="0"/>
              <w:snapToGrid w:val="0"/>
              <w:spacing w:line="360" w:lineRule="auto"/>
              <w:jc w:val="both"/>
              <w:rPr>
                <w:rFonts w:ascii="Book Antiqua" w:hAnsi="Book Antiqua"/>
                <w:lang w:val="en-US"/>
              </w:rPr>
            </w:pPr>
            <w:r w:rsidRPr="00C0009F">
              <w:rPr>
                <w:rFonts w:ascii="Book Antiqua" w:hAnsi="Book Antiqua"/>
                <w:lang w:val="en-US"/>
              </w:rPr>
              <w:t>123</w:t>
            </w:r>
          </w:p>
        </w:tc>
        <w:tc>
          <w:tcPr>
            <w:tcW w:w="549" w:type="pct"/>
            <w:shd w:val="clear" w:color="auto" w:fill="auto"/>
          </w:tcPr>
          <w:p w14:paraId="49A0E764" w14:textId="77777777" w:rsidR="00DB53E8" w:rsidRPr="00C0009F" w:rsidRDefault="00DB53E8" w:rsidP="0052574D">
            <w:pPr>
              <w:adjustRightInd w:val="0"/>
              <w:snapToGrid w:val="0"/>
              <w:spacing w:line="360" w:lineRule="auto"/>
              <w:jc w:val="both"/>
              <w:rPr>
                <w:rFonts w:ascii="Book Antiqua" w:hAnsi="Book Antiqua"/>
                <w:lang w:val="en-US"/>
              </w:rPr>
            </w:pPr>
            <w:r w:rsidRPr="00C0009F">
              <w:rPr>
                <w:rFonts w:ascii="Book Antiqua" w:hAnsi="Book Antiqua"/>
                <w:lang w:val="en-US"/>
              </w:rPr>
              <w:t>313</w:t>
            </w:r>
          </w:p>
        </w:tc>
        <w:tc>
          <w:tcPr>
            <w:tcW w:w="838" w:type="pct"/>
            <w:shd w:val="clear" w:color="auto" w:fill="auto"/>
          </w:tcPr>
          <w:p w14:paraId="3CD9B4CE" w14:textId="77777777" w:rsidR="00DB53E8" w:rsidRPr="00C0009F" w:rsidRDefault="00DB53E8" w:rsidP="0052574D">
            <w:pPr>
              <w:adjustRightInd w:val="0"/>
              <w:snapToGrid w:val="0"/>
              <w:spacing w:line="360" w:lineRule="auto"/>
              <w:jc w:val="both"/>
              <w:rPr>
                <w:rFonts w:ascii="Book Antiqua" w:hAnsi="Book Antiqua"/>
                <w:lang w:val="en-US"/>
              </w:rPr>
            </w:pPr>
            <w:r w:rsidRPr="00C0009F">
              <w:rPr>
                <w:rFonts w:ascii="Book Antiqua" w:hAnsi="Book Antiqua"/>
                <w:lang w:val="en-US"/>
              </w:rPr>
              <w:t>ICG: 1 (0.8%)</w:t>
            </w:r>
          </w:p>
          <w:p w14:paraId="06FA15A3" w14:textId="77777777" w:rsidR="00DB53E8" w:rsidRPr="00C0009F" w:rsidRDefault="00DB53E8" w:rsidP="0052574D">
            <w:pPr>
              <w:adjustRightInd w:val="0"/>
              <w:snapToGrid w:val="0"/>
              <w:spacing w:line="360" w:lineRule="auto"/>
              <w:jc w:val="both"/>
              <w:rPr>
                <w:rFonts w:ascii="Book Antiqua" w:hAnsi="Book Antiqua"/>
                <w:lang w:val="en-US"/>
              </w:rPr>
            </w:pPr>
            <w:r w:rsidRPr="00C0009F">
              <w:rPr>
                <w:rFonts w:ascii="Book Antiqua" w:hAnsi="Book Antiqua"/>
                <w:lang w:val="en-US"/>
              </w:rPr>
              <w:t>NICG: 17 (5.4%)</w:t>
            </w:r>
          </w:p>
        </w:tc>
        <w:tc>
          <w:tcPr>
            <w:tcW w:w="517" w:type="pct"/>
            <w:shd w:val="clear" w:color="auto" w:fill="auto"/>
          </w:tcPr>
          <w:p w14:paraId="431CB6AD" w14:textId="343CF2D8" w:rsidR="00DB53E8" w:rsidRPr="00C0009F" w:rsidRDefault="00CA7E3D" w:rsidP="0052574D">
            <w:pPr>
              <w:adjustRightInd w:val="0"/>
              <w:snapToGrid w:val="0"/>
              <w:spacing w:line="360" w:lineRule="auto"/>
              <w:jc w:val="both"/>
              <w:rPr>
                <w:rFonts w:ascii="Book Antiqua" w:hAnsi="Book Antiqua"/>
                <w:lang w:val="en-US"/>
              </w:rPr>
            </w:pPr>
            <w:r w:rsidRPr="00C0009F">
              <w:rPr>
                <w:rFonts w:ascii="Book Antiqua" w:hAnsi="Book Antiqua"/>
                <w:lang w:val="en-US"/>
              </w:rPr>
              <w:t>NS</w:t>
            </w:r>
          </w:p>
        </w:tc>
        <w:tc>
          <w:tcPr>
            <w:tcW w:w="926" w:type="pct"/>
            <w:shd w:val="clear" w:color="auto" w:fill="auto"/>
          </w:tcPr>
          <w:p w14:paraId="3F98E7FC" w14:textId="0AC98F33" w:rsidR="00DB53E8" w:rsidRPr="00C0009F" w:rsidRDefault="00DB53E8" w:rsidP="0052574D">
            <w:pPr>
              <w:adjustRightInd w:val="0"/>
              <w:snapToGrid w:val="0"/>
              <w:spacing w:line="360" w:lineRule="auto"/>
              <w:jc w:val="both"/>
              <w:rPr>
                <w:rFonts w:ascii="Book Antiqua" w:hAnsi="Book Antiqua"/>
                <w:lang w:val="en-US"/>
              </w:rPr>
            </w:pPr>
            <w:r w:rsidRPr="00C0009F">
              <w:rPr>
                <w:rFonts w:ascii="Book Antiqua" w:hAnsi="Book Antiqua"/>
                <w:lang w:val="en-US"/>
              </w:rPr>
              <w:t>No</w:t>
            </w:r>
            <w:r w:rsidR="00AB18F9" w:rsidRPr="00C0009F">
              <w:rPr>
                <w:rFonts w:ascii="Book Antiqua" w:hAnsi="Book Antiqua"/>
                <w:lang w:val="en-US"/>
              </w:rPr>
              <w:t>t</w:t>
            </w:r>
            <w:r w:rsidRPr="00C0009F">
              <w:rPr>
                <w:rFonts w:ascii="Book Antiqua" w:hAnsi="Book Antiqua"/>
                <w:lang w:val="en-US"/>
              </w:rPr>
              <w:t xml:space="preserve"> reported</w:t>
            </w:r>
          </w:p>
        </w:tc>
      </w:tr>
      <w:tr w:rsidR="00DB53E8" w:rsidRPr="001D5732" w14:paraId="13BCAA7E" w14:textId="77777777" w:rsidTr="009A4D1A">
        <w:trPr>
          <w:trHeight w:val="287"/>
        </w:trPr>
        <w:tc>
          <w:tcPr>
            <w:tcW w:w="586" w:type="pct"/>
            <w:shd w:val="clear" w:color="auto" w:fill="auto"/>
          </w:tcPr>
          <w:p w14:paraId="29203E41" w14:textId="77777777" w:rsidR="00DB53E8" w:rsidRPr="00C0009F" w:rsidRDefault="00DB53E8" w:rsidP="003A0C59">
            <w:pPr>
              <w:adjustRightInd w:val="0"/>
              <w:snapToGrid w:val="0"/>
              <w:spacing w:line="360" w:lineRule="auto"/>
              <w:jc w:val="both"/>
              <w:rPr>
                <w:rFonts w:ascii="Book Antiqua" w:hAnsi="Book Antiqua"/>
                <w:lang w:val="en-US"/>
              </w:rPr>
            </w:pPr>
            <w:r w:rsidRPr="00C0009F">
              <w:rPr>
                <w:rFonts w:ascii="Book Antiqua" w:hAnsi="Book Antiqua"/>
                <w:lang w:val="en-US"/>
              </w:rPr>
              <w:t>De Nardi</w:t>
            </w:r>
            <w:r w:rsidRPr="00C0009F">
              <w:rPr>
                <w:rFonts w:ascii="Book Antiqua" w:hAnsi="Book Antiqua"/>
                <w:i/>
                <w:lang w:val="en-US" w:eastAsia="zh-CN"/>
              </w:rPr>
              <w:t xml:space="preserve"> et al</w:t>
            </w:r>
            <w:r w:rsidRPr="00C0009F">
              <w:rPr>
                <w:rFonts w:ascii="Book Antiqua" w:hAnsi="Book Antiqua"/>
                <w:vertAlign w:val="superscript"/>
                <w:lang w:val="en-US" w:eastAsia="zh-CN"/>
              </w:rPr>
              <w:t>[25]</w:t>
            </w:r>
            <w:r w:rsidRPr="00C0009F">
              <w:rPr>
                <w:rFonts w:ascii="Book Antiqua" w:hAnsi="Book Antiqua"/>
                <w:lang w:val="en-US" w:eastAsia="zh-CN"/>
              </w:rPr>
              <w:t>, 2020</w:t>
            </w:r>
          </w:p>
        </w:tc>
        <w:tc>
          <w:tcPr>
            <w:tcW w:w="677" w:type="pct"/>
            <w:shd w:val="clear" w:color="auto" w:fill="auto"/>
          </w:tcPr>
          <w:p w14:paraId="5500FBF5" w14:textId="77777777" w:rsidR="00DB53E8" w:rsidRPr="00C0009F" w:rsidRDefault="00DB53E8" w:rsidP="0052574D">
            <w:pPr>
              <w:adjustRightInd w:val="0"/>
              <w:snapToGrid w:val="0"/>
              <w:spacing w:line="360" w:lineRule="auto"/>
              <w:jc w:val="both"/>
              <w:rPr>
                <w:rFonts w:ascii="Book Antiqua" w:hAnsi="Book Antiqua"/>
                <w:lang w:val="en-US"/>
              </w:rPr>
            </w:pPr>
            <w:r w:rsidRPr="00C0009F">
              <w:rPr>
                <w:rFonts w:ascii="Book Antiqua" w:hAnsi="Book Antiqua"/>
                <w:lang w:val="en-US"/>
              </w:rPr>
              <w:t>Randomized controlled trial</w:t>
            </w:r>
          </w:p>
        </w:tc>
        <w:tc>
          <w:tcPr>
            <w:tcW w:w="452" w:type="pct"/>
            <w:shd w:val="clear" w:color="auto" w:fill="auto"/>
          </w:tcPr>
          <w:p w14:paraId="21CED6A0" w14:textId="77777777" w:rsidR="00DB53E8" w:rsidRPr="00C0009F" w:rsidRDefault="00DB53E8" w:rsidP="0052574D">
            <w:pPr>
              <w:adjustRightInd w:val="0"/>
              <w:snapToGrid w:val="0"/>
              <w:spacing w:line="360" w:lineRule="auto"/>
              <w:jc w:val="both"/>
              <w:rPr>
                <w:rFonts w:ascii="Book Antiqua" w:hAnsi="Book Antiqua"/>
                <w:lang w:val="en-US"/>
              </w:rPr>
            </w:pPr>
            <w:r w:rsidRPr="00C0009F">
              <w:rPr>
                <w:rFonts w:ascii="Book Antiqua" w:hAnsi="Book Antiqua"/>
                <w:lang w:val="en-US"/>
              </w:rPr>
              <w:t>240</w:t>
            </w:r>
          </w:p>
        </w:tc>
        <w:tc>
          <w:tcPr>
            <w:tcW w:w="456" w:type="pct"/>
            <w:shd w:val="clear" w:color="auto" w:fill="auto"/>
          </w:tcPr>
          <w:p w14:paraId="170C6BD4" w14:textId="77777777" w:rsidR="00DB53E8" w:rsidRPr="00C0009F" w:rsidRDefault="00DB53E8" w:rsidP="0052574D">
            <w:pPr>
              <w:adjustRightInd w:val="0"/>
              <w:snapToGrid w:val="0"/>
              <w:spacing w:line="360" w:lineRule="auto"/>
              <w:jc w:val="both"/>
              <w:rPr>
                <w:rFonts w:ascii="Book Antiqua" w:hAnsi="Book Antiqua"/>
                <w:lang w:val="en-US"/>
              </w:rPr>
            </w:pPr>
            <w:r w:rsidRPr="00C0009F">
              <w:rPr>
                <w:rFonts w:ascii="Book Antiqua" w:hAnsi="Book Antiqua"/>
                <w:lang w:val="en-US"/>
              </w:rPr>
              <w:t>118</w:t>
            </w:r>
          </w:p>
        </w:tc>
        <w:tc>
          <w:tcPr>
            <w:tcW w:w="549" w:type="pct"/>
            <w:shd w:val="clear" w:color="auto" w:fill="auto"/>
          </w:tcPr>
          <w:p w14:paraId="5291643A" w14:textId="77777777" w:rsidR="00DB53E8" w:rsidRPr="00C0009F" w:rsidRDefault="00DB53E8" w:rsidP="0052574D">
            <w:pPr>
              <w:adjustRightInd w:val="0"/>
              <w:snapToGrid w:val="0"/>
              <w:spacing w:line="360" w:lineRule="auto"/>
              <w:jc w:val="both"/>
              <w:rPr>
                <w:rFonts w:ascii="Book Antiqua" w:hAnsi="Book Antiqua"/>
                <w:lang w:val="en-US"/>
              </w:rPr>
            </w:pPr>
            <w:r w:rsidRPr="00C0009F">
              <w:rPr>
                <w:rFonts w:ascii="Book Antiqua" w:hAnsi="Book Antiqua"/>
                <w:lang w:val="en-US"/>
              </w:rPr>
              <w:t>122</w:t>
            </w:r>
          </w:p>
        </w:tc>
        <w:tc>
          <w:tcPr>
            <w:tcW w:w="838" w:type="pct"/>
            <w:shd w:val="clear" w:color="auto" w:fill="auto"/>
          </w:tcPr>
          <w:p w14:paraId="2EBEF876" w14:textId="77777777" w:rsidR="00DB53E8" w:rsidRPr="00C0009F" w:rsidRDefault="00DB53E8" w:rsidP="0052574D">
            <w:pPr>
              <w:adjustRightInd w:val="0"/>
              <w:snapToGrid w:val="0"/>
              <w:spacing w:line="360" w:lineRule="auto"/>
              <w:jc w:val="both"/>
              <w:rPr>
                <w:rFonts w:ascii="Book Antiqua" w:hAnsi="Book Antiqua"/>
                <w:lang w:val="en-US"/>
              </w:rPr>
            </w:pPr>
            <w:r w:rsidRPr="00C0009F">
              <w:rPr>
                <w:rFonts w:ascii="Book Antiqua" w:hAnsi="Book Antiqua"/>
                <w:lang w:val="en-US"/>
              </w:rPr>
              <w:t>ICG: 6 (5%)</w:t>
            </w:r>
          </w:p>
          <w:p w14:paraId="6F4E9637" w14:textId="77777777" w:rsidR="00DB53E8" w:rsidRPr="00C0009F" w:rsidRDefault="00DB53E8" w:rsidP="0052574D">
            <w:pPr>
              <w:adjustRightInd w:val="0"/>
              <w:snapToGrid w:val="0"/>
              <w:spacing w:line="360" w:lineRule="auto"/>
              <w:jc w:val="both"/>
              <w:rPr>
                <w:rFonts w:ascii="Book Antiqua" w:hAnsi="Book Antiqua"/>
                <w:lang w:val="en-US"/>
              </w:rPr>
            </w:pPr>
            <w:r w:rsidRPr="00C0009F">
              <w:rPr>
                <w:rFonts w:ascii="Book Antiqua" w:hAnsi="Book Antiqua"/>
                <w:lang w:val="en-US"/>
              </w:rPr>
              <w:t>NICG: 11 (9%)</w:t>
            </w:r>
          </w:p>
        </w:tc>
        <w:tc>
          <w:tcPr>
            <w:tcW w:w="517" w:type="pct"/>
            <w:shd w:val="clear" w:color="auto" w:fill="auto"/>
          </w:tcPr>
          <w:p w14:paraId="34E5A388" w14:textId="40FB26A4" w:rsidR="00DB53E8" w:rsidRPr="00C0009F" w:rsidRDefault="00CA7E3D" w:rsidP="0052574D">
            <w:pPr>
              <w:adjustRightInd w:val="0"/>
              <w:snapToGrid w:val="0"/>
              <w:spacing w:line="360" w:lineRule="auto"/>
              <w:jc w:val="both"/>
              <w:rPr>
                <w:rFonts w:ascii="Book Antiqua" w:hAnsi="Book Antiqua"/>
                <w:lang w:val="en-US"/>
              </w:rPr>
            </w:pPr>
            <w:r w:rsidRPr="00C0009F">
              <w:rPr>
                <w:rFonts w:ascii="Book Antiqua" w:hAnsi="Book Antiqua"/>
                <w:lang w:val="en-US"/>
              </w:rPr>
              <w:t>NS</w:t>
            </w:r>
          </w:p>
        </w:tc>
        <w:tc>
          <w:tcPr>
            <w:tcW w:w="926" w:type="pct"/>
            <w:shd w:val="clear" w:color="auto" w:fill="auto"/>
          </w:tcPr>
          <w:p w14:paraId="68BF7371" w14:textId="77777777" w:rsidR="00DB53E8" w:rsidRPr="00C0009F" w:rsidRDefault="00DB53E8" w:rsidP="0052574D">
            <w:pPr>
              <w:adjustRightInd w:val="0"/>
              <w:snapToGrid w:val="0"/>
              <w:spacing w:line="360" w:lineRule="auto"/>
              <w:jc w:val="both"/>
              <w:rPr>
                <w:rFonts w:ascii="Book Antiqua" w:hAnsi="Book Antiqua"/>
                <w:lang w:val="en-US"/>
              </w:rPr>
            </w:pPr>
            <w:r w:rsidRPr="00C0009F">
              <w:rPr>
                <w:rFonts w:ascii="Book Antiqua" w:hAnsi="Book Antiqua"/>
                <w:lang w:val="en-US"/>
              </w:rPr>
              <w:t>11%</w:t>
            </w:r>
          </w:p>
        </w:tc>
      </w:tr>
      <w:tr w:rsidR="00DB53E8" w:rsidRPr="001D5732" w14:paraId="276A926D" w14:textId="77777777" w:rsidTr="009A4D1A">
        <w:trPr>
          <w:trHeight w:val="189"/>
        </w:trPr>
        <w:tc>
          <w:tcPr>
            <w:tcW w:w="586" w:type="pct"/>
            <w:shd w:val="clear" w:color="auto" w:fill="auto"/>
          </w:tcPr>
          <w:p w14:paraId="47E56197" w14:textId="77777777" w:rsidR="00DB53E8" w:rsidRPr="00C0009F" w:rsidRDefault="00DB53E8" w:rsidP="0052574D">
            <w:pPr>
              <w:adjustRightInd w:val="0"/>
              <w:snapToGrid w:val="0"/>
              <w:spacing w:line="360" w:lineRule="auto"/>
              <w:jc w:val="both"/>
              <w:rPr>
                <w:rFonts w:ascii="Book Antiqua" w:hAnsi="Book Antiqua"/>
                <w:lang w:val="en-US"/>
              </w:rPr>
            </w:pPr>
            <w:r w:rsidRPr="00C0009F">
              <w:rPr>
                <w:rFonts w:ascii="Book Antiqua" w:hAnsi="Book Antiqua"/>
                <w:lang w:val="en-US"/>
              </w:rPr>
              <w:t>Alekseev</w:t>
            </w:r>
            <w:r w:rsidRPr="00C0009F">
              <w:rPr>
                <w:rFonts w:ascii="Book Antiqua" w:hAnsi="Book Antiqua"/>
                <w:i/>
                <w:lang w:val="en-US" w:eastAsia="zh-CN"/>
              </w:rPr>
              <w:t xml:space="preserve"> et al</w:t>
            </w:r>
            <w:r w:rsidRPr="00C0009F">
              <w:rPr>
                <w:rFonts w:ascii="Book Antiqua" w:hAnsi="Book Antiqua"/>
                <w:vertAlign w:val="superscript"/>
                <w:lang w:val="en-US" w:eastAsia="zh-CN"/>
              </w:rPr>
              <w:t>[26]</w:t>
            </w:r>
            <w:r w:rsidRPr="00C0009F">
              <w:rPr>
                <w:rFonts w:ascii="Book Antiqua" w:hAnsi="Book Antiqua"/>
                <w:lang w:val="en-US" w:eastAsia="zh-CN"/>
              </w:rPr>
              <w:t>, 2020</w:t>
            </w:r>
          </w:p>
        </w:tc>
        <w:tc>
          <w:tcPr>
            <w:tcW w:w="677" w:type="pct"/>
            <w:shd w:val="clear" w:color="auto" w:fill="auto"/>
          </w:tcPr>
          <w:p w14:paraId="45DDB213" w14:textId="77777777" w:rsidR="00DB53E8" w:rsidRPr="00C0009F" w:rsidRDefault="00DB53E8" w:rsidP="0052574D">
            <w:pPr>
              <w:adjustRightInd w:val="0"/>
              <w:snapToGrid w:val="0"/>
              <w:spacing w:line="360" w:lineRule="auto"/>
              <w:jc w:val="both"/>
              <w:rPr>
                <w:rFonts w:ascii="Book Antiqua" w:hAnsi="Book Antiqua"/>
                <w:lang w:val="en-US"/>
              </w:rPr>
            </w:pPr>
            <w:r w:rsidRPr="00C0009F">
              <w:rPr>
                <w:rFonts w:ascii="Book Antiqua" w:hAnsi="Book Antiqua"/>
                <w:lang w:val="en-US"/>
              </w:rPr>
              <w:t>Randomized controlled trial</w:t>
            </w:r>
          </w:p>
        </w:tc>
        <w:tc>
          <w:tcPr>
            <w:tcW w:w="452" w:type="pct"/>
            <w:shd w:val="clear" w:color="auto" w:fill="auto"/>
          </w:tcPr>
          <w:p w14:paraId="65056309" w14:textId="77777777" w:rsidR="00DB53E8" w:rsidRPr="00C0009F" w:rsidRDefault="00DB53E8" w:rsidP="0052574D">
            <w:pPr>
              <w:adjustRightInd w:val="0"/>
              <w:snapToGrid w:val="0"/>
              <w:spacing w:line="360" w:lineRule="auto"/>
              <w:jc w:val="both"/>
              <w:rPr>
                <w:rFonts w:ascii="Book Antiqua" w:hAnsi="Book Antiqua"/>
                <w:lang w:val="en-US"/>
              </w:rPr>
            </w:pPr>
            <w:r w:rsidRPr="00C0009F">
              <w:rPr>
                <w:rFonts w:ascii="Book Antiqua" w:hAnsi="Book Antiqua"/>
                <w:lang w:val="en-US"/>
              </w:rPr>
              <w:t>377</w:t>
            </w:r>
          </w:p>
        </w:tc>
        <w:tc>
          <w:tcPr>
            <w:tcW w:w="456" w:type="pct"/>
            <w:shd w:val="clear" w:color="auto" w:fill="auto"/>
          </w:tcPr>
          <w:p w14:paraId="1AB52BD6" w14:textId="77777777" w:rsidR="00DB53E8" w:rsidRPr="00C0009F" w:rsidRDefault="00DB53E8" w:rsidP="0052574D">
            <w:pPr>
              <w:adjustRightInd w:val="0"/>
              <w:snapToGrid w:val="0"/>
              <w:spacing w:line="360" w:lineRule="auto"/>
              <w:jc w:val="both"/>
              <w:rPr>
                <w:rFonts w:ascii="Book Antiqua" w:hAnsi="Book Antiqua"/>
                <w:lang w:val="en-US"/>
              </w:rPr>
            </w:pPr>
            <w:r w:rsidRPr="00C0009F">
              <w:rPr>
                <w:rFonts w:ascii="Book Antiqua" w:hAnsi="Book Antiqua"/>
                <w:lang w:val="en-US"/>
              </w:rPr>
              <w:t>187</w:t>
            </w:r>
          </w:p>
        </w:tc>
        <w:tc>
          <w:tcPr>
            <w:tcW w:w="549" w:type="pct"/>
            <w:shd w:val="clear" w:color="auto" w:fill="auto"/>
          </w:tcPr>
          <w:p w14:paraId="335F62DF" w14:textId="77777777" w:rsidR="00DB53E8" w:rsidRPr="00C0009F" w:rsidRDefault="00DB53E8" w:rsidP="0052574D">
            <w:pPr>
              <w:adjustRightInd w:val="0"/>
              <w:snapToGrid w:val="0"/>
              <w:spacing w:line="360" w:lineRule="auto"/>
              <w:jc w:val="both"/>
              <w:rPr>
                <w:rFonts w:ascii="Book Antiqua" w:hAnsi="Book Antiqua"/>
                <w:lang w:val="en-US"/>
              </w:rPr>
            </w:pPr>
            <w:r w:rsidRPr="00C0009F">
              <w:rPr>
                <w:rFonts w:ascii="Book Antiqua" w:hAnsi="Book Antiqua"/>
                <w:lang w:val="en-US"/>
              </w:rPr>
              <w:t>190</w:t>
            </w:r>
          </w:p>
        </w:tc>
        <w:tc>
          <w:tcPr>
            <w:tcW w:w="838" w:type="pct"/>
            <w:shd w:val="clear" w:color="auto" w:fill="auto"/>
          </w:tcPr>
          <w:p w14:paraId="6D60CC57" w14:textId="77777777" w:rsidR="00DB53E8" w:rsidRPr="00C0009F" w:rsidRDefault="00DB53E8" w:rsidP="0052574D">
            <w:pPr>
              <w:adjustRightInd w:val="0"/>
              <w:snapToGrid w:val="0"/>
              <w:spacing w:line="360" w:lineRule="auto"/>
              <w:jc w:val="both"/>
              <w:rPr>
                <w:rFonts w:ascii="Book Antiqua" w:hAnsi="Book Antiqua"/>
                <w:lang w:val="en-US"/>
              </w:rPr>
            </w:pPr>
            <w:r w:rsidRPr="00C0009F">
              <w:rPr>
                <w:rFonts w:ascii="Book Antiqua" w:hAnsi="Book Antiqua"/>
                <w:lang w:val="en-US"/>
              </w:rPr>
              <w:t>ICG: 17 (9.1%)</w:t>
            </w:r>
          </w:p>
          <w:p w14:paraId="358C22D0" w14:textId="77777777" w:rsidR="00DB53E8" w:rsidRPr="00C0009F" w:rsidRDefault="00DB53E8" w:rsidP="0052574D">
            <w:pPr>
              <w:adjustRightInd w:val="0"/>
              <w:snapToGrid w:val="0"/>
              <w:spacing w:line="360" w:lineRule="auto"/>
              <w:jc w:val="both"/>
              <w:rPr>
                <w:rFonts w:ascii="Book Antiqua" w:hAnsi="Book Antiqua"/>
                <w:lang w:val="en-US"/>
              </w:rPr>
            </w:pPr>
            <w:r w:rsidRPr="00C0009F">
              <w:rPr>
                <w:rFonts w:ascii="Book Antiqua" w:hAnsi="Book Antiqua"/>
                <w:lang w:val="en-US"/>
              </w:rPr>
              <w:t>NICG: 31 (16.3%)</w:t>
            </w:r>
          </w:p>
        </w:tc>
        <w:tc>
          <w:tcPr>
            <w:tcW w:w="517" w:type="pct"/>
            <w:shd w:val="clear" w:color="auto" w:fill="auto"/>
          </w:tcPr>
          <w:p w14:paraId="5C204D1E" w14:textId="77777777" w:rsidR="00DB53E8" w:rsidRPr="00C0009F" w:rsidRDefault="00DB53E8" w:rsidP="0052574D">
            <w:pPr>
              <w:adjustRightInd w:val="0"/>
              <w:snapToGrid w:val="0"/>
              <w:spacing w:line="360" w:lineRule="auto"/>
              <w:jc w:val="both"/>
              <w:rPr>
                <w:rFonts w:ascii="Book Antiqua" w:hAnsi="Book Antiqua"/>
                <w:lang w:val="en-US"/>
              </w:rPr>
            </w:pPr>
            <w:r w:rsidRPr="00C0009F">
              <w:rPr>
                <w:rFonts w:ascii="Book Antiqua" w:hAnsi="Book Antiqua"/>
                <w:lang w:val="en-US"/>
              </w:rPr>
              <w:t>0.04</w:t>
            </w:r>
          </w:p>
        </w:tc>
        <w:tc>
          <w:tcPr>
            <w:tcW w:w="926" w:type="pct"/>
            <w:shd w:val="clear" w:color="auto" w:fill="auto"/>
          </w:tcPr>
          <w:p w14:paraId="5E3B63A5" w14:textId="71874B73" w:rsidR="00DB53E8" w:rsidRPr="00C0009F" w:rsidRDefault="00DB53E8" w:rsidP="0052574D">
            <w:pPr>
              <w:adjustRightInd w:val="0"/>
              <w:snapToGrid w:val="0"/>
              <w:spacing w:line="360" w:lineRule="auto"/>
              <w:jc w:val="both"/>
              <w:rPr>
                <w:rFonts w:ascii="Book Antiqua" w:hAnsi="Book Antiqua"/>
                <w:lang w:val="en-US"/>
              </w:rPr>
            </w:pPr>
            <w:r w:rsidRPr="00C0009F">
              <w:rPr>
                <w:rFonts w:ascii="Book Antiqua" w:hAnsi="Book Antiqua"/>
                <w:lang w:val="en-US"/>
              </w:rPr>
              <w:t>No</w:t>
            </w:r>
            <w:r w:rsidR="00AB18F9" w:rsidRPr="00C0009F">
              <w:rPr>
                <w:rFonts w:ascii="Book Antiqua" w:hAnsi="Book Antiqua"/>
                <w:lang w:val="en-US"/>
              </w:rPr>
              <w:t>t</w:t>
            </w:r>
            <w:r w:rsidRPr="00C0009F">
              <w:rPr>
                <w:rFonts w:ascii="Book Antiqua" w:hAnsi="Book Antiqua"/>
                <w:lang w:val="en-US"/>
              </w:rPr>
              <w:t xml:space="preserve"> reported</w:t>
            </w:r>
          </w:p>
        </w:tc>
      </w:tr>
      <w:tr w:rsidR="00DB53E8" w:rsidRPr="001D5732" w14:paraId="6EADC866" w14:textId="77777777" w:rsidTr="009A4D1A">
        <w:trPr>
          <w:trHeight w:val="320"/>
        </w:trPr>
        <w:tc>
          <w:tcPr>
            <w:tcW w:w="586" w:type="pct"/>
            <w:shd w:val="clear" w:color="auto" w:fill="auto"/>
          </w:tcPr>
          <w:p w14:paraId="3E801F23" w14:textId="77777777" w:rsidR="00DB53E8" w:rsidRPr="00C0009F" w:rsidRDefault="00DB53E8" w:rsidP="0052574D">
            <w:pPr>
              <w:adjustRightInd w:val="0"/>
              <w:snapToGrid w:val="0"/>
              <w:spacing w:line="360" w:lineRule="auto"/>
              <w:jc w:val="both"/>
              <w:rPr>
                <w:rFonts w:ascii="Book Antiqua" w:hAnsi="Book Antiqua"/>
                <w:lang w:val="en-US"/>
              </w:rPr>
            </w:pPr>
            <w:r w:rsidRPr="00C0009F">
              <w:rPr>
                <w:rFonts w:ascii="Book Antiqua" w:hAnsi="Book Antiqua"/>
                <w:lang w:val="en-US"/>
              </w:rPr>
              <w:t>Arezzo</w:t>
            </w:r>
            <w:r w:rsidRPr="00C0009F">
              <w:rPr>
                <w:rFonts w:ascii="Book Antiqua" w:hAnsi="Book Antiqua"/>
                <w:i/>
                <w:lang w:val="en-US" w:eastAsia="zh-CN"/>
              </w:rPr>
              <w:t xml:space="preserve"> et al</w:t>
            </w:r>
            <w:r w:rsidRPr="00C0009F">
              <w:rPr>
                <w:rFonts w:ascii="Book Antiqua" w:hAnsi="Book Antiqua"/>
                <w:vertAlign w:val="superscript"/>
                <w:lang w:val="en-US" w:eastAsia="zh-CN"/>
              </w:rPr>
              <w:t>[27]</w:t>
            </w:r>
            <w:r w:rsidRPr="00C0009F">
              <w:rPr>
                <w:rFonts w:ascii="Book Antiqua" w:hAnsi="Book Antiqua"/>
                <w:lang w:val="en-US" w:eastAsia="zh-CN"/>
              </w:rPr>
              <w:t>, 2020</w:t>
            </w:r>
          </w:p>
        </w:tc>
        <w:tc>
          <w:tcPr>
            <w:tcW w:w="677" w:type="pct"/>
            <w:shd w:val="clear" w:color="auto" w:fill="auto"/>
          </w:tcPr>
          <w:p w14:paraId="54375CC0" w14:textId="77777777" w:rsidR="00DB53E8" w:rsidRPr="00C0009F" w:rsidRDefault="00DB53E8" w:rsidP="0052574D">
            <w:pPr>
              <w:adjustRightInd w:val="0"/>
              <w:snapToGrid w:val="0"/>
              <w:spacing w:line="360" w:lineRule="auto"/>
              <w:jc w:val="both"/>
              <w:rPr>
                <w:rFonts w:ascii="Book Antiqua" w:hAnsi="Book Antiqua"/>
                <w:lang w:val="en-US"/>
              </w:rPr>
            </w:pPr>
            <w:r w:rsidRPr="00C0009F">
              <w:rPr>
                <w:rFonts w:ascii="Book Antiqua" w:hAnsi="Book Antiqua"/>
                <w:lang w:val="en-US"/>
              </w:rPr>
              <w:t>Meta-analysis</w:t>
            </w:r>
          </w:p>
        </w:tc>
        <w:tc>
          <w:tcPr>
            <w:tcW w:w="452" w:type="pct"/>
            <w:shd w:val="clear" w:color="auto" w:fill="auto"/>
          </w:tcPr>
          <w:p w14:paraId="6AEE2630" w14:textId="77777777" w:rsidR="00DB53E8" w:rsidRPr="00C0009F" w:rsidRDefault="00DB53E8" w:rsidP="0052574D">
            <w:pPr>
              <w:adjustRightInd w:val="0"/>
              <w:snapToGrid w:val="0"/>
              <w:spacing w:line="360" w:lineRule="auto"/>
              <w:jc w:val="both"/>
              <w:rPr>
                <w:rFonts w:ascii="Book Antiqua" w:hAnsi="Book Antiqua"/>
                <w:lang w:val="en-US"/>
              </w:rPr>
            </w:pPr>
            <w:r w:rsidRPr="00C0009F">
              <w:rPr>
                <w:rFonts w:ascii="Book Antiqua" w:hAnsi="Book Antiqua"/>
                <w:lang w:val="en-US"/>
              </w:rPr>
              <w:t>1330</w:t>
            </w:r>
          </w:p>
        </w:tc>
        <w:tc>
          <w:tcPr>
            <w:tcW w:w="456" w:type="pct"/>
            <w:shd w:val="clear" w:color="auto" w:fill="auto"/>
          </w:tcPr>
          <w:p w14:paraId="4D3BE39E" w14:textId="77777777" w:rsidR="00DB53E8" w:rsidRPr="00C0009F" w:rsidRDefault="00DB53E8" w:rsidP="0052574D">
            <w:pPr>
              <w:adjustRightInd w:val="0"/>
              <w:snapToGrid w:val="0"/>
              <w:spacing w:line="360" w:lineRule="auto"/>
              <w:jc w:val="both"/>
              <w:rPr>
                <w:rFonts w:ascii="Book Antiqua" w:hAnsi="Book Antiqua"/>
                <w:lang w:val="en-US"/>
              </w:rPr>
            </w:pPr>
            <w:r w:rsidRPr="00C0009F">
              <w:rPr>
                <w:rFonts w:ascii="Book Antiqua" w:hAnsi="Book Antiqua"/>
                <w:lang w:val="en-US"/>
              </w:rPr>
              <w:t>862</w:t>
            </w:r>
          </w:p>
        </w:tc>
        <w:tc>
          <w:tcPr>
            <w:tcW w:w="549" w:type="pct"/>
            <w:shd w:val="clear" w:color="auto" w:fill="auto"/>
          </w:tcPr>
          <w:p w14:paraId="0D97F8B2" w14:textId="77777777" w:rsidR="00DB53E8" w:rsidRPr="00C0009F" w:rsidRDefault="00DB53E8" w:rsidP="0052574D">
            <w:pPr>
              <w:adjustRightInd w:val="0"/>
              <w:snapToGrid w:val="0"/>
              <w:spacing w:line="360" w:lineRule="auto"/>
              <w:jc w:val="both"/>
              <w:rPr>
                <w:rFonts w:ascii="Book Antiqua" w:hAnsi="Book Antiqua"/>
                <w:lang w:val="en-US"/>
              </w:rPr>
            </w:pPr>
            <w:r w:rsidRPr="00C0009F">
              <w:rPr>
                <w:rFonts w:ascii="Book Antiqua" w:hAnsi="Book Antiqua"/>
                <w:lang w:val="en-US"/>
              </w:rPr>
              <w:t>468</w:t>
            </w:r>
          </w:p>
        </w:tc>
        <w:tc>
          <w:tcPr>
            <w:tcW w:w="838" w:type="pct"/>
            <w:shd w:val="clear" w:color="auto" w:fill="auto"/>
          </w:tcPr>
          <w:p w14:paraId="1A2C8568" w14:textId="77777777" w:rsidR="00DB53E8" w:rsidRPr="00C0009F" w:rsidRDefault="00DB53E8" w:rsidP="0052574D">
            <w:pPr>
              <w:adjustRightInd w:val="0"/>
              <w:snapToGrid w:val="0"/>
              <w:spacing w:line="360" w:lineRule="auto"/>
              <w:jc w:val="both"/>
              <w:rPr>
                <w:rFonts w:ascii="Book Antiqua" w:hAnsi="Book Antiqua"/>
                <w:lang w:val="en-US"/>
              </w:rPr>
            </w:pPr>
            <w:r w:rsidRPr="00C0009F">
              <w:rPr>
                <w:rFonts w:ascii="Book Antiqua" w:hAnsi="Book Antiqua"/>
                <w:lang w:val="en-US"/>
              </w:rPr>
              <w:t xml:space="preserve">ICG: 36 (4.2%) </w:t>
            </w:r>
          </w:p>
          <w:p w14:paraId="390697DC" w14:textId="77777777" w:rsidR="00DB53E8" w:rsidRPr="00C0009F" w:rsidRDefault="00DB53E8" w:rsidP="0052574D">
            <w:pPr>
              <w:adjustRightInd w:val="0"/>
              <w:snapToGrid w:val="0"/>
              <w:spacing w:line="360" w:lineRule="auto"/>
              <w:jc w:val="both"/>
              <w:rPr>
                <w:rFonts w:ascii="Book Antiqua" w:hAnsi="Book Antiqua"/>
                <w:i/>
                <w:iCs/>
                <w:lang w:val="en-US"/>
              </w:rPr>
            </w:pPr>
            <w:r w:rsidRPr="00C0009F">
              <w:rPr>
                <w:rFonts w:ascii="Book Antiqua" w:hAnsi="Book Antiqua"/>
                <w:lang w:val="en-US"/>
              </w:rPr>
              <w:t>NICG: 53 (11.3%)</w:t>
            </w:r>
          </w:p>
        </w:tc>
        <w:tc>
          <w:tcPr>
            <w:tcW w:w="517" w:type="pct"/>
            <w:shd w:val="clear" w:color="auto" w:fill="auto"/>
          </w:tcPr>
          <w:p w14:paraId="4CFCABC9" w14:textId="77777777" w:rsidR="00DB53E8" w:rsidRPr="00C0009F" w:rsidRDefault="00DB53E8" w:rsidP="0052574D">
            <w:pPr>
              <w:adjustRightInd w:val="0"/>
              <w:snapToGrid w:val="0"/>
              <w:spacing w:line="360" w:lineRule="auto"/>
              <w:jc w:val="both"/>
              <w:rPr>
                <w:rFonts w:ascii="Book Antiqua" w:hAnsi="Book Antiqua"/>
                <w:lang w:val="en-US"/>
              </w:rPr>
            </w:pPr>
            <w:r w:rsidRPr="00C0009F">
              <w:rPr>
                <w:rFonts w:ascii="Book Antiqua" w:hAnsi="Book Antiqua"/>
                <w:lang w:val="en-US"/>
              </w:rPr>
              <w:t>&lt;</w:t>
            </w:r>
            <w:r w:rsidRPr="00C0009F">
              <w:rPr>
                <w:rFonts w:ascii="Book Antiqua" w:hAnsi="Book Antiqua"/>
                <w:lang w:val="en-US" w:eastAsia="zh-CN"/>
              </w:rPr>
              <w:t xml:space="preserve"> </w:t>
            </w:r>
            <w:r w:rsidRPr="00C0009F">
              <w:rPr>
                <w:rFonts w:ascii="Book Antiqua" w:hAnsi="Book Antiqua"/>
                <w:lang w:val="en-US"/>
              </w:rPr>
              <w:t>0.001</w:t>
            </w:r>
          </w:p>
        </w:tc>
        <w:tc>
          <w:tcPr>
            <w:tcW w:w="926" w:type="pct"/>
            <w:shd w:val="clear" w:color="auto" w:fill="auto"/>
          </w:tcPr>
          <w:p w14:paraId="14572832" w14:textId="77777777" w:rsidR="00DB53E8" w:rsidRPr="00C0009F" w:rsidRDefault="00DB53E8" w:rsidP="0052574D">
            <w:pPr>
              <w:adjustRightInd w:val="0"/>
              <w:snapToGrid w:val="0"/>
              <w:spacing w:line="360" w:lineRule="auto"/>
              <w:jc w:val="both"/>
              <w:rPr>
                <w:rFonts w:ascii="Book Antiqua" w:hAnsi="Book Antiqua"/>
                <w:lang w:val="en-US"/>
              </w:rPr>
            </w:pPr>
            <w:r w:rsidRPr="00C0009F">
              <w:rPr>
                <w:rFonts w:ascii="Book Antiqua" w:hAnsi="Book Antiqua"/>
                <w:lang w:val="en-US"/>
              </w:rPr>
              <w:t>11.3%</w:t>
            </w:r>
          </w:p>
        </w:tc>
      </w:tr>
      <w:tr w:rsidR="00DB53E8" w:rsidRPr="001D5732" w14:paraId="020C4335" w14:textId="77777777" w:rsidTr="009A4D1A">
        <w:trPr>
          <w:trHeight w:val="287"/>
        </w:trPr>
        <w:tc>
          <w:tcPr>
            <w:tcW w:w="586" w:type="pct"/>
            <w:shd w:val="clear" w:color="auto" w:fill="auto"/>
          </w:tcPr>
          <w:p w14:paraId="1BEDE0C6" w14:textId="77777777" w:rsidR="00DB53E8" w:rsidRPr="00C0009F" w:rsidRDefault="00DB53E8" w:rsidP="0052574D">
            <w:pPr>
              <w:adjustRightInd w:val="0"/>
              <w:snapToGrid w:val="0"/>
              <w:spacing w:line="360" w:lineRule="auto"/>
              <w:jc w:val="both"/>
              <w:rPr>
                <w:rFonts w:ascii="Book Antiqua" w:hAnsi="Book Antiqua"/>
                <w:bCs/>
                <w:lang w:val="en-US"/>
              </w:rPr>
            </w:pPr>
            <w:r w:rsidRPr="00C0009F">
              <w:rPr>
                <w:rFonts w:ascii="Book Antiqua" w:hAnsi="Book Antiqua"/>
                <w:bCs/>
                <w:lang w:val="en-US"/>
              </w:rPr>
              <w:t>Esophageal</w:t>
            </w:r>
          </w:p>
        </w:tc>
        <w:tc>
          <w:tcPr>
            <w:tcW w:w="677" w:type="pct"/>
            <w:shd w:val="clear" w:color="auto" w:fill="auto"/>
          </w:tcPr>
          <w:p w14:paraId="0FD4DF2E" w14:textId="77777777" w:rsidR="00DB53E8" w:rsidRPr="00C0009F" w:rsidRDefault="00DB53E8" w:rsidP="0052574D">
            <w:pPr>
              <w:adjustRightInd w:val="0"/>
              <w:snapToGrid w:val="0"/>
              <w:spacing w:line="360" w:lineRule="auto"/>
              <w:jc w:val="both"/>
              <w:rPr>
                <w:rFonts w:ascii="Book Antiqua" w:hAnsi="Book Antiqua"/>
                <w:lang w:val="en-US"/>
              </w:rPr>
            </w:pPr>
          </w:p>
        </w:tc>
        <w:tc>
          <w:tcPr>
            <w:tcW w:w="452" w:type="pct"/>
            <w:shd w:val="clear" w:color="auto" w:fill="auto"/>
          </w:tcPr>
          <w:p w14:paraId="7482939E" w14:textId="77777777" w:rsidR="00DB53E8" w:rsidRPr="00C0009F" w:rsidRDefault="00DB53E8" w:rsidP="0052574D">
            <w:pPr>
              <w:adjustRightInd w:val="0"/>
              <w:snapToGrid w:val="0"/>
              <w:spacing w:line="360" w:lineRule="auto"/>
              <w:jc w:val="both"/>
              <w:rPr>
                <w:rFonts w:ascii="Book Antiqua" w:hAnsi="Book Antiqua"/>
                <w:lang w:val="en-US"/>
              </w:rPr>
            </w:pPr>
          </w:p>
        </w:tc>
        <w:tc>
          <w:tcPr>
            <w:tcW w:w="456" w:type="pct"/>
            <w:shd w:val="clear" w:color="auto" w:fill="auto"/>
          </w:tcPr>
          <w:p w14:paraId="5065FF2C" w14:textId="77777777" w:rsidR="00DB53E8" w:rsidRPr="00C0009F" w:rsidRDefault="00DB53E8" w:rsidP="0052574D">
            <w:pPr>
              <w:adjustRightInd w:val="0"/>
              <w:snapToGrid w:val="0"/>
              <w:spacing w:line="360" w:lineRule="auto"/>
              <w:jc w:val="both"/>
              <w:rPr>
                <w:rFonts w:ascii="Book Antiqua" w:hAnsi="Book Antiqua"/>
                <w:lang w:val="en-US"/>
              </w:rPr>
            </w:pPr>
          </w:p>
        </w:tc>
        <w:tc>
          <w:tcPr>
            <w:tcW w:w="549" w:type="pct"/>
            <w:shd w:val="clear" w:color="auto" w:fill="auto"/>
          </w:tcPr>
          <w:p w14:paraId="73FB0EAD" w14:textId="77777777" w:rsidR="00DB53E8" w:rsidRPr="00C0009F" w:rsidRDefault="00DB53E8" w:rsidP="0052574D">
            <w:pPr>
              <w:adjustRightInd w:val="0"/>
              <w:snapToGrid w:val="0"/>
              <w:spacing w:line="360" w:lineRule="auto"/>
              <w:jc w:val="both"/>
              <w:rPr>
                <w:rFonts w:ascii="Book Antiqua" w:hAnsi="Book Antiqua"/>
                <w:lang w:val="en-US"/>
              </w:rPr>
            </w:pPr>
          </w:p>
        </w:tc>
        <w:tc>
          <w:tcPr>
            <w:tcW w:w="838" w:type="pct"/>
            <w:shd w:val="clear" w:color="auto" w:fill="auto"/>
          </w:tcPr>
          <w:p w14:paraId="016EFEEF" w14:textId="77777777" w:rsidR="00DB53E8" w:rsidRPr="00C0009F" w:rsidRDefault="00DB53E8" w:rsidP="0052574D">
            <w:pPr>
              <w:adjustRightInd w:val="0"/>
              <w:snapToGrid w:val="0"/>
              <w:spacing w:line="360" w:lineRule="auto"/>
              <w:jc w:val="both"/>
              <w:rPr>
                <w:rFonts w:ascii="Book Antiqua" w:hAnsi="Book Antiqua"/>
                <w:lang w:val="en-US"/>
              </w:rPr>
            </w:pPr>
          </w:p>
        </w:tc>
        <w:tc>
          <w:tcPr>
            <w:tcW w:w="517" w:type="pct"/>
            <w:shd w:val="clear" w:color="auto" w:fill="auto"/>
          </w:tcPr>
          <w:p w14:paraId="1A36C283" w14:textId="77777777" w:rsidR="00DB53E8" w:rsidRPr="00C0009F" w:rsidRDefault="00DB53E8" w:rsidP="0052574D">
            <w:pPr>
              <w:adjustRightInd w:val="0"/>
              <w:snapToGrid w:val="0"/>
              <w:spacing w:line="360" w:lineRule="auto"/>
              <w:jc w:val="both"/>
              <w:rPr>
                <w:rFonts w:ascii="Book Antiqua" w:hAnsi="Book Antiqua"/>
                <w:lang w:val="en-US"/>
              </w:rPr>
            </w:pPr>
          </w:p>
        </w:tc>
        <w:tc>
          <w:tcPr>
            <w:tcW w:w="926" w:type="pct"/>
            <w:shd w:val="clear" w:color="auto" w:fill="auto"/>
          </w:tcPr>
          <w:p w14:paraId="41D0CB19" w14:textId="77777777" w:rsidR="00DB53E8" w:rsidRPr="00C0009F" w:rsidRDefault="00DB53E8" w:rsidP="0052574D">
            <w:pPr>
              <w:adjustRightInd w:val="0"/>
              <w:snapToGrid w:val="0"/>
              <w:spacing w:line="360" w:lineRule="auto"/>
              <w:jc w:val="both"/>
              <w:rPr>
                <w:rFonts w:ascii="Book Antiqua" w:hAnsi="Book Antiqua"/>
                <w:lang w:val="en-US"/>
              </w:rPr>
            </w:pPr>
          </w:p>
        </w:tc>
      </w:tr>
      <w:tr w:rsidR="00DB53E8" w:rsidRPr="001D5732" w14:paraId="74F43C0D" w14:textId="77777777" w:rsidTr="009A4D1A">
        <w:trPr>
          <w:trHeight w:val="287"/>
        </w:trPr>
        <w:tc>
          <w:tcPr>
            <w:tcW w:w="586" w:type="pct"/>
            <w:shd w:val="clear" w:color="auto" w:fill="auto"/>
          </w:tcPr>
          <w:p w14:paraId="2B7AFE34" w14:textId="77777777" w:rsidR="00DB53E8" w:rsidRPr="00C0009F" w:rsidRDefault="00DB53E8" w:rsidP="0052574D">
            <w:pPr>
              <w:adjustRightInd w:val="0"/>
              <w:snapToGrid w:val="0"/>
              <w:spacing w:line="360" w:lineRule="auto"/>
              <w:jc w:val="both"/>
              <w:rPr>
                <w:rFonts w:ascii="Book Antiqua" w:hAnsi="Book Antiqua"/>
                <w:lang w:val="en-US"/>
              </w:rPr>
            </w:pPr>
            <w:r w:rsidRPr="00C0009F">
              <w:rPr>
                <w:rFonts w:ascii="Book Antiqua" w:hAnsi="Book Antiqua"/>
                <w:lang w:val="en-US"/>
              </w:rPr>
              <w:lastRenderedPageBreak/>
              <w:t>Zehetner</w:t>
            </w:r>
            <w:r w:rsidRPr="00C0009F">
              <w:rPr>
                <w:rFonts w:ascii="Book Antiqua" w:hAnsi="Book Antiqua"/>
                <w:i/>
                <w:lang w:val="en-US" w:eastAsia="zh-CN"/>
              </w:rPr>
              <w:t xml:space="preserve"> et al</w:t>
            </w:r>
            <w:r w:rsidRPr="00C0009F">
              <w:rPr>
                <w:rFonts w:ascii="Book Antiqua" w:hAnsi="Book Antiqua"/>
                <w:vertAlign w:val="superscript"/>
                <w:lang w:val="en-US" w:eastAsia="zh-CN"/>
              </w:rPr>
              <w:t>[43]</w:t>
            </w:r>
            <w:r w:rsidRPr="00C0009F">
              <w:rPr>
                <w:rFonts w:ascii="Book Antiqua" w:hAnsi="Book Antiqua"/>
                <w:lang w:val="en-US" w:eastAsia="zh-CN"/>
              </w:rPr>
              <w:t>, 2015</w:t>
            </w:r>
          </w:p>
        </w:tc>
        <w:tc>
          <w:tcPr>
            <w:tcW w:w="677" w:type="pct"/>
            <w:shd w:val="clear" w:color="auto" w:fill="auto"/>
          </w:tcPr>
          <w:p w14:paraId="2876E257" w14:textId="77777777" w:rsidR="00DB53E8" w:rsidRPr="00C0009F" w:rsidRDefault="00DB53E8" w:rsidP="0052574D">
            <w:pPr>
              <w:adjustRightInd w:val="0"/>
              <w:snapToGrid w:val="0"/>
              <w:spacing w:line="360" w:lineRule="auto"/>
              <w:jc w:val="both"/>
              <w:rPr>
                <w:rFonts w:ascii="Book Antiqua" w:hAnsi="Book Antiqua"/>
                <w:b/>
                <w:bCs/>
                <w:lang w:val="en-US"/>
              </w:rPr>
            </w:pPr>
            <w:r w:rsidRPr="00C0009F">
              <w:rPr>
                <w:rFonts w:ascii="Book Antiqua" w:hAnsi="Book Antiqua"/>
                <w:lang w:val="en-US"/>
              </w:rPr>
              <w:t>Prospective</w:t>
            </w:r>
          </w:p>
        </w:tc>
        <w:tc>
          <w:tcPr>
            <w:tcW w:w="452" w:type="pct"/>
            <w:shd w:val="clear" w:color="auto" w:fill="auto"/>
          </w:tcPr>
          <w:p w14:paraId="73D5FF17" w14:textId="77777777" w:rsidR="00DB53E8" w:rsidRPr="00C0009F" w:rsidRDefault="00DB53E8" w:rsidP="0052574D">
            <w:pPr>
              <w:adjustRightInd w:val="0"/>
              <w:snapToGrid w:val="0"/>
              <w:spacing w:line="360" w:lineRule="auto"/>
              <w:jc w:val="both"/>
              <w:rPr>
                <w:rFonts w:ascii="Book Antiqua" w:hAnsi="Book Antiqua"/>
                <w:bCs/>
                <w:lang w:val="en-US"/>
              </w:rPr>
            </w:pPr>
            <w:r w:rsidRPr="00C0009F">
              <w:rPr>
                <w:rFonts w:ascii="Book Antiqua" w:hAnsi="Book Antiqua"/>
                <w:lang w:val="en-US"/>
              </w:rPr>
              <w:t>150</w:t>
            </w:r>
          </w:p>
        </w:tc>
        <w:tc>
          <w:tcPr>
            <w:tcW w:w="456" w:type="pct"/>
            <w:shd w:val="clear" w:color="auto" w:fill="auto"/>
          </w:tcPr>
          <w:p w14:paraId="73A80D3D" w14:textId="77777777" w:rsidR="00DB53E8" w:rsidRPr="00C0009F" w:rsidRDefault="00DB53E8" w:rsidP="0052574D">
            <w:pPr>
              <w:adjustRightInd w:val="0"/>
              <w:snapToGrid w:val="0"/>
              <w:spacing w:line="360" w:lineRule="auto"/>
              <w:jc w:val="both"/>
              <w:rPr>
                <w:rFonts w:ascii="Book Antiqua" w:hAnsi="Book Antiqua"/>
                <w:bCs/>
                <w:lang w:val="en-US"/>
              </w:rPr>
            </w:pPr>
            <w:r w:rsidRPr="00C0009F">
              <w:rPr>
                <w:rFonts w:ascii="Book Antiqua" w:hAnsi="Book Antiqua"/>
                <w:lang w:val="en-US"/>
              </w:rPr>
              <w:t>150</w:t>
            </w:r>
          </w:p>
        </w:tc>
        <w:tc>
          <w:tcPr>
            <w:tcW w:w="549" w:type="pct"/>
            <w:shd w:val="clear" w:color="auto" w:fill="auto"/>
          </w:tcPr>
          <w:p w14:paraId="1110CEFB" w14:textId="488DAA9E" w:rsidR="00DB53E8" w:rsidRPr="00C0009F" w:rsidRDefault="00CA7E3D" w:rsidP="0052574D">
            <w:pPr>
              <w:adjustRightInd w:val="0"/>
              <w:snapToGrid w:val="0"/>
              <w:spacing w:line="360" w:lineRule="auto"/>
              <w:jc w:val="both"/>
              <w:rPr>
                <w:rFonts w:ascii="Book Antiqua" w:hAnsi="Book Antiqua"/>
                <w:bCs/>
                <w:lang w:val="en-US"/>
              </w:rPr>
            </w:pPr>
            <w:r w:rsidRPr="00C0009F">
              <w:rPr>
                <w:rFonts w:ascii="Book Antiqua" w:hAnsi="Book Antiqua"/>
                <w:bCs/>
                <w:lang w:val="en-US"/>
              </w:rPr>
              <w:t>N/A</w:t>
            </w:r>
          </w:p>
        </w:tc>
        <w:tc>
          <w:tcPr>
            <w:tcW w:w="838" w:type="pct"/>
            <w:shd w:val="clear" w:color="auto" w:fill="auto"/>
          </w:tcPr>
          <w:p w14:paraId="4CE1235D" w14:textId="77777777" w:rsidR="00DB53E8" w:rsidRPr="00C0009F" w:rsidRDefault="00DB53E8" w:rsidP="0052574D">
            <w:pPr>
              <w:adjustRightInd w:val="0"/>
              <w:snapToGrid w:val="0"/>
              <w:spacing w:line="360" w:lineRule="auto"/>
              <w:jc w:val="both"/>
              <w:rPr>
                <w:rFonts w:ascii="Book Antiqua" w:hAnsi="Book Antiqua"/>
                <w:lang w:val="en-US"/>
              </w:rPr>
            </w:pPr>
            <w:r w:rsidRPr="00C0009F">
              <w:rPr>
                <w:rFonts w:ascii="Book Antiqua" w:hAnsi="Book Antiqua"/>
                <w:lang w:val="en-US"/>
              </w:rPr>
              <w:t>4.6%</w:t>
            </w:r>
          </w:p>
        </w:tc>
        <w:tc>
          <w:tcPr>
            <w:tcW w:w="517" w:type="pct"/>
            <w:shd w:val="clear" w:color="auto" w:fill="auto"/>
          </w:tcPr>
          <w:p w14:paraId="741678C1" w14:textId="7A19A20C" w:rsidR="00DB53E8" w:rsidRPr="00C0009F" w:rsidRDefault="00CA7E3D" w:rsidP="0052574D">
            <w:pPr>
              <w:adjustRightInd w:val="0"/>
              <w:snapToGrid w:val="0"/>
              <w:spacing w:line="360" w:lineRule="auto"/>
              <w:jc w:val="both"/>
              <w:rPr>
                <w:rFonts w:ascii="Book Antiqua" w:hAnsi="Book Antiqua"/>
                <w:bCs/>
                <w:lang w:val="en-US"/>
              </w:rPr>
            </w:pPr>
            <w:r w:rsidRPr="00C0009F">
              <w:rPr>
                <w:rFonts w:ascii="Book Antiqua" w:hAnsi="Book Antiqua"/>
                <w:bCs/>
                <w:lang w:val="en-US"/>
              </w:rPr>
              <w:t>N/A</w:t>
            </w:r>
          </w:p>
        </w:tc>
        <w:tc>
          <w:tcPr>
            <w:tcW w:w="926" w:type="pct"/>
            <w:shd w:val="clear" w:color="auto" w:fill="auto"/>
          </w:tcPr>
          <w:p w14:paraId="1D237961" w14:textId="77777777" w:rsidR="00DB53E8" w:rsidRPr="00C0009F" w:rsidRDefault="00DB53E8" w:rsidP="0052574D">
            <w:pPr>
              <w:adjustRightInd w:val="0"/>
              <w:snapToGrid w:val="0"/>
              <w:spacing w:line="360" w:lineRule="auto"/>
              <w:jc w:val="both"/>
              <w:rPr>
                <w:rFonts w:ascii="Book Antiqua" w:hAnsi="Book Antiqua"/>
                <w:b/>
                <w:bCs/>
                <w:lang w:val="en-US"/>
              </w:rPr>
            </w:pPr>
            <w:r w:rsidRPr="00C0009F">
              <w:rPr>
                <w:rFonts w:ascii="Book Antiqua" w:hAnsi="Book Antiqua"/>
                <w:lang w:val="en-US"/>
              </w:rPr>
              <w:t>66%</w:t>
            </w:r>
          </w:p>
        </w:tc>
      </w:tr>
      <w:tr w:rsidR="00DB53E8" w:rsidRPr="001D5732" w14:paraId="46788840" w14:textId="77777777" w:rsidTr="009A4D1A">
        <w:trPr>
          <w:trHeight w:val="274"/>
        </w:trPr>
        <w:tc>
          <w:tcPr>
            <w:tcW w:w="586" w:type="pct"/>
            <w:shd w:val="clear" w:color="auto" w:fill="auto"/>
          </w:tcPr>
          <w:p w14:paraId="58B0B94E" w14:textId="77777777" w:rsidR="00DB53E8" w:rsidRPr="00C0009F" w:rsidRDefault="00DB53E8" w:rsidP="0052574D">
            <w:pPr>
              <w:adjustRightInd w:val="0"/>
              <w:snapToGrid w:val="0"/>
              <w:spacing w:line="360" w:lineRule="auto"/>
              <w:jc w:val="both"/>
              <w:rPr>
                <w:rFonts w:ascii="Book Antiqua" w:hAnsi="Book Antiqua"/>
                <w:lang w:val="en-US"/>
              </w:rPr>
            </w:pPr>
            <w:r w:rsidRPr="00C0009F">
              <w:rPr>
                <w:rFonts w:ascii="Book Antiqua" w:hAnsi="Book Antiqua"/>
                <w:lang w:val="en-US"/>
              </w:rPr>
              <w:t>Kumagai</w:t>
            </w:r>
            <w:r w:rsidRPr="00C0009F">
              <w:rPr>
                <w:rFonts w:ascii="Book Antiqua" w:hAnsi="Book Antiqua"/>
                <w:i/>
                <w:lang w:val="en-US" w:eastAsia="zh-CN"/>
              </w:rPr>
              <w:t xml:space="preserve"> et al</w:t>
            </w:r>
            <w:r w:rsidRPr="00C0009F">
              <w:rPr>
                <w:rFonts w:ascii="Book Antiqua" w:hAnsi="Book Antiqua"/>
                <w:vertAlign w:val="superscript"/>
                <w:lang w:val="en-US" w:eastAsia="zh-CN"/>
              </w:rPr>
              <w:t>[47]</w:t>
            </w:r>
            <w:r w:rsidRPr="00C0009F">
              <w:rPr>
                <w:rFonts w:ascii="Book Antiqua" w:hAnsi="Book Antiqua"/>
                <w:lang w:val="en-US" w:eastAsia="zh-CN"/>
              </w:rPr>
              <w:t>, 2018</w:t>
            </w:r>
          </w:p>
        </w:tc>
        <w:tc>
          <w:tcPr>
            <w:tcW w:w="677" w:type="pct"/>
            <w:shd w:val="clear" w:color="auto" w:fill="auto"/>
          </w:tcPr>
          <w:p w14:paraId="0EC1C579" w14:textId="77777777" w:rsidR="00DB53E8" w:rsidRPr="00C0009F" w:rsidRDefault="00DB53E8" w:rsidP="0052574D">
            <w:pPr>
              <w:adjustRightInd w:val="0"/>
              <w:snapToGrid w:val="0"/>
              <w:spacing w:line="360" w:lineRule="auto"/>
              <w:jc w:val="both"/>
              <w:rPr>
                <w:rFonts w:ascii="Book Antiqua" w:hAnsi="Book Antiqua"/>
                <w:lang w:val="en-US"/>
              </w:rPr>
            </w:pPr>
            <w:r w:rsidRPr="00C0009F">
              <w:rPr>
                <w:rFonts w:ascii="Book Antiqua" w:hAnsi="Book Antiqua"/>
                <w:lang w:val="en-US"/>
              </w:rPr>
              <w:t>Cohort series</w:t>
            </w:r>
          </w:p>
        </w:tc>
        <w:tc>
          <w:tcPr>
            <w:tcW w:w="452" w:type="pct"/>
            <w:shd w:val="clear" w:color="auto" w:fill="auto"/>
          </w:tcPr>
          <w:p w14:paraId="3AC16828" w14:textId="77777777" w:rsidR="00DB53E8" w:rsidRPr="00C0009F" w:rsidRDefault="00DB53E8" w:rsidP="0052574D">
            <w:pPr>
              <w:adjustRightInd w:val="0"/>
              <w:snapToGrid w:val="0"/>
              <w:spacing w:line="360" w:lineRule="auto"/>
              <w:jc w:val="both"/>
              <w:rPr>
                <w:rFonts w:ascii="Book Antiqua" w:hAnsi="Book Antiqua"/>
                <w:lang w:val="en-US"/>
              </w:rPr>
            </w:pPr>
            <w:r w:rsidRPr="00C0009F">
              <w:rPr>
                <w:rFonts w:ascii="Book Antiqua" w:hAnsi="Book Antiqua"/>
                <w:lang w:val="en-US"/>
              </w:rPr>
              <w:t>70</w:t>
            </w:r>
          </w:p>
        </w:tc>
        <w:tc>
          <w:tcPr>
            <w:tcW w:w="456" w:type="pct"/>
            <w:shd w:val="clear" w:color="auto" w:fill="auto"/>
          </w:tcPr>
          <w:p w14:paraId="28C59F06" w14:textId="77777777" w:rsidR="00DB53E8" w:rsidRPr="00C0009F" w:rsidRDefault="00DB53E8" w:rsidP="0052574D">
            <w:pPr>
              <w:adjustRightInd w:val="0"/>
              <w:snapToGrid w:val="0"/>
              <w:spacing w:line="360" w:lineRule="auto"/>
              <w:jc w:val="both"/>
              <w:rPr>
                <w:rFonts w:ascii="Book Antiqua" w:hAnsi="Book Antiqua"/>
                <w:lang w:val="en-US"/>
              </w:rPr>
            </w:pPr>
            <w:r w:rsidRPr="00C0009F">
              <w:rPr>
                <w:rFonts w:ascii="Book Antiqua" w:hAnsi="Book Antiqua"/>
                <w:lang w:val="en-US"/>
              </w:rPr>
              <w:t>70</w:t>
            </w:r>
          </w:p>
        </w:tc>
        <w:tc>
          <w:tcPr>
            <w:tcW w:w="549" w:type="pct"/>
            <w:shd w:val="clear" w:color="auto" w:fill="auto"/>
          </w:tcPr>
          <w:p w14:paraId="40727083" w14:textId="68B81C11" w:rsidR="00DB53E8" w:rsidRPr="00C0009F" w:rsidRDefault="00CA7E3D" w:rsidP="0052574D">
            <w:pPr>
              <w:adjustRightInd w:val="0"/>
              <w:snapToGrid w:val="0"/>
              <w:spacing w:line="360" w:lineRule="auto"/>
              <w:jc w:val="both"/>
              <w:rPr>
                <w:rFonts w:ascii="Book Antiqua" w:hAnsi="Book Antiqua"/>
                <w:lang w:val="en-US"/>
              </w:rPr>
            </w:pPr>
            <w:r w:rsidRPr="00C0009F">
              <w:rPr>
                <w:rFonts w:ascii="Book Antiqua" w:hAnsi="Book Antiqua"/>
                <w:bCs/>
                <w:lang w:val="en-US"/>
              </w:rPr>
              <w:t>N/A</w:t>
            </w:r>
          </w:p>
        </w:tc>
        <w:tc>
          <w:tcPr>
            <w:tcW w:w="838" w:type="pct"/>
            <w:shd w:val="clear" w:color="auto" w:fill="auto"/>
          </w:tcPr>
          <w:p w14:paraId="01532870" w14:textId="77777777" w:rsidR="00DB53E8" w:rsidRPr="00C0009F" w:rsidRDefault="00DB53E8" w:rsidP="0052574D">
            <w:pPr>
              <w:adjustRightInd w:val="0"/>
              <w:snapToGrid w:val="0"/>
              <w:spacing w:line="360" w:lineRule="auto"/>
              <w:jc w:val="both"/>
              <w:rPr>
                <w:rFonts w:ascii="Book Antiqua" w:hAnsi="Book Antiqua"/>
                <w:lang w:val="en-US"/>
              </w:rPr>
            </w:pPr>
            <w:r w:rsidRPr="00C0009F">
              <w:rPr>
                <w:rFonts w:ascii="Book Antiqua" w:hAnsi="Book Antiqua"/>
                <w:lang w:val="en-US"/>
              </w:rPr>
              <w:t>1.4%</w:t>
            </w:r>
          </w:p>
        </w:tc>
        <w:tc>
          <w:tcPr>
            <w:tcW w:w="517" w:type="pct"/>
            <w:shd w:val="clear" w:color="auto" w:fill="auto"/>
          </w:tcPr>
          <w:p w14:paraId="6E42F1CE" w14:textId="446A9973" w:rsidR="00DB53E8" w:rsidRPr="00C0009F" w:rsidRDefault="00CA7E3D" w:rsidP="0052574D">
            <w:pPr>
              <w:adjustRightInd w:val="0"/>
              <w:snapToGrid w:val="0"/>
              <w:spacing w:line="360" w:lineRule="auto"/>
              <w:jc w:val="both"/>
              <w:rPr>
                <w:rFonts w:ascii="Book Antiqua" w:hAnsi="Book Antiqua"/>
                <w:lang w:val="en-US"/>
              </w:rPr>
            </w:pPr>
            <w:r w:rsidRPr="00C0009F">
              <w:rPr>
                <w:rFonts w:ascii="Book Antiqua" w:hAnsi="Book Antiqua"/>
                <w:lang w:val="en-US"/>
              </w:rPr>
              <w:t>N/A</w:t>
            </w:r>
          </w:p>
        </w:tc>
        <w:tc>
          <w:tcPr>
            <w:tcW w:w="926" w:type="pct"/>
            <w:shd w:val="clear" w:color="auto" w:fill="auto"/>
          </w:tcPr>
          <w:p w14:paraId="1943509E" w14:textId="77777777" w:rsidR="00DB53E8" w:rsidRPr="00C0009F" w:rsidRDefault="00DB53E8" w:rsidP="0052574D">
            <w:pPr>
              <w:adjustRightInd w:val="0"/>
              <w:snapToGrid w:val="0"/>
              <w:spacing w:line="360" w:lineRule="auto"/>
              <w:jc w:val="both"/>
              <w:rPr>
                <w:rFonts w:ascii="Book Antiqua" w:hAnsi="Book Antiqua"/>
                <w:lang w:val="en-US"/>
              </w:rPr>
            </w:pPr>
            <w:r w:rsidRPr="00C0009F">
              <w:rPr>
                <w:rFonts w:ascii="Book Antiqua" w:hAnsi="Book Antiqua"/>
                <w:lang w:val="en-US"/>
              </w:rPr>
              <w:t>50%</w:t>
            </w:r>
          </w:p>
        </w:tc>
      </w:tr>
      <w:tr w:rsidR="00DB53E8" w:rsidRPr="001D5732" w14:paraId="2F73A661" w14:textId="77777777" w:rsidTr="009A4D1A">
        <w:trPr>
          <w:trHeight w:val="287"/>
        </w:trPr>
        <w:tc>
          <w:tcPr>
            <w:tcW w:w="586" w:type="pct"/>
            <w:shd w:val="clear" w:color="auto" w:fill="auto"/>
          </w:tcPr>
          <w:p w14:paraId="190FEAB3" w14:textId="77777777" w:rsidR="00DB53E8" w:rsidRPr="00C0009F" w:rsidRDefault="00DB53E8" w:rsidP="0052574D">
            <w:pPr>
              <w:adjustRightInd w:val="0"/>
              <w:snapToGrid w:val="0"/>
              <w:spacing w:line="360" w:lineRule="auto"/>
              <w:jc w:val="both"/>
              <w:rPr>
                <w:rFonts w:ascii="Book Antiqua" w:hAnsi="Book Antiqua"/>
                <w:lang w:val="en-US"/>
              </w:rPr>
            </w:pPr>
            <w:r w:rsidRPr="00C0009F">
              <w:rPr>
                <w:rFonts w:ascii="Book Antiqua" w:hAnsi="Book Antiqua"/>
                <w:lang w:val="en-US"/>
              </w:rPr>
              <w:t>Ladak</w:t>
            </w:r>
            <w:r w:rsidRPr="00C0009F">
              <w:rPr>
                <w:rFonts w:ascii="Book Antiqua" w:hAnsi="Book Antiqua"/>
                <w:i/>
                <w:lang w:val="en-US" w:eastAsia="zh-CN"/>
              </w:rPr>
              <w:t xml:space="preserve"> et al</w:t>
            </w:r>
            <w:r w:rsidRPr="00C0009F">
              <w:rPr>
                <w:rFonts w:ascii="Book Antiqua" w:hAnsi="Book Antiqua"/>
                <w:vertAlign w:val="superscript"/>
                <w:lang w:val="en-US" w:eastAsia="zh-CN"/>
              </w:rPr>
              <w:t>[45]</w:t>
            </w:r>
            <w:r w:rsidRPr="00C0009F">
              <w:rPr>
                <w:rFonts w:ascii="Book Antiqua" w:hAnsi="Book Antiqua"/>
                <w:lang w:val="en-US" w:eastAsia="zh-CN"/>
              </w:rPr>
              <w:t>, 2019</w:t>
            </w:r>
          </w:p>
        </w:tc>
        <w:tc>
          <w:tcPr>
            <w:tcW w:w="677" w:type="pct"/>
            <w:shd w:val="clear" w:color="auto" w:fill="auto"/>
          </w:tcPr>
          <w:p w14:paraId="12AB9AA4" w14:textId="77777777" w:rsidR="00DB53E8" w:rsidRPr="00C0009F" w:rsidRDefault="00DB53E8" w:rsidP="0052574D">
            <w:pPr>
              <w:adjustRightInd w:val="0"/>
              <w:snapToGrid w:val="0"/>
              <w:spacing w:line="360" w:lineRule="auto"/>
              <w:jc w:val="both"/>
              <w:rPr>
                <w:rFonts w:ascii="Book Antiqua" w:hAnsi="Book Antiqua"/>
                <w:lang w:val="en-US"/>
              </w:rPr>
            </w:pPr>
            <w:r w:rsidRPr="00C0009F">
              <w:rPr>
                <w:rFonts w:ascii="Book Antiqua" w:hAnsi="Book Antiqua"/>
                <w:lang w:val="en-US"/>
              </w:rPr>
              <w:t>Meta-analysis</w:t>
            </w:r>
          </w:p>
        </w:tc>
        <w:tc>
          <w:tcPr>
            <w:tcW w:w="452" w:type="pct"/>
            <w:shd w:val="clear" w:color="auto" w:fill="auto"/>
          </w:tcPr>
          <w:p w14:paraId="5C582F3D" w14:textId="77777777" w:rsidR="00DB53E8" w:rsidRPr="00C0009F" w:rsidRDefault="00DB53E8" w:rsidP="0052574D">
            <w:pPr>
              <w:adjustRightInd w:val="0"/>
              <w:snapToGrid w:val="0"/>
              <w:spacing w:line="360" w:lineRule="auto"/>
              <w:jc w:val="both"/>
              <w:rPr>
                <w:rFonts w:ascii="Book Antiqua" w:hAnsi="Book Antiqua"/>
                <w:lang w:val="en-US"/>
              </w:rPr>
            </w:pPr>
            <w:r w:rsidRPr="00C0009F">
              <w:rPr>
                <w:rFonts w:ascii="Book Antiqua" w:hAnsi="Book Antiqua"/>
                <w:lang w:val="en-US"/>
              </w:rPr>
              <w:t>1067</w:t>
            </w:r>
          </w:p>
        </w:tc>
        <w:tc>
          <w:tcPr>
            <w:tcW w:w="456" w:type="pct"/>
            <w:shd w:val="clear" w:color="auto" w:fill="auto"/>
          </w:tcPr>
          <w:p w14:paraId="3E1910B3" w14:textId="77777777" w:rsidR="00DB53E8" w:rsidRPr="00C0009F" w:rsidRDefault="00DB53E8" w:rsidP="0052574D">
            <w:pPr>
              <w:adjustRightInd w:val="0"/>
              <w:snapToGrid w:val="0"/>
              <w:spacing w:line="360" w:lineRule="auto"/>
              <w:jc w:val="both"/>
              <w:rPr>
                <w:rFonts w:ascii="Book Antiqua" w:hAnsi="Book Antiqua"/>
                <w:lang w:val="en-US"/>
              </w:rPr>
            </w:pPr>
            <w:r w:rsidRPr="00C0009F">
              <w:rPr>
                <w:rFonts w:ascii="Book Antiqua" w:hAnsi="Book Antiqua"/>
                <w:lang w:val="en-US"/>
              </w:rPr>
              <w:t>631</w:t>
            </w:r>
          </w:p>
        </w:tc>
        <w:tc>
          <w:tcPr>
            <w:tcW w:w="549" w:type="pct"/>
            <w:shd w:val="clear" w:color="auto" w:fill="auto"/>
          </w:tcPr>
          <w:p w14:paraId="62A27F30" w14:textId="77777777" w:rsidR="00DB53E8" w:rsidRPr="00C0009F" w:rsidRDefault="00DB53E8" w:rsidP="0052574D">
            <w:pPr>
              <w:adjustRightInd w:val="0"/>
              <w:snapToGrid w:val="0"/>
              <w:spacing w:line="360" w:lineRule="auto"/>
              <w:jc w:val="both"/>
              <w:rPr>
                <w:rFonts w:ascii="Book Antiqua" w:hAnsi="Book Antiqua"/>
                <w:lang w:val="en-US"/>
              </w:rPr>
            </w:pPr>
            <w:r w:rsidRPr="00C0009F">
              <w:rPr>
                <w:rFonts w:ascii="Book Antiqua" w:hAnsi="Book Antiqua"/>
                <w:lang w:val="en-US"/>
              </w:rPr>
              <w:t>436</w:t>
            </w:r>
          </w:p>
        </w:tc>
        <w:tc>
          <w:tcPr>
            <w:tcW w:w="838" w:type="pct"/>
            <w:shd w:val="clear" w:color="auto" w:fill="auto"/>
          </w:tcPr>
          <w:p w14:paraId="0EF63E51" w14:textId="77777777" w:rsidR="00DB53E8" w:rsidRPr="00C0009F" w:rsidRDefault="00DB53E8" w:rsidP="0052574D">
            <w:pPr>
              <w:adjustRightInd w:val="0"/>
              <w:snapToGrid w:val="0"/>
              <w:spacing w:line="360" w:lineRule="auto"/>
              <w:jc w:val="both"/>
              <w:rPr>
                <w:rFonts w:ascii="Book Antiqua" w:hAnsi="Book Antiqua"/>
                <w:lang w:val="en-US"/>
              </w:rPr>
            </w:pPr>
            <w:r w:rsidRPr="00C0009F">
              <w:rPr>
                <w:rFonts w:ascii="Book Antiqua" w:hAnsi="Book Antiqua"/>
                <w:lang w:val="en-US"/>
              </w:rPr>
              <w:t>Overall: 10.8%</w:t>
            </w:r>
            <w:r w:rsidR="004E57ED" w:rsidRPr="00C0009F">
              <w:rPr>
                <w:rFonts w:ascii="Book Antiqua" w:hAnsi="Book Antiqua"/>
                <w:lang w:val="en-US" w:eastAsia="zh-CN"/>
              </w:rPr>
              <w:t>/</w:t>
            </w:r>
            <w:r w:rsidR="004E57ED" w:rsidRPr="00C0009F">
              <w:rPr>
                <w:rFonts w:ascii="Book Antiqua" w:hAnsi="Book Antiqua"/>
                <w:lang w:val="en-US"/>
              </w:rPr>
              <w:t>ICG: 5.7%/</w:t>
            </w:r>
            <w:r w:rsidRPr="00C0009F">
              <w:rPr>
                <w:rFonts w:ascii="Book Antiqua" w:hAnsi="Book Antiqua"/>
                <w:lang w:val="en-US"/>
              </w:rPr>
              <w:t>NICG: 22.9%</w:t>
            </w:r>
          </w:p>
        </w:tc>
        <w:tc>
          <w:tcPr>
            <w:tcW w:w="517" w:type="pct"/>
            <w:shd w:val="clear" w:color="auto" w:fill="auto"/>
          </w:tcPr>
          <w:p w14:paraId="17C14FCB" w14:textId="31495DEE" w:rsidR="00DB53E8" w:rsidRPr="00C0009F" w:rsidRDefault="00CA7E3D" w:rsidP="0052574D">
            <w:pPr>
              <w:adjustRightInd w:val="0"/>
              <w:snapToGrid w:val="0"/>
              <w:spacing w:line="360" w:lineRule="auto"/>
              <w:jc w:val="both"/>
              <w:rPr>
                <w:rFonts w:ascii="Book Antiqua" w:hAnsi="Book Antiqua"/>
                <w:iCs/>
                <w:lang w:val="en-US"/>
              </w:rPr>
            </w:pPr>
            <w:r w:rsidRPr="00C0009F">
              <w:rPr>
                <w:rFonts w:ascii="Book Antiqua" w:hAnsi="Book Antiqua"/>
                <w:iCs/>
                <w:lang w:val="en-US"/>
              </w:rPr>
              <w:t>NR</w:t>
            </w:r>
          </w:p>
        </w:tc>
        <w:tc>
          <w:tcPr>
            <w:tcW w:w="926" w:type="pct"/>
            <w:shd w:val="clear" w:color="auto" w:fill="auto"/>
          </w:tcPr>
          <w:p w14:paraId="6E1ED238" w14:textId="77777777" w:rsidR="00DB53E8" w:rsidRPr="00C0009F" w:rsidRDefault="00DB53E8" w:rsidP="0052574D">
            <w:pPr>
              <w:adjustRightInd w:val="0"/>
              <w:snapToGrid w:val="0"/>
              <w:spacing w:line="360" w:lineRule="auto"/>
              <w:jc w:val="both"/>
              <w:rPr>
                <w:rFonts w:ascii="Book Antiqua" w:hAnsi="Book Antiqua"/>
                <w:lang w:val="en-US"/>
              </w:rPr>
            </w:pPr>
            <w:r w:rsidRPr="00C0009F">
              <w:rPr>
                <w:rFonts w:ascii="Book Antiqua" w:hAnsi="Book Antiqua"/>
                <w:lang w:val="en-US"/>
              </w:rPr>
              <w:t>Non reported</w:t>
            </w:r>
          </w:p>
        </w:tc>
      </w:tr>
      <w:tr w:rsidR="00DB53E8" w:rsidRPr="001D5732" w14:paraId="2F12BFB1" w14:textId="77777777" w:rsidTr="009A4D1A">
        <w:trPr>
          <w:trHeight w:val="287"/>
        </w:trPr>
        <w:tc>
          <w:tcPr>
            <w:tcW w:w="586" w:type="pct"/>
            <w:shd w:val="clear" w:color="auto" w:fill="auto"/>
          </w:tcPr>
          <w:p w14:paraId="02C2B0C8" w14:textId="77777777" w:rsidR="00DB53E8" w:rsidRPr="00C0009F" w:rsidRDefault="00DB53E8" w:rsidP="0052574D">
            <w:pPr>
              <w:adjustRightInd w:val="0"/>
              <w:snapToGrid w:val="0"/>
              <w:spacing w:line="360" w:lineRule="auto"/>
              <w:jc w:val="both"/>
              <w:rPr>
                <w:rFonts w:ascii="Book Antiqua" w:hAnsi="Book Antiqua"/>
                <w:b/>
                <w:bCs/>
                <w:lang w:val="en-US"/>
              </w:rPr>
            </w:pPr>
            <w:r w:rsidRPr="00C0009F">
              <w:rPr>
                <w:rFonts w:ascii="Book Antiqua" w:hAnsi="Book Antiqua"/>
                <w:lang w:val="en-US"/>
              </w:rPr>
              <w:t>Slooter</w:t>
            </w:r>
            <w:r w:rsidRPr="00C0009F">
              <w:rPr>
                <w:rFonts w:ascii="Book Antiqua" w:hAnsi="Book Antiqua"/>
                <w:i/>
                <w:lang w:val="en-US" w:eastAsia="zh-CN"/>
              </w:rPr>
              <w:t xml:space="preserve"> </w:t>
            </w:r>
            <w:bookmarkStart w:id="76" w:name="OLE_LINK33"/>
            <w:r w:rsidRPr="00C0009F">
              <w:rPr>
                <w:rFonts w:ascii="Book Antiqua" w:hAnsi="Book Antiqua"/>
                <w:i/>
                <w:lang w:val="en-US" w:eastAsia="zh-CN"/>
              </w:rPr>
              <w:t>et al</w:t>
            </w:r>
            <w:r w:rsidRPr="00C0009F">
              <w:rPr>
                <w:rFonts w:ascii="Book Antiqua" w:hAnsi="Book Antiqua"/>
                <w:vertAlign w:val="superscript"/>
                <w:lang w:val="en-US" w:eastAsia="zh-CN"/>
              </w:rPr>
              <w:t>[48]</w:t>
            </w:r>
            <w:r w:rsidRPr="00C0009F">
              <w:rPr>
                <w:rFonts w:ascii="Book Antiqua" w:hAnsi="Book Antiqua"/>
                <w:lang w:val="en-US" w:eastAsia="zh-CN"/>
              </w:rPr>
              <w:t>, 2020</w:t>
            </w:r>
            <w:bookmarkEnd w:id="76"/>
          </w:p>
        </w:tc>
        <w:tc>
          <w:tcPr>
            <w:tcW w:w="677" w:type="pct"/>
            <w:shd w:val="clear" w:color="auto" w:fill="auto"/>
          </w:tcPr>
          <w:p w14:paraId="02049E75" w14:textId="77777777" w:rsidR="00DB53E8" w:rsidRPr="00C0009F" w:rsidRDefault="008263C0" w:rsidP="0052574D">
            <w:pPr>
              <w:adjustRightInd w:val="0"/>
              <w:snapToGrid w:val="0"/>
              <w:spacing w:line="360" w:lineRule="auto"/>
              <w:jc w:val="both"/>
              <w:rPr>
                <w:rFonts w:ascii="Book Antiqua" w:hAnsi="Book Antiqua"/>
                <w:lang w:val="en-US"/>
              </w:rPr>
            </w:pPr>
            <w:r w:rsidRPr="00C0009F">
              <w:rPr>
                <w:rFonts w:ascii="Book Antiqua" w:hAnsi="Book Antiqua"/>
                <w:lang w:val="en-US" w:eastAsia="zh-CN"/>
              </w:rPr>
              <w:t>C</w:t>
            </w:r>
            <w:r w:rsidR="00DB53E8" w:rsidRPr="00C0009F">
              <w:rPr>
                <w:rFonts w:ascii="Book Antiqua" w:hAnsi="Book Antiqua"/>
                <w:lang w:val="en-US"/>
              </w:rPr>
              <w:t>ohort series</w:t>
            </w:r>
          </w:p>
        </w:tc>
        <w:tc>
          <w:tcPr>
            <w:tcW w:w="452" w:type="pct"/>
            <w:shd w:val="clear" w:color="auto" w:fill="auto"/>
          </w:tcPr>
          <w:p w14:paraId="063FB205" w14:textId="77777777" w:rsidR="00DB53E8" w:rsidRPr="00C0009F" w:rsidRDefault="00DB53E8" w:rsidP="0052574D">
            <w:pPr>
              <w:adjustRightInd w:val="0"/>
              <w:snapToGrid w:val="0"/>
              <w:spacing w:line="360" w:lineRule="auto"/>
              <w:jc w:val="both"/>
              <w:rPr>
                <w:rFonts w:ascii="Book Antiqua" w:hAnsi="Book Antiqua"/>
                <w:lang w:val="en-US"/>
              </w:rPr>
            </w:pPr>
            <w:r w:rsidRPr="00C0009F">
              <w:rPr>
                <w:rFonts w:ascii="Book Antiqua" w:hAnsi="Book Antiqua"/>
                <w:lang w:val="en-US"/>
              </w:rPr>
              <w:t>84</w:t>
            </w:r>
          </w:p>
        </w:tc>
        <w:tc>
          <w:tcPr>
            <w:tcW w:w="456" w:type="pct"/>
            <w:shd w:val="clear" w:color="auto" w:fill="auto"/>
          </w:tcPr>
          <w:p w14:paraId="549D272D" w14:textId="77777777" w:rsidR="00DB53E8" w:rsidRPr="00C0009F" w:rsidRDefault="00DB53E8" w:rsidP="0052574D">
            <w:pPr>
              <w:adjustRightInd w:val="0"/>
              <w:snapToGrid w:val="0"/>
              <w:spacing w:line="360" w:lineRule="auto"/>
              <w:jc w:val="both"/>
              <w:rPr>
                <w:rFonts w:ascii="Book Antiqua" w:hAnsi="Book Antiqua"/>
                <w:lang w:val="en-US"/>
              </w:rPr>
            </w:pPr>
            <w:r w:rsidRPr="00C0009F">
              <w:rPr>
                <w:rFonts w:ascii="Book Antiqua" w:hAnsi="Book Antiqua"/>
                <w:lang w:val="en-US"/>
              </w:rPr>
              <w:t>84</w:t>
            </w:r>
          </w:p>
        </w:tc>
        <w:tc>
          <w:tcPr>
            <w:tcW w:w="549" w:type="pct"/>
            <w:shd w:val="clear" w:color="auto" w:fill="auto"/>
          </w:tcPr>
          <w:p w14:paraId="2BF4D8DB" w14:textId="6ACD8018" w:rsidR="00DB53E8" w:rsidRPr="00C0009F" w:rsidRDefault="00CA7E3D" w:rsidP="0052574D">
            <w:pPr>
              <w:adjustRightInd w:val="0"/>
              <w:snapToGrid w:val="0"/>
              <w:spacing w:line="360" w:lineRule="auto"/>
              <w:jc w:val="both"/>
              <w:rPr>
                <w:rFonts w:ascii="Book Antiqua" w:hAnsi="Book Antiqua"/>
                <w:lang w:val="en-US"/>
              </w:rPr>
            </w:pPr>
            <w:r w:rsidRPr="00C0009F">
              <w:rPr>
                <w:rFonts w:ascii="Book Antiqua" w:hAnsi="Book Antiqua"/>
                <w:bCs/>
                <w:lang w:val="en-US"/>
              </w:rPr>
              <w:t>N/A</w:t>
            </w:r>
          </w:p>
        </w:tc>
        <w:tc>
          <w:tcPr>
            <w:tcW w:w="838" w:type="pct"/>
            <w:shd w:val="clear" w:color="auto" w:fill="auto"/>
          </w:tcPr>
          <w:p w14:paraId="6B301EAD" w14:textId="77777777" w:rsidR="00DB53E8" w:rsidRPr="00C0009F" w:rsidRDefault="004E57ED" w:rsidP="0052574D">
            <w:pPr>
              <w:adjustRightInd w:val="0"/>
              <w:snapToGrid w:val="0"/>
              <w:spacing w:line="360" w:lineRule="auto"/>
              <w:jc w:val="both"/>
              <w:rPr>
                <w:rFonts w:ascii="Book Antiqua" w:hAnsi="Book Antiqua"/>
                <w:lang w:val="en-US"/>
              </w:rPr>
            </w:pPr>
            <w:r w:rsidRPr="00C0009F">
              <w:rPr>
                <w:rFonts w:ascii="Book Antiqua" w:hAnsi="Book Antiqua"/>
                <w:lang w:val="en-US"/>
              </w:rPr>
              <w:t>14</w:t>
            </w:r>
            <w:r w:rsidRPr="00C0009F">
              <w:rPr>
                <w:rFonts w:ascii="Book Antiqua" w:hAnsi="Book Antiqua"/>
                <w:lang w:val="en-US" w:eastAsia="zh-CN"/>
              </w:rPr>
              <w:t>.</w:t>
            </w:r>
            <w:r w:rsidR="00DB53E8" w:rsidRPr="00C0009F">
              <w:rPr>
                <w:rFonts w:ascii="Book Antiqua" w:hAnsi="Book Antiqua"/>
                <w:lang w:val="en-US"/>
              </w:rPr>
              <w:t>3%</w:t>
            </w:r>
          </w:p>
        </w:tc>
        <w:tc>
          <w:tcPr>
            <w:tcW w:w="517" w:type="pct"/>
            <w:shd w:val="clear" w:color="auto" w:fill="auto"/>
          </w:tcPr>
          <w:p w14:paraId="3015B9E0" w14:textId="66A5341F" w:rsidR="00DB53E8" w:rsidRPr="00C0009F" w:rsidRDefault="00CA7E3D" w:rsidP="0052574D">
            <w:pPr>
              <w:adjustRightInd w:val="0"/>
              <w:snapToGrid w:val="0"/>
              <w:spacing w:line="360" w:lineRule="auto"/>
              <w:jc w:val="both"/>
              <w:rPr>
                <w:rFonts w:ascii="Book Antiqua" w:hAnsi="Book Antiqua"/>
                <w:lang w:val="en-US"/>
              </w:rPr>
            </w:pPr>
            <w:r w:rsidRPr="00C0009F">
              <w:rPr>
                <w:rFonts w:ascii="Book Antiqua" w:hAnsi="Book Antiqua"/>
                <w:lang w:val="en-US"/>
              </w:rPr>
              <w:t>N/A</w:t>
            </w:r>
          </w:p>
        </w:tc>
        <w:tc>
          <w:tcPr>
            <w:tcW w:w="926" w:type="pct"/>
            <w:shd w:val="clear" w:color="auto" w:fill="auto"/>
          </w:tcPr>
          <w:p w14:paraId="4C8896EC" w14:textId="77777777" w:rsidR="00DB53E8" w:rsidRPr="00C0009F" w:rsidRDefault="00DB53E8" w:rsidP="0052574D">
            <w:pPr>
              <w:adjustRightInd w:val="0"/>
              <w:snapToGrid w:val="0"/>
              <w:spacing w:line="360" w:lineRule="auto"/>
              <w:jc w:val="both"/>
              <w:rPr>
                <w:rFonts w:ascii="Book Antiqua" w:hAnsi="Book Antiqua"/>
                <w:lang w:val="en-US"/>
              </w:rPr>
            </w:pPr>
            <w:r w:rsidRPr="00C0009F">
              <w:rPr>
                <w:rFonts w:ascii="Book Antiqua" w:hAnsi="Book Antiqua"/>
                <w:lang w:val="en-US"/>
              </w:rPr>
              <w:t>2.4%</w:t>
            </w:r>
          </w:p>
        </w:tc>
      </w:tr>
    </w:tbl>
    <w:p w14:paraId="7D50A89D" w14:textId="4E96EE35" w:rsidR="0052574D" w:rsidRPr="001D5732" w:rsidRDefault="009A4D1A" w:rsidP="0052574D">
      <w:pPr>
        <w:adjustRightInd w:val="0"/>
        <w:snapToGrid w:val="0"/>
        <w:spacing w:line="360" w:lineRule="auto"/>
        <w:jc w:val="both"/>
        <w:rPr>
          <w:rFonts w:ascii="Book Antiqua" w:hAnsi="Book Antiqua"/>
          <w:lang w:eastAsia="zh-CN"/>
        </w:rPr>
      </w:pPr>
      <w:r w:rsidRPr="001D5732">
        <w:rPr>
          <w:rFonts w:ascii="Book Antiqua" w:hAnsi="Book Antiqua"/>
          <w:bCs/>
        </w:rPr>
        <w:t>ICG</w:t>
      </w:r>
      <w:r w:rsidRPr="001D5732">
        <w:rPr>
          <w:rFonts w:ascii="Book Antiqua" w:hAnsi="Book Antiqua"/>
          <w:bCs/>
          <w:lang w:eastAsia="zh-CN"/>
        </w:rPr>
        <w:t>:</w:t>
      </w:r>
      <w:r w:rsidRPr="001D5732">
        <w:rPr>
          <w:rFonts w:ascii="Book Antiqua" w:hAnsi="Book Antiqua"/>
          <w:bCs/>
        </w:rPr>
        <w:t xml:space="preserve"> </w:t>
      </w:r>
      <w:r w:rsidRPr="001D5732">
        <w:rPr>
          <w:rFonts w:ascii="Book Antiqua" w:hAnsi="Book Antiqua"/>
          <w:bCs/>
          <w:lang w:eastAsia="zh-CN"/>
        </w:rPr>
        <w:t>I</w:t>
      </w:r>
      <w:r w:rsidRPr="001D5732">
        <w:rPr>
          <w:rFonts w:ascii="Book Antiqua" w:hAnsi="Book Antiqua"/>
          <w:bCs/>
        </w:rPr>
        <w:t>ndocyanine green;</w:t>
      </w:r>
      <w:r w:rsidRPr="001D5732">
        <w:rPr>
          <w:rFonts w:ascii="Book Antiqua" w:hAnsi="Book Antiqua"/>
        </w:rPr>
        <w:t xml:space="preserve"> </w:t>
      </w:r>
      <w:r w:rsidR="00CA7E3D" w:rsidRPr="001D5732">
        <w:rPr>
          <w:rFonts w:ascii="Book Antiqua" w:hAnsi="Book Antiqua"/>
        </w:rPr>
        <w:t>N/A</w:t>
      </w:r>
      <w:r w:rsidR="003A0C59" w:rsidRPr="001D5732">
        <w:rPr>
          <w:rFonts w:ascii="Book Antiqua" w:hAnsi="Book Antiqua"/>
          <w:lang w:eastAsia="zh-CN"/>
        </w:rPr>
        <w:t>:</w:t>
      </w:r>
      <w:r w:rsidR="003A0C59" w:rsidRPr="001D5732">
        <w:rPr>
          <w:rFonts w:ascii="Book Antiqua" w:hAnsi="Book Antiqua"/>
        </w:rPr>
        <w:t xml:space="preserve"> </w:t>
      </w:r>
      <w:r w:rsidR="003A0C59" w:rsidRPr="001D5732">
        <w:rPr>
          <w:rFonts w:ascii="Book Antiqua" w:hAnsi="Book Antiqua"/>
          <w:lang w:eastAsia="zh-CN"/>
        </w:rPr>
        <w:t>N</w:t>
      </w:r>
      <w:r w:rsidR="0052574D" w:rsidRPr="001D5732">
        <w:rPr>
          <w:rFonts w:ascii="Book Antiqua" w:hAnsi="Book Antiqua"/>
        </w:rPr>
        <w:t xml:space="preserve">ot applicable; </w:t>
      </w:r>
      <w:r w:rsidRPr="001D5732">
        <w:rPr>
          <w:rFonts w:ascii="Book Antiqua" w:hAnsi="Book Antiqua"/>
        </w:rPr>
        <w:t>NICG</w:t>
      </w:r>
      <w:r w:rsidRPr="001D5732">
        <w:rPr>
          <w:rFonts w:ascii="Book Antiqua" w:hAnsi="Book Antiqua"/>
          <w:lang w:eastAsia="zh-CN"/>
        </w:rPr>
        <w:t>:</w:t>
      </w:r>
      <w:r w:rsidRPr="001D5732">
        <w:rPr>
          <w:rFonts w:ascii="Book Antiqua" w:hAnsi="Book Antiqua"/>
        </w:rPr>
        <w:t xml:space="preserve"> </w:t>
      </w:r>
      <w:r w:rsidRPr="001D5732">
        <w:rPr>
          <w:rFonts w:ascii="Book Antiqua" w:hAnsi="Book Antiqua"/>
          <w:lang w:eastAsia="zh-CN"/>
        </w:rPr>
        <w:t>N</w:t>
      </w:r>
      <w:r w:rsidRPr="001D5732">
        <w:rPr>
          <w:rFonts w:ascii="Book Antiqua" w:hAnsi="Book Antiqua"/>
        </w:rPr>
        <w:t>on-</w:t>
      </w:r>
      <w:r w:rsidRPr="001D5732">
        <w:rPr>
          <w:rFonts w:ascii="Book Antiqua" w:hAnsi="Book Antiqua"/>
          <w:bCs/>
          <w:lang w:eastAsia="zh-CN"/>
        </w:rPr>
        <w:t>i</w:t>
      </w:r>
      <w:r w:rsidRPr="001D5732">
        <w:rPr>
          <w:rFonts w:ascii="Book Antiqua" w:hAnsi="Book Antiqua"/>
          <w:bCs/>
        </w:rPr>
        <w:t>ndocyanine green</w:t>
      </w:r>
      <w:r w:rsidRPr="001D5732">
        <w:rPr>
          <w:rFonts w:ascii="Book Antiqua" w:hAnsi="Book Antiqua"/>
          <w:lang w:eastAsia="zh-CN"/>
        </w:rPr>
        <w:t>;</w:t>
      </w:r>
      <w:r w:rsidRPr="001D5732">
        <w:rPr>
          <w:rFonts w:ascii="Book Antiqua" w:hAnsi="Book Antiqua"/>
        </w:rPr>
        <w:t xml:space="preserve"> </w:t>
      </w:r>
      <w:r w:rsidR="00CA7E3D" w:rsidRPr="001D5732">
        <w:rPr>
          <w:rFonts w:ascii="Book Antiqua" w:hAnsi="Book Antiqua"/>
        </w:rPr>
        <w:t>NR</w:t>
      </w:r>
      <w:r w:rsidR="003A0C59" w:rsidRPr="001D5732">
        <w:rPr>
          <w:rFonts w:ascii="Book Antiqua" w:hAnsi="Book Antiqua"/>
          <w:lang w:eastAsia="zh-CN"/>
        </w:rPr>
        <w:t>:</w:t>
      </w:r>
      <w:r w:rsidR="003A0C59" w:rsidRPr="001D5732">
        <w:rPr>
          <w:rFonts w:ascii="Book Antiqua" w:hAnsi="Book Antiqua"/>
        </w:rPr>
        <w:t xml:space="preserve"> </w:t>
      </w:r>
      <w:r w:rsidR="003A0C59" w:rsidRPr="001D5732">
        <w:rPr>
          <w:rFonts w:ascii="Book Antiqua" w:hAnsi="Book Antiqua"/>
          <w:lang w:eastAsia="zh-CN"/>
        </w:rPr>
        <w:t>N</w:t>
      </w:r>
      <w:r w:rsidR="003A0C59" w:rsidRPr="001D5732">
        <w:rPr>
          <w:rFonts w:ascii="Book Antiqua" w:hAnsi="Book Antiqua"/>
        </w:rPr>
        <w:t xml:space="preserve">ot reported; </w:t>
      </w:r>
      <w:r w:rsidRPr="001D5732">
        <w:rPr>
          <w:rFonts w:ascii="Book Antiqua" w:hAnsi="Book Antiqua"/>
        </w:rPr>
        <w:t>NS</w:t>
      </w:r>
      <w:r w:rsidRPr="001D5732">
        <w:rPr>
          <w:rFonts w:ascii="Book Antiqua" w:hAnsi="Book Antiqua"/>
          <w:lang w:eastAsia="zh-CN"/>
        </w:rPr>
        <w:t>:</w:t>
      </w:r>
      <w:r w:rsidRPr="001D5732">
        <w:rPr>
          <w:rFonts w:ascii="Book Antiqua" w:hAnsi="Book Antiqua"/>
        </w:rPr>
        <w:t xml:space="preserve"> </w:t>
      </w:r>
      <w:r w:rsidRPr="001D5732">
        <w:rPr>
          <w:rFonts w:ascii="Book Antiqua" w:hAnsi="Book Antiqua"/>
          <w:lang w:eastAsia="zh-CN"/>
        </w:rPr>
        <w:t>N</w:t>
      </w:r>
      <w:r w:rsidRPr="001D5732">
        <w:rPr>
          <w:rFonts w:ascii="Book Antiqua" w:hAnsi="Book Antiqua"/>
        </w:rPr>
        <w:t>ot significative.</w:t>
      </w:r>
    </w:p>
    <w:p w14:paraId="1A617B89" w14:textId="77777777" w:rsidR="0052574D" w:rsidRPr="001D5732" w:rsidRDefault="003A0C59" w:rsidP="0052574D">
      <w:pPr>
        <w:adjustRightInd w:val="0"/>
        <w:snapToGrid w:val="0"/>
        <w:spacing w:line="360" w:lineRule="auto"/>
        <w:jc w:val="both"/>
        <w:rPr>
          <w:rFonts w:ascii="Book Antiqua" w:hAnsi="Book Antiqua"/>
          <w:lang w:eastAsia="zh-CN"/>
        </w:rPr>
      </w:pPr>
      <w:r w:rsidRPr="001D5732">
        <w:rPr>
          <w:rFonts w:ascii="Book Antiqua" w:hAnsi="Book Antiqua"/>
          <w:b/>
          <w:bCs/>
        </w:rPr>
        <w:br w:type="page"/>
      </w:r>
      <w:r w:rsidR="0052574D" w:rsidRPr="001D5732">
        <w:rPr>
          <w:rFonts w:ascii="Book Antiqua" w:hAnsi="Book Antiqua"/>
          <w:b/>
          <w:bCs/>
        </w:rPr>
        <w:lastRenderedPageBreak/>
        <w:t xml:space="preserve">Table 2 Summary of the studies on </w:t>
      </w:r>
      <w:r w:rsidR="0052574D" w:rsidRPr="001D5732">
        <w:rPr>
          <w:rFonts w:ascii="Book Antiqua" w:hAnsi="Book Antiqua"/>
          <w:b/>
        </w:rPr>
        <w:t>involving lymph node detection in gastrointestinal cancer</w:t>
      </w:r>
    </w:p>
    <w:tbl>
      <w:tblPr>
        <w:tblStyle w:val="TableGrid"/>
        <w:tblW w:w="4731"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81"/>
        <w:gridCol w:w="1116"/>
        <w:gridCol w:w="1535"/>
        <w:gridCol w:w="1673"/>
        <w:gridCol w:w="1393"/>
        <w:gridCol w:w="4765"/>
      </w:tblGrid>
      <w:tr w:rsidR="00DA2E21" w:rsidRPr="001D5732" w14:paraId="658A19A2" w14:textId="77777777" w:rsidTr="00CA7E3D">
        <w:trPr>
          <w:trHeight w:val="709"/>
        </w:trPr>
        <w:tc>
          <w:tcPr>
            <w:tcW w:w="726" w:type="pct"/>
            <w:tcBorders>
              <w:top w:val="single" w:sz="4" w:space="0" w:color="auto"/>
              <w:bottom w:val="single" w:sz="4" w:space="0" w:color="auto"/>
            </w:tcBorders>
          </w:tcPr>
          <w:p w14:paraId="28CCEAD9" w14:textId="77777777" w:rsidR="0036027D" w:rsidRPr="00C0009F" w:rsidRDefault="0036027D" w:rsidP="0052574D">
            <w:pPr>
              <w:adjustRightInd w:val="0"/>
              <w:snapToGrid w:val="0"/>
              <w:spacing w:line="360" w:lineRule="auto"/>
              <w:jc w:val="both"/>
              <w:rPr>
                <w:rFonts w:ascii="Book Antiqua" w:hAnsi="Book Antiqua"/>
                <w:b/>
                <w:bCs/>
                <w:lang w:val="en-US" w:eastAsia="zh-CN"/>
              </w:rPr>
            </w:pPr>
            <w:r w:rsidRPr="00C0009F">
              <w:rPr>
                <w:rFonts w:ascii="Book Antiqua" w:hAnsi="Book Antiqua"/>
                <w:b/>
                <w:bCs/>
                <w:lang w:val="en-US" w:eastAsia="zh-CN"/>
              </w:rPr>
              <w:t>Ref.</w:t>
            </w:r>
          </w:p>
        </w:tc>
        <w:tc>
          <w:tcPr>
            <w:tcW w:w="455" w:type="pct"/>
            <w:tcBorders>
              <w:top w:val="single" w:sz="4" w:space="0" w:color="auto"/>
              <w:bottom w:val="single" w:sz="4" w:space="0" w:color="auto"/>
            </w:tcBorders>
          </w:tcPr>
          <w:p w14:paraId="585A4386" w14:textId="77777777" w:rsidR="0036027D" w:rsidRPr="00C0009F" w:rsidRDefault="0036027D" w:rsidP="0052574D">
            <w:pPr>
              <w:adjustRightInd w:val="0"/>
              <w:snapToGrid w:val="0"/>
              <w:spacing w:line="360" w:lineRule="auto"/>
              <w:jc w:val="both"/>
              <w:rPr>
                <w:rFonts w:ascii="Book Antiqua" w:hAnsi="Book Antiqua"/>
                <w:b/>
                <w:bCs/>
                <w:lang w:val="en-US"/>
              </w:rPr>
            </w:pPr>
            <w:r w:rsidRPr="00C0009F">
              <w:rPr>
                <w:rFonts w:ascii="Book Antiqua" w:hAnsi="Book Antiqua"/>
                <w:b/>
                <w:bCs/>
                <w:lang w:val="en-US"/>
              </w:rPr>
              <w:t>Patients</w:t>
            </w:r>
          </w:p>
        </w:tc>
        <w:tc>
          <w:tcPr>
            <w:tcW w:w="626" w:type="pct"/>
            <w:tcBorders>
              <w:top w:val="single" w:sz="4" w:space="0" w:color="auto"/>
              <w:bottom w:val="single" w:sz="4" w:space="0" w:color="auto"/>
            </w:tcBorders>
          </w:tcPr>
          <w:p w14:paraId="19DD4A77" w14:textId="77777777" w:rsidR="0036027D" w:rsidRPr="00C0009F" w:rsidRDefault="0036027D" w:rsidP="0052574D">
            <w:pPr>
              <w:adjustRightInd w:val="0"/>
              <w:snapToGrid w:val="0"/>
              <w:spacing w:line="360" w:lineRule="auto"/>
              <w:jc w:val="both"/>
              <w:rPr>
                <w:rFonts w:ascii="Book Antiqua" w:hAnsi="Book Antiqua"/>
                <w:b/>
                <w:bCs/>
                <w:lang w:val="en-US"/>
              </w:rPr>
            </w:pPr>
            <w:r w:rsidRPr="00C0009F">
              <w:rPr>
                <w:rFonts w:ascii="Book Antiqua" w:hAnsi="Book Antiqua"/>
                <w:b/>
                <w:bCs/>
                <w:lang w:val="en-US"/>
              </w:rPr>
              <w:t>Detection rate</w:t>
            </w:r>
          </w:p>
        </w:tc>
        <w:tc>
          <w:tcPr>
            <w:tcW w:w="682" w:type="pct"/>
            <w:tcBorders>
              <w:top w:val="single" w:sz="4" w:space="0" w:color="auto"/>
              <w:bottom w:val="single" w:sz="4" w:space="0" w:color="auto"/>
            </w:tcBorders>
          </w:tcPr>
          <w:p w14:paraId="597E8874" w14:textId="262EA7D9" w:rsidR="0036027D" w:rsidRPr="00C0009F" w:rsidRDefault="0036027D" w:rsidP="0052574D">
            <w:pPr>
              <w:adjustRightInd w:val="0"/>
              <w:snapToGrid w:val="0"/>
              <w:spacing w:line="360" w:lineRule="auto"/>
              <w:jc w:val="both"/>
              <w:rPr>
                <w:rFonts w:ascii="Book Antiqua" w:hAnsi="Book Antiqua"/>
                <w:b/>
                <w:bCs/>
                <w:lang w:val="en-US"/>
              </w:rPr>
            </w:pPr>
            <w:r w:rsidRPr="00C0009F">
              <w:rPr>
                <w:rFonts w:ascii="Book Antiqua" w:hAnsi="Book Antiqua"/>
                <w:b/>
                <w:bCs/>
                <w:lang w:val="en-US"/>
              </w:rPr>
              <w:t>Sensi</w:t>
            </w:r>
            <w:r w:rsidR="00605922" w:rsidRPr="00C0009F">
              <w:rPr>
                <w:rFonts w:ascii="Book Antiqua" w:hAnsi="Book Antiqua"/>
                <w:b/>
                <w:bCs/>
                <w:lang w:val="en-US"/>
              </w:rPr>
              <w:t>ti</w:t>
            </w:r>
            <w:r w:rsidRPr="00C0009F">
              <w:rPr>
                <w:rFonts w:ascii="Book Antiqua" w:hAnsi="Book Antiqua"/>
                <w:b/>
                <w:bCs/>
                <w:lang w:val="en-US"/>
              </w:rPr>
              <w:t>vity</w:t>
            </w:r>
          </w:p>
        </w:tc>
        <w:tc>
          <w:tcPr>
            <w:tcW w:w="568" w:type="pct"/>
            <w:tcBorders>
              <w:top w:val="single" w:sz="4" w:space="0" w:color="auto"/>
              <w:bottom w:val="single" w:sz="4" w:space="0" w:color="auto"/>
            </w:tcBorders>
          </w:tcPr>
          <w:p w14:paraId="6645A015" w14:textId="39F80EE0" w:rsidR="0036027D" w:rsidRPr="00C0009F" w:rsidRDefault="0036027D" w:rsidP="0052574D">
            <w:pPr>
              <w:adjustRightInd w:val="0"/>
              <w:snapToGrid w:val="0"/>
              <w:spacing w:line="360" w:lineRule="auto"/>
              <w:jc w:val="both"/>
              <w:rPr>
                <w:rFonts w:ascii="Book Antiqua" w:hAnsi="Book Antiqua"/>
                <w:b/>
                <w:bCs/>
                <w:lang w:val="en-US"/>
              </w:rPr>
            </w:pPr>
            <w:r w:rsidRPr="00C0009F">
              <w:rPr>
                <w:rFonts w:ascii="Book Antiqua" w:hAnsi="Book Antiqua"/>
                <w:b/>
                <w:bCs/>
                <w:lang w:val="en-US"/>
              </w:rPr>
              <w:t>Specifi</w:t>
            </w:r>
            <w:r w:rsidR="00605922" w:rsidRPr="00C0009F">
              <w:rPr>
                <w:rFonts w:ascii="Book Antiqua" w:hAnsi="Book Antiqua"/>
                <w:b/>
                <w:bCs/>
                <w:lang w:val="en-US"/>
              </w:rPr>
              <w:t>ci</w:t>
            </w:r>
            <w:r w:rsidRPr="00C0009F">
              <w:rPr>
                <w:rFonts w:ascii="Book Antiqua" w:hAnsi="Book Antiqua"/>
                <w:b/>
                <w:bCs/>
                <w:lang w:val="en-US"/>
              </w:rPr>
              <w:t>ty</w:t>
            </w:r>
          </w:p>
        </w:tc>
        <w:tc>
          <w:tcPr>
            <w:tcW w:w="1943" w:type="pct"/>
            <w:tcBorders>
              <w:top w:val="single" w:sz="4" w:space="0" w:color="auto"/>
              <w:bottom w:val="single" w:sz="4" w:space="0" w:color="auto"/>
            </w:tcBorders>
          </w:tcPr>
          <w:p w14:paraId="181B2C95" w14:textId="77777777" w:rsidR="0036027D" w:rsidRPr="00C0009F" w:rsidRDefault="0036027D" w:rsidP="0052574D">
            <w:pPr>
              <w:adjustRightInd w:val="0"/>
              <w:snapToGrid w:val="0"/>
              <w:spacing w:line="360" w:lineRule="auto"/>
              <w:jc w:val="both"/>
              <w:rPr>
                <w:rFonts w:ascii="Book Antiqua" w:hAnsi="Book Antiqua"/>
                <w:b/>
                <w:bCs/>
                <w:lang w:val="en-US"/>
              </w:rPr>
            </w:pPr>
            <w:r w:rsidRPr="00C0009F">
              <w:rPr>
                <w:rFonts w:ascii="Book Antiqua" w:hAnsi="Book Antiqua"/>
                <w:b/>
                <w:bCs/>
                <w:lang w:val="en-US"/>
              </w:rPr>
              <w:t>Considerations</w:t>
            </w:r>
          </w:p>
        </w:tc>
      </w:tr>
      <w:tr w:rsidR="00DA2E21" w:rsidRPr="001D5732" w14:paraId="20839CC1" w14:textId="77777777" w:rsidTr="00CA7E3D">
        <w:trPr>
          <w:trHeight w:val="680"/>
        </w:trPr>
        <w:tc>
          <w:tcPr>
            <w:tcW w:w="726" w:type="pct"/>
            <w:tcBorders>
              <w:top w:val="single" w:sz="4" w:space="0" w:color="auto"/>
            </w:tcBorders>
            <w:vAlign w:val="center"/>
          </w:tcPr>
          <w:p w14:paraId="7E063CF5" w14:textId="77777777" w:rsidR="0036027D" w:rsidRPr="00C0009F" w:rsidRDefault="0036027D" w:rsidP="0052574D">
            <w:pPr>
              <w:adjustRightInd w:val="0"/>
              <w:snapToGrid w:val="0"/>
              <w:spacing w:line="360" w:lineRule="auto"/>
              <w:jc w:val="both"/>
              <w:rPr>
                <w:rFonts w:ascii="Book Antiqua" w:hAnsi="Book Antiqua"/>
                <w:b/>
                <w:bCs/>
                <w:lang w:val="en-US"/>
              </w:rPr>
            </w:pPr>
            <w:r w:rsidRPr="00C0009F">
              <w:rPr>
                <w:rFonts w:ascii="Book Antiqua" w:hAnsi="Book Antiqua"/>
                <w:lang w:val="en-US"/>
              </w:rPr>
              <w:t>Kusano</w:t>
            </w:r>
            <w:r w:rsidRPr="00C0009F">
              <w:rPr>
                <w:rFonts w:ascii="Book Antiqua" w:hAnsi="Book Antiqua"/>
                <w:i/>
                <w:lang w:val="en-US" w:eastAsia="zh-CN"/>
              </w:rPr>
              <w:t xml:space="preserve"> et al</w:t>
            </w:r>
            <w:r w:rsidRPr="00C0009F">
              <w:rPr>
                <w:rFonts w:ascii="Book Antiqua" w:hAnsi="Book Antiqua"/>
                <w:vertAlign w:val="superscript"/>
                <w:lang w:val="en-US" w:eastAsia="zh-CN"/>
              </w:rPr>
              <w:t>[76]</w:t>
            </w:r>
            <w:r w:rsidRPr="00C0009F">
              <w:rPr>
                <w:rFonts w:ascii="Book Antiqua" w:hAnsi="Book Antiqua"/>
                <w:lang w:val="en-US" w:eastAsia="zh-CN"/>
              </w:rPr>
              <w:t>, 2008</w:t>
            </w:r>
          </w:p>
        </w:tc>
        <w:tc>
          <w:tcPr>
            <w:tcW w:w="455" w:type="pct"/>
            <w:tcBorders>
              <w:top w:val="single" w:sz="4" w:space="0" w:color="auto"/>
            </w:tcBorders>
            <w:vAlign w:val="center"/>
          </w:tcPr>
          <w:p w14:paraId="505D6C6D" w14:textId="77777777" w:rsidR="0036027D" w:rsidRPr="00C0009F" w:rsidRDefault="0036027D" w:rsidP="0052574D">
            <w:pPr>
              <w:adjustRightInd w:val="0"/>
              <w:snapToGrid w:val="0"/>
              <w:spacing w:line="360" w:lineRule="auto"/>
              <w:jc w:val="both"/>
              <w:rPr>
                <w:rFonts w:ascii="Book Antiqua" w:hAnsi="Book Antiqua"/>
                <w:lang w:val="en-US"/>
              </w:rPr>
            </w:pPr>
            <w:r w:rsidRPr="00C0009F">
              <w:rPr>
                <w:rFonts w:ascii="Book Antiqua" w:hAnsi="Book Antiqua"/>
                <w:lang w:val="en-US"/>
              </w:rPr>
              <w:t>26 CRC</w:t>
            </w:r>
            <w:r w:rsidR="00381213" w:rsidRPr="00C0009F">
              <w:rPr>
                <w:rFonts w:ascii="Book Antiqua" w:hAnsi="Book Antiqua"/>
                <w:lang w:val="en-US" w:eastAsia="zh-CN"/>
              </w:rPr>
              <w:t xml:space="preserve">, </w:t>
            </w:r>
            <w:r w:rsidRPr="00C0009F">
              <w:rPr>
                <w:rFonts w:ascii="Book Antiqua" w:hAnsi="Book Antiqua"/>
                <w:lang w:val="en-US"/>
              </w:rPr>
              <w:t>22 GC</w:t>
            </w:r>
          </w:p>
        </w:tc>
        <w:tc>
          <w:tcPr>
            <w:tcW w:w="626" w:type="pct"/>
            <w:tcBorders>
              <w:top w:val="single" w:sz="4" w:space="0" w:color="auto"/>
            </w:tcBorders>
            <w:vAlign w:val="center"/>
          </w:tcPr>
          <w:p w14:paraId="2B158151" w14:textId="77777777" w:rsidR="0036027D" w:rsidRPr="00C0009F" w:rsidRDefault="0036027D" w:rsidP="0052574D">
            <w:pPr>
              <w:adjustRightInd w:val="0"/>
              <w:snapToGrid w:val="0"/>
              <w:spacing w:line="360" w:lineRule="auto"/>
              <w:jc w:val="both"/>
              <w:rPr>
                <w:rFonts w:ascii="Book Antiqua" w:hAnsi="Book Antiqua"/>
                <w:lang w:val="en-US"/>
              </w:rPr>
            </w:pPr>
            <w:r w:rsidRPr="00C0009F">
              <w:rPr>
                <w:rFonts w:ascii="Book Antiqua" w:hAnsi="Book Antiqua"/>
                <w:lang w:val="en-US"/>
              </w:rPr>
              <w:t>CRC: 90.9%</w:t>
            </w:r>
            <w:r w:rsidR="00381213" w:rsidRPr="00C0009F">
              <w:rPr>
                <w:rFonts w:ascii="Book Antiqua" w:hAnsi="Book Antiqua"/>
                <w:lang w:val="en-US" w:eastAsia="zh-CN"/>
              </w:rPr>
              <w:t xml:space="preserve">, </w:t>
            </w:r>
            <w:r w:rsidRPr="00C0009F">
              <w:rPr>
                <w:rFonts w:ascii="Book Antiqua" w:hAnsi="Book Antiqua"/>
                <w:lang w:val="en-US"/>
              </w:rPr>
              <w:t>GC: 88%</w:t>
            </w:r>
          </w:p>
        </w:tc>
        <w:tc>
          <w:tcPr>
            <w:tcW w:w="682" w:type="pct"/>
            <w:tcBorders>
              <w:top w:val="single" w:sz="4" w:space="0" w:color="auto"/>
            </w:tcBorders>
            <w:vAlign w:val="center"/>
          </w:tcPr>
          <w:p w14:paraId="730ED398" w14:textId="77777777" w:rsidR="0036027D" w:rsidRPr="00C0009F" w:rsidRDefault="0036027D" w:rsidP="00381213">
            <w:pPr>
              <w:adjustRightInd w:val="0"/>
              <w:snapToGrid w:val="0"/>
              <w:spacing w:line="360" w:lineRule="auto"/>
              <w:jc w:val="both"/>
              <w:rPr>
                <w:rFonts w:ascii="Book Antiqua" w:hAnsi="Book Antiqua"/>
                <w:lang w:val="en-US" w:eastAsia="zh-CN"/>
              </w:rPr>
            </w:pPr>
            <w:r w:rsidRPr="00C0009F">
              <w:rPr>
                <w:rFonts w:ascii="Book Antiqua" w:hAnsi="Book Antiqua"/>
                <w:lang w:val="en-US"/>
              </w:rPr>
              <w:t>CRC: S: 25%</w:t>
            </w:r>
            <w:r w:rsidR="00381213" w:rsidRPr="00C0009F">
              <w:rPr>
                <w:rFonts w:ascii="Book Antiqua" w:hAnsi="Book Antiqua"/>
                <w:vertAlign w:val="superscript"/>
                <w:lang w:val="en-US" w:eastAsia="zh-CN"/>
              </w:rPr>
              <w:t>1</w:t>
            </w:r>
            <w:r w:rsidR="00381213" w:rsidRPr="00C0009F">
              <w:rPr>
                <w:rFonts w:ascii="Book Antiqua" w:hAnsi="Book Antiqua"/>
                <w:lang w:val="en-US" w:eastAsia="zh-CN"/>
              </w:rPr>
              <w:t>,</w:t>
            </w:r>
            <w:r w:rsidRPr="00C0009F">
              <w:rPr>
                <w:rFonts w:ascii="Book Antiqua" w:hAnsi="Book Antiqua"/>
                <w:lang w:val="en-US"/>
              </w:rPr>
              <w:t xml:space="preserve"> GS: 40%</w:t>
            </w:r>
            <w:r w:rsidR="00381213" w:rsidRPr="00C0009F">
              <w:rPr>
                <w:rFonts w:ascii="Book Antiqua" w:hAnsi="Book Antiqua"/>
                <w:vertAlign w:val="superscript"/>
                <w:lang w:val="en-US" w:eastAsia="zh-CN"/>
              </w:rPr>
              <w:t>1</w:t>
            </w:r>
          </w:p>
        </w:tc>
        <w:tc>
          <w:tcPr>
            <w:tcW w:w="568" w:type="pct"/>
            <w:tcBorders>
              <w:top w:val="single" w:sz="4" w:space="0" w:color="auto"/>
            </w:tcBorders>
            <w:vAlign w:val="center"/>
          </w:tcPr>
          <w:p w14:paraId="1AD85FE3" w14:textId="77777777" w:rsidR="0036027D" w:rsidRPr="00C0009F" w:rsidRDefault="0036027D" w:rsidP="00381213">
            <w:pPr>
              <w:adjustRightInd w:val="0"/>
              <w:snapToGrid w:val="0"/>
              <w:spacing w:line="360" w:lineRule="auto"/>
              <w:jc w:val="both"/>
              <w:rPr>
                <w:rFonts w:ascii="Book Antiqua" w:hAnsi="Book Antiqua"/>
                <w:lang w:val="en-US" w:eastAsia="zh-CN"/>
              </w:rPr>
            </w:pPr>
            <w:r w:rsidRPr="00C0009F">
              <w:rPr>
                <w:rFonts w:ascii="Book Antiqua" w:hAnsi="Book Antiqua"/>
                <w:lang w:val="en-US"/>
              </w:rPr>
              <w:t>Sp: 100%</w:t>
            </w:r>
            <w:r w:rsidR="00381213" w:rsidRPr="00C0009F">
              <w:rPr>
                <w:rFonts w:ascii="Book Antiqua" w:hAnsi="Book Antiqua"/>
                <w:vertAlign w:val="superscript"/>
                <w:lang w:val="en-US" w:eastAsia="zh-CN"/>
              </w:rPr>
              <w:t>1</w:t>
            </w:r>
            <w:r w:rsidR="00381213" w:rsidRPr="00C0009F">
              <w:rPr>
                <w:rFonts w:ascii="Book Antiqua" w:hAnsi="Book Antiqua"/>
                <w:lang w:val="en-US" w:eastAsia="zh-CN"/>
              </w:rPr>
              <w:t xml:space="preserve">, </w:t>
            </w:r>
            <w:r w:rsidRPr="00C0009F">
              <w:rPr>
                <w:rFonts w:ascii="Book Antiqua" w:hAnsi="Book Antiqua"/>
                <w:lang w:val="en-US"/>
              </w:rPr>
              <w:t>Sp: 100%</w:t>
            </w:r>
            <w:r w:rsidR="00381213" w:rsidRPr="00C0009F">
              <w:rPr>
                <w:rFonts w:ascii="Book Antiqua" w:hAnsi="Book Antiqua"/>
                <w:vertAlign w:val="superscript"/>
                <w:lang w:val="en-US" w:eastAsia="zh-CN"/>
              </w:rPr>
              <w:t>1</w:t>
            </w:r>
          </w:p>
        </w:tc>
        <w:tc>
          <w:tcPr>
            <w:tcW w:w="1943" w:type="pct"/>
            <w:tcBorders>
              <w:top w:val="single" w:sz="4" w:space="0" w:color="auto"/>
            </w:tcBorders>
            <w:vAlign w:val="center"/>
          </w:tcPr>
          <w:p w14:paraId="79E35011" w14:textId="77777777" w:rsidR="0036027D" w:rsidRPr="00C0009F" w:rsidRDefault="00381213" w:rsidP="0052574D">
            <w:pPr>
              <w:adjustRightInd w:val="0"/>
              <w:snapToGrid w:val="0"/>
              <w:spacing w:line="360" w:lineRule="auto"/>
              <w:jc w:val="both"/>
              <w:rPr>
                <w:rFonts w:ascii="Book Antiqua" w:hAnsi="Book Antiqua"/>
                <w:lang w:val="en-US"/>
              </w:rPr>
            </w:pPr>
            <w:r w:rsidRPr="00C0009F">
              <w:rPr>
                <w:rFonts w:ascii="Book Antiqua" w:hAnsi="Book Antiqua"/>
                <w:lang w:val="en-US"/>
              </w:rPr>
              <w:t>CRC: PPV: 100%</w:t>
            </w:r>
            <w:r w:rsidR="0036027D" w:rsidRPr="00C0009F">
              <w:rPr>
                <w:rFonts w:ascii="Book Antiqua" w:hAnsi="Book Antiqua"/>
                <w:lang w:val="en-US"/>
              </w:rPr>
              <w:t xml:space="preserve"> NPV: 81%</w:t>
            </w:r>
            <w:r w:rsidRPr="00C0009F">
              <w:rPr>
                <w:rFonts w:ascii="Book Antiqua" w:hAnsi="Book Antiqua"/>
                <w:lang w:val="en-US" w:eastAsia="zh-CN"/>
              </w:rPr>
              <w:t xml:space="preserve">, </w:t>
            </w:r>
            <w:r w:rsidR="0036027D" w:rsidRPr="00C0009F">
              <w:rPr>
                <w:rFonts w:ascii="Book Antiqua" w:hAnsi="Book Antiqua"/>
                <w:lang w:val="en-US"/>
              </w:rPr>
              <w:t>GC: PPV:</w:t>
            </w:r>
            <w:r w:rsidRPr="00C0009F">
              <w:rPr>
                <w:rFonts w:ascii="Book Antiqua" w:hAnsi="Book Antiqua"/>
                <w:lang w:val="en-US" w:eastAsia="zh-CN"/>
              </w:rPr>
              <w:t xml:space="preserve"> </w:t>
            </w:r>
            <w:r w:rsidR="0036027D" w:rsidRPr="00C0009F">
              <w:rPr>
                <w:rFonts w:ascii="Book Antiqua" w:hAnsi="Book Antiqua"/>
                <w:lang w:val="en-US"/>
              </w:rPr>
              <w:t>100% NPV: 62.5%</w:t>
            </w:r>
          </w:p>
        </w:tc>
      </w:tr>
      <w:tr w:rsidR="00DA2E21" w:rsidRPr="001D5732" w14:paraId="600DFFB7" w14:textId="77777777" w:rsidTr="00CA7E3D">
        <w:trPr>
          <w:trHeight w:val="709"/>
        </w:trPr>
        <w:tc>
          <w:tcPr>
            <w:tcW w:w="726" w:type="pct"/>
            <w:vAlign w:val="center"/>
          </w:tcPr>
          <w:p w14:paraId="74216643" w14:textId="77777777" w:rsidR="0036027D" w:rsidRPr="00C0009F" w:rsidRDefault="0036027D" w:rsidP="0052574D">
            <w:pPr>
              <w:adjustRightInd w:val="0"/>
              <w:snapToGrid w:val="0"/>
              <w:spacing w:line="360" w:lineRule="auto"/>
              <w:jc w:val="both"/>
              <w:rPr>
                <w:rFonts w:ascii="Book Antiqua" w:hAnsi="Book Antiqua"/>
                <w:lang w:val="en-US"/>
              </w:rPr>
            </w:pPr>
            <w:r w:rsidRPr="00C0009F">
              <w:rPr>
                <w:rFonts w:ascii="Book Antiqua" w:hAnsi="Book Antiqua"/>
                <w:lang w:val="en-US"/>
              </w:rPr>
              <w:t>Cahill</w:t>
            </w:r>
            <w:r w:rsidRPr="00C0009F">
              <w:rPr>
                <w:rFonts w:ascii="Book Antiqua" w:hAnsi="Book Antiqua"/>
                <w:i/>
                <w:lang w:val="en-US" w:eastAsia="zh-CN"/>
              </w:rPr>
              <w:t xml:space="preserve"> et al</w:t>
            </w:r>
            <w:r w:rsidRPr="00C0009F">
              <w:rPr>
                <w:rFonts w:ascii="Book Antiqua" w:hAnsi="Book Antiqua"/>
                <w:vertAlign w:val="superscript"/>
                <w:lang w:val="en-US" w:eastAsia="zh-CN"/>
              </w:rPr>
              <w:t>[78]</w:t>
            </w:r>
            <w:r w:rsidRPr="00C0009F">
              <w:rPr>
                <w:rFonts w:ascii="Book Antiqua" w:hAnsi="Book Antiqua"/>
                <w:lang w:val="en-US" w:eastAsia="zh-CN"/>
              </w:rPr>
              <w:t>, 2009</w:t>
            </w:r>
          </w:p>
        </w:tc>
        <w:tc>
          <w:tcPr>
            <w:tcW w:w="455" w:type="pct"/>
            <w:vAlign w:val="center"/>
          </w:tcPr>
          <w:p w14:paraId="405D037D" w14:textId="77777777" w:rsidR="0036027D" w:rsidRPr="00C0009F" w:rsidRDefault="0036027D" w:rsidP="0052574D">
            <w:pPr>
              <w:adjustRightInd w:val="0"/>
              <w:snapToGrid w:val="0"/>
              <w:spacing w:line="360" w:lineRule="auto"/>
              <w:jc w:val="both"/>
              <w:rPr>
                <w:rFonts w:ascii="Book Antiqua" w:hAnsi="Book Antiqua"/>
                <w:lang w:val="en-US"/>
              </w:rPr>
            </w:pPr>
            <w:r w:rsidRPr="00C0009F">
              <w:rPr>
                <w:rFonts w:ascii="Book Antiqua" w:hAnsi="Book Antiqua"/>
                <w:lang w:val="en-US"/>
              </w:rPr>
              <w:t>891</w:t>
            </w:r>
          </w:p>
        </w:tc>
        <w:tc>
          <w:tcPr>
            <w:tcW w:w="626" w:type="pct"/>
            <w:vAlign w:val="center"/>
          </w:tcPr>
          <w:p w14:paraId="4B5BA2A8" w14:textId="319E1AD9" w:rsidR="0036027D" w:rsidRPr="00C0009F" w:rsidRDefault="00CA7E3D" w:rsidP="0052574D">
            <w:pPr>
              <w:adjustRightInd w:val="0"/>
              <w:snapToGrid w:val="0"/>
              <w:spacing w:line="360" w:lineRule="auto"/>
              <w:jc w:val="both"/>
              <w:rPr>
                <w:rFonts w:ascii="Book Antiqua" w:hAnsi="Book Antiqua"/>
                <w:lang w:val="en-US"/>
              </w:rPr>
            </w:pPr>
            <w:r w:rsidRPr="00C0009F">
              <w:rPr>
                <w:rFonts w:ascii="Book Antiqua" w:hAnsi="Book Antiqua"/>
                <w:lang w:val="en-US"/>
              </w:rPr>
              <w:t>NR</w:t>
            </w:r>
          </w:p>
        </w:tc>
        <w:tc>
          <w:tcPr>
            <w:tcW w:w="682" w:type="pct"/>
            <w:vAlign w:val="center"/>
          </w:tcPr>
          <w:p w14:paraId="157BF57A" w14:textId="77777777" w:rsidR="0036027D" w:rsidRPr="00C0009F" w:rsidRDefault="0036027D" w:rsidP="0052574D">
            <w:pPr>
              <w:adjustRightInd w:val="0"/>
              <w:snapToGrid w:val="0"/>
              <w:spacing w:line="360" w:lineRule="auto"/>
              <w:jc w:val="both"/>
              <w:rPr>
                <w:rFonts w:ascii="Book Antiqua" w:hAnsi="Book Antiqua"/>
                <w:lang w:val="en-US"/>
              </w:rPr>
            </w:pPr>
            <w:r w:rsidRPr="00C0009F">
              <w:rPr>
                <w:rFonts w:ascii="Book Antiqua" w:hAnsi="Book Antiqua"/>
                <w:lang w:val="en-US"/>
              </w:rPr>
              <w:t>81%</w:t>
            </w:r>
          </w:p>
        </w:tc>
        <w:tc>
          <w:tcPr>
            <w:tcW w:w="568" w:type="pct"/>
            <w:vAlign w:val="center"/>
          </w:tcPr>
          <w:p w14:paraId="4F85191E" w14:textId="77777777" w:rsidR="0036027D" w:rsidRPr="00C0009F" w:rsidRDefault="0036027D" w:rsidP="00381213">
            <w:pPr>
              <w:adjustRightInd w:val="0"/>
              <w:snapToGrid w:val="0"/>
              <w:spacing w:line="360" w:lineRule="auto"/>
              <w:jc w:val="both"/>
              <w:rPr>
                <w:rFonts w:ascii="Book Antiqua" w:hAnsi="Book Antiqua"/>
                <w:lang w:val="en-US" w:eastAsia="zh-CN"/>
              </w:rPr>
            </w:pPr>
            <w:r w:rsidRPr="00C0009F">
              <w:rPr>
                <w:rFonts w:ascii="Book Antiqua" w:hAnsi="Book Antiqua"/>
                <w:lang w:val="en-US"/>
              </w:rPr>
              <w:t>93.2%</w:t>
            </w:r>
            <w:r w:rsidR="00381213" w:rsidRPr="00C0009F">
              <w:rPr>
                <w:rFonts w:ascii="Book Antiqua" w:hAnsi="Book Antiqua"/>
                <w:vertAlign w:val="superscript"/>
                <w:lang w:val="en-US" w:eastAsia="zh-CN"/>
              </w:rPr>
              <w:t>1</w:t>
            </w:r>
          </w:p>
        </w:tc>
        <w:tc>
          <w:tcPr>
            <w:tcW w:w="1943" w:type="pct"/>
            <w:vAlign w:val="center"/>
          </w:tcPr>
          <w:p w14:paraId="40217EE5" w14:textId="77777777" w:rsidR="0036027D" w:rsidRPr="00C0009F" w:rsidRDefault="0036027D" w:rsidP="0052574D">
            <w:pPr>
              <w:adjustRightInd w:val="0"/>
              <w:snapToGrid w:val="0"/>
              <w:spacing w:line="360" w:lineRule="auto"/>
              <w:jc w:val="both"/>
              <w:rPr>
                <w:rFonts w:ascii="Book Antiqua" w:hAnsi="Book Antiqua"/>
                <w:lang w:val="en-US"/>
              </w:rPr>
            </w:pPr>
            <w:r w:rsidRPr="00C0009F">
              <w:rPr>
                <w:rFonts w:ascii="Book Antiqua" w:hAnsi="Book Antiqua"/>
                <w:lang w:val="en-US"/>
              </w:rPr>
              <w:t>PPV: 62% NPV: 95%. Lower FN if tumor size is less than 35</w:t>
            </w:r>
            <w:r w:rsidR="00381213" w:rsidRPr="00C0009F">
              <w:rPr>
                <w:rFonts w:ascii="Book Antiqua" w:hAnsi="Book Antiqua"/>
                <w:lang w:val="en-US" w:eastAsia="zh-CN"/>
              </w:rPr>
              <w:t xml:space="preserve"> </w:t>
            </w:r>
            <w:r w:rsidRPr="00C0009F">
              <w:rPr>
                <w:rFonts w:ascii="Book Antiqua" w:hAnsi="Book Antiqua"/>
                <w:lang w:val="en-US"/>
              </w:rPr>
              <w:t>mm. IHC analysis increases sensitivity</w:t>
            </w:r>
          </w:p>
        </w:tc>
      </w:tr>
      <w:tr w:rsidR="00DA2E21" w:rsidRPr="001D5732" w14:paraId="4C76CFFD" w14:textId="77777777" w:rsidTr="00CA7E3D">
        <w:trPr>
          <w:trHeight w:val="358"/>
        </w:trPr>
        <w:tc>
          <w:tcPr>
            <w:tcW w:w="726" w:type="pct"/>
            <w:vAlign w:val="center"/>
          </w:tcPr>
          <w:p w14:paraId="1417F83C" w14:textId="77777777" w:rsidR="0036027D" w:rsidRPr="00C0009F" w:rsidRDefault="0036027D" w:rsidP="0052574D">
            <w:pPr>
              <w:adjustRightInd w:val="0"/>
              <w:snapToGrid w:val="0"/>
              <w:spacing w:line="360" w:lineRule="auto"/>
              <w:jc w:val="both"/>
              <w:rPr>
                <w:rFonts w:ascii="Book Antiqua" w:hAnsi="Book Antiqua"/>
                <w:lang w:val="en-US"/>
              </w:rPr>
            </w:pPr>
            <w:r w:rsidRPr="001D5732">
              <w:rPr>
                <w:rFonts w:ascii="Book Antiqua" w:hAnsi="Book Antiqua"/>
              </w:rPr>
              <w:t>Noura</w:t>
            </w:r>
            <w:r w:rsidRPr="00C0009F">
              <w:rPr>
                <w:rFonts w:ascii="Book Antiqua" w:hAnsi="Book Antiqua"/>
                <w:i/>
                <w:lang w:val="en-US" w:eastAsia="zh-CN"/>
              </w:rPr>
              <w:t xml:space="preserve"> et al</w:t>
            </w:r>
            <w:r w:rsidRPr="00C0009F">
              <w:rPr>
                <w:rFonts w:ascii="Book Antiqua" w:hAnsi="Book Antiqua"/>
                <w:vertAlign w:val="superscript"/>
                <w:lang w:val="en-US" w:eastAsia="zh-CN"/>
              </w:rPr>
              <w:t>[58]</w:t>
            </w:r>
            <w:r w:rsidRPr="00C0009F">
              <w:rPr>
                <w:rFonts w:ascii="Book Antiqua" w:hAnsi="Book Antiqua"/>
                <w:lang w:val="en-US" w:eastAsia="zh-CN"/>
              </w:rPr>
              <w:t>, 2010</w:t>
            </w:r>
          </w:p>
        </w:tc>
        <w:tc>
          <w:tcPr>
            <w:tcW w:w="455" w:type="pct"/>
            <w:vAlign w:val="center"/>
          </w:tcPr>
          <w:p w14:paraId="769AC6B9" w14:textId="77777777" w:rsidR="0036027D" w:rsidRPr="00C0009F" w:rsidRDefault="0036027D" w:rsidP="0052574D">
            <w:pPr>
              <w:adjustRightInd w:val="0"/>
              <w:snapToGrid w:val="0"/>
              <w:spacing w:line="360" w:lineRule="auto"/>
              <w:jc w:val="both"/>
              <w:rPr>
                <w:rFonts w:ascii="Book Antiqua" w:hAnsi="Book Antiqua"/>
                <w:lang w:val="en-US"/>
              </w:rPr>
            </w:pPr>
            <w:r w:rsidRPr="001D5732">
              <w:rPr>
                <w:rFonts w:ascii="Book Antiqua" w:hAnsi="Book Antiqua"/>
              </w:rPr>
              <w:t>25</w:t>
            </w:r>
          </w:p>
        </w:tc>
        <w:tc>
          <w:tcPr>
            <w:tcW w:w="626" w:type="pct"/>
            <w:vAlign w:val="center"/>
          </w:tcPr>
          <w:p w14:paraId="2AC69880" w14:textId="77777777" w:rsidR="0036027D" w:rsidRPr="00C0009F" w:rsidRDefault="0036027D" w:rsidP="0052574D">
            <w:pPr>
              <w:adjustRightInd w:val="0"/>
              <w:snapToGrid w:val="0"/>
              <w:spacing w:line="360" w:lineRule="auto"/>
              <w:jc w:val="both"/>
              <w:rPr>
                <w:rFonts w:ascii="Book Antiqua" w:hAnsi="Book Antiqua"/>
                <w:lang w:val="en-US"/>
              </w:rPr>
            </w:pPr>
            <w:r w:rsidRPr="001D5732">
              <w:rPr>
                <w:rFonts w:ascii="Book Antiqua" w:hAnsi="Book Antiqua"/>
              </w:rPr>
              <w:t>92%</w:t>
            </w:r>
          </w:p>
        </w:tc>
        <w:tc>
          <w:tcPr>
            <w:tcW w:w="682" w:type="pct"/>
            <w:vAlign w:val="center"/>
          </w:tcPr>
          <w:p w14:paraId="1FD5328E" w14:textId="77777777" w:rsidR="0036027D" w:rsidRPr="00C0009F" w:rsidRDefault="0036027D" w:rsidP="0052574D">
            <w:pPr>
              <w:adjustRightInd w:val="0"/>
              <w:snapToGrid w:val="0"/>
              <w:spacing w:line="360" w:lineRule="auto"/>
              <w:jc w:val="both"/>
              <w:rPr>
                <w:rFonts w:ascii="Book Antiqua" w:hAnsi="Book Antiqua"/>
                <w:lang w:val="en-US"/>
              </w:rPr>
            </w:pPr>
            <w:r w:rsidRPr="001D5732">
              <w:rPr>
                <w:rFonts w:ascii="Book Antiqua" w:hAnsi="Book Antiqua"/>
              </w:rPr>
              <w:t>100%</w:t>
            </w:r>
          </w:p>
        </w:tc>
        <w:tc>
          <w:tcPr>
            <w:tcW w:w="568" w:type="pct"/>
            <w:vAlign w:val="center"/>
          </w:tcPr>
          <w:p w14:paraId="51013313" w14:textId="77777777" w:rsidR="0036027D" w:rsidRPr="00C0009F" w:rsidRDefault="0036027D" w:rsidP="0052574D">
            <w:pPr>
              <w:adjustRightInd w:val="0"/>
              <w:snapToGrid w:val="0"/>
              <w:spacing w:line="360" w:lineRule="auto"/>
              <w:jc w:val="both"/>
              <w:rPr>
                <w:rFonts w:ascii="Book Antiqua" w:hAnsi="Book Antiqua"/>
                <w:lang w:val="en-US"/>
              </w:rPr>
            </w:pPr>
            <w:r w:rsidRPr="001D5732">
              <w:rPr>
                <w:rFonts w:ascii="Book Antiqua" w:hAnsi="Book Antiqua"/>
              </w:rPr>
              <w:t>100%</w:t>
            </w:r>
          </w:p>
        </w:tc>
        <w:tc>
          <w:tcPr>
            <w:tcW w:w="1943" w:type="pct"/>
            <w:vAlign w:val="center"/>
          </w:tcPr>
          <w:p w14:paraId="3611304D" w14:textId="77777777" w:rsidR="0036027D" w:rsidRPr="001D5732" w:rsidRDefault="0036027D" w:rsidP="0052574D">
            <w:pPr>
              <w:adjustRightInd w:val="0"/>
              <w:snapToGrid w:val="0"/>
              <w:spacing w:line="360" w:lineRule="auto"/>
              <w:jc w:val="both"/>
              <w:rPr>
                <w:rFonts w:ascii="Book Antiqua" w:hAnsi="Book Antiqua"/>
                <w:lang w:val="en-US"/>
              </w:rPr>
            </w:pPr>
            <w:r w:rsidRPr="001D5732">
              <w:rPr>
                <w:rFonts w:ascii="Book Antiqua" w:hAnsi="Book Antiqua"/>
                <w:lang w:val="en-US"/>
              </w:rPr>
              <w:t>FNR: 0%. NPV: 100% Performed lateral pelvic dissection in order to increase SN detection accuracy</w:t>
            </w:r>
          </w:p>
        </w:tc>
      </w:tr>
      <w:tr w:rsidR="00DA2E21" w:rsidRPr="001D5732" w14:paraId="0EF02A44" w14:textId="77777777" w:rsidTr="00CA7E3D">
        <w:trPr>
          <w:trHeight w:val="351"/>
        </w:trPr>
        <w:tc>
          <w:tcPr>
            <w:tcW w:w="726" w:type="pct"/>
            <w:vAlign w:val="center"/>
          </w:tcPr>
          <w:p w14:paraId="05160AD5" w14:textId="77777777" w:rsidR="0036027D" w:rsidRPr="00C0009F" w:rsidRDefault="0036027D" w:rsidP="0052574D">
            <w:pPr>
              <w:adjustRightInd w:val="0"/>
              <w:snapToGrid w:val="0"/>
              <w:spacing w:line="360" w:lineRule="auto"/>
              <w:jc w:val="both"/>
              <w:rPr>
                <w:rFonts w:ascii="Book Antiqua" w:hAnsi="Book Antiqua"/>
                <w:lang w:val="en-US"/>
              </w:rPr>
            </w:pPr>
            <w:r w:rsidRPr="00C0009F">
              <w:rPr>
                <w:rFonts w:ascii="Book Antiqua" w:hAnsi="Book Antiqua"/>
                <w:lang w:val="en-US"/>
              </w:rPr>
              <w:t>Kitagawa</w:t>
            </w:r>
            <w:r w:rsidRPr="00C0009F">
              <w:rPr>
                <w:rFonts w:ascii="Book Antiqua" w:hAnsi="Book Antiqua"/>
                <w:i/>
                <w:lang w:val="en-US" w:eastAsia="zh-CN"/>
              </w:rPr>
              <w:t xml:space="preserve"> et al</w:t>
            </w:r>
            <w:r w:rsidRPr="00C0009F">
              <w:rPr>
                <w:rFonts w:ascii="Book Antiqua" w:hAnsi="Book Antiqua"/>
                <w:vertAlign w:val="superscript"/>
                <w:lang w:val="en-US" w:eastAsia="zh-CN"/>
              </w:rPr>
              <w:t>[80]</w:t>
            </w:r>
            <w:r w:rsidRPr="00C0009F">
              <w:rPr>
                <w:rFonts w:ascii="Book Antiqua" w:hAnsi="Book Antiqua"/>
                <w:lang w:val="en-US" w:eastAsia="zh-CN"/>
              </w:rPr>
              <w:t>, 2013</w:t>
            </w:r>
          </w:p>
        </w:tc>
        <w:tc>
          <w:tcPr>
            <w:tcW w:w="455" w:type="pct"/>
            <w:vAlign w:val="center"/>
          </w:tcPr>
          <w:p w14:paraId="39AA52C3" w14:textId="77777777" w:rsidR="0036027D" w:rsidRPr="00C0009F" w:rsidRDefault="0036027D" w:rsidP="0052574D">
            <w:pPr>
              <w:adjustRightInd w:val="0"/>
              <w:snapToGrid w:val="0"/>
              <w:spacing w:line="360" w:lineRule="auto"/>
              <w:jc w:val="both"/>
              <w:rPr>
                <w:rFonts w:ascii="Book Antiqua" w:hAnsi="Book Antiqua"/>
                <w:lang w:val="en-US"/>
              </w:rPr>
            </w:pPr>
            <w:r w:rsidRPr="00C0009F">
              <w:rPr>
                <w:rFonts w:ascii="Book Antiqua" w:hAnsi="Book Antiqua"/>
                <w:lang w:val="en-US"/>
              </w:rPr>
              <w:t>397</w:t>
            </w:r>
          </w:p>
        </w:tc>
        <w:tc>
          <w:tcPr>
            <w:tcW w:w="626" w:type="pct"/>
            <w:vAlign w:val="center"/>
          </w:tcPr>
          <w:p w14:paraId="5635E452" w14:textId="77777777" w:rsidR="0036027D" w:rsidRPr="00C0009F" w:rsidRDefault="0036027D" w:rsidP="0052574D">
            <w:pPr>
              <w:adjustRightInd w:val="0"/>
              <w:snapToGrid w:val="0"/>
              <w:spacing w:line="360" w:lineRule="auto"/>
              <w:jc w:val="both"/>
              <w:rPr>
                <w:rFonts w:ascii="Book Antiqua" w:hAnsi="Book Antiqua"/>
                <w:lang w:val="en-US"/>
              </w:rPr>
            </w:pPr>
            <w:r w:rsidRPr="00C0009F">
              <w:rPr>
                <w:rFonts w:ascii="Book Antiqua" w:hAnsi="Book Antiqua"/>
                <w:lang w:val="en-US"/>
              </w:rPr>
              <w:t>97.5%</w:t>
            </w:r>
          </w:p>
        </w:tc>
        <w:tc>
          <w:tcPr>
            <w:tcW w:w="682" w:type="pct"/>
            <w:vAlign w:val="center"/>
          </w:tcPr>
          <w:p w14:paraId="6C8503B0" w14:textId="77777777" w:rsidR="0036027D" w:rsidRPr="00C0009F" w:rsidRDefault="0036027D" w:rsidP="00381213">
            <w:pPr>
              <w:adjustRightInd w:val="0"/>
              <w:snapToGrid w:val="0"/>
              <w:spacing w:line="360" w:lineRule="auto"/>
              <w:jc w:val="both"/>
              <w:rPr>
                <w:rFonts w:ascii="Book Antiqua" w:hAnsi="Book Antiqua"/>
                <w:lang w:val="en-US" w:eastAsia="zh-CN"/>
              </w:rPr>
            </w:pPr>
            <w:r w:rsidRPr="00C0009F">
              <w:rPr>
                <w:rFonts w:ascii="Book Antiqua" w:hAnsi="Book Antiqua"/>
                <w:lang w:val="en-US"/>
              </w:rPr>
              <w:t>93.44%</w:t>
            </w:r>
            <w:r w:rsidR="00381213" w:rsidRPr="00C0009F">
              <w:rPr>
                <w:rFonts w:ascii="Book Antiqua" w:hAnsi="Book Antiqua"/>
                <w:vertAlign w:val="superscript"/>
                <w:lang w:val="en-US" w:eastAsia="zh-CN"/>
              </w:rPr>
              <w:t>1</w:t>
            </w:r>
          </w:p>
        </w:tc>
        <w:tc>
          <w:tcPr>
            <w:tcW w:w="568" w:type="pct"/>
            <w:vAlign w:val="center"/>
          </w:tcPr>
          <w:p w14:paraId="45EB7857" w14:textId="77777777" w:rsidR="0036027D" w:rsidRPr="00C0009F" w:rsidRDefault="0036027D" w:rsidP="00381213">
            <w:pPr>
              <w:adjustRightInd w:val="0"/>
              <w:snapToGrid w:val="0"/>
              <w:spacing w:line="360" w:lineRule="auto"/>
              <w:jc w:val="both"/>
              <w:rPr>
                <w:rFonts w:ascii="Book Antiqua" w:hAnsi="Book Antiqua"/>
                <w:lang w:val="en-US" w:eastAsia="zh-CN"/>
              </w:rPr>
            </w:pPr>
            <w:r w:rsidRPr="00C0009F">
              <w:rPr>
                <w:rFonts w:ascii="Book Antiqua" w:hAnsi="Book Antiqua"/>
                <w:lang w:val="en-US"/>
              </w:rPr>
              <w:t>98.99%</w:t>
            </w:r>
            <w:r w:rsidR="00381213" w:rsidRPr="00C0009F">
              <w:rPr>
                <w:rFonts w:ascii="Book Antiqua" w:hAnsi="Book Antiqua"/>
                <w:vertAlign w:val="superscript"/>
                <w:lang w:val="en-US" w:eastAsia="zh-CN"/>
              </w:rPr>
              <w:t>1</w:t>
            </w:r>
          </w:p>
        </w:tc>
        <w:tc>
          <w:tcPr>
            <w:tcW w:w="1943" w:type="pct"/>
            <w:vAlign w:val="center"/>
          </w:tcPr>
          <w:p w14:paraId="75746FC1" w14:textId="77777777" w:rsidR="0036027D" w:rsidRPr="00C0009F" w:rsidRDefault="0036027D" w:rsidP="0052574D">
            <w:pPr>
              <w:adjustRightInd w:val="0"/>
              <w:snapToGrid w:val="0"/>
              <w:spacing w:line="360" w:lineRule="auto"/>
              <w:jc w:val="both"/>
              <w:rPr>
                <w:rFonts w:ascii="Book Antiqua" w:hAnsi="Book Antiqua"/>
                <w:lang w:val="en-US" w:eastAsia="zh-CN"/>
              </w:rPr>
            </w:pPr>
            <w:r w:rsidRPr="001D5732">
              <w:rPr>
                <w:rFonts w:ascii="Book Antiqua" w:hAnsi="Book Antiqua"/>
                <w:lang w:val="en-US"/>
              </w:rPr>
              <w:t>Uses dual technique (blue dye and ICG)</w:t>
            </w:r>
          </w:p>
        </w:tc>
      </w:tr>
      <w:tr w:rsidR="00DA2E21" w:rsidRPr="001D5732" w14:paraId="6AA40EF7" w14:textId="77777777" w:rsidTr="00CA7E3D">
        <w:trPr>
          <w:trHeight w:val="351"/>
        </w:trPr>
        <w:tc>
          <w:tcPr>
            <w:tcW w:w="726" w:type="pct"/>
            <w:vAlign w:val="center"/>
          </w:tcPr>
          <w:p w14:paraId="2E921C97" w14:textId="77777777" w:rsidR="0036027D" w:rsidRPr="00C0009F" w:rsidRDefault="0036027D" w:rsidP="0052574D">
            <w:pPr>
              <w:adjustRightInd w:val="0"/>
              <w:snapToGrid w:val="0"/>
              <w:spacing w:line="360" w:lineRule="auto"/>
              <w:jc w:val="both"/>
              <w:rPr>
                <w:rFonts w:ascii="Book Antiqua" w:hAnsi="Book Antiqua"/>
                <w:lang w:val="en-US"/>
              </w:rPr>
            </w:pPr>
            <w:r w:rsidRPr="00C0009F">
              <w:rPr>
                <w:rFonts w:ascii="Book Antiqua" w:hAnsi="Book Antiqua"/>
                <w:lang w:val="en-US"/>
              </w:rPr>
              <w:t>Kinami</w:t>
            </w:r>
            <w:r w:rsidRPr="00C0009F">
              <w:rPr>
                <w:rFonts w:ascii="Book Antiqua" w:hAnsi="Book Antiqua"/>
                <w:i/>
                <w:lang w:val="en-US" w:eastAsia="zh-CN"/>
              </w:rPr>
              <w:t xml:space="preserve"> et al</w:t>
            </w:r>
            <w:r w:rsidRPr="00C0009F">
              <w:rPr>
                <w:rFonts w:ascii="Book Antiqua" w:hAnsi="Book Antiqua"/>
                <w:vertAlign w:val="superscript"/>
                <w:lang w:val="en-US" w:eastAsia="zh-CN"/>
              </w:rPr>
              <w:t>[82]</w:t>
            </w:r>
            <w:r w:rsidRPr="00C0009F">
              <w:rPr>
                <w:rFonts w:ascii="Book Antiqua" w:hAnsi="Book Antiqua"/>
                <w:lang w:val="en-US" w:eastAsia="zh-CN"/>
              </w:rPr>
              <w:t>, 2015</w:t>
            </w:r>
          </w:p>
        </w:tc>
        <w:tc>
          <w:tcPr>
            <w:tcW w:w="455" w:type="pct"/>
            <w:vAlign w:val="center"/>
          </w:tcPr>
          <w:p w14:paraId="365F94F0" w14:textId="77777777" w:rsidR="0036027D" w:rsidRPr="00C0009F" w:rsidRDefault="0036027D" w:rsidP="0052574D">
            <w:pPr>
              <w:adjustRightInd w:val="0"/>
              <w:snapToGrid w:val="0"/>
              <w:spacing w:line="360" w:lineRule="auto"/>
              <w:jc w:val="both"/>
              <w:rPr>
                <w:rFonts w:ascii="Book Antiqua" w:hAnsi="Book Antiqua"/>
                <w:lang w:val="en-US"/>
              </w:rPr>
            </w:pPr>
            <w:r w:rsidRPr="00C0009F">
              <w:rPr>
                <w:rFonts w:ascii="Book Antiqua" w:hAnsi="Book Antiqua"/>
                <w:lang w:val="en-US"/>
              </w:rPr>
              <w:t>72</w:t>
            </w:r>
          </w:p>
        </w:tc>
        <w:tc>
          <w:tcPr>
            <w:tcW w:w="626" w:type="pct"/>
            <w:vAlign w:val="center"/>
          </w:tcPr>
          <w:p w14:paraId="0BE18AFD" w14:textId="77777777" w:rsidR="0036027D" w:rsidRPr="00C0009F" w:rsidRDefault="0036027D" w:rsidP="0052574D">
            <w:pPr>
              <w:adjustRightInd w:val="0"/>
              <w:snapToGrid w:val="0"/>
              <w:spacing w:line="360" w:lineRule="auto"/>
              <w:jc w:val="both"/>
              <w:rPr>
                <w:rFonts w:ascii="Book Antiqua" w:hAnsi="Book Antiqua"/>
                <w:lang w:val="en-US"/>
              </w:rPr>
            </w:pPr>
          </w:p>
        </w:tc>
        <w:tc>
          <w:tcPr>
            <w:tcW w:w="682" w:type="pct"/>
            <w:vAlign w:val="center"/>
          </w:tcPr>
          <w:p w14:paraId="669DD08B" w14:textId="77777777" w:rsidR="0036027D" w:rsidRPr="00C0009F" w:rsidRDefault="0036027D" w:rsidP="0052574D">
            <w:pPr>
              <w:adjustRightInd w:val="0"/>
              <w:snapToGrid w:val="0"/>
              <w:spacing w:line="360" w:lineRule="auto"/>
              <w:jc w:val="both"/>
              <w:rPr>
                <w:rFonts w:ascii="Book Antiqua" w:hAnsi="Book Antiqua"/>
                <w:lang w:val="en-US"/>
              </w:rPr>
            </w:pPr>
            <w:r w:rsidRPr="00C0009F">
              <w:rPr>
                <w:rFonts w:ascii="Book Antiqua" w:hAnsi="Book Antiqua"/>
                <w:lang w:val="en-US"/>
              </w:rPr>
              <w:t>90%</w:t>
            </w:r>
          </w:p>
        </w:tc>
        <w:tc>
          <w:tcPr>
            <w:tcW w:w="568" w:type="pct"/>
            <w:vAlign w:val="center"/>
          </w:tcPr>
          <w:p w14:paraId="4F564D05" w14:textId="77777777" w:rsidR="0036027D" w:rsidRPr="00C0009F" w:rsidRDefault="0036027D" w:rsidP="00381213">
            <w:pPr>
              <w:adjustRightInd w:val="0"/>
              <w:snapToGrid w:val="0"/>
              <w:spacing w:line="360" w:lineRule="auto"/>
              <w:jc w:val="both"/>
              <w:rPr>
                <w:rFonts w:ascii="Book Antiqua" w:hAnsi="Book Antiqua"/>
                <w:lang w:val="en-US" w:eastAsia="zh-CN"/>
              </w:rPr>
            </w:pPr>
            <w:r w:rsidRPr="00C0009F">
              <w:rPr>
                <w:rFonts w:ascii="Book Antiqua" w:hAnsi="Book Antiqua"/>
                <w:lang w:val="en-US"/>
              </w:rPr>
              <w:t>98%</w:t>
            </w:r>
            <w:r w:rsidR="00381213" w:rsidRPr="00C0009F">
              <w:rPr>
                <w:rFonts w:ascii="Book Antiqua" w:hAnsi="Book Antiqua"/>
                <w:vertAlign w:val="superscript"/>
                <w:lang w:val="en-US" w:eastAsia="zh-CN"/>
              </w:rPr>
              <w:t>1</w:t>
            </w:r>
          </w:p>
        </w:tc>
        <w:tc>
          <w:tcPr>
            <w:tcW w:w="1943" w:type="pct"/>
            <w:vAlign w:val="center"/>
          </w:tcPr>
          <w:p w14:paraId="3CD5A191" w14:textId="77777777" w:rsidR="0036027D" w:rsidRPr="00C0009F" w:rsidRDefault="0036027D" w:rsidP="0052574D">
            <w:pPr>
              <w:adjustRightInd w:val="0"/>
              <w:snapToGrid w:val="0"/>
              <w:spacing w:line="360" w:lineRule="auto"/>
              <w:jc w:val="both"/>
              <w:rPr>
                <w:rFonts w:ascii="Book Antiqua" w:hAnsi="Book Antiqua"/>
                <w:lang w:val="en-US"/>
              </w:rPr>
            </w:pPr>
            <w:r w:rsidRPr="00C0009F">
              <w:rPr>
                <w:rFonts w:ascii="Book Antiqua" w:hAnsi="Book Antiqua"/>
                <w:lang w:val="en-US"/>
              </w:rPr>
              <w:t>FN: 1.3%</w:t>
            </w:r>
          </w:p>
        </w:tc>
      </w:tr>
      <w:tr w:rsidR="00DA2E21" w:rsidRPr="001D5732" w14:paraId="28B861DA" w14:textId="77777777" w:rsidTr="00CA7E3D">
        <w:trPr>
          <w:trHeight w:val="553"/>
        </w:trPr>
        <w:tc>
          <w:tcPr>
            <w:tcW w:w="726" w:type="pct"/>
            <w:vAlign w:val="center"/>
          </w:tcPr>
          <w:p w14:paraId="32DF0B06" w14:textId="77777777" w:rsidR="0036027D" w:rsidRPr="00C0009F" w:rsidRDefault="0036027D" w:rsidP="0052574D">
            <w:pPr>
              <w:adjustRightInd w:val="0"/>
              <w:snapToGrid w:val="0"/>
              <w:spacing w:line="360" w:lineRule="auto"/>
              <w:jc w:val="both"/>
              <w:rPr>
                <w:rFonts w:ascii="Book Antiqua" w:hAnsi="Book Antiqua"/>
                <w:lang w:val="en-US"/>
              </w:rPr>
            </w:pPr>
            <w:r w:rsidRPr="00C0009F">
              <w:rPr>
                <w:rFonts w:ascii="Book Antiqua" w:hAnsi="Book Antiqua"/>
                <w:lang w:val="en-US"/>
              </w:rPr>
              <w:t>Tummers</w:t>
            </w:r>
            <w:r w:rsidRPr="00C0009F">
              <w:rPr>
                <w:rFonts w:ascii="Book Antiqua" w:hAnsi="Book Antiqua"/>
                <w:i/>
                <w:lang w:val="en-US" w:eastAsia="zh-CN"/>
              </w:rPr>
              <w:t xml:space="preserve"> et al</w:t>
            </w:r>
            <w:r w:rsidRPr="00C0009F">
              <w:rPr>
                <w:rFonts w:ascii="Book Antiqua" w:hAnsi="Book Antiqua"/>
                <w:vertAlign w:val="superscript"/>
                <w:lang w:val="en-US" w:eastAsia="zh-CN"/>
              </w:rPr>
              <w:t>[79]</w:t>
            </w:r>
            <w:r w:rsidRPr="00C0009F">
              <w:rPr>
                <w:rFonts w:ascii="Book Antiqua" w:hAnsi="Book Antiqua"/>
                <w:lang w:val="en-US" w:eastAsia="zh-CN"/>
              </w:rPr>
              <w:t>, 2016</w:t>
            </w:r>
          </w:p>
        </w:tc>
        <w:tc>
          <w:tcPr>
            <w:tcW w:w="455" w:type="pct"/>
            <w:vAlign w:val="center"/>
          </w:tcPr>
          <w:p w14:paraId="31B6B13C" w14:textId="77777777" w:rsidR="0036027D" w:rsidRPr="00C0009F" w:rsidRDefault="0036027D" w:rsidP="0052574D">
            <w:pPr>
              <w:adjustRightInd w:val="0"/>
              <w:snapToGrid w:val="0"/>
              <w:spacing w:line="360" w:lineRule="auto"/>
              <w:jc w:val="both"/>
              <w:rPr>
                <w:rFonts w:ascii="Book Antiqua" w:hAnsi="Book Antiqua"/>
                <w:lang w:val="en-US"/>
              </w:rPr>
            </w:pPr>
            <w:r w:rsidRPr="00C0009F">
              <w:rPr>
                <w:rFonts w:ascii="Book Antiqua" w:hAnsi="Book Antiqua"/>
                <w:lang w:val="en-US"/>
              </w:rPr>
              <w:t>26</w:t>
            </w:r>
          </w:p>
        </w:tc>
        <w:tc>
          <w:tcPr>
            <w:tcW w:w="626" w:type="pct"/>
            <w:vAlign w:val="center"/>
          </w:tcPr>
          <w:p w14:paraId="48BA0C49" w14:textId="77777777" w:rsidR="0036027D" w:rsidRPr="00C0009F" w:rsidRDefault="0036027D" w:rsidP="0052574D">
            <w:pPr>
              <w:adjustRightInd w:val="0"/>
              <w:snapToGrid w:val="0"/>
              <w:spacing w:line="360" w:lineRule="auto"/>
              <w:jc w:val="both"/>
              <w:rPr>
                <w:rFonts w:ascii="Book Antiqua" w:hAnsi="Book Antiqua"/>
                <w:lang w:val="en-US"/>
              </w:rPr>
            </w:pPr>
            <w:r w:rsidRPr="00C0009F">
              <w:rPr>
                <w:rFonts w:ascii="Book Antiqua" w:hAnsi="Book Antiqua"/>
                <w:lang w:val="en-US"/>
              </w:rPr>
              <w:t>95%</w:t>
            </w:r>
          </w:p>
        </w:tc>
        <w:tc>
          <w:tcPr>
            <w:tcW w:w="682" w:type="pct"/>
            <w:vAlign w:val="center"/>
          </w:tcPr>
          <w:p w14:paraId="24761CEB" w14:textId="77777777" w:rsidR="0036027D" w:rsidRPr="00C0009F" w:rsidRDefault="0036027D" w:rsidP="0052574D">
            <w:pPr>
              <w:adjustRightInd w:val="0"/>
              <w:snapToGrid w:val="0"/>
              <w:spacing w:line="360" w:lineRule="auto"/>
              <w:jc w:val="both"/>
              <w:rPr>
                <w:rFonts w:ascii="Book Antiqua" w:hAnsi="Book Antiqua"/>
                <w:lang w:val="en-US"/>
              </w:rPr>
            </w:pPr>
            <w:r w:rsidRPr="00C0009F">
              <w:rPr>
                <w:rFonts w:ascii="Book Antiqua" w:hAnsi="Book Antiqua"/>
                <w:lang w:val="en-US"/>
              </w:rPr>
              <w:t>75%</w:t>
            </w:r>
          </w:p>
        </w:tc>
        <w:tc>
          <w:tcPr>
            <w:tcW w:w="568" w:type="pct"/>
            <w:vAlign w:val="center"/>
          </w:tcPr>
          <w:p w14:paraId="62403963" w14:textId="77777777" w:rsidR="0036027D" w:rsidRPr="00C0009F" w:rsidRDefault="0036027D" w:rsidP="0052574D">
            <w:pPr>
              <w:adjustRightInd w:val="0"/>
              <w:snapToGrid w:val="0"/>
              <w:spacing w:line="360" w:lineRule="auto"/>
              <w:jc w:val="both"/>
              <w:rPr>
                <w:rFonts w:ascii="Book Antiqua" w:hAnsi="Book Antiqua"/>
                <w:lang w:val="en-US"/>
              </w:rPr>
            </w:pPr>
            <w:r w:rsidRPr="00C0009F">
              <w:rPr>
                <w:rFonts w:ascii="Book Antiqua" w:hAnsi="Book Antiqua"/>
                <w:lang w:val="en-US"/>
              </w:rPr>
              <w:t>88.9%</w:t>
            </w:r>
          </w:p>
        </w:tc>
        <w:tc>
          <w:tcPr>
            <w:tcW w:w="1943" w:type="pct"/>
            <w:vAlign w:val="center"/>
          </w:tcPr>
          <w:p w14:paraId="54E678E2" w14:textId="77777777" w:rsidR="0036027D" w:rsidRPr="00533FEF" w:rsidRDefault="0036027D" w:rsidP="0052574D">
            <w:pPr>
              <w:adjustRightInd w:val="0"/>
              <w:snapToGrid w:val="0"/>
              <w:spacing w:line="360" w:lineRule="auto"/>
              <w:jc w:val="both"/>
              <w:rPr>
                <w:rFonts w:ascii="Book Antiqua" w:hAnsi="Book Antiqua"/>
                <w:lang w:val="en-US"/>
              </w:rPr>
            </w:pPr>
            <w:r w:rsidRPr="001D5732">
              <w:rPr>
                <w:rFonts w:ascii="Book Antiqua" w:hAnsi="Book Antiqua"/>
                <w:lang w:val="en-US"/>
              </w:rPr>
              <w:t>Reduces second-tier nodes using nanocolloids</w:t>
            </w:r>
          </w:p>
        </w:tc>
      </w:tr>
      <w:tr w:rsidR="00DA2E21" w:rsidRPr="001D5732" w14:paraId="36DC8BCC" w14:textId="77777777" w:rsidTr="00CA7E3D">
        <w:trPr>
          <w:trHeight w:val="351"/>
        </w:trPr>
        <w:tc>
          <w:tcPr>
            <w:tcW w:w="726" w:type="pct"/>
            <w:vAlign w:val="center"/>
          </w:tcPr>
          <w:p w14:paraId="448EA350" w14:textId="77777777" w:rsidR="0036027D" w:rsidRPr="00C0009F" w:rsidRDefault="0036027D" w:rsidP="0052574D">
            <w:pPr>
              <w:adjustRightInd w:val="0"/>
              <w:snapToGrid w:val="0"/>
              <w:spacing w:line="360" w:lineRule="auto"/>
              <w:jc w:val="both"/>
              <w:rPr>
                <w:rFonts w:ascii="Book Antiqua" w:hAnsi="Book Antiqua"/>
                <w:lang w:val="en-US"/>
              </w:rPr>
            </w:pPr>
            <w:r w:rsidRPr="00C0009F">
              <w:rPr>
                <w:rFonts w:ascii="Book Antiqua" w:hAnsi="Book Antiqua"/>
                <w:lang w:val="en-US"/>
              </w:rPr>
              <w:t>Lee</w:t>
            </w:r>
            <w:r w:rsidRPr="00C0009F">
              <w:rPr>
                <w:rFonts w:ascii="Book Antiqua" w:hAnsi="Book Antiqua"/>
                <w:i/>
                <w:lang w:val="en-US" w:eastAsia="zh-CN"/>
              </w:rPr>
              <w:t xml:space="preserve"> et al</w:t>
            </w:r>
            <w:r w:rsidRPr="00C0009F">
              <w:rPr>
                <w:rFonts w:ascii="Book Antiqua" w:hAnsi="Book Antiqua"/>
                <w:vertAlign w:val="superscript"/>
                <w:lang w:val="en-US" w:eastAsia="zh-CN"/>
              </w:rPr>
              <w:t>[83]</w:t>
            </w:r>
            <w:r w:rsidRPr="00C0009F">
              <w:rPr>
                <w:rFonts w:ascii="Book Antiqua" w:hAnsi="Book Antiqua"/>
                <w:lang w:val="en-US" w:eastAsia="zh-CN"/>
              </w:rPr>
              <w:t>, 2016</w:t>
            </w:r>
          </w:p>
        </w:tc>
        <w:tc>
          <w:tcPr>
            <w:tcW w:w="455" w:type="pct"/>
            <w:vAlign w:val="center"/>
          </w:tcPr>
          <w:p w14:paraId="2F1C19F7" w14:textId="77777777" w:rsidR="0036027D" w:rsidRPr="00C0009F" w:rsidRDefault="0036027D" w:rsidP="0052574D">
            <w:pPr>
              <w:adjustRightInd w:val="0"/>
              <w:snapToGrid w:val="0"/>
              <w:spacing w:line="360" w:lineRule="auto"/>
              <w:jc w:val="both"/>
              <w:rPr>
                <w:rFonts w:ascii="Book Antiqua" w:hAnsi="Book Antiqua"/>
                <w:lang w:val="en-US"/>
              </w:rPr>
            </w:pPr>
            <w:r w:rsidRPr="00C0009F">
              <w:rPr>
                <w:rFonts w:ascii="Book Antiqua" w:hAnsi="Book Antiqua"/>
                <w:lang w:val="en-US"/>
              </w:rPr>
              <w:t>20</w:t>
            </w:r>
          </w:p>
        </w:tc>
        <w:tc>
          <w:tcPr>
            <w:tcW w:w="626" w:type="pct"/>
            <w:vAlign w:val="center"/>
          </w:tcPr>
          <w:p w14:paraId="641CF3C4" w14:textId="77777777" w:rsidR="0036027D" w:rsidRPr="00C0009F" w:rsidRDefault="0036027D" w:rsidP="0052574D">
            <w:pPr>
              <w:adjustRightInd w:val="0"/>
              <w:snapToGrid w:val="0"/>
              <w:spacing w:line="360" w:lineRule="auto"/>
              <w:jc w:val="both"/>
              <w:rPr>
                <w:rFonts w:ascii="Book Antiqua" w:hAnsi="Book Antiqua"/>
                <w:lang w:val="en-US"/>
              </w:rPr>
            </w:pPr>
            <w:r w:rsidRPr="00C0009F">
              <w:rPr>
                <w:rFonts w:ascii="Book Antiqua" w:hAnsi="Book Antiqua"/>
                <w:lang w:val="en-US"/>
              </w:rPr>
              <w:t>95%</w:t>
            </w:r>
          </w:p>
        </w:tc>
        <w:tc>
          <w:tcPr>
            <w:tcW w:w="682" w:type="pct"/>
            <w:vAlign w:val="center"/>
          </w:tcPr>
          <w:p w14:paraId="45C09AA4" w14:textId="77777777" w:rsidR="0036027D" w:rsidRPr="00C0009F" w:rsidRDefault="0036027D" w:rsidP="0052574D">
            <w:pPr>
              <w:adjustRightInd w:val="0"/>
              <w:snapToGrid w:val="0"/>
              <w:spacing w:line="360" w:lineRule="auto"/>
              <w:jc w:val="both"/>
              <w:rPr>
                <w:rFonts w:ascii="Book Antiqua" w:hAnsi="Book Antiqua"/>
                <w:lang w:val="en-US"/>
              </w:rPr>
            </w:pPr>
            <w:r w:rsidRPr="00C0009F">
              <w:rPr>
                <w:rFonts w:ascii="Book Antiqua" w:hAnsi="Book Antiqua"/>
                <w:lang w:val="en-US"/>
              </w:rPr>
              <w:t>100%</w:t>
            </w:r>
          </w:p>
        </w:tc>
        <w:tc>
          <w:tcPr>
            <w:tcW w:w="568" w:type="pct"/>
            <w:vAlign w:val="center"/>
          </w:tcPr>
          <w:p w14:paraId="08F969C3" w14:textId="77777777" w:rsidR="0036027D" w:rsidRPr="00C0009F" w:rsidRDefault="0036027D" w:rsidP="0052574D">
            <w:pPr>
              <w:adjustRightInd w:val="0"/>
              <w:snapToGrid w:val="0"/>
              <w:spacing w:line="360" w:lineRule="auto"/>
              <w:jc w:val="both"/>
              <w:rPr>
                <w:rFonts w:ascii="Book Antiqua" w:hAnsi="Book Antiqua"/>
                <w:lang w:val="en-US"/>
              </w:rPr>
            </w:pPr>
            <w:r w:rsidRPr="00C0009F">
              <w:rPr>
                <w:rFonts w:ascii="Book Antiqua" w:hAnsi="Book Antiqua"/>
                <w:lang w:val="en-US"/>
              </w:rPr>
              <w:t>94.4%</w:t>
            </w:r>
          </w:p>
        </w:tc>
        <w:tc>
          <w:tcPr>
            <w:tcW w:w="1943" w:type="pct"/>
            <w:vAlign w:val="center"/>
          </w:tcPr>
          <w:p w14:paraId="635B0BB2" w14:textId="77777777" w:rsidR="0036027D" w:rsidRPr="00C0009F" w:rsidRDefault="0036027D" w:rsidP="0052574D">
            <w:pPr>
              <w:adjustRightInd w:val="0"/>
              <w:snapToGrid w:val="0"/>
              <w:spacing w:line="360" w:lineRule="auto"/>
              <w:jc w:val="both"/>
              <w:rPr>
                <w:rFonts w:ascii="Book Antiqua" w:hAnsi="Book Antiqua"/>
                <w:lang w:val="en-US"/>
              </w:rPr>
            </w:pPr>
            <w:r w:rsidRPr="00C0009F">
              <w:rPr>
                <w:rFonts w:ascii="Book Antiqua" w:hAnsi="Book Antiqua"/>
                <w:lang w:val="en-US"/>
              </w:rPr>
              <w:t>FN: 0%</w:t>
            </w:r>
          </w:p>
        </w:tc>
      </w:tr>
      <w:tr w:rsidR="00DA2E21" w:rsidRPr="001D5732" w14:paraId="71DEAD87" w14:textId="77777777" w:rsidTr="00CA7E3D">
        <w:trPr>
          <w:trHeight w:val="351"/>
        </w:trPr>
        <w:tc>
          <w:tcPr>
            <w:tcW w:w="726" w:type="pct"/>
            <w:vAlign w:val="center"/>
          </w:tcPr>
          <w:p w14:paraId="45EBECAC" w14:textId="77777777" w:rsidR="0036027D" w:rsidRPr="00C0009F" w:rsidRDefault="0036027D" w:rsidP="0052574D">
            <w:pPr>
              <w:adjustRightInd w:val="0"/>
              <w:snapToGrid w:val="0"/>
              <w:spacing w:line="360" w:lineRule="auto"/>
              <w:jc w:val="both"/>
              <w:rPr>
                <w:rFonts w:ascii="Book Antiqua" w:hAnsi="Book Antiqua"/>
                <w:lang w:val="en-US"/>
              </w:rPr>
            </w:pPr>
            <w:r w:rsidRPr="00C0009F">
              <w:rPr>
                <w:rFonts w:ascii="Book Antiqua" w:hAnsi="Book Antiqua"/>
                <w:lang w:val="en-US"/>
              </w:rPr>
              <w:t>Villegas-To</w:t>
            </w:r>
            <w:r w:rsidRPr="00C0009F">
              <w:rPr>
                <w:rFonts w:ascii="Book Antiqua" w:hAnsi="Book Antiqua"/>
                <w:lang w:val="en-US" w:eastAsia="zh-CN"/>
              </w:rPr>
              <w:t>v</w:t>
            </w:r>
            <w:r w:rsidRPr="00C0009F">
              <w:rPr>
                <w:rFonts w:ascii="Book Antiqua" w:hAnsi="Book Antiqua"/>
                <w:lang w:val="en-US"/>
              </w:rPr>
              <w:t>ar</w:t>
            </w:r>
            <w:r w:rsidRPr="00C0009F">
              <w:rPr>
                <w:rFonts w:ascii="Book Antiqua" w:hAnsi="Book Antiqua"/>
                <w:i/>
                <w:lang w:val="en-US" w:eastAsia="zh-CN"/>
              </w:rPr>
              <w:t xml:space="preserve"> </w:t>
            </w:r>
            <w:bookmarkStart w:id="77" w:name="OLE_LINK35"/>
            <w:bookmarkStart w:id="78" w:name="OLE_LINK36"/>
            <w:bookmarkStart w:id="79" w:name="OLE_LINK37"/>
            <w:bookmarkStart w:id="80" w:name="OLE_LINK38"/>
            <w:r w:rsidRPr="00C0009F">
              <w:rPr>
                <w:rFonts w:ascii="Book Antiqua" w:hAnsi="Book Antiqua"/>
                <w:i/>
                <w:lang w:val="en-US" w:eastAsia="zh-CN"/>
              </w:rPr>
              <w:t>et al</w:t>
            </w:r>
            <w:r w:rsidRPr="00C0009F">
              <w:rPr>
                <w:rFonts w:ascii="Book Antiqua" w:hAnsi="Book Antiqua"/>
                <w:vertAlign w:val="superscript"/>
                <w:lang w:val="en-US" w:eastAsia="zh-CN"/>
              </w:rPr>
              <w:t>[57]</w:t>
            </w:r>
            <w:r w:rsidRPr="00C0009F">
              <w:rPr>
                <w:rFonts w:ascii="Book Antiqua" w:hAnsi="Book Antiqua"/>
                <w:lang w:val="en-US" w:eastAsia="zh-CN"/>
              </w:rPr>
              <w:t>, 2020</w:t>
            </w:r>
            <w:bookmarkEnd w:id="77"/>
            <w:bookmarkEnd w:id="78"/>
            <w:bookmarkEnd w:id="79"/>
            <w:bookmarkEnd w:id="80"/>
          </w:p>
        </w:tc>
        <w:tc>
          <w:tcPr>
            <w:tcW w:w="455" w:type="pct"/>
            <w:vAlign w:val="center"/>
          </w:tcPr>
          <w:p w14:paraId="06E35AFA" w14:textId="77777777" w:rsidR="0036027D" w:rsidRPr="00C0009F" w:rsidRDefault="0036027D" w:rsidP="0052574D">
            <w:pPr>
              <w:adjustRightInd w:val="0"/>
              <w:snapToGrid w:val="0"/>
              <w:spacing w:line="360" w:lineRule="auto"/>
              <w:jc w:val="both"/>
              <w:rPr>
                <w:rFonts w:ascii="Book Antiqua" w:hAnsi="Book Antiqua"/>
                <w:lang w:val="en-US"/>
              </w:rPr>
            </w:pPr>
            <w:r w:rsidRPr="00C0009F">
              <w:rPr>
                <w:rFonts w:ascii="Book Antiqua" w:hAnsi="Book Antiqua"/>
                <w:lang w:val="en-US"/>
              </w:rPr>
              <w:t>281</w:t>
            </w:r>
          </w:p>
        </w:tc>
        <w:tc>
          <w:tcPr>
            <w:tcW w:w="626" w:type="pct"/>
            <w:vAlign w:val="center"/>
          </w:tcPr>
          <w:p w14:paraId="5B25F027" w14:textId="77777777" w:rsidR="0036027D" w:rsidRPr="00C0009F" w:rsidRDefault="0036027D" w:rsidP="0052574D">
            <w:pPr>
              <w:adjustRightInd w:val="0"/>
              <w:snapToGrid w:val="0"/>
              <w:spacing w:line="360" w:lineRule="auto"/>
              <w:jc w:val="both"/>
              <w:rPr>
                <w:rFonts w:ascii="Book Antiqua" w:hAnsi="Book Antiqua"/>
                <w:lang w:val="en-US"/>
              </w:rPr>
            </w:pPr>
            <w:r w:rsidRPr="00C0009F">
              <w:rPr>
                <w:rFonts w:ascii="Book Antiqua" w:hAnsi="Book Antiqua"/>
                <w:lang w:val="en-US"/>
              </w:rPr>
              <w:t>91%</w:t>
            </w:r>
          </w:p>
        </w:tc>
        <w:tc>
          <w:tcPr>
            <w:tcW w:w="682" w:type="pct"/>
            <w:vAlign w:val="center"/>
          </w:tcPr>
          <w:p w14:paraId="597ADF02" w14:textId="77777777" w:rsidR="0036027D" w:rsidRPr="00C0009F" w:rsidRDefault="0036027D" w:rsidP="0052574D">
            <w:pPr>
              <w:adjustRightInd w:val="0"/>
              <w:snapToGrid w:val="0"/>
              <w:spacing w:line="360" w:lineRule="auto"/>
              <w:jc w:val="both"/>
              <w:rPr>
                <w:rFonts w:ascii="Book Antiqua" w:hAnsi="Book Antiqua"/>
                <w:lang w:val="en-US"/>
              </w:rPr>
            </w:pPr>
            <w:r w:rsidRPr="00C0009F">
              <w:rPr>
                <w:rFonts w:ascii="Book Antiqua" w:hAnsi="Book Antiqua"/>
                <w:lang w:val="en-US"/>
              </w:rPr>
              <w:t>64.3%</w:t>
            </w:r>
          </w:p>
        </w:tc>
        <w:tc>
          <w:tcPr>
            <w:tcW w:w="568" w:type="pct"/>
            <w:vAlign w:val="center"/>
          </w:tcPr>
          <w:p w14:paraId="59CA3D92" w14:textId="77777777" w:rsidR="0036027D" w:rsidRPr="00C0009F" w:rsidRDefault="0036027D" w:rsidP="0052574D">
            <w:pPr>
              <w:adjustRightInd w:val="0"/>
              <w:snapToGrid w:val="0"/>
              <w:spacing w:line="360" w:lineRule="auto"/>
              <w:jc w:val="both"/>
              <w:rPr>
                <w:rFonts w:ascii="Book Antiqua" w:hAnsi="Book Antiqua"/>
                <w:lang w:val="en-US"/>
              </w:rPr>
            </w:pPr>
            <w:r w:rsidRPr="00C0009F">
              <w:rPr>
                <w:rFonts w:ascii="Book Antiqua" w:hAnsi="Book Antiqua"/>
                <w:lang w:val="en-US"/>
              </w:rPr>
              <w:t>65%</w:t>
            </w:r>
          </w:p>
        </w:tc>
        <w:tc>
          <w:tcPr>
            <w:tcW w:w="1943" w:type="pct"/>
            <w:vAlign w:val="center"/>
          </w:tcPr>
          <w:p w14:paraId="3EA8EED1" w14:textId="77777777" w:rsidR="0036027D" w:rsidRPr="00C0009F" w:rsidRDefault="0036027D" w:rsidP="0052574D">
            <w:pPr>
              <w:adjustRightInd w:val="0"/>
              <w:snapToGrid w:val="0"/>
              <w:spacing w:line="360" w:lineRule="auto"/>
              <w:jc w:val="both"/>
              <w:rPr>
                <w:rFonts w:ascii="Book Antiqua" w:hAnsi="Book Antiqua"/>
                <w:lang w:val="en-US"/>
              </w:rPr>
            </w:pPr>
            <w:r w:rsidRPr="00C0009F">
              <w:rPr>
                <w:rFonts w:ascii="Book Antiqua" w:hAnsi="Book Antiqua"/>
                <w:lang w:val="en-US"/>
              </w:rPr>
              <w:t>AUC: 66.5%</w:t>
            </w:r>
          </w:p>
        </w:tc>
      </w:tr>
    </w:tbl>
    <w:p w14:paraId="06B3F993" w14:textId="438A6DEA" w:rsidR="0052574D" w:rsidRPr="00C0009F" w:rsidRDefault="00CA7E3D" w:rsidP="0052574D">
      <w:pPr>
        <w:adjustRightInd w:val="0"/>
        <w:snapToGrid w:val="0"/>
        <w:spacing w:line="360" w:lineRule="auto"/>
        <w:jc w:val="both"/>
        <w:rPr>
          <w:rFonts w:ascii="Book Antiqua" w:hAnsi="Book Antiqua"/>
        </w:rPr>
      </w:pPr>
      <w:r w:rsidRPr="00C0009F">
        <w:rPr>
          <w:rFonts w:ascii="Book Antiqua" w:hAnsi="Book Antiqua"/>
          <w:vertAlign w:val="superscript"/>
          <w:lang w:eastAsia="zh-CN"/>
        </w:rPr>
        <w:lastRenderedPageBreak/>
        <w:t>1</w:t>
      </w:r>
      <w:r w:rsidRPr="00C0009F">
        <w:rPr>
          <w:rFonts w:ascii="Book Antiqua" w:hAnsi="Book Antiqua"/>
          <w:lang w:eastAsia="zh-CN"/>
        </w:rPr>
        <w:t>C</w:t>
      </w:r>
      <w:r w:rsidRPr="00C0009F">
        <w:rPr>
          <w:rFonts w:ascii="Book Antiqua" w:hAnsi="Book Antiqua"/>
        </w:rPr>
        <w:t xml:space="preserve">alculated using the data provided at the papers. </w:t>
      </w:r>
      <w:r w:rsidR="000B5B83" w:rsidRPr="00C0009F">
        <w:rPr>
          <w:rFonts w:ascii="Book Antiqua" w:hAnsi="Book Antiqua"/>
        </w:rPr>
        <w:t>AUC</w:t>
      </w:r>
      <w:r w:rsidR="000B5B83" w:rsidRPr="00C0009F">
        <w:rPr>
          <w:rFonts w:ascii="Book Antiqua" w:hAnsi="Book Antiqua"/>
          <w:lang w:eastAsia="zh-CN"/>
        </w:rPr>
        <w:t>:</w:t>
      </w:r>
      <w:r w:rsidR="000B5B83" w:rsidRPr="00C0009F">
        <w:rPr>
          <w:rFonts w:ascii="Book Antiqua" w:hAnsi="Book Antiqua"/>
        </w:rPr>
        <w:t xml:space="preserve"> </w:t>
      </w:r>
      <w:r w:rsidR="000B5B83" w:rsidRPr="00C0009F">
        <w:rPr>
          <w:rFonts w:ascii="Book Antiqua" w:hAnsi="Book Antiqua"/>
          <w:lang w:eastAsia="zh-CN"/>
        </w:rPr>
        <w:t>A</w:t>
      </w:r>
      <w:r w:rsidR="000B5B83" w:rsidRPr="00C0009F">
        <w:rPr>
          <w:rFonts w:ascii="Book Antiqua" w:hAnsi="Book Antiqua"/>
        </w:rPr>
        <w:t xml:space="preserve">rea under the curve; </w:t>
      </w:r>
      <w:r w:rsidR="0052574D" w:rsidRPr="001D5732">
        <w:rPr>
          <w:rFonts w:ascii="Book Antiqua" w:hAnsi="Book Antiqua"/>
        </w:rPr>
        <w:t>CRC</w:t>
      </w:r>
      <w:r w:rsidR="001C3DF9" w:rsidRPr="001D5732">
        <w:rPr>
          <w:rFonts w:ascii="Book Antiqua" w:hAnsi="Book Antiqua"/>
          <w:lang w:eastAsia="zh-CN"/>
        </w:rPr>
        <w:t>:</w:t>
      </w:r>
      <w:r w:rsidR="001C3DF9" w:rsidRPr="001D5732">
        <w:rPr>
          <w:rFonts w:ascii="Book Antiqua" w:hAnsi="Book Antiqua"/>
        </w:rPr>
        <w:t xml:space="preserve"> </w:t>
      </w:r>
      <w:r w:rsidR="001C3DF9" w:rsidRPr="001D5732">
        <w:rPr>
          <w:rFonts w:ascii="Book Antiqua" w:hAnsi="Book Antiqua"/>
          <w:lang w:eastAsia="zh-CN"/>
        </w:rPr>
        <w:t>C</w:t>
      </w:r>
      <w:r w:rsidR="0052574D" w:rsidRPr="001D5732">
        <w:rPr>
          <w:rFonts w:ascii="Book Antiqua" w:hAnsi="Book Antiqua"/>
        </w:rPr>
        <w:t xml:space="preserve">olorectal cancer; </w:t>
      </w:r>
      <w:r w:rsidR="000B5B83" w:rsidRPr="001D5732">
        <w:rPr>
          <w:rFonts w:ascii="Book Antiqua" w:hAnsi="Book Antiqua"/>
        </w:rPr>
        <w:t>FN</w:t>
      </w:r>
      <w:r w:rsidR="000B5B83" w:rsidRPr="001D5732">
        <w:rPr>
          <w:rFonts w:ascii="Book Antiqua" w:hAnsi="Book Antiqua"/>
          <w:lang w:eastAsia="zh-CN"/>
        </w:rPr>
        <w:t>:</w:t>
      </w:r>
      <w:r w:rsidR="000B5B83" w:rsidRPr="001D5732">
        <w:rPr>
          <w:rFonts w:ascii="Book Antiqua" w:hAnsi="Book Antiqua"/>
        </w:rPr>
        <w:t xml:space="preserve"> </w:t>
      </w:r>
      <w:r w:rsidR="000B5B83" w:rsidRPr="001D5732">
        <w:rPr>
          <w:rFonts w:ascii="Book Antiqua" w:hAnsi="Book Antiqua"/>
          <w:lang w:eastAsia="zh-CN"/>
        </w:rPr>
        <w:t>F</w:t>
      </w:r>
      <w:r w:rsidR="000B5B83" w:rsidRPr="001D5732">
        <w:rPr>
          <w:rFonts w:ascii="Book Antiqua" w:hAnsi="Book Antiqua"/>
        </w:rPr>
        <w:t>alse negatives</w:t>
      </w:r>
      <w:r w:rsidR="000B5B83" w:rsidRPr="001D5732">
        <w:rPr>
          <w:rFonts w:ascii="Book Antiqua" w:hAnsi="Book Antiqua"/>
          <w:lang w:eastAsia="zh-CN"/>
        </w:rPr>
        <w:t>;</w:t>
      </w:r>
      <w:r w:rsidR="000B5B83" w:rsidRPr="001D5732">
        <w:rPr>
          <w:rFonts w:ascii="Book Antiqua" w:hAnsi="Book Antiqua"/>
        </w:rPr>
        <w:t xml:space="preserve"> FNR</w:t>
      </w:r>
      <w:r w:rsidR="000B5B83" w:rsidRPr="001D5732">
        <w:rPr>
          <w:rFonts w:ascii="Book Antiqua" w:hAnsi="Book Antiqua"/>
          <w:lang w:eastAsia="zh-CN"/>
        </w:rPr>
        <w:t>:</w:t>
      </w:r>
      <w:r w:rsidR="000B5B83" w:rsidRPr="001D5732">
        <w:rPr>
          <w:rFonts w:ascii="Book Antiqua" w:hAnsi="Book Antiqua"/>
        </w:rPr>
        <w:t xml:space="preserve"> </w:t>
      </w:r>
      <w:r w:rsidR="000B5B83" w:rsidRPr="001D5732">
        <w:rPr>
          <w:rFonts w:ascii="Book Antiqua" w:hAnsi="Book Antiqua"/>
          <w:lang w:eastAsia="zh-CN"/>
        </w:rPr>
        <w:t>F</w:t>
      </w:r>
      <w:r w:rsidR="000B5B83" w:rsidRPr="001D5732">
        <w:rPr>
          <w:rFonts w:ascii="Book Antiqua" w:hAnsi="Book Antiqua"/>
        </w:rPr>
        <w:t xml:space="preserve">alse negative rate; </w:t>
      </w:r>
      <w:r w:rsidR="0052574D" w:rsidRPr="001D5732">
        <w:rPr>
          <w:rFonts w:ascii="Book Antiqua" w:hAnsi="Book Antiqua"/>
        </w:rPr>
        <w:t>GC</w:t>
      </w:r>
      <w:r w:rsidR="001C3DF9" w:rsidRPr="001D5732">
        <w:rPr>
          <w:rFonts w:ascii="Book Antiqua" w:hAnsi="Book Antiqua"/>
          <w:lang w:eastAsia="zh-CN"/>
        </w:rPr>
        <w:t>:</w:t>
      </w:r>
      <w:r w:rsidR="001C3DF9" w:rsidRPr="001D5732">
        <w:rPr>
          <w:rFonts w:ascii="Book Antiqua" w:hAnsi="Book Antiqua"/>
        </w:rPr>
        <w:t xml:space="preserve"> </w:t>
      </w:r>
      <w:r w:rsidR="001C3DF9" w:rsidRPr="001D5732">
        <w:rPr>
          <w:rFonts w:ascii="Book Antiqua" w:hAnsi="Book Antiqua"/>
          <w:lang w:eastAsia="zh-CN"/>
        </w:rPr>
        <w:t>G</w:t>
      </w:r>
      <w:r w:rsidR="0052574D" w:rsidRPr="001D5732">
        <w:rPr>
          <w:rFonts w:ascii="Book Antiqua" w:hAnsi="Book Antiqua"/>
        </w:rPr>
        <w:t xml:space="preserve">astric cancer; </w:t>
      </w:r>
      <w:r w:rsidR="000B5B83" w:rsidRPr="00C0009F">
        <w:rPr>
          <w:rFonts w:ascii="Book Antiqua" w:hAnsi="Book Antiqua"/>
        </w:rPr>
        <w:t>ICH</w:t>
      </w:r>
      <w:r w:rsidR="000B5B83" w:rsidRPr="00C0009F">
        <w:rPr>
          <w:rFonts w:ascii="Book Antiqua" w:hAnsi="Book Antiqua"/>
          <w:lang w:eastAsia="zh-CN"/>
        </w:rPr>
        <w:t>:</w:t>
      </w:r>
      <w:r w:rsidR="000B5B83" w:rsidRPr="00C0009F">
        <w:rPr>
          <w:rFonts w:ascii="Book Antiqua" w:hAnsi="Book Antiqua"/>
        </w:rPr>
        <w:t xml:space="preserve"> </w:t>
      </w:r>
      <w:r w:rsidR="00533FEF" w:rsidRPr="00533FEF">
        <w:rPr>
          <w:rFonts w:ascii="Book Antiqua" w:hAnsi="Book Antiqua"/>
          <w:lang w:eastAsia="zh-CN"/>
        </w:rPr>
        <w:t>I</w:t>
      </w:r>
      <w:r w:rsidR="00533FEF" w:rsidRPr="001D5732">
        <w:rPr>
          <w:rFonts w:ascii="Book Antiqua" w:hAnsi="Book Antiqua"/>
        </w:rPr>
        <w:t>mmunohistochemistry</w:t>
      </w:r>
      <w:r w:rsidR="000B5B83" w:rsidRPr="00C0009F">
        <w:rPr>
          <w:rFonts w:ascii="Book Antiqua" w:hAnsi="Book Antiqua"/>
        </w:rPr>
        <w:t xml:space="preserve">; </w:t>
      </w:r>
      <w:r w:rsidR="000B5B83" w:rsidRPr="001D5732">
        <w:rPr>
          <w:rFonts w:ascii="Book Antiqua" w:hAnsi="Book Antiqua"/>
        </w:rPr>
        <w:t>NPV</w:t>
      </w:r>
      <w:r w:rsidR="000B5B83" w:rsidRPr="00533FEF">
        <w:rPr>
          <w:rFonts w:ascii="Book Antiqua" w:hAnsi="Book Antiqua"/>
          <w:lang w:eastAsia="zh-CN"/>
        </w:rPr>
        <w:t>:</w:t>
      </w:r>
      <w:r w:rsidR="000B5B83" w:rsidRPr="00533FEF">
        <w:rPr>
          <w:rFonts w:ascii="Book Antiqua" w:hAnsi="Book Antiqua"/>
        </w:rPr>
        <w:t xml:space="preserve"> </w:t>
      </w:r>
      <w:r w:rsidR="000B5B83" w:rsidRPr="00533FEF">
        <w:rPr>
          <w:rFonts w:ascii="Book Antiqua" w:hAnsi="Book Antiqua"/>
          <w:lang w:eastAsia="zh-CN"/>
        </w:rPr>
        <w:t>N</w:t>
      </w:r>
      <w:r w:rsidR="000B5B83" w:rsidRPr="00533FEF">
        <w:rPr>
          <w:rFonts w:ascii="Book Antiqua" w:hAnsi="Book Antiqua"/>
        </w:rPr>
        <w:t>egative predictive value; NR</w:t>
      </w:r>
      <w:r w:rsidR="000B5B83" w:rsidRPr="001D5732">
        <w:rPr>
          <w:rFonts w:ascii="Book Antiqua" w:hAnsi="Book Antiqua"/>
          <w:lang w:eastAsia="zh-CN"/>
        </w:rPr>
        <w:t>:</w:t>
      </w:r>
      <w:r w:rsidR="000B5B83" w:rsidRPr="001D5732">
        <w:rPr>
          <w:rFonts w:ascii="Book Antiqua" w:hAnsi="Book Antiqua"/>
        </w:rPr>
        <w:t xml:space="preserve"> </w:t>
      </w:r>
      <w:r w:rsidR="000B5B83" w:rsidRPr="001D5732">
        <w:rPr>
          <w:rFonts w:ascii="Book Antiqua" w:hAnsi="Book Antiqua"/>
          <w:lang w:eastAsia="zh-CN"/>
        </w:rPr>
        <w:t>N</w:t>
      </w:r>
      <w:r w:rsidR="000B5B83" w:rsidRPr="001D5732">
        <w:rPr>
          <w:rFonts w:ascii="Book Antiqua" w:hAnsi="Book Antiqua"/>
        </w:rPr>
        <w:t xml:space="preserve">on reported; </w:t>
      </w:r>
      <w:r w:rsidR="0052574D" w:rsidRPr="001D5732">
        <w:rPr>
          <w:rFonts w:ascii="Book Antiqua" w:hAnsi="Book Antiqua"/>
        </w:rPr>
        <w:t>PPV</w:t>
      </w:r>
      <w:r w:rsidR="001C3DF9" w:rsidRPr="001D5732">
        <w:rPr>
          <w:rFonts w:ascii="Book Antiqua" w:hAnsi="Book Antiqua"/>
          <w:lang w:eastAsia="zh-CN"/>
        </w:rPr>
        <w:t>:</w:t>
      </w:r>
      <w:r w:rsidR="001C3DF9" w:rsidRPr="001D5732">
        <w:rPr>
          <w:rFonts w:ascii="Book Antiqua" w:hAnsi="Book Antiqua"/>
        </w:rPr>
        <w:t xml:space="preserve"> </w:t>
      </w:r>
      <w:r w:rsidR="001C3DF9" w:rsidRPr="001D5732">
        <w:rPr>
          <w:rFonts w:ascii="Book Antiqua" w:hAnsi="Book Antiqua"/>
          <w:lang w:eastAsia="zh-CN"/>
        </w:rPr>
        <w:t>P</w:t>
      </w:r>
      <w:r w:rsidR="001C3DF9" w:rsidRPr="001D5732">
        <w:rPr>
          <w:rFonts w:ascii="Book Antiqua" w:hAnsi="Book Antiqua"/>
        </w:rPr>
        <w:t xml:space="preserve">ositive predictive value; </w:t>
      </w:r>
      <w:r w:rsidR="000B5B83" w:rsidRPr="001D5732">
        <w:rPr>
          <w:rFonts w:ascii="Book Antiqua" w:hAnsi="Book Antiqua"/>
        </w:rPr>
        <w:t>SN</w:t>
      </w:r>
      <w:r w:rsidR="000B5B83" w:rsidRPr="001D5732">
        <w:rPr>
          <w:rFonts w:ascii="Book Antiqua" w:hAnsi="Book Antiqua"/>
          <w:lang w:eastAsia="zh-CN"/>
        </w:rPr>
        <w:t>:</w:t>
      </w:r>
      <w:r w:rsidR="000B5B83" w:rsidRPr="001D5732">
        <w:rPr>
          <w:rFonts w:ascii="Book Antiqua" w:hAnsi="Book Antiqua"/>
        </w:rPr>
        <w:t xml:space="preserve"> </w:t>
      </w:r>
      <w:r w:rsidR="000B5B83" w:rsidRPr="001D5732">
        <w:rPr>
          <w:rFonts w:ascii="Book Antiqua" w:hAnsi="Book Antiqua"/>
          <w:lang w:eastAsia="zh-CN"/>
        </w:rPr>
        <w:t>S</w:t>
      </w:r>
      <w:r w:rsidR="000B5B83" w:rsidRPr="001D5732">
        <w:rPr>
          <w:rFonts w:ascii="Book Antiqua" w:hAnsi="Book Antiqua"/>
        </w:rPr>
        <w:t xml:space="preserve">entinel node. </w:t>
      </w:r>
    </w:p>
    <w:p w14:paraId="417A34AC" w14:textId="77777777" w:rsidR="0052574D" w:rsidRPr="001D5732" w:rsidRDefault="001C3DF9" w:rsidP="0052574D">
      <w:pPr>
        <w:adjustRightInd w:val="0"/>
        <w:snapToGrid w:val="0"/>
        <w:spacing w:line="360" w:lineRule="auto"/>
        <w:jc w:val="both"/>
        <w:rPr>
          <w:rFonts w:ascii="Book Antiqua" w:hAnsi="Book Antiqua"/>
          <w:lang w:eastAsia="zh-CN"/>
        </w:rPr>
      </w:pPr>
      <w:r w:rsidRPr="001D5732">
        <w:rPr>
          <w:rFonts w:ascii="Book Antiqua" w:hAnsi="Book Antiqua"/>
          <w:b/>
          <w:bCs/>
        </w:rPr>
        <w:br w:type="page"/>
      </w:r>
      <w:r w:rsidR="0052574D" w:rsidRPr="001D5732">
        <w:rPr>
          <w:rFonts w:ascii="Book Antiqua" w:hAnsi="Book Antiqua"/>
          <w:b/>
          <w:bCs/>
        </w:rPr>
        <w:lastRenderedPageBreak/>
        <w:t xml:space="preserve">Table 3 Summary of the studies evaluating the role of </w:t>
      </w:r>
      <w:r w:rsidR="00926118" w:rsidRPr="001D5732">
        <w:rPr>
          <w:rFonts w:ascii="Book Antiqua" w:hAnsi="Book Antiqua"/>
          <w:b/>
          <w:bCs/>
          <w:lang w:eastAsia="zh-CN"/>
        </w:rPr>
        <w:t>i</w:t>
      </w:r>
      <w:r w:rsidR="00926118" w:rsidRPr="001D5732">
        <w:rPr>
          <w:rFonts w:ascii="Book Antiqua" w:hAnsi="Book Antiqua"/>
          <w:b/>
          <w:bCs/>
        </w:rPr>
        <w:t xml:space="preserve">ndocyanine green </w:t>
      </w:r>
      <w:r w:rsidR="0052574D" w:rsidRPr="001D5732">
        <w:rPr>
          <w:rFonts w:ascii="Book Antiqua" w:hAnsi="Book Antiqua"/>
          <w:b/>
          <w:bCs/>
        </w:rPr>
        <w:t>to detect peritoneal carcinomatosis</w:t>
      </w:r>
    </w:p>
    <w:tbl>
      <w:tblPr>
        <w:tblStyle w:val="TableGrid"/>
        <w:tblW w:w="12574" w:type="dxa"/>
        <w:tblInd w:w="-5"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34"/>
        <w:gridCol w:w="727"/>
        <w:gridCol w:w="1096"/>
        <w:gridCol w:w="1150"/>
        <w:gridCol w:w="1416"/>
        <w:gridCol w:w="1403"/>
        <w:gridCol w:w="1389"/>
        <w:gridCol w:w="4159"/>
      </w:tblGrid>
      <w:tr w:rsidR="0052574D" w:rsidRPr="001D5732" w14:paraId="2F727643" w14:textId="77777777" w:rsidTr="000B5B83">
        <w:trPr>
          <w:trHeight w:val="402"/>
        </w:trPr>
        <w:tc>
          <w:tcPr>
            <w:tcW w:w="1234" w:type="dxa"/>
            <w:tcBorders>
              <w:top w:val="single" w:sz="4" w:space="0" w:color="auto"/>
              <w:bottom w:val="single" w:sz="4" w:space="0" w:color="auto"/>
            </w:tcBorders>
          </w:tcPr>
          <w:p w14:paraId="08439423" w14:textId="77777777" w:rsidR="0052574D" w:rsidRPr="00C0009F" w:rsidRDefault="00926118" w:rsidP="0052574D">
            <w:pPr>
              <w:adjustRightInd w:val="0"/>
              <w:snapToGrid w:val="0"/>
              <w:spacing w:line="360" w:lineRule="auto"/>
              <w:jc w:val="both"/>
              <w:rPr>
                <w:rFonts w:ascii="Book Antiqua" w:hAnsi="Book Antiqua"/>
                <w:b/>
                <w:bCs/>
                <w:lang w:val="en-US" w:eastAsia="zh-CN"/>
              </w:rPr>
            </w:pPr>
            <w:r w:rsidRPr="001D5732">
              <w:rPr>
                <w:rFonts w:ascii="Book Antiqua" w:hAnsi="Book Antiqua"/>
                <w:b/>
                <w:bCs/>
                <w:lang w:eastAsia="zh-CN"/>
              </w:rPr>
              <w:t>Ref.</w:t>
            </w:r>
          </w:p>
        </w:tc>
        <w:tc>
          <w:tcPr>
            <w:tcW w:w="727" w:type="dxa"/>
            <w:tcBorders>
              <w:top w:val="single" w:sz="4" w:space="0" w:color="auto"/>
              <w:bottom w:val="single" w:sz="4" w:space="0" w:color="auto"/>
            </w:tcBorders>
          </w:tcPr>
          <w:p w14:paraId="2396BA8A" w14:textId="30A78100" w:rsidR="0052574D" w:rsidRPr="00C0009F" w:rsidRDefault="0052574D" w:rsidP="0052574D">
            <w:pPr>
              <w:adjustRightInd w:val="0"/>
              <w:snapToGrid w:val="0"/>
              <w:spacing w:line="360" w:lineRule="auto"/>
              <w:jc w:val="both"/>
              <w:rPr>
                <w:rFonts w:ascii="Book Antiqua" w:hAnsi="Book Antiqua"/>
                <w:b/>
                <w:bCs/>
                <w:lang w:val="en-US"/>
              </w:rPr>
            </w:pPr>
            <w:r w:rsidRPr="001D5732">
              <w:rPr>
                <w:rFonts w:ascii="Book Antiqua" w:hAnsi="Book Antiqua"/>
                <w:b/>
                <w:bCs/>
              </w:rPr>
              <w:t>Yr</w:t>
            </w:r>
          </w:p>
        </w:tc>
        <w:tc>
          <w:tcPr>
            <w:tcW w:w="1096" w:type="dxa"/>
            <w:tcBorders>
              <w:top w:val="single" w:sz="4" w:space="0" w:color="auto"/>
              <w:bottom w:val="single" w:sz="4" w:space="0" w:color="auto"/>
            </w:tcBorders>
          </w:tcPr>
          <w:p w14:paraId="687EFFF8" w14:textId="77777777" w:rsidR="0052574D" w:rsidRPr="00C0009F" w:rsidRDefault="0052574D" w:rsidP="0052574D">
            <w:pPr>
              <w:adjustRightInd w:val="0"/>
              <w:snapToGrid w:val="0"/>
              <w:spacing w:line="360" w:lineRule="auto"/>
              <w:jc w:val="both"/>
              <w:rPr>
                <w:rFonts w:ascii="Book Antiqua" w:hAnsi="Book Antiqua"/>
                <w:b/>
                <w:bCs/>
                <w:lang w:val="en-US"/>
              </w:rPr>
            </w:pPr>
            <w:r w:rsidRPr="001D5732">
              <w:rPr>
                <w:rFonts w:ascii="Book Antiqua" w:hAnsi="Book Antiqua"/>
                <w:b/>
                <w:bCs/>
              </w:rPr>
              <w:t>Patients</w:t>
            </w:r>
          </w:p>
        </w:tc>
        <w:tc>
          <w:tcPr>
            <w:tcW w:w="1150" w:type="dxa"/>
            <w:tcBorders>
              <w:top w:val="single" w:sz="4" w:space="0" w:color="auto"/>
              <w:bottom w:val="single" w:sz="4" w:space="0" w:color="auto"/>
            </w:tcBorders>
          </w:tcPr>
          <w:p w14:paraId="6B2EC401" w14:textId="77777777" w:rsidR="0052574D" w:rsidRPr="00C0009F" w:rsidRDefault="0052574D" w:rsidP="0052574D">
            <w:pPr>
              <w:adjustRightInd w:val="0"/>
              <w:snapToGrid w:val="0"/>
              <w:spacing w:line="360" w:lineRule="auto"/>
              <w:jc w:val="both"/>
              <w:rPr>
                <w:rFonts w:ascii="Book Antiqua" w:hAnsi="Book Antiqua"/>
                <w:b/>
                <w:bCs/>
                <w:lang w:val="en-US"/>
              </w:rPr>
            </w:pPr>
            <w:r w:rsidRPr="001D5732">
              <w:rPr>
                <w:rFonts w:ascii="Book Antiqua" w:hAnsi="Book Antiqua"/>
                <w:b/>
                <w:bCs/>
              </w:rPr>
              <w:t>Nodules</w:t>
            </w:r>
          </w:p>
        </w:tc>
        <w:tc>
          <w:tcPr>
            <w:tcW w:w="1416" w:type="dxa"/>
            <w:tcBorders>
              <w:top w:val="single" w:sz="4" w:space="0" w:color="auto"/>
              <w:bottom w:val="single" w:sz="4" w:space="0" w:color="auto"/>
            </w:tcBorders>
          </w:tcPr>
          <w:p w14:paraId="7C223E50" w14:textId="77777777" w:rsidR="0052574D" w:rsidRPr="00C0009F" w:rsidRDefault="0052574D" w:rsidP="0052574D">
            <w:pPr>
              <w:adjustRightInd w:val="0"/>
              <w:snapToGrid w:val="0"/>
              <w:spacing w:line="360" w:lineRule="auto"/>
              <w:jc w:val="both"/>
              <w:rPr>
                <w:rFonts w:ascii="Book Antiqua" w:hAnsi="Book Antiqua"/>
                <w:b/>
                <w:bCs/>
                <w:lang w:val="en-US"/>
              </w:rPr>
            </w:pPr>
            <w:r w:rsidRPr="001D5732">
              <w:rPr>
                <w:rFonts w:ascii="Book Antiqua" w:hAnsi="Book Antiqua"/>
                <w:b/>
                <w:bCs/>
              </w:rPr>
              <w:t xml:space="preserve">Additional </w:t>
            </w:r>
            <w:r w:rsidRPr="00C0009F">
              <w:rPr>
                <w:rFonts w:ascii="Book Antiqua" w:hAnsi="Book Antiqua"/>
                <w:b/>
                <w:bCs/>
                <w:lang w:val="en-US"/>
              </w:rPr>
              <w:t>nodules</w:t>
            </w:r>
          </w:p>
        </w:tc>
        <w:tc>
          <w:tcPr>
            <w:tcW w:w="1403" w:type="dxa"/>
            <w:tcBorders>
              <w:top w:val="single" w:sz="4" w:space="0" w:color="auto"/>
              <w:bottom w:val="single" w:sz="4" w:space="0" w:color="auto"/>
            </w:tcBorders>
          </w:tcPr>
          <w:p w14:paraId="48BD8F41" w14:textId="77777777" w:rsidR="0052574D" w:rsidRPr="00C0009F" w:rsidRDefault="0052574D" w:rsidP="0052574D">
            <w:pPr>
              <w:adjustRightInd w:val="0"/>
              <w:snapToGrid w:val="0"/>
              <w:spacing w:line="360" w:lineRule="auto"/>
              <w:jc w:val="both"/>
              <w:rPr>
                <w:rFonts w:ascii="Book Antiqua" w:hAnsi="Book Antiqua"/>
                <w:b/>
                <w:bCs/>
                <w:lang w:val="en-US"/>
              </w:rPr>
            </w:pPr>
            <w:r w:rsidRPr="00C0009F">
              <w:rPr>
                <w:rFonts w:ascii="Book Antiqua" w:hAnsi="Book Antiqua"/>
                <w:b/>
                <w:bCs/>
                <w:lang w:val="en-US"/>
              </w:rPr>
              <w:t>Sensitivity</w:t>
            </w:r>
          </w:p>
        </w:tc>
        <w:tc>
          <w:tcPr>
            <w:tcW w:w="1389" w:type="dxa"/>
            <w:tcBorders>
              <w:top w:val="single" w:sz="4" w:space="0" w:color="auto"/>
              <w:bottom w:val="single" w:sz="4" w:space="0" w:color="auto"/>
            </w:tcBorders>
          </w:tcPr>
          <w:p w14:paraId="2B2D84C2" w14:textId="77777777" w:rsidR="0052574D" w:rsidRPr="00C0009F" w:rsidRDefault="0052574D" w:rsidP="0052574D">
            <w:pPr>
              <w:adjustRightInd w:val="0"/>
              <w:snapToGrid w:val="0"/>
              <w:spacing w:line="360" w:lineRule="auto"/>
              <w:jc w:val="both"/>
              <w:rPr>
                <w:rFonts w:ascii="Book Antiqua" w:hAnsi="Book Antiqua"/>
                <w:b/>
                <w:bCs/>
                <w:lang w:val="en-US"/>
              </w:rPr>
            </w:pPr>
            <w:r w:rsidRPr="00C0009F">
              <w:rPr>
                <w:rFonts w:ascii="Book Antiqua" w:hAnsi="Book Antiqua"/>
                <w:b/>
                <w:bCs/>
                <w:lang w:val="en-US"/>
              </w:rPr>
              <w:t>Specificity</w:t>
            </w:r>
          </w:p>
        </w:tc>
        <w:tc>
          <w:tcPr>
            <w:tcW w:w="4159" w:type="dxa"/>
            <w:tcBorders>
              <w:top w:val="single" w:sz="4" w:space="0" w:color="auto"/>
              <w:bottom w:val="single" w:sz="4" w:space="0" w:color="auto"/>
            </w:tcBorders>
          </w:tcPr>
          <w:p w14:paraId="0C4ADFA5" w14:textId="77777777" w:rsidR="0052574D" w:rsidRPr="00C0009F" w:rsidRDefault="0052574D" w:rsidP="0052574D">
            <w:pPr>
              <w:adjustRightInd w:val="0"/>
              <w:snapToGrid w:val="0"/>
              <w:spacing w:line="360" w:lineRule="auto"/>
              <w:jc w:val="both"/>
              <w:rPr>
                <w:rFonts w:ascii="Book Antiqua" w:hAnsi="Book Antiqua"/>
                <w:b/>
                <w:bCs/>
                <w:lang w:val="en-US"/>
              </w:rPr>
            </w:pPr>
            <w:r w:rsidRPr="00C0009F">
              <w:rPr>
                <w:rFonts w:ascii="Book Antiqua" w:hAnsi="Book Antiqua"/>
                <w:b/>
                <w:bCs/>
                <w:lang w:val="en-US"/>
              </w:rPr>
              <w:t>Considerations</w:t>
            </w:r>
          </w:p>
        </w:tc>
      </w:tr>
      <w:tr w:rsidR="0052574D" w:rsidRPr="001D5732" w14:paraId="1ED957C5" w14:textId="77777777" w:rsidTr="000B5B83">
        <w:trPr>
          <w:trHeight w:val="203"/>
        </w:trPr>
        <w:tc>
          <w:tcPr>
            <w:tcW w:w="1234" w:type="dxa"/>
            <w:tcBorders>
              <w:top w:val="single" w:sz="4" w:space="0" w:color="auto"/>
            </w:tcBorders>
          </w:tcPr>
          <w:p w14:paraId="552FC074" w14:textId="77777777" w:rsidR="0052574D" w:rsidRPr="00C0009F" w:rsidRDefault="0052574D" w:rsidP="0052574D">
            <w:pPr>
              <w:adjustRightInd w:val="0"/>
              <w:snapToGrid w:val="0"/>
              <w:spacing w:line="360" w:lineRule="auto"/>
              <w:jc w:val="both"/>
              <w:rPr>
                <w:rFonts w:ascii="Book Antiqua" w:hAnsi="Book Antiqua"/>
                <w:lang w:val="en-US"/>
              </w:rPr>
            </w:pPr>
            <w:r w:rsidRPr="00C0009F">
              <w:rPr>
                <w:rFonts w:ascii="Book Antiqua" w:hAnsi="Book Antiqua"/>
                <w:lang w:val="en-US"/>
              </w:rPr>
              <w:t>Liberale</w:t>
            </w:r>
            <w:r w:rsidR="008E607D" w:rsidRPr="00C0009F">
              <w:rPr>
                <w:rFonts w:ascii="Book Antiqua" w:hAnsi="Book Antiqua"/>
                <w:i/>
                <w:lang w:val="en-US" w:eastAsia="zh-CN"/>
              </w:rPr>
              <w:t xml:space="preserve"> et al</w:t>
            </w:r>
            <w:r w:rsidR="008E607D" w:rsidRPr="00C0009F">
              <w:rPr>
                <w:rFonts w:ascii="Book Antiqua" w:hAnsi="Book Antiqua"/>
                <w:vertAlign w:val="superscript"/>
                <w:lang w:val="en-US" w:eastAsia="zh-CN"/>
              </w:rPr>
              <w:t>[95]</w:t>
            </w:r>
            <w:r w:rsidR="008E607D" w:rsidRPr="00C0009F">
              <w:rPr>
                <w:rFonts w:ascii="Book Antiqua" w:hAnsi="Book Antiqua"/>
                <w:lang w:val="en-US" w:eastAsia="zh-CN"/>
              </w:rPr>
              <w:t>, 2020</w:t>
            </w:r>
          </w:p>
        </w:tc>
        <w:tc>
          <w:tcPr>
            <w:tcW w:w="727" w:type="dxa"/>
            <w:tcBorders>
              <w:top w:val="single" w:sz="4" w:space="0" w:color="auto"/>
            </w:tcBorders>
          </w:tcPr>
          <w:p w14:paraId="23F7135C" w14:textId="77777777" w:rsidR="0052574D" w:rsidRPr="00C0009F" w:rsidRDefault="0052574D" w:rsidP="0052574D">
            <w:pPr>
              <w:adjustRightInd w:val="0"/>
              <w:snapToGrid w:val="0"/>
              <w:spacing w:line="360" w:lineRule="auto"/>
              <w:jc w:val="both"/>
              <w:rPr>
                <w:rFonts w:ascii="Book Antiqua" w:hAnsi="Book Antiqua"/>
                <w:lang w:val="en-US"/>
              </w:rPr>
            </w:pPr>
            <w:r w:rsidRPr="00C0009F">
              <w:rPr>
                <w:rFonts w:ascii="Book Antiqua" w:hAnsi="Book Antiqua"/>
                <w:lang w:val="en-US"/>
              </w:rPr>
              <w:t>2016</w:t>
            </w:r>
          </w:p>
        </w:tc>
        <w:tc>
          <w:tcPr>
            <w:tcW w:w="1096" w:type="dxa"/>
            <w:tcBorders>
              <w:top w:val="single" w:sz="4" w:space="0" w:color="auto"/>
            </w:tcBorders>
          </w:tcPr>
          <w:p w14:paraId="58AE7581" w14:textId="77777777" w:rsidR="0052574D" w:rsidRPr="00C0009F" w:rsidRDefault="0052574D" w:rsidP="0052574D">
            <w:pPr>
              <w:adjustRightInd w:val="0"/>
              <w:snapToGrid w:val="0"/>
              <w:spacing w:line="360" w:lineRule="auto"/>
              <w:jc w:val="both"/>
              <w:rPr>
                <w:rFonts w:ascii="Book Antiqua" w:hAnsi="Book Antiqua"/>
                <w:lang w:val="en-US"/>
              </w:rPr>
            </w:pPr>
            <w:r w:rsidRPr="00C0009F">
              <w:rPr>
                <w:rFonts w:ascii="Book Antiqua" w:hAnsi="Book Antiqua"/>
                <w:lang w:val="en-US"/>
              </w:rPr>
              <w:t>14</w:t>
            </w:r>
          </w:p>
        </w:tc>
        <w:tc>
          <w:tcPr>
            <w:tcW w:w="1150" w:type="dxa"/>
            <w:tcBorders>
              <w:top w:val="single" w:sz="4" w:space="0" w:color="auto"/>
            </w:tcBorders>
          </w:tcPr>
          <w:p w14:paraId="37DEC1D6" w14:textId="77777777" w:rsidR="0052574D" w:rsidRPr="00C0009F" w:rsidRDefault="0052574D" w:rsidP="0052574D">
            <w:pPr>
              <w:adjustRightInd w:val="0"/>
              <w:snapToGrid w:val="0"/>
              <w:spacing w:line="360" w:lineRule="auto"/>
              <w:jc w:val="both"/>
              <w:rPr>
                <w:rFonts w:ascii="Book Antiqua" w:hAnsi="Book Antiqua"/>
                <w:lang w:val="en-US"/>
              </w:rPr>
            </w:pPr>
            <w:r w:rsidRPr="00C0009F">
              <w:rPr>
                <w:rFonts w:ascii="Book Antiqua" w:hAnsi="Book Antiqua"/>
                <w:lang w:val="en-US"/>
              </w:rPr>
              <w:t>63</w:t>
            </w:r>
          </w:p>
        </w:tc>
        <w:tc>
          <w:tcPr>
            <w:tcW w:w="1416" w:type="dxa"/>
            <w:tcBorders>
              <w:top w:val="single" w:sz="4" w:space="0" w:color="auto"/>
            </w:tcBorders>
          </w:tcPr>
          <w:p w14:paraId="77BEFEC3" w14:textId="77777777" w:rsidR="0052574D" w:rsidRPr="00C0009F" w:rsidRDefault="0052574D" w:rsidP="0052574D">
            <w:pPr>
              <w:adjustRightInd w:val="0"/>
              <w:snapToGrid w:val="0"/>
              <w:spacing w:line="360" w:lineRule="auto"/>
              <w:jc w:val="both"/>
              <w:rPr>
                <w:rFonts w:ascii="Book Antiqua" w:hAnsi="Book Antiqua"/>
                <w:lang w:val="en-US"/>
              </w:rPr>
            </w:pPr>
            <w:r w:rsidRPr="00C0009F">
              <w:rPr>
                <w:rFonts w:ascii="Book Antiqua" w:hAnsi="Book Antiqua"/>
                <w:lang w:val="en-US"/>
              </w:rPr>
              <w:t>21.4%</w:t>
            </w:r>
          </w:p>
        </w:tc>
        <w:tc>
          <w:tcPr>
            <w:tcW w:w="1403" w:type="dxa"/>
            <w:tcBorders>
              <w:top w:val="single" w:sz="4" w:space="0" w:color="auto"/>
            </w:tcBorders>
          </w:tcPr>
          <w:p w14:paraId="75407EBD" w14:textId="77777777" w:rsidR="0052574D" w:rsidRPr="00C0009F" w:rsidRDefault="0052574D" w:rsidP="0052574D">
            <w:pPr>
              <w:adjustRightInd w:val="0"/>
              <w:snapToGrid w:val="0"/>
              <w:spacing w:line="360" w:lineRule="auto"/>
              <w:jc w:val="both"/>
              <w:rPr>
                <w:rFonts w:ascii="Book Antiqua" w:hAnsi="Book Antiqua"/>
                <w:lang w:val="en-US"/>
              </w:rPr>
            </w:pPr>
            <w:r w:rsidRPr="00C0009F">
              <w:rPr>
                <w:rFonts w:ascii="Book Antiqua" w:hAnsi="Book Antiqua"/>
                <w:lang w:val="en-US"/>
              </w:rPr>
              <w:t>87.5%</w:t>
            </w:r>
          </w:p>
        </w:tc>
        <w:tc>
          <w:tcPr>
            <w:tcW w:w="1389" w:type="dxa"/>
            <w:tcBorders>
              <w:top w:val="single" w:sz="4" w:space="0" w:color="auto"/>
            </w:tcBorders>
          </w:tcPr>
          <w:p w14:paraId="464B1B43" w14:textId="77777777" w:rsidR="0052574D" w:rsidRPr="00C0009F" w:rsidRDefault="0052574D" w:rsidP="0052574D">
            <w:pPr>
              <w:adjustRightInd w:val="0"/>
              <w:snapToGrid w:val="0"/>
              <w:spacing w:line="360" w:lineRule="auto"/>
              <w:jc w:val="both"/>
              <w:rPr>
                <w:rFonts w:ascii="Book Antiqua" w:hAnsi="Book Antiqua"/>
                <w:lang w:val="en-US"/>
              </w:rPr>
            </w:pPr>
            <w:r w:rsidRPr="00C0009F">
              <w:rPr>
                <w:rFonts w:ascii="Book Antiqua" w:hAnsi="Book Antiqua"/>
                <w:lang w:val="en-US"/>
              </w:rPr>
              <w:t>100%</w:t>
            </w:r>
          </w:p>
        </w:tc>
        <w:tc>
          <w:tcPr>
            <w:tcW w:w="4159" w:type="dxa"/>
            <w:tcBorders>
              <w:top w:val="single" w:sz="4" w:space="0" w:color="auto"/>
            </w:tcBorders>
          </w:tcPr>
          <w:p w14:paraId="4A61A3E5" w14:textId="77777777" w:rsidR="0052574D" w:rsidRPr="00C0009F" w:rsidRDefault="0052574D" w:rsidP="0052574D">
            <w:pPr>
              <w:adjustRightInd w:val="0"/>
              <w:snapToGrid w:val="0"/>
              <w:spacing w:line="360" w:lineRule="auto"/>
              <w:jc w:val="both"/>
              <w:rPr>
                <w:rFonts w:ascii="Book Antiqua" w:hAnsi="Book Antiqua"/>
                <w:lang w:val="en-US"/>
              </w:rPr>
            </w:pPr>
          </w:p>
        </w:tc>
      </w:tr>
      <w:tr w:rsidR="0052574D" w:rsidRPr="001D5732" w14:paraId="242F8574" w14:textId="77777777" w:rsidTr="000B5B83">
        <w:trPr>
          <w:trHeight w:val="199"/>
        </w:trPr>
        <w:tc>
          <w:tcPr>
            <w:tcW w:w="1234" w:type="dxa"/>
          </w:tcPr>
          <w:p w14:paraId="1308D04C" w14:textId="77777777" w:rsidR="0052574D" w:rsidRPr="00C0009F" w:rsidRDefault="0052574D" w:rsidP="0052574D">
            <w:pPr>
              <w:adjustRightInd w:val="0"/>
              <w:snapToGrid w:val="0"/>
              <w:spacing w:line="360" w:lineRule="auto"/>
              <w:jc w:val="both"/>
              <w:rPr>
                <w:rFonts w:ascii="Book Antiqua" w:hAnsi="Book Antiqua"/>
                <w:lang w:val="en-US"/>
              </w:rPr>
            </w:pPr>
            <w:r w:rsidRPr="00C0009F">
              <w:rPr>
                <w:rFonts w:ascii="Book Antiqua" w:hAnsi="Book Antiqua"/>
                <w:lang w:val="en-US"/>
              </w:rPr>
              <w:t>Barabino</w:t>
            </w:r>
            <w:r w:rsidR="008E607D" w:rsidRPr="00C0009F">
              <w:rPr>
                <w:rFonts w:ascii="Book Antiqua" w:hAnsi="Book Antiqua"/>
                <w:i/>
                <w:lang w:val="en-US" w:eastAsia="zh-CN"/>
              </w:rPr>
              <w:t xml:space="preserve"> et al</w:t>
            </w:r>
            <w:r w:rsidR="008E607D" w:rsidRPr="00C0009F">
              <w:rPr>
                <w:rFonts w:ascii="Book Antiqua" w:hAnsi="Book Antiqua"/>
                <w:vertAlign w:val="superscript"/>
                <w:lang w:val="en-US" w:eastAsia="zh-CN"/>
              </w:rPr>
              <w:t>[96]</w:t>
            </w:r>
            <w:r w:rsidR="008E607D" w:rsidRPr="00C0009F">
              <w:rPr>
                <w:rFonts w:ascii="Book Antiqua" w:hAnsi="Book Antiqua"/>
                <w:lang w:val="en-US" w:eastAsia="zh-CN"/>
              </w:rPr>
              <w:t>, 2020</w:t>
            </w:r>
          </w:p>
        </w:tc>
        <w:tc>
          <w:tcPr>
            <w:tcW w:w="727" w:type="dxa"/>
          </w:tcPr>
          <w:p w14:paraId="542BC222" w14:textId="77777777" w:rsidR="0052574D" w:rsidRPr="00C0009F" w:rsidRDefault="0052574D" w:rsidP="0052574D">
            <w:pPr>
              <w:adjustRightInd w:val="0"/>
              <w:snapToGrid w:val="0"/>
              <w:spacing w:line="360" w:lineRule="auto"/>
              <w:jc w:val="both"/>
              <w:rPr>
                <w:rFonts w:ascii="Book Antiqua" w:hAnsi="Book Antiqua"/>
                <w:lang w:val="en-US"/>
              </w:rPr>
            </w:pPr>
            <w:r w:rsidRPr="00C0009F">
              <w:rPr>
                <w:rFonts w:ascii="Book Antiqua" w:hAnsi="Book Antiqua"/>
                <w:lang w:val="en-US"/>
              </w:rPr>
              <w:t>2016</w:t>
            </w:r>
          </w:p>
        </w:tc>
        <w:tc>
          <w:tcPr>
            <w:tcW w:w="1096" w:type="dxa"/>
          </w:tcPr>
          <w:p w14:paraId="2DC379FB" w14:textId="77777777" w:rsidR="0052574D" w:rsidRPr="00C0009F" w:rsidRDefault="0052574D" w:rsidP="0052574D">
            <w:pPr>
              <w:adjustRightInd w:val="0"/>
              <w:snapToGrid w:val="0"/>
              <w:spacing w:line="360" w:lineRule="auto"/>
              <w:jc w:val="both"/>
              <w:rPr>
                <w:rFonts w:ascii="Book Antiqua" w:hAnsi="Book Antiqua"/>
                <w:lang w:val="en-US"/>
              </w:rPr>
            </w:pPr>
            <w:r w:rsidRPr="00C0009F">
              <w:rPr>
                <w:rFonts w:ascii="Book Antiqua" w:hAnsi="Book Antiqua"/>
                <w:lang w:val="en-US"/>
              </w:rPr>
              <w:t>10</w:t>
            </w:r>
          </w:p>
        </w:tc>
        <w:tc>
          <w:tcPr>
            <w:tcW w:w="1150" w:type="dxa"/>
          </w:tcPr>
          <w:p w14:paraId="3F2B4DAD" w14:textId="77777777" w:rsidR="0052574D" w:rsidRPr="00C0009F" w:rsidRDefault="0052574D" w:rsidP="0052574D">
            <w:pPr>
              <w:adjustRightInd w:val="0"/>
              <w:snapToGrid w:val="0"/>
              <w:spacing w:line="360" w:lineRule="auto"/>
              <w:jc w:val="both"/>
              <w:rPr>
                <w:rFonts w:ascii="Book Antiqua" w:hAnsi="Book Antiqua"/>
                <w:lang w:val="en-US"/>
              </w:rPr>
            </w:pPr>
            <w:r w:rsidRPr="00C0009F">
              <w:rPr>
                <w:rFonts w:ascii="Book Antiqua" w:hAnsi="Book Antiqua"/>
                <w:lang w:val="en-US"/>
              </w:rPr>
              <w:t>88</w:t>
            </w:r>
          </w:p>
        </w:tc>
        <w:tc>
          <w:tcPr>
            <w:tcW w:w="1416" w:type="dxa"/>
          </w:tcPr>
          <w:p w14:paraId="7B4FC83A" w14:textId="77777777" w:rsidR="0052574D" w:rsidRPr="00C0009F" w:rsidRDefault="0052574D" w:rsidP="0052574D">
            <w:pPr>
              <w:adjustRightInd w:val="0"/>
              <w:snapToGrid w:val="0"/>
              <w:spacing w:line="360" w:lineRule="auto"/>
              <w:jc w:val="both"/>
              <w:rPr>
                <w:rFonts w:ascii="Book Antiqua" w:hAnsi="Book Antiqua"/>
                <w:lang w:val="en-US"/>
              </w:rPr>
            </w:pPr>
          </w:p>
        </w:tc>
        <w:tc>
          <w:tcPr>
            <w:tcW w:w="1403" w:type="dxa"/>
          </w:tcPr>
          <w:p w14:paraId="3EC145DE" w14:textId="77777777" w:rsidR="0052574D" w:rsidRPr="00C0009F" w:rsidRDefault="0052574D" w:rsidP="0052574D">
            <w:pPr>
              <w:adjustRightInd w:val="0"/>
              <w:snapToGrid w:val="0"/>
              <w:spacing w:line="360" w:lineRule="auto"/>
              <w:jc w:val="both"/>
              <w:rPr>
                <w:rFonts w:ascii="Book Antiqua" w:hAnsi="Book Antiqua"/>
                <w:lang w:val="en-US"/>
              </w:rPr>
            </w:pPr>
            <w:r w:rsidRPr="00C0009F">
              <w:rPr>
                <w:rFonts w:ascii="Book Antiqua" w:hAnsi="Book Antiqua"/>
                <w:lang w:val="en-US"/>
              </w:rPr>
              <w:t>72.4%</w:t>
            </w:r>
          </w:p>
        </w:tc>
        <w:tc>
          <w:tcPr>
            <w:tcW w:w="1389" w:type="dxa"/>
          </w:tcPr>
          <w:p w14:paraId="17A2259A" w14:textId="77777777" w:rsidR="0052574D" w:rsidRPr="00C0009F" w:rsidRDefault="0052574D" w:rsidP="0052574D">
            <w:pPr>
              <w:adjustRightInd w:val="0"/>
              <w:snapToGrid w:val="0"/>
              <w:spacing w:line="360" w:lineRule="auto"/>
              <w:jc w:val="both"/>
              <w:rPr>
                <w:rFonts w:ascii="Book Antiqua" w:hAnsi="Book Antiqua"/>
                <w:lang w:val="en-US"/>
              </w:rPr>
            </w:pPr>
            <w:r w:rsidRPr="00C0009F">
              <w:rPr>
                <w:rFonts w:ascii="Book Antiqua" w:hAnsi="Book Antiqua"/>
                <w:lang w:val="en-US"/>
              </w:rPr>
              <w:t>77.3%</w:t>
            </w:r>
          </w:p>
        </w:tc>
        <w:tc>
          <w:tcPr>
            <w:tcW w:w="4159" w:type="dxa"/>
          </w:tcPr>
          <w:p w14:paraId="42893127" w14:textId="77777777" w:rsidR="0052574D" w:rsidRPr="00C0009F" w:rsidRDefault="0052574D" w:rsidP="0052574D">
            <w:pPr>
              <w:adjustRightInd w:val="0"/>
              <w:snapToGrid w:val="0"/>
              <w:spacing w:line="360" w:lineRule="auto"/>
              <w:jc w:val="both"/>
              <w:rPr>
                <w:rFonts w:ascii="Book Antiqua" w:hAnsi="Book Antiqua"/>
                <w:lang w:val="en-US"/>
              </w:rPr>
            </w:pPr>
          </w:p>
        </w:tc>
      </w:tr>
      <w:tr w:rsidR="0052574D" w:rsidRPr="001D5732" w14:paraId="4125398A" w14:textId="77777777" w:rsidTr="000B5B83">
        <w:trPr>
          <w:trHeight w:val="606"/>
        </w:trPr>
        <w:tc>
          <w:tcPr>
            <w:tcW w:w="1234" w:type="dxa"/>
          </w:tcPr>
          <w:p w14:paraId="4E1F7647" w14:textId="77777777" w:rsidR="0052574D" w:rsidRPr="00C0009F" w:rsidRDefault="008E607D" w:rsidP="0052574D">
            <w:pPr>
              <w:adjustRightInd w:val="0"/>
              <w:snapToGrid w:val="0"/>
              <w:spacing w:line="360" w:lineRule="auto"/>
              <w:jc w:val="both"/>
              <w:rPr>
                <w:rFonts w:ascii="Book Antiqua" w:hAnsi="Book Antiqua"/>
                <w:lang w:val="en-US"/>
              </w:rPr>
            </w:pPr>
            <w:r w:rsidRPr="00C0009F">
              <w:rPr>
                <w:rFonts w:ascii="Book Antiqua" w:hAnsi="Book Antiqua"/>
                <w:lang w:val="en-US"/>
              </w:rPr>
              <w:t>Filippello</w:t>
            </w:r>
            <w:r w:rsidRPr="00C0009F">
              <w:rPr>
                <w:rFonts w:ascii="Book Antiqua" w:hAnsi="Book Antiqua"/>
                <w:i/>
                <w:lang w:val="en-US" w:eastAsia="zh-CN"/>
              </w:rPr>
              <w:t xml:space="preserve"> et al</w:t>
            </w:r>
            <w:r w:rsidRPr="00C0009F">
              <w:rPr>
                <w:rFonts w:ascii="Book Antiqua" w:hAnsi="Book Antiqua"/>
                <w:vertAlign w:val="superscript"/>
                <w:lang w:val="en-US" w:eastAsia="zh-CN"/>
              </w:rPr>
              <w:t>[97]</w:t>
            </w:r>
            <w:r w:rsidRPr="00C0009F">
              <w:rPr>
                <w:rFonts w:ascii="Book Antiqua" w:hAnsi="Book Antiqua"/>
                <w:lang w:val="en-US" w:eastAsia="zh-CN"/>
              </w:rPr>
              <w:t>, 2020</w:t>
            </w:r>
          </w:p>
        </w:tc>
        <w:tc>
          <w:tcPr>
            <w:tcW w:w="727" w:type="dxa"/>
          </w:tcPr>
          <w:p w14:paraId="2809520B" w14:textId="77777777" w:rsidR="0052574D" w:rsidRPr="00C0009F" w:rsidRDefault="0052574D" w:rsidP="0052574D">
            <w:pPr>
              <w:adjustRightInd w:val="0"/>
              <w:snapToGrid w:val="0"/>
              <w:spacing w:line="360" w:lineRule="auto"/>
              <w:jc w:val="both"/>
              <w:rPr>
                <w:rFonts w:ascii="Book Antiqua" w:hAnsi="Book Antiqua"/>
                <w:lang w:val="en-US"/>
              </w:rPr>
            </w:pPr>
            <w:r w:rsidRPr="00C0009F">
              <w:rPr>
                <w:rFonts w:ascii="Book Antiqua" w:hAnsi="Book Antiqua"/>
                <w:lang w:val="en-US"/>
              </w:rPr>
              <w:t>2016</w:t>
            </w:r>
          </w:p>
        </w:tc>
        <w:tc>
          <w:tcPr>
            <w:tcW w:w="1096" w:type="dxa"/>
          </w:tcPr>
          <w:p w14:paraId="089D3815" w14:textId="77777777" w:rsidR="0052574D" w:rsidRPr="00C0009F" w:rsidRDefault="0052574D" w:rsidP="0052574D">
            <w:pPr>
              <w:adjustRightInd w:val="0"/>
              <w:snapToGrid w:val="0"/>
              <w:spacing w:line="360" w:lineRule="auto"/>
              <w:jc w:val="both"/>
              <w:rPr>
                <w:rFonts w:ascii="Book Antiqua" w:hAnsi="Book Antiqua"/>
                <w:lang w:val="en-US"/>
              </w:rPr>
            </w:pPr>
            <w:r w:rsidRPr="00C0009F">
              <w:rPr>
                <w:rFonts w:ascii="Book Antiqua" w:hAnsi="Book Antiqua"/>
                <w:lang w:val="en-US"/>
              </w:rPr>
              <w:t>10</w:t>
            </w:r>
          </w:p>
        </w:tc>
        <w:tc>
          <w:tcPr>
            <w:tcW w:w="1150" w:type="dxa"/>
          </w:tcPr>
          <w:p w14:paraId="127D2711" w14:textId="77777777" w:rsidR="0052574D" w:rsidRPr="00C0009F" w:rsidRDefault="0052574D" w:rsidP="0052574D">
            <w:pPr>
              <w:adjustRightInd w:val="0"/>
              <w:snapToGrid w:val="0"/>
              <w:spacing w:line="360" w:lineRule="auto"/>
              <w:jc w:val="both"/>
              <w:rPr>
                <w:rFonts w:ascii="Book Antiqua" w:hAnsi="Book Antiqua"/>
                <w:lang w:val="en-US"/>
              </w:rPr>
            </w:pPr>
            <w:r w:rsidRPr="00C0009F">
              <w:rPr>
                <w:rFonts w:ascii="Book Antiqua" w:hAnsi="Book Antiqua"/>
                <w:lang w:val="en-US"/>
              </w:rPr>
              <w:t>29</w:t>
            </w:r>
          </w:p>
        </w:tc>
        <w:tc>
          <w:tcPr>
            <w:tcW w:w="1416" w:type="dxa"/>
          </w:tcPr>
          <w:p w14:paraId="66507BCF" w14:textId="77777777" w:rsidR="0052574D" w:rsidRPr="00C0009F" w:rsidRDefault="0052574D" w:rsidP="0052574D">
            <w:pPr>
              <w:adjustRightInd w:val="0"/>
              <w:snapToGrid w:val="0"/>
              <w:spacing w:line="360" w:lineRule="auto"/>
              <w:jc w:val="both"/>
              <w:rPr>
                <w:rFonts w:ascii="Book Antiqua" w:hAnsi="Book Antiqua"/>
                <w:lang w:val="en-US"/>
              </w:rPr>
            </w:pPr>
          </w:p>
        </w:tc>
        <w:tc>
          <w:tcPr>
            <w:tcW w:w="1403" w:type="dxa"/>
          </w:tcPr>
          <w:p w14:paraId="38AA9CBA" w14:textId="77777777" w:rsidR="0052574D" w:rsidRPr="00C0009F" w:rsidRDefault="0052574D" w:rsidP="0052574D">
            <w:pPr>
              <w:adjustRightInd w:val="0"/>
              <w:snapToGrid w:val="0"/>
              <w:spacing w:line="360" w:lineRule="auto"/>
              <w:jc w:val="both"/>
              <w:rPr>
                <w:rFonts w:ascii="Book Antiqua" w:hAnsi="Book Antiqua"/>
                <w:lang w:val="en-US"/>
              </w:rPr>
            </w:pPr>
            <w:r w:rsidRPr="00C0009F">
              <w:rPr>
                <w:rFonts w:ascii="Book Antiqua" w:hAnsi="Book Antiqua"/>
                <w:lang w:val="en-US"/>
              </w:rPr>
              <w:t>65%</w:t>
            </w:r>
          </w:p>
        </w:tc>
        <w:tc>
          <w:tcPr>
            <w:tcW w:w="1389" w:type="dxa"/>
          </w:tcPr>
          <w:p w14:paraId="044B4DF6" w14:textId="77777777" w:rsidR="0052574D" w:rsidRPr="00C0009F" w:rsidRDefault="0052574D" w:rsidP="0052574D">
            <w:pPr>
              <w:adjustRightInd w:val="0"/>
              <w:snapToGrid w:val="0"/>
              <w:spacing w:line="360" w:lineRule="auto"/>
              <w:jc w:val="both"/>
              <w:rPr>
                <w:rFonts w:ascii="Book Antiqua" w:hAnsi="Book Antiqua"/>
                <w:lang w:val="en-US"/>
              </w:rPr>
            </w:pPr>
            <w:r w:rsidRPr="00C0009F">
              <w:rPr>
                <w:rFonts w:ascii="Book Antiqua" w:hAnsi="Book Antiqua"/>
                <w:lang w:val="en-US"/>
              </w:rPr>
              <w:t>57.1%</w:t>
            </w:r>
          </w:p>
        </w:tc>
        <w:tc>
          <w:tcPr>
            <w:tcW w:w="4159" w:type="dxa"/>
          </w:tcPr>
          <w:p w14:paraId="57FA874B" w14:textId="73258F68" w:rsidR="0052574D" w:rsidRPr="00C0009F" w:rsidRDefault="0052574D" w:rsidP="0052574D">
            <w:pPr>
              <w:adjustRightInd w:val="0"/>
              <w:snapToGrid w:val="0"/>
              <w:spacing w:line="360" w:lineRule="auto"/>
              <w:jc w:val="both"/>
              <w:rPr>
                <w:rFonts w:ascii="Book Antiqua" w:hAnsi="Book Antiqua"/>
                <w:lang w:val="en-US"/>
              </w:rPr>
            </w:pPr>
            <w:r w:rsidRPr="00C0009F">
              <w:rPr>
                <w:rFonts w:ascii="Book Antiqua" w:hAnsi="Book Antiqua"/>
                <w:lang w:val="en-US"/>
              </w:rPr>
              <w:t xml:space="preserve">Same patients </w:t>
            </w:r>
            <w:r w:rsidR="00782F37" w:rsidRPr="00C0009F">
              <w:rPr>
                <w:rFonts w:ascii="Book Antiqua" w:hAnsi="Book Antiqua"/>
                <w:lang w:val="en-US"/>
              </w:rPr>
              <w:t xml:space="preserve">other </w:t>
            </w:r>
            <w:r w:rsidRPr="00C0009F">
              <w:rPr>
                <w:rFonts w:ascii="Book Antiqua" w:hAnsi="Book Antiqua"/>
                <w:lang w:val="en-US"/>
              </w:rPr>
              <w:t xml:space="preserve">than Barabino </w:t>
            </w:r>
            <w:r w:rsidRPr="00C0009F">
              <w:rPr>
                <w:rFonts w:ascii="Book Antiqua" w:hAnsi="Book Antiqua"/>
                <w:i/>
                <w:iCs/>
                <w:lang w:val="en-US"/>
              </w:rPr>
              <w:t>et</w:t>
            </w:r>
            <w:r w:rsidRPr="00C0009F">
              <w:rPr>
                <w:rFonts w:ascii="Book Antiqua" w:hAnsi="Book Antiqua"/>
                <w:lang w:val="en-US"/>
              </w:rPr>
              <w:t xml:space="preserve"> </w:t>
            </w:r>
            <w:r w:rsidRPr="00C0009F">
              <w:rPr>
                <w:rFonts w:ascii="Book Antiqua" w:hAnsi="Book Antiqua"/>
                <w:i/>
                <w:iCs/>
                <w:lang w:val="en-US"/>
              </w:rPr>
              <w:t>al</w:t>
            </w:r>
            <w:r w:rsidR="00782F37" w:rsidRPr="00C0009F">
              <w:rPr>
                <w:rFonts w:ascii="Book Antiqua" w:hAnsi="Book Antiqua"/>
                <w:vertAlign w:val="superscript"/>
                <w:lang w:val="en-US" w:eastAsia="zh-CN"/>
              </w:rPr>
              <w:t>[96]</w:t>
            </w:r>
            <w:r w:rsidRPr="00C0009F">
              <w:rPr>
                <w:rFonts w:ascii="Book Antiqua" w:hAnsi="Book Antiqua"/>
                <w:lang w:val="en-US"/>
              </w:rPr>
              <w:t>, but comparing the use of bevacizumab or not</w:t>
            </w:r>
          </w:p>
        </w:tc>
      </w:tr>
      <w:tr w:rsidR="0052574D" w:rsidRPr="001D5732" w14:paraId="4EAEEA2B" w14:textId="77777777" w:rsidTr="000B5B83">
        <w:trPr>
          <w:trHeight w:val="402"/>
        </w:trPr>
        <w:tc>
          <w:tcPr>
            <w:tcW w:w="1234" w:type="dxa"/>
          </w:tcPr>
          <w:p w14:paraId="4C1D2F2F" w14:textId="77777777" w:rsidR="0052574D" w:rsidRPr="00C0009F" w:rsidRDefault="0052574D" w:rsidP="0052574D">
            <w:pPr>
              <w:adjustRightInd w:val="0"/>
              <w:snapToGrid w:val="0"/>
              <w:spacing w:line="360" w:lineRule="auto"/>
              <w:jc w:val="both"/>
              <w:rPr>
                <w:rFonts w:ascii="Book Antiqua" w:hAnsi="Book Antiqua"/>
                <w:lang w:val="en-US"/>
              </w:rPr>
            </w:pPr>
            <w:r w:rsidRPr="00C0009F">
              <w:rPr>
                <w:rFonts w:ascii="Book Antiqua" w:hAnsi="Book Antiqua"/>
                <w:lang w:val="en-US"/>
              </w:rPr>
              <w:t>Lieto</w:t>
            </w:r>
            <w:r w:rsidR="008E607D" w:rsidRPr="00C0009F">
              <w:rPr>
                <w:rFonts w:ascii="Book Antiqua" w:hAnsi="Book Antiqua"/>
                <w:i/>
                <w:lang w:val="en-US" w:eastAsia="zh-CN"/>
              </w:rPr>
              <w:t xml:space="preserve"> </w:t>
            </w:r>
            <w:bookmarkStart w:id="81" w:name="OLE_LINK41"/>
            <w:bookmarkStart w:id="82" w:name="OLE_LINK42"/>
            <w:r w:rsidR="008E607D" w:rsidRPr="00C0009F">
              <w:rPr>
                <w:rFonts w:ascii="Book Antiqua" w:hAnsi="Book Antiqua"/>
                <w:i/>
                <w:lang w:val="en-US" w:eastAsia="zh-CN"/>
              </w:rPr>
              <w:t>et al</w:t>
            </w:r>
            <w:r w:rsidR="008E607D" w:rsidRPr="00C0009F">
              <w:rPr>
                <w:rFonts w:ascii="Book Antiqua" w:hAnsi="Book Antiqua"/>
                <w:vertAlign w:val="superscript"/>
                <w:lang w:val="en-US" w:eastAsia="zh-CN"/>
              </w:rPr>
              <w:t>[100]</w:t>
            </w:r>
            <w:r w:rsidR="008E607D" w:rsidRPr="00C0009F">
              <w:rPr>
                <w:rFonts w:ascii="Book Antiqua" w:hAnsi="Book Antiqua"/>
                <w:lang w:val="en-US" w:eastAsia="zh-CN"/>
              </w:rPr>
              <w:t>, 2020</w:t>
            </w:r>
            <w:bookmarkEnd w:id="81"/>
            <w:bookmarkEnd w:id="82"/>
          </w:p>
        </w:tc>
        <w:tc>
          <w:tcPr>
            <w:tcW w:w="727" w:type="dxa"/>
          </w:tcPr>
          <w:p w14:paraId="16A805ED" w14:textId="77777777" w:rsidR="0052574D" w:rsidRPr="00C0009F" w:rsidRDefault="0052574D" w:rsidP="0052574D">
            <w:pPr>
              <w:adjustRightInd w:val="0"/>
              <w:snapToGrid w:val="0"/>
              <w:spacing w:line="360" w:lineRule="auto"/>
              <w:jc w:val="both"/>
              <w:rPr>
                <w:rFonts w:ascii="Book Antiqua" w:hAnsi="Book Antiqua"/>
                <w:lang w:val="en-US"/>
              </w:rPr>
            </w:pPr>
            <w:r w:rsidRPr="00C0009F">
              <w:rPr>
                <w:rFonts w:ascii="Book Antiqua" w:hAnsi="Book Antiqua"/>
                <w:lang w:val="en-US"/>
              </w:rPr>
              <w:t>2018</w:t>
            </w:r>
          </w:p>
        </w:tc>
        <w:tc>
          <w:tcPr>
            <w:tcW w:w="1096" w:type="dxa"/>
          </w:tcPr>
          <w:p w14:paraId="46F8257F" w14:textId="77777777" w:rsidR="0052574D" w:rsidRPr="00C0009F" w:rsidRDefault="0052574D" w:rsidP="0052574D">
            <w:pPr>
              <w:adjustRightInd w:val="0"/>
              <w:snapToGrid w:val="0"/>
              <w:spacing w:line="360" w:lineRule="auto"/>
              <w:jc w:val="both"/>
              <w:rPr>
                <w:rFonts w:ascii="Book Antiqua" w:hAnsi="Book Antiqua"/>
                <w:lang w:val="en-US"/>
              </w:rPr>
            </w:pPr>
            <w:r w:rsidRPr="00C0009F">
              <w:rPr>
                <w:rFonts w:ascii="Book Antiqua" w:hAnsi="Book Antiqua"/>
                <w:lang w:val="en-US"/>
              </w:rPr>
              <w:t>4</w:t>
            </w:r>
          </w:p>
        </w:tc>
        <w:tc>
          <w:tcPr>
            <w:tcW w:w="1150" w:type="dxa"/>
          </w:tcPr>
          <w:p w14:paraId="38C34F28" w14:textId="77777777" w:rsidR="0052574D" w:rsidRPr="00C0009F" w:rsidRDefault="0052574D" w:rsidP="0052574D">
            <w:pPr>
              <w:adjustRightInd w:val="0"/>
              <w:snapToGrid w:val="0"/>
              <w:spacing w:line="360" w:lineRule="auto"/>
              <w:jc w:val="both"/>
              <w:rPr>
                <w:rFonts w:ascii="Book Antiqua" w:hAnsi="Book Antiqua"/>
                <w:lang w:val="en-US"/>
              </w:rPr>
            </w:pPr>
            <w:r w:rsidRPr="00C0009F">
              <w:rPr>
                <w:rFonts w:ascii="Book Antiqua" w:hAnsi="Book Antiqua"/>
                <w:lang w:val="en-US"/>
              </w:rPr>
              <w:t>69</w:t>
            </w:r>
          </w:p>
        </w:tc>
        <w:tc>
          <w:tcPr>
            <w:tcW w:w="1416" w:type="dxa"/>
          </w:tcPr>
          <w:p w14:paraId="37C07917" w14:textId="77777777" w:rsidR="0052574D" w:rsidRPr="00C0009F" w:rsidRDefault="0052574D" w:rsidP="0052574D">
            <w:pPr>
              <w:adjustRightInd w:val="0"/>
              <w:snapToGrid w:val="0"/>
              <w:spacing w:line="360" w:lineRule="auto"/>
              <w:jc w:val="both"/>
              <w:rPr>
                <w:rFonts w:ascii="Book Antiqua" w:hAnsi="Book Antiqua"/>
                <w:lang w:val="en-US"/>
              </w:rPr>
            </w:pPr>
            <w:r w:rsidRPr="00C0009F">
              <w:rPr>
                <w:rFonts w:ascii="Book Antiqua" w:hAnsi="Book Antiqua"/>
                <w:lang w:val="en-US"/>
              </w:rPr>
              <w:t>16</w:t>
            </w:r>
          </w:p>
        </w:tc>
        <w:tc>
          <w:tcPr>
            <w:tcW w:w="1403" w:type="dxa"/>
          </w:tcPr>
          <w:p w14:paraId="6DF22CBD" w14:textId="77777777" w:rsidR="0052574D" w:rsidRPr="00C0009F" w:rsidRDefault="0052574D" w:rsidP="0052574D">
            <w:pPr>
              <w:adjustRightInd w:val="0"/>
              <w:snapToGrid w:val="0"/>
              <w:spacing w:line="360" w:lineRule="auto"/>
              <w:jc w:val="both"/>
              <w:rPr>
                <w:rFonts w:ascii="Book Antiqua" w:hAnsi="Book Antiqua"/>
                <w:lang w:val="en-US"/>
              </w:rPr>
            </w:pPr>
            <w:r w:rsidRPr="00C0009F">
              <w:rPr>
                <w:rFonts w:ascii="Book Antiqua" w:hAnsi="Book Antiqua"/>
                <w:lang w:val="en-US"/>
              </w:rPr>
              <w:t>96.9%</w:t>
            </w:r>
          </w:p>
        </w:tc>
        <w:tc>
          <w:tcPr>
            <w:tcW w:w="1389" w:type="dxa"/>
          </w:tcPr>
          <w:p w14:paraId="7EAB3023" w14:textId="77777777" w:rsidR="0052574D" w:rsidRPr="00C0009F" w:rsidRDefault="0052574D" w:rsidP="0052574D">
            <w:pPr>
              <w:adjustRightInd w:val="0"/>
              <w:snapToGrid w:val="0"/>
              <w:spacing w:line="360" w:lineRule="auto"/>
              <w:jc w:val="both"/>
              <w:rPr>
                <w:rFonts w:ascii="Book Antiqua" w:hAnsi="Book Antiqua"/>
                <w:lang w:val="en-US"/>
              </w:rPr>
            </w:pPr>
            <w:r w:rsidRPr="00C0009F">
              <w:rPr>
                <w:rFonts w:ascii="Book Antiqua" w:hAnsi="Book Antiqua"/>
                <w:lang w:val="en-US"/>
              </w:rPr>
              <w:t>75%</w:t>
            </w:r>
          </w:p>
        </w:tc>
        <w:tc>
          <w:tcPr>
            <w:tcW w:w="4159" w:type="dxa"/>
          </w:tcPr>
          <w:p w14:paraId="0862BB0F" w14:textId="77777777" w:rsidR="0052574D" w:rsidRPr="001D5732" w:rsidRDefault="0052574D" w:rsidP="0052574D">
            <w:pPr>
              <w:adjustRightInd w:val="0"/>
              <w:snapToGrid w:val="0"/>
              <w:spacing w:line="360" w:lineRule="auto"/>
              <w:jc w:val="both"/>
              <w:rPr>
                <w:rFonts w:ascii="Book Antiqua" w:hAnsi="Book Antiqua"/>
                <w:lang w:val="en-US"/>
              </w:rPr>
            </w:pPr>
            <w:r w:rsidRPr="001D5732">
              <w:rPr>
                <w:rFonts w:ascii="Book Antiqua" w:hAnsi="Book Antiqua"/>
                <w:lang w:val="en-US"/>
              </w:rPr>
              <w:t xml:space="preserve">ICG adds 25% of diagnostic </w:t>
            </w:r>
            <w:r w:rsidRPr="00C0009F">
              <w:rPr>
                <w:rFonts w:ascii="Book Antiqua" w:hAnsi="Book Antiqua"/>
                <w:lang w:val="en-US"/>
              </w:rPr>
              <w:t>improvement</w:t>
            </w:r>
          </w:p>
        </w:tc>
      </w:tr>
      <w:tr w:rsidR="0052574D" w:rsidRPr="001D5732" w14:paraId="324EA3BC" w14:textId="77777777" w:rsidTr="000B5B83">
        <w:trPr>
          <w:trHeight w:val="809"/>
        </w:trPr>
        <w:tc>
          <w:tcPr>
            <w:tcW w:w="1234" w:type="dxa"/>
          </w:tcPr>
          <w:p w14:paraId="275A448C" w14:textId="77777777" w:rsidR="0052574D" w:rsidRPr="00C0009F" w:rsidRDefault="0052574D" w:rsidP="0052574D">
            <w:pPr>
              <w:adjustRightInd w:val="0"/>
              <w:snapToGrid w:val="0"/>
              <w:spacing w:line="360" w:lineRule="auto"/>
              <w:jc w:val="both"/>
              <w:rPr>
                <w:rFonts w:ascii="Book Antiqua" w:hAnsi="Book Antiqua"/>
                <w:lang w:val="en-US"/>
              </w:rPr>
            </w:pPr>
            <w:r w:rsidRPr="00C0009F">
              <w:rPr>
                <w:rFonts w:ascii="Book Antiqua" w:hAnsi="Book Antiqua"/>
                <w:lang w:val="en-US"/>
              </w:rPr>
              <w:t>Sluiter</w:t>
            </w:r>
            <w:r w:rsidR="008E607D" w:rsidRPr="00C0009F">
              <w:rPr>
                <w:rFonts w:ascii="Book Antiqua" w:hAnsi="Book Antiqua"/>
                <w:i/>
                <w:lang w:val="en-US" w:eastAsia="zh-CN"/>
              </w:rPr>
              <w:t xml:space="preserve"> et al</w:t>
            </w:r>
            <w:r w:rsidR="008E607D" w:rsidRPr="00C0009F">
              <w:rPr>
                <w:rFonts w:ascii="Book Antiqua" w:hAnsi="Book Antiqua"/>
                <w:vertAlign w:val="superscript"/>
                <w:lang w:val="en-US" w:eastAsia="zh-CN"/>
              </w:rPr>
              <w:t>[104]</w:t>
            </w:r>
            <w:r w:rsidR="008E607D" w:rsidRPr="00C0009F">
              <w:rPr>
                <w:rFonts w:ascii="Book Antiqua" w:hAnsi="Book Antiqua"/>
                <w:lang w:val="en-US" w:eastAsia="zh-CN"/>
              </w:rPr>
              <w:t>, 2020</w:t>
            </w:r>
          </w:p>
        </w:tc>
        <w:tc>
          <w:tcPr>
            <w:tcW w:w="727" w:type="dxa"/>
          </w:tcPr>
          <w:p w14:paraId="4D0468EE" w14:textId="77777777" w:rsidR="0052574D" w:rsidRPr="00C0009F" w:rsidRDefault="0052574D" w:rsidP="0052574D">
            <w:pPr>
              <w:adjustRightInd w:val="0"/>
              <w:snapToGrid w:val="0"/>
              <w:spacing w:line="360" w:lineRule="auto"/>
              <w:jc w:val="both"/>
              <w:rPr>
                <w:rFonts w:ascii="Book Antiqua" w:hAnsi="Book Antiqua"/>
                <w:lang w:val="en-US"/>
              </w:rPr>
            </w:pPr>
            <w:r w:rsidRPr="00C0009F">
              <w:rPr>
                <w:rFonts w:ascii="Book Antiqua" w:hAnsi="Book Antiqua"/>
                <w:lang w:val="en-US"/>
              </w:rPr>
              <w:t>2019</w:t>
            </w:r>
          </w:p>
        </w:tc>
        <w:tc>
          <w:tcPr>
            <w:tcW w:w="1096" w:type="dxa"/>
          </w:tcPr>
          <w:p w14:paraId="3D3A4389" w14:textId="77777777" w:rsidR="0052574D" w:rsidRPr="00C0009F" w:rsidRDefault="0052574D" w:rsidP="0052574D">
            <w:pPr>
              <w:adjustRightInd w:val="0"/>
              <w:snapToGrid w:val="0"/>
              <w:spacing w:line="360" w:lineRule="auto"/>
              <w:jc w:val="both"/>
              <w:rPr>
                <w:rFonts w:ascii="Book Antiqua" w:hAnsi="Book Antiqua"/>
                <w:lang w:val="en-US"/>
              </w:rPr>
            </w:pPr>
            <w:r w:rsidRPr="00C0009F">
              <w:rPr>
                <w:rFonts w:ascii="Book Antiqua" w:hAnsi="Book Antiqua"/>
                <w:lang w:val="en-US"/>
              </w:rPr>
              <w:t>28</w:t>
            </w:r>
          </w:p>
        </w:tc>
        <w:tc>
          <w:tcPr>
            <w:tcW w:w="1150" w:type="dxa"/>
          </w:tcPr>
          <w:p w14:paraId="7F3DA6C6" w14:textId="77777777" w:rsidR="0052574D" w:rsidRPr="00C0009F" w:rsidRDefault="0052574D" w:rsidP="0052574D">
            <w:pPr>
              <w:adjustRightInd w:val="0"/>
              <w:snapToGrid w:val="0"/>
              <w:spacing w:line="360" w:lineRule="auto"/>
              <w:jc w:val="both"/>
              <w:rPr>
                <w:rFonts w:ascii="Book Antiqua" w:hAnsi="Book Antiqua"/>
                <w:lang w:val="en-US"/>
              </w:rPr>
            </w:pPr>
            <w:r w:rsidRPr="00C0009F">
              <w:rPr>
                <w:rFonts w:ascii="Book Antiqua" w:hAnsi="Book Antiqua"/>
                <w:lang w:val="en-US"/>
              </w:rPr>
              <w:t>169</w:t>
            </w:r>
          </w:p>
        </w:tc>
        <w:tc>
          <w:tcPr>
            <w:tcW w:w="1416" w:type="dxa"/>
          </w:tcPr>
          <w:p w14:paraId="7B33E91F" w14:textId="77777777" w:rsidR="0052574D" w:rsidRPr="00C0009F" w:rsidRDefault="0052574D" w:rsidP="0052574D">
            <w:pPr>
              <w:adjustRightInd w:val="0"/>
              <w:snapToGrid w:val="0"/>
              <w:spacing w:line="360" w:lineRule="auto"/>
              <w:jc w:val="both"/>
              <w:rPr>
                <w:rFonts w:ascii="Book Antiqua" w:hAnsi="Book Antiqua"/>
                <w:lang w:val="en-US"/>
              </w:rPr>
            </w:pPr>
          </w:p>
        </w:tc>
        <w:tc>
          <w:tcPr>
            <w:tcW w:w="1403" w:type="dxa"/>
          </w:tcPr>
          <w:p w14:paraId="11833962" w14:textId="77777777" w:rsidR="0052574D" w:rsidRPr="00C0009F" w:rsidRDefault="0052574D" w:rsidP="0052574D">
            <w:pPr>
              <w:adjustRightInd w:val="0"/>
              <w:snapToGrid w:val="0"/>
              <w:spacing w:line="360" w:lineRule="auto"/>
              <w:jc w:val="both"/>
              <w:rPr>
                <w:rFonts w:ascii="Book Antiqua" w:hAnsi="Book Antiqua"/>
                <w:lang w:val="en-US"/>
              </w:rPr>
            </w:pPr>
            <w:r w:rsidRPr="00C0009F">
              <w:rPr>
                <w:rFonts w:ascii="Book Antiqua" w:hAnsi="Book Antiqua"/>
                <w:lang w:val="en-US"/>
              </w:rPr>
              <w:t>80%</w:t>
            </w:r>
          </w:p>
        </w:tc>
        <w:tc>
          <w:tcPr>
            <w:tcW w:w="1389" w:type="dxa"/>
          </w:tcPr>
          <w:p w14:paraId="723D2676" w14:textId="77777777" w:rsidR="0052574D" w:rsidRPr="00C0009F" w:rsidRDefault="0052574D" w:rsidP="0052574D">
            <w:pPr>
              <w:adjustRightInd w:val="0"/>
              <w:snapToGrid w:val="0"/>
              <w:spacing w:line="360" w:lineRule="auto"/>
              <w:jc w:val="both"/>
              <w:rPr>
                <w:rFonts w:ascii="Book Antiqua" w:hAnsi="Book Antiqua"/>
                <w:lang w:val="en-US"/>
              </w:rPr>
            </w:pPr>
            <w:r w:rsidRPr="00C0009F">
              <w:rPr>
                <w:rFonts w:ascii="Book Antiqua" w:hAnsi="Book Antiqua"/>
                <w:lang w:val="en-US"/>
              </w:rPr>
              <w:t>74.8%</w:t>
            </w:r>
          </w:p>
        </w:tc>
        <w:tc>
          <w:tcPr>
            <w:tcW w:w="4159" w:type="dxa"/>
          </w:tcPr>
          <w:p w14:paraId="2EF9701C" w14:textId="77777777" w:rsidR="0052574D" w:rsidRPr="001D5732" w:rsidRDefault="0052574D" w:rsidP="0052574D">
            <w:pPr>
              <w:adjustRightInd w:val="0"/>
              <w:snapToGrid w:val="0"/>
              <w:spacing w:line="360" w:lineRule="auto"/>
              <w:jc w:val="both"/>
              <w:rPr>
                <w:rFonts w:ascii="Book Antiqua" w:hAnsi="Book Antiqua"/>
                <w:lang w:val="en-US"/>
              </w:rPr>
            </w:pPr>
            <w:r w:rsidRPr="001D5732">
              <w:rPr>
                <w:rFonts w:ascii="Book Antiqua" w:hAnsi="Book Antiqua"/>
                <w:lang w:val="en-US"/>
              </w:rPr>
              <w:t>NBI increases sensitivity from 80% to 96% when compared with white light, with the same specificity</w:t>
            </w:r>
          </w:p>
        </w:tc>
      </w:tr>
    </w:tbl>
    <w:p w14:paraId="0DEC3AAB" w14:textId="728EA85D" w:rsidR="00A77B3E" w:rsidRPr="001D5732" w:rsidRDefault="000B5B83" w:rsidP="003F2A41">
      <w:pPr>
        <w:adjustRightInd w:val="0"/>
        <w:snapToGrid w:val="0"/>
        <w:spacing w:line="360" w:lineRule="auto"/>
        <w:jc w:val="both"/>
        <w:rPr>
          <w:rFonts w:ascii="Book Antiqua" w:hAnsi="Book Antiqua"/>
          <w:lang w:eastAsia="zh-CN"/>
        </w:rPr>
      </w:pPr>
      <w:r w:rsidRPr="001D5732">
        <w:rPr>
          <w:rFonts w:ascii="Book Antiqua" w:hAnsi="Book Antiqua"/>
          <w:bCs/>
        </w:rPr>
        <w:t>ICG</w:t>
      </w:r>
      <w:r w:rsidRPr="001D5732">
        <w:rPr>
          <w:rFonts w:ascii="Book Antiqua" w:hAnsi="Book Antiqua"/>
          <w:bCs/>
          <w:lang w:eastAsia="zh-CN"/>
        </w:rPr>
        <w:t>:</w:t>
      </w:r>
      <w:r w:rsidRPr="001D5732">
        <w:rPr>
          <w:rFonts w:ascii="Book Antiqua" w:hAnsi="Book Antiqua"/>
          <w:bCs/>
        </w:rPr>
        <w:t xml:space="preserve"> </w:t>
      </w:r>
      <w:r w:rsidRPr="001D5732">
        <w:rPr>
          <w:rFonts w:ascii="Book Antiqua" w:hAnsi="Book Antiqua"/>
          <w:bCs/>
          <w:lang w:eastAsia="zh-CN"/>
        </w:rPr>
        <w:t>I</w:t>
      </w:r>
      <w:r w:rsidRPr="001D5732">
        <w:rPr>
          <w:rFonts w:ascii="Book Antiqua" w:hAnsi="Book Antiqua"/>
          <w:bCs/>
        </w:rPr>
        <w:t>ndocyanine green</w:t>
      </w:r>
      <w:r w:rsidRPr="001D5732">
        <w:rPr>
          <w:rFonts w:ascii="Book Antiqua" w:hAnsi="Book Antiqua"/>
        </w:rPr>
        <w:t xml:space="preserve">; </w:t>
      </w:r>
      <w:r w:rsidR="0052574D" w:rsidRPr="001D5732">
        <w:rPr>
          <w:rFonts w:ascii="Book Antiqua" w:hAnsi="Book Antiqua"/>
        </w:rPr>
        <w:t>NBI</w:t>
      </w:r>
      <w:r w:rsidR="003F2A41" w:rsidRPr="001D5732">
        <w:rPr>
          <w:rFonts w:ascii="Book Antiqua" w:hAnsi="Book Antiqua"/>
          <w:lang w:eastAsia="zh-CN"/>
        </w:rPr>
        <w:t>:</w:t>
      </w:r>
      <w:r w:rsidR="003F2A41" w:rsidRPr="001D5732">
        <w:rPr>
          <w:rFonts w:ascii="Book Antiqua" w:hAnsi="Book Antiqua"/>
        </w:rPr>
        <w:t xml:space="preserve"> </w:t>
      </w:r>
      <w:r w:rsidR="003F2A41" w:rsidRPr="001D5732">
        <w:rPr>
          <w:rFonts w:ascii="Book Antiqua" w:hAnsi="Book Antiqua"/>
          <w:lang w:eastAsia="zh-CN"/>
        </w:rPr>
        <w:t>N</w:t>
      </w:r>
      <w:r w:rsidR="0052574D" w:rsidRPr="001D5732">
        <w:rPr>
          <w:rFonts w:ascii="Book Antiqua" w:hAnsi="Book Antiqua"/>
        </w:rPr>
        <w:t>arrow band imaging</w:t>
      </w:r>
      <w:r w:rsidRPr="001D5732">
        <w:rPr>
          <w:rFonts w:ascii="Book Antiqua" w:hAnsi="Book Antiqua"/>
        </w:rPr>
        <w:t>.</w:t>
      </w:r>
    </w:p>
    <w:sectPr w:rsidR="00A77B3E" w:rsidRPr="001D5732" w:rsidSect="0052574D">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0F2CE1" w14:textId="77777777" w:rsidR="00877F93" w:rsidRDefault="00877F93" w:rsidP="006D469F">
      <w:r>
        <w:separator/>
      </w:r>
    </w:p>
  </w:endnote>
  <w:endnote w:type="continuationSeparator" w:id="0">
    <w:p w14:paraId="6B96CEDE" w14:textId="77777777" w:rsidR="00877F93" w:rsidRDefault="00877F93" w:rsidP="006D46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11B115" w14:textId="77777777" w:rsidR="00C0009F" w:rsidRDefault="00C000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Book Antiqua" w:hAnsi="Book Antiqua"/>
        <w:sz w:val="24"/>
        <w:szCs w:val="24"/>
      </w:rPr>
      <w:id w:val="611703438"/>
      <w:docPartObj>
        <w:docPartGallery w:val="Page Numbers (Bottom of Page)"/>
        <w:docPartUnique/>
      </w:docPartObj>
    </w:sdtPr>
    <w:sdtEndPr/>
    <w:sdtContent>
      <w:sdt>
        <w:sdtPr>
          <w:rPr>
            <w:rFonts w:ascii="Book Antiqua" w:hAnsi="Book Antiqua"/>
            <w:sz w:val="24"/>
            <w:szCs w:val="24"/>
          </w:rPr>
          <w:id w:val="860082579"/>
          <w:docPartObj>
            <w:docPartGallery w:val="Page Numbers (Top of Page)"/>
            <w:docPartUnique/>
          </w:docPartObj>
        </w:sdtPr>
        <w:sdtEndPr/>
        <w:sdtContent>
          <w:p w14:paraId="65309B13" w14:textId="77777777" w:rsidR="006D469F" w:rsidRPr="00C07FE5" w:rsidRDefault="006D469F">
            <w:pPr>
              <w:pStyle w:val="Footer"/>
              <w:jc w:val="right"/>
              <w:rPr>
                <w:rFonts w:ascii="Book Antiqua" w:hAnsi="Book Antiqua"/>
                <w:sz w:val="24"/>
                <w:szCs w:val="24"/>
              </w:rPr>
            </w:pPr>
            <w:r w:rsidRPr="00C07FE5">
              <w:rPr>
                <w:rFonts w:ascii="Book Antiqua" w:hAnsi="Book Antiqua"/>
                <w:sz w:val="24"/>
                <w:szCs w:val="24"/>
                <w:lang w:val="zh-CN" w:eastAsia="zh-CN"/>
              </w:rPr>
              <w:t xml:space="preserve"> </w:t>
            </w:r>
            <w:r w:rsidRPr="00C07FE5">
              <w:rPr>
                <w:rFonts w:ascii="Book Antiqua" w:hAnsi="Book Antiqua"/>
                <w:sz w:val="24"/>
                <w:szCs w:val="24"/>
              </w:rPr>
              <w:fldChar w:fldCharType="begin"/>
            </w:r>
            <w:r w:rsidRPr="00C07FE5">
              <w:rPr>
                <w:rFonts w:ascii="Book Antiqua" w:hAnsi="Book Antiqua"/>
                <w:sz w:val="24"/>
                <w:szCs w:val="24"/>
              </w:rPr>
              <w:instrText>PAGE</w:instrText>
            </w:r>
            <w:r w:rsidRPr="00C07FE5">
              <w:rPr>
                <w:rFonts w:ascii="Book Antiqua" w:hAnsi="Book Antiqua"/>
                <w:sz w:val="24"/>
                <w:szCs w:val="24"/>
              </w:rPr>
              <w:fldChar w:fldCharType="separate"/>
            </w:r>
            <w:r w:rsidR="00130A1D" w:rsidRPr="00C07FE5">
              <w:rPr>
                <w:rFonts w:ascii="Book Antiqua" w:hAnsi="Book Antiqua"/>
                <w:noProof/>
                <w:sz w:val="24"/>
                <w:szCs w:val="24"/>
              </w:rPr>
              <w:t>2</w:t>
            </w:r>
            <w:r w:rsidRPr="00C07FE5">
              <w:rPr>
                <w:rFonts w:ascii="Book Antiqua" w:hAnsi="Book Antiqua"/>
                <w:sz w:val="24"/>
                <w:szCs w:val="24"/>
              </w:rPr>
              <w:fldChar w:fldCharType="end"/>
            </w:r>
            <w:r w:rsidRPr="00C07FE5">
              <w:rPr>
                <w:rFonts w:ascii="Book Antiqua" w:hAnsi="Book Antiqua"/>
                <w:sz w:val="24"/>
                <w:szCs w:val="24"/>
                <w:lang w:val="zh-CN" w:eastAsia="zh-CN"/>
              </w:rPr>
              <w:t xml:space="preserve"> / </w:t>
            </w:r>
            <w:r w:rsidRPr="00C07FE5">
              <w:rPr>
                <w:rFonts w:ascii="Book Antiqua" w:hAnsi="Book Antiqua"/>
                <w:sz w:val="24"/>
                <w:szCs w:val="24"/>
              </w:rPr>
              <w:fldChar w:fldCharType="begin"/>
            </w:r>
            <w:r w:rsidRPr="00C07FE5">
              <w:rPr>
                <w:rFonts w:ascii="Book Antiqua" w:hAnsi="Book Antiqua"/>
                <w:sz w:val="24"/>
                <w:szCs w:val="24"/>
              </w:rPr>
              <w:instrText>NUMPAGES</w:instrText>
            </w:r>
            <w:r w:rsidRPr="00C07FE5">
              <w:rPr>
                <w:rFonts w:ascii="Book Antiqua" w:hAnsi="Book Antiqua"/>
                <w:sz w:val="24"/>
                <w:szCs w:val="24"/>
              </w:rPr>
              <w:fldChar w:fldCharType="separate"/>
            </w:r>
            <w:r w:rsidR="00130A1D" w:rsidRPr="00C07FE5">
              <w:rPr>
                <w:rFonts w:ascii="Book Antiqua" w:hAnsi="Book Antiqua"/>
                <w:noProof/>
                <w:sz w:val="24"/>
                <w:szCs w:val="24"/>
              </w:rPr>
              <w:t>39</w:t>
            </w:r>
            <w:r w:rsidRPr="00C07FE5">
              <w:rPr>
                <w:rFonts w:ascii="Book Antiqua" w:hAnsi="Book Antiqua"/>
                <w:sz w:val="24"/>
                <w:szCs w:val="24"/>
              </w:rPr>
              <w:fldChar w:fldCharType="end"/>
            </w:r>
          </w:p>
        </w:sdtContent>
      </w:sdt>
    </w:sdtContent>
  </w:sdt>
  <w:p w14:paraId="14BA1DFE" w14:textId="77777777" w:rsidR="006D469F" w:rsidRDefault="006D469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6CF5FA" w14:textId="77777777" w:rsidR="00C0009F" w:rsidRDefault="00C000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1BDDB5" w14:textId="77777777" w:rsidR="00877F93" w:rsidRDefault="00877F93" w:rsidP="006D469F">
      <w:r>
        <w:separator/>
      </w:r>
    </w:p>
  </w:footnote>
  <w:footnote w:type="continuationSeparator" w:id="0">
    <w:p w14:paraId="69CF21C7" w14:textId="77777777" w:rsidR="00877F93" w:rsidRDefault="00877F93" w:rsidP="006D46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A27790" w14:textId="77777777" w:rsidR="00C0009F" w:rsidRDefault="00C000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C3D7D6" w14:textId="77777777" w:rsidR="00C0009F" w:rsidRDefault="00C0009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8F58C4" w14:textId="77777777" w:rsidR="00C0009F" w:rsidRDefault="00C0009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5"/>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313E0"/>
    <w:rsid w:val="00036B02"/>
    <w:rsid w:val="00046C32"/>
    <w:rsid w:val="000939DF"/>
    <w:rsid w:val="000B5B83"/>
    <w:rsid w:val="000C6315"/>
    <w:rsid w:val="000D4DEC"/>
    <w:rsid w:val="00130A1D"/>
    <w:rsid w:val="001B5EC9"/>
    <w:rsid w:val="001C3DF9"/>
    <w:rsid w:val="001D5732"/>
    <w:rsid w:val="002038A1"/>
    <w:rsid w:val="00226031"/>
    <w:rsid w:val="0026450D"/>
    <w:rsid w:val="002F4522"/>
    <w:rsid w:val="0032468D"/>
    <w:rsid w:val="0036027D"/>
    <w:rsid w:val="00363C4C"/>
    <w:rsid w:val="00381213"/>
    <w:rsid w:val="00383B58"/>
    <w:rsid w:val="003A0C59"/>
    <w:rsid w:val="003F2A41"/>
    <w:rsid w:val="00400BF9"/>
    <w:rsid w:val="00493D2D"/>
    <w:rsid w:val="004D1658"/>
    <w:rsid w:val="004E57ED"/>
    <w:rsid w:val="00505041"/>
    <w:rsid w:val="0052574D"/>
    <w:rsid w:val="00533FEF"/>
    <w:rsid w:val="00557C26"/>
    <w:rsid w:val="005811E0"/>
    <w:rsid w:val="00585E2A"/>
    <w:rsid w:val="00585E9F"/>
    <w:rsid w:val="00592EA0"/>
    <w:rsid w:val="005D4800"/>
    <w:rsid w:val="005F1766"/>
    <w:rsid w:val="00601900"/>
    <w:rsid w:val="00605922"/>
    <w:rsid w:val="00606050"/>
    <w:rsid w:val="00634E40"/>
    <w:rsid w:val="006612B2"/>
    <w:rsid w:val="00664835"/>
    <w:rsid w:val="00691208"/>
    <w:rsid w:val="006A59C5"/>
    <w:rsid w:val="006A64B4"/>
    <w:rsid w:val="006B363B"/>
    <w:rsid w:val="006C3577"/>
    <w:rsid w:val="006D469F"/>
    <w:rsid w:val="00782F37"/>
    <w:rsid w:val="00795B08"/>
    <w:rsid w:val="007B2600"/>
    <w:rsid w:val="00813D0D"/>
    <w:rsid w:val="008263C0"/>
    <w:rsid w:val="00832661"/>
    <w:rsid w:val="00877F93"/>
    <w:rsid w:val="008D191D"/>
    <w:rsid w:val="008E607D"/>
    <w:rsid w:val="008F321F"/>
    <w:rsid w:val="008F63A2"/>
    <w:rsid w:val="00926118"/>
    <w:rsid w:val="00936D68"/>
    <w:rsid w:val="00943454"/>
    <w:rsid w:val="00944134"/>
    <w:rsid w:val="009531BA"/>
    <w:rsid w:val="00985DDE"/>
    <w:rsid w:val="009A4D1A"/>
    <w:rsid w:val="009D4298"/>
    <w:rsid w:val="009E18DD"/>
    <w:rsid w:val="00A77B3E"/>
    <w:rsid w:val="00A80B54"/>
    <w:rsid w:val="00AA423B"/>
    <w:rsid w:val="00AB18F9"/>
    <w:rsid w:val="00AC00AC"/>
    <w:rsid w:val="00AC4D86"/>
    <w:rsid w:val="00B04E4C"/>
    <w:rsid w:val="00B24DCA"/>
    <w:rsid w:val="00B37237"/>
    <w:rsid w:val="00BB1E0B"/>
    <w:rsid w:val="00BC6DD2"/>
    <w:rsid w:val="00BF0484"/>
    <w:rsid w:val="00C0009F"/>
    <w:rsid w:val="00C07FE5"/>
    <w:rsid w:val="00C13C9B"/>
    <w:rsid w:val="00C70244"/>
    <w:rsid w:val="00CA2A55"/>
    <w:rsid w:val="00CA7E3D"/>
    <w:rsid w:val="00D16659"/>
    <w:rsid w:val="00D92D9C"/>
    <w:rsid w:val="00DA2E21"/>
    <w:rsid w:val="00DB53E8"/>
    <w:rsid w:val="00DC0253"/>
    <w:rsid w:val="00DD47E6"/>
    <w:rsid w:val="00DD4E36"/>
    <w:rsid w:val="00E228A0"/>
    <w:rsid w:val="00E5769E"/>
    <w:rsid w:val="00EA6887"/>
    <w:rsid w:val="00F11B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8056EE"/>
  <w15:docId w15:val="{E7514DCA-C757-4BBA-9910-98D3223BD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95B08"/>
    <w:pPr>
      <w:spacing w:before="100" w:beforeAutospacing="1" w:after="100" w:afterAutospacing="1"/>
    </w:pPr>
    <w:rPr>
      <w:rFonts w:ascii="SimSun" w:eastAsia="SimSun" w:hAnsi="SimSun" w:cs="SimSun"/>
      <w:lang w:eastAsia="zh-CN"/>
    </w:rPr>
  </w:style>
  <w:style w:type="table" w:styleId="TableGrid">
    <w:name w:val="Table Grid"/>
    <w:basedOn w:val="TableNormal"/>
    <w:uiPriority w:val="39"/>
    <w:rsid w:val="0052574D"/>
    <w:rPr>
      <w:rFonts w:asciiTheme="minorHAnsi" w:hAnsiTheme="minorHAnsi" w:cstheme="minorBidi"/>
      <w:sz w:val="24"/>
      <w:szCs w:val="24"/>
      <w:lang w:val="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6D469F"/>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6D469F"/>
    <w:rPr>
      <w:sz w:val="18"/>
      <w:szCs w:val="18"/>
    </w:rPr>
  </w:style>
  <w:style w:type="paragraph" w:styleId="Footer">
    <w:name w:val="footer"/>
    <w:basedOn w:val="Normal"/>
    <w:link w:val="FooterChar"/>
    <w:uiPriority w:val="99"/>
    <w:rsid w:val="006D469F"/>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6D469F"/>
    <w:rPr>
      <w:sz w:val="18"/>
      <w:szCs w:val="18"/>
    </w:rPr>
  </w:style>
  <w:style w:type="paragraph" w:styleId="BalloonText">
    <w:name w:val="Balloon Text"/>
    <w:basedOn w:val="Normal"/>
    <w:link w:val="BalloonTextChar"/>
    <w:rsid w:val="009D4298"/>
    <w:rPr>
      <w:sz w:val="18"/>
      <w:szCs w:val="18"/>
    </w:rPr>
  </w:style>
  <w:style w:type="character" w:customStyle="1" w:styleId="BalloonTextChar">
    <w:name w:val="Balloon Text Char"/>
    <w:basedOn w:val="DefaultParagraphFont"/>
    <w:link w:val="BalloonText"/>
    <w:rsid w:val="009D429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44797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36</Pages>
  <Words>10130</Words>
  <Characters>57742</Characters>
  <Application>Microsoft Office Word</Application>
  <DocSecurity>0</DocSecurity>
  <Lines>481</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Benavides</dc:creator>
  <cp:lastModifiedBy>Donna Fox</cp:lastModifiedBy>
  <cp:revision>2</cp:revision>
  <dcterms:created xsi:type="dcterms:W3CDTF">2021-08-04T02:40:00Z</dcterms:created>
  <dcterms:modified xsi:type="dcterms:W3CDTF">2021-08-04T02:40:00Z</dcterms:modified>
</cp:coreProperties>
</file>