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0F07" w14:textId="77777777" w:rsidR="00A77B3E" w:rsidRDefault="005E57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7BE872DB" w14:textId="77777777" w:rsidR="00A77B3E" w:rsidRDefault="005E579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64727</w:t>
      </w:r>
    </w:p>
    <w:p w14:paraId="1F8B2A4E" w14:textId="77777777" w:rsidR="00A77B3E" w:rsidRDefault="005E579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8E2B7CC" w14:textId="77777777" w:rsidR="00A77B3E" w:rsidRDefault="00A77B3E">
      <w:pPr>
        <w:spacing w:line="360" w:lineRule="auto"/>
        <w:jc w:val="both"/>
      </w:pPr>
    </w:p>
    <w:p w14:paraId="6CB1CF32" w14:textId="77777777" w:rsidR="00A77B3E" w:rsidRDefault="005E5799">
      <w:pPr>
        <w:spacing w:line="360" w:lineRule="auto"/>
        <w:jc w:val="both"/>
      </w:pPr>
      <w:r>
        <w:rPr>
          <w:rFonts w:ascii="Book Antiqua" w:eastAsia="Book Antiqua" w:hAnsi="Book Antiqua" w:cs="Book Antiqua"/>
          <w:b/>
          <w:color w:val="000000"/>
        </w:rPr>
        <w:t>Corrosive upper gastrointestinal strictures in children: Difficulties and dilemmas</w:t>
      </w:r>
    </w:p>
    <w:p w14:paraId="7C6692F1" w14:textId="77777777" w:rsidR="00A77B3E" w:rsidRDefault="00A77B3E">
      <w:pPr>
        <w:spacing w:line="360" w:lineRule="auto"/>
        <w:jc w:val="both"/>
      </w:pPr>
    </w:p>
    <w:p w14:paraId="06202968" w14:textId="77777777" w:rsidR="00A77B3E" w:rsidRDefault="00225D37">
      <w:pPr>
        <w:spacing w:line="360" w:lineRule="auto"/>
        <w:jc w:val="both"/>
      </w:pP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MS </w:t>
      </w:r>
      <w:r w:rsidRPr="00225D3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E5799">
        <w:rPr>
          <w:rFonts w:ascii="Book Antiqua" w:eastAsia="Book Antiqua" w:hAnsi="Book Antiqua" w:cs="Book Antiqua"/>
          <w:color w:val="000000"/>
        </w:rPr>
        <w:t>Corrosive stricture in children</w:t>
      </w:r>
    </w:p>
    <w:p w14:paraId="1AE12604" w14:textId="77777777" w:rsidR="00A77B3E" w:rsidRDefault="00A77B3E">
      <w:pPr>
        <w:spacing w:line="360" w:lineRule="auto"/>
        <w:jc w:val="both"/>
      </w:pPr>
    </w:p>
    <w:p w14:paraId="4A7C39E0" w14:textId="77777777" w:rsidR="00A77B3E" w:rsidRDefault="005E5799">
      <w:pPr>
        <w:spacing w:line="360" w:lineRule="auto"/>
        <w:jc w:val="both"/>
      </w:pPr>
      <w:proofErr w:type="spellStart"/>
      <w:r>
        <w:rPr>
          <w:rFonts w:ascii="Book Antiqua" w:eastAsia="Book Antiqua" w:hAnsi="Book Antiqua" w:cs="Book Antiqua"/>
          <w:color w:val="000000"/>
        </w:rPr>
        <w:t>Moinak</w:t>
      </w:r>
      <w:proofErr w:type="spellEnd"/>
      <w:r>
        <w:rPr>
          <w:rFonts w:ascii="Book Antiqua" w:eastAsia="Book Antiqua" w:hAnsi="Book Antiqua" w:cs="Book Antiqua"/>
          <w:color w:val="000000"/>
        </w:rPr>
        <w:t xml:space="preserve"> Sen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Parijat</w:t>
      </w:r>
      <w:proofErr w:type="spellEnd"/>
      <w:r>
        <w:rPr>
          <w:rFonts w:ascii="Book Antiqua" w:eastAsia="Book Antiqua" w:hAnsi="Book Antiqua" w:cs="Book Antiqua"/>
          <w:color w:val="000000"/>
        </w:rPr>
        <w:t xml:space="preserve"> Ram Tripathi, </w:t>
      </w:r>
      <w:proofErr w:type="spellStart"/>
      <w:r>
        <w:rPr>
          <w:rFonts w:ascii="Book Antiqua" w:eastAsia="Book Antiqua" w:hAnsi="Book Antiqua" w:cs="Book Antiqua"/>
          <w:color w:val="000000"/>
        </w:rPr>
        <w:t>Sachin</w:t>
      </w:r>
      <w:proofErr w:type="spellEnd"/>
      <w:r>
        <w:rPr>
          <w:rFonts w:ascii="Book Antiqua" w:eastAsia="Book Antiqua" w:hAnsi="Book Antiqua" w:cs="Book Antiqua"/>
          <w:color w:val="000000"/>
        </w:rPr>
        <w:t xml:space="preserve"> Arora</w:t>
      </w:r>
    </w:p>
    <w:p w14:paraId="1AC518B9" w14:textId="77777777" w:rsidR="00A77B3E" w:rsidRDefault="00A77B3E">
      <w:pPr>
        <w:spacing w:line="360" w:lineRule="auto"/>
        <w:jc w:val="both"/>
      </w:pPr>
    </w:p>
    <w:p w14:paraId="16523C96" w14:textId="77777777" w:rsidR="00A77B3E" w:rsidRDefault="005E5799">
      <w:pPr>
        <w:spacing w:line="360" w:lineRule="auto"/>
        <w:jc w:val="both"/>
      </w:pPr>
      <w:proofErr w:type="spellStart"/>
      <w:r>
        <w:rPr>
          <w:rFonts w:ascii="Book Antiqua" w:eastAsia="Book Antiqua" w:hAnsi="Book Antiqua" w:cs="Book Antiqua"/>
          <w:b/>
          <w:bCs/>
          <w:color w:val="000000"/>
        </w:rPr>
        <w:t>Moinak</w:t>
      </w:r>
      <w:proofErr w:type="spellEnd"/>
      <w:r>
        <w:rPr>
          <w:rFonts w:ascii="Book Antiqua" w:eastAsia="Book Antiqua" w:hAnsi="Book Antiqua" w:cs="Book Antiqua"/>
          <w:b/>
          <w:bCs/>
          <w:color w:val="000000"/>
        </w:rPr>
        <w:t xml:space="preserve"> Sen </w:t>
      </w:r>
      <w:proofErr w:type="spellStart"/>
      <w:r>
        <w:rPr>
          <w:rFonts w:ascii="Book Antiqua" w:eastAsia="Book Antiqua" w:hAnsi="Book Antiqua" w:cs="Book Antiqua"/>
          <w:b/>
          <w:bCs/>
          <w:color w:val="000000"/>
        </w:rPr>
        <w:t>Sarma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 </w:t>
      </w:r>
      <w:proofErr w:type="spellStart"/>
      <w:r>
        <w:rPr>
          <w:rFonts w:ascii="Book Antiqua" w:eastAsia="Book Antiqua" w:hAnsi="Book Antiqua" w:cs="Book Antiqua"/>
          <w:color w:val="000000"/>
        </w:rPr>
        <w:t>Gastroenetrology</w:t>
      </w:r>
      <w:proofErr w:type="spellEnd"/>
      <w:r>
        <w:rPr>
          <w:rFonts w:ascii="Book Antiqua" w:eastAsia="Book Antiqua" w:hAnsi="Book Antiqua" w:cs="Book Antiqua"/>
          <w:color w:val="000000"/>
        </w:rPr>
        <w:t>, Sanjay Gandhi Postgraduate Institute of Medical Sciences, Lucknow 226014, Uttar Pradesh, India</w:t>
      </w:r>
    </w:p>
    <w:p w14:paraId="6BEB15FD" w14:textId="77777777" w:rsidR="00A77B3E" w:rsidRDefault="00A77B3E">
      <w:pPr>
        <w:spacing w:line="360" w:lineRule="auto"/>
        <w:jc w:val="both"/>
      </w:pPr>
    </w:p>
    <w:p w14:paraId="34B78066" w14:textId="77777777" w:rsidR="00A77B3E" w:rsidRDefault="005E5799">
      <w:pPr>
        <w:spacing w:line="360" w:lineRule="auto"/>
        <w:jc w:val="both"/>
      </w:pPr>
      <w:proofErr w:type="spellStart"/>
      <w:r>
        <w:rPr>
          <w:rFonts w:ascii="Book Antiqua" w:eastAsia="Book Antiqua" w:hAnsi="Book Antiqua" w:cs="Book Antiqua"/>
          <w:b/>
          <w:bCs/>
          <w:color w:val="000000"/>
        </w:rPr>
        <w:t>Parijat</w:t>
      </w:r>
      <w:proofErr w:type="spellEnd"/>
      <w:r>
        <w:rPr>
          <w:rFonts w:ascii="Book Antiqua" w:eastAsia="Book Antiqua" w:hAnsi="Book Antiqua" w:cs="Book Antiqua"/>
          <w:b/>
          <w:bCs/>
          <w:color w:val="000000"/>
        </w:rPr>
        <w:t xml:space="preserve"> Ram Tripathi, </w:t>
      </w:r>
      <w:r>
        <w:rPr>
          <w:rFonts w:ascii="Book Antiqua" w:eastAsia="Book Antiqua" w:hAnsi="Book Antiqua" w:cs="Book Antiqua"/>
          <w:color w:val="000000"/>
        </w:rPr>
        <w:t xml:space="preserve">Department of Pediatric </w:t>
      </w:r>
      <w:proofErr w:type="spellStart"/>
      <w:r>
        <w:rPr>
          <w:rFonts w:ascii="Book Antiqua" w:eastAsia="Book Antiqua" w:hAnsi="Book Antiqua" w:cs="Book Antiqua"/>
          <w:color w:val="000000"/>
        </w:rPr>
        <w:t>Gastroenetrology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Ankura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Hospsital</w:t>
      </w:r>
      <w:proofErr w:type="spellEnd"/>
      <w:r>
        <w:rPr>
          <w:rFonts w:ascii="Book Antiqua" w:eastAsia="Book Antiqua" w:hAnsi="Book Antiqua" w:cs="Book Antiqua"/>
          <w:color w:val="000000"/>
        </w:rPr>
        <w:t xml:space="preserve"> for Women and Children, Hyderabad 500072, Telangana, India</w:t>
      </w:r>
    </w:p>
    <w:p w14:paraId="7EC59BB2" w14:textId="77777777" w:rsidR="00A77B3E" w:rsidRDefault="00A77B3E">
      <w:pPr>
        <w:spacing w:line="360" w:lineRule="auto"/>
        <w:jc w:val="both"/>
      </w:pPr>
    </w:p>
    <w:p w14:paraId="7DF30946" w14:textId="77777777" w:rsidR="00A77B3E" w:rsidRDefault="005E5799">
      <w:pPr>
        <w:spacing w:line="360" w:lineRule="auto"/>
        <w:jc w:val="both"/>
      </w:pPr>
      <w:proofErr w:type="spellStart"/>
      <w:r>
        <w:rPr>
          <w:rFonts w:ascii="Book Antiqua" w:eastAsia="Book Antiqua" w:hAnsi="Book Antiqua" w:cs="Book Antiqua"/>
          <w:b/>
          <w:bCs/>
          <w:color w:val="000000"/>
        </w:rPr>
        <w:t>Sachin</w:t>
      </w:r>
      <w:proofErr w:type="spellEnd"/>
      <w:r>
        <w:rPr>
          <w:rFonts w:ascii="Book Antiqua" w:eastAsia="Book Antiqua" w:hAnsi="Book Antiqua" w:cs="Book Antiqua"/>
          <w:b/>
          <w:bCs/>
          <w:color w:val="000000"/>
        </w:rPr>
        <w:t xml:space="preserve"> Arora, </w:t>
      </w:r>
      <w:r>
        <w:rPr>
          <w:rFonts w:ascii="Book Antiqua" w:eastAsia="Book Antiqua" w:hAnsi="Book Antiqua" w:cs="Book Antiqua"/>
          <w:color w:val="000000"/>
        </w:rPr>
        <w:t>Department of Surgical Gastroenterology, Sanjay Gandhi Postgraduate Institute of Medical Sciences, Lucknow 226014, Uttar Pradesh, India</w:t>
      </w:r>
    </w:p>
    <w:p w14:paraId="6FB7CE51" w14:textId="77777777" w:rsidR="00A77B3E" w:rsidRDefault="00A77B3E">
      <w:pPr>
        <w:spacing w:line="360" w:lineRule="auto"/>
        <w:jc w:val="both"/>
      </w:pPr>
    </w:p>
    <w:p w14:paraId="7972FE6C" w14:textId="77777777" w:rsidR="00A77B3E" w:rsidRPr="00225D37" w:rsidRDefault="005E5799">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w:t>
      </w:r>
      <w:r w:rsidR="00225D37">
        <w:rPr>
          <w:rFonts w:ascii="Book Antiqua" w:hAnsi="Book Antiqua" w:cs="Book Antiqua" w:hint="eastAsia"/>
          <w:color w:val="000000"/>
          <w:lang w:eastAsia="zh-CN"/>
        </w:rPr>
        <w:t xml:space="preserve">S </w:t>
      </w:r>
      <w:r w:rsidR="00225D37" w:rsidRPr="00225D37">
        <w:rPr>
          <w:rFonts w:ascii="Book Antiqua" w:eastAsia="Book Antiqua" w:hAnsi="Book Antiqua" w:cs="Book Antiqua"/>
          <w:color w:val="000000"/>
        </w:rPr>
        <w:t>contribut</w:t>
      </w:r>
      <w:r w:rsidR="00225D37">
        <w:rPr>
          <w:rFonts w:ascii="Book Antiqua" w:hAnsi="Book Antiqua" w:cs="Book Antiqua" w:hint="eastAsia"/>
          <w:color w:val="000000"/>
          <w:lang w:eastAsia="zh-CN"/>
        </w:rPr>
        <w:t>ed</w:t>
      </w:r>
      <w:r>
        <w:rPr>
          <w:rFonts w:ascii="Book Antiqua" w:eastAsia="Book Antiqua" w:hAnsi="Book Antiqua" w:cs="Book Antiqua"/>
          <w:color w:val="000000"/>
        </w:rPr>
        <w:t xml:space="preserve"> </w:t>
      </w:r>
      <w:proofErr w:type="spellStart"/>
      <w:r w:rsidR="00225D37">
        <w:rPr>
          <w:rFonts w:ascii="Book Antiqua" w:hAnsi="Book Antiqua" w:cs="Book Antiqua" w:hint="eastAsia"/>
          <w:color w:val="000000"/>
          <w:lang w:eastAsia="zh-CN"/>
        </w:rPr>
        <w:t>c</w:t>
      </w:r>
      <w:r>
        <w:rPr>
          <w:rFonts w:ascii="Book Antiqua" w:eastAsia="Book Antiqua" w:hAnsi="Book Antiqua" w:cs="Book Antiqua"/>
          <w:color w:val="000000"/>
        </w:rPr>
        <w:t>onceptualisation</w:t>
      </w:r>
      <w:proofErr w:type="spellEnd"/>
      <w:r>
        <w:rPr>
          <w:rFonts w:ascii="Book Antiqua" w:eastAsia="Book Antiqua" w:hAnsi="Book Antiqua" w:cs="Book Antiqua"/>
          <w:color w:val="000000"/>
        </w:rPr>
        <w:t>, intellectual inputs, final drafting</w:t>
      </w:r>
      <w:r w:rsidR="00225D37">
        <w:rPr>
          <w:rFonts w:ascii="Book Antiqua" w:hAnsi="Book Antiqua" w:cs="Book Antiqua" w:hint="eastAsia"/>
          <w:color w:val="000000"/>
          <w:lang w:eastAsia="zh-CN"/>
        </w:rPr>
        <w:t xml:space="preserve">; </w:t>
      </w:r>
      <w:r>
        <w:rPr>
          <w:rFonts w:ascii="Book Antiqua" w:eastAsia="Book Antiqua" w:hAnsi="Book Antiqua" w:cs="Book Antiqua"/>
          <w:color w:val="000000"/>
        </w:rPr>
        <w:t>Tripathi PR</w:t>
      </w:r>
      <w:r w:rsidR="00225D37">
        <w:rPr>
          <w:rFonts w:ascii="Book Antiqua" w:hAnsi="Book Antiqua" w:cs="Book Antiqua" w:hint="eastAsia"/>
          <w:color w:val="000000"/>
          <w:lang w:eastAsia="zh-CN"/>
        </w:rPr>
        <w:t xml:space="preserve"> </w:t>
      </w:r>
      <w:r w:rsidR="00225D37" w:rsidRPr="00225D37">
        <w:rPr>
          <w:rFonts w:ascii="Book Antiqua" w:eastAsia="Book Antiqua" w:hAnsi="Book Antiqua" w:cs="Book Antiqua"/>
          <w:color w:val="000000"/>
        </w:rPr>
        <w:t>contribut</w:t>
      </w:r>
      <w:r w:rsidR="00225D37">
        <w:rPr>
          <w:rFonts w:ascii="Book Antiqua" w:hAnsi="Book Antiqua" w:cs="Book Antiqua" w:hint="eastAsia"/>
          <w:color w:val="000000"/>
          <w:lang w:eastAsia="zh-CN"/>
        </w:rPr>
        <w:t>ed</w:t>
      </w:r>
      <w:r w:rsidR="00225D37">
        <w:rPr>
          <w:rFonts w:ascii="Book Antiqua" w:eastAsia="Book Antiqua" w:hAnsi="Book Antiqua" w:cs="Book Antiqua"/>
          <w:color w:val="000000"/>
        </w:rPr>
        <w:t xml:space="preserve"> </w:t>
      </w:r>
      <w:r w:rsidR="00225D37">
        <w:rPr>
          <w:rFonts w:ascii="Book Antiqua" w:hAnsi="Book Antiqua" w:cs="Book Antiqua" w:hint="eastAsia"/>
          <w:color w:val="000000"/>
          <w:lang w:eastAsia="zh-CN"/>
        </w:rPr>
        <w:t>d</w:t>
      </w:r>
      <w:r>
        <w:rPr>
          <w:rFonts w:ascii="Book Antiqua" w:eastAsia="Book Antiqua" w:hAnsi="Book Antiqua" w:cs="Book Antiqua"/>
          <w:color w:val="000000"/>
        </w:rPr>
        <w:t>ata retrieval, primary manuscript drafting</w:t>
      </w:r>
      <w:r w:rsidR="00225D37">
        <w:rPr>
          <w:rFonts w:ascii="Book Antiqua" w:hAnsi="Book Antiqua" w:cs="Book Antiqua" w:hint="eastAsia"/>
          <w:color w:val="000000"/>
          <w:lang w:eastAsia="zh-CN"/>
        </w:rPr>
        <w:t xml:space="preserve">; </w:t>
      </w:r>
      <w:r>
        <w:rPr>
          <w:rFonts w:ascii="Book Antiqua" w:eastAsia="Book Antiqua" w:hAnsi="Book Antiqua" w:cs="Book Antiqua"/>
          <w:color w:val="000000"/>
        </w:rPr>
        <w:t>Arora S</w:t>
      </w:r>
      <w:r w:rsidR="00225D37">
        <w:rPr>
          <w:rFonts w:ascii="Book Antiqua" w:hAnsi="Book Antiqua" w:cs="Book Antiqua" w:hint="eastAsia"/>
          <w:color w:val="000000"/>
          <w:lang w:eastAsia="zh-CN"/>
        </w:rPr>
        <w:t xml:space="preserve"> </w:t>
      </w:r>
      <w:r w:rsidR="00225D37" w:rsidRPr="00225D37">
        <w:rPr>
          <w:rFonts w:ascii="Book Antiqua" w:eastAsia="Book Antiqua" w:hAnsi="Book Antiqua" w:cs="Book Antiqua"/>
          <w:color w:val="000000"/>
        </w:rPr>
        <w:t>contribut</w:t>
      </w:r>
      <w:r w:rsidR="00225D37">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225D37">
        <w:rPr>
          <w:rFonts w:ascii="Book Antiqua" w:hAnsi="Book Antiqua" w:cs="Book Antiqua" w:hint="eastAsia"/>
          <w:color w:val="000000"/>
          <w:lang w:eastAsia="zh-CN"/>
        </w:rPr>
        <w:t>i</w:t>
      </w:r>
      <w:r>
        <w:rPr>
          <w:rFonts w:ascii="Book Antiqua" w:eastAsia="Book Antiqua" w:hAnsi="Book Antiqua" w:cs="Book Antiqua"/>
          <w:color w:val="000000"/>
        </w:rPr>
        <w:t>ntellectual inputs on surgical aspects</w:t>
      </w:r>
      <w:r w:rsidR="00225D37">
        <w:rPr>
          <w:rFonts w:ascii="Book Antiqua" w:hAnsi="Book Antiqua" w:cs="Book Antiqua" w:hint="eastAsia"/>
          <w:color w:val="000000"/>
          <w:lang w:eastAsia="zh-CN"/>
        </w:rPr>
        <w:t>.</w:t>
      </w:r>
    </w:p>
    <w:p w14:paraId="4B975EF5" w14:textId="77777777" w:rsidR="00A77B3E" w:rsidRDefault="00A77B3E">
      <w:pPr>
        <w:spacing w:line="360" w:lineRule="auto"/>
        <w:jc w:val="both"/>
      </w:pPr>
    </w:p>
    <w:p w14:paraId="0922C23C" w14:textId="77777777" w:rsidR="00A77B3E" w:rsidRDefault="005E579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Moinak</w:t>
      </w:r>
      <w:proofErr w:type="spellEnd"/>
      <w:r>
        <w:rPr>
          <w:rFonts w:ascii="Book Antiqua" w:eastAsia="Book Antiqua" w:hAnsi="Book Antiqua" w:cs="Book Antiqua"/>
          <w:b/>
          <w:bCs/>
          <w:color w:val="000000"/>
        </w:rPr>
        <w:t xml:space="preserve"> Sen </w:t>
      </w:r>
      <w:proofErr w:type="spellStart"/>
      <w:r>
        <w:rPr>
          <w:rFonts w:ascii="Book Antiqua" w:eastAsia="Book Antiqua" w:hAnsi="Book Antiqua" w:cs="Book Antiqua"/>
          <w:b/>
          <w:bCs/>
          <w:color w:val="000000"/>
        </w:rPr>
        <w:t>Sarma</w:t>
      </w:r>
      <w:proofErr w:type="spellEnd"/>
      <w:r>
        <w:rPr>
          <w:rFonts w:ascii="Book Antiqua" w:eastAsia="Book Antiqua" w:hAnsi="Book Antiqua" w:cs="Book Antiqua"/>
          <w:b/>
          <w:bCs/>
          <w:color w:val="000000"/>
        </w:rPr>
        <w:t xml:space="preserve">, MBBS, MD, </w:t>
      </w:r>
      <w:r w:rsidR="00CF7F43">
        <w:rPr>
          <w:rFonts w:ascii="Book Antiqua" w:eastAsia="Book Antiqua" w:hAnsi="Book Antiqua" w:cs="Book Antiqua"/>
          <w:b/>
          <w:bCs/>
          <w:color w:val="000000"/>
        </w:rPr>
        <w:t>Associate</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 xml:space="preserve">Department of Pediatric </w:t>
      </w:r>
      <w:proofErr w:type="spellStart"/>
      <w:r>
        <w:rPr>
          <w:rFonts w:ascii="Book Antiqua" w:eastAsia="Book Antiqua" w:hAnsi="Book Antiqua" w:cs="Book Antiqua"/>
          <w:color w:val="000000"/>
        </w:rPr>
        <w:t>Gastroenetrology</w:t>
      </w:r>
      <w:proofErr w:type="spellEnd"/>
      <w:r>
        <w:rPr>
          <w:rFonts w:ascii="Book Antiqua" w:eastAsia="Book Antiqua" w:hAnsi="Book Antiqua" w:cs="Book Antiqua"/>
          <w:color w:val="000000"/>
        </w:rPr>
        <w:t>, Sanjay Gandhi Postgraduate Institute of Medical Sciences, Raebareli Road, Lucknow 226014, Uttar Pradesh, India. mmoinaksen@gmail.com</w:t>
      </w:r>
    </w:p>
    <w:p w14:paraId="15823A7C" w14:textId="77777777" w:rsidR="00A77B3E" w:rsidRDefault="00A77B3E">
      <w:pPr>
        <w:spacing w:line="360" w:lineRule="auto"/>
        <w:jc w:val="both"/>
      </w:pPr>
    </w:p>
    <w:p w14:paraId="400A73D9" w14:textId="77777777" w:rsidR="00A77B3E" w:rsidRDefault="005E579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6C0B2CA3" w14:textId="77777777" w:rsidR="00A77B3E" w:rsidRDefault="005E579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2021</w:t>
      </w:r>
    </w:p>
    <w:p w14:paraId="03BC5D22" w14:textId="558BDF28" w:rsidR="00A77B3E" w:rsidRDefault="005E5799">
      <w:pPr>
        <w:spacing w:line="360" w:lineRule="auto"/>
        <w:jc w:val="both"/>
      </w:pPr>
      <w:r>
        <w:rPr>
          <w:rFonts w:ascii="Book Antiqua" w:eastAsia="Book Antiqua" w:hAnsi="Book Antiqua" w:cs="Book Antiqua"/>
          <w:b/>
          <w:bCs/>
          <w:color w:val="000000"/>
        </w:rPr>
        <w:lastRenderedPageBreak/>
        <w:t xml:space="preserve">Accepted: </w:t>
      </w:r>
      <w:r w:rsidR="003F60F1">
        <w:rPr>
          <w:rFonts w:ascii="Book Antiqua" w:hAnsi="Book Antiqua"/>
          <w:color w:val="000000"/>
          <w:shd w:val="clear" w:color="auto" w:fill="FFFFFF"/>
        </w:rPr>
        <w:t>September 19, 2021</w:t>
      </w:r>
    </w:p>
    <w:p w14:paraId="6C4D94D3" w14:textId="77777777" w:rsidR="00A77B3E" w:rsidRDefault="005E5799">
      <w:pPr>
        <w:spacing w:line="360" w:lineRule="auto"/>
        <w:jc w:val="both"/>
      </w:pPr>
      <w:r>
        <w:rPr>
          <w:rFonts w:ascii="Book Antiqua" w:eastAsia="Book Antiqua" w:hAnsi="Book Antiqua" w:cs="Book Antiqua"/>
          <w:b/>
          <w:bCs/>
          <w:color w:val="000000"/>
        </w:rPr>
        <w:t xml:space="preserve">Published online: </w:t>
      </w:r>
    </w:p>
    <w:p w14:paraId="77535AAF" w14:textId="77777777" w:rsidR="00225D37" w:rsidRDefault="00225D37">
      <w:pPr>
        <w:spacing w:line="360" w:lineRule="auto"/>
        <w:jc w:val="both"/>
        <w:rPr>
          <w:rFonts w:ascii="Book Antiqua" w:hAnsi="Book Antiqua" w:cs="Book Antiqua"/>
          <w:b/>
          <w:color w:val="000000"/>
          <w:lang w:eastAsia="zh-CN"/>
        </w:rPr>
      </w:pPr>
    </w:p>
    <w:p w14:paraId="53CAEB7A" w14:textId="77777777" w:rsidR="00225D37" w:rsidRDefault="00225D37">
      <w:pPr>
        <w:spacing w:line="360" w:lineRule="auto"/>
        <w:jc w:val="both"/>
        <w:rPr>
          <w:rFonts w:ascii="Book Antiqua" w:hAnsi="Book Antiqua" w:cs="Book Antiqua"/>
          <w:b/>
          <w:color w:val="000000"/>
          <w:lang w:eastAsia="zh-CN"/>
        </w:rPr>
      </w:pPr>
    </w:p>
    <w:p w14:paraId="2AB8838F" w14:textId="77777777" w:rsidR="00A77B3E" w:rsidRDefault="005E5799">
      <w:pPr>
        <w:spacing w:line="360" w:lineRule="auto"/>
        <w:jc w:val="both"/>
      </w:pPr>
      <w:r>
        <w:rPr>
          <w:rFonts w:ascii="Book Antiqua" w:eastAsia="Book Antiqua" w:hAnsi="Book Antiqua" w:cs="Book Antiqua"/>
          <w:b/>
          <w:color w:val="000000"/>
        </w:rPr>
        <w:t>Abstract</w:t>
      </w:r>
    </w:p>
    <w:p w14:paraId="039BCF6F" w14:textId="77777777" w:rsidR="00A77B3E" w:rsidRDefault="005E5799">
      <w:pPr>
        <w:spacing w:line="360" w:lineRule="auto"/>
        <w:jc w:val="both"/>
      </w:pPr>
      <w:r>
        <w:rPr>
          <w:rFonts w:ascii="Book Antiqua" w:eastAsia="Book Antiqua" w:hAnsi="Book Antiqua" w:cs="Book Antiqua"/>
          <w:color w:val="000000"/>
        </w:rPr>
        <w:t>Children constitute 80% of all corrosive ingestion cases. Majority of this burden is contributed by developing countries. Accidental ingestion is common in younger children (&lt;</w:t>
      </w:r>
      <w:r w:rsidR="00225D37">
        <w:rPr>
          <w:rFonts w:ascii="Book Antiqua" w:hAnsi="Book Antiqua" w:cs="Book Antiqua" w:hint="eastAsia"/>
          <w:color w:val="000000"/>
          <w:lang w:eastAsia="zh-CN"/>
        </w:rPr>
        <w:t xml:space="preserve"> </w:t>
      </w:r>
      <w:r>
        <w:rPr>
          <w:rFonts w:ascii="Book Antiqua" w:eastAsia="Book Antiqua" w:hAnsi="Book Antiqua" w:cs="Book Antiqua"/>
          <w:color w:val="000000"/>
        </w:rPr>
        <w:t>5 years) while suicidal ingestion is more common in adolescents. Severity of injury depends on nature of corrosive (alkali or acid), pH, amount of ingestion and site of exposure. There are multiple doubts and dilemmas which exist in management of both acute ingestion and chronic complications. Acute ingestion leads to skin, respiratory tract or upper gastrointestinal damage which may range from trivial to life threatening complications. Esophagogastroduodenoscopy</w:t>
      </w:r>
      <w:r w:rsidR="00225D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an important early investigation to decide for further course of management. Use of steroids for prevention of stricture is a debatable issue. </w:t>
      </w:r>
      <w:r w:rsidR="00CF7F43">
        <w:rPr>
          <w:rFonts w:ascii="Book Antiqua" w:eastAsia="Book Antiqua" w:hAnsi="Book Antiqua" w:cs="Book Antiqua"/>
          <w:color w:val="000000"/>
        </w:rPr>
        <w:t xml:space="preserve">Upper gastrointestinal stricture is a </w:t>
      </w:r>
      <w:proofErr w:type="gramStart"/>
      <w:r w:rsidR="00CF7F43">
        <w:rPr>
          <w:rFonts w:ascii="Book Antiqua" w:eastAsia="Book Antiqua" w:hAnsi="Book Antiqua" w:cs="Book Antiqua"/>
          <w:color w:val="000000"/>
        </w:rPr>
        <w:t>common long-term sequelae of severe corrosive injury</w:t>
      </w:r>
      <w:proofErr w:type="gramEnd"/>
      <w:r w:rsidR="00CF7F43">
        <w:rPr>
          <w:rFonts w:ascii="Book Antiqua" w:eastAsia="Book Antiqua" w:hAnsi="Book Antiqua" w:cs="Book Antiqua"/>
          <w:color w:val="000000"/>
        </w:rPr>
        <w:t xml:space="preserve"> which usually develops after three weeks of ingestion. The cornerstone of management of esophageal strictures is endoscopic bougie or balloon dilatations.</w:t>
      </w:r>
      <w:r>
        <w:rPr>
          <w:rFonts w:ascii="Book Antiqua" w:eastAsia="Book Antiqua" w:hAnsi="Book Antiqua" w:cs="Book Antiqua"/>
          <w:color w:val="000000"/>
        </w:rPr>
        <w:t xml:space="preserve"> In case of resistant strictures, newer adjunctive therapies like intralesional steroid, mitomycin and stents can be utilized along with endoscopic dilatation. Surgery is the final resort for strictures resistant to endoscopic dilatation</w:t>
      </w:r>
      <w:r w:rsidR="00CF7F43">
        <w:rPr>
          <w:rFonts w:ascii="Book Antiqua" w:eastAsia="Book Antiqua" w:hAnsi="Book Antiqua" w:cs="Book Antiqua"/>
          <w:color w:val="000000"/>
        </w:rPr>
        <w:t>s</w:t>
      </w:r>
      <w:r>
        <w:rPr>
          <w:rFonts w:ascii="Book Antiqua" w:eastAsia="Book Antiqua" w:hAnsi="Book Antiqua" w:cs="Book Antiqua"/>
          <w:color w:val="000000"/>
        </w:rPr>
        <w:t xml:space="preserve"> and adjunctive therapies. There is no consensus on best esophageal replacement conduit. Pyloric strictures require dilatation with balloon, failure of which requires surgery. Patients with post-corrosive strictures should be kept in long term follow-up due to significantly increased risk of carcinoma. Despite all the endoscopic and surgical options available, management of corrosive stricture in children is a daunting task due to high chances of recurrence, perforation and complications related to poor nutrition and surgery.</w:t>
      </w:r>
    </w:p>
    <w:p w14:paraId="0B717792" w14:textId="77777777" w:rsidR="00A77B3E" w:rsidRDefault="00A77B3E">
      <w:pPr>
        <w:spacing w:line="360" w:lineRule="auto"/>
        <w:jc w:val="both"/>
      </w:pPr>
    </w:p>
    <w:p w14:paraId="1B04CFE4" w14:textId="77777777" w:rsidR="00A77B3E" w:rsidRDefault="005E5799">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Corrosive; Stricture; Children; Endoscopic dilatation; Adjunctive therapy; Surgery</w:t>
      </w:r>
    </w:p>
    <w:p w14:paraId="22A82BFB" w14:textId="77777777" w:rsidR="00A77B3E" w:rsidRDefault="00A77B3E">
      <w:pPr>
        <w:spacing w:line="360" w:lineRule="auto"/>
        <w:jc w:val="both"/>
      </w:pPr>
    </w:p>
    <w:p w14:paraId="28AC00F8" w14:textId="77777777" w:rsidR="00A77B3E" w:rsidRDefault="005E5799">
      <w:pPr>
        <w:spacing w:line="360" w:lineRule="auto"/>
        <w:jc w:val="both"/>
      </w:pP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MS, Tripathi PR, Arora S. Corrosive upper gastrointestinal strictures in children: Difficulties and dilemmas.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In press</w:t>
      </w:r>
    </w:p>
    <w:p w14:paraId="69ADFA31" w14:textId="77777777" w:rsidR="00A77B3E" w:rsidRDefault="00A77B3E">
      <w:pPr>
        <w:spacing w:line="360" w:lineRule="auto"/>
        <w:jc w:val="both"/>
      </w:pPr>
    </w:p>
    <w:p w14:paraId="52640A4F" w14:textId="77777777" w:rsidR="00A77B3E" w:rsidRDefault="005E579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Corrosive ingestion is a life-threatening problem in children. The sequelae are grave and tenacious. There are multiple dilemmas in the acute management of corrosive ingestion. Endoscopic dilatations have challenges and are the cornerstone in management of upper gastrointestinal strictures. Adjunctive therapies may play a pivotal role. Surgery is required in refractory cases.</w:t>
      </w:r>
    </w:p>
    <w:p w14:paraId="62EC50BD" w14:textId="77777777" w:rsidR="00A77B3E" w:rsidRDefault="00225D37">
      <w:pPr>
        <w:spacing w:line="360" w:lineRule="auto"/>
        <w:jc w:val="both"/>
      </w:pPr>
      <w:r>
        <w:br w:type="page"/>
      </w:r>
      <w:r w:rsidR="005E5799">
        <w:rPr>
          <w:rFonts w:ascii="Book Antiqua" w:eastAsia="Book Antiqua" w:hAnsi="Book Antiqua" w:cs="Book Antiqua"/>
          <w:b/>
          <w:caps/>
          <w:color w:val="000000"/>
          <w:u w:val="single"/>
        </w:rPr>
        <w:lastRenderedPageBreak/>
        <w:t>INTRODUCTION</w:t>
      </w:r>
    </w:p>
    <w:p w14:paraId="1EE24CE9" w14:textId="77777777" w:rsidR="00A77B3E" w:rsidRPr="00225D37" w:rsidRDefault="005E5799">
      <w:pPr>
        <w:spacing w:line="360" w:lineRule="auto"/>
        <w:jc w:val="both"/>
        <w:rPr>
          <w:i/>
        </w:rPr>
      </w:pPr>
      <w:r w:rsidRPr="00225D37">
        <w:rPr>
          <w:rFonts w:ascii="Book Antiqua" w:eastAsia="Book Antiqua" w:hAnsi="Book Antiqua" w:cs="Book Antiqua"/>
          <w:b/>
          <w:bCs/>
          <w:i/>
          <w:color w:val="000000"/>
        </w:rPr>
        <w:t>Burden of disease</w:t>
      </w:r>
    </w:p>
    <w:p w14:paraId="6AAD4FD9" w14:textId="77777777" w:rsidR="00A77B3E" w:rsidRDefault="005E5799">
      <w:pPr>
        <w:spacing w:line="360" w:lineRule="auto"/>
        <w:jc w:val="both"/>
      </w:pPr>
      <w:r>
        <w:rPr>
          <w:rFonts w:ascii="Book Antiqua" w:eastAsia="Book Antiqua" w:hAnsi="Book Antiqua" w:cs="Book Antiqua"/>
          <w:color w:val="000000"/>
        </w:rPr>
        <w:t xml:space="preserve">Corrosive ingestion is one of the commonest causes of upper gastrointestinal strictures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Worldwide, children represent 80% of all corrosive substance ingestion cases</w:t>
      </w:r>
      <w:r w:rsidR="00CF7F43">
        <w:rPr>
          <w:rFonts w:ascii="Book Antiqua" w:hAnsi="Book Antiqua" w:cs="Book Antiqua" w:hint="eastAsia"/>
          <w:color w:val="000000"/>
          <w:lang w:eastAsia="zh-CN"/>
        </w:rPr>
        <w:t>.</w:t>
      </w:r>
      <w:r>
        <w:rPr>
          <w:rFonts w:ascii="Book Antiqua" w:eastAsia="Book Antiqua" w:hAnsi="Book Antiqua" w:cs="Book Antiqua"/>
          <w:color w:val="000000"/>
        </w:rPr>
        <w:t xml:space="preserve"> Introduction of corrosives as household cleaning purposes has </w:t>
      </w:r>
      <w:proofErr w:type="spellStart"/>
      <w:r>
        <w:rPr>
          <w:rFonts w:ascii="Book Antiqua" w:eastAsia="Book Antiqua" w:hAnsi="Book Antiqua" w:cs="Book Antiqua"/>
          <w:color w:val="000000"/>
        </w:rPr>
        <w:t>lead</w:t>
      </w:r>
      <w:proofErr w:type="spellEnd"/>
      <w:r>
        <w:rPr>
          <w:rFonts w:ascii="Book Antiqua" w:eastAsia="Book Antiqua" w:hAnsi="Book Antiqua" w:cs="Book Antiqua"/>
          <w:color w:val="000000"/>
        </w:rPr>
        <w:t xml:space="preserve"> to a rapid rise in accidental and suicidal ingestion in children. Majority are accidental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especially in children younger than 5 years who constitute 60</w:t>
      </w:r>
      <w:r w:rsidR="00225D37">
        <w:rPr>
          <w:rFonts w:ascii="Book Antiqua" w:hAnsi="Book Antiqua" w:cs="Book Antiqua" w:hint="eastAsia"/>
          <w:color w:val="000000"/>
          <w:lang w:eastAsia="zh-CN"/>
        </w:rPr>
        <w:t>%</w:t>
      </w:r>
      <w:r>
        <w:rPr>
          <w:rFonts w:ascii="Book Antiqua" w:eastAsia="Book Antiqua" w:hAnsi="Book Antiqua" w:cs="Book Antiqua"/>
          <w:color w:val="000000"/>
        </w:rPr>
        <w:t>-80% of all pediatric corrosive ingestion cases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.Corrosives include both acidic and alkali substances. When these caustics come in contact with the skin or mucosa, they lead to variable extents of damage. In developed countries, corrosive injuries have decreased significantly due to strong efforts like childproof containers and biohazard labeling of caustics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developing countries, these substances are inexpensive, sold across the counter, unlicensed and often unlabeled for biosafety hazards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issue is worsened by poor literacy and unawareness. When it reaches the consumer, the caustics are stored in empty soft drink bottles and not kept out of reach of the children. Moreover acid substances are transparent, resembling water. Younger children often fall prey to accidental ingestion out of temptation, curiosity or thirst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As toddlers are verbally non-expressive, accidental ingestions may be unwitnessed and unreported till major symptoms arise. Suicidal and intentional ingestion is usually seen in dysfunctional adolescents with psychosocial trauma or in those with pre-existing psychiatric problems. In suicidal cases, caustic consumption is of large volume and symptoms are masked. Hence the cases present delayed with higher severity. Once acute complications are managed, strictures may develop at any site starting from oropharynx, laryngeal inlet, esophagus or stomach, depending upon site of maximum contact. Strictures can be single or multiple, short or long and may involve multiple sites (</w:t>
      </w:r>
      <w:r w:rsidRPr="00225D37">
        <w:rPr>
          <w:rFonts w:ascii="Book Antiqua" w:eastAsia="Book Antiqua" w:hAnsi="Book Antiqua" w:cs="Book Antiqua"/>
          <w:i/>
          <w:color w:val="000000"/>
        </w:rPr>
        <w:t>e</w:t>
      </w:r>
      <w:r w:rsidR="00225D37" w:rsidRPr="00225D37">
        <w:rPr>
          <w:rFonts w:ascii="Book Antiqua" w:hAnsi="Book Antiqua" w:cs="Book Antiqua" w:hint="eastAsia"/>
          <w:i/>
          <w:color w:val="000000"/>
          <w:lang w:eastAsia="zh-CN"/>
        </w:rPr>
        <w:t>.</w:t>
      </w:r>
      <w:r w:rsidRPr="00225D37">
        <w:rPr>
          <w:rFonts w:ascii="Book Antiqua" w:eastAsia="Book Antiqua" w:hAnsi="Book Antiqua" w:cs="Book Antiqua"/>
          <w:i/>
          <w:color w:val="000000"/>
        </w:rPr>
        <w:t>g.</w:t>
      </w:r>
      <w:r w:rsidR="00225D37">
        <w:rPr>
          <w:rFonts w:ascii="Book Antiqua" w:hAnsi="Book Antiqua" w:cs="Book Antiqua" w:hint="eastAsia"/>
          <w:color w:val="000000"/>
          <w:lang w:eastAsia="zh-CN"/>
        </w:rPr>
        <w:t>,</w:t>
      </w:r>
      <w:r>
        <w:rPr>
          <w:rFonts w:ascii="Book Antiqua" w:eastAsia="Book Antiqua" w:hAnsi="Book Antiqua" w:cs="Book Antiqua"/>
          <w:color w:val="000000"/>
        </w:rPr>
        <w:t xml:space="preserve"> combined esophageal and pyloric strictures). The overall</w:t>
      </w:r>
      <w:r w:rsidR="00225D37">
        <w:rPr>
          <w:rFonts w:ascii="Book Antiqua" w:hAnsi="Book Antiqua" w:cs="Book Antiqua" w:hint="eastAsia"/>
          <w:color w:val="000000"/>
          <w:lang w:eastAsia="zh-CN"/>
        </w:rPr>
        <w:t xml:space="preserve"> </w:t>
      </w:r>
      <w:r>
        <w:rPr>
          <w:rFonts w:ascii="Book Antiqua" w:eastAsia="Book Antiqua" w:hAnsi="Book Antiqua" w:cs="Book Antiqua"/>
          <w:color w:val="000000"/>
        </w:rPr>
        <w:t>rate of esophageal stricture formation after caustic ingestion is reported between 2</w:t>
      </w:r>
      <w:r w:rsidR="00225D37">
        <w:rPr>
          <w:rFonts w:ascii="Book Antiqua" w:hAnsi="Book Antiqua" w:cs="Book Antiqua" w:hint="eastAsia"/>
          <w:color w:val="000000"/>
          <w:lang w:eastAsia="zh-CN"/>
        </w:rPr>
        <w:t>%</w:t>
      </w:r>
      <w:r>
        <w:rPr>
          <w:rFonts w:ascii="Book Antiqua" w:eastAsia="Book Antiqua" w:hAnsi="Book Antiqua" w:cs="Book Antiqua"/>
          <w:color w:val="000000"/>
        </w:rPr>
        <w:t>-63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4,8,9]</w:t>
      </w:r>
      <w:r>
        <w:rPr>
          <w:rFonts w:ascii="Book Antiqua" w:eastAsia="Book Antiqua" w:hAnsi="Book Antiqua" w:cs="Book Antiqua"/>
          <w:color w:val="000000"/>
        </w:rPr>
        <w:t>. Rate of stricture formation varies with severity of esophageal injury. Developing countries have mean death rate of 4.1% (0</w:t>
      </w:r>
      <w:r w:rsidR="00225D37">
        <w:rPr>
          <w:rFonts w:ascii="Book Antiqua" w:hAnsi="Book Antiqua" w:cs="Book Antiqua" w:hint="eastAsia"/>
          <w:color w:val="000000"/>
          <w:lang w:eastAsia="zh-CN"/>
        </w:rPr>
        <w:t>%</w:t>
      </w:r>
      <w:r>
        <w:rPr>
          <w:rFonts w:ascii="Book Antiqua" w:eastAsia="Book Antiqua" w:hAnsi="Book Antiqua" w:cs="Book Antiqua"/>
          <w:color w:val="000000"/>
        </w:rPr>
        <w:t xml:space="preserve">-11.9%) due to corrosive </w:t>
      </w:r>
      <w:proofErr w:type="gramStart"/>
      <w:r>
        <w:rPr>
          <w:rFonts w:ascii="Book Antiqua" w:eastAsia="Book Antiqua" w:hAnsi="Book Antiqua" w:cs="Book Antiqua"/>
          <w:color w:val="000000"/>
        </w:rPr>
        <w:t>ingestion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Endoscopic dilatation and surgery are </w:t>
      </w:r>
      <w:r>
        <w:rPr>
          <w:rFonts w:ascii="Book Antiqua" w:eastAsia="Book Antiqua" w:hAnsi="Book Antiqua" w:cs="Book Antiqua"/>
          <w:color w:val="000000"/>
        </w:rPr>
        <w:lastRenderedPageBreak/>
        <w:t xml:space="preserve">mainstay for management of strictures. From emergency room at the time of first presentation to the management of stricture, there are many dilemmas regarding acute management, optimal timing of endoscopy, choice of dilatation (bougie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balloon), use of adjuvant therapies, need of the surgery and long term prognosis of corrosive strictures.</w:t>
      </w:r>
      <w:r w:rsidR="00225D37">
        <w:rPr>
          <w:rFonts w:ascii="Book Antiqua" w:hAnsi="Book Antiqua" w:cs="Book Antiqua" w:hint="eastAsia"/>
          <w:color w:val="000000"/>
          <w:lang w:eastAsia="zh-CN"/>
        </w:rPr>
        <w:t xml:space="preserve"> </w:t>
      </w:r>
      <w:r>
        <w:rPr>
          <w:rFonts w:ascii="Book Antiqua" w:eastAsia="Book Antiqua" w:hAnsi="Book Antiqua" w:cs="Book Antiqua"/>
          <w:color w:val="000000"/>
        </w:rPr>
        <w:t>There is paucity of literature in the management of corrosives in children. Practice varies from center to center with lack of uniformity. Therapeutic protocols or formulating guidelines are not available so far.</w:t>
      </w:r>
    </w:p>
    <w:p w14:paraId="15DD236F" w14:textId="77777777" w:rsidR="00A77B3E" w:rsidRDefault="00A77B3E">
      <w:pPr>
        <w:spacing w:line="360" w:lineRule="auto"/>
        <w:jc w:val="both"/>
      </w:pPr>
    </w:p>
    <w:p w14:paraId="5FA50681" w14:textId="77777777" w:rsidR="00A77B3E" w:rsidRPr="002A662A" w:rsidRDefault="005E5799">
      <w:pPr>
        <w:spacing w:line="360" w:lineRule="auto"/>
        <w:jc w:val="both"/>
        <w:rPr>
          <w:lang w:eastAsia="zh-CN"/>
        </w:rPr>
      </w:pPr>
      <w:r>
        <w:rPr>
          <w:rFonts w:ascii="Book Antiqua" w:eastAsia="Book Antiqua" w:hAnsi="Book Antiqua" w:cs="Book Antiqua"/>
          <w:b/>
          <w:bCs/>
          <w:caps/>
          <w:color w:val="000000"/>
          <w:u w:val="single"/>
        </w:rPr>
        <w:t>Clinico-pathological issues</w:t>
      </w:r>
    </w:p>
    <w:p w14:paraId="58F77102" w14:textId="77777777" w:rsidR="00A77B3E" w:rsidRDefault="005E5799">
      <w:pPr>
        <w:spacing w:line="360" w:lineRule="auto"/>
        <w:jc w:val="both"/>
      </w:pPr>
      <w:r>
        <w:rPr>
          <w:rFonts w:ascii="Book Antiqua" w:eastAsia="Book Antiqua" w:hAnsi="Book Antiqua" w:cs="Book Antiqua"/>
          <w:color w:val="000000"/>
        </w:rPr>
        <w:t xml:space="preserve">Commonly ingested corrosives are given in Table 1. Clinical manifestations are elaborated in Table 2. Alkaline substances have higher viscosity, and hence remain in contact with esophageal mucosa for longer periods after ingestion. Alkali cause </w:t>
      </w:r>
      <w:proofErr w:type="spellStart"/>
      <w:r>
        <w:rPr>
          <w:rFonts w:ascii="Book Antiqua" w:eastAsia="Book Antiqua" w:hAnsi="Book Antiqua" w:cs="Book Antiqua"/>
          <w:color w:val="000000"/>
        </w:rPr>
        <w:t>liquifactive</w:t>
      </w:r>
      <w:proofErr w:type="spellEnd"/>
      <w:r>
        <w:rPr>
          <w:rFonts w:ascii="Book Antiqua" w:eastAsia="Book Antiqua" w:hAnsi="Book Antiqua" w:cs="Book Antiqua"/>
          <w:color w:val="000000"/>
        </w:rPr>
        <w:t xml:space="preserve"> necrosis and penetrate deeper into the tissue. Acids which have lower viscosity reach stomach faster, running along lesser curvature to reach the pylorus where there will be physiological stasis. Acid causes coagulative necrosis and deeper penetration is limited due to the same. Other factors that determine site and severity are chemical properties, contact time, contact surface area and urgency of referral. Many of the times, the nature and volume of corrosive</w:t>
      </w:r>
      <w:r w:rsidR="00CF7F43">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sidR="00CF7F43">
        <w:rPr>
          <w:rFonts w:ascii="Book Antiqua" w:hAnsi="Book Antiqua" w:cs="Book Antiqua" w:hint="eastAsia"/>
          <w:color w:val="000000"/>
          <w:lang w:eastAsia="zh-CN"/>
        </w:rPr>
        <w:t>are</w:t>
      </w:r>
      <w:r>
        <w:rPr>
          <w:rFonts w:ascii="Book Antiqua" w:eastAsia="Book Antiqua" w:hAnsi="Book Antiqua" w:cs="Book Antiqua"/>
          <w:color w:val="000000"/>
        </w:rPr>
        <w:t xml:space="preserve"> unclear from the history in children. Acids are available as pungent liquids; hence their intake is limited as soon as it is consumed accidentally. Alkalis are available both as liquids or solids (</w:t>
      </w:r>
      <w:r w:rsidRPr="00225D37">
        <w:rPr>
          <w:rFonts w:ascii="Book Antiqua" w:eastAsia="Book Antiqua" w:hAnsi="Book Antiqua" w:cs="Book Antiqua"/>
          <w:i/>
          <w:color w:val="000000"/>
        </w:rPr>
        <w:t>e</w:t>
      </w:r>
      <w:r w:rsidR="00225D37" w:rsidRPr="00225D37">
        <w:rPr>
          <w:rFonts w:ascii="Book Antiqua" w:hAnsi="Book Antiqua" w:cs="Book Antiqua" w:hint="eastAsia"/>
          <w:i/>
          <w:color w:val="000000"/>
          <w:lang w:eastAsia="zh-CN"/>
        </w:rPr>
        <w:t>.</w:t>
      </w:r>
      <w:r w:rsidRPr="00225D37">
        <w:rPr>
          <w:rFonts w:ascii="Book Antiqua" w:eastAsia="Book Antiqua" w:hAnsi="Book Antiqua" w:cs="Book Antiqua"/>
          <w:i/>
          <w:color w:val="000000"/>
        </w:rPr>
        <w:t>g</w:t>
      </w:r>
      <w:r w:rsidR="00225D37" w:rsidRPr="00225D37">
        <w:rPr>
          <w:rFonts w:ascii="Book Antiqua" w:hAnsi="Book Antiqua" w:cs="Book Antiqua" w:hint="eastAsia"/>
          <w:i/>
          <w:color w:val="000000"/>
          <w:lang w:eastAsia="zh-CN"/>
        </w:rPr>
        <w:t>.</w:t>
      </w:r>
      <w:r w:rsidR="00225D37">
        <w:rPr>
          <w:rFonts w:ascii="Book Antiqua" w:hAnsi="Book Antiqua" w:cs="Book Antiqua" w:hint="eastAsia"/>
          <w:color w:val="000000"/>
          <w:lang w:eastAsia="zh-CN"/>
        </w:rPr>
        <w:t>,</w:t>
      </w:r>
      <w:r>
        <w:rPr>
          <w:rFonts w:ascii="Book Antiqua" w:eastAsia="Book Antiqua" w:hAnsi="Book Antiqua" w:cs="Book Antiqua"/>
          <w:color w:val="000000"/>
        </w:rPr>
        <w:t xml:space="preserve"> soap and detergents). Since alkalis are tasteless, their consumption is higher before the patient </w:t>
      </w:r>
      <w:proofErr w:type="spellStart"/>
      <w:r>
        <w:rPr>
          <w:rFonts w:ascii="Book Antiqua" w:eastAsia="Book Antiqua" w:hAnsi="Book Antiqua" w:cs="Book Antiqua"/>
          <w:color w:val="000000"/>
        </w:rPr>
        <w:t>realises</w:t>
      </w:r>
      <w:proofErr w:type="spellEnd"/>
      <w:r>
        <w:rPr>
          <w:rFonts w:ascii="Book Antiqua" w:eastAsia="Book Antiqua" w:hAnsi="Book Antiqua" w:cs="Book Antiqua"/>
          <w:color w:val="000000"/>
        </w:rPr>
        <w:t xml:space="preserve"> the mistake. Retained solid alkali causes maximum injury to oral mucosa, oropharynx and laryngeal inlet and lesser to lower esophagus and stomach. In the stomach, some of ingested alkali may get partially </w:t>
      </w:r>
      <w:proofErr w:type="spellStart"/>
      <w:r>
        <w:rPr>
          <w:rFonts w:ascii="Book Antiqua" w:eastAsia="Book Antiqua" w:hAnsi="Book Antiqua" w:cs="Book Antiqua"/>
          <w:color w:val="000000"/>
        </w:rPr>
        <w:t>neutralised</w:t>
      </w:r>
      <w:proofErr w:type="spellEnd"/>
      <w:r>
        <w:rPr>
          <w:rFonts w:ascii="Book Antiqua" w:eastAsia="Book Antiqua" w:hAnsi="Book Antiqua" w:cs="Book Antiqua"/>
          <w:color w:val="000000"/>
        </w:rPr>
        <w:t xml:space="preserve"> by the gastric acid lowering the damage further. Ingestion of caustic after food cause lesser degree of injury in stomach due to lesser contact surface. Erroneous emergency interventions such as administering emetics and stomach wash causes repeated exposures of the caustic to the esophagus. Both alkali and acids are known to cause severe esophageal burns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Initial corrosive injury causes an inflammatory response followed by thrombosis in </w:t>
      </w:r>
      <w:r>
        <w:rPr>
          <w:rFonts w:ascii="Book Antiqua" w:eastAsia="Book Antiqua" w:hAnsi="Book Antiqua" w:cs="Book Antiqua"/>
          <w:color w:val="000000"/>
        </w:rPr>
        <w:lastRenderedPageBreak/>
        <w:t>arterioles and venules leading to ischemic necrosis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Mucosal sloughing and bacterial invasion develops over four to seven days after ingestion warranting antimicrobial therapy. Granulation tissue</w:t>
      </w:r>
      <w:r w:rsidR="00CF7F43">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CF7F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fibrin coat cover the ulcers. Ulcers extending beyond muscle layer may cause perforation. Esophagus is physiologically devoid of serosa and allows the caustic damage to be exposed to the mediastinum. On day four, fibroblasts are recruited and repair </w:t>
      </w:r>
      <w:r w:rsidR="00CF7F43">
        <w:rPr>
          <w:rFonts w:ascii="Book Antiqua" w:hAnsi="Book Antiqua" w:cs="Book Antiqua"/>
          <w:color w:val="0E101A"/>
        </w:rPr>
        <w:t>of the damaged mucosa</w:t>
      </w:r>
      <w:r w:rsidR="00CF7F43">
        <w:rPr>
          <w:rFonts w:ascii="Book Antiqua" w:eastAsia="Book Antiqua" w:hAnsi="Book Antiqua" w:cs="Book Antiqua"/>
          <w:color w:val="000000"/>
        </w:rPr>
        <w:t xml:space="preserve"> </w:t>
      </w:r>
      <w:r>
        <w:rPr>
          <w:rFonts w:ascii="Book Antiqua" w:eastAsia="Book Antiqua" w:hAnsi="Book Antiqua" w:cs="Book Antiqua"/>
          <w:color w:val="000000"/>
        </w:rPr>
        <w:t>starts at day ten. Stricture usually develops by third week and completes over next few months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As collagen deposition usually starts after two weeks, strength of the injured tissue is poor in first three weeks, contraindicating any intubation or endoscopic procedures. Spontaneous perforation of esophagus or stomach is usually encountered within first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corrosive ingestion. From third week onwards till next few months, scar retraction leads to stricture formation and shortening of </w:t>
      </w:r>
      <w:r w:rsidR="00225D37" w:rsidRPr="00225D37">
        <w:rPr>
          <w:rFonts w:ascii="Book Antiqua" w:eastAsia="Book Antiqua" w:hAnsi="Book Antiqua" w:cs="Book Antiqua"/>
          <w:color w:val="000000"/>
          <w:shd w:val="clear" w:color="auto" w:fill="FFFFFF"/>
        </w:rPr>
        <w:t>gastrointestinal</w:t>
      </w:r>
      <w:r>
        <w:rPr>
          <w:rFonts w:ascii="Book Antiqua" w:eastAsia="Book Antiqua" w:hAnsi="Book Antiqua" w:cs="Book Antiqua"/>
          <w:color w:val="000000"/>
        </w:rPr>
        <w:t xml:space="preserve"> tract.</w:t>
      </w:r>
      <w:r w:rsidR="00225D37">
        <w:rPr>
          <w:rFonts w:ascii="Book Antiqua" w:hAnsi="Book Antiqua" w:cs="Book Antiqua" w:hint="eastAsia"/>
          <w:color w:val="000000"/>
          <w:lang w:eastAsia="zh-CN"/>
        </w:rPr>
        <w:t xml:space="preserve"> </w:t>
      </w:r>
      <w:r>
        <w:rPr>
          <w:rFonts w:ascii="Book Antiqua" w:eastAsia="Book Antiqua" w:hAnsi="Book Antiqua" w:cs="Book Antiqua"/>
          <w:color w:val="000000"/>
        </w:rPr>
        <w:t>At this time, the pressure of lower esophageal sphincter decreases and allows gastroesophageal reflux. Repeated acid exposure accelerates stricture formation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deeper burns (grade 2b and 3), fibrosis is usually complete by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finally culminating into </w:t>
      </w:r>
      <w:r w:rsidR="00CF7F43">
        <w:rPr>
          <w:rFonts w:ascii="Book Antiqua" w:hAnsi="Book Antiqua" w:cs="Book Antiqua" w:hint="eastAsia"/>
          <w:color w:val="000000"/>
          <w:lang w:eastAsia="zh-CN"/>
        </w:rPr>
        <w:t xml:space="preserve">a </w:t>
      </w:r>
      <w:proofErr w:type="gramStart"/>
      <w:r>
        <w:rPr>
          <w:rFonts w:ascii="Book Antiqua" w:eastAsia="Book Antiqua" w:hAnsi="Book Antiqua" w:cs="Book Antiqua"/>
          <w:color w:val="000000"/>
        </w:rPr>
        <w:t>stricture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Strictures are hardly seen in grade 1 esophageal injury. Esophageal stricture rates in grades 2a, 2b and 3 are &lt;</w:t>
      </w:r>
      <w:r w:rsidR="00225D37">
        <w:rPr>
          <w:rFonts w:ascii="Book Antiqua" w:hAnsi="Book Antiqua" w:cs="Book Antiqua" w:hint="eastAsia"/>
          <w:color w:val="000000"/>
          <w:lang w:eastAsia="zh-CN"/>
        </w:rPr>
        <w:t xml:space="preserve"> </w:t>
      </w:r>
      <w:r w:rsidR="00225D37">
        <w:rPr>
          <w:rFonts w:ascii="Book Antiqua" w:eastAsia="Book Antiqua" w:hAnsi="Book Antiqua" w:cs="Book Antiqua"/>
          <w:color w:val="000000"/>
        </w:rPr>
        <w:t>5</w:t>
      </w:r>
      <w:r>
        <w:rPr>
          <w:rFonts w:ascii="Book Antiqua" w:eastAsia="Book Antiqua" w:hAnsi="Book Antiqua" w:cs="Book Antiqua"/>
          <w:color w:val="000000"/>
        </w:rPr>
        <w:t>%, 15%-68% and 75</w:t>
      </w:r>
      <w:r w:rsidR="00225D37">
        <w:rPr>
          <w:rFonts w:ascii="Book Antiqua" w:hAnsi="Book Antiqua" w:cs="Book Antiqua" w:hint="eastAsia"/>
          <w:color w:val="000000"/>
          <w:lang w:eastAsia="zh-CN"/>
        </w:rPr>
        <w:t>%</w:t>
      </w:r>
      <w:r>
        <w:rPr>
          <w:rFonts w:ascii="Book Antiqua" w:eastAsia="Book Antiqua" w:hAnsi="Book Antiqua" w:cs="Book Antiqua"/>
          <w:color w:val="000000"/>
        </w:rPr>
        <w:t xml:space="preserve">-90%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Diverticulae</w:t>
      </w:r>
      <w:proofErr w:type="spellEnd"/>
      <w:r>
        <w:rPr>
          <w:rFonts w:ascii="Book Antiqua" w:eastAsia="Book Antiqua" w:hAnsi="Book Antiqua" w:cs="Book Antiqua"/>
          <w:color w:val="000000"/>
        </w:rPr>
        <w:t xml:space="preserve"> and deeper damage in the </w:t>
      </w:r>
      <w:proofErr w:type="spellStart"/>
      <w:r>
        <w:rPr>
          <w:rFonts w:ascii="Book Antiqua" w:eastAsia="Book Antiqua" w:hAnsi="Book Antiqua" w:cs="Book Antiqua"/>
          <w:color w:val="000000"/>
        </w:rPr>
        <w:t>esophagusmay</w:t>
      </w:r>
      <w:proofErr w:type="spellEnd"/>
      <w:r>
        <w:rPr>
          <w:rFonts w:ascii="Book Antiqua" w:eastAsia="Book Antiqua" w:hAnsi="Book Antiqua" w:cs="Book Antiqua"/>
          <w:color w:val="000000"/>
        </w:rPr>
        <w:t xml:space="preserve"> result in </w:t>
      </w:r>
      <w:proofErr w:type="spellStart"/>
      <w:r>
        <w:rPr>
          <w:rFonts w:ascii="Book Antiqua" w:eastAsia="Book Antiqua" w:hAnsi="Book Antiqua" w:cs="Book Antiqua"/>
          <w:color w:val="000000"/>
        </w:rPr>
        <w:t>tracheo</w:t>
      </w:r>
      <w:proofErr w:type="spellEnd"/>
      <w:r>
        <w:rPr>
          <w:rFonts w:ascii="Book Antiqua" w:eastAsia="Book Antiqua" w:hAnsi="Book Antiqua" w:cs="Book Antiqua"/>
          <w:color w:val="000000"/>
        </w:rPr>
        <w:t xml:space="preserve">-esophageal fistulae. Contraction of body of stomach causes hour glass appearance, decreased capacity and rarely fistulous opening into small or large bowel.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strictures cause gastric outlet obstruction. Proximal duodenal strictures are very rare. Compromise in nutrition leads to cachexia, </w:t>
      </w:r>
      <w:proofErr w:type="spellStart"/>
      <w:r>
        <w:rPr>
          <w:rFonts w:ascii="Book Antiqua" w:eastAsia="Book Antiqua" w:hAnsi="Book Antiqua" w:cs="Book Antiqua"/>
          <w:color w:val="000000"/>
        </w:rPr>
        <w:t>dyselectrolytemia</w:t>
      </w:r>
      <w:proofErr w:type="spellEnd"/>
      <w:r>
        <w:rPr>
          <w:rFonts w:ascii="Book Antiqua" w:eastAsia="Book Antiqua" w:hAnsi="Book Antiqua" w:cs="Book Antiqua"/>
          <w:color w:val="000000"/>
        </w:rPr>
        <w:t>, apathy and poor quality of life.  The above issues lead to a number of complications (Figure 1). Clinical, endoscopic and radiologic pictures of post-corrosive ingestion are shown in Figure 2.</w:t>
      </w:r>
    </w:p>
    <w:p w14:paraId="27B73404" w14:textId="77777777" w:rsidR="00A77B3E" w:rsidRDefault="00A77B3E">
      <w:pPr>
        <w:spacing w:line="360" w:lineRule="auto"/>
        <w:jc w:val="both"/>
      </w:pPr>
    </w:p>
    <w:p w14:paraId="3A535293" w14:textId="77777777" w:rsidR="00A77B3E" w:rsidRDefault="005E5799">
      <w:pPr>
        <w:spacing w:line="360" w:lineRule="auto"/>
        <w:jc w:val="both"/>
      </w:pPr>
      <w:r>
        <w:rPr>
          <w:rFonts w:ascii="Book Antiqua" w:eastAsia="Book Antiqua" w:hAnsi="Book Antiqua" w:cs="Book Antiqua"/>
          <w:b/>
          <w:bCs/>
          <w:caps/>
          <w:color w:val="000000"/>
          <w:u w:val="single"/>
        </w:rPr>
        <w:t>Dilemmas in acute corrosive ingestion management</w:t>
      </w:r>
    </w:p>
    <w:p w14:paraId="29939211" w14:textId="77777777" w:rsidR="00A77B3E" w:rsidRDefault="005E579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Flow chart for management of corrosive ingestion is shown in Figure 3. First step is always to prioritize airway, breathing and circulation. Patients presenting with respiratory difficulty, dysphonia or aphonia need urgent airway management like </w:t>
      </w:r>
      <w:r>
        <w:rPr>
          <w:rFonts w:ascii="Book Antiqua" w:eastAsia="Book Antiqua" w:hAnsi="Book Antiqua" w:cs="Book Antiqua"/>
          <w:color w:val="000000"/>
        </w:rPr>
        <w:lastRenderedPageBreak/>
        <w:t>endotracheal intubation and ventilation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Urgent steroids are indicated in life-threatening laryngeal edema. However there are many dilemmas and doubts which arise during acute management as well as while dealing with strictures.</w:t>
      </w:r>
    </w:p>
    <w:p w14:paraId="1D5766A7" w14:textId="77777777" w:rsidR="00225D37" w:rsidRDefault="00225D37" w:rsidP="00225D37">
      <w:pPr>
        <w:spacing w:line="360" w:lineRule="auto"/>
        <w:jc w:val="both"/>
        <w:rPr>
          <w:lang w:eastAsia="zh-CN"/>
        </w:rPr>
      </w:pPr>
    </w:p>
    <w:p w14:paraId="3D09CB4B" w14:textId="77777777" w:rsidR="00A77B3E" w:rsidRDefault="005E5799" w:rsidP="00225D37">
      <w:pPr>
        <w:spacing w:line="360" w:lineRule="auto"/>
        <w:jc w:val="both"/>
      </w:pPr>
      <w:r>
        <w:rPr>
          <w:rFonts w:ascii="Book Antiqua" w:eastAsia="Book Antiqua" w:hAnsi="Book Antiqua" w:cs="Book Antiqua"/>
          <w:b/>
          <w:bCs/>
          <w:i/>
          <w:iCs/>
          <w:color w:val="000000"/>
        </w:rPr>
        <w:t>What are the contraindicated practices?</w:t>
      </w:r>
    </w:p>
    <w:p w14:paraId="3BC8BFAF" w14:textId="77777777" w:rsidR="00A77B3E" w:rsidRDefault="005E5799">
      <w:pPr>
        <w:spacing w:line="360" w:lineRule="auto"/>
        <w:jc w:val="both"/>
      </w:pPr>
      <w:r>
        <w:rPr>
          <w:rFonts w:ascii="Book Antiqua" w:eastAsia="Book Antiqua" w:hAnsi="Book Antiqua" w:cs="Book Antiqua"/>
          <w:color w:val="000000"/>
        </w:rPr>
        <w:t>Gastric lavage and induction of vomiting are common practices after accidental ingestion of corrosive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In a survey performed recently in India, it was found that 57% of referred cases had history of induced emesis by the primary physicians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Any effort of induced vomiting will lead to re-exposure of esophageal mucosa to the corrosive and increased risk of aspiration. Cold milk ingestion is not useful and may lead to aspiration and obscures an endoscopist’s view. Blind insertion of nasogastric tube for lavage or feeding may lead to mucosal injury and perforation. Another practice which is not recommended is trial of neutralization with weak acid or base to decrease the effect of corrosive. Reaction of acid and alkali leads to exothermic reaction which may cause added thermal burn to an already damaged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1F6E6256" w14:textId="77777777" w:rsidR="00225D37" w:rsidRDefault="00225D37" w:rsidP="00225D37">
      <w:pPr>
        <w:spacing w:line="360" w:lineRule="auto"/>
        <w:jc w:val="both"/>
        <w:rPr>
          <w:rFonts w:ascii="Book Antiqua" w:hAnsi="Book Antiqua" w:cs="Book Antiqua"/>
          <w:b/>
          <w:bCs/>
          <w:i/>
          <w:iCs/>
          <w:color w:val="000000"/>
          <w:lang w:eastAsia="zh-CN"/>
        </w:rPr>
      </w:pPr>
    </w:p>
    <w:p w14:paraId="68BF34D6" w14:textId="77777777" w:rsidR="00A77B3E" w:rsidRDefault="005E5799" w:rsidP="00225D37">
      <w:pPr>
        <w:spacing w:line="360" w:lineRule="auto"/>
        <w:jc w:val="both"/>
      </w:pPr>
      <w:r>
        <w:rPr>
          <w:rFonts w:ascii="Book Antiqua" w:eastAsia="Book Antiqua" w:hAnsi="Book Antiqua" w:cs="Book Antiqua"/>
          <w:b/>
          <w:bCs/>
          <w:i/>
          <w:iCs/>
          <w:color w:val="000000"/>
        </w:rPr>
        <w:t>Is there any role of adjunctive pharmacotherapy?</w:t>
      </w:r>
    </w:p>
    <w:p w14:paraId="0A5AED68" w14:textId="77777777" w:rsidR="00A77B3E" w:rsidRDefault="005E5799">
      <w:pPr>
        <w:spacing w:line="360" w:lineRule="auto"/>
        <w:jc w:val="both"/>
      </w:pPr>
      <w:r>
        <w:rPr>
          <w:rFonts w:ascii="Book Antiqua" w:eastAsia="Book Antiqua" w:hAnsi="Book Antiqua" w:cs="Book Antiqua"/>
          <w:color w:val="000000"/>
        </w:rPr>
        <w:t>Patients with grade 1 and 2a injury do not need any specific treatment, can be initiated on oral feeds and monitored closely. Children with grade 2b and 3 injuries need further treatment depending on clinical, endoscopic and radiological severity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Antacids, H2 receptor blockers and proton pump inhibitors (PPIs) are prescribed in acute ingestion but their efficacies are not proven</w:t>
      </w:r>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 PPI is used in the majority of cases and may help by decreasing acid exposure to damaged tissue and prevention of stress ulcer formation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Sucralfate which needs an acidic medium to activate provides a protective coating over the ulcers and may aid in delaying stricture formation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the role of sucralfate in esophageal ulcers, alkali ingestion and in combination with PPI is debatable. There is no consensus as to how long acid suppression should be administered. In a questionnaire survey it was found that most physicians arbitrarily prefer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acid suppression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Antibiotics are not routinely prescribed in corrosive </w:t>
      </w:r>
      <w:r>
        <w:rPr>
          <w:rFonts w:ascii="Book Antiqua" w:eastAsia="Book Antiqua" w:hAnsi="Book Antiqua" w:cs="Book Antiqua"/>
          <w:color w:val="000000"/>
        </w:rPr>
        <w:lastRenderedPageBreak/>
        <w:t xml:space="preserve">ingestion with grade 1 and 2a injuries. Since oral microbiota is a potential source of infection, injuries higher than grade 2b may merit antibiotic therapy. A combination of gram positive (for oral microbiota) and gram negative cover (gastrointestinal microbiota) is optimal. Optimal duration of antibiotic is not defined but it is preferable to use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an uncomplicated injury. Syrups and suspensions are preferred over tablets and capsules. In a suspected or proven perforation, it would be prudent to add an anaerobic cover. Additional situations meriting antibiotic therapy are aspiration pneumonia, high grade fever and suspected bacteremia</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Theoretically steroids have been potentially considered for use in early post-corrosive ingestion to decrease inflammation and lowering stricture formation. However steroids have not shown consistent improvement in the outcome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adults steroids have been associated with higher mortality. In children, an exceptional situation to use steroids is grade 2b injury.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25D37">
        <w:rPr>
          <w:rFonts w:ascii="Book Antiqua" w:eastAsia="Book Antiqua" w:hAnsi="Book Antiqua" w:cs="Book Antiqua"/>
          <w:color w:val="000000"/>
          <w:szCs w:val="30"/>
          <w:vertAlign w:val="superscript"/>
        </w:rPr>
        <w:t>[2</w:t>
      </w:r>
      <w:r w:rsidR="00225D37">
        <w:rPr>
          <w:rFonts w:ascii="Book Antiqua" w:hAnsi="Book Antiqua" w:cs="Book Antiqua" w:hint="eastAsia"/>
          <w:color w:val="000000"/>
          <w:szCs w:val="30"/>
          <w:vertAlign w:val="superscript"/>
          <w:lang w:eastAsia="zh-CN"/>
        </w:rPr>
        <w:t>3</w:t>
      </w:r>
      <w:r w:rsidR="00225D3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in a randomized controlled trial that early use of high dose steroids </w:t>
      </w:r>
      <w:r>
        <w:rPr>
          <w:rFonts w:ascii="Book Antiqua" w:eastAsia="Book Antiqua" w:hAnsi="Book Antiqua" w:cs="Book Antiqua"/>
          <w:color w:val="000000"/>
          <w:shd w:val="clear" w:color="auto" w:fill="FFFFFF"/>
        </w:rPr>
        <w:t>(1 g/1.73 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per day for 3 d) in grade 2b injuries lead to decreased stricture formation in follow up</w:t>
      </w:r>
      <w:r>
        <w:rPr>
          <w:rFonts w:ascii="Book Antiqua" w:eastAsia="Book Antiqua" w:hAnsi="Book Antiqua" w:cs="Book Antiqua"/>
          <w:color w:val="000000"/>
        </w:rPr>
        <w:t>. There is no evidence of improvement in other grades of injuries</w:t>
      </w:r>
      <w:r>
        <w:rPr>
          <w:rFonts w:ascii="Book Antiqua" w:eastAsia="Book Antiqua" w:hAnsi="Book Antiqua" w:cs="Book Antiqua"/>
          <w:color w:val="000000"/>
          <w:szCs w:val="30"/>
          <w:vertAlign w:val="superscript"/>
        </w:rPr>
        <w:t>[7,23]</w:t>
      </w:r>
      <w:r>
        <w:rPr>
          <w:rFonts w:ascii="Book Antiqua" w:eastAsia="Book Antiqua" w:hAnsi="Book Antiqua" w:cs="Book Antiqua"/>
          <w:color w:val="000000"/>
        </w:rPr>
        <w:t>.</w:t>
      </w:r>
    </w:p>
    <w:p w14:paraId="5D526554" w14:textId="77777777" w:rsidR="00225D37" w:rsidRDefault="00225D37" w:rsidP="00225D37">
      <w:pPr>
        <w:spacing w:line="360" w:lineRule="auto"/>
        <w:jc w:val="both"/>
        <w:rPr>
          <w:rFonts w:ascii="Book Antiqua" w:hAnsi="Book Antiqua" w:cs="Book Antiqua"/>
          <w:b/>
          <w:bCs/>
          <w:i/>
          <w:iCs/>
          <w:color w:val="000000"/>
          <w:lang w:eastAsia="zh-CN"/>
        </w:rPr>
      </w:pPr>
    </w:p>
    <w:p w14:paraId="3D062A59" w14:textId="77777777" w:rsidR="00A77B3E" w:rsidRDefault="005E5799" w:rsidP="00225D37">
      <w:pPr>
        <w:spacing w:line="360" w:lineRule="auto"/>
        <w:jc w:val="both"/>
      </w:pPr>
      <w:r>
        <w:rPr>
          <w:rFonts w:ascii="Book Antiqua" w:eastAsia="Book Antiqua" w:hAnsi="Book Antiqua" w:cs="Book Antiqua"/>
          <w:b/>
          <w:bCs/>
          <w:i/>
          <w:iCs/>
          <w:color w:val="000000"/>
        </w:rPr>
        <w:t>What is the indication and timing for early endoscopy?</w:t>
      </w:r>
    </w:p>
    <w:p w14:paraId="30936236" w14:textId="77777777" w:rsidR="00A77B3E" w:rsidRDefault="005E5799">
      <w:pPr>
        <w:spacing w:line="360" w:lineRule="auto"/>
        <w:jc w:val="both"/>
      </w:pPr>
      <w:r>
        <w:rPr>
          <w:rFonts w:ascii="Book Antiqua" w:eastAsia="Book Antiqua" w:hAnsi="Book Antiqua" w:cs="Book Antiqua"/>
          <w:color w:val="000000"/>
        </w:rPr>
        <w:t xml:space="preserve">In acute caustic ingestion, esophagogastroduodenoscopy (EGD) is the investigation of choice to ascertain grade of mucosal injury. Esophageal injury is graded as per </w:t>
      </w:r>
      <w:proofErr w:type="spellStart"/>
      <w:r>
        <w:rPr>
          <w:rFonts w:ascii="Book Antiqua" w:eastAsia="Book Antiqua" w:hAnsi="Book Antiqua" w:cs="Book Antiqua"/>
          <w:color w:val="000000"/>
        </w:rPr>
        <w:t>Zargar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sidR="00CF7F43" w:rsidRPr="00CF7F43">
        <w:rPr>
          <w:rFonts w:ascii="Book Antiqua" w:hAnsi="Book Antiqua" w:cs="Book Antiqua"/>
          <w:color w:val="0E101A"/>
          <w:vertAlign w:val="superscript"/>
        </w:rPr>
        <w:t>[</w:t>
      </w:r>
      <w:proofErr w:type="gramEnd"/>
      <w:r w:rsidR="00CF7F43" w:rsidRPr="00CF7F43">
        <w:rPr>
          <w:rFonts w:ascii="Book Antiqua" w:hAnsi="Book Antiqua" w:cs="Book Antiqua"/>
          <w:color w:val="0E101A"/>
          <w:vertAlign w:val="superscript"/>
        </w:rPr>
        <w:t>24]</w:t>
      </w:r>
      <w:r>
        <w:rPr>
          <w:rFonts w:ascii="Book Antiqua" w:eastAsia="Book Antiqua" w:hAnsi="Book Antiqua" w:cs="Book Antiqua"/>
          <w:color w:val="000000"/>
        </w:rPr>
        <w:t xml:space="preserve"> </w:t>
      </w:r>
      <w:r w:rsidR="00CF7F43">
        <w:rPr>
          <w:rFonts w:ascii="Book Antiqua" w:hAnsi="Book Antiqua" w:cs="Book Antiqua" w:hint="eastAsia"/>
          <w:color w:val="000000"/>
          <w:lang w:eastAsia="zh-CN"/>
        </w:rPr>
        <w:t xml:space="preserve">as shown in </w:t>
      </w:r>
      <w:r w:rsidR="00CF7F43">
        <w:rPr>
          <w:rFonts w:ascii="Book Antiqua" w:eastAsia="Book Antiqua" w:hAnsi="Book Antiqua" w:cs="Book Antiqua"/>
          <w:color w:val="000000"/>
        </w:rPr>
        <w:t>Table 3</w:t>
      </w:r>
      <w:r>
        <w:rPr>
          <w:rFonts w:ascii="Book Antiqua" w:eastAsia="Book Antiqua" w:hAnsi="Book Antiqua" w:cs="Book Antiqua"/>
          <w:color w:val="000000"/>
        </w:rPr>
        <w:t xml:space="preserve">. Endoscopy is best performed within first 48-72 h of corrosive ingestion after initial stabilization. After 72 h, the injured areas become soft, edematous and friable. There is increased risk of perforation during the EGD. EGD should be performed gently preferably with a thin (5.5 mm) endoscope, minimal air insufflation and under proper sedation. Blind advances and biopsies are not recommended. Negotiation beyond a charred esophagus to assess the stomach may be a daunting task. Oral or skin injuries are unreliable indicators of esophageal or stomach injury. In a large retrospective study by </w:t>
      </w:r>
      <w:proofErr w:type="spellStart"/>
      <w:r w:rsidR="00225D37" w:rsidRPr="00225D37">
        <w:rPr>
          <w:rFonts w:ascii="Book Antiqua" w:eastAsia="Book Antiqua" w:hAnsi="Book Antiqua" w:cs="Book Antiqua"/>
          <w:color w:val="000000"/>
        </w:rPr>
        <w:t>Doğan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25D37">
        <w:rPr>
          <w:rFonts w:ascii="Book Antiqua" w:eastAsia="Book Antiqua" w:hAnsi="Book Antiqua" w:cs="Book Antiqua"/>
          <w:color w:val="000000"/>
          <w:szCs w:val="30"/>
          <w:vertAlign w:val="superscript"/>
        </w:rPr>
        <w:t>[</w:t>
      </w:r>
      <w:proofErr w:type="gramEnd"/>
      <w:r w:rsidR="00225D37">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61% of children with esophageal injury on EGD had no oral burn.</w:t>
      </w:r>
      <w:r w:rsidR="00225D3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Betalli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25D37">
        <w:rPr>
          <w:rFonts w:ascii="Book Antiqua" w:eastAsia="Book Antiqua" w:hAnsi="Book Antiqua" w:cs="Book Antiqua"/>
          <w:color w:val="000000"/>
          <w:szCs w:val="30"/>
          <w:vertAlign w:val="superscript"/>
        </w:rPr>
        <w:t>[</w:t>
      </w:r>
      <w:proofErr w:type="gramEnd"/>
      <w:r w:rsidR="00225D37">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found that severe esophageal burns correlates well with symptoms. Risk of esophageal damage increased </w:t>
      </w:r>
      <w:r>
        <w:rPr>
          <w:rFonts w:ascii="Book Antiqua" w:eastAsia="Book Antiqua" w:hAnsi="Book Antiqua" w:cs="Book Antiqua"/>
          <w:color w:val="000000"/>
        </w:rPr>
        <w:lastRenderedPageBreak/>
        <w:t>only with increasing severity of symptoms and signs. Hence the authors concluded that endoscopy can be avoided in asymptomatic patients with accidental ingestion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European Society of Gastrointestinal Endoscopy</w:t>
      </w:r>
      <w:r w:rsidR="00CF7F43">
        <w:rPr>
          <w:rFonts w:ascii="Book Antiqua" w:eastAsia="Book Antiqua" w:hAnsi="Book Antiqua" w:cs="Book Antiqua"/>
          <w:color w:val="000000"/>
        </w:rPr>
        <w:t xml:space="preserve"> and the European Society for P</w:t>
      </w:r>
      <w:r>
        <w:rPr>
          <w:rFonts w:ascii="Book Antiqua" w:eastAsia="Book Antiqua" w:hAnsi="Book Antiqua" w:cs="Book Antiqua"/>
          <w:color w:val="000000"/>
        </w:rPr>
        <w:t xml:space="preserve">ediatric Gastroenterology Hepatology and Nutrition (ESPGHAN) 2017 guidelines agree, EGD can be withheld if the child is asymptomatic without any oral symptoms (drooling, hypersalivation or oral ulcers). However in such cases, close vigilance is required for development of delayed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EGD is mandatory in </w:t>
      </w:r>
      <w:r w:rsidR="00CF7F43">
        <w:rPr>
          <w:rFonts w:ascii="Book Antiqua" w:hAnsi="Book Antiqua" w:cs="Book Antiqua"/>
          <w:color w:val="0E101A"/>
        </w:rPr>
        <w:t>adolescents</w:t>
      </w:r>
      <w:r>
        <w:rPr>
          <w:rFonts w:ascii="Book Antiqua" w:eastAsia="Book Antiqua" w:hAnsi="Book Antiqua" w:cs="Book Antiqua"/>
          <w:color w:val="000000"/>
        </w:rPr>
        <w:t xml:space="preserve"> with suicidal intent who may mask symptoms. The real dilemma of endoscopy arises in delayed </w:t>
      </w:r>
      <w:proofErr w:type="spellStart"/>
      <w:r>
        <w:rPr>
          <w:rFonts w:ascii="Book Antiqua" w:eastAsia="Book Antiqua" w:hAnsi="Book Antiqua" w:cs="Book Antiqua"/>
          <w:color w:val="000000"/>
        </w:rPr>
        <w:t>presentationor</w:t>
      </w:r>
      <w:proofErr w:type="spellEnd"/>
      <w:r>
        <w:rPr>
          <w:rFonts w:ascii="Book Antiqua" w:eastAsia="Book Antiqua" w:hAnsi="Book Antiqua" w:cs="Book Antiqua"/>
          <w:color w:val="000000"/>
        </w:rPr>
        <w:t xml:space="preserve"> referral (after 72 h). Since </w:t>
      </w:r>
      <w:r w:rsidR="00CF7F43">
        <w:rPr>
          <w:rFonts w:ascii="Book Antiqua" w:hAnsi="Book Antiqua" w:cs="Book Antiqua" w:hint="eastAsia"/>
          <w:color w:val="000000"/>
          <w:lang w:eastAsia="zh-CN"/>
        </w:rPr>
        <w:t xml:space="preserve">the </w:t>
      </w:r>
      <w:r>
        <w:rPr>
          <w:rFonts w:ascii="Book Antiqua" w:eastAsia="Book Antiqua" w:hAnsi="Book Antiqua" w:cs="Book Antiqua"/>
          <w:color w:val="000000"/>
        </w:rPr>
        <w:t>tissue is most friable between day 3 to 21, diagnostic endoscopy is best avoided during this period where expertise and resources are limited. In the author’s opinion, endoscopic assessment may be a daunting in this period, best reserved for tertiary care centers where appropriate endoscopes and expert endoscopists are available. Questionnaire surveys reveal that 90% prefer endoscopy between days 1-5, 70% agree that it should be deferred between days 6-21 and 50% agree that endoscopists should not venture beyond a charred area</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After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fibrosis fully sets in making it conducive for once again for endoscopic assessment of the stricture.</w:t>
      </w:r>
    </w:p>
    <w:p w14:paraId="212B8F34" w14:textId="77777777" w:rsidR="00225D37" w:rsidRDefault="00225D37" w:rsidP="00225D37">
      <w:pPr>
        <w:spacing w:line="360" w:lineRule="auto"/>
        <w:jc w:val="both"/>
        <w:rPr>
          <w:rFonts w:ascii="Book Antiqua" w:hAnsi="Book Antiqua" w:cs="Book Antiqua"/>
          <w:b/>
          <w:bCs/>
          <w:i/>
          <w:iCs/>
          <w:color w:val="000000"/>
          <w:lang w:eastAsia="zh-CN"/>
        </w:rPr>
      </w:pPr>
    </w:p>
    <w:p w14:paraId="1F2192B6" w14:textId="77777777" w:rsidR="00A77B3E" w:rsidRDefault="005E5799" w:rsidP="00225D37">
      <w:pPr>
        <w:spacing w:line="360" w:lineRule="auto"/>
        <w:jc w:val="both"/>
      </w:pPr>
      <w:r>
        <w:rPr>
          <w:rFonts w:ascii="Book Antiqua" w:eastAsia="Book Antiqua" w:hAnsi="Book Antiqua" w:cs="Book Antiqua"/>
          <w:b/>
          <w:bCs/>
          <w:i/>
          <w:iCs/>
          <w:color w:val="000000"/>
        </w:rPr>
        <w:t>What is the role of radiology in acute management?</w:t>
      </w:r>
    </w:p>
    <w:p w14:paraId="66061B45" w14:textId="77777777" w:rsidR="00A77B3E" w:rsidRDefault="005E5799">
      <w:pPr>
        <w:spacing w:line="360" w:lineRule="auto"/>
        <w:jc w:val="both"/>
      </w:pPr>
      <w:r>
        <w:rPr>
          <w:rFonts w:ascii="Book Antiqua" w:eastAsia="Book Antiqua" w:hAnsi="Book Antiqua" w:cs="Book Antiqua"/>
          <w:color w:val="000000"/>
        </w:rPr>
        <w:t xml:space="preserve">Chest X ray is usually performed in acute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Pr="00225D3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and may show mediastinal air in case of esophageal perforation. Computed tomography (CT) scan is a </w:t>
      </w:r>
      <w:proofErr w:type="spellStart"/>
      <w:r>
        <w:rPr>
          <w:rFonts w:ascii="Book Antiqua" w:eastAsia="Book Antiqua" w:hAnsi="Book Antiqua" w:cs="Book Antiqua"/>
          <w:color w:val="000000"/>
        </w:rPr>
        <w:t>non invasive</w:t>
      </w:r>
      <w:proofErr w:type="spellEnd"/>
      <w:r>
        <w:rPr>
          <w:rFonts w:ascii="Book Antiqua" w:eastAsia="Book Antiqua" w:hAnsi="Book Antiqua" w:cs="Book Antiqua"/>
          <w:color w:val="000000"/>
        </w:rPr>
        <w:t xml:space="preserve"> test and can be used to ascertain severity of injury and need for surgery in complicated cases. Lurie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25D37">
        <w:rPr>
          <w:rFonts w:ascii="Book Antiqua" w:eastAsia="Book Antiqua" w:hAnsi="Book Antiqua" w:cs="Book Antiqua"/>
          <w:color w:val="000000"/>
          <w:szCs w:val="30"/>
          <w:vertAlign w:val="superscript"/>
        </w:rPr>
        <w:t>[</w:t>
      </w:r>
      <w:proofErr w:type="gramEnd"/>
      <w:r w:rsidR="00225D37">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study on adult subjects concluded that </w:t>
      </w:r>
      <w:r>
        <w:rPr>
          <w:rFonts w:ascii="Book Antiqua" w:eastAsia="Book Antiqua" w:hAnsi="Book Antiqua" w:cs="Book Antiqua"/>
          <w:color w:val="000000"/>
          <w:shd w:val="clear" w:color="auto" w:fill="FFFFFF"/>
        </w:rPr>
        <w:t xml:space="preserve">CT tends to underestimate the severity of corrosive ingestion compared with endoscopy. </w:t>
      </w:r>
      <w:r>
        <w:rPr>
          <w:rFonts w:ascii="Book Antiqua" w:eastAsia="Book Antiqua" w:hAnsi="Book Antiqua" w:cs="Book Antiqua"/>
          <w:color w:val="000000"/>
        </w:rPr>
        <w:t xml:space="preserve">CT scan had higher specificity but lesser sensitivity in ascertaining severity of injury in acute corrosive ingestion. </w:t>
      </w:r>
      <w:r>
        <w:rPr>
          <w:rFonts w:ascii="Book Antiqua" w:eastAsia="Book Antiqua" w:hAnsi="Book Antiqua" w:cs="Book Antiqua"/>
          <w:color w:val="000000"/>
          <w:shd w:val="clear" w:color="auto" w:fill="FFFFFF"/>
        </w:rPr>
        <w:t>The sensitivities of endoscopy in grades 2b and 3 injuries to predict mortality and emergency laparotomy were 1 and 0.8 while it was 0.4 and 0.28 for CT scan.</w:t>
      </w:r>
      <w:r w:rsidR="00225D3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specificities were 0.38 and 0.37 for endoscopy while for CT scan the specificities were 0.94 and 0.93, respectively.</w:t>
      </w:r>
      <w:r w:rsidR="00225D3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CT scan can additionally show pulmonary </w:t>
      </w:r>
      <w:r>
        <w:rPr>
          <w:rFonts w:ascii="Book Antiqua" w:eastAsia="Book Antiqua" w:hAnsi="Book Antiqua" w:cs="Book Antiqua"/>
          <w:color w:val="000000"/>
        </w:rPr>
        <w:lastRenderedPageBreak/>
        <w:t>infiltrates, features of mediastinitis and perforation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Contrast study is carefully considered and performed only if indicated. Barium is ionic, may lead to chemical pneumonit</w:t>
      </w:r>
      <w:r w:rsidR="00CF7F43">
        <w:rPr>
          <w:rFonts w:ascii="Book Antiqua" w:eastAsia="Book Antiqua" w:hAnsi="Book Antiqua" w:cs="Book Antiqua"/>
          <w:color w:val="000000"/>
        </w:rPr>
        <w:t>is due to aspiration or tracheo</w:t>
      </w:r>
      <w:r>
        <w:rPr>
          <w:rFonts w:ascii="Book Antiqua" w:eastAsia="Book Antiqua" w:hAnsi="Book Antiqua" w:cs="Book Antiqua"/>
          <w:color w:val="000000"/>
        </w:rPr>
        <w:t>esophageal fistula</w:t>
      </w:r>
      <w:r w:rsidR="00CF7F43">
        <w:rPr>
          <w:rFonts w:ascii="Book Antiqua" w:hAnsi="Book Antiqua" w:cs="Book Antiqua" w:hint="eastAsia"/>
          <w:color w:val="000000"/>
          <w:lang w:eastAsia="zh-CN"/>
        </w:rPr>
        <w:t>.</w:t>
      </w:r>
      <w:r w:rsidR="00CF7F43">
        <w:rPr>
          <w:rFonts w:ascii="Book Antiqua" w:hAnsi="Book Antiqua" w:cs="Book Antiqua" w:hint="eastAsia"/>
          <w:color w:val="0E101A"/>
          <w:lang w:eastAsia="zh-CN"/>
        </w:rPr>
        <w:t xml:space="preserve"> </w:t>
      </w:r>
      <w:r w:rsidR="00CF7F43">
        <w:rPr>
          <w:rFonts w:ascii="Book Antiqua" w:hAnsi="Book Antiqua" w:cs="Book Antiqua"/>
          <w:color w:val="0E101A"/>
        </w:rPr>
        <w:t>Ingestion of barium also</w:t>
      </w:r>
      <w:r>
        <w:rPr>
          <w:rFonts w:ascii="Book Antiqua" w:eastAsia="Book Antiqua" w:hAnsi="Book Antiqua" w:cs="Book Antiqua"/>
          <w:color w:val="000000"/>
        </w:rPr>
        <w:t xml:space="preserve"> limit</w:t>
      </w:r>
      <w:r w:rsidR="00CF7F43">
        <w:rPr>
          <w:rFonts w:ascii="Book Antiqua" w:hAnsi="Book Antiqua" w:cs="Book Antiqua" w:hint="eastAsia"/>
          <w:color w:val="000000"/>
          <w:lang w:eastAsia="zh-CN"/>
        </w:rPr>
        <w:t>s</w:t>
      </w:r>
      <w:r>
        <w:rPr>
          <w:rFonts w:ascii="Book Antiqua" w:eastAsia="Book Antiqua" w:hAnsi="Book Antiqua" w:cs="Book Antiqua"/>
          <w:color w:val="000000"/>
        </w:rPr>
        <w:t xml:space="preserve"> endoscopy if retained in luminal stasis. Hence a non-ionic contrast if preferred though the quality of study may be poor.</w:t>
      </w:r>
    </w:p>
    <w:p w14:paraId="13510707" w14:textId="77777777" w:rsidR="00225D37" w:rsidRDefault="00225D37" w:rsidP="00225D37">
      <w:pPr>
        <w:spacing w:line="360" w:lineRule="auto"/>
        <w:jc w:val="both"/>
        <w:rPr>
          <w:rFonts w:ascii="Book Antiqua" w:hAnsi="Book Antiqua" w:cs="Book Antiqua"/>
          <w:b/>
          <w:bCs/>
          <w:i/>
          <w:iCs/>
          <w:color w:val="000000"/>
          <w:lang w:eastAsia="zh-CN"/>
        </w:rPr>
      </w:pPr>
    </w:p>
    <w:p w14:paraId="26874CAB" w14:textId="77777777" w:rsidR="00A77B3E" w:rsidRDefault="005E5799" w:rsidP="00225D37">
      <w:pPr>
        <w:spacing w:line="360" w:lineRule="auto"/>
        <w:jc w:val="both"/>
      </w:pPr>
      <w:r>
        <w:rPr>
          <w:rFonts w:ascii="Book Antiqua" w:eastAsia="Book Antiqua" w:hAnsi="Book Antiqua" w:cs="Book Antiqua"/>
          <w:b/>
          <w:bCs/>
          <w:i/>
          <w:iCs/>
          <w:color w:val="000000"/>
        </w:rPr>
        <w:t>Should a nasogastric tube be preemptively placed for stricture prevention?</w:t>
      </w:r>
    </w:p>
    <w:p w14:paraId="2F950DA5" w14:textId="77777777" w:rsidR="00A77B3E" w:rsidRDefault="005E5799">
      <w:pPr>
        <w:spacing w:line="360" w:lineRule="auto"/>
        <w:jc w:val="both"/>
      </w:pPr>
      <w:r>
        <w:rPr>
          <w:rFonts w:ascii="Book Antiqua" w:eastAsia="Book Antiqua" w:hAnsi="Book Antiqua" w:cs="Book Antiqua"/>
          <w:color w:val="000000"/>
        </w:rPr>
        <w:t xml:space="preserve">Placement of pre-emptive </w:t>
      </w:r>
      <w:proofErr w:type="spellStart"/>
      <w:r>
        <w:rPr>
          <w:rFonts w:ascii="Book Antiqua" w:eastAsia="Book Antiqua" w:hAnsi="Book Antiqua" w:cs="Book Antiqua"/>
          <w:color w:val="000000"/>
        </w:rPr>
        <w:t>nasoenteric</w:t>
      </w:r>
      <w:proofErr w:type="spellEnd"/>
      <w:r>
        <w:rPr>
          <w:rFonts w:ascii="Book Antiqua" w:eastAsia="Book Antiqua" w:hAnsi="Book Antiqua" w:cs="Book Antiqua"/>
          <w:color w:val="000000"/>
        </w:rPr>
        <w:t xml:space="preserve"> tube is controversial. Though it may maintain patency of the esophageal lumen, the tube itself could worsen or contribute to complications. The tube may facilitate greater acidic reflux, delay mucosal healing and cause long strictures. Blind insertion could cause esophageal perforation. Should a tight stricture develop, positioning a tube has the advantage of providing a lumen for dilatation. Experimental studies were performed on rabbits with caustic esophageal burns. One group was treated with a silicone tube was placed immediately after causing the burns, while an untreated group was observed for the natural course of the burn. On</w:t>
      </w:r>
      <w:r w:rsidR="003B3145">
        <w:rPr>
          <w:rFonts w:ascii="Book Antiqua" w:hAnsi="Book Antiqua" w:cs="Book Antiqua" w:hint="eastAsia"/>
          <w:color w:val="000000"/>
          <w:lang w:eastAsia="zh-CN"/>
        </w:rPr>
        <w:t xml:space="preserve"> </w:t>
      </w:r>
      <w:r>
        <w:rPr>
          <w:rFonts w:ascii="Book Antiqua" w:eastAsia="Book Antiqua" w:hAnsi="Book Antiqua" w:cs="Book Antiqua"/>
          <w:color w:val="000000"/>
        </w:rPr>
        <w:t>day</w:t>
      </w:r>
      <w:r w:rsidR="003B3145">
        <w:rPr>
          <w:rFonts w:ascii="Book Antiqua" w:hAnsi="Book Antiqua" w:cs="Book Antiqua" w:hint="eastAsia"/>
          <w:color w:val="000000"/>
          <w:lang w:eastAsia="zh-CN"/>
        </w:rPr>
        <w:t xml:space="preserve"> 22</w:t>
      </w:r>
      <w:r>
        <w:rPr>
          <w:rFonts w:ascii="Book Antiqua" w:eastAsia="Book Antiqua" w:hAnsi="Book Antiqua" w:cs="Book Antiqua"/>
          <w:color w:val="000000"/>
        </w:rPr>
        <w:t xml:space="preserve">, an esophagectomy was performed on all animals. Histopathologic Damage Score and wall thickness were similar in both groups. Stenosis Index and lumen diameter were significantly lower in the treated group than untreated group. It was concluded that an early placement of an </w:t>
      </w:r>
      <w:proofErr w:type="spellStart"/>
      <w:r>
        <w:rPr>
          <w:rFonts w:ascii="Book Antiqua" w:eastAsia="Book Antiqua" w:hAnsi="Book Antiqua" w:cs="Book Antiqua"/>
          <w:color w:val="000000"/>
        </w:rPr>
        <w:t>intraesophageal</w:t>
      </w:r>
      <w:proofErr w:type="spellEnd"/>
      <w:r>
        <w:rPr>
          <w:rFonts w:ascii="Book Antiqua" w:eastAsia="Book Antiqua" w:hAnsi="Book Antiqua" w:cs="Book Antiqua"/>
          <w:color w:val="000000"/>
        </w:rPr>
        <w:t xml:space="preserve"> tube with solid dilator prevents stenosis formation and does not produce greater tissue damage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To limit acid reflux it would be prudent to add an acid suppressant in the presence of a nasogastric tube.</w:t>
      </w:r>
    </w:p>
    <w:p w14:paraId="04393E66" w14:textId="77777777" w:rsidR="00225D37" w:rsidRDefault="00225D37" w:rsidP="00225D37">
      <w:pPr>
        <w:spacing w:line="360" w:lineRule="auto"/>
        <w:jc w:val="both"/>
        <w:rPr>
          <w:rFonts w:ascii="Book Antiqua" w:hAnsi="Book Antiqua" w:cs="Book Antiqua"/>
          <w:b/>
          <w:bCs/>
          <w:i/>
          <w:iCs/>
          <w:color w:val="000000"/>
          <w:lang w:eastAsia="zh-CN"/>
        </w:rPr>
      </w:pPr>
    </w:p>
    <w:p w14:paraId="231B7F29" w14:textId="77777777" w:rsidR="00A77B3E" w:rsidRDefault="005E5799" w:rsidP="00225D37">
      <w:pPr>
        <w:spacing w:line="360" w:lineRule="auto"/>
        <w:jc w:val="both"/>
      </w:pPr>
      <w:r>
        <w:rPr>
          <w:rFonts w:ascii="Book Antiqua" w:eastAsia="Book Antiqua" w:hAnsi="Book Antiqua" w:cs="Book Antiqua"/>
          <w:b/>
          <w:bCs/>
          <w:i/>
          <w:iCs/>
          <w:color w:val="000000"/>
        </w:rPr>
        <w:t>What are the difficulties in sustaining nutrition?</w:t>
      </w:r>
    </w:p>
    <w:p w14:paraId="70EA12E5" w14:textId="77777777" w:rsidR="00A77B3E" w:rsidRDefault="005E5799">
      <w:pPr>
        <w:spacing w:line="360" w:lineRule="auto"/>
        <w:jc w:val="both"/>
      </w:pPr>
      <w:r>
        <w:rPr>
          <w:rFonts w:ascii="Book Antiqua" w:eastAsia="Book Antiqua" w:hAnsi="Book Antiqua" w:cs="Book Antiqua"/>
          <w:color w:val="000000"/>
        </w:rPr>
        <w:t xml:space="preserve">Maintaining nutrition is a challenge in the first 3-4 wk. Nutritional compromise is anticipated due to odynophagia, multiple hospital admissions and overcautious management to prevent perforation. Adequate calories should be provided due to a high catabolic state. In rabbits </w:t>
      </w:r>
      <w:proofErr w:type="gramStart"/>
      <w:r>
        <w:rPr>
          <w:rFonts w:ascii="Book Antiqua" w:eastAsia="Book Antiqua" w:hAnsi="Book Antiqua" w:cs="Book Antiqua"/>
          <w:color w:val="000000"/>
        </w:rPr>
        <w:t>models ,it</w:t>
      </w:r>
      <w:proofErr w:type="gramEnd"/>
      <w:r>
        <w:rPr>
          <w:rFonts w:ascii="Book Antiqua" w:eastAsia="Book Antiqua" w:hAnsi="Book Antiqua" w:cs="Book Antiqua"/>
          <w:color w:val="000000"/>
        </w:rPr>
        <w:t xml:space="preserve"> was found that weight gain is significantly higher after 22 d of caustic ingestion in those animals with nasogastric tube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Nasoenteric</w:t>
      </w:r>
      <w:proofErr w:type="spellEnd"/>
      <w:r>
        <w:rPr>
          <w:rFonts w:ascii="Book Antiqua" w:eastAsia="Book Antiqua" w:hAnsi="Book Antiqua" w:cs="Book Antiqua"/>
          <w:color w:val="000000"/>
        </w:rPr>
        <w:t xml:space="preserve"> tubes must be placed under endoscopic or fluoroscopic vision. A </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tube is preferred in those with gastric injuries but may be challenging to place endoscopically especially through an inflamed pylorus. A safer alternative is to consider a gastrostomy tube in an isolated esophageal injury and jejunostomy tube in gastric injury. Energy dense liquid and semisolid feeds are ensured in tube feeding. Parenteral nutrition is rarely required except for the patients with perforation and shock.</w:t>
      </w:r>
    </w:p>
    <w:p w14:paraId="5EE3D493" w14:textId="77777777" w:rsidR="00A77B3E" w:rsidRDefault="00A77B3E">
      <w:pPr>
        <w:spacing w:line="360" w:lineRule="auto"/>
        <w:jc w:val="both"/>
      </w:pPr>
    </w:p>
    <w:p w14:paraId="655EEF21" w14:textId="77777777" w:rsidR="00A77B3E" w:rsidRDefault="005E5799">
      <w:pPr>
        <w:spacing w:line="360" w:lineRule="auto"/>
        <w:jc w:val="both"/>
      </w:pPr>
      <w:r>
        <w:rPr>
          <w:rFonts w:ascii="Book Antiqua" w:eastAsia="Book Antiqua" w:hAnsi="Book Antiqua" w:cs="Book Antiqua"/>
          <w:b/>
          <w:bCs/>
          <w:caps/>
          <w:color w:val="000000"/>
          <w:u w:val="single"/>
        </w:rPr>
        <w:t>Difficulties in management of corrosive strictures in children</w:t>
      </w:r>
    </w:p>
    <w:p w14:paraId="0608BC21" w14:textId="77777777" w:rsidR="00A77B3E" w:rsidRDefault="005E5799">
      <w:pPr>
        <w:spacing w:line="360" w:lineRule="auto"/>
        <w:jc w:val="both"/>
      </w:pPr>
      <w:r>
        <w:rPr>
          <w:rFonts w:ascii="Book Antiqua" w:eastAsia="Book Antiqua" w:hAnsi="Book Antiqua" w:cs="Book Antiqua"/>
          <w:color w:val="000000"/>
        </w:rPr>
        <w:t xml:space="preserve">Once the patient develops a symptomatic stricture, serial endoscopic dilatation is the mainstay of therapy to restore the previous anatomy and preserve the normal physiology. A barium study is indicated as a road map prior to endoscopy. The techniques of endoscopic dilatation are taken on a case to case basis depending on length, site, diameter, tortuosity and complexity of the stricture. A combination of thin and regular endoscopes may be required for assessment and procedures. Intubation may be a major issue in those with laryngeal stenosis. </w:t>
      </w:r>
      <w:proofErr w:type="spellStart"/>
      <w:r>
        <w:rPr>
          <w:rFonts w:ascii="Book Antiqua" w:eastAsia="Book Antiqua" w:hAnsi="Book Antiqua" w:cs="Book Antiqua"/>
          <w:color w:val="000000"/>
        </w:rPr>
        <w:t>Unintubated</w:t>
      </w:r>
      <w:proofErr w:type="spellEnd"/>
      <w:r>
        <w:rPr>
          <w:rFonts w:ascii="Book Antiqua" w:eastAsia="Book Antiqua" w:hAnsi="Book Antiqua" w:cs="Book Antiqua"/>
          <w:color w:val="000000"/>
        </w:rPr>
        <w:t xml:space="preserve"> patients are at significant risk of respiratory compromise during the procedure. Surgical therapy may be required for feeding purposes along with dilatation, to manage complications of endoscopic dilatation like perforation and for strictures resistant to endoscopic dilatation.</w:t>
      </w:r>
    </w:p>
    <w:p w14:paraId="1825EA20" w14:textId="77777777" w:rsidR="00225D37" w:rsidRDefault="00225D37" w:rsidP="00225D37">
      <w:pPr>
        <w:spacing w:line="360" w:lineRule="auto"/>
        <w:jc w:val="both"/>
        <w:rPr>
          <w:rFonts w:ascii="Book Antiqua" w:hAnsi="Book Antiqua" w:cs="Book Antiqua"/>
          <w:b/>
          <w:bCs/>
          <w:i/>
          <w:iCs/>
          <w:color w:val="000000"/>
          <w:lang w:eastAsia="zh-CN"/>
        </w:rPr>
      </w:pPr>
    </w:p>
    <w:p w14:paraId="01938095" w14:textId="77777777" w:rsidR="00A77B3E" w:rsidRDefault="005E5799" w:rsidP="00225D37">
      <w:pPr>
        <w:spacing w:line="360" w:lineRule="auto"/>
        <w:jc w:val="both"/>
      </w:pPr>
      <w:r>
        <w:rPr>
          <w:rFonts w:ascii="Book Antiqua" w:eastAsia="Book Antiqua" w:hAnsi="Book Antiqua" w:cs="Book Antiqua"/>
          <w:b/>
          <w:bCs/>
          <w:i/>
          <w:iCs/>
          <w:color w:val="000000"/>
        </w:rPr>
        <w:t>Should we use bougie or balloon for endoscopic dilatation?</w:t>
      </w:r>
    </w:p>
    <w:p w14:paraId="12B87507" w14:textId="77777777" w:rsidR="00A77B3E" w:rsidRDefault="005E5799">
      <w:pPr>
        <w:spacing w:line="360" w:lineRule="auto"/>
        <w:jc w:val="both"/>
      </w:pPr>
      <w:r>
        <w:rPr>
          <w:rFonts w:ascii="Book Antiqua" w:eastAsia="Book Antiqua" w:hAnsi="Book Antiqua" w:cs="Book Antiqua"/>
          <w:color w:val="000000"/>
        </w:rPr>
        <w:t>Strictures can develop as early as 3 wk. Endoscopic dilatation is done every 2-3 w</w:t>
      </w:r>
      <w:r w:rsidR="00225D37">
        <w:rPr>
          <w:rFonts w:ascii="Book Antiqua" w:hAnsi="Book Antiqua" w:cs="Book Antiqua" w:hint="eastAsia"/>
          <w:color w:val="000000"/>
          <w:lang w:eastAsia="zh-CN"/>
        </w:rPr>
        <w:t>ee</w:t>
      </w:r>
      <w:r>
        <w:rPr>
          <w:rFonts w:ascii="Book Antiqua" w:eastAsia="Book Antiqua" w:hAnsi="Book Antiqua" w:cs="Book Antiqua"/>
          <w:color w:val="000000"/>
        </w:rPr>
        <w:t xml:space="preserve">kly interval and numbers of dilatation vary widely depending on anatomy of the strictures. Endoscopic dilatation should be performed by a trained gastroenterologist under general anesthesia and with surgical backup. The first dilemma faced is, the choice of method for dilatation </w:t>
      </w:r>
      <w:r w:rsidRPr="00225D37">
        <w:rPr>
          <w:rFonts w:ascii="Book Antiqua" w:eastAsia="Book Antiqua" w:hAnsi="Book Antiqua" w:cs="Book Antiqua"/>
          <w:i/>
          <w:color w:val="000000"/>
        </w:rPr>
        <w:t>i.e.</w:t>
      </w:r>
      <w:r w:rsidR="00225D37" w:rsidRPr="00225D37">
        <w:rPr>
          <w:rFonts w:ascii="Book Antiqua" w:hAnsi="Book Antiqua" w:cs="Book Antiqua" w:hint="eastAsia"/>
          <w:i/>
          <w:color w:val="000000"/>
          <w:lang w:eastAsia="zh-CN"/>
        </w:rPr>
        <w:t>,</w:t>
      </w:r>
      <w:r>
        <w:rPr>
          <w:rFonts w:ascii="Book Antiqua" w:eastAsia="Book Antiqua" w:hAnsi="Book Antiqua" w:cs="Book Antiqua"/>
          <w:color w:val="000000"/>
        </w:rPr>
        <w:t xml:space="preserve"> bougie </w:t>
      </w:r>
      <w:r w:rsidRPr="00225D37">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controlled radial expansion (</w:t>
      </w:r>
      <w:r>
        <w:rPr>
          <w:rFonts w:ascii="Book Antiqua" w:eastAsia="Book Antiqua" w:hAnsi="Book Antiqua" w:cs="Book Antiqua"/>
          <w:color w:val="000000"/>
        </w:rPr>
        <w:t>CRE) balloon in an esophageal stricture. Bougie dilates the stricture with a tangential pressure while CRE balloon asserts a radial pressure over the stricture. Bougie is a better option for multiple or long tortuous strictures while balloon is preferred for single short stricture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But </w:t>
      </w:r>
      <w:r>
        <w:rPr>
          <w:rFonts w:ascii="Book Antiqua" w:eastAsia="Book Antiqua" w:hAnsi="Book Antiqua" w:cs="Book Antiqua"/>
          <w:color w:val="000000"/>
        </w:rPr>
        <w:lastRenderedPageBreak/>
        <w:t>practically, there are other factors also which influence the final decision like experience of the endoscopist with the both methods, availability of endoscopic accessories and financial constraints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Bougie can be reused multiple times, lowering the overall cost of treatment. There are no head to head comparative studies between balloon and bougie. Balloon dilatation is found safe with variable success of 14%-100</w:t>
      </w:r>
      <w:proofErr w:type="gramStart"/>
      <w:r>
        <w:rPr>
          <w:rFonts w:ascii="Book Antiqua" w:eastAsia="Book Antiqua" w:hAnsi="Book Antiqua" w:cs="Book Antiqua"/>
          <w:color w:val="000000"/>
        </w:rPr>
        <w:t>%</w:t>
      </w:r>
      <w:r w:rsidR="00225D37">
        <w:rPr>
          <w:rFonts w:ascii="Book Antiqua" w:eastAsia="Book Antiqua" w:hAnsi="Book Antiqua" w:cs="Book Antiqua"/>
          <w:color w:val="000000"/>
          <w:szCs w:val="30"/>
          <w:vertAlign w:val="superscript"/>
        </w:rPr>
        <w:t>[</w:t>
      </w:r>
      <w:proofErr w:type="gramEnd"/>
      <w:r w:rsidR="00225D37">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Successful dilatation with bougie is 50</w:t>
      </w:r>
      <w:r w:rsidR="00225D37">
        <w:rPr>
          <w:rFonts w:ascii="Book Antiqua" w:hAnsi="Book Antiqua" w:cs="Book Antiqua" w:hint="eastAsia"/>
          <w:color w:val="000000"/>
          <w:lang w:eastAsia="zh-CN"/>
        </w:rPr>
        <w:t>%</w:t>
      </w:r>
      <w:r>
        <w:rPr>
          <w:rFonts w:ascii="Book Antiqua" w:eastAsia="Book Antiqua" w:hAnsi="Book Antiqua" w:cs="Book Antiqua"/>
          <w:color w:val="000000"/>
        </w:rPr>
        <w:t>-96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It should also be kept in mind that thinner endoscopes have limited channel length for balloon accessories. Softer guidewires than metallic ones are preferred to negotiate </w:t>
      </w:r>
      <w:proofErr w:type="spellStart"/>
      <w:r>
        <w:rPr>
          <w:rFonts w:ascii="Book Antiqua" w:eastAsia="Book Antiqua" w:hAnsi="Book Antiqua" w:cs="Book Antiqua"/>
          <w:color w:val="000000"/>
        </w:rPr>
        <w:t>inflammed</w:t>
      </w:r>
      <w:proofErr w:type="spellEnd"/>
      <w:r>
        <w:rPr>
          <w:rFonts w:ascii="Book Antiqua" w:eastAsia="Book Antiqua" w:hAnsi="Book Antiqua" w:cs="Book Antiqua"/>
          <w:color w:val="000000"/>
        </w:rPr>
        <w:t xml:space="preserve"> strictures. In tortuous strictures, optimal positioning of the patient and repeated gentle attempts are required</w:t>
      </w:r>
      <w:r w:rsidR="003B3145" w:rsidRPr="003B3145">
        <w:rPr>
          <w:rFonts w:ascii="Book Antiqua" w:hAnsi="Book Antiqua" w:cs="Book Antiqua"/>
          <w:color w:val="0E101A"/>
        </w:rPr>
        <w:t xml:space="preserve"> </w:t>
      </w:r>
      <w:r w:rsidR="003B3145">
        <w:rPr>
          <w:rFonts w:ascii="Book Antiqua" w:hAnsi="Book Antiqua" w:cs="Book Antiqua"/>
          <w:color w:val="0E101A"/>
        </w:rPr>
        <w:t>for negotiation</w:t>
      </w:r>
      <w:r>
        <w:rPr>
          <w:rFonts w:ascii="Book Antiqua" w:eastAsia="Book Antiqua" w:hAnsi="Book Antiqua" w:cs="Book Antiqua"/>
          <w:color w:val="000000"/>
        </w:rPr>
        <w:t xml:space="preserve">. Navigation is often aided by hydrophilic </w:t>
      </w:r>
      <w:proofErr w:type="spellStart"/>
      <w:r>
        <w:rPr>
          <w:rFonts w:ascii="Book Antiqua" w:eastAsia="Book Antiqua" w:hAnsi="Book Antiqua" w:cs="Book Antiqua"/>
          <w:color w:val="000000"/>
        </w:rPr>
        <w:t>terumo</w:t>
      </w:r>
      <w:proofErr w:type="spellEnd"/>
      <w:r>
        <w:rPr>
          <w:rFonts w:ascii="Book Antiqua" w:eastAsia="Book Antiqua" w:hAnsi="Book Antiqua" w:cs="Book Antiqua"/>
          <w:color w:val="000000"/>
        </w:rPr>
        <w:t xml:space="preserve"> guidewire. Over the guidewire balloons are preferred if the anatomy of the lumen is uncertain.</w:t>
      </w:r>
    </w:p>
    <w:p w14:paraId="496E370E" w14:textId="77777777" w:rsidR="00225D37" w:rsidRDefault="00225D37" w:rsidP="00225D37">
      <w:pPr>
        <w:spacing w:line="360" w:lineRule="auto"/>
        <w:jc w:val="both"/>
        <w:rPr>
          <w:rFonts w:ascii="Book Antiqua" w:hAnsi="Book Antiqua" w:cs="Book Antiqua"/>
          <w:b/>
          <w:bCs/>
          <w:i/>
          <w:iCs/>
          <w:color w:val="000000"/>
          <w:lang w:eastAsia="zh-CN"/>
        </w:rPr>
      </w:pPr>
    </w:p>
    <w:p w14:paraId="2442EB31" w14:textId="77777777" w:rsidR="00A77B3E" w:rsidRDefault="005E5799" w:rsidP="00225D37">
      <w:pPr>
        <w:spacing w:line="360" w:lineRule="auto"/>
        <w:jc w:val="both"/>
      </w:pPr>
      <w:r>
        <w:rPr>
          <w:rFonts w:ascii="Book Antiqua" w:eastAsia="Book Antiqua" w:hAnsi="Book Antiqua" w:cs="Book Antiqua"/>
          <w:b/>
          <w:bCs/>
          <w:i/>
          <w:iCs/>
          <w:color w:val="000000"/>
        </w:rPr>
        <w:t>Are corrosive esophageal strictures more resistant to dilate?</w:t>
      </w:r>
    </w:p>
    <w:p w14:paraId="36458387" w14:textId="77777777" w:rsidR="00A77B3E" w:rsidRDefault="005E5799">
      <w:pPr>
        <w:spacing w:line="360" w:lineRule="auto"/>
        <w:jc w:val="both"/>
      </w:pPr>
      <w:r>
        <w:rPr>
          <w:rFonts w:ascii="Book Antiqua" w:eastAsia="Book Antiqua" w:hAnsi="Book Antiqua" w:cs="Book Antiqua"/>
          <w:color w:val="000000"/>
        </w:rPr>
        <w:t xml:space="preserve">Of all benign esophageal strictures in children, corrosives are the most challenging to dilate to due to intense fibrosis and complexity. Corrosive strictures require higher number of sessions of dilatation, have higher risk of dilatation related complications and may need surgical therapy more often as compared to other etiologies like post trachea-esophageal fistula repair and peptic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Main complication of dilatation is perforation which is reported from around 2.5% to as high as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225D3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Other reported complications of dilatation are mediastinitis, lung abscess, empyema, pericardial effusion, sepsis and death.</w:t>
      </w:r>
    </w:p>
    <w:p w14:paraId="23D3ABE2" w14:textId="77777777" w:rsidR="00225D37" w:rsidRDefault="00225D37" w:rsidP="00225D37">
      <w:pPr>
        <w:spacing w:line="360" w:lineRule="auto"/>
        <w:jc w:val="both"/>
        <w:rPr>
          <w:rFonts w:ascii="Book Antiqua" w:hAnsi="Book Antiqua" w:cs="Book Antiqua"/>
          <w:b/>
          <w:bCs/>
          <w:i/>
          <w:iCs/>
          <w:color w:val="000000"/>
          <w:lang w:eastAsia="zh-CN"/>
        </w:rPr>
      </w:pPr>
    </w:p>
    <w:p w14:paraId="0A75CEC7" w14:textId="77777777" w:rsidR="00A77B3E" w:rsidRDefault="005E5799" w:rsidP="00225D37">
      <w:pPr>
        <w:spacing w:line="360" w:lineRule="auto"/>
        <w:jc w:val="both"/>
      </w:pPr>
      <w:r>
        <w:rPr>
          <w:rFonts w:ascii="Book Antiqua" w:eastAsia="Book Antiqua" w:hAnsi="Book Antiqua" w:cs="Book Antiqua"/>
          <w:b/>
          <w:bCs/>
          <w:i/>
          <w:iCs/>
          <w:color w:val="000000"/>
        </w:rPr>
        <w:t>When should we begin stricture dilatation?</w:t>
      </w:r>
    </w:p>
    <w:p w14:paraId="648A5B51" w14:textId="77777777" w:rsidR="00A77B3E" w:rsidRDefault="005E5799">
      <w:pPr>
        <w:spacing w:line="360" w:lineRule="auto"/>
        <w:jc w:val="both"/>
      </w:pPr>
      <w:r>
        <w:rPr>
          <w:rFonts w:ascii="Book Antiqua" w:eastAsia="Book Antiqua" w:hAnsi="Book Antiqua" w:cs="Book Antiqua"/>
          <w:color w:val="000000"/>
        </w:rPr>
        <w:t xml:space="preserve">Another dilemma is timing to start dilatation i.e. early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late dilatation. </w:t>
      </w:r>
      <w:proofErr w:type="spellStart"/>
      <w:r w:rsidR="000A781E" w:rsidRPr="000A781E">
        <w:rPr>
          <w:rFonts w:ascii="Book Antiqua" w:eastAsia="Book Antiqua" w:hAnsi="Book Antiqua" w:cs="Book Antiqua"/>
          <w:color w:val="000000"/>
        </w:rPr>
        <w:t>Gün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781E">
        <w:rPr>
          <w:rFonts w:ascii="Book Antiqua" w:eastAsia="Book Antiqua" w:hAnsi="Book Antiqua" w:cs="Book Antiqua"/>
          <w:color w:val="000000"/>
          <w:szCs w:val="30"/>
          <w:vertAlign w:val="superscript"/>
        </w:rPr>
        <w:t>[</w:t>
      </w:r>
      <w:proofErr w:type="gramEnd"/>
      <w:r w:rsidR="000A781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compared patients who underwent early dilatation starting from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week after corrosive ingestion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patients who underwent late dilatation after 6-12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corrosive ingestion. Children with late dilatation of stricture had poorer response (25%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65%) along with higher rates of perforation (50%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21%). None of the patients with late dilatation recovered within 1 year period while 60% with early dilatation improved </w:t>
      </w:r>
      <w:r>
        <w:rPr>
          <w:rFonts w:ascii="Book Antiqua" w:eastAsia="Book Antiqua" w:hAnsi="Book Antiqua" w:cs="Book Antiqua"/>
          <w:color w:val="000000"/>
        </w:rPr>
        <w:lastRenderedPageBreak/>
        <w:t>within same time period</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Patients who are referred late often have a resistant stricture due to extensive fibrosis over time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Contini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A781E">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patients who were started on dilatation late (&gt;</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recurrence of strictures in 73%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30% in timely dilatation group (</w:t>
      </w:r>
      <w:r w:rsidR="000A781E">
        <w:rPr>
          <w:rFonts w:ascii="Book Antiqua" w:hAnsi="Book Antiqua" w:cs="Book Antiqua" w:hint="eastAsia"/>
          <w:i/>
          <w:color w:val="000000"/>
          <w:lang w:eastAsia="zh-CN"/>
        </w:rPr>
        <w:t>P</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0.01).</w:t>
      </w:r>
    </w:p>
    <w:p w14:paraId="2ADE2704" w14:textId="77777777" w:rsidR="000A781E" w:rsidRDefault="000A781E" w:rsidP="000A781E">
      <w:pPr>
        <w:spacing w:line="360" w:lineRule="auto"/>
        <w:jc w:val="both"/>
        <w:rPr>
          <w:rFonts w:ascii="Book Antiqua" w:hAnsi="Book Antiqua" w:cs="Book Antiqua"/>
          <w:b/>
          <w:bCs/>
          <w:i/>
          <w:iCs/>
          <w:color w:val="000000"/>
          <w:lang w:eastAsia="zh-CN"/>
        </w:rPr>
      </w:pPr>
    </w:p>
    <w:p w14:paraId="278B9035" w14:textId="77777777" w:rsidR="00A77B3E" w:rsidRDefault="005E5799" w:rsidP="000A781E">
      <w:pPr>
        <w:spacing w:line="360" w:lineRule="auto"/>
        <w:jc w:val="both"/>
      </w:pPr>
      <w:r>
        <w:rPr>
          <w:rFonts w:ascii="Book Antiqua" w:eastAsia="Book Antiqua" w:hAnsi="Book Antiqua" w:cs="Book Antiqua"/>
          <w:b/>
          <w:bCs/>
          <w:i/>
          <w:iCs/>
          <w:color w:val="000000"/>
        </w:rPr>
        <w:t>How to manage refractory esophageal strictures?</w:t>
      </w:r>
    </w:p>
    <w:p w14:paraId="30280D3C" w14:textId="77777777" w:rsidR="00A77B3E" w:rsidRPr="000A781E" w:rsidRDefault="005E5799">
      <w:pPr>
        <w:spacing w:line="360" w:lineRule="auto"/>
        <w:jc w:val="both"/>
        <w:rPr>
          <w:lang w:eastAsia="zh-CN"/>
        </w:rPr>
      </w:pPr>
      <w:r>
        <w:rPr>
          <w:rFonts w:ascii="Book Antiqua" w:eastAsia="Book Antiqua" w:hAnsi="Book Antiqua" w:cs="Book Antiqua"/>
          <w:color w:val="000000"/>
        </w:rPr>
        <w:t xml:space="preserve">ESPGHAN guidelines for endoscopy have defined refractory and recurrent strictures as an anatomic restriction because of cicatricial luminal compromise or fibrosis that results in dysphagia in the absence of endoscopic evidence of inflammation. This may defined in two clinical settings. Firstly there may be an inability to successfully remediate the anatomic problem to obtain age-appropriate feeding after a maximum of 5 dilation sessions (refractory) with maximal 4-wk intervals. Secondly there may be an inability to maintain a satisfactory luminal diameter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once the age-appropriate feeding diameter has been achieved (recurrent)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this subgroup of patients, following options can be utilized before surgery</w:t>
      </w:r>
      <w:r w:rsidR="000A781E">
        <w:rPr>
          <w:rFonts w:ascii="Book Antiqua" w:hAnsi="Book Antiqua" w:cs="Book Antiqua" w:hint="eastAsia"/>
          <w:color w:val="000000"/>
          <w:lang w:eastAsia="zh-CN"/>
        </w:rPr>
        <w:t>.</w:t>
      </w:r>
    </w:p>
    <w:p w14:paraId="0B907152" w14:textId="77777777" w:rsidR="000A781E" w:rsidRDefault="000A781E" w:rsidP="000A781E">
      <w:pPr>
        <w:spacing w:line="360" w:lineRule="auto"/>
        <w:jc w:val="both"/>
        <w:rPr>
          <w:rFonts w:ascii="Book Antiqua" w:hAnsi="Book Antiqua" w:cs="Book Antiqua"/>
          <w:b/>
          <w:bCs/>
          <w:i/>
          <w:iCs/>
          <w:color w:val="000000"/>
          <w:lang w:eastAsia="zh-CN"/>
        </w:rPr>
      </w:pPr>
    </w:p>
    <w:p w14:paraId="3F5804F2" w14:textId="77777777" w:rsidR="00A77B3E" w:rsidRDefault="005E5799" w:rsidP="000A781E">
      <w:pPr>
        <w:spacing w:line="360" w:lineRule="auto"/>
        <w:jc w:val="both"/>
      </w:pPr>
      <w:r w:rsidRPr="000A781E">
        <w:rPr>
          <w:rFonts w:ascii="Book Antiqua" w:eastAsia="Book Antiqua" w:hAnsi="Book Antiqua" w:cs="Book Antiqua"/>
          <w:b/>
          <w:bCs/>
          <w:iCs/>
          <w:color w:val="000000"/>
        </w:rPr>
        <w:t>Intralesional steroids</w:t>
      </w:r>
      <w:r w:rsidRPr="000A781E">
        <w:rPr>
          <w:rFonts w:ascii="Book Antiqua" w:eastAsia="Book Antiqua" w:hAnsi="Book Antiqua" w:cs="Book Antiqua"/>
          <w:b/>
          <w:bCs/>
          <w:color w:val="000000"/>
        </w:rPr>
        <w:t>:</w:t>
      </w:r>
      <w:r>
        <w:rPr>
          <w:rFonts w:ascii="Book Antiqua" w:eastAsia="Book Antiqua" w:hAnsi="Book Antiqua" w:cs="Book Antiqua"/>
          <w:color w:val="000000"/>
        </w:rPr>
        <w:t xml:space="preserve"> Intralesional steroid injection increases effect of dilatation by inhibiting inflammatory response to injury, decreases collagen synthesis and cross-linking at the stricture site. </w:t>
      </w:r>
      <w:proofErr w:type="spellStart"/>
      <w:r w:rsidR="000A781E" w:rsidRPr="000A781E">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781E">
        <w:rPr>
          <w:rFonts w:ascii="Book Antiqua" w:eastAsia="Book Antiqua" w:hAnsi="Book Antiqua" w:cs="Book Antiqua"/>
          <w:color w:val="000000"/>
          <w:szCs w:val="30"/>
          <w:vertAlign w:val="superscript"/>
        </w:rPr>
        <w:t>[</w:t>
      </w:r>
      <w:proofErr w:type="gramEnd"/>
      <w:r w:rsidR="000A781E">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published data of 32 children with resistant strictures where Triamcinolone acetonide was injected in four quadrants prior to dilatation. 92% of patients with short strictures improved completely. None of the patients with long stricture (&gt;</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cm) had resolution of dysphagia and all required esophageal replacement. A meta-analysis of 6 randomized control trials including 176 adult patients with benign esophageal stricture found that intralesional steroid therapy decreased stricture formation rate along with requirement of endoscopic dilatations without increase in complications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2EC28D8F" w14:textId="77777777" w:rsidR="000A781E" w:rsidRDefault="000A781E" w:rsidP="000A781E">
      <w:pPr>
        <w:spacing w:line="360" w:lineRule="auto"/>
        <w:jc w:val="both"/>
        <w:rPr>
          <w:rFonts w:ascii="Book Antiqua" w:hAnsi="Book Antiqua" w:cs="Book Antiqua"/>
          <w:b/>
          <w:bCs/>
          <w:i/>
          <w:iCs/>
          <w:color w:val="000000"/>
          <w:lang w:eastAsia="zh-CN"/>
        </w:rPr>
      </w:pPr>
    </w:p>
    <w:p w14:paraId="78BD7206" w14:textId="77777777" w:rsidR="00A77B3E" w:rsidRDefault="005E5799" w:rsidP="000A781E">
      <w:pPr>
        <w:spacing w:line="360" w:lineRule="auto"/>
        <w:jc w:val="both"/>
      </w:pPr>
      <w:r w:rsidRPr="000A781E">
        <w:rPr>
          <w:rFonts w:ascii="Book Antiqua" w:eastAsia="Book Antiqua" w:hAnsi="Book Antiqua" w:cs="Book Antiqua"/>
          <w:b/>
          <w:bCs/>
          <w:iCs/>
          <w:color w:val="000000"/>
        </w:rPr>
        <w:t xml:space="preserve">Mitomycin: </w:t>
      </w:r>
      <w:r>
        <w:rPr>
          <w:rFonts w:ascii="Book Antiqua" w:eastAsia="Book Antiqua" w:hAnsi="Book Antiqua" w:cs="Book Antiqua"/>
          <w:color w:val="000000"/>
        </w:rPr>
        <w:t xml:space="preserve">Mitomycin is an antineoplastic drug which inhibits cell division and fibroblast proliferation. A mucosal tear during dilatation heals with fibrosis. Hence </w:t>
      </w:r>
      <w:r>
        <w:rPr>
          <w:rFonts w:ascii="Book Antiqua" w:eastAsia="Book Antiqua" w:hAnsi="Book Antiqua" w:cs="Book Antiqua"/>
          <w:color w:val="000000"/>
        </w:rPr>
        <w:lastRenderedPageBreak/>
        <w:t xml:space="preserve">mitomycin is used to limit this process and augment the effect of dilatation. Mitomycin soaked gauze (0.4 mg/mL) is applied over the stricture after dilatation for the duration of 3-4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781E">
        <w:rPr>
          <w:rFonts w:ascii="Book Antiqua" w:eastAsia="Book Antiqua" w:hAnsi="Book Antiqua" w:cs="Book Antiqua"/>
          <w:color w:val="000000"/>
          <w:szCs w:val="30"/>
          <w:vertAlign w:val="superscript"/>
        </w:rPr>
        <w:t>[</w:t>
      </w:r>
      <w:proofErr w:type="gramEnd"/>
      <w:r w:rsidR="000A781E">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compared 18 children who underwent mitomycin injection with dilatation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12 children with routine dilatation. Results suggested </w:t>
      </w:r>
      <w:r w:rsidR="003B3145">
        <w:rPr>
          <w:rFonts w:ascii="Book Antiqua" w:hAnsi="Book Antiqua" w:cs="Book Antiqua"/>
          <w:color w:val="0E101A"/>
        </w:rPr>
        <w:t>that between the two groups, there were no major differences in the number of dilatations.</w:t>
      </w:r>
      <w:r w:rsidR="003B3145">
        <w:rPr>
          <w:rFonts w:ascii="Book Antiqua" w:hAnsi="Book Antiqua" w:cs="Book Antiqua" w:hint="eastAsia"/>
          <w:color w:val="0E101A"/>
          <w:lang w:eastAsia="zh-CN"/>
        </w:rPr>
        <w:t xml:space="preserve"> </w:t>
      </w:r>
      <w:r w:rsidR="003B3145">
        <w:rPr>
          <w:rFonts w:ascii="Book Antiqua" w:hAnsi="Book Antiqua" w:cs="Book Antiqua"/>
          <w:color w:val="0E101A"/>
        </w:rPr>
        <w:t xml:space="preserve">However there was a </w:t>
      </w:r>
      <w:r>
        <w:rPr>
          <w:rFonts w:ascii="Book Antiqua" w:eastAsia="Book Antiqua" w:hAnsi="Book Antiqua" w:cs="Book Antiqua"/>
          <w:color w:val="000000"/>
        </w:rPr>
        <w:t>significant improvement in dysphagia in the mitomycin group. In another double-blind, randomized, placebo-controlled trial, mitomycin group had complete resolution of stricture in 80% of patients as compared to 35% in non-mitomycin group</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sidR="000A781E" w:rsidRPr="000A781E">
        <w:rPr>
          <w:rFonts w:ascii="Book Antiqua" w:eastAsia="Book Antiqua" w:hAnsi="Book Antiqua" w:cs="Book Antiqua"/>
          <w:color w:val="000000"/>
        </w:rPr>
        <w:t>Méndez-Nieto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781E">
        <w:rPr>
          <w:rFonts w:ascii="Book Antiqua" w:eastAsia="Book Antiqua" w:hAnsi="Book Antiqua" w:cs="Book Antiqua"/>
          <w:color w:val="000000"/>
          <w:szCs w:val="30"/>
          <w:vertAlign w:val="superscript"/>
        </w:rPr>
        <w:t>[</w:t>
      </w:r>
      <w:proofErr w:type="gramEnd"/>
      <w:r w:rsidR="000A781E">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compared patients treated with mitomycin (</w:t>
      </w:r>
      <w:r>
        <w:rPr>
          <w:rFonts w:ascii="Book Antiqua" w:eastAsia="Book Antiqua" w:hAnsi="Book Antiqua" w:cs="Book Antiqua"/>
          <w:i/>
          <w:iCs/>
          <w:color w:val="000000"/>
        </w:rPr>
        <w:t>n</w:t>
      </w:r>
      <w:r>
        <w:rPr>
          <w:rFonts w:ascii="Book Antiqua" w:eastAsia="Book Antiqua" w:hAnsi="Book Antiqua" w:cs="Book Antiqua"/>
          <w:color w:val="000000"/>
        </w:rPr>
        <w:t xml:space="preserve"> = 16) with retrospective cohort of steroid treated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34). Mitomycin group required significantly less number of dilatation sessions [4.5 (3-8)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11 (4-24), </w:t>
      </w:r>
      <w:r w:rsidR="000A781E">
        <w:rPr>
          <w:rFonts w:ascii="Book Antiqua" w:hAnsi="Book Antiqua" w:cs="Book Antiqua" w:hint="eastAsia"/>
          <w:i/>
          <w:color w:val="000000"/>
          <w:lang w:eastAsia="zh-CN"/>
        </w:rPr>
        <w:t>P</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0.01].</w:t>
      </w:r>
    </w:p>
    <w:p w14:paraId="16CC5089" w14:textId="77777777" w:rsidR="000A781E" w:rsidRPr="000A781E" w:rsidRDefault="000A781E" w:rsidP="000A781E">
      <w:pPr>
        <w:spacing w:line="360" w:lineRule="auto"/>
        <w:jc w:val="both"/>
        <w:rPr>
          <w:rFonts w:ascii="Book Antiqua" w:hAnsi="Book Antiqua" w:cs="Book Antiqua"/>
          <w:b/>
          <w:bCs/>
          <w:iCs/>
          <w:color w:val="000000"/>
          <w:lang w:eastAsia="zh-CN"/>
        </w:rPr>
      </w:pPr>
    </w:p>
    <w:p w14:paraId="373A5117" w14:textId="77777777" w:rsidR="00A77B3E" w:rsidRDefault="005E5799" w:rsidP="000A781E">
      <w:pPr>
        <w:spacing w:line="360" w:lineRule="auto"/>
        <w:jc w:val="both"/>
      </w:pPr>
      <w:r w:rsidRPr="000A781E">
        <w:rPr>
          <w:rFonts w:ascii="Book Antiqua" w:eastAsia="Book Antiqua" w:hAnsi="Book Antiqua" w:cs="Book Antiqua"/>
          <w:b/>
          <w:bCs/>
          <w:iCs/>
          <w:color w:val="000000"/>
        </w:rPr>
        <w:t>Stents</w:t>
      </w:r>
      <w:r w:rsidRPr="000A781E">
        <w:rPr>
          <w:rFonts w:ascii="Book Antiqua" w:eastAsia="Book Antiqua" w:hAnsi="Book Antiqua" w:cs="Book Antiqua"/>
          <w:b/>
          <w:bCs/>
          <w:color w:val="000000"/>
        </w:rPr>
        <w:t>:</w:t>
      </w:r>
      <w:r w:rsidRPr="000A781E">
        <w:rPr>
          <w:rFonts w:ascii="Book Antiqua" w:eastAsia="Book Antiqua" w:hAnsi="Book Antiqua" w:cs="Book Antiqua"/>
          <w:color w:val="000000"/>
        </w:rPr>
        <w:t xml:space="preserve"> </w:t>
      </w:r>
      <w:r>
        <w:rPr>
          <w:rFonts w:ascii="Book Antiqua" w:eastAsia="Book Antiqua" w:hAnsi="Book Antiqua" w:cs="Book Antiqua"/>
          <w:color w:val="000000"/>
        </w:rPr>
        <w:t>Use of esophageal stents in children is still evolving and experience is limited. Resistant caustic strictures are the most common indication of stent placement in children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781E">
        <w:rPr>
          <w:rFonts w:ascii="Book Antiqua" w:eastAsia="Book Antiqua" w:hAnsi="Book Antiqua" w:cs="Book Antiqua"/>
          <w:color w:val="000000"/>
          <w:szCs w:val="30"/>
          <w:vertAlign w:val="superscript"/>
        </w:rPr>
        <w:t>[</w:t>
      </w:r>
      <w:proofErr w:type="gramEnd"/>
      <w:r w:rsidR="000A781E">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used nitinol-alloy self-expanding esophageal stent in eight children (2-12 year). Stents were deployed for 1-4 wk.</w:t>
      </w:r>
      <w:r w:rsidR="000A781E">
        <w:rPr>
          <w:rFonts w:ascii="Book Antiqua" w:hAnsi="Book Antiqua" w:cs="Book Antiqua" w:hint="eastAsia"/>
          <w:color w:val="000000"/>
          <w:lang w:eastAsia="zh-CN"/>
        </w:rPr>
        <w:t xml:space="preserve"> </w:t>
      </w:r>
      <w:r>
        <w:rPr>
          <w:rFonts w:ascii="Book Antiqua" w:eastAsia="Book Antiqua" w:hAnsi="Book Antiqua" w:cs="Book Antiqua"/>
          <w:color w:val="000000"/>
        </w:rPr>
        <w:t>Stent migration occurred in one patient while two patients required further dilatation. None of the patients had any severe side effects. Use of stents in children is limited due availability of age appropriate sizes</w:t>
      </w:r>
      <w:r w:rsidR="003B3145">
        <w:rPr>
          <w:rFonts w:ascii="Book Antiqua" w:hAnsi="Book Antiqua" w:cs="Book Antiqua"/>
          <w:color w:val="0E101A"/>
        </w:rPr>
        <w:t xml:space="preserve"> and sign</w:t>
      </w:r>
      <w:r w:rsidR="003B3145">
        <w:rPr>
          <w:rFonts w:ascii="Book Antiqua" w:hAnsi="Book Antiqua" w:cs="Book Antiqua" w:hint="eastAsia"/>
          <w:color w:val="0E101A"/>
          <w:lang w:eastAsia="zh-CN"/>
        </w:rPr>
        <w:t>i</w:t>
      </w:r>
      <w:r w:rsidR="003B3145">
        <w:rPr>
          <w:rFonts w:ascii="Book Antiqua" w:hAnsi="Book Antiqua" w:cs="Book Antiqua"/>
          <w:color w:val="0E101A"/>
        </w:rPr>
        <w:t>ficant chances of migration</w:t>
      </w:r>
      <w:r>
        <w:rPr>
          <w:rFonts w:ascii="Book Antiqua" w:eastAsia="Book Antiqua" w:hAnsi="Book Antiqua" w:cs="Book Antiqua"/>
          <w:color w:val="000000"/>
        </w:rPr>
        <w:t>. It is not possible to place stents in patients where stricture starts from upper esophagus or from the pharyngeal inlet.</w:t>
      </w:r>
    </w:p>
    <w:p w14:paraId="5345B778" w14:textId="77777777" w:rsidR="00A77B3E" w:rsidRDefault="005E5799" w:rsidP="000A781E">
      <w:pPr>
        <w:spacing w:line="360" w:lineRule="auto"/>
        <w:ind w:firstLineChars="100" w:firstLine="240"/>
        <w:jc w:val="both"/>
      </w:pPr>
      <w:r>
        <w:rPr>
          <w:rFonts w:ascii="Book Antiqua" w:eastAsia="Book Antiqua" w:hAnsi="Book Antiqua" w:cs="Book Antiqua"/>
          <w:color w:val="000000"/>
        </w:rPr>
        <w:t>ESPGHAN guidelines suggest the use of temporary stent placement or application of topical mitomycin following dilation for refractory esophageal stenosis rather than routine use of intralesional steroids for refractory esophageal stenosis in children. There is theoretical possibility of induction of dysplasia after mitomycin application although there is no proven evidence yet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49C67D0" w14:textId="77777777" w:rsidR="00A77B3E" w:rsidRDefault="00A77B3E">
      <w:pPr>
        <w:spacing w:line="360" w:lineRule="auto"/>
        <w:jc w:val="both"/>
      </w:pPr>
    </w:p>
    <w:p w14:paraId="6F475BA5" w14:textId="77777777" w:rsidR="00A77B3E" w:rsidRDefault="005E5799" w:rsidP="000A781E">
      <w:pPr>
        <w:spacing w:line="360" w:lineRule="auto"/>
        <w:jc w:val="both"/>
      </w:pPr>
      <w:r>
        <w:rPr>
          <w:rFonts w:ascii="Book Antiqua" w:eastAsia="Book Antiqua" w:hAnsi="Book Antiqua" w:cs="Book Antiqua"/>
          <w:b/>
          <w:bCs/>
          <w:i/>
          <w:iCs/>
          <w:color w:val="000000"/>
        </w:rPr>
        <w:t>When is surgery indicated in esophageal strictures?</w:t>
      </w:r>
    </w:p>
    <w:p w14:paraId="1F93B4EA" w14:textId="77777777" w:rsidR="00A77B3E" w:rsidRPr="000A781E" w:rsidRDefault="005E5799">
      <w:pPr>
        <w:spacing w:line="360" w:lineRule="auto"/>
        <w:jc w:val="both"/>
        <w:rPr>
          <w:lang w:eastAsia="zh-CN"/>
        </w:rPr>
      </w:pPr>
      <w:r>
        <w:rPr>
          <w:rFonts w:ascii="Book Antiqua" w:eastAsia="Book Antiqua" w:hAnsi="Book Antiqua" w:cs="Book Antiqua"/>
          <w:color w:val="000000"/>
        </w:rPr>
        <w:t>Surgery is the last resort for recurrent or refractory corrosive esophageal strictures. Optimal time for reconstruction is 6</w:t>
      </w:r>
      <w:r w:rsidR="000A781E">
        <w:rPr>
          <w:rFonts w:ascii="Book Antiqua" w:hAnsi="Book Antiqua" w:cs="Book Antiqua" w:hint="eastAsia"/>
          <w:color w:val="000000"/>
          <w:lang w:eastAsia="zh-CN"/>
        </w:rPr>
        <w:t>-</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 corrosive </w:t>
      </w:r>
      <w:proofErr w:type="spellStart"/>
      <w:r>
        <w:rPr>
          <w:rFonts w:ascii="Book Antiqua" w:eastAsia="Book Antiqua" w:hAnsi="Book Antiqua" w:cs="Book Antiqua"/>
          <w:color w:val="000000"/>
        </w:rPr>
        <w:t>ingeation</w:t>
      </w:r>
      <w:proofErr w:type="spellEnd"/>
      <w:r>
        <w:rPr>
          <w:rFonts w:ascii="Book Antiqua" w:eastAsia="Book Antiqua" w:hAnsi="Book Antiqua" w:cs="Book Antiqua"/>
          <w:color w:val="000000"/>
        </w:rPr>
        <w:t xml:space="preserve">. The waiting period </w:t>
      </w:r>
      <w:r>
        <w:rPr>
          <w:rFonts w:ascii="Book Antiqua" w:eastAsia="Book Antiqua" w:hAnsi="Book Antiqua" w:cs="Book Antiqua"/>
          <w:color w:val="000000"/>
        </w:rPr>
        <w:lastRenderedPageBreak/>
        <w:t xml:space="preserve">is beneficial for the final arrest of the progression of stricture (length, level and tenacity) and optimization of nutritional status. Major controversy in surgical management of corrosive esophageal stricture is resection </w:t>
      </w:r>
      <w:r w:rsidR="00225D37" w:rsidRPr="00225D37">
        <w:rPr>
          <w:rFonts w:ascii="Book Antiqua" w:eastAsia="Book Antiqua" w:hAnsi="Book Antiqua" w:cs="Book Antiqua"/>
          <w:i/>
          <w:color w:val="000000"/>
        </w:rPr>
        <w:t>vs</w:t>
      </w:r>
      <w:r>
        <w:rPr>
          <w:rFonts w:ascii="Book Antiqua" w:eastAsia="Book Antiqua" w:hAnsi="Book Antiqua" w:cs="Book Antiqua"/>
          <w:color w:val="000000"/>
        </w:rPr>
        <w:t xml:space="preserve"> bypass. Currently majority of the surgeons prefer bypass in view of lesser incidence of malignancy in residual esophagus and lesser morbidity and mortality as compared to resection. Choices of esophageal replacement are gastric advancement/pull-up, colonic interposition and jejunal interposition. There is no consensus on the ideal replacement for esophagus. The jejunum is not a preferred conduit because of its limited length. Free jejunal grafts may be used to bridge short defects after excision of localized esophageal stricture. Colonic interposition is a complex surgery requiring multiple anastomosis and affected by issues such as colonic redundancy. However, colon is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option in view of abundant vascularity and space of the lumen. Two options in colonic interposition are a right colon or a left colon conduit. Choice between these two is still debated. Gastric pull-up is comparatively a simpler surgery but it is dependent on the availability of healthy stomach which may be partially involved or difficult to assess in corrosive ingestion. Routes available for conduit placement are posterior mediastinum, retrosternal and subcutaneous. Subcutaneous route is less preferred in view of poor cosmesis. Retrosternal route is most commonly used in corrosive esophageal stricture as native esophagus is left in situ. Colonic and gastric replacements both have shown good outcome</w:t>
      </w:r>
      <w:r>
        <w:rPr>
          <w:rFonts w:ascii="Book Antiqua" w:eastAsia="Book Antiqua" w:hAnsi="Book Antiqua" w:cs="Book Antiqua"/>
          <w:color w:val="000000"/>
          <w:szCs w:val="30"/>
          <w:vertAlign w:val="superscript"/>
        </w:rPr>
        <w:t xml:space="preserve"> [21,41,42]</w:t>
      </w:r>
      <w:r>
        <w:rPr>
          <w:rFonts w:ascii="Book Antiqua" w:eastAsia="Book Antiqua" w:hAnsi="Book Antiqua" w:cs="Book Antiqua"/>
          <w:color w:val="000000"/>
        </w:rPr>
        <w:t>. Studies have shown that there are no significant differences in terms of early complications (cervical anastomotic leaks, vocal cord palsy, and pulmonary complications) in colonic interposition or gastric pull-</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Long term outcomes of these two procedures are also comparable. Over all complications of surgery include anastomotic leak, wound infection, graft redundancy, conduit failure and anastomotic strictures. Endoscopic dilatation may be required for anastomotic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w:t>
      </w:r>
    </w:p>
    <w:p w14:paraId="0090451C" w14:textId="77777777" w:rsidR="00A77B3E" w:rsidRDefault="00A77B3E">
      <w:pPr>
        <w:spacing w:line="360" w:lineRule="auto"/>
        <w:jc w:val="both"/>
      </w:pPr>
    </w:p>
    <w:p w14:paraId="39B7FD51" w14:textId="77777777" w:rsidR="00A77B3E" w:rsidRDefault="005E5799" w:rsidP="000A781E">
      <w:pPr>
        <w:spacing w:line="360" w:lineRule="auto"/>
        <w:jc w:val="both"/>
      </w:pPr>
      <w:r>
        <w:rPr>
          <w:rFonts w:ascii="Book Antiqua" w:eastAsia="Book Antiqua" w:hAnsi="Book Antiqua" w:cs="Book Antiqua"/>
          <w:b/>
          <w:bCs/>
          <w:i/>
          <w:iCs/>
          <w:color w:val="000000"/>
        </w:rPr>
        <w:t xml:space="preserve">What are the challenges </w:t>
      </w:r>
      <w:r w:rsidR="000A781E">
        <w:rPr>
          <w:rFonts w:ascii="Book Antiqua" w:eastAsia="Book Antiqua" w:hAnsi="Book Antiqua" w:cs="Book Antiqua"/>
          <w:b/>
          <w:bCs/>
          <w:i/>
          <w:iCs/>
          <w:color w:val="000000"/>
        </w:rPr>
        <w:t>in pyloric stricture management</w:t>
      </w:r>
      <w:r>
        <w:rPr>
          <w:rFonts w:ascii="Book Antiqua" w:eastAsia="Book Antiqua" w:hAnsi="Book Antiqua" w:cs="Book Antiqua"/>
          <w:b/>
          <w:bCs/>
          <w:i/>
          <w:iCs/>
          <w:color w:val="000000"/>
        </w:rPr>
        <w:t>?</w:t>
      </w:r>
    </w:p>
    <w:p w14:paraId="627DE477" w14:textId="77777777" w:rsidR="00A77B3E" w:rsidRDefault="005E5799">
      <w:pPr>
        <w:spacing w:line="360" w:lineRule="auto"/>
        <w:jc w:val="both"/>
      </w:pPr>
      <w:r>
        <w:rPr>
          <w:rFonts w:ascii="Book Antiqua" w:eastAsia="Book Antiqua" w:hAnsi="Book Antiqua" w:cs="Book Antiqua"/>
          <w:color w:val="000000"/>
        </w:rPr>
        <w:t xml:space="preserve">Acute caustic ingestion causes </w:t>
      </w:r>
      <w:proofErr w:type="spellStart"/>
      <w:r>
        <w:rPr>
          <w:rFonts w:ascii="Book Antiqua" w:eastAsia="Book Antiqua" w:hAnsi="Book Antiqua" w:cs="Book Antiqua"/>
          <w:color w:val="000000"/>
        </w:rPr>
        <w:t>pylorospasm</w:t>
      </w:r>
      <w:proofErr w:type="spellEnd"/>
      <w:r>
        <w:rPr>
          <w:rFonts w:ascii="Book Antiqua" w:eastAsia="Book Antiqua" w:hAnsi="Book Antiqua" w:cs="Book Antiqua"/>
          <w:color w:val="000000"/>
        </w:rPr>
        <w:t xml:space="preserve"> which increases duration of contact in antrum and pylorus leading to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strictures. Adequate gastric decompression </w:t>
      </w:r>
      <w:r>
        <w:rPr>
          <w:rFonts w:ascii="Book Antiqua" w:eastAsia="Book Antiqua" w:hAnsi="Book Antiqua" w:cs="Book Antiqua"/>
          <w:color w:val="000000"/>
        </w:rPr>
        <w:lastRenderedPageBreak/>
        <w:t xml:space="preserve">is recommended prior to endoscopy to reduce the volume of retained gastric juices. Antral strictures may appear as a </w:t>
      </w:r>
      <w:proofErr w:type="spellStart"/>
      <w:r>
        <w:rPr>
          <w:rFonts w:ascii="Book Antiqua" w:eastAsia="Book Antiqua" w:hAnsi="Book Antiqua" w:cs="Book Antiqua"/>
          <w:color w:val="000000"/>
        </w:rPr>
        <w:t>pseudopylorus</w:t>
      </w:r>
      <w:proofErr w:type="spellEnd"/>
      <w:r>
        <w:rPr>
          <w:rFonts w:ascii="Book Antiqua" w:eastAsia="Book Antiqua" w:hAnsi="Book Antiqua" w:cs="Book Antiqua"/>
          <w:color w:val="000000"/>
        </w:rPr>
        <w:t xml:space="preserve">. In the authors’ experience, an abnormally dilated stomach alters the usual endoscopic technique of negotiation along the lesser curvature to reach the pylorus. In a contracted stomach, pyloric strictures are often superiorly and eccentrically located than usual position of pylorus surrounded by a “bird feet appearance” around the narrowing. These strictures are best identified on retroflexion with right-ward deflection of the endoscope. Multiple </w:t>
      </w:r>
      <w:proofErr w:type="spellStart"/>
      <w:r>
        <w:rPr>
          <w:rFonts w:ascii="Book Antiqua" w:eastAsia="Book Antiqua" w:hAnsi="Book Antiqua" w:cs="Book Antiqua"/>
          <w:color w:val="000000"/>
        </w:rPr>
        <w:t>diverticulae</w:t>
      </w:r>
      <w:proofErr w:type="spellEnd"/>
      <w:r>
        <w:rPr>
          <w:rFonts w:ascii="Book Antiqua" w:eastAsia="Book Antiqua" w:hAnsi="Book Antiqua" w:cs="Book Antiqua"/>
          <w:color w:val="000000"/>
        </w:rPr>
        <w:t xml:space="preserve"> are often misleading in identifying the real pyloric stricture, especially if the lumen is pinpoint.  Blind negotiation of the guidewire may be catastrophic. In the first endoscopy, considerable attempts may be required to negotiate the guidewire. Increased friability of mucosa may lead to considerable bleeding and further edema of the opening. Balloon dilatation is the primary endoscopic procedure of choice. In very narrow strictures, a graded dilatation with biliary balloons is followed by CRE balloons. Unlike esophageal strictures, bougie is not an option for pyloric strictures and there is limited experience with other adjunctive therapies like steroid and mitomycin in children. In earlier days, surgery was primary mode of treatment for pyloric strictures. Various surgical options are </w:t>
      </w:r>
      <w:r>
        <w:rPr>
          <w:rFonts w:ascii="Book Antiqua" w:eastAsia="Book Antiqua" w:hAnsi="Book Antiqua" w:cs="Book Antiqua"/>
          <w:color w:val="000000"/>
          <w:shd w:val="clear" w:color="auto" w:fill="FFFFFF"/>
        </w:rPr>
        <w:t xml:space="preserve">gastro-jejunostomy with or without vagotomy, pyloroplasty, or antrectomy with </w:t>
      </w:r>
      <w:proofErr w:type="spellStart"/>
      <w:r>
        <w:rPr>
          <w:rFonts w:ascii="Book Antiqua" w:eastAsia="Book Antiqua" w:hAnsi="Book Antiqua" w:cs="Book Antiqua"/>
          <w:color w:val="000000"/>
          <w:shd w:val="clear" w:color="auto" w:fill="FFFFFF"/>
        </w:rPr>
        <w:t>Bilroth</w:t>
      </w:r>
      <w:proofErr w:type="spellEnd"/>
      <w:r>
        <w:rPr>
          <w:rFonts w:ascii="Book Antiqua" w:eastAsia="Book Antiqua" w:hAnsi="Book Antiqua" w:cs="Book Antiqua"/>
          <w:color w:val="000000"/>
          <w:shd w:val="clear" w:color="auto" w:fill="FFFFFF"/>
        </w:rPr>
        <w:t xml:space="preserve"> I anastomosis</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One important consideration is that, </w:t>
      </w:r>
      <w:proofErr w:type="spellStart"/>
      <w:r>
        <w:rPr>
          <w:rFonts w:ascii="Book Antiqua" w:eastAsia="Book Antiqua" w:hAnsi="Book Antiqua" w:cs="Book Antiqua"/>
          <w:color w:val="000000"/>
          <w:shd w:val="clear" w:color="auto" w:fill="FFFFFF"/>
        </w:rPr>
        <w:t>retrocolic</w:t>
      </w:r>
      <w:proofErr w:type="spellEnd"/>
      <w:r>
        <w:rPr>
          <w:rFonts w:ascii="Book Antiqua" w:eastAsia="Book Antiqua" w:hAnsi="Book Antiqua" w:cs="Book Antiqua"/>
          <w:color w:val="000000"/>
          <w:shd w:val="clear" w:color="auto" w:fill="FFFFFF"/>
        </w:rPr>
        <w:t xml:space="preserve"> gastrojejunostomy should be avoided as it increases the technical difficulty or sometimes it </w:t>
      </w:r>
      <w:proofErr w:type="spellStart"/>
      <w:r>
        <w:rPr>
          <w:rFonts w:ascii="Book Antiqua" w:eastAsia="Book Antiqua" w:hAnsi="Book Antiqua" w:cs="Book Antiqua"/>
          <w:color w:val="000000"/>
          <w:shd w:val="clear" w:color="auto" w:fill="FFFFFF"/>
        </w:rPr>
        <w:t>precluds</w:t>
      </w:r>
      <w:proofErr w:type="spellEnd"/>
      <w:r>
        <w:rPr>
          <w:rFonts w:ascii="Book Antiqua" w:eastAsia="Book Antiqua" w:hAnsi="Book Antiqua" w:cs="Book Antiqua"/>
          <w:color w:val="000000"/>
          <w:shd w:val="clear" w:color="auto" w:fill="FFFFFF"/>
        </w:rPr>
        <w:t xml:space="preserve"> future colonic bypass by interfering with middle colic vascular arcade. Patients may require a repeat surgery due to anastomotic stricture although incidence is low and patients do well in long term follow up</w:t>
      </w:r>
      <w:r>
        <w:rPr>
          <w:rFonts w:ascii="Book Antiqua" w:eastAsia="Book Antiqua" w:hAnsi="Book Antiqua" w:cs="Book Antiqua"/>
          <w:color w:val="000000"/>
          <w:szCs w:val="30"/>
          <w:shd w:val="clear" w:color="auto" w:fill="FFFFFF"/>
          <w:vertAlign w:val="superscript"/>
        </w:rPr>
        <w:t>[46,47]</w:t>
      </w:r>
      <w:r>
        <w:rPr>
          <w:rFonts w:ascii="Book Antiqua" w:eastAsia="Book Antiqua" w:hAnsi="Book Antiqua" w:cs="Book Antiqua"/>
          <w:color w:val="000000"/>
          <w:shd w:val="clear" w:color="auto" w:fill="FFFFFF"/>
        </w:rPr>
        <w:t>.</w:t>
      </w:r>
    </w:p>
    <w:p w14:paraId="12B29EF2" w14:textId="77777777" w:rsidR="00A77B3E" w:rsidRDefault="005E5799" w:rsidP="000A781E">
      <w:pPr>
        <w:spacing w:line="360" w:lineRule="auto"/>
        <w:ind w:firstLineChars="100" w:firstLine="240"/>
        <w:jc w:val="both"/>
      </w:pPr>
      <w:r>
        <w:rPr>
          <w:rFonts w:ascii="Book Antiqua" w:eastAsia="Book Antiqua" w:hAnsi="Book Antiqua" w:cs="Book Antiqua"/>
          <w:color w:val="000000"/>
        </w:rPr>
        <w:t xml:space="preserve">With increasing endoscopic experience, surgery can be avoided especially if successive endoscopic dilatation attempts are </w:t>
      </w:r>
      <w:proofErr w:type="gramStart"/>
      <w:r>
        <w:rPr>
          <w:rFonts w:ascii="Book Antiqua" w:eastAsia="Book Antiqua" w:hAnsi="Book Antiqua" w:cs="Book Antiqua"/>
          <w:color w:val="000000"/>
        </w:rPr>
        <w:t>successful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This ensures restoration of normal anatomy and sustenance of the physiological outflow.</w:t>
      </w:r>
    </w:p>
    <w:p w14:paraId="69886B19" w14:textId="77777777" w:rsidR="00A77B3E" w:rsidRDefault="00A77B3E">
      <w:pPr>
        <w:spacing w:line="360" w:lineRule="auto"/>
        <w:jc w:val="both"/>
      </w:pPr>
    </w:p>
    <w:p w14:paraId="31819F56" w14:textId="77777777" w:rsidR="00A77B3E" w:rsidRDefault="005E5799">
      <w:pPr>
        <w:spacing w:line="360" w:lineRule="auto"/>
        <w:jc w:val="both"/>
      </w:pPr>
      <w:r>
        <w:rPr>
          <w:rFonts w:ascii="Book Antiqua" w:eastAsia="Book Antiqua" w:hAnsi="Book Antiqua" w:cs="Book Antiqua"/>
          <w:b/>
          <w:bCs/>
          <w:caps/>
          <w:color w:val="000000"/>
          <w:u w:val="single"/>
        </w:rPr>
        <w:t>Long term gastrointestinal complications</w:t>
      </w:r>
    </w:p>
    <w:p w14:paraId="54CA6661" w14:textId="77777777" w:rsidR="00A77B3E" w:rsidRDefault="005E5799">
      <w:pPr>
        <w:spacing w:line="360" w:lineRule="auto"/>
        <w:jc w:val="both"/>
      </w:pPr>
      <w:r>
        <w:rPr>
          <w:rFonts w:ascii="Book Antiqua" w:eastAsia="Book Antiqua" w:hAnsi="Book Antiqua" w:cs="Book Antiqua"/>
          <w:color w:val="000000"/>
          <w:shd w:val="clear" w:color="auto" w:fill="FFFFFF"/>
        </w:rPr>
        <w:t>There are few other sequelae of corrosive ingestion which increase the morbidity in addition to stricture formation.</w:t>
      </w:r>
    </w:p>
    <w:p w14:paraId="73C683A8" w14:textId="77777777" w:rsidR="000A781E" w:rsidRPr="000A781E" w:rsidRDefault="005E5799" w:rsidP="000A781E">
      <w:pPr>
        <w:spacing w:line="360" w:lineRule="auto"/>
        <w:jc w:val="both"/>
        <w:rPr>
          <w:rFonts w:ascii="Book Antiqua" w:hAnsi="Book Antiqua" w:cs="Book Antiqua"/>
          <w:b/>
          <w:bCs/>
          <w:i/>
          <w:color w:val="000000"/>
          <w:shd w:val="clear" w:color="auto" w:fill="FFFFFF"/>
          <w:lang w:eastAsia="zh-CN"/>
        </w:rPr>
      </w:pPr>
      <w:r w:rsidRPr="000A781E">
        <w:rPr>
          <w:rFonts w:ascii="Book Antiqua" w:eastAsia="Book Antiqua" w:hAnsi="Book Antiqua" w:cs="Book Antiqua"/>
          <w:b/>
          <w:bCs/>
          <w:i/>
          <w:color w:val="000000"/>
          <w:shd w:val="clear" w:color="auto" w:fill="FFFFFF"/>
        </w:rPr>
        <w:lastRenderedPageBreak/>
        <w:t>Gastro-esophageal reflux disease</w:t>
      </w:r>
    </w:p>
    <w:p w14:paraId="21B5BDDE" w14:textId="77777777" w:rsidR="00A77B3E" w:rsidRDefault="005E5799" w:rsidP="000A781E">
      <w:pPr>
        <w:spacing w:line="360" w:lineRule="auto"/>
        <w:jc w:val="both"/>
      </w:pPr>
      <w:proofErr w:type="spellStart"/>
      <w:r>
        <w:rPr>
          <w:rFonts w:ascii="Book Antiqua" w:eastAsia="Book Antiqua" w:hAnsi="Book Antiqua" w:cs="Book Antiqua"/>
          <w:color w:val="000000"/>
          <w:shd w:val="clear" w:color="auto" w:fill="FFFFFF"/>
        </w:rPr>
        <w:t>Cicatrization</w:t>
      </w:r>
      <w:proofErr w:type="spellEnd"/>
      <w:r>
        <w:rPr>
          <w:rFonts w:ascii="Book Antiqua" w:eastAsia="Book Antiqua" w:hAnsi="Book Antiqua" w:cs="Book Antiqua"/>
          <w:color w:val="000000"/>
          <w:shd w:val="clear" w:color="auto" w:fill="FFFFFF"/>
        </w:rPr>
        <w:t xml:space="preserve"> due to fibrosis in esophagus leads to gastroesophageal reflux disease. Repeated acid exposure may lead to additional peptic stricture. These subgroups of patients require long term acid suppression for successful endoscopic dilatation</w:t>
      </w:r>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w:t>
      </w:r>
    </w:p>
    <w:p w14:paraId="5441AE9C" w14:textId="77777777" w:rsidR="000A781E" w:rsidRDefault="000A781E" w:rsidP="000A781E">
      <w:pPr>
        <w:spacing w:line="360" w:lineRule="auto"/>
        <w:jc w:val="both"/>
        <w:rPr>
          <w:rFonts w:ascii="Book Antiqua" w:hAnsi="Book Antiqua" w:cs="Book Antiqua"/>
          <w:b/>
          <w:bCs/>
          <w:color w:val="000000"/>
          <w:shd w:val="clear" w:color="auto" w:fill="FFFFFF"/>
          <w:lang w:eastAsia="zh-CN"/>
        </w:rPr>
      </w:pPr>
    </w:p>
    <w:p w14:paraId="76D48304" w14:textId="77777777" w:rsidR="000A781E" w:rsidRPr="000A781E" w:rsidRDefault="005E5799" w:rsidP="000A781E">
      <w:pPr>
        <w:spacing w:line="360" w:lineRule="auto"/>
        <w:jc w:val="both"/>
        <w:rPr>
          <w:rFonts w:ascii="Book Antiqua" w:hAnsi="Book Antiqua" w:cs="Book Antiqua"/>
          <w:b/>
          <w:bCs/>
          <w:i/>
          <w:color w:val="000000"/>
          <w:shd w:val="clear" w:color="auto" w:fill="FFFFFF"/>
          <w:lang w:eastAsia="zh-CN"/>
        </w:rPr>
      </w:pPr>
      <w:r w:rsidRPr="000A781E">
        <w:rPr>
          <w:rFonts w:ascii="Book Antiqua" w:eastAsia="Book Antiqua" w:hAnsi="Book Antiqua" w:cs="Book Antiqua"/>
          <w:b/>
          <w:bCs/>
          <w:i/>
          <w:color w:val="000000"/>
          <w:shd w:val="clear" w:color="auto" w:fill="FFFFFF"/>
        </w:rPr>
        <w:t>Dysmotility</w:t>
      </w:r>
    </w:p>
    <w:p w14:paraId="51B32351" w14:textId="77777777" w:rsidR="00A77B3E" w:rsidRDefault="005E5799" w:rsidP="000A781E">
      <w:pPr>
        <w:spacing w:line="360" w:lineRule="auto"/>
        <w:jc w:val="both"/>
      </w:pPr>
      <w:r>
        <w:rPr>
          <w:rFonts w:ascii="Book Antiqua" w:eastAsia="Book Antiqua" w:hAnsi="Book Antiqua" w:cs="Book Antiqua"/>
          <w:color w:val="000000"/>
          <w:shd w:val="clear" w:color="auto" w:fill="FFFFFF"/>
        </w:rPr>
        <w:t xml:space="preserve">Corrosive injury and resulting fibrosis may damage the enteric </w:t>
      </w:r>
      <w:proofErr w:type="spellStart"/>
      <w:r>
        <w:rPr>
          <w:rFonts w:ascii="Book Antiqua" w:eastAsia="Book Antiqua" w:hAnsi="Book Antiqua" w:cs="Book Antiqua"/>
          <w:color w:val="000000"/>
          <w:shd w:val="clear" w:color="auto" w:fill="FFFFFF"/>
        </w:rPr>
        <w:t>plexi</w:t>
      </w:r>
      <w:proofErr w:type="spellEnd"/>
      <w:r>
        <w:rPr>
          <w:rFonts w:ascii="Book Antiqua" w:eastAsia="Book Antiqua" w:hAnsi="Book Antiqua" w:cs="Book Antiqua"/>
          <w:color w:val="000000"/>
          <w:shd w:val="clear" w:color="auto" w:fill="FFFFFF"/>
        </w:rPr>
        <w:t xml:space="preserve"> in esophagus and stomach leading to esophageal dysmotility and gastroparesis respectively. Cicatrized stomach leads to issues of gastric accommodation and antral milling effect of chyme. These complications add to the existing symptoms of dysphagia, gastric outlet obstruction and may lead to persistent of symptoms even after adequate dilatation</w:t>
      </w:r>
      <w:r>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w:t>
      </w:r>
    </w:p>
    <w:p w14:paraId="605EC5CC" w14:textId="77777777" w:rsidR="000A781E" w:rsidRDefault="000A781E">
      <w:pPr>
        <w:spacing w:line="360" w:lineRule="auto"/>
        <w:jc w:val="both"/>
        <w:rPr>
          <w:rFonts w:ascii="Book Antiqua" w:hAnsi="Book Antiqua" w:cs="Book Antiqua"/>
          <w:b/>
          <w:bCs/>
          <w:color w:val="000000"/>
          <w:shd w:val="clear" w:color="auto" w:fill="FFFFFF"/>
          <w:lang w:eastAsia="zh-CN"/>
        </w:rPr>
      </w:pPr>
    </w:p>
    <w:p w14:paraId="2ED7081D" w14:textId="77777777" w:rsidR="000A781E" w:rsidRPr="000A781E" w:rsidRDefault="005E5799">
      <w:pPr>
        <w:spacing w:line="360" w:lineRule="auto"/>
        <w:jc w:val="both"/>
        <w:rPr>
          <w:rFonts w:ascii="Book Antiqua" w:hAnsi="Book Antiqua" w:cs="Book Antiqua"/>
          <w:b/>
          <w:bCs/>
          <w:i/>
          <w:color w:val="000000"/>
          <w:shd w:val="clear" w:color="auto" w:fill="FFFFFF"/>
          <w:lang w:eastAsia="zh-CN"/>
        </w:rPr>
      </w:pPr>
      <w:r w:rsidRPr="000A781E">
        <w:rPr>
          <w:rFonts w:ascii="Book Antiqua" w:eastAsia="Book Antiqua" w:hAnsi="Book Antiqua" w:cs="Book Antiqua"/>
          <w:b/>
          <w:bCs/>
          <w:i/>
          <w:color w:val="000000"/>
          <w:shd w:val="clear" w:color="auto" w:fill="FFFFFF"/>
        </w:rPr>
        <w:t>Risk of neoplasia</w:t>
      </w:r>
    </w:p>
    <w:p w14:paraId="0A5F14AF" w14:textId="77777777" w:rsidR="00A77B3E" w:rsidRPr="000A781E" w:rsidRDefault="005E5799">
      <w:pPr>
        <w:spacing w:line="360" w:lineRule="auto"/>
        <w:jc w:val="both"/>
        <w:rPr>
          <w:lang w:eastAsia="zh-CN"/>
        </w:rPr>
      </w:pPr>
      <w:r>
        <w:rPr>
          <w:rFonts w:ascii="Book Antiqua" w:eastAsia="Book Antiqua" w:hAnsi="Book Antiqua" w:cs="Book Antiqua"/>
          <w:color w:val="000000"/>
          <w:shd w:val="clear" w:color="auto" w:fill="FFFFFF"/>
        </w:rPr>
        <w:t xml:space="preserve">Incidence of esophageal carcinoma can be significantly higher in patients with corrosive ingestion as compared to general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 xml:space="preserve">. Carcinoma develops mostly at the site of stricture. Endoscopic dilatation or surgery does not prevent development of carcinoma. Development of carcinoma may range anywhere from 1 to 7 decades after corrosive </w:t>
      </w:r>
      <w:proofErr w:type="gramStart"/>
      <w:r>
        <w:rPr>
          <w:rFonts w:ascii="Book Antiqua" w:eastAsia="Book Antiqua" w:hAnsi="Book Antiqua" w:cs="Book Antiqua"/>
          <w:color w:val="000000"/>
          <w:shd w:val="clear" w:color="auto" w:fill="FFFFFF"/>
        </w:rPr>
        <w:t>ingestion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rPr>
        <w:t>. Change or onset of new symptoms in a patient with past history of corrosive ingestion may be indicator of carcinoma esophagus.</w:t>
      </w:r>
    </w:p>
    <w:p w14:paraId="7CA9305F" w14:textId="77777777" w:rsidR="00A77B3E" w:rsidRDefault="00A77B3E">
      <w:pPr>
        <w:spacing w:line="360" w:lineRule="auto"/>
        <w:jc w:val="both"/>
      </w:pPr>
    </w:p>
    <w:p w14:paraId="01B1B290" w14:textId="77777777" w:rsidR="00A77B3E" w:rsidRDefault="005E5799">
      <w:pPr>
        <w:spacing w:line="360" w:lineRule="auto"/>
        <w:jc w:val="both"/>
      </w:pPr>
      <w:r>
        <w:rPr>
          <w:rFonts w:ascii="Book Antiqua" w:eastAsia="Book Antiqua" w:hAnsi="Book Antiqua" w:cs="Book Antiqua"/>
          <w:b/>
          <w:caps/>
          <w:color w:val="000000"/>
          <w:u w:val="single"/>
        </w:rPr>
        <w:t>CONCLUSION</w:t>
      </w:r>
    </w:p>
    <w:p w14:paraId="191BF024" w14:textId="77777777" w:rsidR="00A77B3E" w:rsidRDefault="005E5799">
      <w:pPr>
        <w:spacing w:line="360" w:lineRule="auto"/>
        <w:jc w:val="both"/>
      </w:pPr>
      <w:r>
        <w:rPr>
          <w:rFonts w:ascii="Book Antiqua" w:eastAsia="Book Antiqua" w:hAnsi="Book Antiqua" w:cs="Book Antiqua"/>
          <w:color w:val="000000"/>
          <w:shd w:val="clear" w:color="auto" w:fill="FFFFFF"/>
        </w:rPr>
        <w:t xml:space="preserve">Corrosive ingestion is a common and preventable cause of esophageal and gastric injury in children. Development of stricture in upper </w:t>
      </w:r>
      <w:r w:rsidR="00225D37" w:rsidRPr="00225D37">
        <w:rPr>
          <w:rFonts w:ascii="Book Antiqua" w:eastAsia="Book Antiqua" w:hAnsi="Book Antiqua" w:cs="Book Antiqua"/>
          <w:color w:val="000000"/>
          <w:shd w:val="clear" w:color="auto" w:fill="FFFFFF"/>
        </w:rPr>
        <w:t>gastrointestinal</w:t>
      </w:r>
      <w:r w:rsidR="00225D3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tract is associated with prolonged morbidity, need for long term therapy and procedure related complications affecting the quality of life in children. Despite many daunts and dilemmas in management, clinical outcome is generally rewarding with endoscopic dilatations. Newer adjunctive therapies may decrease the need for surgery although for resistant and recurrent strictures. Even after resolution of symptoms these patients should be kept on long term follow-up. There is need for further large volume studies </w:t>
      </w:r>
      <w:r>
        <w:rPr>
          <w:rFonts w:ascii="Book Antiqua" w:eastAsia="Book Antiqua" w:hAnsi="Book Antiqua" w:cs="Book Antiqua"/>
          <w:color w:val="000000"/>
          <w:shd w:val="clear" w:color="auto" w:fill="FFFFFF"/>
        </w:rPr>
        <w:lastRenderedPageBreak/>
        <w:t>regarding efficacy and safety of newer adjunctive therapies. Long term follow-up studies are required to evaluate stricture and management related complications in children.</w:t>
      </w:r>
    </w:p>
    <w:p w14:paraId="5FD866E7" w14:textId="77777777" w:rsidR="00A77B3E" w:rsidRDefault="00A77B3E">
      <w:pPr>
        <w:spacing w:line="360" w:lineRule="auto"/>
        <w:jc w:val="both"/>
      </w:pPr>
    </w:p>
    <w:p w14:paraId="0BF083E3" w14:textId="77777777" w:rsidR="00A77B3E" w:rsidRDefault="005E5799">
      <w:pPr>
        <w:spacing w:line="360" w:lineRule="auto"/>
        <w:jc w:val="both"/>
      </w:pPr>
      <w:r>
        <w:rPr>
          <w:rFonts w:ascii="Book Antiqua" w:eastAsia="Book Antiqua" w:hAnsi="Book Antiqua" w:cs="Book Antiqua"/>
          <w:b/>
          <w:color w:val="000000"/>
        </w:rPr>
        <w:t>REFERENCES</w:t>
      </w:r>
    </w:p>
    <w:p w14:paraId="25005862" w14:textId="77777777" w:rsidR="00A77B3E" w:rsidRDefault="005E579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Vandenplas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Management of Benign Esophageal Strictures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Hepatol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211-215 [PMID: 29302501 DOI: 10.5223/pghn.2017.20.4.211]</w:t>
      </w:r>
    </w:p>
    <w:p w14:paraId="194B74EE" w14:textId="77777777" w:rsidR="00A77B3E" w:rsidRDefault="005E579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Contini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Caustic injury of the upper gastrointestinal tract: a comprehensive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3918-3930 [PMID: 23840136 DOI: 10.3748/wjg.v19.i25.3918]</w:t>
      </w:r>
    </w:p>
    <w:p w14:paraId="7ED19351" w14:textId="77777777" w:rsidR="00A77B3E" w:rsidRDefault="005E579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Hall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D, Henny D, Mathieu L, </w:t>
      </w:r>
      <w:proofErr w:type="spellStart"/>
      <w:r>
        <w:rPr>
          <w:rFonts w:ascii="Book Antiqua" w:eastAsia="Book Antiqua" w:hAnsi="Book Antiqua" w:cs="Book Antiqua"/>
          <w:color w:val="000000"/>
        </w:rPr>
        <w:t>Josset</w:t>
      </w:r>
      <w:proofErr w:type="spellEnd"/>
      <w:r>
        <w:rPr>
          <w:rFonts w:ascii="Book Antiqua" w:eastAsia="Book Antiqua" w:hAnsi="Book Antiqua" w:cs="Book Antiqua"/>
          <w:color w:val="000000"/>
        </w:rPr>
        <w:t xml:space="preserve"> P, Meyer B. Corrosive substances ingestion: a review. </w:t>
      </w:r>
      <w:r>
        <w:rPr>
          <w:rFonts w:ascii="Book Antiqua" w:eastAsia="Book Antiqua" w:hAnsi="Book Antiqua" w:cs="Book Antiqua"/>
          <w:i/>
          <w:iCs/>
          <w:color w:val="000000"/>
        </w:rPr>
        <w:t xml:space="preserve">Crit Rev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637-669 [PMID: 32009535 DOI: 10.1080/10408444.2019.1707773]</w:t>
      </w:r>
    </w:p>
    <w:p w14:paraId="490D87DB" w14:textId="77777777" w:rsidR="00A77B3E" w:rsidRDefault="005E579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Urganci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Kalyoncu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Demirel</w:t>
      </w:r>
      <w:proofErr w:type="spellEnd"/>
      <w:r>
        <w:rPr>
          <w:rFonts w:ascii="Book Antiqua" w:eastAsia="Book Antiqua" w:hAnsi="Book Antiqua" w:cs="Book Antiqua"/>
          <w:color w:val="000000"/>
        </w:rPr>
        <w:t xml:space="preserve"> E. Corrosive substance ingestion in children.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81</w:t>
      </w:r>
      <w:r>
        <w:rPr>
          <w:rFonts w:ascii="Book Antiqua" w:eastAsia="Book Antiqua" w:hAnsi="Book Antiqua" w:cs="Book Antiqua"/>
          <w:color w:val="000000"/>
        </w:rPr>
        <w:t>: 675-679 [PMID: 23918323 DOI: 10.1007/s12098-013-1170-0]</w:t>
      </w:r>
    </w:p>
    <w:p w14:paraId="2721B919" w14:textId="77777777" w:rsidR="00A77B3E" w:rsidRDefault="005E579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Bolia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Biradar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Sathiyasekaran</w:t>
      </w:r>
      <w:proofErr w:type="spellEnd"/>
      <w:r>
        <w:rPr>
          <w:rFonts w:ascii="Book Antiqua" w:eastAsia="Book Antiqua" w:hAnsi="Book Antiqua" w:cs="Book Antiqua"/>
          <w:color w:val="000000"/>
        </w:rPr>
        <w:t xml:space="preserve"> M, Srivastava A. Current practices in the management of corrosive ingestion in children: A questionnaire-based survey and recommendations.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316-325 [PMID: 33991312 DOI: 10.1007/s12664-021-01153-z]</w:t>
      </w:r>
    </w:p>
    <w:p w14:paraId="53C6B412" w14:textId="77777777" w:rsidR="00A77B3E" w:rsidRDefault="005E579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Johnson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Brigger</w:t>
      </w:r>
      <w:proofErr w:type="spellEnd"/>
      <w:r>
        <w:rPr>
          <w:rFonts w:ascii="Book Antiqua" w:eastAsia="Book Antiqua" w:hAnsi="Book Antiqua" w:cs="Book Antiqua"/>
          <w:color w:val="000000"/>
        </w:rPr>
        <w:t xml:space="preserve"> MT. The public health impact of pediatric caustic ingestion injuries.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138</w:t>
      </w:r>
      <w:r>
        <w:rPr>
          <w:rFonts w:ascii="Book Antiqua" w:eastAsia="Book Antiqua" w:hAnsi="Book Antiqua" w:cs="Book Antiqua"/>
          <w:color w:val="000000"/>
        </w:rPr>
        <w:t>: 1111-1115 [PMID: 23247229 DOI: 10.1001/jamaoto.2013.672]</w:t>
      </w:r>
    </w:p>
    <w:p w14:paraId="08F6F507" w14:textId="77777777" w:rsidR="00A77B3E" w:rsidRDefault="005E579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Thomson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Tavares M, Tabbers MM, </w:t>
      </w:r>
      <w:proofErr w:type="spellStart"/>
      <w:r>
        <w:rPr>
          <w:rFonts w:ascii="Book Antiqua" w:eastAsia="Book Antiqua" w:hAnsi="Book Antiqua" w:cs="Book Antiqua"/>
          <w:color w:val="000000"/>
        </w:rPr>
        <w:t>Furlano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 Hassan C, </w:t>
      </w:r>
      <w:proofErr w:type="spellStart"/>
      <w:r>
        <w:rPr>
          <w:rFonts w:ascii="Book Antiqua" w:eastAsia="Book Antiqua" w:hAnsi="Book Antiqua" w:cs="Book Antiqua"/>
          <w:color w:val="000000"/>
        </w:rPr>
        <w:t>Tzvinikos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Ijsselstijn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Viala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Dall'Oglio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 Orel R,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Keil R, Romano C, Brownstone E, </w:t>
      </w:r>
      <w:proofErr w:type="spellStart"/>
      <w:r>
        <w:rPr>
          <w:rFonts w:ascii="Book Antiqua" w:eastAsia="Book Antiqua" w:hAnsi="Book Antiqua" w:cs="Book Antiqua"/>
          <w:color w:val="000000"/>
        </w:rPr>
        <w:t>Hlava</w:t>
      </w:r>
      <w:proofErr w:type="spellEnd"/>
      <w:r>
        <w:rPr>
          <w:rFonts w:ascii="Book Antiqua" w:eastAsia="Book Antiqua" w:hAnsi="Book Antiqua" w:cs="Book Antiqua"/>
          <w:color w:val="000000"/>
        </w:rPr>
        <w:t xml:space="preserve"> Š,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Dolak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R, Huber WD, Everett S, </w:t>
      </w:r>
      <w:proofErr w:type="spellStart"/>
      <w:r>
        <w:rPr>
          <w:rFonts w:ascii="Book Antiqua" w:eastAsia="Book Antiqua" w:hAnsi="Book Antiqua" w:cs="Book Antiqua"/>
          <w:color w:val="000000"/>
        </w:rPr>
        <w:t>Vecsei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Amil-Dias J, </w:t>
      </w:r>
      <w:proofErr w:type="spellStart"/>
      <w:r>
        <w:rPr>
          <w:rFonts w:ascii="Book Antiqua" w:eastAsia="Book Antiqua" w:hAnsi="Book Antiqua" w:cs="Book Antiqua"/>
          <w:color w:val="000000"/>
        </w:rPr>
        <w:t>Zambelli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Gastrointestinal Endoscopy: European Society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Hepatology and Nutrition and European Society of Gastrointestinal </w:t>
      </w:r>
      <w:r>
        <w:rPr>
          <w:rFonts w:ascii="Book Antiqua" w:eastAsia="Book Antiqua" w:hAnsi="Book Antiqua" w:cs="Book Antiqua"/>
          <w:color w:val="000000"/>
        </w:rPr>
        <w:lastRenderedPageBreak/>
        <w:t xml:space="preserve">Endoscopy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133-153 [PMID: 27622898 DOI: 10.1097/MPG.0000000000001408]</w:t>
      </w:r>
    </w:p>
    <w:p w14:paraId="0522C2E5" w14:textId="77777777" w:rsidR="00A77B3E" w:rsidRDefault="005E579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Karaman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Koç</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Karaman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Erdoğan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Çavuşoğlu</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Afşarlar</w:t>
      </w:r>
      <w:proofErr w:type="spellEnd"/>
      <w:r>
        <w:rPr>
          <w:rFonts w:ascii="Book Antiqua" w:eastAsia="Book Antiqua" w:hAnsi="Book Antiqua" w:cs="Book Antiqua"/>
          <w:color w:val="000000"/>
        </w:rPr>
        <w:t xml:space="preserve"> ÇE, Yilmaz E, </w:t>
      </w:r>
      <w:proofErr w:type="spellStart"/>
      <w:r>
        <w:rPr>
          <w:rFonts w:ascii="Book Antiqua" w:eastAsia="Book Antiqua" w:hAnsi="Book Antiqua" w:cs="Book Antiqua"/>
          <w:color w:val="000000"/>
        </w:rPr>
        <w:t>Ertürk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Balci</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Özgüner</w:t>
      </w:r>
      <w:proofErr w:type="spellEnd"/>
      <w:r>
        <w:rPr>
          <w:rFonts w:ascii="Book Antiqua" w:eastAsia="Book Antiqua" w:hAnsi="Book Antiqua" w:cs="Book Antiqua"/>
          <w:color w:val="000000"/>
        </w:rPr>
        <w:t xml:space="preserve"> IF. Evaluation of 968 children with corrosive substance ingestion. </w:t>
      </w:r>
      <w:r>
        <w:rPr>
          <w:rFonts w:ascii="Book Antiqua" w:eastAsia="Book Antiqua" w:hAnsi="Book Antiqua" w:cs="Book Antiqua"/>
          <w:i/>
          <w:iCs/>
          <w:color w:val="000000"/>
        </w:rPr>
        <w:t>Indian J 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714-718 [PMID: 26813230 DOI: 10.4103/0972-5229.171377]</w:t>
      </w:r>
    </w:p>
    <w:p w14:paraId="219B8B42" w14:textId="77777777" w:rsidR="00A77B3E" w:rsidRDefault="005E579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Liang CP, Chen PY, Wu Q, Yang M, Li HW, Xu ZH, Ren L, Wang HL, Cheng S, Xu WF, Chen Y, Zhang C, Liu LY, Li DY, Gong ST. Long-Term Outcomes of Caustic Esophageal Stricture with Endoscopic Balloon Dilatation in Chinese Children.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8352756 [PMID: 30158970 DOI: 10.1155/2018/8352756]</w:t>
      </w:r>
    </w:p>
    <w:p w14:paraId="673A2210" w14:textId="77777777" w:rsidR="00A77B3E" w:rsidRDefault="005E579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Contini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Swarray-Deen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corrosive injuries in children: a forgotten social and health challenge in developing countries.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950-954 [PMID: 20454486 DOI: 10.2471/BLT.08.058065]</w:t>
      </w:r>
    </w:p>
    <w:p w14:paraId="3C39BDC4" w14:textId="77777777" w:rsidR="00A77B3E" w:rsidRDefault="005E579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Zargar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Kochhar R,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B, Mehta S, Mehta SK. Ingestion of corrosive acids. Spectrum of injury to upper gastrointestinal tract and natural history.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1989; </w:t>
      </w:r>
      <w:r>
        <w:rPr>
          <w:rFonts w:ascii="Book Antiqua" w:eastAsia="Book Antiqua" w:hAnsi="Book Antiqua" w:cs="Book Antiqua"/>
          <w:b/>
          <w:bCs/>
          <w:color w:val="000000"/>
        </w:rPr>
        <w:t>97</w:t>
      </w:r>
      <w:r>
        <w:rPr>
          <w:rFonts w:ascii="Book Antiqua" w:eastAsia="Book Antiqua" w:hAnsi="Book Antiqua" w:cs="Book Antiqua"/>
          <w:color w:val="000000"/>
        </w:rPr>
        <w:t>: 702-707 [PMID: 2753330]</w:t>
      </w:r>
    </w:p>
    <w:p w14:paraId="0E31EF02" w14:textId="77777777" w:rsidR="00A77B3E" w:rsidRDefault="005E579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Zargar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Kochhar R,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B, Mehta S, Mehta SK. Ingestion of strong corrosive alkalis: spectrum of injury to upper gastrointestinal tract and natural history.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1992; </w:t>
      </w:r>
      <w:r>
        <w:rPr>
          <w:rFonts w:ascii="Book Antiqua" w:eastAsia="Book Antiqua" w:hAnsi="Book Antiqua" w:cs="Book Antiqua"/>
          <w:b/>
          <w:bCs/>
          <w:color w:val="000000"/>
        </w:rPr>
        <w:t>87</w:t>
      </w:r>
      <w:r>
        <w:rPr>
          <w:rFonts w:ascii="Book Antiqua" w:eastAsia="Book Antiqua" w:hAnsi="Book Antiqua" w:cs="Book Antiqua"/>
          <w:color w:val="000000"/>
        </w:rPr>
        <w:t>: 337-341 [PMID: 1539568]</w:t>
      </w:r>
    </w:p>
    <w:p w14:paraId="2CAADB4C" w14:textId="77777777" w:rsidR="00A77B3E" w:rsidRDefault="005E579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Osman M</w:t>
      </w:r>
      <w:r>
        <w:rPr>
          <w:rFonts w:ascii="Book Antiqua" w:eastAsia="Book Antiqua" w:hAnsi="Book Antiqua" w:cs="Book Antiqua"/>
          <w:color w:val="000000"/>
        </w:rPr>
        <w:t xml:space="preserve">, Russell J, Shukla D, </w:t>
      </w:r>
      <w:proofErr w:type="spellStart"/>
      <w:r>
        <w:rPr>
          <w:rFonts w:ascii="Book Antiqua" w:eastAsia="Book Antiqua" w:hAnsi="Book Antiqua" w:cs="Book Antiqua"/>
          <w:color w:val="000000"/>
        </w:rPr>
        <w:t>Moghadamfalahi</w:t>
      </w:r>
      <w:proofErr w:type="spellEnd"/>
      <w:r>
        <w:rPr>
          <w:rFonts w:ascii="Book Antiqua" w:eastAsia="Book Antiqua" w:hAnsi="Book Antiqua" w:cs="Book Antiqua"/>
          <w:color w:val="000000"/>
        </w:rPr>
        <w:t xml:space="preserve"> M, Granger DN. Responses of the murine esophageal microcirculation to acute exposure to alkali, acid, or hypochlorite.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1672-1678 [PMID: 18779005 DOI: 10.1016/j.jpedsurg.2008.01.069]</w:t>
      </w:r>
    </w:p>
    <w:p w14:paraId="31ABB599" w14:textId="77777777" w:rsidR="00A77B3E" w:rsidRDefault="005E579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Mutaf</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Genç</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Herek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Demircan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Arikan</w:t>
      </w:r>
      <w:proofErr w:type="spellEnd"/>
      <w:r>
        <w:rPr>
          <w:rFonts w:ascii="Book Antiqua" w:eastAsia="Book Antiqua" w:hAnsi="Book Antiqua" w:cs="Book Antiqua"/>
          <w:color w:val="000000"/>
        </w:rPr>
        <w:t xml:space="preserve"> A. Gastroesophageal reflux: a determinant in the outcome of caustic esophageal burns.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31</w:t>
      </w:r>
      <w:r>
        <w:rPr>
          <w:rFonts w:ascii="Book Antiqua" w:eastAsia="Book Antiqua" w:hAnsi="Book Antiqua" w:cs="Book Antiqua"/>
          <w:color w:val="000000"/>
        </w:rPr>
        <w:t>: 1494-1495 [PMID: 8943108 DOI: 10.1016/s0022-3468(96)90163-3]</w:t>
      </w:r>
    </w:p>
    <w:p w14:paraId="236270E5" w14:textId="77777777" w:rsidR="00A77B3E" w:rsidRDefault="005E579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Kalayarasan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N, Kate V. Corrosive Ingestion. </w:t>
      </w:r>
      <w:r>
        <w:rPr>
          <w:rFonts w:ascii="Book Antiqua" w:eastAsia="Book Antiqua" w:hAnsi="Book Antiqua" w:cs="Book Antiqua"/>
          <w:i/>
          <w:iCs/>
          <w:color w:val="000000"/>
        </w:rPr>
        <w:t>Indian J 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S282-S286 [PMID: 32021005 DOI: 10.5005/jp-journals-10071-23305]</w:t>
      </w:r>
    </w:p>
    <w:p w14:paraId="1291D185" w14:textId="77777777" w:rsidR="00A77B3E" w:rsidRDefault="005E5799">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Temiz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Oguzkurt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Ezer</w:t>
      </w:r>
      <w:proofErr w:type="spellEnd"/>
      <w:r>
        <w:rPr>
          <w:rFonts w:ascii="Book Antiqua" w:eastAsia="Book Antiqua" w:hAnsi="Book Antiqua" w:cs="Book Antiqua"/>
          <w:color w:val="000000"/>
        </w:rPr>
        <w:t xml:space="preserve"> SS, Ince E, </w:t>
      </w:r>
      <w:proofErr w:type="spellStart"/>
      <w:r>
        <w:rPr>
          <w:rFonts w:ascii="Book Antiqua" w:eastAsia="Book Antiqua" w:hAnsi="Book Antiqua" w:cs="Book Antiqua"/>
          <w:color w:val="000000"/>
        </w:rPr>
        <w:t>Hicsonmez</w:t>
      </w:r>
      <w:proofErr w:type="spellEnd"/>
      <w:r>
        <w:rPr>
          <w:rFonts w:ascii="Book Antiqua" w:eastAsia="Book Antiqua" w:hAnsi="Book Antiqua" w:cs="Book Antiqua"/>
          <w:color w:val="000000"/>
        </w:rPr>
        <w:t xml:space="preserve"> A. Long-term management of corrosive esophageal stricture with balloon dilation in children.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2287-2292 [PMID: 20177917 DOI: 10.1007/s00464-010-0953-x]</w:t>
      </w:r>
    </w:p>
    <w:p w14:paraId="7F1F8400" w14:textId="77777777" w:rsidR="00A77B3E" w:rsidRDefault="005E579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Taşkinlar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Bahadir</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Yiğit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Erdoğan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Avlan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Nayci</w:t>
      </w:r>
      <w:proofErr w:type="spellEnd"/>
      <w:r>
        <w:rPr>
          <w:rFonts w:ascii="Book Antiqua" w:eastAsia="Book Antiqua" w:hAnsi="Book Antiqua" w:cs="Book Antiqua"/>
          <w:color w:val="000000"/>
        </w:rPr>
        <w:t xml:space="preserve"> A. Effectiveness of endoscopic balloon dilatation in grade 2a and 2b esophageal burns in children. </w:t>
      </w:r>
      <w:r>
        <w:rPr>
          <w:rFonts w:ascii="Book Antiqua" w:eastAsia="Book Antiqua" w:hAnsi="Book Antiqua" w:cs="Book Antiqua"/>
          <w:i/>
          <w:iCs/>
          <w:color w:val="000000"/>
        </w:rPr>
        <w:t xml:space="preserve">Minim Invasive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Allied 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300-306 [PMID: 28281403 DOI: 10.1080/13645706.2017.1298621]</w:t>
      </w:r>
    </w:p>
    <w:p w14:paraId="7717E60A" w14:textId="77777777" w:rsidR="00A77B3E" w:rsidRDefault="005E579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Goussard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Mfingwana</w:t>
      </w:r>
      <w:proofErr w:type="spellEnd"/>
      <w:r>
        <w:rPr>
          <w:rFonts w:ascii="Book Antiqua" w:eastAsia="Book Antiqua" w:hAnsi="Book Antiqua" w:cs="Book Antiqua"/>
          <w:color w:val="000000"/>
        </w:rPr>
        <w:t xml:space="preserve"> L, Morrison J, Ismail Z, </w:t>
      </w:r>
      <w:proofErr w:type="spellStart"/>
      <w:r>
        <w:rPr>
          <w:rFonts w:ascii="Book Antiqua" w:eastAsia="Book Antiqua" w:hAnsi="Book Antiqua" w:cs="Book Antiqua"/>
          <w:color w:val="000000"/>
        </w:rPr>
        <w:t>Wagenaar</w:t>
      </w:r>
      <w:proofErr w:type="spellEnd"/>
      <w:r>
        <w:rPr>
          <w:rFonts w:ascii="Book Antiqua" w:eastAsia="Book Antiqua" w:hAnsi="Book Antiqua" w:cs="Book Antiqua"/>
          <w:color w:val="000000"/>
        </w:rPr>
        <w:t xml:space="preserve"> R, Janson J. Corrosive injury of the trachea in children.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1999-2003 [PMID: 31624626 DOI: 10.1002/ccr3.2395]</w:t>
      </w:r>
    </w:p>
    <w:p w14:paraId="6AE0F927" w14:textId="77777777" w:rsidR="00A77B3E" w:rsidRDefault="005E579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Rafeey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Ghojazadeh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Sheikhi</w:t>
      </w:r>
      <w:proofErr w:type="spellEnd"/>
      <w:r>
        <w:rPr>
          <w:rFonts w:ascii="Book Antiqua" w:eastAsia="Book Antiqua" w:hAnsi="Book Antiqua" w:cs="Book Antiqua"/>
          <w:color w:val="000000"/>
        </w:rPr>
        <w:t xml:space="preserve"> S, Vahedi L. Caustic Ingestion in Children: a Systematic Review and Meta-Analysis. </w:t>
      </w:r>
      <w:r>
        <w:rPr>
          <w:rFonts w:ascii="Book Antiqua" w:eastAsia="Book Antiqua" w:hAnsi="Book Antiqua" w:cs="Book Antiqua"/>
          <w:i/>
          <w:iCs/>
          <w:color w:val="000000"/>
        </w:rPr>
        <w:t>J Caring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251-265 [PMID: 27757390 DOI: 10.15171/jcs.2016.027]</w:t>
      </w:r>
    </w:p>
    <w:p w14:paraId="53C3402F" w14:textId="77777777" w:rsidR="00A77B3E" w:rsidRDefault="005E579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Hoffman RS</w:t>
      </w:r>
      <w:r>
        <w:rPr>
          <w:rFonts w:ascii="Book Antiqua" w:eastAsia="Book Antiqua" w:hAnsi="Book Antiqua" w:cs="Book Antiqua"/>
          <w:color w:val="000000"/>
        </w:rPr>
        <w:t xml:space="preserve">, Burns MM, Gosselin S. Ingestion of Caustic Substances.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1739-1748 [PMID: 32348645 DOI: 10.1056/NEJMra1810769]</w:t>
      </w:r>
    </w:p>
    <w:p w14:paraId="04821E06" w14:textId="77777777" w:rsidR="00A77B3E" w:rsidRDefault="005E579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Numanoglu</w:t>
      </w:r>
      <w:proofErr w:type="spellEnd"/>
      <w:r>
        <w:rPr>
          <w:rFonts w:ascii="Book Antiqua" w:eastAsia="Book Antiqua" w:hAnsi="Book Antiqua" w:cs="Book Antiqua"/>
          <w:color w:val="000000"/>
        </w:rPr>
        <w:t xml:space="preserve"> A. Caustic ingestion in children-A review.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95-104 [PMID: 28550877 DOI: 10.1053/j.sempedsurg.2017.02.002]</w:t>
      </w:r>
    </w:p>
    <w:p w14:paraId="0EC68295" w14:textId="77777777" w:rsidR="00A77B3E" w:rsidRDefault="005E579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Fulton JA</w:t>
      </w:r>
      <w:r>
        <w:rPr>
          <w:rFonts w:ascii="Book Antiqua" w:eastAsia="Book Antiqua" w:hAnsi="Book Antiqua" w:cs="Book Antiqua"/>
          <w:color w:val="000000"/>
        </w:rPr>
        <w:t xml:space="preserve">, Hoffman RS. Steroids in second degree caustic burns of the esophagus: a systematic pooled analysis of fifty years of human data: 1956-2006.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402-408 [PMID: 17486482 DOI: 10.1080/15563650701285420]</w:t>
      </w:r>
    </w:p>
    <w:p w14:paraId="708C3CA8" w14:textId="77777777" w:rsidR="00A77B3E" w:rsidRDefault="005E579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Usta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Erkan T, </w:t>
      </w:r>
      <w:proofErr w:type="spellStart"/>
      <w:r>
        <w:rPr>
          <w:rFonts w:ascii="Book Antiqua" w:eastAsia="Book Antiqua" w:hAnsi="Book Antiqua" w:cs="Book Antiqua"/>
          <w:color w:val="000000"/>
        </w:rPr>
        <w:t>Cokugras</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Urganci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Onal</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Gulcan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T. High doses of methylprednisolone in the management of caustic esophageal burns.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133</w:t>
      </w:r>
      <w:r>
        <w:rPr>
          <w:rFonts w:ascii="Book Antiqua" w:eastAsia="Book Antiqua" w:hAnsi="Book Antiqua" w:cs="Book Antiqua"/>
          <w:color w:val="000000"/>
        </w:rPr>
        <w:t>: E1518-E1524 [PMID: 24864182 DOI: 10.1542/peds.2013-3331]</w:t>
      </w:r>
    </w:p>
    <w:p w14:paraId="4EFFF184" w14:textId="77777777" w:rsidR="00A77B3E" w:rsidRDefault="005E579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Zargar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Kochhar R, Mehta S, Mehta SK. The role of fiberoptic endoscopy in the management of corrosive ingestion and modified endoscopic classification of burns.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37</w:t>
      </w:r>
      <w:r>
        <w:rPr>
          <w:rFonts w:ascii="Book Antiqua" w:eastAsia="Book Antiqua" w:hAnsi="Book Antiqua" w:cs="Book Antiqua"/>
          <w:color w:val="000000"/>
        </w:rPr>
        <w:t>: 165-169 [PMID: 2032601 DOI: 10.1016/s0016-5107(91)70678-0]</w:t>
      </w:r>
    </w:p>
    <w:p w14:paraId="4BE131CA" w14:textId="77777777" w:rsidR="00A77B3E" w:rsidRDefault="005E5799">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Doğan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Erkan T, </w:t>
      </w:r>
      <w:proofErr w:type="spellStart"/>
      <w:r>
        <w:rPr>
          <w:rFonts w:ascii="Book Antiqua" w:eastAsia="Book Antiqua" w:hAnsi="Book Antiqua" w:cs="Book Antiqua"/>
          <w:color w:val="000000"/>
        </w:rPr>
        <w:t>Cokuğraş</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T. Caustic gastroesophageal lesions in childhood: an analysis of 473 cases.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2006; </w:t>
      </w:r>
      <w:r>
        <w:rPr>
          <w:rFonts w:ascii="Book Antiqua" w:eastAsia="Book Antiqua" w:hAnsi="Book Antiqua" w:cs="Book Antiqua"/>
          <w:b/>
          <w:bCs/>
          <w:color w:val="000000"/>
        </w:rPr>
        <w:t>45</w:t>
      </w:r>
      <w:r>
        <w:rPr>
          <w:rFonts w:ascii="Book Antiqua" w:eastAsia="Book Antiqua" w:hAnsi="Book Antiqua" w:cs="Book Antiqua"/>
          <w:color w:val="000000"/>
        </w:rPr>
        <w:t>: 435-438 [PMID: 16891276 DOI: 10.1177/0009922806289618]</w:t>
      </w:r>
    </w:p>
    <w:p w14:paraId="193FEE3F" w14:textId="77777777" w:rsidR="00A77B3E" w:rsidRDefault="005E579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Betalli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Falchetti</w:t>
      </w:r>
      <w:proofErr w:type="spellEnd"/>
      <w:r>
        <w:rPr>
          <w:rFonts w:ascii="Book Antiqua" w:eastAsia="Book Antiqua" w:hAnsi="Book Antiqua" w:cs="Book Antiqua"/>
          <w:color w:val="000000"/>
        </w:rPr>
        <w:t xml:space="preserve"> D, Giuliani S, Pane A, </w:t>
      </w:r>
      <w:proofErr w:type="spellStart"/>
      <w:r>
        <w:rPr>
          <w:rFonts w:ascii="Book Antiqua" w:eastAsia="Book Antiqua" w:hAnsi="Book Antiqua" w:cs="Book Antiqua"/>
          <w:color w:val="000000"/>
        </w:rPr>
        <w:t>Dall'Oglio</w:t>
      </w:r>
      <w:proofErr w:type="spellEnd"/>
      <w:r>
        <w:rPr>
          <w:rFonts w:ascii="Book Antiqua" w:eastAsia="Book Antiqua" w:hAnsi="Book Antiqua" w:cs="Book Antiqua"/>
          <w:color w:val="000000"/>
        </w:rPr>
        <w:t xml:space="preserve"> L, de Angelis GL, </w:t>
      </w:r>
      <w:proofErr w:type="spellStart"/>
      <w:r>
        <w:rPr>
          <w:rFonts w:ascii="Book Antiqua" w:eastAsia="Book Antiqua" w:hAnsi="Book Antiqua" w:cs="Book Antiqua"/>
          <w:color w:val="000000"/>
        </w:rPr>
        <w:t>Caldore</w:t>
      </w:r>
      <w:proofErr w:type="spellEnd"/>
      <w:r>
        <w:rPr>
          <w:rFonts w:ascii="Book Antiqua" w:eastAsia="Book Antiqua" w:hAnsi="Book Antiqua" w:cs="Book Antiqua"/>
          <w:color w:val="000000"/>
        </w:rPr>
        <w:t xml:space="preserve"> M, Romano C, </w:t>
      </w:r>
      <w:proofErr w:type="spellStart"/>
      <w:r>
        <w:rPr>
          <w:rFonts w:ascii="Book Antiqua" w:eastAsia="Book Antiqua" w:hAnsi="Book Antiqua" w:cs="Book Antiqua"/>
          <w:color w:val="000000"/>
        </w:rPr>
        <w:t>Gamba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Baldo</w:t>
      </w:r>
      <w:proofErr w:type="spellEnd"/>
      <w:r>
        <w:rPr>
          <w:rFonts w:ascii="Book Antiqua" w:eastAsia="Book Antiqua" w:hAnsi="Book Antiqua" w:cs="Book Antiqua"/>
          <w:color w:val="000000"/>
        </w:rPr>
        <w:t xml:space="preserve"> V; Caustic Ingestion Italian Study Group. Caustic ingestion in children: is endoscopy always indicated? The results of an Italian multicenter observational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434-439 [PMID: 18448103 DOI: 10.1016/j.gie.2008.02.016]</w:t>
      </w:r>
    </w:p>
    <w:p w14:paraId="44A3B4E3" w14:textId="77777777" w:rsidR="00A77B3E" w:rsidRDefault="005E579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Lurie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Slotky</w:t>
      </w:r>
      <w:proofErr w:type="spellEnd"/>
      <w:r>
        <w:rPr>
          <w:rFonts w:ascii="Book Antiqua" w:eastAsia="Book Antiqua" w:hAnsi="Book Antiqua" w:cs="Book Antiqua"/>
          <w:color w:val="000000"/>
        </w:rPr>
        <w:t xml:space="preserve"> M, Fischer D, </w:t>
      </w:r>
      <w:proofErr w:type="spellStart"/>
      <w:r>
        <w:rPr>
          <w:rFonts w:ascii="Book Antiqua" w:eastAsia="Book Antiqua" w:hAnsi="Book Antiqua" w:cs="Book Antiqua"/>
          <w:color w:val="000000"/>
        </w:rPr>
        <w:t>Shreter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Bentur</w:t>
      </w:r>
      <w:proofErr w:type="spellEnd"/>
      <w:r>
        <w:rPr>
          <w:rFonts w:ascii="Book Antiqua" w:eastAsia="Book Antiqua" w:hAnsi="Book Antiqua" w:cs="Book Antiqua"/>
          <w:color w:val="000000"/>
        </w:rPr>
        <w:t xml:space="preserve"> Y. The role of chest and abdominal computed tomography in assessing the severity of acute corrosive ingestion.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834-837 [PMID: 24032468 DOI: 10.3109/15563650.2013.837171]</w:t>
      </w:r>
    </w:p>
    <w:p w14:paraId="575F45AD" w14:textId="77777777" w:rsidR="00A77B3E" w:rsidRDefault="005E5799">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Defagó</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Moyano</w:t>
      </w:r>
      <w:proofErr w:type="spellEnd"/>
      <w:r>
        <w:rPr>
          <w:rFonts w:ascii="Book Antiqua" w:eastAsia="Book Antiqua" w:hAnsi="Book Antiqua" w:cs="Book Antiqua"/>
          <w:color w:val="000000"/>
        </w:rPr>
        <w:t xml:space="preserve"> J, Bernhardt C, </w:t>
      </w:r>
      <w:proofErr w:type="spellStart"/>
      <w:r>
        <w:rPr>
          <w:rFonts w:ascii="Book Antiqua" w:eastAsia="Book Antiqua" w:hAnsi="Book Antiqua" w:cs="Book Antiqua"/>
          <w:color w:val="000000"/>
        </w:rPr>
        <w:t>Sambuelli</w:t>
      </w:r>
      <w:proofErr w:type="spellEnd"/>
      <w:r>
        <w:rPr>
          <w:rFonts w:ascii="Book Antiqua" w:eastAsia="Book Antiqua" w:hAnsi="Book Antiqua" w:cs="Book Antiqua"/>
          <w:color w:val="000000"/>
        </w:rPr>
        <w:t xml:space="preserve"> G, Cuestas E. Protective effect of early placement of nasogastric tube with solid dilator on tissue damage and stricture formation after caustic esophageal burns in rabbits.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1264-1268 [PMID: 25783296 DOI: 10.1016/j.jpedsurg.2014.11.040]</w:t>
      </w:r>
    </w:p>
    <w:p w14:paraId="7D00D62F" w14:textId="77777777" w:rsidR="00A77B3E" w:rsidRDefault="005E579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Poddar U</w:t>
      </w:r>
      <w:r>
        <w:rPr>
          <w:rFonts w:ascii="Book Antiqua" w:eastAsia="Book Antiqua" w:hAnsi="Book Antiqua" w:cs="Book Antiqua"/>
          <w:color w:val="000000"/>
        </w:rPr>
        <w:t xml:space="preserve">, Thapa BR. Benign esophageal strictures in infants and children: results of </w:t>
      </w:r>
      <w:proofErr w:type="spellStart"/>
      <w:r>
        <w:rPr>
          <w:rFonts w:ascii="Book Antiqua" w:eastAsia="Book Antiqua" w:hAnsi="Book Antiqua" w:cs="Book Antiqua"/>
          <w:color w:val="000000"/>
        </w:rPr>
        <w:t>Savary</w:t>
      </w:r>
      <w:proofErr w:type="spellEnd"/>
      <w:r>
        <w:rPr>
          <w:rFonts w:ascii="Book Antiqua" w:eastAsia="Book Antiqua" w:hAnsi="Book Antiqua" w:cs="Book Antiqua"/>
          <w:color w:val="000000"/>
        </w:rPr>
        <w:t xml:space="preserve">-Gilliard bougie dilation in 107 Indian children.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480-484 [PMID: 11577311 DOI: 10.1067/mge.2001.118253]</w:t>
      </w:r>
    </w:p>
    <w:p w14:paraId="2425CF33" w14:textId="77777777" w:rsidR="00A77B3E" w:rsidRDefault="005E579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Youn</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Kim WS,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JE, Kim WY, Shin SM, Kim IO, Yeon KM. Balloon dilatation for corrosive esophageal strictures in children: radiologic and clinical outcomes.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203-210 [PMID: 20191068 DOI: 10.3348/kjr.2010.11.2.203]</w:t>
      </w:r>
    </w:p>
    <w:p w14:paraId="598A9066" w14:textId="77777777" w:rsidR="00A77B3E" w:rsidRDefault="005E579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Lakhdar-Idrissi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Khabbache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M. Esophageal endoscopic dilations.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744-747 [PMID: 22270040 DOI: 10.1097/MPG.0b013e31824b16b2]</w:t>
      </w:r>
    </w:p>
    <w:p w14:paraId="33D26DBA" w14:textId="77777777" w:rsidR="00A77B3E" w:rsidRDefault="005E579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Gün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Abbasoğlu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A, Salman ET. Early and late term management in caustic ingestion in children: a 16-year experience.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107</w:t>
      </w:r>
      <w:r>
        <w:rPr>
          <w:rFonts w:ascii="Book Antiqua" w:eastAsia="Book Antiqua" w:hAnsi="Book Antiqua" w:cs="Book Antiqua"/>
          <w:color w:val="000000"/>
        </w:rPr>
        <w:t>: 49-52 [PMID: 17405598 DOI: 10.1080/00015458.2007.11680010]</w:t>
      </w:r>
    </w:p>
    <w:p w14:paraId="2AC835CA" w14:textId="77777777" w:rsidR="00A77B3E" w:rsidRDefault="005E5799">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Contini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Swarray-Deen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Cecchini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Corrosive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strictures in children: outcomes after timely or delayed dilatation.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263-268 [PMID: 18801710 DOI: 10.1016/j.dld.2008.07.319]</w:t>
      </w:r>
    </w:p>
    <w:p w14:paraId="5DC44938" w14:textId="77777777" w:rsidR="00A77B3E" w:rsidRDefault="005E579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Bhan</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Khoshoo</w:t>
      </w:r>
      <w:proofErr w:type="spellEnd"/>
      <w:r>
        <w:rPr>
          <w:rFonts w:ascii="Book Antiqua" w:eastAsia="Book Antiqua" w:hAnsi="Book Antiqua" w:cs="Book Antiqua"/>
          <w:color w:val="000000"/>
        </w:rPr>
        <w:t xml:space="preserve"> V, Chowdhary D, Jain R, Raj P, Jayashree S, Kumar R. Increased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alpha-1-antitrypsin excretion in children with persistent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associated with enteric pathogens.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78</w:t>
      </w:r>
      <w:r>
        <w:rPr>
          <w:rFonts w:ascii="Book Antiqua" w:eastAsia="Book Antiqua" w:hAnsi="Book Antiqua" w:cs="Book Antiqua"/>
          <w:color w:val="000000"/>
        </w:rPr>
        <w:t>: 265-267 [PMID: 2784616 DOI: 10.1097/SLE.0000000000000351]</w:t>
      </w:r>
    </w:p>
    <w:p w14:paraId="4E39C415" w14:textId="77777777" w:rsidR="00A77B3E" w:rsidRDefault="005E579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Zhang YW</w:t>
      </w:r>
      <w:r>
        <w:rPr>
          <w:rFonts w:ascii="Book Antiqua" w:eastAsia="Book Antiqua" w:hAnsi="Book Antiqua" w:cs="Book Antiqua"/>
          <w:color w:val="000000"/>
        </w:rPr>
        <w:t xml:space="preserve">, Wei FX, Qi XP, Liu Z, Xu XD, Zhang YC. Efficacy and Safety of Endoscopic Intralesional Triamcinolone Injection for Benign Esophageal Strictures.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7619298 [PMID: 30158968 DOI: 10.1155/2018/7619298]</w:t>
      </w:r>
    </w:p>
    <w:p w14:paraId="19243232" w14:textId="77777777" w:rsidR="00A77B3E" w:rsidRDefault="005E579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Méndez-Nieto CM</w:t>
      </w:r>
      <w:r>
        <w:rPr>
          <w:rFonts w:ascii="Book Antiqua" w:eastAsia="Book Antiqua" w:hAnsi="Book Antiqua" w:cs="Book Antiqua"/>
          <w:color w:val="000000"/>
        </w:rPr>
        <w:t>, Zarate-</w:t>
      </w:r>
      <w:proofErr w:type="spellStart"/>
      <w:r>
        <w:rPr>
          <w:rFonts w:ascii="Book Antiqua" w:eastAsia="Book Antiqua" w:hAnsi="Book Antiqua" w:cs="Book Antiqua"/>
          <w:color w:val="000000"/>
        </w:rPr>
        <w:t>Mondragón</w:t>
      </w:r>
      <w:proofErr w:type="spellEnd"/>
      <w:r>
        <w:rPr>
          <w:rFonts w:ascii="Book Antiqua" w:eastAsia="Book Antiqua" w:hAnsi="Book Antiqua" w:cs="Book Antiqua"/>
          <w:color w:val="000000"/>
        </w:rPr>
        <w:t xml:space="preserve"> F, Ramírez-Mayans J, Flores-Flores M. Topical mitomycin C </w:t>
      </w:r>
      <w:r>
        <w:rPr>
          <w:rFonts w:ascii="Book Antiqua" w:eastAsia="Book Antiqua" w:hAnsi="Book Antiqua" w:cs="Book Antiqua"/>
          <w:i/>
          <w:iCs/>
          <w:color w:val="000000"/>
        </w:rPr>
        <w:t>vs</w:t>
      </w:r>
      <w:r>
        <w:rPr>
          <w:rFonts w:ascii="Book Antiqua" w:eastAsia="Book Antiqua" w:hAnsi="Book Antiqua" w:cs="Book Antiqua"/>
          <w:color w:val="000000"/>
        </w:rPr>
        <w:t xml:space="preserve"> intralesional triamcinolone in the management of esophageal stricture due to caustic ingestion.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2015; </w:t>
      </w:r>
      <w:r>
        <w:rPr>
          <w:rFonts w:ascii="Book Antiqua" w:eastAsia="Book Antiqua" w:hAnsi="Book Antiqua" w:cs="Book Antiqua"/>
          <w:b/>
          <w:bCs/>
          <w:color w:val="000000"/>
        </w:rPr>
        <w:t>80</w:t>
      </w:r>
      <w:r>
        <w:rPr>
          <w:rFonts w:ascii="Book Antiqua" w:eastAsia="Book Antiqua" w:hAnsi="Book Antiqua" w:cs="Book Antiqua"/>
          <w:color w:val="000000"/>
        </w:rPr>
        <w:t>: 248-254 [PMID: 26455483 DOI: 10.1016/j.rgmx.2015.07.006]</w:t>
      </w:r>
    </w:p>
    <w:p w14:paraId="1CA67677" w14:textId="77777777" w:rsidR="00A77B3E" w:rsidRDefault="005E579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Sweed</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Fawaz SA, Ezzat WF, Sabri SM. A prospective controlled study to assess the use of mitomycin C in improving the results of esophageal dilatation in post corrosive esophageal stricture in children.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79</w:t>
      </w:r>
      <w:r>
        <w:rPr>
          <w:rFonts w:ascii="Book Antiqua" w:eastAsia="Book Antiqua" w:hAnsi="Book Antiqua" w:cs="Book Antiqua"/>
          <w:color w:val="000000"/>
        </w:rPr>
        <w:t>: 23-25 [PMID: 25465445 DOI: 10.1016/j.ijporl.2014.10.024]</w:t>
      </w:r>
    </w:p>
    <w:p w14:paraId="391B85F4" w14:textId="77777777" w:rsidR="00A77B3E" w:rsidRDefault="005E579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Asmar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Hassan MA, Abdelkader HM, Hamza AF. Topical mitomycin C application is effective in management of localized caustic esophageal stricture: a double-blinded, randomized, placebo-controlled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1621-1627 [PMID: 23895984 DOI: 10.1016/j.jpedsurg.2013.04.014]</w:t>
      </w:r>
    </w:p>
    <w:p w14:paraId="6FEEA97F" w14:textId="77777777" w:rsidR="00A77B3E" w:rsidRDefault="005E579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Kramer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 JA. Esophageal stents for severe strictures in young children: experience, benefits, and risk.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203-210 [PMID: 20425474 DOI: 10.1007/s11894-010-0105-4]</w:t>
      </w:r>
    </w:p>
    <w:p w14:paraId="31E94E65" w14:textId="77777777" w:rsidR="00A77B3E" w:rsidRDefault="005E579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Yu JM, Fan GP, Shi CR, Yu SY, Wang HP, Ge L, Zhong WX. The use of a retrievable self-expanding stent in treating childhood benign esophageal strictures.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501-504 [PMID: 15793725 DOI: 10.1016/j.jpedsurg.2004.11.041]</w:t>
      </w:r>
    </w:p>
    <w:p w14:paraId="5E7149D6" w14:textId="77777777" w:rsidR="00A77B3E" w:rsidRDefault="005E5799">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ul-</w:t>
      </w:r>
      <w:proofErr w:type="spellStart"/>
      <w:r>
        <w:rPr>
          <w:rFonts w:ascii="Book Antiqua" w:eastAsia="Book Antiqua" w:hAnsi="Book Antiqua" w:cs="Book Antiqua"/>
          <w:b/>
          <w:bCs/>
          <w:color w:val="000000"/>
        </w:rPr>
        <w:t>Haq</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Tareen F, Bader I, </w:t>
      </w:r>
      <w:proofErr w:type="spellStart"/>
      <w:r>
        <w:rPr>
          <w:rFonts w:ascii="Book Antiqua" w:eastAsia="Book Antiqua" w:hAnsi="Book Antiqua" w:cs="Book Antiqua"/>
          <w:color w:val="000000"/>
        </w:rPr>
        <w:t>Burki</w:t>
      </w:r>
      <w:proofErr w:type="spellEnd"/>
      <w:r>
        <w:rPr>
          <w:rFonts w:ascii="Book Antiqua" w:eastAsia="Book Antiqua" w:hAnsi="Book Antiqua" w:cs="Book Antiqua"/>
          <w:color w:val="000000"/>
        </w:rPr>
        <w:t xml:space="preserve"> T, Khan NU.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replacement in children with indolent stricture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17-21 [PMID: 16428092 DOI: 10.1016/s1015-9584(09)60287-6]</w:t>
      </w:r>
    </w:p>
    <w:p w14:paraId="3B2A8C15" w14:textId="77777777" w:rsidR="00A77B3E" w:rsidRDefault="005E579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Soccorso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Parikh DH. Esophageal replacement in children: Challenges and long-term outcomes. </w:t>
      </w:r>
      <w:r>
        <w:rPr>
          <w:rFonts w:ascii="Book Antiqua" w:eastAsia="Book Antiqua" w:hAnsi="Book Antiqua" w:cs="Book Antiqua"/>
          <w:i/>
          <w:iCs/>
          <w:color w:val="000000"/>
        </w:rPr>
        <w:t xml:space="preserve">J Indian Assoc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98-105 [PMID: 27365900 DOI: 10.4103/0971-9261.182580]</w:t>
      </w:r>
    </w:p>
    <w:p w14:paraId="6A4CC656" w14:textId="77777777" w:rsidR="00A77B3E" w:rsidRDefault="005E5799">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Javed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Pal S, Dash NR,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P, Chattopadhyay TK. Outcome following surgical management of corrosive strictures of the esophagus.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62-66 [PMID: 21532530 DOI: 10.1097/SLA.0b013e3182125ce7]</w:t>
      </w:r>
    </w:p>
    <w:p w14:paraId="1E61C0BD" w14:textId="77777777" w:rsidR="00A77B3E" w:rsidRDefault="005E579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Coopman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Michaud L, </w:t>
      </w:r>
      <w:proofErr w:type="spellStart"/>
      <w:r>
        <w:rPr>
          <w:rFonts w:ascii="Book Antiqua" w:eastAsia="Book Antiqua" w:hAnsi="Book Antiqua" w:cs="Book Antiqua"/>
          <w:color w:val="000000"/>
        </w:rPr>
        <w:t>Halna</w:t>
      </w:r>
      <w:proofErr w:type="spellEnd"/>
      <w:r>
        <w:rPr>
          <w:rFonts w:ascii="Book Antiqua" w:eastAsia="Book Antiqua" w:hAnsi="Book Antiqua" w:cs="Book Antiqua"/>
          <w:color w:val="000000"/>
        </w:rPr>
        <w:t xml:space="preserve">-Tamine M, </w:t>
      </w:r>
      <w:proofErr w:type="spellStart"/>
      <w:r>
        <w:rPr>
          <w:rFonts w:ascii="Book Antiqua" w:eastAsia="Book Antiqua" w:hAnsi="Book Antiqua" w:cs="Book Antiqua"/>
          <w:color w:val="000000"/>
        </w:rPr>
        <w:t>Bonnevalle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Bourgois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Long-term outcome of colon interposition after esophagectomy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458-462 [PMID: 18852638 DOI: 10.1097/MPG.0b013e31815ce55c]</w:t>
      </w:r>
    </w:p>
    <w:p w14:paraId="272BD0ED" w14:textId="77777777" w:rsidR="00A77B3E" w:rsidRDefault="005E579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Asmar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Allam AM. Surgical management of corrosive-induced gastric injury in children: 10years'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744-747 [PMID: 28576428 DOI: 10.1016/j.jpedsurg.2017.05.014]</w:t>
      </w:r>
    </w:p>
    <w:p w14:paraId="56FAEBC3" w14:textId="77777777" w:rsidR="00A77B3E" w:rsidRDefault="005E579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Ozokutan</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Ceylan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Ertaşkin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Yapici</w:t>
      </w:r>
      <w:proofErr w:type="spellEnd"/>
      <w:r>
        <w:rPr>
          <w:rFonts w:ascii="Book Antiqua" w:eastAsia="Book Antiqua" w:hAnsi="Book Antiqua" w:cs="Book Antiqua"/>
          <w:color w:val="000000"/>
        </w:rPr>
        <w:t xml:space="preserve"> S. Pediatric gastric outlet obstruction following corrosive ingestion.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615-618 [PMID: 20443118 DOI: 10.1007/s00383-010-2613-6]</w:t>
      </w:r>
    </w:p>
    <w:p w14:paraId="7333859B" w14:textId="77777777" w:rsidR="00A77B3E" w:rsidRDefault="005E579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Temiz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Oguzkurt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Ezer</w:t>
      </w:r>
      <w:proofErr w:type="spellEnd"/>
      <w:r>
        <w:rPr>
          <w:rFonts w:ascii="Book Antiqua" w:eastAsia="Book Antiqua" w:hAnsi="Book Antiqua" w:cs="Book Antiqua"/>
          <w:color w:val="000000"/>
        </w:rPr>
        <w:t xml:space="preserve"> SS, Ince E, Gezer HO, </w:t>
      </w:r>
      <w:proofErr w:type="spellStart"/>
      <w:r>
        <w:rPr>
          <w:rFonts w:ascii="Book Antiqua" w:eastAsia="Book Antiqua" w:hAnsi="Book Antiqua" w:cs="Book Antiqua"/>
          <w:color w:val="000000"/>
        </w:rPr>
        <w:t>Hicsonmez</w:t>
      </w:r>
      <w:proofErr w:type="spellEnd"/>
      <w:r>
        <w:rPr>
          <w:rFonts w:ascii="Book Antiqua" w:eastAsia="Book Antiqua" w:hAnsi="Book Antiqua" w:cs="Book Antiqua"/>
          <w:color w:val="000000"/>
        </w:rPr>
        <w:t xml:space="preserve"> A. Management of pyloric stricture in children: endoscopic balloon dilatation and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1903-1908 [PMID: 22234589 DOI: 10.1007/s00464-011-2124-0]</w:t>
      </w:r>
    </w:p>
    <w:p w14:paraId="1A998F7C" w14:textId="77777777" w:rsidR="00A77B3E" w:rsidRDefault="005E579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Shukla RM</w:t>
      </w:r>
      <w:r>
        <w:rPr>
          <w:rFonts w:ascii="Book Antiqua" w:eastAsia="Book Antiqua" w:hAnsi="Book Antiqua" w:cs="Book Antiqua"/>
          <w:color w:val="000000"/>
        </w:rPr>
        <w:t xml:space="preserve">, Mukhopadhyay M, Tripathy BB, Mandal KC, Mukhopadhyay B. Pyloric and antral strictures following corrosive acid ingestion: A report of four cases. </w:t>
      </w:r>
      <w:r>
        <w:rPr>
          <w:rFonts w:ascii="Book Antiqua" w:eastAsia="Book Antiqua" w:hAnsi="Book Antiqua" w:cs="Book Antiqua"/>
          <w:i/>
          <w:iCs/>
          <w:color w:val="000000"/>
        </w:rPr>
        <w:t xml:space="preserve">J Indian Assoc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108-109 [PMID: 21124669 DOI: 10.4103/0971-9261.71749]</w:t>
      </w:r>
    </w:p>
    <w:p w14:paraId="10224B69" w14:textId="77777777" w:rsidR="00A77B3E" w:rsidRDefault="005E579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Park KS</w:t>
      </w:r>
      <w:r>
        <w:rPr>
          <w:rFonts w:ascii="Book Antiqua" w:eastAsia="Book Antiqua" w:hAnsi="Book Antiqua" w:cs="Book Antiqua"/>
          <w:color w:val="000000"/>
        </w:rPr>
        <w:t xml:space="preserve">. Evaluation and management of caustic injuries from ingestion of Acid or alkaline substances.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301-307 [PMID: 25133115 DOI: 10.5946/ce.2014.47.4.301]</w:t>
      </w:r>
    </w:p>
    <w:p w14:paraId="0EB3B9F0" w14:textId="77777777" w:rsidR="00A77B3E" w:rsidRDefault="005E5799">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Genç</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Mutaf</w:t>
      </w:r>
      <w:proofErr w:type="spellEnd"/>
      <w:r>
        <w:rPr>
          <w:rFonts w:ascii="Book Antiqua" w:eastAsia="Book Antiqua" w:hAnsi="Book Antiqua" w:cs="Book Antiqua"/>
          <w:color w:val="000000"/>
        </w:rPr>
        <w:t xml:space="preserve"> O. Esophageal motility changes in acute and late periods of caustic esophageal burns and their relation to prognosis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1526-1528 [PMID: 12407532 DOI: 10.1053/jpsu.2002.36177]</w:t>
      </w:r>
    </w:p>
    <w:p w14:paraId="1FF0E7E8" w14:textId="77777777" w:rsidR="00A77B3E" w:rsidRDefault="005E579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w:t>
      </w:r>
      <w:r w:rsidR="000F4678">
        <w:rPr>
          <w:rFonts w:ascii="Book Antiqua" w:eastAsia="Book Antiqua" w:hAnsi="Book Antiqua" w:cs="Book Antiqua"/>
          <w:b/>
          <w:bCs/>
          <w:color w:val="000000"/>
        </w:rPr>
        <w:t>iviranta</w:t>
      </w:r>
      <w:proofErr w:type="spellEnd"/>
      <w:r w:rsidR="000F4678">
        <w:rPr>
          <w:rFonts w:ascii="Book Antiqua" w:eastAsia="Book Antiqua" w:hAnsi="Book Antiqua" w:cs="Book Antiqua"/>
          <w:b/>
          <w:bCs/>
          <w:color w:val="000000"/>
        </w:rPr>
        <w:t xml:space="preserve"> </w:t>
      </w:r>
      <w:r>
        <w:rPr>
          <w:rFonts w:ascii="Book Antiqua" w:eastAsia="Book Antiqua" w:hAnsi="Book Antiqua" w:cs="Book Antiqua"/>
          <w:b/>
          <w:bCs/>
          <w:color w:val="000000"/>
        </w:rPr>
        <w:t>UK</w:t>
      </w:r>
      <w:r>
        <w:rPr>
          <w:rFonts w:ascii="Book Antiqua" w:eastAsia="Book Antiqua" w:hAnsi="Book Antiqua" w:cs="Book Antiqua"/>
          <w:color w:val="000000"/>
        </w:rPr>
        <w:t xml:space="preserve">. Corrosion carcinoma of the esophagus; 381 cases of corrosion and nine cases of corrosion carcinoma.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1952; </w:t>
      </w:r>
      <w:r>
        <w:rPr>
          <w:rFonts w:ascii="Book Antiqua" w:eastAsia="Book Antiqua" w:hAnsi="Book Antiqua" w:cs="Book Antiqua"/>
          <w:b/>
          <w:bCs/>
          <w:color w:val="000000"/>
        </w:rPr>
        <w:t>42</w:t>
      </w:r>
      <w:r>
        <w:rPr>
          <w:rFonts w:ascii="Book Antiqua" w:eastAsia="Book Antiqua" w:hAnsi="Book Antiqua" w:cs="Book Antiqua"/>
          <w:color w:val="000000"/>
        </w:rPr>
        <w:t>: 89-95 [PMID: 14932967 DOI: 10.3109/00016485209120330]</w:t>
      </w:r>
    </w:p>
    <w:p w14:paraId="77FD8033" w14:textId="77777777" w:rsidR="00A77B3E" w:rsidRDefault="005E579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Appelqvist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Salmo M. Lye corrosion carcinoma of the esophagus: a review of 63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1980; </w:t>
      </w:r>
      <w:r>
        <w:rPr>
          <w:rFonts w:ascii="Book Antiqua" w:eastAsia="Book Antiqua" w:hAnsi="Book Antiqua" w:cs="Book Antiqua"/>
          <w:b/>
          <w:bCs/>
          <w:color w:val="000000"/>
        </w:rPr>
        <w:t>45</w:t>
      </w:r>
      <w:r>
        <w:rPr>
          <w:rFonts w:ascii="Book Antiqua" w:eastAsia="Book Antiqua" w:hAnsi="Book Antiqua" w:cs="Book Antiqua"/>
          <w:color w:val="000000"/>
        </w:rPr>
        <w:t>: 2655-2658 [PMID: 7378999 DOI: 10.1002/1097-0142(19800515)45:10&lt;2655::aid-cncr2820451028&gt;3.0.co;2-p]</w:t>
      </w:r>
    </w:p>
    <w:p w14:paraId="532C2B5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086E04C" w14:textId="77777777" w:rsidR="00A77B3E" w:rsidRDefault="005E5799">
      <w:pPr>
        <w:spacing w:line="360" w:lineRule="auto"/>
        <w:jc w:val="both"/>
      </w:pPr>
      <w:r>
        <w:rPr>
          <w:rFonts w:ascii="Book Antiqua" w:eastAsia="Book Antiqua" w:hAnsi="Book Antiqua" w:cs="Book Antiqua"/>
          <w:b/>
          <w:color w:val="000000"/>
        </w:rPr>
        <w:lastRenderedPageBreak/>
        <w:t>Footnotes</w:t>
      </w:r>
    </w:p>
    <w:p w14:paraId="3157B8F3" w14:textId="77777777" w:rsidR="00A77B3E" w:rsidRDefault="005E579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Pr>
          <w:rStyle w:val="dxDefaultCursordxflCaptionOffice2010BlueManuscriptSubmissionCaptionStyle"/>
          <w:rFonts w:ascii="Book Antiqua" w:eastAsia="Book Antiqua" w:hAnsi="Book Antiqua" w:cs="Book Antiqua"/>
          <w:color w:val="000000"/>
        </w:rPr>
        <w:t>conflict of interest for this manuscript.</w:t>
      </w:r>
    </w:p>
    <w:p w14:paraId="0D5F06FD" w14:textId="77777777" w:rsidR="00A77B3E" w:rsidRDefault="00A77B3E">
      <w:pPr>
        <w:spacing w:line="360" w:lineRule="auto"/>
        <w:jc w:val="both"/>
      </w:pPr>
    </w:p>
    <w:p w14:paraId="119BE10B" w14:textId="77777777" w:rsidR="00A77B3E" w:rsidRDefault="005E579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152143" w14:textId="77777777" w:rsidR="00A77B3E" w:rsidRDefault="00A77B3E">
      <w:pPr>
        <w:spacing w:line="360" w:lineRule="auto"/>
        <w:jc w:val="both"/>
      </w:pPr>
    </w:p>
    <w:p w14:paraId="59A9DF01" w14:textId="77777777" w:rsidR="00A77B3E" w:rsidRDefault="005E579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F467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4DD1722" w14:textId="77777777" w:rsidR="00A77B3E" w:rsidRDefault="00A77B3E">
      <w:pPr>
        <w:spacing w:line="360" w:lineRule="auto"/>
        <w:jc w:val="both"/>
      </w:pPr>
    </w:p>
    <w:p w14:paraId="10CD512A" w14:textId="77777777" w:rsidR="00A77B3E" w:rsidRDefault="005E579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2FAF7B9F" w14:textId="77777777" w:rsidR="00A77B3E" w:rsidRDefault="005E57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7A26418C" w14:textId="77777777" w:rsidR="00A77B3E" w:rsidRDefault="005E5799">
      <w:pPr>
        <w:spacing w:line="360" w:lineRule="auto"/>
        <w:jc w:val="both"/>
      </w:pPr>
      <w:r>
        <w:rPr>
          <w:rFonts w:ascii="Book Antiqua" w:eastAsia="Book Antiqua" w:hAnsi="Book Antiqua" w:cs="Book Antiqua"/>
          <w:b/>
          <w:color w:val="000000"/>
        </w:rPr>
        <w:t xml:space="preserve">Article in press: </w:t>
      </w:r>
    </w:p>
    <w:p w14:paraId="28ADA04E" w14:textId="77777777" w:rsidR="00A77B3E" w:rsidRDefault="00A77B3E">
      <w:pPr>
        <w:spacing w:line="360" w:lineRule="auto"/>
        <w:jc w:val="both"/>
      </w:pPr>
    </w:p>
    <w:p w14:paraId="27EBA156" w14:textId="77777777" w:rsidR="00A77B3E" w:rsidRDefault="005E5799">
      <w:pPr>
        <w:spacing w:line="360" w:lineRule="auto"/>
        <w:jc w:val="both"/>
      </w:pPr>
      <w:r>
        <w:rPr>
          <w:rFonts w:ascii="Book Antiqua" w:eastAsia="Book Antiqua" w:hAnsi="Book Antiqua" w:cs="Book Antiqua"/>
          <w:b/>
          <w:color w:val="000000"/>
        </w:rPr>
        <w:t xml:space="preserve">Specialty type: </w:t>
      </w:r>
      <w:r w:rsidR="000F4678" w:rsidRPr="00E700C2">
        <w:rPr>
          <w:rFonts w:ascii="Book Antiqua" w:eastAsia="微软雅黑" w:hAnsi="Book Antiqua" w:cs="宋体"/>
        </w:rPr>
        <w:t>Pediatrics</w:t>
      </w:r>
    </w:p>
    <w:p w14:paraId="15992148" w14:textId="77777777" w:rsidR="00A77B3E" w:rsidRDefault="005E57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2E9E941C" w14:textId="77777777" w:rsidR="00A77B3E" w:rsidRDefault="005E5799">
      <w:pPr>
        <w:spacing w:line="360" w:lineRule="auto"/>
        <w:jc w:val="both"/>
      </w:pPr>
      <w:r>
        <w:rPr>
          <w:rFonts w:ascii="Book Antiqua" w:eastAsia="Book Antiqua" w:hAnsi="Book Antiqua" w:cs="Book Antiqua"/>
          <w:b/>
          <w:color w:val="000000"/>
        </w:rPr>
        <w:t>Peer-review report’s scientific quality classification</w:t>
      </w:r>
    </w:p>
    <w:p w14:paraId="14A4BE8E" w14:textId="77777777" w:rsidR="00A77B3E" w:rsidRDefault="005E5799">
      <w:pPr>
        <w:spacing w:line="360" w:lineRule="auto"/>
        <w:jc w:val="both"/>
      </w:pPr>
      <w:r>
        <w:rPr>
          <w:rFonts w:ascii="Book Antiqua" w:eastAsia="Book Antiqua" w:hAnsi="Book Antiqua" w:cs="Book Antiqua"/>
          <w:color w:val="000000"/>
        </w:rPr>
        <w:t>Grade A (Excellent): 0</w:t>
      </w:r>
    </w:p>
    <w:p w14:paraId="0F2F12E6" w14:textId="77777777" w:rsidR="00A77B3E" w:rsidRDefault="005E5799">
      <w:pPr>
        <w:spacing w:line="360" w:lineRule="auto"/>
        <w:jc w:val="both"/>
      </w:pPr>
      <w:r>
        <w:rPr>
          <w:rFonts w:ascii="Book Antiqua" w:eastAsia="Book Antiqua" w:hAnsi="Book Antiqua" w:cs="Book Antiqua"/>
          <w:color w:val="000000"/>
        </w:rPr>
        <w:t>Grade B (Very good): 0</w:t>
      </w:r>
    </w:p>
    <w:p w14:paraId="1BF4B5B5" w14:textId="77777777" w:rsidR="00A77B3E" w:rsidRDefault="005E5799">
      <w:pPr>
        <w:spacing w:line="360" w:lineRule="auto"/>
        <w:jc w:val="both"/>
      </w:pPr>
      <w:r>
        <w:rPr>
          <w:rFonts w:ascii="Book Antiqua" w:eastAsia="Book Antiqua" w:hAnsi="Book Antiqua" w:cs="Book Antiqua"/>
          <w:color w:val="000000"/>
        </w:rPr>
        <w:t>Grade C (Good): C</w:t>
      </w:r>
    </w:p>
    <w:p w14:paraId="15EBA46B" w14:textId="77777777" w:rsidR="00A77B3E" w:rsidRDefault="005E5799">
      <w:pPr>
        <w:spacing w:line="360" w:lineRule="auto"/>
        <w:jc w:val="both"/>
      </w:pPr>
      <w:r>
        <w:rPr>
          <w:rFonts w:ascii="Book Antiqua" w:eastAsia="Book Antiqua" w:hAnsi="Book Antiqua" w:cs="Book Antiqua"/>
          <w:color w:val="000000"/>
        </w:rPr>
        <w:t>Grade D (Fair): 0</w:t>
      </w:r>
    </w:p>
    <w:p w14:paraId="0C0F512D" w14:textId="77777777" w:rsidR="00A77B3E" w:rsidRDefault="005E5799">
      <w:pPr>
        <w:spacing w:line="360" w:lineRule="auto"/>
        <w:jc w:val="both"/>
      </w:pPr>
      <w:r>
        <w:rPr>
          <w:rFonts w:ascii="Book Antiqua" w:eastAsia="Book Antiqua" w:hAnsi="Book Antiqua" w:cs="Book Antiqua"/>
          <w:color w:val="000000"/>
        </w:rPr>
        <w:t>Grade E (Poor): 0</w:t>
      </w:r>
    </w:p>
    <w:p w14:paraId="42A9D695" w14:textId="77777777" w:rsidR="00A77B3E" w:rsidRDefault="00A77B3E">
      <w:pPr>
        <w:spacing w:line="360" w:lineRule="auto"/>
        <w:jc w:val="both"/>
      </w:pPr>
    </w:p>
    <w:p w14:paraId="0899E48E" w14:textId="77777777" w:rsidR="00A77B3E" w:rsidRDefault="005E579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Guo JT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A662A" w:rsidRPr="002A662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12E1C792" w14:textId="77777777" w:rsidR="00A77B3E" w:rsidRDefault="005E579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AB1F76A" w14:textId="77777777" w:rsidR="000A781E" w:rsidRPr="000A781E" w:rsidRDefault="00C730F0">
      <w:pPr>
        <w:spacing w:line="360" w:lineRule="auto"/>
        <w:jc w:val="both"/>
        <w:rPr>
          <w:lang w:eastAsia="zh-CN"/>
        </w:rPr>
      </w:pPr>
      <w:r>
        <w:rPr>
          <w:noProof/>
          <w:lang w:eastAsia="zh-CN"/>
        </w:rPr>
        <w:drawing>
          <wp:inline distT="0" distB="0" distL="0" distR="0" wp14:anchorId="46D66703" wp14:editId="2A3AB455">
            <wp:extent cx="5380186" cy="33911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80186" cy="3391194"/>
                    </a:xfrm>
                    <a:prstGeom prst="rect">
                      <a:avLst/>
                    </a:prstGeom>
                  </pic:spPr>
                </pic:pic>
              </a:graphicData>
            </a:graphic>
          </wp:inline>
        </w:drawing>
      </w:r>
    </w:p>
    <w:p w14:paraId="186D935F" w14:textId="77777777" w:rsidR="00A77B3E" w:rsidRPr="00C730F0" w:rsidRDefault="005E5799">
      <w:pPr>
        <w:spacing w:line="360" w:lineRule="auto"/>
        <w:jc w:val="both"/>
        <w:rPr>
          <w:b/>
          <w:lang w:eastAsia="zh-CN"/>
        </w:rPr>
      </w:pPr>
      <w:r w:rsidRPr="00C730F0">
        <w:rPr>
          <w:rFonts w:ascii="Book Antiqua" w:eastAsia="Book Antiqua" w:hAnsi="Book Antiqua" w:cs="Book Antiqua"/>
          <w:b/>
          <w:color w:val="000000"/>
        </w:rPr>
        <w:t>Figure 1</w:t>
      </w:r>
      <w:r w:rsidR="00C730F0" w:rsidRPr="00C730F0">
        <w:rPr>
          <w:rFonts w:ascii="Book Antiqua" w:hAnsi="Book Antiqua" w:cs="Book Antiqua" w:hint="eastAsia"/>
          <w:b/>
          <w:color w:val="000000"/>
          <w:lang w:eastAsia="zh-CN"/>
        </w:rPr>
        <w:t xml:space="preserve"> </w:t>
      </w:r>
      <w:r w:rsidRPr="00C730F0">
        <w:rPr>
          <w:rFonts w:ascii="Book Antiqua" w:eastAsia="Book Antiqua" w:hAnsi="Book Antiqua" w:cs="Book Antiqua"/>
          <w:b/>
          <w:color w:val="000000"/>
        </w:rPr>
        <w:t>Complications in gastrointestinal system due to corrosive injury</w:t>
      </w:r>
      <w:r w:rsidR="00C730F0" w:rsidRPr="00C730F0">
        <w:rPr>
          <w:rFonts w:ascii="Book Antiqua" w:hAnsi="Book Antiqua" w:cs="Book Antiqua" w:hint="eastAsia"/>
          <w:b/>
          <w:color w:val="000000"/>
          <w:lang w:eastAsia="zh-CN"/>
        </w:rPr>
        <w:t>.</w:t>
      </w:r>
    </w:p>
    <w:p w14:paraId="3EBB72B6" w14:textId="77777777" w:rsidR="00A77B3E" w:rsidRDefault="00C730F0">
      <w:pPr>
        <w:spacing w:line="360" w:lineRule="auto"/>
        <w:jc w:val="both"/>
      </w:pPr>
      <w:r>
        <w:br w:type="page"/>
      </w:r>
      <w:r>
        <w:rPr>
          <w:noProof/>
          <w:lang w:eastAsia="zh-CN"/>
        </w:rPr>
        <w:lastRenderedPageBreak/>
        <w:drawing>
          <wp:inline distT="0" distB="0" distL="0" distR="0" wp14:anchorId="2924FD58" wp14:editId="0B17D1FE">
            <wp:extent cx="4869602" cy="4541914"/>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69602" cy="4541914"/>
                    </a:xfrm>
                    <a:prstGeom prst="rect">
                      <a:avLst/>
                    </a:prstGeom>
                  </pic:spPr>
                </pic:pic>
              </a:graphicData>
            </a:graphic>
          </wp:inline>
        </w:drawing>
      </w:r>
    </w:p>
    <w:p w14:paraId="382C89BB" w14:textId="77777777" w:rsidR="00A77B3E" w:rsidRPr="002A662A" w:rsidRDefault="005E5799">
      <w:pPr>
        <w:spacing w:line="360" w:lineRule="auto"/>
        <w:jc w:val="both"/>
        <w:rPr>
          <w:lang w:eastAsia="zh-CN"/>
        </w:rPr>
      </w:pPr>
      <w:r w:rsidRPr="00C730F0">
        <w:rPr>
          <w:rFonts w:ascii="Book Antiqua" w:eastAsia="Book Antiqua" w:hAnsi="Book Antiqua" w:cs="Book Antiqua"/>
          <w:b/>
          <w:color w:val="000000"/>
        </w:rPr>
        <w:t>Figure 2</w:t>
      </w:r>
      <w:r w:rsidR="00C730F0" w:rsidRPr="00C730F0">
        <w:rPr>
          <w:rFonts w:ascii="Book Antiqua" w:hAnsi="Book Antiqua" w:cs="Book Antiqua" w:hint="eastAsia"/>
          <w:b/>
          <w:color w:val="000000"/>
          <w:lang w:eastAsia="zh-CN"/>
        </w:rPr>
        <w:t xml:space="preserve"> </w:t>
      </w:r>
      <w:r w:rsidRPr="00C730F0">
        <w:rPr>
          <w:rFonts w:ascii="Book Antiqua" w:eastAsia="Book Antiqua" w:hAnsi="Book Antiqua" w:cs="Book Antiqua"/>
          <w:b/>
          <w:color w:val="000000"/>
        </w:rPr>
        <w:t>Clinical, endoscopic and radiological images of corrosive injury in children</w:t>
      </w:r>
      <w:r w:rsidR="00C730F0" w:rsidRPr="00C730F0">
        <w:rPr>
          <w:rFonts w:ascii="Book Antiqua" w:hAnsi="Book Antiqua" w:cs="Book Antiqua" w:hint="eastAsia"/>
          <w:b/>
          <w:color w:val="000000"/>
          <w:lang w:eastAsia="zh-CN"/>
        </w:rPr>
        <w:t>.</w:t>
      </w:r>
      <w:r w:rsidR="00C730F0">
        <w:rPr>
          <w:rFonts w:ascii="Book Antiqua" w:hAnsi="Book Antiqua" w:cs="Book Antiqua" w:hint="eastAsia"/>
          <w:color w:val="000000"/>
          <w:lang w:eastAsia="zh-CN"/>
        </w:rPr>
        <w:t xml:space="preserve"> </w:t>
      </w:r>
      <w:r>
        <w:rPr>
          <w:rFonts w:ascii="Book Antiqua" w:eastAsia="Book Antiqua" w:hAnsi="Book Antiqua" w:cs="Book Antiqua"/>
          <w:color w:val="000000"/>
        </w:rPr>
        <w:t>A: Endoscopic view of corrosive injury of esophagus (areas of necrosis)</w:t>
      </w:r>
      <w:r w:rsidR="00C730F0">
        <w:rPr>
          <w:rFonts w:ascii="Book Antiqua" w:hAnsi="Book Antiqua" w:cs="Book Antiqua" w:hint="eastAsia"/>
          <w:color w:val="000000"/>
          <w:lang w:eastAsia="zh-CN"/>
        </w:rPr>
        <w:t>;</w:t>
      </w:r>
      <w:r w:rsidR="00C730F0">
        <w:rPr>
          <w:rFonts w:ascii="Book Antiqua" w:eastAsia="Book Antiqua" w:hAnsi="Book Antiqua" w:cs="Book Antiqua"/>
          <w:color w:val="000000"/>
        </w:rPr>
        <w:t xml:space="preserve"> </w:t>
      </w:r>
      <w:r>
        <w:rPr>
          <w:rFonts w:ascii="Book Antiqua" w:eastAsia="Book Antiqua" w:hAnsi="Book Antiqua" w:cs="Book Antiqua"/>
          <w:color w:val="000000"/>
        </w:rPr>
        <w:t>B: Barium swallow study showing long esophageal stricture</w:t>
      </w:r>
      <w:r w:rsidR="00C730F0">
        <w:rPr>
          <w:rFonts w:ascii="Book Antiqua" w:hAnsi="Book Antiqua" w:cs="Book Antiqua" w:hint="eastAsia"/>
          <w:color w:val="000000"/>
          <w:lang w:eastAsia="zh-CN"/>
        </w:rPr>
        <w:t>;</w:t>
      </w:r>
      <w:r w:rsidR="00C730F0">
        <w:rPr>
          <w:rFonts w:ascii="Book Antiqua" w:eastAsia="Book Antiqua" w:hAnsi="Book Antiqua" w:cs="Book Antiqua"/>
          <w:color w:val="000000"/>
        </w:rPr>
        <w:t xml:space="preserve"> </w:t>
      </w:r>
      <w:r>
        <w:rPr>
          <w:rFonts w:ascii="Book Antiqua" w:eastAsia="Book Antiqua" w:hAnsi="Book Antiqua" w:cs="Book Antiqua"/>
          <w:color w:val="000000"/>
        </w:rPr>
        <w:t>C: Endoscopic view of esophagus after initial healing</w:t>
      </w:r>
      <w:r w:rsidR="00C730F0">
        <w:rPr>
          <w:rFonts w:ascii="Book Antiqua" w:hAnsi="Book Antiqua" w:cs="Book Antiqua" w:hint="eastAsia"/>
          <w:color w:val="000000"/>
          <w:lang w:eastAsia="zh-CN"/>
        </w:rPr>
        <w:t>;</w:t>
      </w:r>
      <w:r w:rsidR="00C730F0">
        <w:rPr>
          <w:rFonts w:ascii="Book Antiqua" w:eastAsia="Book Antiqua" w:hAnsi="Book Antiqua" w:cs="Book Antiqua"/>
          <w:color w:val="000000"/>
        </w:rPr>
        <w:t xml:space="preserve"> </w:t>
      </w:r>
      <w:r>
        <w:rPr>
          <w:rFonts w:ascii="Book Antiqua" w:eastAsia="Book Antiqua" w:hAnsi="Book Antiqua" w:cs="Book Antiqua"/>
          <w:color w:val="000000"/>
        </w:rPr>
        <w:t xml:space="preserve">D: Endoscopic view of post-acid ingestion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injury with transpyloric tube </w:t>
      </w:r>
      <w:r w:rsidRPr="00C730F0">
        <w:rPr>
          <w:rFonts w:ascii="Book Antiqua" w:eastAsia="Book Antiqua" w:hAnsi="Book Antiqua" w:cs="Book Antiqua"/>
          <w:i/>
          <w:color w:val="000000"/>
        </w:rPr>
        <w:t>in</w:t>
      </w:r>
      <w:r w:rsidR="00C730F0" w:rsidRPr="00C730F0">
        <w:rPr>
          <w:rFonts w:ascii="Book Antiqua" w:hAnsi="Book Antiqua" w:cs="Book Antiqua" w:hint="eastAsia"/>
          <w:i/>
          <w:color w:val="000000"/>
          <w:lang w:eastAsia="zh-CN"/>
        </w:rPr>
        <w:t xml:space="preserve"> </w:t>
      </w:r>
      <w:r w:rsidRPr="00C730F0">
        <w:rPr>
          <w:rFonts w:ascii="Book Antiqua" w:eastAsia="Book Antiqua" w:hAnsi="Book Antiqua" w:cs="Book Antiqua"/>
          <w:i/>
          <w:color w:val="000000"/>
        </w:rPr>
        <w:t>situ</w:t>
      </w:r>
      <w:r w:rsidR="00C730F0">
        <w:rPr>
          <w:rFonts w:ascii="Book Antiqua" w:hAnsi="Book Antiqua" w:cs="Book Antiqua" w:hint="eastAsia"/>
          <w:color w:val="000000"/>
          <w:lang w:eastAsia="zh-CN"/>
        </w:rPr>
        <w:t>;</w:t>
      </w:r>
      <w:r w:rsidR="00C730F0">
        <w:rPr>
          <w:rFonts w:ascii="Book Antiqua" w:eastAsia="Book Antiqua" w:hAnsi="Book Antiqua" w:cs="Book Antiqua"/>
          <w:color w:val="000000"/>
        </w:rPr>
        <w:t xml:space="preserve"> </w:t>
      </w:r>
      <w:r>
        <w:rPr>
          <w:rFonts w:ascii="Book Antiqua" w:eastAsia="Book Antiqua" w:hAnsi="Book Antiqua" w:cs="Book Antiqua"/>
          <w:color w:val="000000"/>
        </w:rPr>
        <w:t>E: Endoscopic view of pyloric stricture</w:t>
      </w:r>
      <w:r w:rsidR="00C730F0">
        <w:rPr>
          <w:rFonts w:ascii="Book Antiqua" w:hAnsi="Book Antiqua" w:cs="Book Antiqua" w:hint="eastAsia"/>
          <w:color w:val="000000"/>
          <w:lang w:eastAsia="zh-CN"/>
        </w:rPr>
        <w:t xml:space="preserve">; </w:t>
      </w:r>
      <w:r>
        <w:rPr>
          <w:rFonts w:ascii="Book Antiqua" w:eastAsia="Book Antiqua" w:hAnsi="Book Antiqua" w:cs="Book Antiqua"/>
          <w:color w:val="000000"/>
        </w:rPr>
        <w:t>F: Dilated stomach in a patient with pyloric stricture</w:t>
      </w:r>
      <w:r w:rsidR="00C730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Barium meal follow-through study showing corrosive stricture involving body and prepyloric region (Hour-glass </w:t>
      </w:r>
      <w:proofErr w:type="spellStart"/>
      <w:r>
        <w:rPr>
          <w:rFonts w:ascii="Book Antiqua" w:eastAsia="Book Antiqua" w:hAnsi="Book Antiqua" w:cs="Book Antiqua"/>
          <w:color w:val="000000"/>
        </w:rPr>
        <w:t>appearnce</w:t>
      </w:r>
      <w:proofErr w:type="spellEnd"/>
      <w:r>
        <w:rPr>
          <w:rFonts w:ascii="Book Antiqua" w:eastAsia="Book Antiqua" w:hAnsi="Book Antiqua" w:cs="Book Antiqua"/>
          <w:color w:val="000000"/>
        </w:rPr>
        <w:t>)</w:t>
      </w:r>
      <w:r w:rsidR="00C730F0">
        <w:rPr>
          <w:rFonts w:ascii="Book Antiqua" w:hAnsi="Book Antiqua" w:cs="Book Antiqua" w:hint="eastAsia"/>
          <w:color w:val="000000"/>
          <w:lang w:eastAsia="zh-CN"/>
        </w:rPr>
        <w:t xml:space="preserve">; </w:t>
      </w:r>
      <w:r>
        <w:rPr>
          <w:rFonts w:ascii="Book Antiqua" w:eastAsia="Book Antiqua" w:hAnsi="Book Antiqua" w:cs="Book Antiqua"/>
          <w:color w:val="000000"/>
        </w:rPr>
        <w:t>H: Barium meal follow through study showing post-corrosive pyloric stricture</w:t>
      </w:r>
      <w:r w:rsidR="00C730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 Endoscopic view of </w:t>
      </w:r>
      <w:proofErr w:type="spellStart"/>
      <w:r>
        <w:rPr>
          <w:rFonts w:ascii="Book Antiqua" w:eastAsia="Book Antiqua" w:hAnsi="Book Antiqua" w:cs="Book Antiqua"/>
          <w:color w:val="000000"/>
        </w:rPr>
        <w:t>diverticulae</w:t>
      </w:r>
      <w:proofErr w:type="spellEnd"/>
      <w:r>
        <w:rPr>
          <w:rFonts w:ascii="Book Antiqua" w:eastAsia="Book Antiqua" w:hAnsi="Book Antiqua" w:cs="Book Antiqua"/>
          <w:color w:val="000000"/>
        </w:rPr>
        <w:t xml:space="preserve"> in stomach in pyloric stricture</w:t>
      </w:r>
      <w:r w:rsidR="002A662A">
        <w:rPr>
          <w:rFonts w:ascii="Book Antiqua" w:hAnsi="Book Antiqua" w:cs="Book Antiqua" w:hint="eastAsia"/>
          <w:color w:val="000000"/>
          <w:lang w:eastAsia="zh-CN"/>
        </w:rPr>
        <w:t>.</w:t>
      </w:r>
    </w:p>
    <w:p w14:paraId="1FACAE11" w14:textId="77777777" w:rsidR="00A77B3E" w:rsidRDefault="00C730F0">
      <w:pPr>
        <w:spacing w:line="360" w:lineRule="auto"/>
        <w:jc w:val="both"/>
        <w:rPr>
          <w:noProof/>
          <w:lang w:eastAsia="zh-CN"/>
        </w:rPr>
      </w:pPr>
      <w:r>
        <w:br w:type="page"/>
      </w:r>
    </w:p>
    <w:p w14:paraId="3E9E8191" w14:textId="77777777" w:rsidR="0091729A" w:rsidRDefault="0091729A">
      <w:pPr>
        <w:spacing w:line="360" w:lineRule="auto"/>
        <w:jc w:val="both"/>
      </w:pPr>
      <w:r>
        <w:rPr>
          <w:noProof/>
          <w:lang w:eastAsia="zh-CN"/>
        </w:rPr>
        <w:lastRenderedPageBreak/>
        <w:drawing>
          <wp:inline distT="0" distB="0" distL="0" distR="0" wp14:anchorId="2BDFB984" wp14:editId="40DCD84A">
            <wp:extent cx="5486400" cy="4117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17975"/>
                    </a:xfrm>
                    <a:prstGeom prst="rect">
                      <a:avLst/>
                    </a:prstGeom>
                  </pic:spPr>
                </pic:pic>
              </a:graphicData>
            </a:graphic>
          </wp:inline>
        </w:drawing>
      </w:r>
    </w:p>
    <w:p w14:paraId="61DD64C6" w14:textId="77777777" w:rsidR="008C1DD0" w:rsidRDefault="005E5799">
      <w:pPr>
        <w:spacing w:line="360" w:lineRule="auto"/>
        <w:jc w:val="both"/>
        <w:rPr>
          <w:rFonts w:ascii="Book Antiqua" w:hAnsi="Book Antiqua" w:cs="Book Antiqua"/>
          <w:b/>
          <w:color w:val="000000"/>
          <w:lang w:eastAsia="zh-CN"/>
        </w:rPr>
      </w:pPr>
      <w:r w:rsidRPr="00C730F0">
        <w:rPr>
          <w:rFonts w:ascii="Book Antiqua" w:eastAsia="Book Antiqua" w:hAnsi="Book Antiqua" w:cs="Book Antiqua"/>
          <w:b/>
          <w:color w:val="000000"/>
        </w:rPr>
        <w:t>Figure 3</w:t>
      </w:r>
      <w:r w:rsidR="00C730F0" w:rsidRPr="00C730F0">
        <w:rPr>
          <w:rFonts w:ascii="Book Antiqua" w:hAnsi="Book Antiqua" w:cs="Book Antiqua" w:hint="eastAsia"/>
          <w:b/>
          <w:color w:val="000000"/>
          <w:lang w:eastAsia="zh-CN"/>
        </w:rPr>
        <w:t xml:space="preserve"> </w:t>
      </w:r>
      <w:r w:rsidRPr="00C730F0">
        <w:rPr>
          <w:rFonts w:ascii="Book Antiqua" w:eastAsia="Book Antiqua" w:hAnsi="Book Antiqua" w:cs="Book Antiqua"/>
          <w:b/>
          <w:color w:val="000000"/>
        </w:rPr>
        <w:t xml:space="preserve">Flowchart for management of corrosive ingestion and upper </w:t>
      </w:r>
      <w:r w:rsidR="00225D37" w:rsidRPr="00C730F0">
        <w:rPr>
          <w:rFonts w:ascii="Book Antiqua" w:eastAsia="Book Antiqua" w:hAnsi="Book Antiqua" w:cs="Book Antiqua"/>
          <w:b/>
          <w:color w:val="000000"/>
          <w:shd w:val="clear" w:color="auto" w:fill="FFFFFF"/>
        </w:rPr>
        <w:t>gastrointestinal</w:t>
      </w:r>
      <w:r w:rsidRPr="00C730F0">
        <w:rPr>
          <w:rFonts w:ascii="Book Antiqua" w:eastAsia="Book Antiqua" w:hAnsi="Book Antiqua" w:cs="Book Antiqua"/>
          <w:b/>
          <w:color w:val="000000"/>
        </w:rPr>
        <w:t xml:space="preserve"> strictures</w:t>
      </w:r>
      <w:r w:rsidR="00C730F0" w:rsidRPr="00C730F0">
        <w:rPr>
          <w:rFonts w:ascii="Book Antiqua" w:hAnsi="Book Antiqua" w:cs="Book Antiqua" w:hint="eastAsia"/>
          <w:b/>
          <w:color w:val="000000"/>
          <w:lang w:eastAsia="zh-CN"/>
        </w:rPr>
        <w:t>.</w:t>
      </w:r>
    </w:p>
    <w:p w14:paraId="056FFC9D" w14:textId="77777777" w:rsidR="00A77B3E" w:rsidRDefault="008C1DD0">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8C1DD0">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sidRPr="008C1DD0">
        <w:rPr>
          <w:rFonts w:ascii="Book Antiqua" w:hAnsi="Book Antiqua" w:cs="Book Antiqua"/>
          <w:b/>
          <w:color w:val="000000"/>
          <w:lang w:eastAsia="zh-CN"/>
        </w:rPr>
        <w:t>Commonly ingested corrosives in children</w:t>
      </w:r>
    </w:p>
    <w:tbl>
      <w:tblPr>
        <w:tblW w:w="5000" w:type="pct"/>
        <w:tblLook w:val="04A0" w:firstRow="1" w:lastRow="0" w:firstColumn="1" w:lastColumn="0" w:noHBand="0" w:noVBand="1"/>
      </w:tblPr>
      <w:tblGrid>
        <w:gridCol w:w="2825"/>
        <w:gridCol w:w="6535"/>
      </w:tblGrid>
      <w:tr w:rsidR="008C1DD0" w:rsidRPr="008C1DD0" w14:paraId="4F4E50B5" w14:textId="77777777" w:rsidTr="008C1DD0">
        <w:tc>
          <w:tcPr>
            <w:tcW w:w="9918" w:type="dxa"/>
            <w:gridSpan w:val="2"/>
            <w:tcBorders>
              <w:top w:val="single" w:sz="4" w:space="0" w:color="auto"/>
              <w:bottom w:val="single" w:sz="4" w:space="0" w:color="auto"/>
            </w:tcBorders>
            <w:shd w:val="clear" w:color="auto" w:fill="auto"/>
            <w:noWrap/>
          </w:tcPr>
          <w:p w14:paraId="343AD01A" w14:textId="77777777" w:rsidR="008C1DD0" w:rsidRPr="008C1DD0" w:rsidRDefault="008C1DD0" w:rsidP="008C1DD0">
            <w:pPr>
              <w:autoSpaceDE w:val="0"/>
              <w:autoSpaceDN w:val="0"/>
              <w:adjustRightInd w:val="0"/>
              <w:spacing w:line="360" w:lineRule="auto"/>
              <w:jc w:val="both"/>
              <w:rPr>
                <w:rFonts w:ascii="Book Antiqua" w:hAnsi="Book Antiqua"/>
                <w:b/>
              </w:rPr>
            </w:pPr>
            <w:r w:rsidRPr="008C1DD0">
              <w:rPr>
                <w:rFonts w:ascii="Book Antiqua" w:hAnsi="Book Antiqua"/>
                <w:b/>
              </w:rPr>
              <w:t>Acid</w:t>
            </w:r>
          </w:p>
        </w:tc>
      </w:tr>
      <w:tr w:rsidR="008C1DD0" w:rsidRPr="008C1DD0" w14:paraId="147AC3E2" w14:textId="77777777" w:rsidTr="008C1DD0">
        <w:trPr>
          <w:trHeight w:val="836"/>
        </w:trPr>
        <w:tc>
          <w:tcPr>
            <w:tcW w:w="2988" w:type="dxa"/>
            <w:tcBorders>
              <w:top w:val="single" w:sz="4" w:space="0" w:color="auto"/>
            </w:tcBorders>
            <w:shd w:val="clear" w:color="auto" w:fill="auto"/>
            <w:noWrap/>
          </w:tcPr>
          <w:p w14:paraId="0A7B12BD" w14:textId="77777777" w:rsidR="008C1DD0" w:rsidRPr="008C1DD0" w:rsidRDefault="008C1DD0" w:rsidP="008C1DD0">
            <w:pPr>
              <w:autoSpaceDE w:val="0"/>
              <w:autoSpaceDN w:val="0"/>
              <w:adjustRightInd w:val="0"/>
              <w:spacing w:line="360" w:lineRule="auto"/>
              <w:jc w:val="both"/>
              <w:rPr>
                <w:rFonts w:ascii="Book Antiqua" w:hAnsi="Book Antiqua"/>
              </w:rPr>
            </w:pPr>
            <w:r w:rsidRPr="008C1DD0">
              <w:rPr>
                <w:rFonts w:ascii="Book Antiqua" w:hAnsi="Book Antiqua"/>
              </w:rPr>
              <w:t>Sulfuric acid</w:t>
            </w:r>
          </w:p>
        </w:tc>
        <w:tc>
          <w:tcPr>
            <w:tcW w:w="6930" w:type="dxa"/>
            <w:tcBorders>
              <w:top w:val="single" w:sz="4" w:space="0" w:color="auto"/>
            </w:tcBorders>
            <w:shd w:val="clear" w:color="auto" w:fill="auto"/>
            <w:noWrap/>
          </w:tcPr>
          <w:p w14:paraId="2E8A8E1D" w14:textId="77777777" w:rsidR="008C1DD0" w:rsidRPr="008C1DD0" w:rsidRDefault="008C1DD0" w:rsidP="008C1DD0">
            <w:pPr>
              <w:autoSpaceDE w:val="0"/>
              <w:autoSpaceDN w:val="0"/>
              <w:adjustRightInd w:val="0"/>
              <w:spacing w:line="360" w:lineRule="auto"/>
              <w:jc w:val="both"/>
              <w:rPr>
                <w:rFonts w:ascii="Book Antiqua" w:hAnsi="Book Antiqua"/>
              </w:rPr>
            </w:pPr>
            <w:r w:rsidRPr="008C1DD0">
              <w:rPr>
                <w:rFonts w:ascii="Book Antiqua" w:hAnsi="Book Antiqua"/>
              </w:rPr>
              <w:t>Batteries, industrial cleaning agents, metal plating, toilet cleaner</w:t>
            </w:r>
          </w:p>
        </w:tc>
      </w:tr>
      <w:tr w:rsidR="008C1DD0" w:rsidRPr="008C1DD0" w14:paraId="0A5B5950" w14:textId="77777777" w:rsidTr="008C1DD0">
        <w:tc>
          <w:tcPr>
            <w:tcW w:w="2988" w:type="dxa"/>
            <w:shd w:val="clear" w:color="auto" w:fill="auto"/>
            <w:noWrap/>
          </w:tcPr>
          <w:p w14:paraId="44B9644E" w14:textId="77777777" w:rsidR="008C1DD0" w:rsidRPr="008C1DD0" w:rsidRDefault="008C1DD0" w:rsidP="008C1DD0">
            <w:pPr>
              <w:autoSpaceDE w:val="0"/>
              <w:autoSpaceDN w:val="0"/>
              <w:adjustRightInd w:val="0"/>
              <w:spacing w:line="360" w:lineRule="auto"/>
              <w:jc w:val="both"/>
              <w:rPr>
                <w:rFonts w:ascii="Book Antiqua" w:hAnsi="Book Antiqua"/>
                <w:lang w:eastAsia="zh-CN"/>
              </w:rPr>
            </w:pPr>
            <w:r w:rsidRPr="008C1DD0">
              <w:rPr>
                <w:rFonts w:ascii="Book Antiqua" w:hAnsi="Book Antiqua"/>
              </w:rPr>
              <w:t>Hydrochloric acid</w:t>
            </w:r>
          </w:p>
        </w:tc>
        <w:tc>
          <w:tcPr>
            <w:tcW w:w="6930" w:type="dxa"/>
            <w:shd w:val="clear" w:color="auto" w:fill="auto"/>
            <w:noWrap/>
          </w:tcPr>
          <w:p w14:paraId="1749EED0" w14:textId="77777777" w:rsidR="008C1DD0" w:rsidRPr="008C1DD0" w:rsidRDefault="008C1DD0" w:rsidP="008C1DD0">
            <w:pPr>
              <w:autoSpaceDE w:val="0"/>
              <w:autoSpaceDN w:val="0"/>
              <w:adjustRightInd w:val="0"/>
              <w:spacing w:line="360" w:lineRule="auto"/>
              <w:jc w:val="both"/>
              <w:rPr>
                <w:rFonts w:ascii="Book Antiqua" w:hAnsi="Book Antiqua"/>
              </w:rPr>
            </w:pPr>
            <w:r w:rsidRPr="008C1DD0">
              <w:rPr>
                <w:rFonts w:ascii="Book Antiqua" w:hAnsi="Book Antiqua"/>
              </w:rPr>
              <w:t>Solvents, metal cleaners, lime solvents, toilet and drain cleaners, muriatic acid, antirust compounds</w:t>
            </w:r>
          </w:p>
        </w:tc>
      </w:tr>
      <w:tr w:rsidR="008C1DD0" w:rsidRPr="008C1DD0" w14:paraId="2FA19081" w14:textId="77777777" w:rsidTr="008C1DD0">
        <w:tc>
          <w:tcPr>
            <w:tcW w:w="2988" w:type="dxa"/>
            <w:shd w:val="clear" w:color="auto" w:fill="auto"/>
            <w:noWrap/>
          </w:tcPr>
          <w:p w14:paraId="6D7E0AEE" w14:textId="77777777" w:rsidR="008C1DD0" w:rsidRPr="008C1DD0" w:rsidRDefault="008C1DD0" w:rsidP="008C1DD0">
            <w:pPr>
              <w:autoSpaceDE w:val="0"/>
              <w:autoSpaceDN w:val="0"/>
              <w:adjustRightInd w:val="0"/>
              <w:spacing w:line="360" w:lineRule="auto"/>
              <w:jc w:val="both"/>
              <w:rPr>
                <w:rFonts w:ascii="Book Antiqua" w:hAnsi="Book Antiqua"/>
              </w:rPr>
            </w:pPr>
            <w:r w:rsidRPr="008C1DD0">
              <w:rPr>
                <w:rFonts w:ascii="Book Antiqua" w:hAnsi="Book Antiqua"/>
              </w:rPr>
              <w:t>Acetic acid</w:t>
            </w:r>
          </w:p>
        </w:tc>
        <w:tc>
          <w:tcPr>
            <w:tcW w:w="6930" w:type="dxa"/>
            <w:shd w:val="clear" w:color="auto" w:fill="auto"/>
            <w:noWrap/>
          </w:tcPr>
          <w:p w14:paraId="1776477F" w14:textId="77777777" w:rsidR="008C1DD0" w:rsidRPr="008C1DD0" w:rsidRDefault="008C1DD0" w:rsidP="008C1DD0">
            <w:pPr>
              <w:autoSpaceDE w:val="0"/>
              <w:autoSpaceDN w:val="0"/>
              <w:adjustRightInd w:val="0"/>
              <w:spacing w:line="360" w:lineRule="auto"/>
              <w:jc w:val="both"/>
              <w:rPr>
                <w:rFonts w:ascii="Book Antiqua" w:hAnsi="Book Antiqua"/>
              </w:rPr>
            </w:pPr>
            <w:r w:rsidRPr="008C1DD0">
              <w:rPr>
                <w:rFonts w:ascii="Book Antiqua" w:hAnsi="Book Antiqua"/>
              </w:rPr>
              <w:t>Pickling vinegar, vinegar spirit, wart solution</w:t>
            </w:r>
          </w:p>
        </w:tc>
      </w:tr>
      <w:tr w:rsidR="008C1DD0" w:rsidRPr="008C1DD0" w14:paraId="783FDF6E" w14:textId="77777777" w:rsidTr="008C1DD0">
        <w:tc>
          <w:tcPr>
            <w:tcW w:w="2988" w:type="dxa"/>
            <w:shd w:val="clear" w:color="auto" w:fill="auto"/>
            <w:noWrap/>
          </w:tcPr>
          <w:p w14:paraId="643175A2" w14:textId="77777777" w:rsidR="008C1DD0" w:rsidRPr="008C1DD0" w:rsidRDefault="008C1DD0" w:rsidP="008C1DD0">
            <w:pPr>
              <w:tabs>
                <w:tab w:val="left" w:pos="5450"/>
              </w:tabs>
              <w:spacing w:line="360" w:lineRule="auto"/>
              <w:jc w:val="both"/>
              <w:rPr>
                <w:rFonts w:ascii="Book Antiqua" w:hAnsi="Book Antiqua"/>
              </w:rPr>
            </w:pPr>
            <w:r w:rsidRPr="008C1DD0">
              <w:rPr>
                <w:rFonts w:ascii="Book Antiqua" w:hAnsi="Book Antiqua"/>
              </w:rPr>
              <w:t>Phosphoric acid</w:t>
            </w:r>
          </w:p>
        </w:tc>
        <w:tc>
          <w:tcPr>
            <w:tcW w:w="6930" w:type="dxa"/>
            <w:shd w:val="clear" w:color="auto" w:fill="auto"/>
            <w:noWrap/>
          </w:tcPr>
          <w:p w14:paraId="587AC0B6" w14:textId="77777777" w:rsidR="008C1DD0" w:rsidRPr="008C1DD0" w:rsidRDefault="008C1DD0" w:rsidP="008C1DD0">
            <w:pPr>
              <w:tabs>
                <w:tab w:val="left" w:pos="5450"/>
              </w:tabs>
              <w:spacing w:line="360" w:lineRule="auto"/>
              <w:jc w:val="both"/>
              <w:rPr>
                <w:rFonts w:ascii="Book Antiqua" w:hAnsi="Book Antiqua"/>
              </w:rPr>
            </w:pPr>
            <w:r w:rsidRPr="008C1DD0">
              <w:rPr>
                <w:rFonts w:ascii="Book Antiqua" w:hAnsi="Book Antiqua"/>
              </w:rPr>
              <w:t>Toilet cleaners</w:t>
            </w:r>
          </w:p>
        </w:tc>
      </w:tr>
      <w:tr w:rsidR="008C1DD0" w:rsidRPr="008C1DD0" w14:paraId="123FB1D7" w14:textId="77777777" w:rsidTr="008C1DD0">
        <w:tc>
          <w:tcPr>
            <w:tcW w:w="2988" w:type="dxa"/>
            <w:tcBorders>
              <w:bottom w:val="single" w:sz="4" w:space="0" w:color="auto"/>
            </w:tcBorders>
            <w:shd w:val="clear" w:color="auto" w:fill="auto"/>
            <w:noWrap/>
          </w:tcPr>
          <w:p w14:paraId="456B6C95" w14:textId="77777777" w:rsidR="008C1DD0" w:rsidRPr="008C1DD0" w:rsidRDefault="008C1DD0" w:rsidP="008C1DD0">
            <w:pPr>
              <w:autoSpaceDE w:val="0"/>
              <w:autoSpaceDN w:val="0"/>
              <w:adjustRightInd w:val="0"/>
              <w:spacing w:line="360" w:lineRule="auto"/>
              <w:jc w:val="both"/>
              <w:rPr>
                <w:rFonts w:ascii="Book Antiqua" w:hAnsi="Book Antiqua"/>
                <w:lang w:eastAsia="zh-CN"/>
              </w:rPr>
            </w:pPr>
            <w:r w:rsidRPr="008C1DD0">
              <w:rPr>
                <w:rFonts w:ascii="Book Antiqua" w:hAnsi="Book Antiqua"/>
              </w:rPr>
              <w:t>Oxalic acid</w:t>
            </w:r>
          </w:p>
        </w:tc>
        <w:tc>
          <w:tcPr>
            <w:tcW w:w="6930" w:type="dxa"/>
            <w:tcBorders>
              <w:bottom w:val="single" w:sz="4" w:space="0" w:color="auto"/>
            </w:tcBorders>
            <w:shd w:val="clear" w:color="auto" w:fill="auto"/>
            <w:noWrap/>
          </w:tcPr>
          <w:p w14:paraId="45316014" w14:textId="77777777" w:rsidR="008C1DD0" w:rsidRPr="008C1DD0" w:rsidRDefault="008C1DD0" w:rsidP="008C1DD0">
            <w:pPr>
              <w:tabs>
                <w:tab w:val="left" w:pos="5450"/>
              </w:tabs>
              <w:spacing w:line="360" w:lineRule="auto"/>
              <w:jc w:val="both"/>
              <w:rPr>
                <w:rFonts w:ascii="Book Antiqua" w:hAnsi="Book Antiqua"/>
              </w:rPr>
            </w:pPr>
            <w:r w:rsidRPr="008C1DD0">
              <w:rPr>
                <w:rFonts w:ascii="Book Antiqua" w:hAnsi="Book Antiqua"/>
              </w:rPr>
              <w:t>Paint thinners, metal cleaners, toilet cleaner</w:t>
            </w:r>
          </w:p>
        </w:tc>
      </w:tr>
      <w:tr w:rsidR="008C1DD0" w:rsidRPr="008C1DD0" w14:paraId="0EFCB2AF" w14:textId="77777777" w:rsidTr="008C1DD0">
        <w:tc>
          <w:tcPr>
            <w:tcW w:w="9918" w:type="dxa"/>
            <w:gridSpan w:val="2"/>
            <w:tcBorders>
              <w:top w:val="single" w:sz="4" w:space="0" w:color="auto"/>
              <w:bottom w:val="single" w:sz="4" w:space="0" w:color="auto"/>
            </w:tcBorders>
            <w:shd w:val="clear" w:color="auto" w:fill="auto"/>
            <w:noWrap/>
          </w:tcPr>
          <w:p w14:paraId="30963F07" w14:textId="77777777" w:rsidR="008C1DD0" w:rsidRPr="008C1DD0" w:rsidRDefault="008C1DD0" w:rsidP="008C1DD0">
            <w:pPr>
              <w:tabs>
                <w:tab w:val="left" w:pos="5450"/>
              </w:tabs>
              <w:spacing w:line="360" w:lineRule="auto"/>
              <w:jc w:val="both"/>
              <w:rPr>
                <w:rFonts w:ascii="Book Antiqua" w:hAnsi="Book Antiqua"/>
                <w:b/>
                <w:lang w:eastAsia="zh-CN"/>
              </w:rPr>
            </w:pPr>
            <w:r w:rsidRPr="008C1DD0">
              <w:rPr>
                <w:rFonts w:ascii="Book Antiqua" w:hAnsi="Book Antiqua"/>
                <w:b/>
              </w:rPr>
              <w:t>Alkali</w:t>
            </w:r>
          </w:p>
        </w:tc>
      </w:tr>
      <w:tr w:rsidR="008C1DD0" w:rsidRPr="008C1DD0" w14:paraId="4AE4CD13" w14:textId="77777777" w:rsidTr="008C1DD0">
        <w:tc>
          <w:tcPr>
            <w:tcW w:w="2988" w:type="dxa"/>
            <w:tcBorders>
              <w:top w:val="single" w:sz="4" w:space="0" w:color="auto"/>
            </w:tcBorders>
            <w:shd w:val="clear" w:color="auto" w:fill="auto"/>
            <w:noWrap/>
          </w:tcPr>
          <w:p w14:paraId="0F5F8D76" w14:textId="77777777" w:rsidR="008C1DD0" w:rsidRPr="008C1DD0" w:rsidRDefault="008C1DD0" w:rsidP="008C1DD0">
            <w:pPr>
              <w:autoSpaceDE w:val="0"/>
              <w:autoSpaceDN w:val="0"/>
              <w:adjustRightInd w:val="0"/>
              <w:spacing w:line="360" w:lineRule="auto"/>
              <w:jc w:val="both"/>
              <w:rPr>
                <w:rFonts w:ascii="Book Antiqua" w:hAnsi="Book Antiqua"/>
                <w:lang w:eastAsia="zh-CN"/>
              </w:rPr>
            </w:pPr>
            <w:r w:rsidRPr="008C1DD0">
              <w:rPr>
                <w:rFonts w:ascii="Book Antiqua" w:hAnsi="Book Antiqua"/>
              </w:rPr>
              <w:t>Sodium hydroxide</w:t>
            </w:r>
          </w:p>
        </w:tc>
        <w:tc>
          <w:tcPr>
            <w:tcW w:w="6930" w:type="dxa"/>
            <w:tcBorders>
              <w:top w:val="single" w:sz="4" w:space="0" w:color="auto"/>
            </w:tcBorders>
            <w:shd w:val="clear" w:color="auto" w:fill="auto"/>
            <w:noWrap/>
          </w:tcPr>
          <w:p w14:paraId="5FC2AFF2" w14:textId="77777777" w:rsidR="008C1DD0" w:rsidRPr="008C1DD0" w:rsidRDefault="008C1DD0" w:rsidP="008C1DD0">
            <w:pPr>
              <w:autoSpaceDE w:val="0"/>
              <w:autoSpaceDN w:val="0"/>
              <w:adjustRightInd w:val="0"/>
              <w:spacing w:line="360" w:lineRule="auto"/>
              <w:jc w:val="both"/>
              <w:rPr>
                <w:rFonts w:ascii="Book Antiqua" w:hAnsi="Book Antiqua"/>
                <w:lang w:eastAsia="zh-CN"/>
              </w:rPr>
            </w:pPr>
            <w:r w:rsidRPr="008C1DD0">
              <w:rPr>
                <w:rFonts w:ascii="Book Antiqua" w:hAnsi="Book Antiqua"/>
              </w:rPr>
              <w:t>Grease/oil cleaners, drain cleaners, sink openers, oven cleaners, oil removers</w:t>
            </w:r>
          </w:p>
        </w:tc>
      </w:tr>
      <w:tr w:rsidR="008C1DD0" w:rsidRPr="008C1DD0" w14:paraId="107CE405" w14:textId="77777777" w:rsidTr="008C1DD0">
        <w:tc>
          <w:tcPr>
            <w:tcW w:w="2988" w:type="dxa"/>
            <w:shd w:val="clear" w:color="auto" w:fill="auto"/>
            <w:noWrap/>
          </w:tcPr>
          <w:p w14:paraId="469C3CE6" w14:textId="77777777" w:rsidR="008C1DD0" w:rsidRPr="008C1DD0" w:rsidRDefault="008C1DD0" w:rsidP="008C1DD0">
            <w:pPr>
              <w:autoSpaceDE w:val="0"/>
              <w:autoSpaceDN w:val="0"/>
              <w:adjustRightInd w:val="0"/>
              <w:spacing w:line="360" w:lineRule="auto"/>
              <w:jc w:val="both"/>
              <w:rPr>
                <w:rFonts w:ascii="Book Antiqua" w:hAnsi="Book Antiqua"/>
                <w:lang w:eastAsia="zh-CN"/>
              </w:rPr>
            </w:pPr>
            <w:r w:rsidRPr="008C1DD0">
              <w:rPr>
                <w:rFonts w:ascii="Book Antiqua" w:hAnsi="Book Antiqua"/>
              </w:rPr>
              <w:t>Potassium hydroxide</w:t>
            </w:r>
          </w:p>
        </w:tc>
        <w:tc>
          <w:tcPr>
            <w:tcW w:w="6930" w:type="dxa"/>
            <w:shd w:val="clear" w:color="auto" w:fill="auto"/>
            <w:noWrap/>
          </w:tcPr>
          <w:p w14:paraId="72D92C14" w14:textId="77777777" w:rsidR="008C1DD0" w:rsidRPr="008C1DD0" w:rsidRDefault="008C1DD0" w:rsidP="008C1DD0">
            <w:pPr>
              <w:autoSpaceDE w:val="0"/>
              <w:autoSpaceDN w:val="0"/>
              <w:adjustRightInd w:val="0"/>
              <w:spacing w:line="360" w:lineRule="auto"/>
              <w:jc w:val="both"/>
              <w:rPr>
                <w:rFonts w:ascii="Book Antiqua" w:hAnsi="Book Antiqua"/>
              </w:rPr>
            </w:pPr>
            <w:r w:rsidRPr="008C1DD0">
              <w:rPr>
                <w:rFonts w:ascii="Book Antiqua" w:hAnsi="Book Antiqua"/>
              </w:rPr>
              <w:t>Oven cleaners, washing powders, paint remover</w:t>
            </w:r>
          </w:p>
        </w:tc>
      </w:tr>
      <w:tr w:rsidR="008C1DD0" w:rsidRPr="008C1DD0" w14:paraId="053AA943" w14:textId="77777777" w:rsidTr="008C1DD0">
        <w:tc>
          <w:tcPr>
            <w:tcW w:w="2988" w:type="dxa"/>
            <w:shd w:val="clear" w:color="auto" w:fill="auto"/>
            <w:noWrap/>
          </w:tcPr>
          <w:p w14:paraId="224444E6" w14:textId="77777777" w:rsidR="008C1DD0" w:rsidRPr="008C1DD0" w:rsidRDefault="008C1DD0" w:rsidP="008C1DD0">
            <w:pPr>
              <w:autoSpaceDE w:val="0"/>
              <w:autoSpaceDN w:val="0"/>
              <w:adjustRightInd w:val="0"/>
              <w:spacing w:line="360" w:lineRule="auto"/>
              <w:jc w:val="both"/>
              <w:rPr>
                <w:rFonts w:ascii="Book Antiqua" w:hAnsi="Book Antiqua"/>
                <w:lang w:eastAsia="zh-CN"/>
              </w:rPr>
            </w:pPr>
            <w:r w:rsidRPr="008C1DD0">
              <w:rPr>
                <w:rFonts w:ascii="Book Antiqua" w:hAnsi="Book Antiqua"/>
              </w:rPr>
              <w:t>Sodium carbonate</w:t>
            </w:r>
          </w:p>
        </w:tc>
        <w:tc>
          <w:tcPr>
            <w:tcW w:w="6930" w:type="dxa"/>
            <w:shd w:val="clear" w:color="auto" w:fill="auto"/>
            <w:noWrap/>
          </w:tcPr>
          <w:p w14:paraId="3013DE0F" w14:textId="77777777" w:rsidR="008C1DD0" w:rsidRPr="008C1DD0" w:rsidRDefault="008C1DD0" w:rsidP="008C1DD0">
            <w:pPr>
              <w:autoSpaceDE w:val="0"/>
              <w:autoSpaceDN w:val="0"/>
              <w:adjustRightInd w:val="0"/>
              <w:spacing w:line="360" w:lineRule="auto"/>
              <w:jc w:val="both"/>
              <w:rPr>
                <w:rFonts w:ascii="Book Antiqua" w:hAnsi="Book Antiqua"/>
              </w:rPr>
            </w:pPr>
            <w:r w:rsidRPr="008C1DD0">
              <w:rPr>
                <w:rFonts w:ascii="Book Antiqua" w:hAnsi="Book Antiqua"/>
              </w:rPr>
              <w:t>Soap manufacturing, fruit drying on farms</w:t>
            </w:r>
          </w:p>
        </w:tc>
      </w:tr>
      <w:tr w:rsidR="008C1DD0" w:rsidRPr="008C1DD0" w14:paraId="2E1EAC6F" w14:textId="77777777" w:rsidTr="008C1DD0">
        <w:tc>
          <w:tcPr>
            <w:tcW w:w="2988" w:type="dxa"/>
            <w:shd w:val="clear" w:color="auto" w:fill="auto"/>
            <w:noWrap/>
          </w:tcPr>
          <w:p w14:paraId="367C3194" w14:textId="77777777" w:rsidR="008C1DD0" w:rsidRPr="008C1DD0" w:rsidRDefault="008C1DD0" w:rsidP="008C1DD0">
            <w:pPr>
              <w:tabs>
                <w:tab w:val="left" w:pos="5450"/>
              </w:tabs>
              <w:spacing w:line="360" w:lineRule="auto"/>
              <w:jc w:val="both"/>
              <w:rPr>
                <w:rFonts w:ascii="Book Antiqua" w:hAnsi="Book Antiqua"/>
                <w:lang w:eastAsia="zh-CN"/>
              </w:rPr>
            </w:pPr>
            <w:r w:rsidRPr="008C1DD0">
              <w:rPr>
                <w:rFonts w:ascii="Book Antiqua" w:hAnsi="Book Antiqua"/>
              </w:rPr>
              <w:t>Sodium hypochlorite</w:t>
            </w:r>
          </w:p>
        </w:tc>
        <w:tc>
          <w:tcPr>
            <w:tcW w:w="6930" w:type="dxa"/>
            <w:shd w:val="clear" w:color="auto" w:fill="auto"/>
            <w:noWrap/>
          </w:tcPr>
          <w:p w14:paraId="5586C41F" w14:textId="77777777" w:rsidR="008C1DD0" w:rsidRPr="008C1DD0" w:rsidRDefault="008C1DD0" w:rsidP="008C1DD0">
            <w:pPr>
              <w:tabs>
                <w:tab w:val="left" w:pos="5450"/>
              </w:tabs>
              <w:spacing w:line="360" w:lineRule="auto"/>
              <w:jc w:val="both"/>
              <w:rPr>
                <w:rFonts w:ascii="Book Antiqua" w:hAnsi="Book Antiqua"/>
              </w:rPr>
            </w:pPr>
            <w:r w:rsidRPr="008C1DD0">
              <w:rPr>
                <w:rFonts w:ascii="Book Antiqua" w:hAnsi="Book Antiqua"/>
              </w:rPr>
              <w:t>Household bleaches</w:t>
            </w:r>
          </w:p>
        </w:tc>
      </w:tr>
      <w:tr w:rsidR="008C1DD0" w:rsidRPr="008C1DD0" w14:paraId="6999290F" w14:textId="77777777" w:rsidTr="008C1DD0">
        <w:tc>
          <w:tcPr>
            <w:tcW w:w="2988" w:type="dxa"/>
            <w:tcBorders>
              <w:bottom w:val="single" w:sz="4" w:space="0" w:color="auto"/>
            </w:tcBorders>
            <w:shd w:val="clear" w:color="auto" w:fill="auto"/>
            <w:noWrap/>
          </w:tcPr>
          <w:p w14:paraId="69C9E9A0" w14:textId="77777777" w:rsidR="008C1DD0" w:rsidRPr="008C1DD0" w:rsidRDefault="008C1DD0" w:rsidP="008C1DD0">
            <w:pPr>
              <w:tabs>
                <w:tab w:val="left" w:pos="5450"/>
              </w:tabs>
              <w:spacing w:line="360" w:lineRule="auto"/>
              <w:jc w:val="both"/>
              <w:rPr>
                <w:rFonts w:ascii="Book Antiqua" w:hAnsi="Book Antiqua"/>
                <w:lang w:eastAsia="zh-CN"/>
              </w:rPr>
            </w:pPr>
            <w:r w:rsidRPr="008C1DD0">
              <w:rPr>
                <w:rFonts w:ascii="Book Antiqua" w:hAnsi="Book Antiqua"/>
              </w:rPr>
              <w:t>Ammonium hydroxide</w:t>
            </w:r>
          </w:p>
        </w:tc>
        <w:tc>
          <w:tcPr>
            <w:tcW w:w="6930" w:type="dxa"/>
            <w:tcBorders>
              <w:bottom w:val="single" w:sz="4" w:space="0" w:color="auto"/>
            </w:tcBorders>
            <w:shd w:val="clear" w:color="auto" w:fill="auto"/>
            <w:noWrap/>
          </w:tcPr>
          <w:p w14:paraId="02148E06" w14:textId="77777777" w:rsidR="008C1DD0" w:rsidRPr="008C1DD0" w:rsidRDefault="008C1DD0" w:rsidP="008C1DD0">
            <w:pPr>
              <w:tabs>
                <w:tab w:val="left" w:pos="5450"/>
              </w:tabs>
              <w:spacing w:line="360" w:lineRule="auto"/>
              <w:jc w:val="both"/>
              <w:rPr>
                <w:rFonts w:ascii="Book Antiqua" w:hAnsi="Book Antiqua"/>
              </w:rPr>
            </w:pPr>
            <w:r w:rsidRPr="008C1DD0">
              <w:rPr>
                <w:rFonts w:ascii="Book Antiqua" w:hAnsi="Book Antiqua"/>
              </w:rPr>
              <w:t>General cleaner and grease remover</w:t>
            </w:r>
          </w:p>
        </w:tc>
      </w:tr>
      <w:tr w:rsidR="008C1DD0" w:rsidRPr="008C1DD0" w14:paraId="456DB068" w14:textId="77777777" w:rsidTr="008C1DD0">
        <w:tc>
          <w:tcPr>
            <w:tcW w:w="9918" w:type="dxa"/>
            <w:gridSpan w:val="2"/>
            <w:tcBorders>
              <w:top w:val="single" w:sz="4" w:space="0" w:color="auto"/>
              <w:bottom w:val="single" w:sz="4" w:space="0" w:color="auto"/>
            </w:tcBorders>
            <w:shd w:val="clear" w:color="auto" w:fill="auto"/>
            <w:noWrap/>
          </w:tcPr>
          <w:p w14:paraId="33C91D16" w14:textId="77777777" w:rsidR="008C1DD0" w:rsidRPr="008C1DD0" w:rsidRDefault="008C1DD0" w:rsidP="008C1DD0">
            <w:pPr>
              <w:tabs>
                <w:tab w:val="left" w:pos="5450"/>
              </w:tabs>
              <w:spacing w:line="360" w:lineRule="auto"/>
              <w:jc w:val="both"/>
              <w:rPr>
                <w:rFonts w:ascii="Book Antiqua" w:hAnsi="Book Antiqua"/>
                <w:b/>
                <w:lang w:eastAsia="zh-CN"/>
              </w:rPr>
            </w:pPr>
            <w:r w:rsidRPr="008C1DD0">
              <w:rPr>
                <w:rFonts w:ascii="Book Antiqua" w:hAnsi="Book Antiqua"/>
                <w:b/>
              </w:rPr>
              <w:t>Miscellaneous</w:t>
            </w:r>
          </w:p>
        </w:tc>
      </w:tr>
      <w:tr w:rsidR="008C1DD0" w:rsidRPr="008C1DD0" w14:paraId="3CB9A205" w14:textId="77777777" w:rsidTr="008C1DD0">
        <w:tc>
          <w:tcPr>
            <w:tcW w:w="2988" w:type="dxa"/>
            <w:tcBorders>
              <w:top w:val="single" w:sz="4" w:space="0" w:color="auto"/>
            </w:tcBorders>
            <w:shd w:val="clear" w:color="auto" w:fill="auto"/>
            <w:noWrap/>
          </w:tcPr>
          <w:p w14:paraId="1C155056" w14:textId="77777777" w:rsidR="008C1DD0" w:rsidRPr="008C1DD0" w:rsidRDefault="008C1DD0" w:rsidP="008C1DD0">
            <w:pPr>
              <w:tabs>
                <w:tab w:val="left" w:pos="5450"/>
              </w:tabs>
              <w:spacing w:line="360" w:lineRule="auto"/>
              <w:jc w:val="both"/>
              <w:rPr>
                <w:rFonts w:ascii="Book Antiqua" w:hAnsi="Book Antiqua"/>
                <w:lang w:eastAsia="zh-CN"/>
              </w:rPr>
            </w:pPr>
            <w:r w:rsidRPr="008C1DD0">
              <w:rPr>
                <w:rFonts w:ascii="Book Antiqua" w:hAnsi="Book Antiqua"/>
              </w:rPr>
              <w:t>Hydrogen peroxide</w:t>
            </w:r>
          </w:p>
        </w:tc>
        <w:tc>
          <w:tcPr>
            <w:tcW w:w="6930" w:type="dxa"/>
            <w:tcBorders>
              <w:top w:val="single" w:sz="4" w:space="0" w:color="auto"/>
            </w:tcBorders>
            <w:shd w:val="clear" w:color="auto" w:fill="auto"/>
            <w:noWrap/>
          </w:tcPr>
          <w:p w14:paraId="78B7C2D0" w14:textId="77777777" w:rsidR="008C1DD0" w:rsidRPr="008C1DD0" w:rsidRDefault="008C1DD0" w:rsidP="008C1DD0">
            <w:pPr>
              <w:tabs>
                <w:tab w:val="left" w:pos="5450"/>
              </w:tabs>
              <w:spacing w:line="360" w:lineRule="auto"/>
              <w:jc w:val="both"/>
              <w:rPr>
                <w:rFonts w:ascii="Book Antiqua" w:hAnsi="Book Antiqua"/>
              </w:rPr>
            </w:pPr>
            <w:r w:rsidRPr="008C1DD0">
              <w:rPr>
                <w:rFonts w:ascii="Book Antiqua" w:hAnsi="Book Antiqua"/>
              </w:rPr>
              <w:t>Surface and food cleaner</w:t>
            </w:r>
          </w:p>
        </w:tc>
      </w:tr>
      <w:tr w:rsidR="008C1DD0" w:rsidRPr="008C1DD0" w14:paraId="2939582F" w14:textId="77777777" w:rsidTr="008C1DD0">
        <w:trPr>
          <w:trHeight w:val="54"/>
        </w:trPr>
        <w:tc>
          <w:tcPr>
            <w:tcW w:w="2988" w:type="dxa"/>
            <w:tcBorders>
              <w:bottom w:val="single" w:sz="4" w:space="0" w:color="auto"/>
            </w:tcBorders>
            <w:shd w:val="clear" w:color="auto" w:fill="auto"/>
            <w:noWrap/>
          </w:tcPr>
          <w:p w14:paraId="3889686B" w14:textId="77777777" w:rsidR="008C1DD0" w:rsidRPr="008C1DD0" w:rsidRDefault="008C1DD0" w:rsidP="008C1DD0">
            <w:pPr>
              <w:tabs>
                <w:tab w:val="left" w:pos="5450"/>
              </w:tabs>
              <w:spacing w:line="360" w:lineRule="auto"/>
              <w:jc w:val="both"/>
              <w:rPr>
                <w:rFonts w:ascii="Book Antiqua" w:hAnsi="Book Antiqua"/>
                <w:lang w:eastAsia="zh-CN"/>
              </w:rPr>
            </w:pPr>
            <w:r w:rsidRPr="008C1DD0">
              <w:rPr>
                <w:rFonts w:ascii="Book Antiqua" w:hAnsi="Book Antiqua"/>
              </w:rPr>
              <w:t>Potassium permanganate</w:t>
            </w:r>
          </w:p>
        </w:tc>
        <w:tc>
          <w:tcPr>
            <w:tcW w:w="6930" w:type="dxa"/>
            <w:tcBorders>
              <w:bottom w:val="single" w:sz="4" w:space="0" w:color="auto"/>
            </w:tcBorders>
            <w:shd w:val="clear" w:color="auto" w:fill="auto"/>
            <w:noWrap/>
          </w:tcPr>
          <w:p w14:paraId="0A77991B" w14:textId="77777777" w:rsidR="008C1DD0" w:rsidRPr="008C1DD0" w:rsidRDefault="008C1DD0" w:rsidP="008C1DD0">
            <w:pPr>
              <w:tabs>
                <w:tab w:val="left" w:pos="5450"/>
              </w:tabs>
              <w:spacing w:line="360" w:lineRule="auto"/>
              <w:jc w:val="both"/>
              <w:rPr>
                <w:rFonts w:ascii="Book Antiqua" w:hAnsi="Book Antiqua"/>
              </w:rPr>
            </w:pPr>
            <w:r w:rsidRPr="008C1DD0">
              <w:rPr>
                <w:rFonts w:ascii="Book Antiqua" w:hAnsi="Book Antiqua"/>
              </w:rPr>
              <w:t>Disinfectants, hair dyes</w:t>
            </w:r>
          </w:p>
        </w:tc>
      </w:tr>
    </w:tbl>
    <w:p w14:paraId="17F8BF78" w14:textId="77777777" w:rsidR="000B7479" w:rsidRDefault="000B7479">
      <w:pPr>
        <w:spacing w:line="360" w:lineRule="auto"/>
        <w:jc w:val="both"/>
        <w:rPr>
          <w:b/>
          <w:lang w:eastAsia="zh-CN"/>
        </w:rPr>
      </w:pPr>
    </w:p>
    <w:p w14:paraId="3CD62181" w14:textId="77777777" w:rsidR="008C1DD0" w:rsidRDefault="000B7479">
      <w:pPr>
        <w:spacing w:line="360" w:lineRule="auto"/>
        <w:jc w:val="both"/>
        <w:rPr>
          <w:rFonts w:ascii="Book Antiqua" w:hAnsi="Book Antiqua"/>
          <w:b/>
          <w:lang w:eastAsia="zh-CN"/>
        </w:rPr>
      </w:pPr>
      <w:r>
        <w:rPr>
          <w:b/>
          <w:lang w:eastAsia="zh-CN"/>
        </w:rPr>
        <w:br w:type="page"/>
      </w:r>
      <w:r w:rsidRPr="000B7479">
        <w:rPr>
          <w:rFonts w:ascii="Book Antiqua" w:hAnsi="Book Antiqua"/>
          <w:b/>
          <w:lang w:eastAsia="zh-CN"/>
        </w:rPr>
        <w:lastRenderedPageBreak/>
        <w:t>Table 2 Clinical features of corrosive ingestion</w:t>
      </w:r>
    </w:p>
    <w:tbl>
      <w:tblPr>
        <w:tblW w:w="5000" w:type="pct"/>
        <w:tblLook w:val="04A0" w:firstRow="1" w:lastRow="0" w:firstColumn="1" w:lastColumn="0" w:noHBand="0" w:noVBand="1"/>
      </w:tblPr>
      <w:tblGrid>
        <w:gridCol w:w="2965"/>
        <w:gridCol w:w="6395"/>
      </w:tblGrid>
      <w:tr w:rsidR="000B7479" w:rsidRPr="000B7479" w14:paraId="37573C7C" w14:textId="77777777" w:rsidTr="000B7479">
        <w:trPr>
          <w:trHeight w:val="458"/>
        </w:trPr>
        <w:tc>
          <w:tcPr>
            <w:tcW w:w="10098" w:type="dxa"/>
            <w:gridSpan w:val="2"/>
            <w:tcBorders>
              <w:top w:val="single" w:sz="4" w:space="0" w:color="auto"/>
              <w:bottom w:val="single" w:sz="4" w:space="0" w:color="auto"/>
            </w:tcBorders>
            <w:shd w:val="clear" w:color="auto" w:fill="auto"/>
            <w:noWrap/>
          </w:tcPr>
          <w:p w14:paraId="7DD03391" w14:textId="77777777" w:rsidR="000B7479" w:rsidRPr="000B7479" w:rsidRDefault="000B7479" w:rsidP="000B7479">
            <w:pPr>
              <w:spacing w:line="360" w:lineRule="auto"/>
              <w:jc w:val="both"/>
              <w:rPr>
                <w:rFonts w:ascii="Book Antiqua" w:hAnsi="Book Antiqua"/>
                <w:b/>
              </w:rPr>
            </w:pPr>
            <w:r w:rsidRPr="000B7479">
              <w:rPr>
                <w:rFonts w:ascii="Book Antiqua" w:hAnsi="Book Antiqua"/>
                <w:b/>
              </w:rPr>
              <w:t>Symptoms of acute corrosive ingestion</w:t>
            </w:r>
          </w:p>
        </w:tc>
      </w:tr>
      <w:tr w:rsidR="000B7479" w:rsidRPr="000B7479" w14:paraId="6F9C2849" w14:textId="77777777" w:rsidTr="000B7479">
        <w:tc>
          <w:tcPr>
            <w:tcW w:w="3192" w:type="dxa"/>
            <w:tcBorders>
              <w:top w:val="single" w:sz="4" w:space="0" w:color="auto"/>
            </w:tcBorders>
            <w:shd w:val="clear" w:color="auto" w:fill="auto"/>
            <w:noWrap/>
          </w:tcPr>
          <w:p w14:paraId="28B82FCC" w14:textId="77777777" w:rsidR="000B7479" w:rsidRPr="000B7479" w:rsidRDefault="000B7479" w:rsidP="000B7479">
            <w:pPr>
              <w:spacing w:line="360" w:lineRule="auto"/>
              <w:jc w:val="both"/>
              <w:rPr>
                <w:rFonts w:ascii="Book Antiqua" w:hAnsi="Book Antiqua"/>
              </w:rPr>
            </w:pPr>
            <w:r w:rsidRPr="000B7479">
              <w:rPr>
                <w:rFonts w:ascii="Book Antiqua" w:hAnsi="Book Antiqua"/>
              </w:rPr>
              <w:t>Organ system</w:t>
            </w:r>
          </w:p>
        </w:tc>
        <w:tc>
          <w:tcPr>
            <w:tcW w:w="6906" w:type="dxa"/>
            <w:tcBorders>
              <w:top w:val="single" w:sz="4" w:space="0" w:color="auto"/>
            </w:tcBorders>
            <w:shd w:val="clear" w:color="auto" w:fill="auto"/>
            <w:noWrap/>
          </w:tcPr>
          <w:p w14:paraId="3D0E7B47" w14:textId="77777777" w:rsidR="000B7479" w:rsidRPr="000B7479" w:rsidRDefault="000B7479" w:rsidP="000B7479">
            <w:pPr>
              <w:spacing w:line="360" w:lineRule="auto"/>
              <w:jc w:val="both"/>
              <w:rPr>
                <w:rFonts w:ascii="Book Antiqua" w:hAnsi="Book Antiqua"/>
              </w:rPr>
            </w:pPr>
          </w:p>
        </w:tc>
      </w:tr>
      <w:tr w:rsidR="000B7479" w:rsidRPr="000B7479" w14:paraId="29547F01" w14:textId="77777777" w:rsidTr="000B7479">
        <w:tc>
          <w:tcPr>
            <w:tcW w:w="3192" w:type="dxa"/>
            <w:shd w:val="clear" w:color="auto" w:fill="auto"/>
            <w:noWrap/>
          </w:tcPr>
          <w:p w14:paraId="54C25C06" w14:textId="77777777" w:rsidR="000B7479" w:rsidRPr="000B7479" w:rsidRDefault="000B7479" w:rsidP="000B7479">
            <w:pPr>
              <w:spacing w:line="360" w:lineRule="auto"/>
              <w:ind w:firstLineChars="100" w:firstLine="240"/>
              <w:jc w:val="both"/>
              <w:rPr>
                <w:rFonts w:ascii="Book Antiqua" w:hAnsi="Book Antiqua"/>
              </w:rPr>
            </w:pPr>
            <w:r w:rsidRPr="000B7479">
              <w:rPr>
                <w:rFonts w:ascii="Book Antiqua" w:hAnsi="Book Antiqua"/>
              </w:rPr>
              <w:t>Skin</w:t>
            </w:r>
          </w:p>
        </w:tc>
        <w:tc>
          <w:tcPr>
            <w:tcW w:w="6906" w:type="dxa"/>
            <w:shd w:val="clear" w:color="auto" w:fill="auto"/>
            <w:noWrap/>
          </w:tcPr>
          <w:p w14:paraId="3F513469" w14:textId="77777777" w:rsidR="000B7479" w:rsidRPr="000B7479" w:rsidRDefault="000B7479" w:rsidP="000B7479">
            <w:pPr>
              <w:spacing w:line="360" w:lineRule="auto"/>
              <w:jc w:val="both"/>
              <w:rPr>
                <w:rFonts w:ascii="Book Antiqua" w:hAnsi="Book Antiqua"/>
              </w:rPr>
            </w:pPr>
            <w:r w:rsidRPr="000B7479">
              <w:rPr>
                <w:rFonts w:ascii="Book Antiqua" w:hAnsi="Book Antiqua"/>
              </w:rPr>
              <w:t>Burning sensation and pain on face, mostly perioral</w:t>
            </w:r>
          </w:p>
        </w:tc>
      </w:tr>
      <w:tr w:rsidR="000B7479" w:rsidRPr="000B7479" w14:paraId="5BCD7B1B" w14:textId="77777777" w:rsidTr="000B7479">
        <w:tc>
          <w:tcPr>
            <w:tcW w:w="3192" w:type="dxa"/>
            <w:shd w:val="clear" w:color="auto" w:fill="auto"/>
            <w:noWrap/>
          </w:tcPr>
          <w:p w14:paraId="2999218E" w14:textId="77777777" w:rsidR="000B7479" w:rsidRPr="000B7479" w:rsidRDefault="000B7479" w:rsidP="000B7479">
            <w:pPr>
              <w:spacing w:line="360" w:lineRule="auto"/>
              <w:ind w:firstLineChars="100" w:firstLine="240"/>
              <w:jc w:val="both"/>
              <w:rPr>
                <w:rFonts w:ascii="Book Antiqua" w:hAnsi="Book Antiqua"/>
              </w:rPr>
            </w:pPr>
            <w:r w:rsidRPr="000B7479">
              <w:rPr>
                <w:rFonts w:ascii="Book Antiqua" w:hAnsi="Book Antiqua"/>
              </w:rPr>
              <w:t xml:space="preserve">Respiratory </w:t>
            </w:r>
            <w:r>
              <w:rPr>
                <w:rFonts w:ascii="Book Antiqua" w:hAnsi="Book Antiqua" w:hint="eastAsia"/>
                <w:lang w:eastAsia="zh-CN"/>
              </w:rPr>
              <w:t>t</w:t>
            </w:r>
            <w:r w:rsidRPr="000B7479">
              <w:rPr>
                <w:rFonts w:ascii="Book Antiqua" w:hAnsi="Book Antiqua"/>
              </w:rPr>
              <w:t>ract</w:t>
            </w:r>
          </w:p>
        </w:tc>
        <w:tc>
          <w:tcPr>
            <w:tcW w:w="6906" w:type="dxa"/>
            <w:shd w:val="clear" w:color="auto" w:fill="auto"/>
            <w:noWrap/>
          </w:tcPr>
          <w:p w14:paraId="72A91668" w14:textId="77777777" w:rsidR="000B7479" w:rsidRPr="000B7479" w:rsidRDefault="000B7479" w:rsidP="000B7479">
            <w:pPr>
              <w:spacing w:line="360" w:lineRule="auto"/>
              <w:jc w:val="both"/>
              <w:rPr>
                <w:rFonts w:ascii="Book Antiqua" w:hAnsi="Book Antiqua"/>
                <w:lang w:eastAsia="zh-CN"/>
              </w:rPr>
            </w:pPr>
            <w:r w:rsidRPr="000B7479">
              <w:rPr>
                <w:rFonts w:ascii="Book Antiqua" w:hAnsi="Book Antiqua"/>
              </w:rPr>
              <w:t xml:space="preserve">Cough, difficulty in breathing, aphonia or dysphonia, chest pain, </w:t>
            </w:r>
            <w:proofErr w:type="spellStart"/>
            <w:r w:rsidRPr="000B7479">
              <w:rPr>
                <w:rFonts w:ascii="Book Antiqua" w:hAnsi="Book Antiqua"/>
              </w:rPr>
              <w:t>cynosis</w:t>
            </w:r>
            <w:proofErr w:type="spellEnd"/>
            <w:r w:rsidRPr="000B7479">
              <w:rPr>
                <w:rFonts w:ascii="Book Antiqua" w:hAnsi="Book Antiqua"/>
              </w:rPr>
              <w:t>. Aspiration of large volume of corrosive may lead to endobronchial inflammation, necrosis and mediastinitis</w:t>
            </w:r>
          </w:p>
        </w:tc>
      </w:tr>
      <w:tr w:rsidR="000B7479" w:rsidRPr="000B7479" w14:paraId="2CD0663F" w14:textId="77777777" w:rsidTr="000B7479">
        <w:tc>
          <w:tcPr>
            <w:tcW w:w="3192" w:type="dxa"/>
            <w:tcBorders>
              <w:bottom w:val="single" w:sz="4" w:space="0" w:color="auto"/>
            </w:tcBorders>
            <w:shd w:val="clear" w:color="auto" w:fill="auto"/>
            <w:noWrap/>
          </w:tcPr>
          <w:p w14:paraId="74F8A73A" w14:textId="77777777" w:rsidR="000B7479" w:rsidRPr="000B7479" w:rsidRDefault="000B7479" w:rsidP="000B7479">
            <w:pPr>
              <w:spacing w:line="360" w:lineRule="auto"/>
              <w:ind w:firstLineChars="100" w:firstLine="240"/>
              <w:jc w:val="both"/>
              <w:rPr>
                <w:rFonts w:ascii="Book Antiqua" w:hAnsi="Book Antiqua"/>
              </w:rPr>
            </w:pPr>
            <w:r w:rsidRPr="000B7479">
              <w:rPr>
                <w:rFonts w:ascii="Book Antiqua" w:hAnsi="Book Antiqua"/>
              </w:rPr>
              <w:t>Gastrointestinal tract</w:t>
            </w:r>
          </w:p>
        </w:tc>
        <w:tc>
          <w:tcPr>
            <w:tcW w:w="6906" w:type="dxa"/>
            <w:tcBorders>
              <w:bottom w:val="single" w:sz="4" w:space="0" w:color="auto"/>
            </w:tcBorders>
            <w:shd w:val="clear" w:color="auto" w:fill="auto"/>
            <w:noWrap/>
          </w:tcPr>
          <w:p w14:paraId="023455E8" w14:textId="77777777" w:rsidR="000B7479" w:rsidRPr="000B7479" w:rsidRDefault="000B7479" w:rsidP="000B7479">
            <w:pPr>
              <w:spacing w:line="360" w:lineRule="auto"/>
              <w:jc w:val="both"/>
              <w:rPr>
                <w:rFonts w:ascii="Book Antiqua" w:hAnsi="Book Antiqua"/>
                <w:lang w:eastAsia="zh-CN"/>
              </w:rPr>
            </w:pPr>
            <w:r w:rsidRPr="000B7479">
              <w:rPr>
                <w:rFonts w:ascii="Book Antiqua" w:hAnsi="Book Antiqua"/>
              </w:rPr>
              <w:t xml:space="preserve">Oral burn, hypersalivation, nausea, vomiting (with or without blood), retrosternal and upper abdomen pain, dysphagia. Rarely perforation of </w:t>
            </w:r>
            <w:r>
              <w:rPr>
                <w:rFonts w:ascii="Book Antiqua" w:hAnsi="Book Antiqua" w:hint="eastAsia"/>
                <w:lang w:eastAsia="zh-CN"/>
              </w:rPr>
              <w:t>g</w:t>
            </w:r>
            <w:r w:rsidRPr="000B7479">
              <w:rPr>
                <w:rFonts w:ascii="Book Antiqua" w:hAnsi="Book Antiqua"/>
              </w:rPr>
              <w:t>astrointestinal tract may happen and present with abdominal distension, tenderness and rigidity</w:t>
            </w:r>
          </w:p>
        </w:tc>
      </w:tr>
      <w:tr w:rsidR="000B7479" w:rsidRPr="000B7479" w14:paraId="63320284" w14:textId="77777777" w:rsidTr="000B7479">
        <w:tc>
          <w:tcPr>
            <w:tcW w:w="10098" w:type="dxa"/>
            <w:gridSpan w:val="2"/>
            <w:tcBorders>
              <w:top w:val="single" w:sz="4" w:space="0" w:color="auto"/>
              <w:bottom w:val="single" w:sz="4" w:space="0" w:color="auto"/>
            </w:tcBorders>
            <w:shd w:val="clear" w:color="auto" w:fill="auto"/>
            <w:noWrap/>
          </w:tcPr>
          <w:p w14:paraId="51EF44DF" w14:textId="77777777" w:rsidR="000B7479" w:rsidRPr="000B7479" w:rsidRDefault="000B7479" w:rsidP="000B7479">
            <w:pPr>
              <w:spacing w:line="360" w:lineRule="auto"/>
              <w:jc w:val="both"/>
              <w:rPr>
                <w:rFonts w:ascii="Book Antiqua" w:hAnsi="Book Antiqua"/>
                <w:b/>
              </w:rPr>
            </w:pPr>
            <w:r w:rsidRPr="000B7479">
              <w:rPr>
                <w:rFonts w:ascii="Book Antiqua" w:hAnsi="Book Antiqua"/>
                <w:b/>
              </w:rPr>
              <w:t>Symptoms after gastrointestinal stricture formation</w:t>
            </w:r>
          </w:p>
        </w:tc>
      </w:tr>
      <w:tr w:rsidR="000B7479" w:rsidRPr="000B7479" w14:paraId="4DB3D204" w14:textId="77777777" w:rsidTr="000B7479">
        <w:tc>
          <w:tcPr>
            <w:tcW w:w="3192" w:type="dxa"/>
            <w:tcBorders>
              <w:top w:val="single" w:sz="4" w:space="0" w:color="auto"/>
            </w:tcBorders>
            <w:shd w:val="clear" w:color="auto" w:fill="auto"/>
            <w:noWrap/>
          </w:tcPr>
          <w:p w14:paraId="10976430" w14:textId="77777777" w:rsidR="000B7479" w:rsidRPr="000B7479" w:rsidRDefault="000B7479" w:rsidP="000B7479">
            <w:pPr>
              <w:spacing w:line="360" w:lineRule="auto"/>
              <w:jc w:val="both"/>
              <w:rPr>
                <w:rFonts w:ascii="Book Antiqua" w:hAnsi="Book Antiqua"/>
                <w:lang w:eastAsia="zh-CN"/>
              </w:rPr>
            </w:pPr>
            <w:r w:rsidRPr="000B7479">
              <w:rPr>
                <w:rFonts w:ascii="Book Antiqua" w:hAnsi="Book Antiqua"/>
              </w:rPr>
              <w:t>Esophageal</w:t>
            </w:r>
          </w:p>
        </w:tc>
        <w:tc>
          <w:tcPr>
            <w:tcW w:w="6906" w:type="dxa"/>
            <w:tcBorders>
              <w:top w:val="single" w:sz="4" w:space="0" w:color="auto"/>
            </w:tcBorders>
            <w:shd w:val="clear" w:color="auto" w:fill="auto"/>
            <w:noWrap/>
          </w:tcPr>
          <w:p w14:paraId="1AEB3DF0" w14:textId="77777777" w:rsidR="000B7479" w:rsidRPr="000B7479" w:rsidRDefault="000B7479" w:rsidP="000B7479">
            <w:pPr>
              <w:spacing w:line="360" w:lineRule="auto"/>
              <w:jc w:val="both"/>
              <w:rPr>
                <w:rFonts w:ascii="Book Antiqua" w:hAnsi="Book Antiqua"/>
                <w:lang w:eastAsia="zh-CN"/>
              </w:rPr>
            </w:pPr>
            <w:r w:rsidRPr="000B7479">
              <w:rPr>
                <w:rFonts w:ascii="Book Antiqua" w:hAnsi="Book Antiqua"/>
              </w:rPr>
              <w:t>Vomiting, dysphagia, hematemesis, acute obstruction due to food impaction at stricture site, growth failure</w:t>
            </w:r>
          </w:p>
        </w:tc>
      </w:tr>
      <w:tr w:rsidR="000B7479" w:rsidRPr="000B7479" w14:paraId="7C9C4975" w14:textId="77777777" w:rsidTr="000B7479">
        <w:tc>
          <w:tcPr>
            <w:tcW w:w="3192" w:type="dxa"/>
            <w:tcBorders>
              <w:bottom w:val="single" w:sz="4" w:space="0" w:color="auto"/>
            </w:tcBorders>
            <w:shd w:val="clear" w:color="auto" w:fill="auto"/>
            <w:noWrap/>
          </w:tcPr>
          <w:p w14:paraId="068CB547" w14:textId="77777777" w:rsidR="000B7479" w:rsidRPr="000B7479" w:rsidRDefault="000B7479" w:rsidP="000B7479">
            <w:pPr>
              <w:spacing w:line="360" w:lineRule="auto"/>
              <w:jc w:val="both"/>
              <w:rPr>
                <w:rFonts w:ascii="Book Antiqua" w:hAnsi="Book Antiqua"/>
              </w:rPr>
            </w:pPr>
            <w:r w:rsidRPr="000B7479">
              <w:rPr>
                <w:rFonts w:ascii="Book Antiqua" w:hAnsi="Book Antiqua"/>
              </w:rPr>
              <w:t>Pyloric</w:t>
            </w:r>
          </w:p>
        </w:tc>
        <w:tc>
          <w:tcPr>
            <w:tcW w:w="6906" w:type="dxa"/>
            <w:tcBorders>
              <w:bottom w:val="single" w:sz="4" w:space="0" w:color="auto"/>
            </w:tcBorders>
            <w:shd w:val="clear" w:color="auto" w:fill="auto"/>
            <w:noWrap/>
          </w:tcPr>
          <w:p w14:paraId="5F1325C1" w14:textId="77777777" w:rsidR="000B7479" w:rsidRPr="000B7479" w:rsidRDefault="000B7479" w:rsidP="000B7479">
            <w:pPr>
              <w:spacing w:line="360" w:lineRule="auto"/>
              <w:jc w:val="both"/>
              <w:rPr>
                <w:rFonts w:ascii="Book Antiqua" w:hAnsi="Book Antiqua"/>
                <w:lang w:eastAsia="zh-CN"/>
              </w:rPr>
            </w:pPr>
            <w:r w:rsidRPr="000B7479">
              <w:rPr>
                <w:rFonts w:ascii="Book Antiqua" w:hAnsi="Book Antiqua"/>
              </w:rPr>
              <w:t>Non-bilious stale food vomiting, upper abdominal distension, growth failure</w:t>
            </w:r>
          </w:p>
        </w:tc>
      </w:tr>
    </w:tbl>
    <w:p w14:paraId="12BB005F" w14:textId="77777777" w:rsidR="008E50B9" w:rsidRDefault="008E50B9">
      <w:pPr>
        <w:spacing w:line="360" w:lineRule="auto"/>
        <w:jc w:val="both"/>
        <w:rPr>
          <w:rFonts w:ascii="Book Antiqua" w:hAnsi="Book Antiqua"/>
          <w:b/>
          <w:lang w:eastAsia="zh-CN"/>
        </w:rPr>
      </w:pPr>
    </w:p>
    <w:p w14:paraId="2B0A0186" w14:textId="77777777" w:rsidR="000B7479" w:rsidRDefault="008E50B9">
      <w:pPr>
        <w:spacing w:line="360" w:lineRule="auto"/>
        <w:jc w:val="both"/>
        <w:rPr>
          <w:rFonts w:ascii="Book Antiqua" w:hAnsi="Book Antiqua"/>
          <w:b/>
          <w:lang w:eastAsia="zh-CN"/>
        </w:rPr>
      </w:pPr>
      <w:r>
        <w:rPr>
          <w:rFonts w:ascii="Book Antiqua" w:hAnsi="Book Antiqua"/>
          <w:b/>
          <w:lang w:eastAsia="zh-CN"/>
        </w:rPr>
        <w:br w:type="page"/>
      </w:r>
      <w:r w:rsidRPr="008E50B9">
        <w:rPr>
          <w:rFonts w:ascii="Book Antiqua" w:hAnsi="Book Antiqua"/>
          <w:b/>
          <w:lang w:eastAsia="zh-CN"/>
        </w:rPr>
        <w:lastRenderedPageBreak/>
        <w:t>Table 3</w:t>
      </w:r>
      <w:r>
        <w:rPr>
          <w:rFonts w:ascii="Book Antiqua" w:hAnsi="Book Antiqua" w:hint="eastAsia"/>
          <w:b/>
          <w:lang w:eastAsia="zh-CN"/>
        </w:rPr>
        <w:t xml:space="preserve"> </w:t>
      </w:r>
      <w:proofErr w:type="spellStart"/>
      <w:r w:rsidRPr="008E50B9">
        <w:rPr>
          <w:rFonts w:ascii="Book Antiqua" w:hAnsi="Book Antiqua"/>
          <w:b/>
          <w:lang w:eastAsia="zh-CN"/>
        </w:rPr>
        <w:t>Zargar</w:t>
      </w:r>
      <w:proofErr w:type="spellEnd"/>
      <w:r w:rsidRPr="008E50B9">
        <w:rPr>
          <w:rFonts w:ascii="Book Antiqua" w:hAnsi="Book Antiqua"/>
          <w:b/>
          <w:lang w:eastAsia="zh-CN"/>
        </w:rPr>
        <w:t xml:space="preserve"> classification for corrosive esophageal injury</w:t>
      </w:r>
    </w:p>
    <w:tbl>
      <w:tblPr>
        <w:tblW w:w="5000" w:type="pct"/>
        <w:tblLook w:val="04A0" w:firstRow="1" w:lastRow="0" w:firstColumn="1" w:lastColumn="0" w:noHBand="0" w:noVBand="1"/>
      </w:tblPr>
      <w:tblGrid>
        <w:gridCol w:w="1165"/>
        <w:gridCol w:w="8195"/>
      </w:tblGrid>
      <w:tr w:rsidR="008E50B9" w:rsidRPr="008E50B9" w14:paraId="41EF8DEF" w14:textId="77777777" w:rsidTr="00315A3C">
        <w:tc>
          <w:tcPr>
            <w:tcW w:w="9576" w:type="dxa"/>
            <w:gridSpan w:val="2"/>
            <w:tcBorders>
              <w:top w:val="single" w:sz="4" w:space="0" w:color="auto"/>
              <w:bottom w:val="single" w:sz="4" w:space="0" w:color="auto"/>
            </w:tcBorders>
            <w:shd w:val="clear" w:color="auto" w:fill="auto"/>
            <w:noWrap/>
          </w:tcPr>
          <w:p w14:paraId="39E93052" w14:textId="77777777" w:rsidR="008E50B9" w:rsidRPr="008E50B9" w:rsidRDefault="008E50B9" w:rsidP="008E50B9">
            <w:pPr>
              <w:spacing w:line="360" w:lineRule="auto"/>
              <w:jc w:val="both"/>
              <w:rPr>
                <w:rFonts w:ascii="Book Antiqua" w:hAnsi="Book Antiqua"/>
              </w:rPr>
            </w:pPr>
            <w:proofErr w:type="spellStart"/>
            <w:r w:rsidRPr="008E50B9">
              <w:rPr>
                <w:rFonts w:ascii="Book Antiqua" w:hAnsi="Book Antiqua"/>
                <w:b/>
                <w:lang w:eastAsia="zh-CN"/>
              </w:rPr>
              <w:t>Zargar</w:t>
            </w:r>
            <w:proofErr w:type="spellEnd"/>
            <w:r w:rsidRPr="008E50B9">
              <w:rPr>
                <w:rFonts w:ascii="Book Antiqua" w:hAnsi="Book Antiqua"/>
                <w:b/>
                <w:lang w:eastAsia="zh-CN"/>
              </w:rPr>
              <w:t xml:space="preserve"> classification</w:t>
            </w:r>
          </w:p>
        </w:tc>
      </w:tr>
      <w:tr w:rsidR="008E50B9" w:rsidRPr="008E50B9" w14:paraId="0A3C1657" w14:textId="77777777" w:rsidTr="00315A3C">
        <w:tc>
          <w:tcPr>
            <w:tcW w:w="1188" w:type="dxa"/>
            <w:tcBorders>
              <w:top w:val="single" w:sz="4" w:space="0" w:color="auto"/>
            </w:tcBorders>
            <w:shd w:val="clear" w:color="auto" w:fill="auto"/>
            <w:noWrap/>
          </w:tcPr>
          <w:p w14:paraId="1E24E2FE" w14:textId="77777777" w:rsidR="008E50B9" w:rsidRPr="008E50B9" w:rsidRDefault="008E50B9" w:rsidP="008E50B9">
            <w:pPr>
              <w:spacing w:line="360" w:lineRule="auto"/>
              <w:jc w:val="both"/>
              <w:rPr>
                <w:rFonts w:ascii="Book Antiqua" w:hAnsi="Book Antiqua"/>
              </w:rPr>
            </w:pPr>
            <w:r w:rsidRPr="008E50B9">
              <w:rPr>
                <w:rFonts w:ascii="Book Antiqua" w:hAnsi="Book Antiqua"/>
              </w:rPr>
              <w:t>Grade 0</w:t>
            </w:r>
          </w:p>
        </w:tc>
        <w:tc>
          <w:tcPr>
            <w:tcW w:w="8388" w:type="dxa"/>
            <w:tcBorders>
              <w:top w:val="single" w:sz="4" w:space="0" w:color="auto"/>
            </w:tcBorders>
            <w:shd w:val="clear" w:color="auto" w:fill="auto"/>
            <w:noWrap/>
          </w:tcPr>
          <w:p w14:paraId="0824E399" w14:textId="77777777" w:rsidR="008E50B9" w:rsidRPr="008E50B9" w:rsidRDefault="008E50B9" w:rsidP="008E50B9">
            <w:pPr>
              <w:spacing w:line="360" w:lineRule="auto"/>
              <w:jc w:val="both"/>
              <w:rPr>
                <w:rFonts w:ascii="Book Antiqua" w:hAnsi="Book Antiqua"/>
              </w:rPr>
            </w:pPr>
            <w:r w:rsidRPr="008E50B9">
              <w:rPr>
                <w:rFonts w:ascii="Book Antiqua" w:hAnsi="Book Antiqua"/>
              </w:rPr>
              <w:t>Normal examination</w:t>
            </w:r>
          </w:p>
        </w:tc>
      </w:tr>
      <w:tr w:rsidR="008E50B9" w:rsidRPr="008E50B9" w14:paraId="38A7373B" w14:textId="77777777" w:rsidTr="00315A3C">
        <w:tc>
          <w:tcPr>
            <w:tcW w:w="1188" w:type="dxa"/>
            <w:shd w:val="clear" w:color="auto" w:fill="auto"/>
            <w:noWrap/>
          </w:tcPr>
          <w:p w14:paraId="3E31AC19" w14:textId="77777777" w:rsidR="008E50B9" w:rsidRPr="008E50B9" w:rsidRDefault="008E50B9" w:rsidP="008E50B9">
            <w:pPr>
              <w:spacing w:line="360" w:lineRule="auto"/>
              <w:jc w:val="both"/>
              <w:rPr>
                <w:rFonts w:ascii="Book Antiqua" w:hAnsi="Book Antiqua"/>
              </w:rPr>
            </w:pPr>
            <w:r w:rsidRPr="008E50B9">
              <w:rPr>
                <w:rFonts w:ascii="Book Antiqua" w:hAnsi="Book Antiqua"/>
              </w:rPr>
              <w:t>Grade 1</w:t>
            </w:r>
          </w:p>
        </w:tc>
        <w:tc>
          <w:tcPr>
            <w:tcW w:w="8388" w:type="dxa"/>
            <w:shd w:val="clear" w:color="auto" w:fill="auto"/>
            <w:noWrap/>
          </w:tcPr>
          <w:p w14:paraId="12A4002B" w14:textId="77777777" w:rsidR="008E50B9" w:rsidRPr="008E50B9" w:rsidRDefault="008E50B9" w:rsidP="008E50B9">
            <w:pPr>
              <w:spacing w:line="360" w:lineRule="auto"/>
              <w:jc w:val="both"/>
              <w:rPr>
                <w:rFonts w:ascii="Book Antiqua" w:hAnsi="Book Antiqua"/>
              </w:rPr>
            </w:pPr>
            <w:r w:rsidRPr="008E50B9">
              <w:rPr>
                <w:rFonts w:ascii="Book Antiqua" w:hAnsi="Book Antiqua"/>
              </w:rPr>
              <w:t>Edema and hyperemia of the mucosa</w:t>
            </w:r>
          </w:p>
        </w:tc>
      </w:tr>
      <w:tr w:rsidR="008E50B9" w:rsidRPr="008E50B9" w14:paraId="642B4E29" w14:textId="77777777" w:rsidTr="00315A3C">
        <w:tc>
          <w:tcPr>
            <w:tcW w:w="1188" w:type="dxa"/>
            <w:shd w:val="clear" w:color="auto" w:fill="auto"/>
            <w:noWrap/>
          </w:tcPr>
          <w:p w14:paraId="01FEA276" w14:textId="77777777" w:rsidR="008E50B9" w:rsidRPr="008E50B9" w:rsidRDefault="008E50B9" w:rsidP="008E50B9">
            <w:pPr>
              <w:autoSpaceDE w:val="0"/>
              <w:autoSpaceDN w:val="0"/>
              <w:adjustRightInd w:val="0"/>
              <w:spacing w:line="360" w:lineRule="auto"/>
              <w:jc w:val="both"/>
              <w:rPr>
                <w:rFonts w:ascii="Book Antiqua" w:hAnsi="Book Antiqua"/>
                <w:lang w:eastAsia="zh-CN"/>
              </w:rPr>
            </w:pPr>
            <w:r w:rsidRPr="008E50B9">
              <w:rPr>
                <w:rFonts w:ascii="Book Antiqua" w:hAnsi="Book Antiqua"/>
              </w:rPr>
              <w:t>Grade 2</w:t>
            </w:r>
          </w:p>
        </w:tc>
        <w:tc>
          <w:tcPr>
            <w:tcW w:w="8388" w:type="dxa"/>
            <w:shd w:val="clear" w:color="auto" w:fill="auto"/>
            <w:noWrap/>
          </w:tcPr>
          <w:p w14:paraId="20AB3C0C" w14:textId="77777777" w:rsidR="008E50B9" w:rsidRPr="008E50B9" w:rsidRDefault="008E50B9" w:rsidP="008E50B9">
            <w:pPr>
              <w:autoSpaceDE w:val="0"/>
              <w:autoSpaceDN w:val="0"/>
              <w:adjustRightInd w:val="0"/>
              <w:spacing w:line="360" w:lineRule="auto"/>
              <w:jc w:val="both"/>
              <w:rPr>
                <w:rFonts w:ascii="Book Antiqua" w:hAnsi="Book Antiqua"/>
                <w:lang w:eastAsia="zh-CN"/>
              </w:rPr>
            </w:pPr>
          </w:p>
        </w:tc>
      </w:tr>
      <w:tr w:rsidR="008E50B9" w:rsidRPr="008E50B9" w14:paraId="4C559993" w14:textId="77777777" w:rsidTr="00315A3C">
        <w:tc>
          <w:tcPr>
            <w:tcW w:w="1188" w:type="dxa"/>
            <w:shd w:val="clear" w:color="auto" w:fill="auto"/>
            <w:noWrap/>
          </w:tcPr>
          <w:p w14:paraId="6C625568" w14:textId="77777777" w:rsidR="008E50B9" w:rsidRPr="008E50B9" w:rsidRDefault="008E50B9" w:rsidP="008E50B9">
            <w:pPr>
              <w:autoSpaceDE w:val="0"/>
              <w:autoSpaceDN w:val="0"/>
              <w:adjustRightInd w:val="0"/>
              <w:spacing w:line="360" w:lineRule="auto"/>
              <w:ind w:firstLineChars="100" w:firstLine="240"/>
              <w:jc w:val="both"/>
              <w:rPr>
                <w:rFonts w:ascii="Book Antiqua" w:hAnsi="Book Antiqua"/>
              </w:rPr>
            </w:pPr>
            <w:r w:rsidRPr="008E50B9">
              <w:rPr>
                <w:rFonts w:ascii="Book Antiqua" w:hAnsi="Book Antiqua"/>
              </w:rPr>
              <w:t>2a</w:t>
            </w:r>
          </w:p>
        </w:tc>
        <w:tc>
          <w:tcPr>
            <w:tcW w:w="8388" w:type="dxa"/>
            <w:shd w:val="clear" w:color="auto" w:fill="auto"/>
            <w:noWrap/>
          </w:tcPr>
          <w:p w14:paraId="137360CF" w14:textId="77777777" w:rsidR="008E50B9" w:rsidRPr="008E50B9" w:rsidRDefault="008E50B9" w:rsidP="008E50B9">
            <w:pPr>
              <w:autoSpaceDE w:val="0"/>
              <w:autoSpaceDN w:val="0"/>
              <w:adjustRightInd w:val="0"/>
              <w:spacing w:line="360" w:lineRule="auto"/>
              <w:jc w:val="both"/>
              <w:rPr>
                <w:rFonts w:ascii="Book Antiqua" w:hAnsi="Book Antiqua"/>
                <w:lang w:eastAsia="zh-CN"/>
              </w:rPr>
            </w:pPr>
            <w:r w:rsidRPr="008E50B9">
              <w:rPr>
                <w:rFonts w:ascii="Book Antiqua" w:hAnsi="Book Antiqua"/>
              </w:rPr>
              <w:t>Friability, hemorrhages, erosions, blisters, whitish membranes, exudates and superficial ulcerations</w:t>
            </w:r>
          </w:p>
        </w:tc>
      </w:tr>
      <w:tr w:rsidR="008E50B9" w:rsidRPr="008E50B9" w14:paraId="4D4B2169" w14:textId="77777777" w:rsidTr="00315A3C">
        <w:tc>
          <w:tcPr>
            <w:tcW w:w="1188" w:type="dxa"/>
            <w:shd w:val="clear" w:color="auto" w:fill="auto"/>
            <w:noWrap/>
          </w:tcPr>
          <w:p w14:paraId="0AF174F9" w14:textId="77777777" w:rsidR="008E50B9" w:rsidRPr="008E50B9" w:rsidRDefault="008E50B9" w:rsidP="008E50B9">
            <w:pPr>
              <w:autoSpaceDE w:val="0"/>
              <w:autoSpaceDN w:val="0"/>
              <w:adjustRightInd w:val="0"/>
              <w:spacing w:line="360" w:lineRule="auto"/>
              <w:ind w:firstLineChars="100" w:firstLine="240"/>
              <w:jc w:val="both"/>
              <w:rPr>
                <w:rFonts w:ascii="Book Antiqua" w:hAnsi="Book Antiqua"/>
              </w:rPr>
            </w:pPr>
            <w:r w:rsidRPr="008E50B9">
              <w:rPr>
                <w:rFonts w:ascii="Book Antiqua" w:hAnsi="Book Antiqua"/>
              </w:rPr>
              <w:t>2b</w:t>
            </w:r>
          </w:p>
        </w:tc>
        <w:tc>
          <w:tcPr>
            <w:tcW w:w="8388" w:type="dxa"/>
            <w:shd w:val="clear" w:color="auto" w:fill="auto"/>
            <w:noWrap/>
          </w:tcPr>
          <w:p w14:paraId="6C211C64" w14:textId="77777777" w:rsidR="008E50B9" w:rsidRPr="008E50B9" w:rsidRDefault="008E50B9" w:rsidP="008E50B9">
            <w:pPr>
              <w:spacing w:line="360" w:lineRule="auto"/>
              <w:jc w:val="both"/>
              <w:rPr>
                <w:rFonts w:ascii="Book Antiqua" w:hAnsi="Book Antiqua"/>
              </w:rPr>
            </w:pPr>
            <w:r w:rsidRPr="008E50B9">
              <w:rPr>
                <w:rFonts w:ascii="Book Antiqua" w:hAnsi="Book Antiqua"/>
              </w:rPr>
              <w:t>Grade 2a plus deep discrete or circumferential ulceration</w:t>
            </w:r>
          </w:p>
        </w:tc>
      </w:tr>
      <w:tr w:rsidR="008E50B9" w:rsidRPr="008E50B9" w14:paraId="1F1582FF" w14:textId="77777777" w:rsidTr="00315A3C">
        <w:tc>
          <w:tcPr>
            <w:tcW w:w="1188" w:type="dxa"/>
            <w:shd w:val="clear" w:color="auto" w:fill="auto"/>
            <w:noWrap/>
          </w:tcPr>
          <w:p w14:paraId="564DA75D" w14:textId="77777777" w:rsidR="008E50B9" w:rsidRPr="008E50B9" w:rsidRDefault="008E50B9" w:rsidP="00315A3C">
            <w:pPr>
              <w:autoSpaceDE w:val="0"/>
              <w:autoSpaceDN w:val="0"/>
              <w:adjustRightInd w:val="0"/>
              <w:spacing w:line="360" w:lineRule="auto"/>
              <w:jc w:val="both"/>
              <w:rPr>
                <w:rFonts w:ascii="Book Antiqua" w:hAnsi="Book Antiqua"/>
              </w:rPr>
            </w:pPr>
            <w:r w:rsidRPr="008E50B9">
              <w:rPr>
                <w:rFonts w:ascii="Book Antiqua" w:hAnsi="Book Antiqua"/>
              </w:rPr>
              <w:t>Grade 3</w:t>
            </w:r>
          </w:p>
        </w:tc>
        <w:tc>
          <w:tcPr>
            <w:tcW w:w="8388" w:type="dxa"/>
            <w:shd w:val="clear" w:color="auto" w:fill="auto"/>
            <w:noWrap/>
          </w:tcPr>
          <w:p w14:paraId="7C1A7C0A" w14:textId="77777777" w:rsidR="008E50B9" w:rsidRPr="008E50B9" w:rsidRDefault="008E50B9" w:rsidP="008E50B9">
            <w:pPr>
              <w:autoSpaceDE w:val="0"/>
              <w:autoSpaceDN w:val="0"/>
              <w:adjustRightInd w:val="0"/>
              <w:spacing w:line="360" w:lineRule="auto"/>
              <w:jc w:val="both"/>
              <w:rPr>
                <w:rFonts w:ascii="Book Antiqua" w:hAnsi="Book Antiqua"/>
              </w:rPr>
            </w:pPr>
          </w:p>
        </w:tc>
      </w:tr>
      <w:tr w:rsidR="008E50B9" w:rsidRPr="008E50B9" w14:paraId="795398BE" w14:textId="77777777" w:rsidTr="00315A3C">
        <w:tc>
          <w:tcPr>
            <w:tcW w:w="1188" w:type="dxa"/>
            <w:shd w:val="clear" w:color="auto" w:fill="auto"/>
            <w:noWrap/>
          </w:tcPr>
          <w:p w14:paraId="174F31C1" w14:textId="77777777" w:rsidR="008E50B9" w:rsidRPr="008E50B9" w:rsidRDefault="008E50B9" w:rsidP="00315A3C">
            <w:pPr>
              <w:autoSpaceDE w:val="0"/>
              <w:autoSpaceDN w:val="0"/>
              <w:adjustRightInd w:val="0"/>
              <w:spacing w:line="360" w:lineRule="auto"/>
              <w:ind w:firstLineChars="100" w:firstLine="240"/>
              <w:jc w:val="both"/>
              <w:rPr>
                <w:rFonts w:ascii="Book Antiqua" w:hAnsi="Book Antiqua"/>
              </w:rPr>
            </w:pPr>
            <w:r w:rsidRPr="008E50B9">
              <w:rPr>
                <w:rFonts w:ascii="Book Antiqua" w:hAnsi="Book Antiqua"/>
              </w:rPr>
              <w:t>3a</w:t>
            </w:r>
          </w:p>
        </w:tc>
        <w:tc>
          <w:tcPr>
            <w:tcW w:w="8388" w:type="dxa"/>
            <w:shd w:val="clear" w:color="auto" w:fill="auto"/>
            <w:noWrap/>
          </w:tcPr>
          <w:p w14:paraId="543466AB" w14:textId="77777777" w:rsidR="008E50B9" w:rsidRPr="008E50B9" w:rsidRDefault="00315A3C" w:rsidP="00315A3C">
            <w:pPr>
              <w:autoSpaceDE w:val="0"/>
              <w:autoSpaceDN w:val="0"/>
              <w:adjustRightInd w:val="0"/>
              <w:spacing w:line="360" w:lineRule="auto"/>
              <w:jc w:val="both"/>
              <w:rPr>
                <w:rFonts w:ascii="Book Antiqua" w:hAnsi="Book Antiqua"/>
              </w:rPr>
            </w:pPr>
            <w:r w:rsidRPr="008E50B9">
              <w:rPr>
                <w:rFonts w:ascii="Book Antiqua" w:hAnsi="Book Antiqua"/>
              </w:rPr>
              <w:t>Multiple ulcerations and areas of necrosis</w:t>
            </w:r>
            <w:r>
              <w:rPr>
                <w:rFonts w:ascii="Book Antiqua" w:hAnsi="Book Antiqua" w:hint="eastAsia"/>
                <w:lang w:eastAsia="zh-CN"/>
              </w:rPr>
              <w:t xml:space="preserve"> </w:t>
            </w:r>
            <w:r w:rsidRPr="008E50B9">
              <w:rPr>
                <w:rFonts w:ascii="Book Antiqua" w:hAnsi="Book Antiqua"/>
              </w:rPr>
              <w:t>(</w:t>
            </w:r>
            <w:r>
              <w:rPr>
                <w:rFonts w:ascii="Book Antiqua" w:hAnsi="Book Antiqua" w:hint="eastAsia"/>
                <w:lang w:eastAsia="zh-CN"/>
              </w:rPr>
              <w:t>a</w:t>
            </w:r>
            <w:r w:rsidRPr="008E50B9">
              <w:rPr>
                <w:rFonts w:ascii="Book Antiqua" w:hAnsi="Book Antiqua"/>
              </w:rPr>
              <w:t>reas of brown-black or grayish discoloration were taken as evidence of necrosis)</w:t>
            </w:r>
          </w:p>
        </w:tc>
      </w:tr>
      <w:tr w:rsidR="008E50B9" w:rsidRPr="008E50B9" w14:paraId="71950090" w14:textId="77777777" w:rsidTr="00315A3C">
        <w:tc>
          <w:tcPr>
            <w:tcW w:w="1188" w:type="dxa"/>
            <w:tcBorders>
              <w:bottom w:val="single" w:sz="4" w:space="0" w:color="auto"/>
            </w:tcBorders>
            <w:shd w:val="clear" w:color="auto" w:fill="auto"/>
            <w:noWrap/>
          </w:tcPr>
          <w:p w14:paraId="17179D13" w14:textId="77777777" w:rsidR="008E50B9" w:rsidRPr="008E50B9" w:rsidRDefault="008E50B9" w:rsidP="00315A3C">
            <w:pPr>
              <w:autoSpaceDE w:val="0"/>
              <w:autoSpaceDN w:val="0"/>
              <w:adjustRightInd w:val="0"/>
              <w:spacing w:line="360" w:lineRule="auto"/>
              <w:ind w:firstLineChars="100" w:firstLine="240"/>
              <w:jc w:val="both"/>
              <w:rPr>
                <w:rFonts w:ascii="Book Antiqua" w:hAnsi="Book Antiqua"/>
              </w:rPr>
            </w:pPr>
            <w:r w:rsidRPr="008E50B9">
              <w:rPr>
                <w:rFonts w:ascii="Book Antiqua" w:hAnsi="Book Antiqua"/>
              </w:rPr>
              <w:t>3b</w:t>
            </w:r>
          </w:p>
        </w:tc>
        <w:tc>
          <w:tcPr>
            <w:tcW w:w="8388" w:type="dxa"/>
            <w:tcBorders>
              <w:bottom w:val="single" w:sz="4" w:space="0" w:color="auto"/>
            </w:tcBorders>
            <w:shd w:val="clear" w:color="auto" w:fill="auto"/>
            <w:noWrap/>
          </w:tcPr>
          <w:p w14:paraId="7FF192AD" w14:textId="77777777" w:rsidR="008E50B9" w:rsidRPr="008E50B9" w:rsidRDefault="00315A3C" w:rsidP="00315A3C">
            <w:pPr>
              <w:autoSpaceDE w:val="0"/>
              <w:autoSpaceDN w:val="0"/>
              <w:adjustRightInd w:val="0"/>
              <w:spacing w:line="360" w:lineRule="auto"/>
              <w:jc w:val="both"/>
              <w:rPr>
                <w:rFonts w:ascii="Book Antiqua" w:hAnsi="Book Antiqua"/>
              </w:rPr>
            </w:pPr>
            <w:r w:rsidRPr="008E50B9">
              <w:rPr>
                <w:rFonts w:ascii="Book Antiqua" w:hAnsi="Book Antiqua"/>
              </w:rPr>
              <w:t>Small scattered areas of necrosis;</w:t>
            </w:r>
            <w:r>
              <w:rPr>
                <w:rFonts w:ascii="Book Antiqua" w:hAnsi="Book Antiqua" w:hint="eastAsia"/>
                <w:lang w:eastAsia="zh-CN"/>
              </w:rPr>
              <w:t xml:space="preserve"> </w:t>
            </w:r>
            <w:r w:rsidRPr="008E50B9">
              <w:rPr>
                <w:rFonts w:ascii="Book Antiqua" w:hAnsi="Book Antiqua"/>
              </w:rPr>
              <w:t>Extensive necrosis</w:t>
            </w:r>
          </w:p>
        </w:tc>
      </w:tr>
    </w:tbl>
    <w:p w14:paraId="7C438F1E" w14:textId="77777777" w:rsidR="008E50B9" w:rsidRPr="008E50B9" w:rsidRDefault="008E50B9">
      <w:pPr>
        <w:spacing w:line="360" w:lineRule="auto"/>
        <w:jc w:val="both"/>
        <w:rPr>
          <w:rFonts w:ascii="Book Antiqua" w:hAnsi="Book Antiqua"/>
          <w:b/>
          <w:lang w:eastAsia="zh-CN"/>
        </w:rPr>
      </w:pPr>
    </w:p>
    <w:sectPr w:rsidR="008E50B9" w:rsidRPr="008E5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2F01" w14:textId="77777777" w:rsidR="00B02652" w:rsidRDefault="00B02652" w:rsidP="00E93C3B">
      <w:r>
        <w:separator/>
      </w:r>
    </w:p>
  </w:endnote>
  <w:endnote w:type="continuationSeparator" w:id="0">
    <w:p w14:paraId="3F693DF6" w14:textId="77777777" w:rsidR="00B02652" w:rsidRDefault="00B02652" w:rsidP="00E9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029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7B85755" w14:textId="77777777" w:rsidR="00E93C3B" w:rsidRPr="00E93C3B" w:rsidRDefault="00E93C3B" w:rsidP="00E93C3B">
            <w:pPr>
              <w:pStyle w:val="ac"/>
              <w:jc w:val="right"/>
              <w:rPr>
                <w:rFonts w:ascii="Book Antiqua" w:hAnsi="Book Antiqua"/>
                <w:sz w:val="24"/>
                <w:szCs w:val="24"/>
              </w:rPr>
            </w:pPr>
            <w:r w:rsidRPr="00E93C3B">
              <w:rPr>
                <w:rFonts w:ascii="Book Antiqua" w:hAnsi="Book Antiqua"/>
                <w:sz w:val="24"/>
                <w:szCs w:val="24"/>
                <w:lang w:val="zh-CN" w:eastAsia="zh-CN"/>
              </w:rPr>
              <w:t xml:space="preserve"> </w:t>
            </w:r>
            <w:r w:rsidRPr="00E93C3B">
              <w:rPr>
                <w:rFonts w:ascii="Book Antiqua" w:hAnsi="Book Antiqua"/>
                <w:bCs/>
                <w:sz w:val="24"/>
                <w:szCs w:val="24"/>
              </w:rPr>
              <w:fldChar w:fldCharType="begin"/>
            </w:r>
            <w:r w:rsidRPr="00E93C3B">
              <w:rPr>
                <w:rFonts w:ascii="Book Antiqua" w:hAnsi="Book Antiqua"/>
                <w:bCs/>
                <w:sz w:val="24"/>
                <w:szCs w:val="24"/>
              </w:rPr>
              <w:instrText>PAGE</w:instrText>
            </w:r>
            <w:r w:rsidRPr="00E93C3B">
              <w:rPr>
                <w:rFonts w:ascii="Book Antiqua" w:hAnsi="Book Antiqua"/>
                <w:bCs/>
                <w:sz w:val="24"/>
                <w:szCs w:val="24"/>
              </w:rPr>
              <w:fldChar w:fldCharType="separate"/>
            </w:r>
            <w:r w:rsidR="0091729A">
              <w:rPr>
                <w:rFonts w:ascii="Book Antiqua" w:hAnsi="Book Antiqua"/>
                <w:bCs/>
                <w:noProof/>
                <w:sz w:val="24"/>
                <w:szCs w:val="24"/>
              </w:rPr>
              <w:t>31</w:t>
            </w:r>
            <w:r w:rsidRPr="00E93C3B">
              <w:rPr>
                <w:rFonts w:ascii="Book Antiqua" w:hAnsi="Book Antiqua"/>
                <w:bCs/>
                <w:sz w:val="24"/>
                <w:szCs w:val="24"/>
              </w:rPr>
              <w:fldChar w:fldCharType="end"/>
            </w:r>
            <w:r w:rsidRPr="00E93C3B">
              <w:rPr>
                <w:rFonts w:ascii="Book Antiqua" w:hAnsi="Book Antiqua"/>
                <w:sz w:val="24"/>
                <w:szCs w:val="24"/>
                <w:lang w:val="zh-CN" w:eastAsia="zh-CN"/>
              </w:rPr>
              <w:t xml:space="preserve"> / </w:t>
            </w:r>
            <w:r w:rsidRPr="00E93C3B">
              <w:rPr>
                <w:rFonts w:ascii="Book Antiqua" w:hAnsi="Book Antiqua"/>
                <w:bCs/>
                <w:sz w:val="24"/>
                <w:szCs w:val="24"/>
              </w:rPr>
              <w:fldChar w:fldCharType="begin"/>
            </w:r>
            <w:r w:rsidRPr="00E93C3B">
              <w:rPr>
                <w:rFonts w:ascii="Book Antiqua" w:hAnsi="Book Antiqua"/>
                <w:bCs/>
                <w:sz w:val="24"/>
                <w:szCs w:val="24"/>
              </w:rPr>
              <w:instrText>NUMPAGES</w:instrText>
            </w:r>
            <w:r w:rsidRPr="00E93C3B">
              <w:rPr>
                <w:rFonts w:ascii="Book Antiqua" w:hAnsi="Book Antiqua"/>
                <w:bCs/>
                <w:sz w:val="24"/>
                <w:szCs w:val="24"/>
              </w:rPr>
              <w:fldChar w:fldCharType="separate"/>
            </w:r>
            <w:r w:rsidR="0091729A">
              <w:rPr>
                <w:rFonts w:ascii="Book Antiqua" w:hAnsi="Book Antiqua"/>
                <w:bCs/>
                <w:noProof/>
                <w:sz w:val="24"/>
                <w:szCs w:val="24"/>
              </w:rPr>
              <w:t>31</w:t>
            </w:r>
            <w:r w:rsidRPr="00E93C3B">
              <w:rPr>
                <w:rFonts w:ascii="Book Antiqua" w:hAnsi="Book Antiqua"/>
                <w:bCs/>
                <w:sz w:val="24"/>
                <w:szCs w:val="24"/>
              </w:rPr>
              <w:fldChar w:fldCharType="end"/>
            </w:r>
          </w:p>
        </w:sdtContent>
      </w:sdt>
    </w:sdtContent>
  </w:sdt>
  <w:p w14:paraId="05FB200A" w14:textId="77777777" w:rsidR="00E93C3B" w:rsidRPr="00E93C3B" w:rsidRDefault="00E93C3B" w:rsidP="00E93C3B">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86B" w14:textId="77777777" w:rsidR="00B02652" w:rsidRDefault="00B02652" w:rsidP="00E93C3B">
      <w:r>
        <w:separator/>
      </w:r>
    </w:p>
  </w:footnote>
  <w:footnote w:type="continuationSeparator" w:id="0">
    <w:p w14:paraId="13F07259" w14:textId="77777777" w:rsidR="00B02652" w:rsidRDefault="00B02652" w:rsidP="00E93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81E"/>
    <w:rsid w:val="000B7479"/>
    <w:rsid w:val="000E16B6"/>
    <w:rsid w:val="000F4678"/>
    <w:rsid w:val="00225D37"/>
    <w:rsid w:val="0026588E"/>
    <w:rsid w:val="002A0DB7"/>
    <w:rsid w:val="002A662A"/>
    <w:rsid w:val="00315A3C"/>
    <w:rsid w:val="003B3145"/>
    <w:rsid w:val="003F60F1"/>
    <w:rsid w:val="005067A7"/>
    <w:rsid w:val="00590444"/>
    <w:rsid w:val="005E5799"/>
    <w:rsid w:val="008C1DD0"/>
    <w:rsid w:val="008E50B9"/>
    <w:rsid w:val="0091729A"/>
    <w:rsid w:val="00A77B3E"/>
    <w:rsid w:val="00B02652"/>
    <w:rsid w:val="00C730F0"/>
    <w:rsid w:val="00CA2A55"/>
    <w:rsid w:val="00CF7F43"/>
    <w:rsid w:val="00E720AC"/>
    <w:rsid w:val="00E9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262D6"/>
  <w15:docId w15:val="{1C4994B4-A3F4-4782-9285-4A074066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a4"/>
    <w:rsid w:val="00C730F0"/>
    <w:rPr>
      <w:sz w:val="18"/>
      <w:szCs w:val="18"/>
    </w:rPr>
  </w:style>
  <w:style w:type="character" w:customStyle="1" w:styleId="a4">
    <w:name w:val="批注框文本 字符"/>
    <w:basedOn w:val="a0"/>
    <w:link w:val="a3"/>
    <w:rsid w:val="00C730F0"/>
    <w:rPr>
      <w:sz w:val="18"/>
      <w:szCs w:val="18"/>
    </w:rPr>
  </w:style>
  <w:style w:type="character" w:styleId="a5">
    <w:name w:val="annotation reference"/>
    <w:basedOn w:val="a0"/>
    <w:rsid w:val="00315A3C"/>
    <w:rPr>
      <w:sz w:val="21"/>
      <w:szCs w:val="21"/>
    </w:rPr>
  </w:style>
  <w:style w:type="paragraph" w:styleId="a6">
    <w:name w:val="annotation text"/>
    <w:basedOn w:val="a"/>
    <w:link w:val="a7"/>
    <w:rsid w:val="00315A3C"/>
  </w:style>
  <w:style w:type="character" w:customStyle="1" w:styleId="a7">
    <w:name w:val="批注文字 字符"/>
    <w:basedOn w:val="a0"/>
    <w:link w:val="a6"/>
    <w:rsid w:val="00315A3C"/>
    <w:rPr>
      <w:sz w:val="24"/>
      <w:szCs w:val="24"/>
    </w:rPr>
  </w:style>
  <w:style w:type="paragraph" w:styleId="a8">
    <w:name w:val="annotation subject"/>
    <w:basedOn w:val="a6"/>
    <w:next w:val="a6"/>
    <w:link w:val="a9"/>
    <w:rsid w:val="00315A3C"/>
    <w:rPr>
      <w:b/>
      <w:bCs/>
    </w:rPr>
  </w:style>
  <w:style w:type="character" w:customStyle="1" w:styleId="a9">
    <w:name w:val="批注主题 字符"/>
    <w:basedOn w:val="a7"/>
    <w:link w:val="a8"/>
    <w:rsid w:val="00315A3C"/>
    <w:rPr>
      <w:b/>
      <w:bCs/>
      <w:sz w:val="24"/>
      <w:szCs w:val="24"/>
    </w:rPr>
  </w:style>
  <w:style w:type="paragraph" w:styleId="aa">
    <w:name w:val="header"/>
    <w:basedOn w:val="a"/>
    <w:link w:val="ab"/>
    <w:rsid w:val="00E93C3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93C3B"/>
    <w:rPr>
      <w:sz w:val="18"/>
      <w:szCs w:val="18"/>
    </w:rPr>
  </w:style>
  <w:style w:type="paragraph" w:styleId="ac">
    <w:name w:val="footer"/>
    <w:basedOn w:val="a"/>
    <w:link w:val="ad"/>
    <w:uiPriority w:val="99"/>
    <w:rsid w:val="00E93C3B"/>
    <w:pPr>
      <w:tabs>
        <w:tab w:val="center" w:pos="4153"/>
        <w:tab w:val="right" w:pos="8306"/>
      </w:tabs>
      <w:snapToGrid w:val="0"/>
    </w:pPr>
    <w:rPr>
      <w:sz w:val="18"/>
      <w:szCs w:val="18"/>
    </w:rPr>
  </w:style>
  <w:style w:type="character" w:customStyle="1" w:styleId="ad">
    <w:name w:val="页脚 字符"/>
    <w:basedOn w:val="a0"/>
    <w:link w:val="ac"/>
    <w:uiPriority w:val="99"/>
    <w:rsid w:val="00E93C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7690</Words>
  <Characters>43836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2021-09-19T04:11:00Z</dcterms:created>
  <dcterms:modified xsi:type="dcterms:W3CDTF">2021-09-19T04:11:00Z</dcterms:modified>
</cp:coreProperties>
</file>