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034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Name of Journal: </w:t>
      </w:r>
      <w:r w:rsidRPr="004D22ED">
        <w:rPr>
          <w:rFonts w:ascii="Book Antiqua" w:eastAsia="Book Antiqua" w:hAnsi="Book Antiqua" w:cs="Book Antiqua"/>
          <w:i/>
        </w:rPr>
        <w:t>World Journal of Clinical Cases</w:t>
      </w:r>
    </w:p>
    <w:p w14:paraId="5EDAE66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Manuscript NO: </w:t>
      </w:r>
      <w:r w:rsidRPr="004D22ED">
        <w:rPr>
          <w:rFonts w:ascii="Book Antiqua" w:eastAsia="Book Antiqua" w:hAnsi="Book Antiqua" w:cs="Book Antiqua"/>
        </w:rPr>
        <w:t>64749</w:t>
      </w:r>
    </w:p>
    <w:p w14:paraId="0EC4EF9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Manuscript Type: </w:t>
      </w:r>
      <w:r w:rsidRPr="004D22ED">
        <w:rPr>
          <w:rFonts w:ascii="Book Antiqua" w:eastAsia="Book Antiqua" w:hAnsi="Book Antiqua" w:cs="Book Antiqua"/>
        </w:rPr>
        <w:t>ORIGINAL ARTICLE</w:t>
      </w:r>
    </w:p>
    <w:p w14:paraId="3427E086" w14:textId="77777777" w:rsidR="00A77B3E" w:rsidRPr="004D22ED" w:rsidRDefault="00A77B3E" w:rsidP="004D22ED">
      <w:pPr>
        <w:adjustRightInd w:val="0"/>
        <w:snapToGrid w:val="0"/>
        <w:spacing w:line="360" w:lineRule="auto"/>
        <w:jc w:val="both"/>
        <w:rPr>
          <w:rFonts w:ascii="Book Antiqua" w:hAnsi="Book Antiqua"/>
        </w:rPr>
      </w:pPr>
    </w:p>
    <w:p w14:paraId="78DD53C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Retrospective Study</w:t>
      </w:r>
    </w:p>
    <w:p w14:paraId="5DE34CE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shd w:val="clear" w:color="auto" w:fill="FFFFFF"/>
        </w:rPr>
        <w:t xml:space="preserve">Ninety-four thousand-case retrospective study on antibacterial drug resistance of </w:t>
      </w:r>
      <w:r w:rsidRPr="004D22ED">
        <w:rPr>
          <w:rFonts w:ascii="Book Antiqua" w:eastAsia="Book Antiqua" w:hAnsi="Book Antiqua" w:cs="Book Antiqua"/>
          <w:b/>
          <w:bCs/>
          <w:i/>
          <w:iCs/>
          <w:shd w:val="clear" w:color="auto" w:fill="FFFFFF"/>
        </w:rPr>
        <w:t>Helicobacter pylori</w:t>
      </w:r>
    </w:p>
    <w:p w14:paraId="740B58A5" w14:textId="77777777" w:rsidR="00A77B3E" w:rsidRPr="004D22ED" w:rsidRDefault="00A77B3E" w:rsidP="004D22ED">
      <w:pPr>
        <w:adjustRightInd w:val="0"/>
        <w:snapToGrid w:val="0"/>
        <w:spacing w:line="360" w:lineRule="auto"/>
        <w:jc w:val="both"/>
        <w:rPr>
          <w:rFonts w:ascii="Book Antiqua" w:hAnsi="Book Antiqua"/>
        </w:rPr>
      </w:pPr>
    </w:p>
    <w:p w14:paraId="72549A6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Zhang</w:t>
      </w:r>
      <w:r w:rsidRPr="004D22ED">
        <w:rPr>
          <w:rFonts w:ascii="Book Antiqua" w:eastAsia="Book Antiqua" w:hAnsi="Book Antiqua" w:cs="Book Antiqua"/>
          <w:shd w:val="clear" w:color="auto" w:fill="FFFFFF"/>
        </w:rPr>
        <w:t xml:space="preserve"> Y </w:t>
      </w:r>
      <w:r w:rsidRPr="004D22ED">
        <w:rPr>
          <w:rFonts w:ascii="Book Antiqua" w:eastAsia="Book Antiqua" w:hAnsi="Book Antiqua" w:cs="Book Antiqua"/>
          <w:i/>
          <w:iCs/>
          <w:shd w:val="clear" w:color="auto" w:fill="FFFFFF"/>
        </w:rPr>
        <w:t>et al</w:t>
      </w:r>
      <w:r w:rsidRPr="004D22ED">
        <w:rPr>
          <w:rFonts w:ascii="Book Antiqua" w:eastAsia="Book Antiqua" w:hAnsi="Book Antiqua" w:cs="Book Antiqua"/>
          <w:shd w:val="clear" w:color="auto" w:fill="FFFFFF"/>
        </w:rPr>
        <w:t xml:space="preserve">. Study on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p>
    <w:p w14:paraId="32B3D043" w14:textId="77777777" w:rsidR="00A77B3E" w:rsidRPr="004D22ED" w:rsidRDefault="00A77B3E" w:rsidP="004D22ED">
      <w:pPr>
        <w:adjustRightInd w:val="0"/>
        <w:snapToGrid w:val="0"/>
        <w:spacing w:line="360" w:lineRule="auto"/>
        <w:jc w:val="both"/>
        <w:rPr>
          <w:rFonts w:ascii="Book Antiqua" w:hAnsi="Book Antiqua"/>
        </w:rPr>
      </w:pPr>
    </w:p>
    <w:p w14:paraId="37495D6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Yu Zhang, Fei Meng, Jie Jin, Jun Wang, Bin-Bin Gu, Jin-Bang Peng, Li-Ping Ye</w:t>
      </w:r>
    </w:p>
    <w:p w14:paraId="149101B3" w14:textId="77777777" w:rsidR="00A77B3E" w:rsidRPr="004D22ED" w:rsidRDefault="00A77B3E" w:rsidP="004D22ED">
      <w:pPr>
        <w:adjustRightInd w:val="0"/>
        <w:snapToGrid w:val="0"/>
        <w:spacing w:line="360" w:lineRule="auto"/>
        <w:jc w:val="both"/>
        <w:rPr>
          <w:rFonts w:ascii="Book Antiqua" w:hAnsi="Book Antiqua"/>
        </w:rPr>
      </w:pPr>
    </w:p>
    <w:p w14:paraId="19FAFC3B"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Yu Zhang, Jun Wang, Bin-Bin Gu, Jin-Bang Peng, Li-Ping Ye, </w:t>
      </w:r>
      <w:r w:rsidRPr="004D22ED">
        <w:rPr>
          <w:rFonts w:ascii="Book Antiqua" w:eastAsia="Book Antiqua" w:hAnsi="Book Antiqua" w:cs="Book Antiqua"/>
        </w:rPr>
        <w:t>Department of Gastroenterology, Taizhou Hospital of Zhejiang Province, Linhai 318000, Zhejiang Province, China</w:t>
      </w:r>
    </w:p>
    <w:p w14:paraId="4CAB32DB" w14:textId="77777777" w:rsidR="00A77B3E" w:rsidRPr="004D22ED" w:rsidRDefault="00A77B3E" w:rsidP="004D22ED">
      <w:pPr>
        <w:adjustRightInd w:val="0"/>
        <w:snapToGrid w:val="0"/>
        <w:spacing w:line="360" w:lineRule="auto"/>
        <w:jc w:val="both"/>
        <w:rPr>
          <w:rFonts w:ascii="Book Antiqua" w:hAnsi="Book Antiqua"/>
        </w:rPr>
      </w:pPr>
    </w:p>
    <w:p w14:paraId="5ECAEA1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Fei Meng, Jie Jin, </w:t>
      </w:r>
      <w:r w:rsidRPr="004D22ED">
        <w:rPr>
          <w:rFonts w:ascii="Book Antiqua" w:eastAsia="Book Antiqua" w:hAnsi="Book Antiqua" w:cs="Book Antiqua"/>
        </w:rPr>
        <w:t>Department of Research Service, Zhiyuan Medical Inspection Institute CO., LTD, Hangzhou 310030, Zhejiang Province, China</w:t>
      </w:r>
    </w:p>
    <w:p w14:paraId="2982D809" w14:textId="77777777" w:rsidR="00A77B3E" w:rsidRPr="004D22ED" w:rsidRDefault="00A77B3E" w:rsidP="004D22ED">
      <w:pPr>
        <w:adjustRightInd w:val="0"/>
        <w:snapToGrid w:val="0"/>
        <w:spacing w:line="360" w:lineRule="auto"/>
        <w:jc w:val="both"/>
        <w:rPr>
          <w:rFonts w:ascii="Book Antiqua" w:hAnsi="Book Antiqua"/>
        </w:rPr>
      </w:pPr>
    </w:p>
    <w:p w14:paraId="1BA691C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Li-Ping Ye, </w:t>
      </w:r>
      <w:r w:rsidRPr="004D22ED">
        <w:rPr>
          <w:rFonts w:ascii="Book Antiqua" w:eastAsia="Book Antiqua" w:hAnsi="Book Antiqua" w:cs="Book Antiqua"/>
        </w:rPr>
        <w:t>Department of Gastroenterology, Taizhou Hospital Affiliated to Wenzhou Medical University, Taizhou 318000, Zhejiang Province, China</w:t>
      </w:r>
    </w:p>
    <w:p w14:paraId="60338E8E" w14:textId="77777777" w:rsidR="00A77B3E" w:rsidRPr="004D22ED" w:rsidRDefault="00A77B3E" w:rsidP="004D22ED">
      <w:pPr>
        <w:adjustRightInd w:val="0"/>
        <w:snapToGrid w:val="0"/>
        <w:spacing w:line="360" w:lineRule="auto"/>
        <w:jc w:val="both"/>
        <w:rPr>
          <w:rFonts w:ascii="Book Antiqua" w:hAnsi="Book Antiqua"/>
        </w:rPr>
      </w:pPr>
    </w:p>
    <w:p w14:paraId="34F0C2D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Author contributions: </w:t>
      </w:r>
      <w:r w:rsidRPr="004D22ED">
        <w:rPr>
          <w:rFonts w:ascii="Book Antiqua" w:eastAsia="Book Antiqua" w:hAnsi="Book Antiqua" w:cs="Book Antiqua"/>
          <w:shd w:val="clear" w:color="auto" w:fill="FFFFFF"/>
        </w:rPr>
        <w:t>Zhang Y</w:t>
      </w:r>
      <w:r w:rsidRPr="004D22ED">
        <w:rPr>
          <w:rFonts w:ascii="Book Antiqua" w:eastAsia="Book Antiqua" w:hAnsi="Book Antiqua" w:cs="Book Antiqua"/>
        </w:rPr>
        <w:t xml:space="preserve"> and </w:t>
      </w:r>
      <w:r w:rsidRPr="004D22ED">
        <w:rPr>
          <w:rFonts w:ascii="Book Antiqua" w:eastAsia="Book Antiqua" w:hAnsi="Book Antiqua" w:cs="Book Antiqua"/>
          <w:shd w:val="clear" w:color="auto" w:fill="FFFFFF"/>
        </w:rPr>
        <w:t>Ye</w:t>
      </w:r>
      <w:r w:rsidRPr="004D22ED">
        <w:rPr>
          <w:rFonts w:ascii="Book Antiqua" w:eastAsia="Book Antiqua" w:hAnsi="Book Antiqua" w:cs="Book Antiqua"/>
        </w:rPr>
        <w:t xml:space="preserve"> LP formulated the problem; </w:t>
      </w:r>
      <w:r w:rsidRPr="004D22ED">
        <w:rPr>
          <w:rFonts w:ascii="Book Antiqua" w:eastAsia="Book Antiqua" w:hAnsi="Book Antiqua" w:cs="Book Antiqua"/>
          <w:shd w:val="clear" w:color="auto" w:fill="FFFFFF"/>
        </w:rPr>
        <w:t>Meng</w:t>
      </w:r>
      <w:r w:rsidRPr="004D22ED">
        <w:rPr>
          <w:rFonts w:ascii="Book Antiqua" w:eastAsia="Book Antiqua" w:hAnsi="Book Antiqua" w:cs="Book Antiqua"/>
        </w:rPr>
        <w:t xml:space="preserve"> F and </w:t>
      </w:r>
      <w:r w:rsidRPr="004D22ED">
        <w:rPr>
          <w:rFonts w:ascii="Book Antiqua" w:eastAsia="Book Antiqua" w:hAnsi="Book Antiqua" w:cs="Book Antiqua"/>
          <w:shd w:val="clear" w:color="auto" w:fill="FFFFFF"/>
        </w:rPr>
        <w:t>Jin J</w:t>
      </w:r>
      <w:r w:rsidRPr="004D22ED">
        <w:rPr>
          <w:rFonts w:ascii="Book Antiqua" w:eastAsia="Book Antiqua" w:hAnsi="Book Antiqua" w:cs="Book Antiqua"/>
        </w:rPr>
        <w:t xml:space="preserve"> performed the microbial culture and susceptibility testing; </w:t>
      </w:r>
      <w:r w:rsidRPr="004D22ED">
        <w:rPr>
          <w:rFonts w:ascii="Book Antiqua" w:eastAsia="Book Antiqua" w:hAnsi="Book Antiqua" w:cs="Book Antiqua"/>
          <w:shd w:val="clear" w:color="auto" w:fill="FFFFFF"/>
        </w:rPr>
        <w:t>Wang J</w:t>
      </w:r>
      <w:r w:rsidRPr="004D22ED">
        <w:rPr>
          <w:rFonts w:ascii="Book Antiqua" w:eastAsia="Book Antiqua" w:hAnsi="Book Antiqua" w:cs="Book Antiqua"/>
        </w:rPr>
        <w:t xml:space="preserve"> analyzed the data; </w:t>
      </w:r>
      <w:r w:rsidRPr="004D22ED">
        <w:rPr>
          <w:rFonts w:ascii="Book Antiqua" w:eastAsia="Book Antiqua" w:hAnsi="Book Antiqua" w:cs="Book Antiqua"/>
          <w:shd w:val="clear" w:color="auto" w:fill="FFFFFF"/>
        </w:rPr>
        <w:t>Gu BB</w:t>
      </w:r>
      <w:r w:rsidRPr="004D22ED">
        <w:rPr>
          <w:rFonts w:ascii="Book Antiqua" w:eastAsia="Book Antiqua" w:hAnsi="Book Antiqua" w:cs="Book Antiqua"/>
        </w:rPr>
        <w:t xml:space="preserve"> and </w:t>
      </w:r>
      <w:r w:rsidRPr="004D22ED">
        <w:rPr>
          <w:rFonts w:ascii="Book Antiqua" w:eastAsia="Book Antiqua" w:hAnsi="Book Antiqua" w:cs="Book Antiqua"/>
          <w:shd w:val="clear" w:color="auto" w:fill="FFFFFF"/>
        </w:rPr>
        <w:t>Peng</w:t>
      </w:r>
      <w:r w:rsidRPr="004D22ED">
        <w:rPr>
          <w:rFonts w:ascii="Book Antiqua" w:eastAsia="Book Antiqua" w:hAnsi="Book Antiqua" w:cs="Book Antiqua"/>
        </w:rPr>
        <w:t xml:space="preserve"> JB collected samples; </w:t>
      </w:r>
      <w:r w:rsidRPr="004D22ED">
        <w:rPr>
          <w:rFonts w:ascii="Book Antiqua" w:eastAsia="Book Antiqua" w:hAnsi="Book Antiqua" w:cs="Book Antiqua"/>
          <w:shd w:val="clear" w:color="auto" w:fill="FFFFFF"/>
        </w:rPr>
        <w:t>Zhang</w:t>
      </w:r>
      <w:r w:rsidRPr="004D22ED">
        <w:rPr>
          <w:rFonts w:ascii="Book Antiqua" w:eastAsia="Book Antiqua" w:hAnsi="Book Antiqua" w:cs="Book Antiqua"/>
        </w:rPr>
        <w:t xml:space="preserve"> Y and </w:t>
      </w:r>
      <w:r w:rsidRPr="004D22ED">
        <w:rPr>
          <w:rFonts w:ascii="Book Antiqua" w:eastAsia="Book Antiqua" w:hAnsi="Book Antiqua" w:cs="Book Antiqua"/>
          <w:shd w:val="clear" w:color="auto" w:fill="FFFFFF"/>
        </w:rPr>
        <w:t>Ye</w:t>
      </w:r>
      <w:r w:rsidRPr="004D22ED">
        <w:rPr>
          <w:rFonts w:ascii="Book Antiqua" w:eastAsia="Book Antiqua" w:hAnsi="Book Antiqua" w:cs="Book Antiqua"/>
        </w:rPr>
        <w:t xml:space="preserve"> LP wrote the paper; All authors read, reviewed and approved the manuscript.</w:t>
      </w:r>
    </w:p>
    <w:p w14:paraId="136E8E9D" w14:textId="77777777" w:rsidR="00A77B3E" w:rsidRPr="004D22ED" w:rsidRDefault="00A77B3E" w:rsidP="004D22ED">
      <w:pPr>
        <w:adjustRightInd w:val="0"/>
        <w:snapToGrid w:val="0"/>
        <w:spacing w:line="360" w:lineRule="auto"/>
        <w:jc w:val="both"/>
        <w:rPr>
          <w:rFonts w:ascii="Book Antiqua" w:hAnsi="Book Antiqua"/>
        </w:rPr>
      </w:pPr>
    </w:p>
    <w:p w14:paraId="1361E9D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Supported by </w:t>
      </w:r>
      <w:r w:rsidRPr="004D22ED">
        <w:rPr>
          <w:rFonts w:ascii="Book Antiqua" w:eastAsia="Book Antiqua" w:hAnsi="Book Antiqua" w:cs="Book Antiqua"/>
        </w:rPr>
        <w:t>Taizhou Science and Technology Plan Project, No. 1701KY20.</w:t>
      </w:r>
    </w:p>
    <w:p w14:paraId="2E54978D" w14:textId="77777777" w:rsidR="00A77B3E" w:rsidRPr="004D22ED" w:rsidRDefault="00A77B3E" w:rsidP="004D22ED">
      <w:pPr>
        <w:adjustRightInd w:val="0"/>
        <w:snapToGrid w:val="0"/>
        <w:spacing w:line="360" w:lineRule="auto"/>
        <w:jc w:val="both"/>
        <w:rPr>
          <w:rFonts w:ascii="Book Antiqua" w:hAnsi="Book Antiqua"/>
        </w:rPr>
      </w:pPr>
    </w:p>
    <w:p w14:paraId="7E46C9C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lastRenderedPageBreak/>
        <w:t xml:space="preserve">Corresponding author: Li-Ping Ye, PhD, Director, </w:t>
      </w:r>
      <w:r w:rsidRPr="004D22ED">
        <w:rPr>
          <w:rFonts w:ascii="Book Antiqua" w:eastAsia="Book Antiqua" w:hAnsi="Book Antiqua" w:cs="Book Antiqua"/>
        </w:rPr>
        <w:t>Department of Gastroenterology, Taizhou Hospital of Zhejiang Province, No.150 Ximen Street, Linhai 318000, Zhejiang Province, China. 774201768@qq.com</w:t>
      </w:r>
    </w:p>
    <w:p w14:paraId="7CB78AB1" w14:textId="77777777" w:rsidR="00A77B3E" w:rsidRPr="004D22ED" w:rsidRDefault="00A77B3E" w:rsidP="004D22ED">
      <w:pPr>
        <w:adjustRightInd w:val="0"/>
        <w:snapToGrid w:val="0"/>
        <w:spacing w:line="360" w:lineRule="auto"/>
        <w:jc w:val="both"/>
        <w:rPr>
          <w:rFonts w:ascii="Book Antiqua" w:hAnsi="Book Antiqua"/>
        </w:rPr>
      </w:pPr>
    </w:p>
    <w:p w14:paraId="2850998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Received: </w:t>
      </w:r>
      <w:r w:rsidRPr="004D22ED">
        <w:rPr>
          <w:rFonts w:ascii="Book Antiqua" w:eastAsia="Book Antiqua" w:hAnsi="Book Antiqua" w:cs="Book Antiqua"/>
        </w:rPr>
        <w:t>April 22, 2021</w:t>
      </w:r>
    </w:p>
    <w:p w14:paraId="371E487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Revised: </w:t>
      </w:r>
      <w:r w:rsidRPr="004D22ED">
        <w:rPr>
          <w:rFonts w:ascii="Book Antiqua" w:eastAsia="Book Antiqua" w:hAnsi="Book Antiqua" w:cs="Book Antiqua"/>
        </w:rPr>
        <w:t>June 1, 2021</w:t>
      </w:r>
    </w:p>
    <w:p w14:paraId="1FCF3CE6" w14:textId="42B565A2"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Accepted: </w:t>
      </w:r>
      <w:r w:rsidR="00FD1B88" w:rsidRPr="00FD1B88">
        <w:rPr>
          <w:rFonts w:ascii="Book Antiqua" w:eastAsia="Book Antiqua" w:hAnsi="Book Antiqua" w:cs="Book Antiqua"/>
        </w:rPr>
        <w:t>September 14, 2021</w:t>
      </w:r>
    </w:p>
    <w:p w14:paraId="6C600F7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Published online: </w:t>
      </w:r>
    </w:p>
    <w:p w14:paraId="664CDDF7" w14:textId="77777777" w:rsidR="005315A5" w:rsidRPr="004D22ED" w:rsidRDefault="005315A5" w:rsidP="004D22ED">
      <w:pPr>
        <w:adjustRightInd w:val="0"/>
        <w:snapToGrid w:val="0"/>
        <w:spacing w:line="360" w:lineRule="auto"/>
        <w:jc w:val="both"/>
        <w:rPr>
          <w:rFonts w:ascii="Book Antiqua" w:eastAsia="Book Antiqua" w:hAnsi="Book Antiqua" w:cs="Book Antiqua"/>
          <w:b/>
        </w:rPr>
      </w:pPr>
    </w:p>
    <w:p w14:paraId="5B845330" w14:textId="77777777" w:rsidR="005315A5" w:rsidRPr="004D22ED" w:rsidRDefault="005315A5" w:rsidP="004D22ED">
      <w:pPr>
        <w:adjustRightInd w:val="0"/>
        <w:snapToGrid w:val="0"/>
        <w:spacing w:line="360" w:lineRule="auto"/>
        <w:jc w:val="both"/>
        <w:rPr>
          <w:rFonts w:ascii="Book Antiqua" w:eastAsia="Book Antiqua" w:hAnsi="Book Antiqua" w:cs="Book Antiqua"/>
          <w:b/>
        </w:rPr>
      </w:pPr>
    </w:p>
    <w:p w14:paraId="69F0E428" w14:textId="77777777" w:rsidR="0072429E" w:rsidRDefault="0072429E">
      <w:pPr>
        <w:rPr>
          <w:rFonts w:ascii="Book Antiqua" w:eastAsia="Book Antiqua" w:hAnsi="Book Antiqua" w:cs="Book Antiqua"/>
          <w:b/>
        </w:rPr>
      </w:pPr>
      <w:r>
        <w:rPr>
          <w:rFonts w:ascii="Book Antiqua" w:eastAsia="Book Antiqua" w:hAnsi="Book Antiqua" w:cs="Book Antiqua"/>
          <w:b/>
        </w:rPr>
        <w:br w:type="page"/>
      </w:r>
    </w:p>
    <w:p w14:paraId="2B314283" w14:textId="6ECDD85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lastRenderedPageBreak/>
        <w:t>Abstract</w:t>
      </w:r>
    </w:p>
    <w:p w14:paraId="1BD170D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BACKGROUND</w:t>
      </w:r>
    </w:p>
    <w:p w14:paraId="4CE3768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resistance rate to antibacterial drugs is the key inhibitor of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i/>
          <w:iCs/>
        </w:rPr>
        <w:t xml:space="preserve"> </w:t>
      </w:r>
      <w:r w:rsidRPr="004D22ED">
        <w:rPr>
          <w:rFonts w:ascii="Book Antiqua" w:eastAsia="Book Antiqua" w:hAnsi="Book Antiqua" w:cs="Book Antiqua"/>
        </w:rPr>
        <w:t>(</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eradication treatment.</w:t>
      </w:r>
    </w:p>
    <w:p w14:paraId="4D46BAE9" w14:textId="77777777" w:rsidR="00A77B3E" w:rsidRPr="004D22ED" w:rsidRDefault="00A77B3E" w:rsidP="004D22ED">
      <w:pPr>
        <w:adjustRightInd w:val="0"/>
        <w:snapToGrid w:val="0"/>
        <w:spacing w:line="360" w:lineRule="auto"/>
        <w:jc w:val="both"/>
        <w:rPr>
          <w:rFonts w:ascii="Book Antiqua" w:hAnsi="Book Antiqua"/>
        </w:rPr>
      </w:pPr>
    </w:p>
    <w:p w14:paraId="2D7D5A6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AIM</w:t>
      </w:r>
    </w:p>
    <w:p w14:paraId="3D011DF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To evaluate the prevalence and drug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based on big data.</w:t>
      </w:r>
    </w:p>
    <w:p w14:paraId="6EE8828C" w14:textId="77777777" w:rsidR="00A77B3E" w:rsidRPr="004D22ED" w:rsidRDefault="00A77B3E" w:rsidP="004D22ED">
      <w:pPr>
        <w:adjustRightInd w:val="0"/>
        <w:snapToGrid w:val="0"/>
        <w:spacing w:line="360" w:lineRule="auto"/>
        <w:jc w:val="both"/>
        <w:rPr>
          <w:rFonts w:ascii="Book Antiqua" w:hAnsi="Book Antiqua"/>
        </w:rPr>
      </w:pPr>
    </w:p>
    <w:p w14:paraId="68E5169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METHODS</w:t>
      </w:r>
    </w:p>
    <w:p w14:paraId="379F8D1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Gastric mucosal specimens were collected from naive patients undergoing upper gastrointestinal endoscopy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and antimicrobial susceptibility testing (AST), including clarithromycin, levofloxacin, metronidazole and amoxicillin. Every 10 years of age was grouped as an age group.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 xml:space="preserve">pylori </w:t>
      </w:r>
      <w:r w:rsidRPr="004D22ED">
        <w:rPr>
          <w:rFonts w:ascii="Book Antiqua" w:eastAsia="Book Antiqua" w:hAnsi="Book Antiqua" w:cs="Book Antiqua"/>
        </w:rPr>
        <w:t>infection and resistance were explored based on the age group and gender.</w:t>
      </w:r>
    </w:p>
    <w:p w14:paraId="7EF5ACEF" w14:textId="77777777" w:rsidR="00A77B3E" w:rsidRPr="004D22ED" w:rsidRDefault="00A77B3E" w:rsidP="004D22ED">
      <w:pPr>
        <w:adjustRightInd w:val="0"/>
        <w:snapToGrid w:val="0"/>
        <w:spacing w:line="360" w:lineRule="auto"/>
        <w:jc w:val="both"/>
        <w:rPr>
          <w:rFonts w:ascii="Book Antiqua" w:hAnsi="Book Antiqua"/>
        </w:rPr>
      </w:pPr>
    </w:p>
    <w:p w14:paraId="31F8426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RESULTS</w:t>
      </w:r>
    </w:p>
    <w:p w14:paraId="1C17A9A8" w14:textId="2CDEB630"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number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-positive specimen was 94509 in 283823 gastric mucosal specimens, with an infection rate of 33.30%. The infection rate increased with age, and male</w:t>
      </w:r>
      <w:r w:rsidR="00590E07">
        <w:rPr>
          <w:rFonts w:ascii="Book Antiqua" w:eastAsia="Book Antiqua" w:hAnsi="Book Antiqua" w:cs="Book Antiqua"/>
        </w:rPr>
        <w:t>s</w:t>
      </w:r>
      <w:r w:rsidRPr="004D22ED">
        <w:rPr>
          <w:rFonts w:ascii="Book Antiqua" w:eastAsia="Book Antiqua" w:hAnsi="Book Antiqua" w:cs="Book Antiqua"/>
        </w:rPr>
        <w:t xml:space="preserve"> had a higher infection rate than female</w:t>
      </w:r>
      <w:r w:rsidR="00590E07">
        <w:rPr>
          <w:rFonts w:ascii="Book Antiqua" w:eastAsia="Book Antiqua" w:hAnsi="Book Antiqua" w:cs="Book Antiqua"/>
        </w:rPr>
        <w:t>s</w:t>
      </w:r>
      <w:r w:rsidRPr="004D22ED">
        <w:rPr>
          <w:rFonts w:ascii="Book Antiqua" w:eastAsia="Book Antiqua" w:hAnsi="Book Antiqua" w:cs="Book Antiqua"/>
        </w:rPr>
        <w:t xml:space="preserve">.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and metronidazole was 0.21% and 93.72%, which remained stable. The average resistance rate to clarithromycin was 23.99% with an increasing trend from 14.43% to 38.24%. The average resistance rate to levofloxacin was 30.29%, which increased from 17.07% to 39.42% and mostly stabilized after 2017.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 xml:space="preserve">pylori </w:t>
      </w:r>
      <w:r w:rsidRPr="004D22ED">
        <w:rPr>
          <w:rFonts w:ascii="Book Antiqua" w:eastAsia="Book Antiqua" w:hAnsi="Book Antiqua" w:cs="Book Antiqua"/>
        </w:rPr>
        <w:t xml:space="preserve">increased with age, except amoxicillin.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590E07">
        <w:rPr>
          <w:rFonts w:ascii="Book Antiqua" w:eastAsia="Book Antiqua" w:hAnsi="Book Antiqua" w:cs="Book Antiqua"/>
        </w:rPr>
        <w:t>s</w:t>
      </w:r>
      <w:r w:rsidRPr="004D22ED">
        <w:rPr>
          <w:rFonts w:ascii="Book Antiqua" w:eastAsia="Book Antiqua" w:hAnsi="Book Antiqua" w:cs="Book Antiqua"/>
        </w:rPr>
        <w:t xml:space="preserve"> are at higher risk of resistance to metronidazole, but not to amoxicillin, regardless of the age group. Meanwhile,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590E07">
        <w:rPr>
          <w:rFonts w:ascii="Book Antiqua" w:eastAsia="Book Antiqua" w:hAnsi="Book Antiqua" w:cs="Book Antiqua"/>
        </w:rPr>
        <w:t>s</w:t>
      </w:r>
      <w:r w:rsidRPr="004D22ED">
        <w:rPr>
          <w:rFonts w:ascii="Book Antiqua" w:eastAsia="Book Antiqua" w:hAnsi="Book Antiqua" w:cs="Book Antiqua"/>
        </w:rPr>
        <w:t xml:space="preserve"> are at higher risk of resistance to levofloxacin and clarithromycin in the 21-50 age group. The single, dual, triple and quadruple-drug resistance rate was 54.59%, 29.03%, 11.71% and 0.11%, respectively.</w:t>
      </w:r>
    </w:p>
    <w:p w14:paraId="52D455C4" w14:textId="77777777" w:rsidR="00A77B3E" w:rsidRPr="004D22ED" w:rsidRDefault="00A77B3E" w:rsidP="004D22ED">
      <w:pPr>
        <w:adjustRightInd w:val="0"/>
        <w:snapToGrid w:val="0"/>
        <w:spacing w:line="360" w:lineRule="auto"/>
        <w:jc w:val="both"/>
        <w:rPr>
          <w:rFonts w:ascii="Book Antiqua" w:hAnsi="Book Antiqua"/>
        </w:rPr>
      </w:pPr>
    </w:p>
    <w:p w14:paraId="36EB21D6"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CONCLUSION</w:t>
      </w:r>
    </w:p>
    <w:p w14:paraId="757DDC3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lastRenderedPageBreak/>
        <w:t>The resistance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is serious. Guided by the consensus report, individualized treatment based on AST is recommended.</w:t>
      </w:r>
    </w:p>
    <w:p w14:paraId="78762323" w14:textId="77777777" w:rsidR="00A77B3E" w:rsidRPr="004D22ED" w:rsidRDefault="00A77B3E" w:rsidP="004D22ED">
      <w:pPr>
        <w:adjustRightInd w:val="0"/>
        <w:snapToGrid w:val="0"/>
        <w:spacing w:line="360" w:lineRule="auto"/>
        <w:jc w:val="both"/>
        <w:rPr>
          <w:rFonts w:ascii="Book Antiqua" w:hAnsi="Book Antiqua"/>
        </w:rPr>
      </w:pPr>
    </w:p>
    <w:p w14:paraId="672EEAF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Key Words: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shd w:val="clear" w:color="auto" w:fill="FFFFFF"/>
        </w:rPr>
        <w:t>; Infection; Resistance; Age group; Gender</w:t>
      </w:r>
    </w:p>
    <w:p w14:paraId="0DF95D01" w14:textId="77777777" w:rsidR="00A77B3E" w:rsidRPr="004D22ED" w:rsidRDefault="00A77B3E" w:rsidP="004D22ED">
      <w:pPr>
        <w:adjustRightInd w:val="0"/>
        <w:snapToGrid w:val="0"/>
        <w:spacing w:line="360" w:lineRule="auto"/>
        <w:jc w:val="both"/>
        <w:rPr>
          <w:rFonts w:ascii="Book Antiqua" w:hAnsi="Book Antiqua"/>
        </w:rPr>
      </w:pPr>
    </w:p>
    <w:p w14:paraId="32719D3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Zhang Y, Meng F, Jin J, Wang J, Gu BB, Peng JB, Ye LP. Ninety-four thousand-case retrospective study on antibacterial drug resistance of </w:t>
      </w:r>
      <w:r w:rsidRPr="004D22ED">
        <w:rPr>
          <w:rFonts w:ascii="Book Antiqua" w:eastAsia="Book Antiqua" w:hAnsi="Book Antiqua" w:cs="Book Antiqua"/>
          <w:i/>
        </w:rPr>
        <w:t>Helicobacter pylori</w:t>
      </w:r>
      <w:r w:rsidRPr="004D22ED">
        <w:rPr>
          <w:rFonts w:ascii="Book Antiqua" w:eastAsia="Book Antiqua" w:hAnsi="Book Antiqua" w:cs="Book Antiqua"/>
        </w:rPr>
        <w:t xml:space="preserve">. </w:t>
      </w:r>
      <w:r w:rsidRPr="004D22ED">
        <w:rPr>
          <w:rFonts w:ascii="Book Antiqua" w:eastAsia="Book Antiqua" w:hAnsi="Book Antiqua" w:cs="Book Antiqua"/>
          <w:i/>
          <w:iCs/>
        </w:rPr>
        <w:t>World J Clin Cases</w:t>
      </w:r>
      <w:r w:rsidRPr="004D22ED">
        <w:rPr>
          <w:rFonts w:ascii="Book Antiqua" w:eastAsia="Book Antiqua" w:hAnsi="Book Antiqua" w:cs="Book Antiqua"/>
        </w:rPr>
        <w:t xml:space="preserve"> 2021; In press</w:t>
      </w:r>
    </w:p>
    <w:p w14:paraId="4BA94D7A" w14:textId="77777777" w:rsidR="00A77B3E" w:rsidRPr="004D22ED" w:rsidRDefault="00A77B3E" w:rsidP="004D22ED">
      <w:pPr>
        <w:adjustRightInd w:val="0"/>
        <w:snapToGrid w:val="0"/>
        <w:spacing w:line="360" w:lineRule="auto"/>
        <w:jc w:val="both"/>
        <w:rPr>
          <w:rFonts w:ascii="Book Antiqua" w:hAnsi="Book Antiqua"/>
        </w:rPr>
      </w:pPr>
    </w:p>
    <w:p w14:paraId="390E1CE2" w14:textId="4D0F91E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Core Tip: </w:t>
      </w:r>
      <w:r w:rsidRPr="004D22ED">
        <w:rPr>
          <w:rFonts w:ascii="Book Antiqua" w:eastAsia="Book Antiqua" w:hAnsi="Book Antiqua" w:cs="Book Antiqua"/>
        </w:rPr>
        <w:t xml:space="preserve">We shared a 10-year data in prevalence and resistance of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i/>
          <w:iCs/>
        </w:rPr>
        <w:t xml:space="preserve"> </w:t>
      </w:r>
      <w:r w:rsidRPr="004D22ED">
        <w:rPr>
          <w:rFonts w:ascii="Book Antiqua" w:eastAsia="Book Antiqua" w:hAnsi="Book Antiqua" w:cs="Book Antiqua"/>
        </w:rPr>
        <w:t>(</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in Taizhou city, Zhejiang province, China. We found that the infection rate increased with age, and male</w:t>
      </w:r>
      <w:r w:rsidR="002B0A68">
        <w:rPr>
          <w:rFonts w:ascii="Book Antiqua" w:eastAsia="Book Antiqua" w:hAnsi="Book Antiqua" w:cs="Book Antiqua"/>
        </w:rPr>
        <w:t>s</w:t>
      </w:r>
      <w:r w:rsidRPr="004D22ED">
        <w:rPr>
          <w:rFonts w:ascii="Book Antiqua" w:eastAsia="Book Antiqua" w:hAnsi="Book Antiqua" w:cs="Book Antiqua"/>
        </w:rPr>
        <w:t xml:space="preserve"> had a higher infection rate than female</w:t>
      </w:r>
      <w:r w:rsidR="002B0A68">
        <w:rPr>
          <w:rFonts w:ascii="Book Antiqua" w:eastAsia="Book Antiqua" w:hAnsi="Book Antiqua" w:cs="Book Antiqua"/>
        </w:rPr>
        <w:t>s</w:t>
      </w:r>
      <w:r w:rsidRPr="004D22ED">
        <w:rPr>
          <w:rFonts w:ascii="Book Antiqua" w:eastAsia="Book Antiqua" w:hAnsi="Book Antiqua" w:cs="Book Antiqua"/>
        </w:rPr>
        <w:t xml:space="preserve">.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metronidazole, clarithromycin and levofloxacin was increased with age.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2B0A68">
        <w:rPr>
          <w:rFonts w:ascii="Book Antiqua" w:eastAsia="Book Antiqua" w:hAnsi="Book Antiqua" w:cs="Book Antiqua"/>
        </w:rPr>
        <w:t>s</w:t>
      </w:r>
      <w:r w:rsidRPr="004D22ED">
        <w:rPr>
          <w:rFonts w:ascii="Book Antiqua" w:eastAsia="Book Antiqua" w:hAnsi="Book Antiqua" w:cs="Book Antiqua"/>
        </w:rPr>
        <w:t xml:space="preserve"> are at higher risk of resistance to metronidazole, but not to amoxicillin, regardless of the age group. Meanwhile,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2B0A68">
        <w:rPr>
          <w:rFonts w:ascii="Book Antiqua" w:eastAsia="Book Antiqua" w:hAnsi="Book Antiqua" w:cs="Book Antiqua"/>
        </w:rPr>
        <w:t>s</w:t>
      </w:r>
      <w:r w:rsidRPr="004D22ED">
        <w:rPr>
          <w:rFonts w:ascii="Book Antiqua" w:eastAsia="Book Antiqua" w:hAnsi="Book Antiqua" w:cs="Book Antiqua"/>
        </w:rPr>
        <w:t xml:space="preserve"> are at higher risk of resistance to levofloxacin and clarithromycin in the 21-50 age group.</w:t>
      </w:r>
    </w:p>
    <w:p w14:paraId="6D76E297" w14:textId="596DC40C" w:rsidR="0072429E" w:rsidRDefault="0072429E">
      <w:pPr>
        <w:rPr>
          <w:rFonts w:ascii="Book Antiqua" w:hAnsi="Book Antiqua"/>
        </w:rPr>
      </w:pPr>
      <w:r>
        <w:rPr>
          <w:rFonts w:ascii="Book Antiqua" w:hAnsi="Book Antiqua"/>
        </w:rPr>
        <w:br w:type="page"/>
      </w:r>
    </w:p>
    <w:p w14:paraId="04DFA88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lastRenderedPageBreak/>
        <w:t>INTRODUCTION</w:t>
      </w:r>
    </w:p>
    <w:p w14:paraId="13520011" w14:textId="479CCE36"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shd w:val="clear" w:color="auto" w:fill="FFFFFF"/>
        </w:rPr>
        <w:t>According to the estimates by GLOBOCAN,</w:t>
      </w:r>
      <w:r w:rsidRPr="004D22ED">
        <w:rPr>
          <w:rFonts w:ascii="Book Antiqua" w:eastAsia="Book Antiqua" w:hAnsi="Book Antiqua" w:cs="Book Antiqua"/>
        </w:rPr>
        <w:t xml:space="preserve"> </w:t>
      </w:r>
      <w:r w:rsidRPr="004D22ED">
        <w:rPr>
          <w:rFonts w:ascii="Book Antiqua" w:eastAsia="Book Antiqua" w:hAnsi="Book Antiqua" w:cs="Book Antiqua"/>
          <w:shd w:val="clear" w:color="auto" w:fill="FFFFFF"/>
        </w:rPr>
        <w:t>1</w:t>
      </w:r>
      <w:r w:rsidR="002B0A68">
        <w:rPr>
          <w:rFonts w:ascii="Book Antiqua" w:eastAsia="Book Antiqua" w:hAnsi="Book Antiqua" w:cs="Book Antiqua"/>
          <w:shd w:val="clear" w:color="auto" w:fill="FFFFFF"/>
        </w:rPr>
        <w:t>,</w:t>
      </w:r>
      <w:r w:rsidRPr="004D22ED">
        <w:rPr>
          <w:rFonts w:ascii="Book Antiqua" w:eastAsia="Book Antiqua" w:hAnsi="Book Antiqua" w:cs="Book Antiqua"/>
          <w:shd w:val="clear" w:color="auto" w:fill="FFFFFF"/>
        </w:rPr>
        <w:t>033</w:t>
      </w:r>
      <w:r w:rsidR="002B0A68">
        <w:rPr>
          <w:rFonts w:ascii="Book Antiqua" w:eastAsia="Book Antiqua" w:hAnsi="Book Antiqua" w:cs="Book Antiqua"/>
          <w:shd w:val="clear" w:color="auto" w:fill="FFFFFF"/>
        </w:rPr>
        <w:t>,</w:t>
      </w:r>
      <w:r w:rsidRPr="004D22ED">
        <w:rPr>
          <w:rFonts w:ascii="Book Antiqua" w:eastAsia="Book Antiqua" w:hAnsi="Book Antiqua" w:cs="Book Antiqua"/>
          <w:shd w:val="clear" w:color="auto" w:fill="FFFFFF"/>
        </w:rPr>
        <w:t>701</w:t>
      </w:r>
      <w:r w:rsidRPr="004D22ED">
        <w:rPr>
          <w:rFonts w:ascii="Book Antiqua" w:eastAsia="Book Antiqua" w:hAnsi="Book Antiqua" w:cs="Book Antiqua"/>
        </w:rPr>
        <w:t xml:space="preserve"> individuals developed gastric cancer, and an estimated 782685 related deaths </w:t>
      </w:r>
      <w:r w:rsidRPr="004D22ED">
        <w:rPr>
          <w:rFonts w:ascii="Book Antiqua" w:eastAsia="Book Antiqua" w:hAnsi="Book Antiqua" w:cs="Book Antiqua"/>
          <w:shd w:val="clear" w:color="auto" w:fill="FFFFFF"/>
        </w:rPr>
        <w:t>occurred in 2018</w:t>
      </w:r>
      <w:r w:rsidRPr="004D22ED">
        <w:rPr>
          <w:rFonts w:ascii="Book Antiqua" w:eastAsia="Book Antiqua" w:hAnsi="Book Antiqua" w:cs="Book Antiqua"/>
          <w:vertAlign w:val="superscript"/>
        </w:rPr>
        <w:t>[1]</w:t>
      </w:r>
      <w:r w:rsidRPr="004D22ED">
        <w:rPr>
          <w:rFonts w:ascii="Book Antiqua" w:eastAsia="Book Antiqua" w:hAnsi="Book Antiqua" w:cs="Book Antiqua"/>
        </w:rPr>
        <w:t>. In China, gastric cancer is ranked second for incidence rate and third for mortality rate</w:t>
      </w:r>
      <w:r w:rsidR="002B0A68">
        <w:rPr>
          <w:rFonts w:ascii="Book Antiqua" w:eastAsia="Book Antiqua" w:hAnsi="Book Antiqua" w:cs="Book Antiqua"/>
        </w:rPr>
        <w:t>s</w:t>
      </w:r>
      <w:r w:rsidRPr="004D22ED">
        <w:rPr>
          <w:rFonts w:ascii="Book Antiqua" w:eastAsia="Book Antiqua" w:hAnsi="Book Antiqua" w:cs="Book Antiqua"/>
        </w:rPr>
        <w:t xml:space="preserve"> among all cancers, while in Western Europe, the incidence rate ranks 9</w:t>
      </w:r>
      <w:r w:rsidRPr="004D22ED">
        <w:rPr>
          <w:rFonts w:ascii="Book Antiqua" w:eastAsia="Book Antiqua" w:hAnsi="Book Antiqua" w:cs="Book Antiqua"/>
          <w:vertAlign w:val="superscript"/>
        </w:rPr>
        <w:t>th</w:t>
      </w:r>
      <w:r w:rsidRPr="004D22ED">
        <w:rPr>
          <w:rFonts w:ascii="Book Antiqua" w:eastAsia="Book Antiqua" w:hAnsi="Book Antiqua" w:cs="Book Antiqua"/>
        </w:rPr>
        <w:t xml:space="preserve"> and the mortality rate ranks 6</w:t>
      </w:r>
      <w:r w:rsidRPr="004D22ED">
        <w:rPr>
          <w:rFonts w:ascii="Book Antiqua" w:eastAsia="Book Antiqua" w:hAnsi="Book Antiqua" w:cs="Book Antiqua"/>
          <w:vertAlign w:val="superscript"/>
        </w:rPr>
        <w:t>th</w:t>
      </w:r>
      <w:r w:rsidRPr="004D22ED">
        <w:rPr>
          <w:rFonts w:ascii="Book Antiqua" w:eastAsia="Book Antiqua" w:hAnsi="Book Antiqua" w:cs="Book Antiqua"/>
        </w:rPr>
        <w:t>. In North America, the incidence rate and mortality rate</w:t>
      </w:r>
      <w:r w:rsidR="002B0A68">
        <w:rPr>
          <w:rFonts w:ascii="Book Antiqua" w:eastAsia="Book Antiqua" w:hAnsi="Book Antiqua" w:cs="Book Antiqua"/>
        </w:rPr>
        <w:t>s</w:t>
      </w:r>
      <w:r w:rsidRPr="004D22ED">
        <w:rPr>
          <w:rFonts w:ascii="Book Antiqua" w:eastAsia="Book Antiqua" w:hAnsi="Book Antiqua" w:cs="Book Antiqua"/>
        </w:rPr>
        <w:t xml:space="preserve"> of gastric cancer rank 13</w:t>
      </w:r>
      <w:r w:rsidRPr="004D22ED">
        <w:rPr>
          <w:rFonts w:ascii="Book Antiqua" w:eastAsia="Book Antiqua" w:hAnsi="Book Antiqua" w:cs="Book Antiqua"/>
          <w:vertAlign w:val="superscript"/>
        </w:rPr>
        <w:t>th</w:t>
      </w:r>
      <w:r w:rsidRPr="004D22ED">
        <w:rPr>
          <w:rFonts w:ascii="Book Antiqua" w:eastAsia="Book Antiqua" w:hAnsi="Book Antiqua" w:cs="Book Antiqua"/>
        </w:rPr>
        <w:t xml:space="preserve"> and 9</w:t>
      </w:r>
      <w:r w:rsidRPr="004D22ED">
        <w:rPr>
          <w:rFonts w:ascii="Book Antiqua" w:eastAsia="Book Antiqua" w:hAnsi="Book Antiqua" w:cs="Book Antiqua"/>
          <w:vertAlign w:val="superscript"/>
        </w:rPr>
        <w:t>th</w:t>
      </w:r>
      <w:r w:rsidRPr="004D22ED">
        <w:rPr>
          <w:rFonts w:ascii="Book Antiqua" w:eastAsia="Book Antiqua" w:hAnsi="Book Antiqua" w:cs="Book Antiqua"/>
        </w:rPr>
        <w:t xml:space="preserve"> respectively</w:t>
      </w:r>
      <w:r w:rsidRPr="004D22ED">
        <w:rPr>
          <w:rFonts w:ascii="Book Antiqua" w:eastAsia="Book Antiqua" w:hAnsi="Book Antiqua" w:cs="Book Antiqua"/>
          <w:vertAlign w:val="superscript"/>
        </w:rPr>
        <w:t>[2]</w:t>
      </w:r>
      <w:r w:rsidRPr="004D22ED">
        <w:rPr>
          <w:rFonts w:ascii="Book Antiqua" w:eastAsia="Book Antiqua" w:hAnsi="Book Antiqua" w:cs="Book Antiqua"/>
        </w:rPr>
        <w:t xml:space="preserve">. </w:t>
      </w:r>
      <w:r w:rsidRPr="004D22ED">
        <w:rPr>
          <w:rFonts w:ascii="Book Antiqua" w:eastAsia="Book Antiqua" w:hAnsi="Book Antiqua" w:cs="Book Antiqua"/>
          <w:i/>
          <w:iCs/>
        </w:rPr>
        <w:t>Helicobacter pylori</w:t>
      </w:r>
      <w:r w:rsidRPr="004D22ED">
        <w:rPr>
          <w:rFonts w:ascii="Book Antiqua" w:eastAsia="Book Antiqua" w:hAnsi="Book Antiqua" w:cs="Book Antiqua"/>
        </w:rPr>
        <w:t xml:space="preserv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is the most important pathogenic factor of gastric cancer which accounted for 44.2% of new gastric cancer cases globally</w:t>
      </w:r>
      <w:r w:rsidRPr="004D22ED">
        <w:rPr>
          <w:rFonts w:ascii="Book Antiqua" w:eastAsia="Book Antiqua" w:hAnsi="Book Antiqua" w:cs="Book Antiqua"/>
          <w:vertAlign w:val="superscript"/>
        </w:rPr>
        <w:t>[2]</w:t>
      </w:r>
      <w:r w:rsidRPr="004D22ED">
        <w:rPr>
          <w:rFonts w:ascii="Book Antiqua" w:eastAsia="Book Antiqua" w:hAnsi="Book Antiqua" w:cs="Book Antiqua"/>
        </w:rPr>
        <w:t xml:space="preserv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was estimated to be responsible for more than 78.00% of new gastric cancer cases in 2018, and the total number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-related cases is not expected to decrease for decades due to global population growth and aging</w:t>
      </w:r>
      <w:r w:rsidRPr="004D22ED">
        <w:rPr>
          <w:rFonts w:ascii="Book Antiqua" w:eastAsia="Book Antiqua" w:hAnsi="Book Antiqua" w:cs="Book Antiqua"/>
          <w:vertAlign w:val="superscript"/>
        </w:rPr>
        <w:t>[3]</w:t>
      </w:r>
      <w:r w:rsidRPr="004D22ED">
        <w:rPr>
          <w:rFonts w:ascii="Book Antiqua" w:eastAsia="Book Antiqua" w:hAnsi="Book Antiqua" w:cs="Book Antiqua"/>
        </w:rPr>
        <w:t xml:space="preserve">. Moreover, </w:t>
      </w:r>
      <w:r w:rsidRPr="004D22ED">
        <w:rPr>
          <w:rFonts w:ascii="Book Antiqua" w:eastAsia="Book Antiqua" w:hAnsi="Book Antiqua" w:cs="Book Antiqua"/>
          <w:i/>
          <w:iCs/>
        </w:rPr>
        <w:t>H. pylori</w:t>
      </w:r>
      <w:r w:rsidRPr="004D22ED">
        <w:rPr>
          <w:rFonts w:ascii="Book Antiqua" w:eastAsia="Book Antiqua" w:hAnsi="Book Antiqua" w:cs="Book Antiqua"/>
        </w:rPr>
        <w:t xml:space="preserve"> causes substantial morbidity from various peptic ulcer diseases, gastritis and even gastric lymphoma. </w:t>
      </w:r>
      <w:r w:rsidRPr="004D22ED">
        <w:rPr>
          <w:rFonts w:ascii="Book Antiqua" w:eastAsia="Book Antiqua" w:hAnsi="Book Antiqua" w:cs="Book Antiqua"/>
          <w:i/>
          <w:iCs/>
        </w:rPr>
        <w:t>H. pylori</w:t>
      </w:r>
      <w:r w:rsidRPr="004D22ED">
        <w:rPr>
          <w:rFonts w:ascii="Book Antiqua" w:eastAsia="Book Antiqua" w:hAnsi="Book Antiqua" w:cs="Book Antiqua"/>
        </w:rPr>
        <w:t xml:space="preserve"> is classified as carcinogenic (Group 1) to humans by the Monographs program of the International Agency for Research on Cancer</w:t>
      </w:r>
      <w:r w:rsidRPr="004D22ED">
        <w:rPr>
          <w:rFonts w:ascii="Book Antiqua" w:eastAsia="Book Antiqua" w:hAnsi="Book Antiqua" w:cs="Book Antiqua"/>
          <w:vertAlign w:val="superscript"/>
        </w:rPr>
        <w:t>[4]</w:t>
      </w:r>
      <w:r w:rsidRPr="004D22ED">
        <w:rPr>
          <w:rFonts w:ascii="Book Antiqua" w:eastAsia="Book Antiqua" w:hAnsi="Book Antiqua" w:cs="Book Antiqua"/>
        </w:rPr>
        <w:t>.</w:t>
      </w:r>
    </w:p>
    <w:p w14:paraId="4BD953A8" w14:textId="239E1A76"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Several recent publications have demonstrated the global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to be approximately 50%</w:t>
      </w:r>
      <w:r w:rsidRPr="004D22ED">
        <w:rPr>
          <w:rFonts w:ascii="Book Antiqua" w:eastAsia="Book Antiqua" w:hAnsi="Book Antiqua" w:cs="Book Antiqua"/>
          <w:vertAlign w:val="superscript"/>
        </w:rPr>
        <w:t>[5</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6]</w:t>
      </w:r>
      <w:r w:rsidRPr="004D22ED">
        <w:rPr>
          <w:rFonts w:ascii="Book Antiqua" w:eastAsia="Book Antiqua" w:hAnsi="Book Antiqua" w:cs="Book Antiqua"/>
        </w:rPr>
        <w:t xml:space="preserve">. Large differences were observed between areas within large countries, such as China, which is one of the countries with the highest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 xml:space="preserve">pylori </w:t>
      </w:r>
      <w:r w:rsidRPr="004D22ED">
        <w:rPr>
          <w:rFonts w:ascii="Book Antiqua" w:eastAsia="Book Antiqua" w:hAnsi="Book Antiqua" w:cs="Book Antiqua"/>
        </w:rPr>
        <w:t>infection</w:t>
      </w:r>
      <w:r w:rsidRPr="004D22ED">
        <w:rPr>
          <w:rFonts w:ascii="Book Antiqua" w:eastAsia="Book Antiqua" w:hAnsi="Book Antiqua" w:cs="Book Antiqua"/>
          <w:vertAlign w:val="superscript"/>
        </w:rPr>
        <w:t>[7]</w:t>
      </w:r>
      <w:r w:rsidRPr="004D22ED">
        <w:rPr>
          <w:rFonts w:ascii="Book Antiqua" w:eastAsia="Book Antiqua" w:hAnsi="Book Antiqua" w:cs="Book Antiqua"/>
        </w:rPr>
        <w:t xml:space="preserve">. Wuwei city has a much higher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(72.28%) than all other areas in China, followed by Fengkai city (55.90%). Dali city has the lowest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of 11.36%</w:t>
      </w:r>
      <w:r w:rsidRPr="004D22ED">
        <w:rPr>
          <w:rFonts w:ascii="Book Antiqua" w:eastAsia="Book Antiqua" w:hAnsi="Book Antiqua" w:cs="Book Antiqua"/>
          <w:vertAlign w:val="superscript"/>
        </w:rPr>
        <w:t>[8]</w:t>
      </w:r>
      <w:r w:rsidRPr="004D22ED">
        <w:rPr>
          <w:rFonts w:ascii="Book Antiqua" w:eastAsia="Book Antiqua" w:hAnsi="Book Antiqua" w:cs="Book Antiqua"/>
        </w:rPr>
        <w:t xml:space="preserve">. Effective treatment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with a combination of antibacterial drugs, proton pump inhibitors and bismuth</w:t>
      </w:r>
      <w:r w:rsidR="002B0A68">
        <w:rPr>
          <w:rFonts w:ascii="Book Antiqua" w:eastAsia="Book Antiqua" w:hAnsi="Book Antiqua" w:cs="Book Antiqua"/>
        </w:rPr>
        <w:t xml:space="preserve"> all</w:t>
      </w:r>
      <w:r w:rsidRPr="004D22ED">
        <w:rPr>
          <w:rFonts w:ascii="Book Antiqua" w:eastAsia="Book Antiqua" w:hAnsi="Book Antiqua" w:cs="Book Antiqua"/>
        </w:rPr>
        <w:t xml:space="preserve"> </w:t>
      </w:r>
      <w:r w:rsidR="001955C5" w:rsidRPr="004D22ED">
        <w:rPr>
          <w:rFonts w:ascii="Book Antiqua" w:eastAsia="Book Antiqua" w:hAnsi="Book Antiqua" w:cs="Book Antiqua"/>
        </w:rPr>
        <w:t>contribute</w:t>
      </w:r>
      <w:r w:rsidRPr="004D22ED">
        <w:rPr>
          <w:rFonts w:ascii="Book Antiqua" w:eastAsia="Book Antiqua" w:hAnsi="Book Antiqua" w:cs="Book Antiqua"/>
        </w:rPr>
        <w:t xml:space="preserve"> to a decline in peptic ulcer disease incidence and the gastric cancer mortality rate. The resistance rate to antibacterial drugs is the key inhibitor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treatment. Some data that describe the resistance rates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indicate a correlation with age</w:t>
      </w:r>
      <w:r w:rsidRPr="004D22ED">
        <w:rPr>
          <w:rFonts w:ascii="Book Antiqua" w:eastAsia="Book Antiqua" w:hAnsi="Book Antiqua" w:cs="Book Antiqua"/>
          <w:vertAlign w:val="superscript"/>
        </w:rPr>
        <w:t>[9]</w:t>
      </w:r>
      <w:r w:rsidRPr="004D22ED">
        <w:rPr>
          <w:rFonts w:ascii="Book Antiqua" w:eastAsia="Book Antiqua" w:hAnsi="Book Antiqua" w:cs="Book Antiqua"/>
        </w:rPr>
        <w:t xml:space="preserve">. Populations of different ages with various antibiotic usage habits may have different resistances to antibacterial drugs used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treatment, and this result will be more apparent when examined by big data analysis.</w:t>
      </w:r>
    </w:p>
    <w:p w14:paraId="6B6B38CF"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Thus, big data-based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and drug resistance statistical programs are critical. In this study, we shared a 10-year data analysis on the prevalence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Zhejiang Province, China.</w:t>
      </w:r>
    </w:p>
    <w:p w14:paraId="0B6F42CE" w14:textId="77777777" w:rsidR="00A77B3E" w:rsidRPr="004D22ED" w:rsidRDefault="00A77B3E" w:rsidP="004D22ED">
      <w:pPr>
        <w:adjustRightInd w:val="0"/>
        <w:snapToGrid w:val="0"/>
        <w:spacing w:line="360" w:lineRule="auto"/>
        <w:ind w:firstLine="420"/>
        <w:jc w:val="both"/>
        <w:rPr>
          <w:rFonts w:ascii="Book Antiqua" w:hAnsi="Book Antiqua"/>
        </w:rPr>
      </w:pPr>
    </w:p>
    <w:p w14:paraId="4662980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MATERIALS AND METHODS</w:t>
      </w:r>
    </w:p>
    <w:p w14:paraId="4F6E168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Research object</w:t>
      </w:r>
    </w:p>
    <w:p w14:paraId="4D644EA1" w14:textId="77D26A1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This multicenter retrospective study was conducted from January 2011 to December 2020 in Taizhou city, Zhejiang Province, China. Gastric mucosal specimens were collected from patients undergoing upper gastrointestinal endoscopy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and </w:t>
      </w:r>
      <w:r w:rsidRPr="004D22ED">
        <w:rPr>
          <w:rFonts w:ascii="Book Antiqua" w:eastAsia="Book Antiqua" w:hAnsi="Book Antiqua" w:cs="Book Antiqua"/>
          <w:i/>
          <w:iCs/>
        </w:rPr>
        <w:t>in vitro</w:t>
      </w:r>
      <w:r w:rsidRPr="004D22ED">
        <w:rPr>
          <w:rFonts w:ascii="Book Antiqua" w:eastAsia="Book Antiqua" w:hAnsi="Book Antiqua" w:cs="Book Antiqua"/>
        </w:rPr>
        <w:t xml:space="preserve"> antimicrobial susceptibility testing (AST). Patients in this study followed the enrollment criteria: (1) With gastrointestinal symptoms such as abdominal pain, bloating, acid reflux and nausea, </w:t>
      </w:r>
      <w:r w:rsidRPr="004D22ED">
        <w:rPr>
          <w:rFonts w:ascii="Book Antiqua" w:eastAsia="Book Antiqua" w:hAnsi="Book Antiqua" w:cs="Book Antiqua"/>
          <w:i/>
          <w:iCs/>
        </w:rPr>
        <w:t>etc.</w:t>
      </w:r>
      <w:r w:rsidRPr="004D22ED">
        <w:rPr>
          <w:rFonts w:ascii="Book Antiqua" w:eastAsia="Book Antiqua" w:hAnsi="Book Antiqua" w:cs="Book Antiqua"/>
        </w:rPr>
        <w:t xml:space="preserve">; (2) Gastroscopic diagnosed as gastric, duodenal peptic ulcer and chronic gastritis with erosion, </w:t>
      </w:r>
      <w:r w:rsidRPr="004D22ED">
        <w:rPr>
          <w:rFonts w:ascii="Book Antiqua" w:eastAsia="Book Antiqua" w:hAnsi="Book Antiqua" w:cs="Book Antiqua"/>
          <w:i/>
          <w:iCs/>
        </w:rPr>
        <w:t>etc.</w:t>
      </w:r>
      <w:r w:rsidRPr="004D22ED">
        <w:rPr>
          <w:rFonts w:ascii="Book Antiqua" w:eastAsia="Book Antiqua" w:hAnsi="Book Antiqua" w:cs="Book Antiqua"/>
        </w:rPr>
        <w:t>; (3) No severe damage to heart, liver, and kidney function, and no allergi</w:t>
      </w:r>
      <w:r w:rsidR="002B0A68">
        <w:rPr>
          <w:rFonts w:ascii="Book Antiqua" w:eastAsia="Book Antiqua" w:hAnsi="Book Antiqua" w:cs="Book Antiqua"/>
        </w:rPr>
        <w:t>es</w:t>
      </w:r>
      <w:r w:rsidRPr="004D22ED">
        <w:rPr>
          <w:rFonts w:ascii="Book Antiqua" w:eastAsia="Book Antiqua" w:hAnsi="Book Antiqua" w:cs="Book Antiqua"/>
        </w:rPr>
        <w:t xml:space="preserve"> to antibacterial drugs used in AST; (4) Non-pregnant or breastfeeding women, no gastrointestinal bleeding, perforation, pyloric obstruction, or cancer complications; (5) Have not taken any antibacterial drugs, bismuth, H</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receptor antagonist or proton-pump inhibitors within half a month; and (6) agree to conduct gastric mucosal tissue sampling,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and </w:t>
      </w:r>
      <w:r w:rsidRPr="004D22ED">
        <w:rPr>
          <w:rFonts w:ascii="Book Antiqua" w:eastAsia="Book Antiqua" w:hAnsi="Book Antiqua" w:cs="Book Antiqua"/>
          <w:i/>
          <w:iCs/>
        </w:rPr>
        <w:t>in vitro</w:t>
      </w:r>
      <w:r w:rsidRPr="004D22ED">
        <w:rPr>
          <w:rFonts w:ascii="Book Antiqua" w:eastAsia="Book Antiqua" w:hAnsi="Book Antiqua" w:cs="Book Antiqua"/>
        </w:rPr>
        <w:t xml:space="preserve"> AST, and signed their informed consent. The study had been approved by the ethics committee of Taizhou Hospital of Zhejiang Province.</w:t>
      </w:r>
    </w:p>
    <w:p w14:paraId="1C2958CC" w14:textId="77777777" w:rsidR="00A77B3E" w:rsidRPr="004D22ED" w:rsidRDefault="00A77B3E" w:rsidP="004D22ED">
      <w:pPr>
        <w:adjustRightInd w:val="0"/>
        <w:snapToGrid w:val="0"/>
        <w:spacing w:line="360" w:lineRule="auto"/>
        <w:jc w:val="both"/>
        <w:rPr>
          <w:rFonts w:ascii="Book Antiqua" w:hAnsi="Book Antiqua"/>
        </w:rPr>
      </w:pPr>
    </w:p>
    <w:p w14:paraId="7940499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Sample collection</w:t>
      </w:r>
    </w:p>
    <w:p w14:paraId="3253607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A gastric mucosal specimen was collected from lesser curvature of the gastric antrum, greater curvature of the gastric body, or the tissue adjacent to the lesion. After biopsy, the specimen was immersed in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preservation tube containing brain heart infusion. All specimens were transported on dry ice throughout the entire process to Zhiyuan Medical Inspection Institute Co., Ltd.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isolation, identification and AST.</w:t>
      </w:r>
    </w:p>
    <w:p w14:paraId="43A8D44E" w14:textId="77777777" w:rsidR="00A77B3E" w:rsidRPr="004D22ED" w:rsidRDefault="00A77B3E" w:rsidP="004D22ED">
      <w:pPr>
        <w:adjustRightInd w:val="0"/>
        <w:snapToGrid w:val="0"/>
        <w:spacing w:line="360" w:lineRule="auto"/>
        <w:jc w:val="both"/>
        <w:rPr>
          <w:rFonts w:ascii="Book Antiqua" w:hAnsi="Book Antiqua"/>
        </w:rPr>
      </w:pPr>
    </w:p>
    <w:p w14:paraId="3EE57FB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H. pylori isolation, culture and identification</w:t>
      </w:r>
    </w:p>
    <w:p w14:paraId="05615EFC" w14:textId="38DC1E31"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Thawed the gastric mucosal specimen at room temperature and fully ground it into homogenate with 600 μL</w:t>
      </w:r>
      <w:r w:rsidR="00947C0A">
        <w:rPr>
          <w:rFonts w:ascii="Book Antiqua" w:eastAsia="Book Antiqua" w:hAnsi="Book Antiqua" w:cs="Book Antiqua"/>
        </w:rPr>
        <w:t xml:space="preserve"> of</w:t>
      </w:r>
      <w:r w:rsidRPr="004D22ED">
        <w:rPr>
          <w:rFonts w:ascii="Book Antiqua" w:eastAsia="Book Antiqua" w:hAnsi="Book Antiqua" w:cs="Book Antiqua"/>
        </w:rPr>
        <w:t xml:space="preserve"> brain heart infusion in a glass grinder. Spread the tissue homogenate on a Columbia blood plate (OXOID, England) containing 5% sheep blood </w:t>
      </w:r>
      <w:r w:rsidRPr="004D22ED">
        <w:rPr>
          <w:rFonts w:ascii="Book Antiqua" w:eastAsia="Book Antiqua" w:hAnsi="Book Antiqua" w:cs="Book Antiqua"/>
        </w:rPr>
        <w:lastRenderedPageBreak/>
        <w:t xml:space="preserve">by streaking. Cultivated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a 37 °C mixed gas incubator (5% O</w:t>
      </w:r>
      <w:r w:rsidRPr="004D22ED">
        <w:rPr>
          <w:rFonts w:ascii="Book Antiqua" w:eastAsia="Book Antiqua" w:hAnsi="Book Antiqua" w:cs="Book Antiqua"/>
          <w:vertAlign w:val="subscript"/>
        </w:rPr>
        <w:t>2</w:t>
      </w:r>
      <w:r w:rsidRPr="004D22ED">
        <w:rPr>
          <w:rFonts w:ascii="Book Antiqua" w:eastAsia="Book Antiqua" w:hAnsi="Book Antiqua" w:cs="Book Antiqua"/>
        </w:rPr>
        <w:t>, 10% CO</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and 85% N</w:t>
      </w:r>
      <w:r w:rsidRPr="004D22ED">
        <w:rPr>
          <w:rFonts w:ascii="Book Antiqua" w:eastAsia="Book Antiqua" w:hAnsi="Book Antiqua" w:cs="Book Antiqua"/>
          <w:vertAlign w:val="subscript"/>
        </w:rPr>
        <w:t>2</w:t>
      </w:r>
      <w:r w:rsidRPr="004D22ED">
        <w:rPr>
          <w:rFonts w:ascii="Book Antiqua" w:eastAsia="Book Antiqua" w:hAnsi="Book Antiqua" w:cs="Book Antiqua"/>
        </w:rPr>
        <w:t>) for 2-3 d. Extended the culture time to 7 d if there was no growth. Picked out and subculture</w:t>
      </w:r>
      <w:r w:rsidR="009F1113">
        <w:rPr>
          <w:rFonts w:ascii="Book Antiqua" w:eastAsia="Book Antiqua" w:hAnsi="Book Antiqua" w:cs="Book Antiqua"/>
        </w:rPr>
        <w:t>d</w:t>
      </w:r>
      <w:r w:rsidRPr="004D22ED">
        <w:rPr>
          <w:rFonts w:ascii="Book Antiqua" w:eastAsia="Book Antiqua" w:hAnsi="Book Antiqua" w:cs="Book Antiqua"/>
        </w:rPr>
        <w:t xml:space="preserve"> the monoclonal colonies with typical colony morphology. Then smeared microscopy</w:t>
      </w:r>
      <w:r w:rsidR="002D66E3">
        <w:rPr>
          <w:rFonts w:ascii="Book Antiqua" w:eastAsia="Book Antiqua" w:hAnsi="Book Antiqua" w:cs="Book Antiqua"/>
        </w:rPr>
        <w:t xml:space="preserve"> with</w:t>
      </w:r>
      <w:r w:rsidRPr="004D22ED">
        <w:rPr>
          <w:rFonts w:ascii="Book Antiqua" w:eastAsia="Book Antiqua" w:hAnsi="Book Antiqua" w:cs="Book Antiqua"/>
        </w:rPr>
        <w:t xml:space="preserve"> the suspected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and carried out the biochemical experiments with urease (Haibo Biotechnology Co., Ltd., China), oxidase (Beijing Luqiao Technology Co., Ltd., China) and catalase (Haibo Biotechnology Co., Ltd., China). Suspected strains with biological morphology and biochemical reactions were identified as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and the patient was diagnosed as positive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Extended the culture time to 7 d, and if there was still no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growth on the medium, the patient was diagnosed as negative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w:t>
      </w:r>
    </w:p>
    <w:p w14:paraId="03859250" w14:textId="77777777" w:rsidR="00A77B3E" w:rsidRPr="004D22ED" w:rsidRDefault="00A77B3E" w:rsidP="004D22ED">
      <w:pPr>
        <w:adjustRightInd w:val="0"/>
        <w:snapToGrid w:val="0"/>
        <w:spacing w:line="360" w:lineRule="auto"/>
        <w:jc w:val="both"/>
        <w:rPr>
          <w:rFonts w:ascii="Book Antiqua" w:hAnsi="Book Antiqua"/>
        </w:rPr>
      </w:pPr>
    </w:p>
    <w:p w14:paraId="364AB35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 xml:space="preserve">AST </w:t>
      </w:r>
    </w:p>
    <w:p w14:paraId="6C3E35C6" w14:textId="77777777" w:rsidR="00385E45"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rPr>
        <w:t xml:space="preserve">The plate incorporation assay was used to test the antimicrobial susceptibility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w:t>
      </w:r>
      <w:r w:rsidRPr="004D22ED">
        <w:rPr>
          <w:rFonts w:ascii="Book Antiqua" w:eastAsia="Book Antiqua" w:hAnsi="Book Antiqua" w:cs="Book Antiqua"/>
          <w:vertAlign w:val="superscript"/>
        </w:rPr>
        <w:t>[10]</w:t>
      </w:r>
      <w:r w:rsidRPr="004D22ED">
        <w:rPr>
          <w:rFonts w:ascii="Book Antiqua" w:eastAsia="Book Antiqua" w:hAnsi="Book Antiqua" w:cs="Book Antiqua"/>
        </w:rPr>
        <w:t xml:space="preserve">. The critical points of antibacterial resistance referred to the value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clinical susceptibility test in China</w:t>
      </w:r>
      <w:r w:rsidRPr="004D22ED">
        <w:rPr>
          <w:rFonts w:ascii="Book Antiqua" w:eastAsia="Book Antiqua" w:hAnsi="Book Antiqua" w:cs="Book Antiqua"/>
          <w:vertAlign w:val="superscript"/>
        </w:rPr>
        <w:t>[11</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12]</w:t>
      </w:r>
      <w:r w:rsidRPr="004D22ED">
        <w:rPr>
          <w:rFonts w:ascii="Book Antiqua" w:eastAsia="Book Antiqua" w:hAnsi="Book Antiqua" w:cs="Book Antiqua"/>
        </w:rPr>
        <w:t xml:space="preserve">: 1 μg/mL for clarithromycin (National Institute for Food and Drug Control, China), 2 μg/mL for levofloxacin (National Institute for Food and Drug Control, China), 8 μg/mL for metronidazole (National Institute for Food and Drug Control, China), and 2 μg/mL for amoxicillin (Dr. Ehrenstorfer GmbH, Germany). </w:t>
      </w:r>
    </w:p>
    <w:p w14:paraId="6ACF1E38" w14:textId="4912633C" w:rsidR="00A77B3E" w:rsidRPr="004D22ED" w:rsidRDefault="00385E45" w:rsidP="004D22ED">
      <w:pPr>
        <w:adjustRightInd w:val="0"/>
        <w:snapToGrid w:val="0"/>
        <w:spacing w:line="360" w:lineRule="auto"/>
        <w:jc w:val="both"/>
        <w:rPr>
          <w:rFonts w:ascii="Book Antiqua" w:hAnsi="Book Antiqua"/>
        </w:rPr>
      </w:pPr>
      <w:r>
        <w:rPr>
          <w:rFonts w:ascii="Book Antiqua" w:eastAsia="Book Antiqua" w:hAnsi="Book Antiqua" w:cs="Book Antiqua"/>
        </w:rPr>
        <w:t>We d</w:t>
      </w:r>
      <w:r w:rsidR="005315A5" w:rsidRPr="004D22ED">
        <w:rPr>
          <w:rFonts w:ascii="Book Antiqua" w:eastAsia="Book Antiqua" w:hAnsi="Book Antiqua" w:cs="Book Antiqua"/>
        </w:rPr>
        <w:t>iluted and added these 4 kinds of antibacterial drug</w:t>
      </w:r>
      <w:r>
        <w:rPr>
          <w:rFonts w:ascii="Book Antiqua" w:eastAsia="Book Antiqua" w:hAnsi="Book Antiqua" w:cs="Book Antiqua"/>
        </w:rPr>
        <w:t>s</w:t>
      </w:r>
      <w:r w:rsidR="005315A5" w:rsidRPr="004D22ED">
        <w:rPr>
          <w:rFonts w:ascii="Book Antiqua" w:eastAsia="Book Antiqua" w:hAnsi="Book Antiqua" w:cs="Book Antiqua"/>
        </w:rPr>
        <w:t xml:space="preserve"> to sterile Columbia culture medium containing 5% sheep blood respectively and ensured the concentration of antibacterial drugs to the critical point. After mixing</w:t>
      </w:r>
      <w:r>
        <w:rPr>
          <w:rFonts w:ascii="Book Antiqua" w:eastAsia="Book Antiqua" w:hAnsi="Book Antiqua" w:cs="Book Antiqua"/>
        </w:rPr>
        <w:t xml:space="preserve"> well</w:t>
      </w:r>
      <w:r w:rsidR="005315A5" w:rsidRPr="004D22ED">
        <w:rPr>
          <w:rFonts w:ascii="Book Antiqua" w:eastAsia="Book Antiqua" w:hAnsi="Book Antiqua" w:cs="Book Antiqua"/>
        </w:rPr>
        <w:t>, poured into the plate to prepare 4 kinds of blood plates containing</w:t>
      </w:r>
      <w:r>
        <w:rPr>
          <w:rFonts w:ascii="Book Antiqua" w:eastAsia="Book Antiqua" w:hAnsi="Book Antiqua" w:cs="Book Antiqua"/>
        </w:rPr>
        <w:t xml:space="preserve"> the</w:t>
      </w:r>
      <w:r w:rsidR="005315A5" w:rsidRPr="004D22ED">
        <w:rPr>
          <w:rFonts w:ascii="Book Antiqua" w:eastAsia="Book Antiqua" w:hAnsi="Book Antiqua" w:cs="Book Antiqua"/>
        </w:rPr>
        <w:t xml:space="preserve"> antibacterial drug</w:t>
      </w:r>
      <w:r>
        <w:rPr>
          <w:rFonts w:ascii="Book Antiqua" w:eastAsia="Book Antiqua" w:hAnsi="Book Antiqua" w:cs="Book Antiqua"/>
        </w:rPr>
        <w:t>s</w:t>
      </w:r>
      <w:r w:rsidR="005315A5" w:rsidRPr="004D22ED">
        <w:rPr>
          <w:rFonts w:ascii="Book Antiqua" w:eastAsia="Book Antiqua" w:hAnsi="Book Antiqua" w:cs="Book Antiqua"/>
        </w:rPr>
        <w:t>.</w:t>
      </w:r>
    </w:p>
    <w:p w14:paraId="26C72FB9"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Collected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with good growth status, and diluted the strains with 0.9% normal saline to a concentration of 0.5 McFarland, about 1.5 × 10</w:t>
      </w:r>
      <w:r w:rsidRPr="004D22ED">
        <w:rPr>
          <w:rFonts w:ascii="Book Antiqua" w:eastAsia="Book Antiqua" w:hAnsi="Book Antiqua" w:cs="Book Antiqua"/>
          <w:vertAlign w:val="superscript"/>
        </w:rPr>
        <w:t>8</w:t>
      </w:r>
      <w:r w:rsidRPr="004D22ED">
        <w:rPr>
          <w:rFonts w:ascii="Book Antiqua" w:eastAsia="Book Antiqua" w:hAnsi="Book Antiqua" w:cs="Book Antiqua"/>
        </w:rPr>
        <w:t>/mL</w:t>
      </w:r>
      <w:r w:rsidRPr="004D22ED">
        <w:rPr>
          <w:rFonts w:ascii="Book Antiqua" w:eastAsia="Book Antiqua" w:hAnsi="Book Antiqua" w:cs="Book Antiqua"/>
          <w:vertAlign w:val="superscript"/>
        </w:rPr>
        <w:t>[10]</w:t>
      </w:r>
      <w:r w:rsidRPr="004D22ED">
        <w:rPr>
          <w:rFonts w:ascii="Book Antiqua" w:eastAsia="Book Antiqua" w:hAnsi="Book Antiqua" w:cs="Book Antiqua"/>
        </w:rPr>
        <w:t xml:space="preserve">. Drew 2 μL of the diluted bacterial solution and inoculated on the conventional Columbia blood plate and the Columbia blood plate containing antibacterial drug, respectively. Cultivated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a 37 °C mixed gas incubator (5% O</w:t>
      </w:r>
      <w:r w:rsidRPr="004D22ED">
        <w:rPr>
          <w:rFonts w:ascii="Book Antiqua" w:eastAsia="Book Antiqua" w:hAnsi="Book Antiqua" w:cs="Book Antiqua"/>
          <w:vertAlign w:val="subscript"/>
        </w:rPr>
        <w:t>2</w:t>
      </w:r>
      <w:r w:rsidRPr="004D22ED">
        <w:rPr>
          <w:rFonts w:ascii="Book Antiqua" w:eastAsia="Book Antiqua" w:hAnsi="Book Antiqua" w:cs="Book Antiqua"/>
        </w:rPr>
        <w:t>, 10% CO</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and 85% N</w:t>
      </w:r>
      <w:r w:rsidRPr="004D22ED">
        <w:rPr>
          <w:rFonts w:ascii="Book Antiqua" w:eastAsia="Book Antiqua" w:hAnsi="Book Antiqua" w:cs="Book Antiqua"/>
          <w:vertAlign w:val="subscript"/>
        </w:rPr>
        <w:t>2</w:t>
      </w:r>
      <w:r w:rsidRPr="004D22ED">
        <w:rPr>
          <w:rFonts w:ascii="Book Antiqua" w:eastAsia="Book Antiqua" w:hAnsi="Book Antiqua" w:cs="Book Antiqua"/>
        </w:rPr>
        <w:t xml:space="preserve">) for 2 d. </w:t>
      </w:r>
    </w:p>
    <w:p w14:paraId="427E9CE8" w14:textId="01903D5A"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Firstly,</w:t>
      </w:r>
      <w:r w:rsidR="00385E45">
        <w:rPr>
          <w:rFonts w:ascii="Book Antiqua" w:eastAsia="Book Antiqua" w:hAnsi="Book Antiqua" w:cs="Book Antiqua"/>
        </w:rPr>
        <w:t xml:space="preserve"> we</w:t>
      </w:r>
      <w:r w:rsidRPr="004D22ED">
        <w:rPr>
          <w:rFonts w:ascii="Book Antiqua" w:eastAsia="Book Antiqua" w:hAnsi="Book Antiqua" w:cs="Book Antiqua"/>
        </w:rPr>
        <w:t xml:space="preserve"> observed the growth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on the conventional blood plate.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with </w:t>
      </w:r>
      <w:r w:rsidR="00385E45">
        <w:rPr>
          <w:rFonts w:ascii="Book Antiqua" w:eastAsia="Book Antiqua" w:hAnsi="Book Antiqua" w:cs="Book Antiqua"/>
        </w:rPr>
        <w:t>good</w:t>
      </w:r>
      <w:r w:rsidRPr="004D22ED">
        <w:rPr>
          <w:rFonts w:ascii="Book Antiqua" w:eastAsia="Book Antiqua" w:hAnsi="Book Antiqua" w:cs="Book Antiqua"/>
        </w:rPr>
        <w:t xml:space="preserve"> growth status proved that its antimicrobial susceptibility results are credible.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with poor growth status or not growing needed </w:t>
      </w:r>
      <w:r w:rsidRPr="004D22ED">
        <w:rPr>
          <w:rFonts w:ascii="Book Antiqua" w:eastAsia="Book Antiqua" w:hAnsi="Book Antiqua" w:cs="Book Antiqua"/>
        </w:rPr>
        <w:lastRenderedPageBreak/>
        <w:t>to undergo a new AST. Secondly,</w:t>
      </w:r>
      <w:r w:rsidR="00385E45">
        <w:rPr>
          <w:rFonts w:ascii="Book Antiqua" w:eastAsia="Book Antiqua" w:hAnsi="Book Antiqua" w:cs="Book Antiqua"/>
        </w:rPr>
        <w:t xml:space="preserve"> we</w:t>
      </w:r>
      <w:r w:rsidRPr="004D22ED">
        <w:rPr>
          <w:rFonts w:ascii="Book Antiqua" w:eastAsia="Book Antiqua" w:hAnsi="Book Antiqua" w:cs="Book Antiqua"/>
        </w:rPr>
        <w:t xml:space="preserve"> observed the growth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strains on the blood plate containing antibacterial drug. An inhibited growth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on the blood plate containing antibacterial drug was judged to be sensitive to the antibacterial drug, and the uninhibited growth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strain was judged to be resistant to the antibacterial drug. The NCTC11637 standard strain was selected as the quality control bacteria.</w:t>
      </w:r>
    </w:p>
    <w:p w14:paraId="0E563BD0" w14:textId="77777777" w:rsidR="00A77B3E" w:rsidRPr="004D22ED" w:rsidRDefault="00A77B3E" w:rsidP="004D22ED">
      <w:pPr>
        <w:adjustRightInd w:val="0"/>
        <w:snapToGrid w:val="0"/>
        <w:spacing w:line="360" w:lineRule="auto"/>
        <w:ind w:firstLine="420"/>
        <w:jc w:val="both"/>
        <w:rPr>
          <w:rFonts w:ascii="Book Antiqua" w:hAnsi="Book Antiqua"/>
        </w:rPr>
      </w:pPr>
    </w:p>
    <w:p w14:paraId="1D4151A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Statistical analysis</w:t>
      </w:r>
    </w:p>
    <w:p w14:paraId="6DE5A11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SPSS 19.0 software were used. Using chi-square test to perform statistical analysis on count data. Odds ratio (OR) was used to evaluate risk factors. The Mantel-Haenszel chi-square test was used to evaluate a linear relationship. Breslow-Day method was used for the test of Homogeneity of OR. </w:t>
      </w:r>
      <w:r w:rsidRPr="004D22ED">
        <w:rPr>
          <w:rFonts w:ascii="Book Antiqua" w:eastAsia="Book Antiqua" w:hAnsi="Book Antiqua" w:cs="Book Antiqua"/>
          <w:i/>
          <w:iCs/>
        </w:rPr>
        <w:t xml:space="preserve">P </w:t>
      </w:r>
      <w:r w:rsidRPr="004D22ED">
        <w:rPr>
          <w:rFonts w:ascii="Book Antiqua" w:eastAsia="Book Antiqua" w:hAnsi="Book Antiqua" w:cs="Book Antiqua"/>
        </w:rPr>
        <w:t>&lt; 0.05 indicated that the difference was statistically significant.</w:t>
      </w:r>
    </w:p>
    <w:p w14:paraId="1D620F7B" w14:textId="77777777" w:rsidR="00A77B3E" w:rsidRPr="004D22ED" w:rsidRDefault="00A77B3E" w:rsidP="004D22ED">
      <w:pPr>
        <w:adjustRightInd w:val="0"/>
        <w:snapToGrid w:val="0"/>
        <w:spacing w:line="360" w:lineRule="auto"/>
        <w:jc w:val="both"/>
        <w:rPr>
          <w:rFonts w:ascii="Book Antiqua" w:hAnsi="Book Antiqua"/>
        </w:rPr>
      </w:pPr>
    </w:p>
    <w:p w14:paraId="55F89B9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RESULTS</w:t>
      </w:r>
    </w:p>
    <w:p w14:paraId="3D764C7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H. pylori infection</w:t>
      </w:r>
    </w:p>
    <w:p w14:paraId="7E5F81A9" w14:textId="1383A1B1"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Basic information</w:t>
      </w:r>
      <w:r w:rsidRPr="004D22ED">
        <w:rPr>
          <w:rFonts w:ascii="Book Antiqua" w:eastAsia="Book Antiqua" w:hAnsi="Book Antiqua" w:cs="Book Antiqua"/>
        </w:rPr>
        <w:t xml:space="preserve">: From 2011 to 2020, a total of 283823 gastric mucosal specimens were cultured from patients with peptic ulcer disease. The ratio of males to females was 1.01:1.00. The ages of the participants ranged from 3 to 97, and the average age was 48.52 ± 14.04. The number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-positive specimens was 94509; thus, the overall positive rate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infection reached 33.30%. The ratio of male to female patients who were positive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was 1.08:1.00. The ages of these patients ranged from 4 to 96, and the average age was 50.79 ± 12.76. Every 10 years of age was grouped as an age group, resulting in division into 8 age groups: ≤ 20 years, 21-30, 31-40, 41-50, 51-60, 61-70, 71-80 and ≥ 81 years; this division was close to a normal distribution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0.383) (Table 1).</w:t>
      </w:r>
    </w:p>
    <w:p w14:paraId="30FE1ED7" w14:textId="77777777" w:rsidR="00A77B3E" w:rsidRPr="004D22ED" w:rsidRDefault="00A77B3E" w:rsidP="004D22ED">
      <w:pPr>
        <w:adjustRightInd w:val="0"/>
        <w:snapToGrid w:val="0"/>
        <w:spacing w:line="360" w:lineRule="auto"/>
        <w:jc w:val="both"/>
        <w:rPr>
          <w:rFonts w:ascii="Book Antiqua" w:hAnsi="Book Antiqua"/>
        </w:rPr>
      </w:pPr>
    </w:p>
    <w:p w14:paraId="1FF1EE0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Gender and risk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infection</w:t>
      </w:r>
      <w:r w:rsidRPr="004D22ED">
        <w:rPr>
          <w:rFonts w:ascii="Book Antiqua" w:eastAsia="Book Antiqua" w:hAnsi="Book Antiqua" w:cs="Book Antiqua"/>
        </w:rPr>
        <w:t xml:space="preserve">: A total of 142851 males and 140972 females were tested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of these, 49139 males and 45370 females tested positive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Compared with females, males had a higher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(OR = 1.105, 95% confidence interval (CI): 1.088-1.122).</w:t>
      </w:r>
    </w:p>
    <w:p w14:paraId="1F4661A9" w14:textId="77777777" w:rsidR="00A77B3E" w:rsidRPr="004D22ED" w:rsidRDefault="00A77B3E" w:rsidP="004D22ED">
      <w:pPr>
        <w:adjustRightInd w:val="0"/>
        <w:snapToGrid w:val="0"/>
        <w:spacing w:line="360" w:lineRule="auto"/>
        <w:jc w:val="both"/>
        <w:rPr>
          <w:rFonts w:ascii="Book Antiqua" w:hAnsi="Book Antiqua"/>
        </w:rPr>
      </w:pPr>
    </w:p>
    <w:p w14:paraId="6A1D4A5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Relationship between age and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infection: </w:t>
      </w:r>
      <w:r w:rsidRPr="004D22ED">
        <w:rPr>
          <w:rFonts w:ascii="Book Antiqua" w:eastAsia="Book Antiqua" w:hAnsi="Book Antiqua" w:cs="Book Antiqua"/>
        </w:rPr>
        <w:t xml:space="preserve">The results of the Mantel-Haenszel chi-square test showed that there was a linear relationship between age and the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2577.812,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The Pearson-related results showed that </w:t>
      </w:r>
      <w:r w:rsidRPr="004D22ED">
        <w:rPr>
          <w:rFonts w:ascii="Book Antiqua" w:eastAsia="Book Antiqua" w:hAnsi="Book Antiqua" w:cs="Book Antiqua"/>
          <w:i/>
          <w:iCs/>
        </w:rPr>
        <w:t xml:space="preserve">r </w:t>
      </w:r>
      <w:r w:rsidRPr="004D22ED">
        <w:rPr>
          <w:rFonts w:ascii="Book Antiqua" w:eastAsia="Book Antiqua" w:hAnsi="Book Antiqua" w:cs="Book Antiqua"/>
        </w:rPr>
        <w:t xml:space="preserve">= 0.095,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indicating that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rate increased with age.</w:t>
      </w:r>
    </w:p>
    <w:p w14:paraId="00B8C891" w14:textId="77777777" w:rsidR="00A77B3E" w:rsidRPr="004D22ED" w:rsidRDefault="00A77B3E" w:rsidP="004D22ED">
      <w:pPr>
        <w:adjustRightInd w:val="0"/>
        <w:snapToGrid w:val="0"/>
        <w:spacing w:line="360" w:lineRule="auto"/>
        <w:jc w:val="both"/>
        <w:rPr>
          <w:rFonts w:ascii="Book Antiqua" w:hAnsi="Book Antiqua"/>
        </w:rPr>
      </w:pPr>
    </w:p>
    <w:p w14:paraId="4BF30C8F" w14:textId="038456D5"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Multivariable analysis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infection:</w:t>
      </w:r>
      <w:r w:rsidRPr="004D22ED">
        <w:rPr>
          <w:rFonts w:ascii="Book Antiqua" w:eastAsia="Book Antiqua" w:hAnsi="Book Antiqua" w:cs="Book Antiqua"/>
        </w:rPr>
        <w:t xml:space="preserve"> The homogeneity of OR test showed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0.003, suggesting that the OR values between age groups were heterogeneous, and it was not appropriate to combine the OR values. Therefore, after stratifying according to age group, male gender was determined to be a risk factor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except for the population aged ≥ 81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(OR</w:t>
      </w:r>
      <w:r w:rsidRPr="004D22ED">
        <w:rPr>
          <w:rFonts w:ascii="Book Antiqua" w:eastAsia="Book Antiqua" w:hAnsi="Book Antiqua" w:cs="Book Antiqua"/>
          <w:b/>
          <w:bCs/>
          <w:i/>
          <w:iCs/>
        </w:rPr>
        <w:t xml:space="preserve"> </w:t>
      </w:r>
      <w:r w:rsidRPr="004D22ED">
        <w:rPr>
          <w:rFonts w:ascii="Book Antiqua" w:eastAsia="Book Antiqua" w:hAnsi="Book Antiqua" w:cs="Book Antiqua"/>
        </w:rPr>
        <w:t xml:space="preserve">= 1.044, 95%CI: 0.844-1.292,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0.690). For the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age group, the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was 1.240 times higher in males than in females (OR = 1.240, 95%CI: 1.082-1.421,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0.002). For different age groups between 21</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and 80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the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was 1.073, 1.103, 1.117, 1.165, 1.050, and 1.123 times higher in males than in females, respectively (Table 1).</w:t>
      </w:r>
    </w:p>
    <w:p w14:paraId="4635B865" w14:textId="77777777" w:rsidR="00A77B3E" w:rsidRPr="004D22ED" w:rsidRDefault="00A77B3E" w:rsidP="004D22ED">
      <w:pPr>
        <w:adjustRightInd w:val="0"/>
        <w:snapToGrid w:val="0"/>
        <w:spacing w:line="360" w:lineRule="auto"/>
        <w:jc w:val="both"/>
        <w:rPr>
          <w:rFonts w:ascii="Book Antiqua" w:hAnsi="Book Antiqua"/>
        </w:rPr>
      </w:pPr>
    </w:p>
    <w:p w14:paraId="15EFD5F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Antibacterial resistance of H. pylori</w:t>
      </w:r>
    </w:p>
    <w:p w14:paraId="2CEFD49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The overall resistance rate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rPr>
        <w:t xml:space="preserve">: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was 0.21% and slightly increased in 2017 and 2018 to 1.15% and 0.87%, respectively.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metronidazole was 93.72%, remained at a high level and fluctuated in the range of 92.71% to 96.92%, except for when the rate fell to 86.64% in 2016. Different from the trends of these two antibacterial drugs,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clarithromycin was 23.99% and had an increasing trend (from 14.43% in 2013 to 38.24% in 2020) (Figure 1). The average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levofloxacin was 30.29%, which increased over time (from 17.07% in 2013 to 39.42% in 2017) and mostly stabilized after 2017. The results of the Mantel-Haenszel chi-square test and Pearson-related results showed a linear increase for resistance to clarithromycin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2389.117,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0.159, </w:t>
      </w:r>
      <w:r w:rsidRPr="004D22ED">
        <w:rPr>
          <w:rFonts w:ascii="Book Antiqua" w:eastAsia="Book Antiqua" w:hAnsi="Book Antiqua" w:cs="Book Antiqua"/>
          <w:i/>
          <w:iCs/>
        </w:rPr>
        <w:t xml:space="preserve">P &lt; </w:t>
      </w:r>
      <w:r w:rsidRPr="004D22ED">
        <w:rPr>
          <w:rFonts w:ascii="Book Antiqua" w:eastAsia="Book Antiqua" w:hAnsi="Book Antiqua" w:cs="Book Antiqua"/>
        </w:rPr>
        <w:t>0.001) and for resistance to levofloxacin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1901.809,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0.142, </w:t>
      </w:r>
      <w:r w:rsidRPr="004D22ED">
        <w:rPr>
          <w:rFonts w:ascii="Book Antiqua" w:eastAsia="Book Antiqua" w:hAnsi="Book Antiqua" w:cs="Book Antiqua"/>
          <w:i/>
          <w:iCs/>
        </w:rPr>
        <w:t xml:space="preserve">P </w:t>
      </w:r>
      <w:r w:rsidRPr="004D22ED">
        <w:rPr>
          <w:rFonts w:ascii="Book Antiqua" w:eastAsia="Book Antiqua" w:hAnsi="Book Antiqua" w:cs="Book Antiqua"/>
        </w:rPr>
        <w:t>&lt; 0.001).</w:t>
      </w:r>
    </w:p>
    <w:p w14:paraId="07BCAF95" w14:textId="77777777" w:rsidR="00A77B3E" w:rsidRPr="004D22ED" w:rsidRDefault="00A77B3E" w:rsidP="004D22ED">
      <w:pPr>
        <w:adjustRightInd w:val="0"/>
        <w:snapToGrid w:val="0"/>
        <w:spacing w:line="360" w:lineRule="auto"/>
        <w:jc w:val="both"/>
        <w:rPr>
          <w:rFonts w:ascii="Book Antiqua" w:hAnsi="Book Antiqua"/>
        </w:rPr>
      </w:pPr>
    </w:p>
    <w:p w14:paraId="6CA8961B"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lastRenderedPageBreak/>
        <w:t xml:space="preserve">Gender and risk of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resistance rates</w:t>
      </w:r>
      <w:r w:rsidRPr="004D22ED">
        <w:rPr>
          <w:rFonts w:ascii="Book Antiqua" w:eastAsia="Book Antiqua" w:hAnsi="Book Antiqua" w:cs="Book Antiqua"/>
        </w:rPr>
        <w:t xml:space="preserve">: The number of males infected with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who were resistant to levofloxacin was 14051, and the resistance rate was 28.59%, while the number of females infected with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who were resistant was 14578, with a resistance rate of 32.13%. Compared with that of males,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 was higher in females (OR = 1.182, 95%CI: 1.159-1.216). The resistance rates to clarithromycin in males and females were 22.93% and 25.14%, respectively, and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 to clarithromycin in females was higher than that in males (OR = 1.129, 95%CI: 1.095-1.163). Similarly,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 to metronidazole in females (94.44%) was higher than that in males (93.05%) (OR = 1.267, 95%CI: 1.202-1.337). There was no significant difference in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between different genders (OR = 0.880, 95%CI: 0.663-1.169).</w:t>
      </w:r>
    </w:p>
    <w:p w14:paraId="1A9385BE" w14:textId="77777777" w:rsidR="00A77B3E" w:rsidRPr="004D22ED" w:rsidRDefault="00A77B3E" w:rsidP="004D22ED">
      <w:pPr>
        <w:adjustRightInd w:val="0"/>
        <w:snapToGrid w:val="0"/>
        <w:spacing w:line="360" w:lineRule="auto"/>
        <w:jc w:val="both"/>
        <w:rPr>
          <w:rFonts w:ascii="Book Antiqua" w:hAnsi="Book Antiqua"/>
        </w:rPr>
      </w:pPr>
    </w:p>
    <w:p w14:paraId="287E8E49" w14:textId="6D53A64A"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Relationship between age and </w:t>
      </w:r>
      <w:r w:rsidRPr="004D22ED">
        <w:rPr>
          <w:rFonts w:ascii="Book Antiqua" w:eastAsia="Book Antiqua" w:hAnsi="Book Antiqua" w:cs="Book Antiqua"/>
          <w:b/>
          <w:bCs/>
          <w:i/>
          <w:iCs/>
        </w:rPr>
        <w:t>H</w:t>
      </w:r>
      <w:r w:rsidRPr="004D22ED">
        <w:rPr>
          <w:rFonts w:ascii="Book Antiqua" w:eastAsia="Book Antiqua" w:hAnsi="Book Antiqua" w:cs="Book Antiqua"/>
          <w:b/>
          <w:bCs/>
        </w:rPr>
        <w:t xml:space="preserve">. </w:t>
      </w:r>
      <w:r w:rsidRPr="004D22ED">
        <w:rPr>
          <w:rFonts w:ascii="Book Antiqua" w:eastAsia="Book Antiqua" w:hAnsi="Book Antiqua" w:cs="Book Antiqua"/>
          <w:b/>
          <w:bCs/>
          <w:i/>
          <w:iCs/>
        </w:rPr>
        <w:t>pylori</w:t>
      </w:r>
      <w:r w:rsidRPr="004D22ED">
        <w:rPr>
          <w:rFonts w:ascii="Book Antiqua" w:eastAsia="Book Antiqua" w:hAnsi="Book Antiqua" w:cs="Book Antiqua"/>
          <w:b/>
          <w:bCs/>
        </w:rPr>
        <w:t xml:space="preserve"> resistance rates</w:t>
      </w:r>
      <w:r w:rsidRPr="004D22ED">
        <w:rPr>
          <w:rFonts w:ascii="Book Antiqua" w:eastAsia="Book Antiqua" w:hAnsi="Book Antiqua" w:cs="Book Antiqua"/>
        </w:rPr>
        <w:t>: Overall, the resistance rate to amoxicillin was low (&lt; 0.35%). The resistance rate to metronidazole mostly stabilized after increasing from 75.39% to 96.49% in the population &lt; 60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and the resistance rate of the population ≥ 61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remained at approximately 98%. The resistance rate to clarithromycin increased rapidly in the population ≥ 61 years of age, changing from 21.02% to 39.01%. The resistance rate to levofloxacin continuously increased from 10.32% to 48.71% with increasing age. The results from the Mantel-Haenszel chi-square test and the Pearson relationship showed that there was a linear and positive relationship between age and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the three kinds of antibacterial drugs, except for a negative relationship to amoxicillin resistance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1356.563,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0.120,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for levofloxacin;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153.312,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0.040,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for clarithromycin;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3685.476,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0.197, </w:t>
      </w:r>
      <w:r w:rsidRPr="004D22ED">
        <w:rPr>
          <w:rFonts w:ascii="Book Antiqua" w:eastAsia="Book Antiqua" w:hAnsi="Book Antiqua" w:cs="Book Antiqua"/>
          <w:i/>
          <w:iCs/>
        </w:rPr>
        <w:t xml:space="preserve">P </w:t>
      </w:r>
      <w:r w:rsidRPr="004D22ED">
        <w:rPr>
          <w:rFonts w:ascii="Book Antiqua" w:eastAsia="Book Antiqua" w:hAnsi="Book Antiqua" w:cs="Book Antiqua"/>
        </w:rPr>
        <w:t>&lt; 0.001 for metronidazole; and</w:t>
      </w:r>
      <w:r w:rsidRPr="004D22ED">
        <w:rPr>
          <w:rFonts w:ascii="Book Antiqua" w:eastAsia="Book Antiqua" w:hAnsi="Book Antiqua" w:cs="Book Antiqua"/>
          <w:i/>
          <w:iCs/>
        </w:rPr>
        <w:t xml:space="preserve"> 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24.710, </w:t>
      </w:r>
      <w:r w:rsidRPr="004D22ED">
        <w:rPr>
          <w:rFonts w:ascii="Book Antiqua" w:eastAsia="Book Antiqua" w:hAnsi="Book Antiqua" w:cs="Book Antiqua"/>
          <w:i/>
          <w:iCs/>
        </w:rPr>
        <w:t xml:space="preserve">r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-0.016, </w:t>
      </w:r>
      <w:r w:rsidRPr="004D22ED">
        <w:rPr>
          <w:rFonts w:ascii="Book Antiqua" w:eastAsia="Book Antiqua" w:hAnsi="Book Antiqua" w:cs="Book Antiqua"/>
          <w:i/>
          <w:iCs/>
        </w:rPr>
        <w:t xml:space="preserve">P </w:t>
      </w:r>
      <w:r w:rsidRPr="004D22ED">
        <w:rPr>
          <w:rFonts w:ascii="Book Antiqua" w:eastAsia="Book Antiqua" w:hAnsi="Book Antiqua" w:cs="Book Antiqua"/>
        </w:rPr>
        <w:t>&lt; 0.001 for amoxicillin) (Figure 2).</w:t>
      </w:r>
    </w:p>
    <w:p w14:paraId="1A254C35" w14:textId="77777777" w:rsidR="00A77B3E" w:rsidRPr="004D22ED" w:rsidRDefault="00A77B3E" w:rsidP="004D22ED">
      <w:pPr>
        <w:adjustRightInd w:val="0"/>
        <w:snapToGrid w:val="0"/>
        <w:spacing w:line="360" w:lineRule="auto"/>
        <w:jc w:val="both"/>
        <w:rPr>
          <w:rFonts w:ascii="Book Antiqua" w:hAnsi="Book Antiqua"/>
        </w:rPr>
      </w:pPr>
    </w:p>
    <w:p w14:paraId="23E93DE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Multivariable analysis of resistance rates: </w:t>
      </w:r>
      <w:r w:rsidRPr="004D22ED">
        <w:rPr>
          <w:rFonts w:ascii="Book Antiqua" w:eastAsia="Book Antiqua" w:hAnsi="Book Antiqua" w:cs="Book Antiqua"/>
        </w:rPr>
        <w:t xml:space="preserve">Furthermore, we conducted an analysis on the correlation of age and gender with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rates to levofloxacin, clarithromycin and metronidazole (Figure 3).</w:t>
      </w:r>
    </w:p>
    <w:p w14:paraId="45F7DC85" w14:textId="77777777" w:rsidR="00A77B3E" w:rsidRPr="004D22ED" w:rsidRDefault="00A77B3E" w:rsidP="004D22ED">
      <w:pPr>
        <w:adjustRightInd w:val="0"/>
        <w:snapToGrid w:val="0"/>
        <w:spacing w:line="360" w:lineRule="auto"/>
        <w:jc w:val="both"/>
        <w:rPr>
          <w:rFonts w:ascii="Book Antiqua" w:hAnsi="Book Antiqua"/>
        </w:rPr>
      </w:pPr>
    </w:p>
    <w:p w14:paraId="50D3B6DA" w14:textId="7736BD04"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lastRenderedPageBreak/>
        <w:t xml:space="preserve">Resistance rate to levofloxacin: The homogeneity of OR test showed </w:t>
      </w:r>
      <w:r w:rsidRPr="004D22ED">
        <w:rPr>
          <w:rFonts w:ascii="Book Antiqua" w:eastAsia="Book Antiqua" w:hAnsi="Book Antiqua" w:cs="Book Antiqua"/>
          <w:i/>
          <w:iCs/>
        </w:rPr>
        <w:t xml:space="preserve">P &lt; </w:t>
      </w:r>
      <w:r w:rsidRPr="004D22ED">
        <w:rPr>
          <w:rFonts w:ascii="Book Antiqua" w:eastAsia="Book Antiqua" w:hAnsi="Book Antiqua" w:cs="Book Antiqua"/>
        </w:rPr>
        <w:t xml:space="preserve">0.001, suggesting that the OR values between age groups are heterogeneous, and it is not appropriate to combine OR values. Therefore, after stratifying according to age group, there was no significant difference in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levofloxacin between female and male, aged ≤ 20</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and aged ≥ 51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&gt; 0.05). However, for the 21-50 age group,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 was at a higher risk of resistance to levofloxacin than in male. For the 21-30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levofloxacin was 1.525 times higher in females than in males (OR = 1.525, 95%CI: 1.330-1.748,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For the 31-40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levofloxacin was 1.604 times higher in females than in males (OR = 1.604, 95%CI: 1.483-1.735,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and for the 41-50 age group, the risk was 1.325 times higher in females than in males (OR = 1.325, 95%CI: 1.253-1.400, </w:t>
      </w:r>
      <w:r w:rsidRPr="004D22ED">
        <w:rPr>
          <w:rFonts w:ascii="Book Antiqua" w:eastAsia="Book Antiqua" w:hAnsi="Book Antiqua" w:cs="Book Antiqua"/>
          <w:i/>
          <w:iCs/>
        </w:rPr>
        <w:t xml:space="preserve">P &lt; </w:t>
      </w:r>
      <w:r w:rsidRPr="004D22ED">
        <w:rPr>
          <w:rFonts w:ascii="Book Antiqua" w:eastAsia="Book Antiqua" w:hAnsi="Book Antiqua" w:cs="Book Antiqua"/>
        </w:rPr>
        <w:t>0.001).</w:t>
      </w:r>
    </w:p>
    <w:p w14:paraId="651AAF8C" w14:textId="77777777" w:rsidR="00A77B3E" w:rsidRPr="004D22ED" w:rsidRDefault="00A77B3E" w:rsidP="004D22ED">
      <w:pPr>
        <w:adjustRightInd w:val="0"/>
        <w:snapToGrid w:val="0"/>
        <w:spacing w:line="360" w:lineRule="auto"/>
        <w:jc w:val="both"/>
        <w:rPr>
          <w:rFonts w:ascii="Book Antiqua" w:hAnsi="Book Antiqua"/>
        </w:rPr>
      </w:pPr>
    </w:p>
    <w:p w14:paraId="4BCD6C58" w14:textId="79CE9EAB"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Resistance rate to clarithromycin: The homogeneity of OR test showed </w:t>
      </w:r>
      <w:r w:rsidRPr="004D22ED">
        <w:rPr>
          <w:rFonts w:ascii="Book Antiqua" w:eastAsia="Book Antiqua" w:hAnsi="Book Antiqua" w:cs="Book Antiqua"/>
          <w:i/>
          <w:iCs/>
        </w:rPr>
        <w:t xml:space="preserve">P &lt; </w:t>
      </w:r>
      <w:r w:rsidRPr="004D22ED">
        <w:rPr>
          <w:rFonts w:ascii="Book Antiqua" w:eastAsia="Book Antiqua" w:hAnsi="Book Antiqua" w:cs="Book Antiqua"/>
        </w:rPr>
        <w:t xml:space="preserve">0.001. After stratifying according to age group, there was no significant difference in the resistance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clarithromycin between female</w:t>
      </w:r>
      <w:r w:rsidR="00DE0759">
        <w:rPr>
          <w:rFonts w:ascii="Book Antiqua" w:eastAsia="Book Antiqua" w:hAnsi="Book Antiqua" w:cs="Book Antiqua"/>
        </w:rPr>
        <w:t>s</w:t>
      </w:r>
      <w:r w:rsidRPr="004D22ED">
        <w:rPr>
          <w:rFonts w:ascii="Book Antiqua" w:eastAsia="Book Antiqua" w:hAnsi="Book Antiqua" w:cs="Book Antiqua"/>
        </w:rPr>
        <w:t xml:space="preserve"> and male</w:t>
      </w:r>
      <w:r w:rsidR="00DE0759">
        <w:rPr>
          <w:rFonts w:ascii="Book Antiqua" w:eastAsia="Book Antiqua" w:hAnsi="Book Antiqua" w:cs="Book Antiqua"/>
        </w:rPr>
        <w:t>s</w:t>
      </w:r>
      <w:r w:rsidRPr="004D22ED">
        <w:rPr>
          <w:rFonts w:ascii="Book Antiqua" w:eastAsia="Book Antiqua" w:hAnsi="Book Antiqua" w:cs="Book Antiqua"/>
        </w:rPr>
        <w:t>, aged ≤ 20</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and aged ≥ 51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&gt; 0.05). For the 21-50 age groups,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DE0759">
        <w:rPr>
          <w:rFonts w:ascii="Book Antiqua" w:eastAsia="Book Antiqua" w:hAnsi="Book Antiqua" w:cs="Book Antiqua"/>
        </w:rPr>
        <w:t>s</w:t>
      </w:r>
      <w:r w:rsidRPr="004D22ED">
        <w:rPr>
          <w:rFonts w:ascii="Book Antiqua" w:eastAsia="Book Antiqua" w:hAnsi="Book Antiqua" w:cs="Book Antiqua"/>
        </w:rPr>
        <w:t xml:space="preserve"> was at a higher risk of resistance to clarithromycin than in male</w:t>
      </w:r>
      <w:r w:rsidR="00DE0759">
        <w:rPr>
          <w:rFonts w:ascii="Book Antiqua" w:eastAsia="Book Antiqua" w:hAnsi="Book Antiqua" w:cs="Book Antiqua"/>
        </w:rPr>
        <w:t>s</w:t>
      </w:r>
      <w:r w:rsidRPr="004D22ED">
        <w:rPr>
          <w:rFonts w:ascii="Book Antiqua" w:eastAsia="Book Antiqua" w:hAnsi="Book Antiqua" w:cs="Book Antiqua"/>
        </w:rPr>
        <w:t xml:space="preserve">. For the 21-30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clarithromycin was 1.356 times higher in females than in males (OR = 1.356, 95%CI: 1.192-1.544, </w:t>
      </w:r>
      <w:r w:rsidRPr="004D22ED">
        <w:rPr>
          <w:rFonts w:ascii="Book Antiqua" w:eastAsia="Book Antiqua" w:hAnsi="Book Antiqua" w:cs="Book Antiqua"/>
          <w:i/>
          <w:iCs/>
        </w:rPr>
        <w:t>P</w:t>
      </w:r>
      <w:r w:rsidRPr="004D22ED">
        <w:rPr>
          <w:rFonts w:ascii="Book Antiqua" w:eastAsia="Book Antiqua" w:hAnsi="Book Antiqua" w:cs="Book Antiqua"/>
        </w:rPr>
        <w:t xml:space="preserve"> &lt; 0.001). For the 31-40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clarithromycin 1.495 times higher in females than in males (OR = 1.495, 95%CI: 1.379-1.622, </w:t>
      </w:r>
      <w:r w:rsidRPr="004D22ED">
        <w:rPr>
          <w:rFonts w:ascii="Book Antiqua" w:eastAsia="Book Antiqua" w:hAnsi="Book Antiqua" w:cs="Book Antiqua"/>
          <w:i/>
          <w:iCs/>
        </w:rPr>
        <w:t>P</w:t>
      </w:r>
      <w:r w:rsidRPr="004D22ED">
        <w:rPr>
          <w:rFonts w:ascii="Book Antiqua" w:eastAsia="Book Antiqua" w:hAnsi="Book Antiqua" w:cs="Book Antiqua"/>
        </w:rPr>
        <w:t xml:space="preserve"> &lt; 0.001). For the 41-50 age group, the risk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 xml:space="preserve">developing resistance to clarithromycin was 1.175 times higher in females than in males (OR = 1.175, 95%CI: 1.107-1.246, </w:t>
      </w:r>
      <w:r w:rsidRPr="004D22ED">
        <w:rPr>
          <w:rFonts w:ascii="Book Antiqua" w:eastAsia="Book Antiqua" w:hAnsi="Book Antiqua" w:cs="Book Antiqua"/>
          <w:i/>
          <w:iCs/>
        </w:rPr>
        <w:t xml:space="preserve">P </w:t>
      </w:r>
      <w:r w:rsidRPr="004D22ED">
        <w:rPr>
          <w:rFonts w:ascii="Book Antiqua" w:eastAsia="Book Antiqua" w:hAnsi="Book Antiqua" w:cs="Book Antiqua"/>
        </w:rPr>
        <w:t>&lt; 0.001).</w:t>
      </w:r>
    </w:p>
    <w:p w14:paraId="22C247AF" w14:textId="77777777" w:rsidR="00A77B3E" w:rsidRPr="004D22ED" w:rsidRDefault="00A77B3E" w:rsidP="004D22ED">
      <w:pPr>
        <w:adjustRightInd w:val="0"/>
        <w:snapToGrid w:val="0"/>
        <w:spacing w:line="360" w:lineRule="auto"/>
        <w:jc w:val="both"/>
        <w:rPr>
          <w:rFonts w:ascii="Book Antiqua" w:hAnsi="Book Antiqua"/>
        </w:rPr>
      </w:pPr>
    </w:p>
    <w:p w14:paraId="1244C4A4" w14:textId="1F84C75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Resistance rate to metronidazole: The homogeneity of OR test showed </w:t>
      </w:r>
      <w:r w:rsidRPr="004D22ED">
        <w:rPr>
          <w:rFonts w:ascii="Book Antiqua" w:eastAsia="Book Antiqua" w:hAnsi="Book Antiqua" w:cs="Book Antiqua"/>
          <w:i/>
          <w:iCs/>
        </w:rPr>
        <w:t xml:space="preserve">P </w:t>
      </w:r>
      <w:r w:rsidRPr="004D22ED">
        <w:rPr>
          <w:rFonts w:ascii="Book Antiqua" w:eastAsia="Book Antiqua" w:hAnsi="Book Antiqua" w:cs="Book Antiqua"/>
        </w:rPr>
        <w:t>=</w:t>
      </w:r>
      <w:r w:rsidRPr="004D22ED">
        <w:rPr>
          <w:rFonts w:ascii="Book Antiqua" w:eastAsia="Book Antiqua" w:hAnsi="Book Antiqua" w:cs="Book Antiqua"/>
          <w:i/>
          <w:iCs/>
        </w:rPr>
        <w:t xml:space="preserve"> </w:t>
      </w:r>
      <w:r w:rsidRPr="004D22ED">
        <w:rPr>
          <w:rFonts w:ascii="Book Antiqua" w:eastAsia="Book Antiqua" w:hAnsi="Book Antiqua" w:cs="Book Antiqua"/>
        </w:rPr>
        <w:t xml:space="preserve">0.056, suggesting that the OR values between the age groups are homogeneous. Therefore, after controlling the age groups, </w:t>
      </w:r>
      <w:r w:rsidRPr="004D22ED">
        <w:rPr>
          <w:rFonts w:ascii="Book Antiqua" w:eastAsia="Book Antiqua" w:hAnsi="Book Antiqua" w:cs="Book Antiqua"/>
          <w:i/>
          <w:iCs/>
        </w:rPr>
        <w:t xml:space="preserve">H. pylori </w:t>
      </w:r>
      <w:r w:rsidRPr="004D22ED">
        <w:rPr>
          <w:rFonts w:ascii="Book Antiqua" w:eastAsia="Book Antiqua" w:hAnsi="Book Antiqua" w:cs="Book Antiqua"/>
        </w:rPr>
        <w:t>in female</w:t>
      </w:r>
      <w:r w:rsidR="00DE0759">
        <w:rPr>
          <w:rFonts w:ascii="Book Antiqua" w:eastAsia="Book Antiqua" w:hAnsi="Book Antiqua" w:cs="Book Antiqua"/>
        </w:rPr>
        <w:t>s</w:t>
      </w:r>
      <w:r w:rsidRPr="004D22ED">
        <w:rPr>
          <w:rFonts w:ascii="Book Antiqua" w:eastAsia="Book Antiqua" w:hAnsi="Book Antiqua" w:cs="Book Antiqua"/>
        </w:rPr>
        <w:t xml:space="preserve"> was at a higher risk of the resistance to metronidazole (OR = 1.257, 95%CI: 0.190-1.327, </w:t>
      </w:r>
      <w:r w:rsidRPr="004D22ED">
        <w:rPr>
          <w:rFonts w:ascii="Book Antiqua" w:eastAsia="Book Antiqua" w:hAnsi="Book Antiqua" w:cs="Book Antiqua"/>
          <w:i/>
          <w:iCs/>
        </w:rPr>
        <w:t xml:space="preserve">P </w:t>
      </w:r>
      <w:r w:rsidRPr="004D22ED">
        <w:rPr>
          <w:rFonts w:ascii="Book Antiqua" w:eastAsia="Book Antiqua" w:hAnsi="Book Antiqua" w:cs="Book Antiqua"/>
        </w:rPr>
        <w:t xml:space="preserve">&lt; 0.001). Thus, regardless of the age </w:t>
      </w:r>
      <w:r w:rsidRPr="004D22ED">
        <w:rPr>
          <w:rFonts w:ascii="Book Antiqua" w:eastAsia="Book Antiqua" w:hAnsi="Book Antiqua" w:cs="Book Antiqua"/>
        </w:rPr>
        <w:lastRenderedPageBreak/>
        <w:t xml:space="preserve">group, the </w:t>
      </w:r>
      <w:r w:rsidRPr="004D22ED">
        <w:rPr>
          <w:rFonts w:ascii="Book Antiqua" w:eastAsia="Book Antiqua" w:hAnsi="Book Antiqua" w:cs="Book Antiqua"/>
          <w:i/>
          <w:iCs/>
        </w:rPr>
        <w:t xml:space="preserve">H. pylori </w:t>
      </w:r>
      <w:r w:rsidRPr="004D22ED">
        <w:rPr>
          <w:rFonts w:ascii="Book Antiqua" w:eastAsia="Book Antiqua" w:hAnsi="Book Antiqua" w:cs="Book Antiqua"/>
        </w:rPr>
        <w:t>resistance rate to metronidazole was approximately 1.257 times in females than that in males.</w:t>
      </w:r>
    </w:p>
    <w:p w14:paraId="733886AA" w14:textId="77777777" w:rsidR="00A77B3E" w:rsidRPr="004D22ED" w:rsidRDefault="00A77B3E" w:rsidP="004D22ED">
      <w:pPr>
        <w:adjustRightInd w:val="0"/>
        <w:snapToGrid w:val="0"/>
        <w:spacing w:line="360" w:lineRule="auto"/>
        <w:jc w:val="both"/>
        <w:rPr>
          <w:rFonts w:ascii="Book Antiqua" w:hAnsi="Book Antiqua"/>
        </w:rPr>
      </w:pPr>
    </w:p>
    <w:p w14:paraId="5A9325B6"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Multidrug resistance of H. pylori</w:t>
      </w:r>
    </w:p>
    <w:p w14:paraId="5A1A9DF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Multidrug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the four antibacterial drugs is shown in Table 2. Among the 94509 positive specimens, the overall resistance rate to the four antibacterial drugs reached 95.44%, of which the single-drug resistance rate was 54.59%, the dual-drug resistance rate was 29.03%, the triple-drug resistance rate was 11.71%, and the quadruple-drug resistance rate was 0.11%. According to the comparison of gender, the single-drug resistance rate in males was significantly higher than that of females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44.337, </w:t>
      </w:r>
      <w:r w:rsidRPr="004D22ED">
        <w:rPr>
          <w:rFonts w:ascii="Book Antiqua" w:eastAsia="Book Antiqua" w:hAnsi="Book Antiqua" w:cs="Book Antiqua"/>
          <w:i/>
          <w:iCs/>
        </w:rPr>
        <w:t xml:space="preserve">P </w:t>
      </w:r>
      <w:r w:rsidRPr="004D22ED">
        <w:rPr>
          <w:rFonts w:ascii="Book Antiqua" w:eastAsia="Book Antiqua" w:hAnsi="Book Antiqua" w:cs="Book Antiqua"/>
        </w:rPr>
        <w:t>&lt; 0.001), while the multidrug resistance rate in females was higher than that in males, especially the triple-drug resistance rate (</w:t>
      </w:r>
      <w:r w:rsidRPr="004D22ED">
        <w:rPr>
          <w:rFonts w:ascii="Book Antiqua" w:eastAsia="Book Antiqua" w:hAnsi="Book Antiqua" w:cs="Book Antiqua"/>
          <w:i/>
          <w:iCs/>
        </w:rPr>
        <w:t>χ</w:t>
      </w:r>
      <w:r w:rsidRPr="004D22ED">
        <w:rPr>
          <w:rFonts w:ascii="Book Antiqua" w:eastAsia="Book Antiqua" w:hAnsi="Book Antiqua" w:cs="Book Antiqua"/>
          <w:vertAlign w:val="superscript"/>
        </w:rPr>
        <w:t xml:space="preserve">2 </w:t>
      </w:r>
      <w:r w:rsidRPr="004D22ED">
        <w:rPr>
          <w:rFonts w:ascii="Book Antiqua" w:eastAsia="Book Antiqua" w:hAnsi="Book Antiqua" w:cs="Book Antiqua"/>
        </w:rPr>
        <w:t xml:space="preserve">= 188.305, </w:t>
      </w:r>
      <w:r w:rsidRPr="004D22ED">
        <w:rPr>
          <w:rFonts w:ascii="Book Antiqua" w:eastAsia="Book Antiqua" w:hAnsi="Book Antiqua" w:cs="Book Antiqua"/>
          <w:i/>
          <w:iCs/>
        </w:rPr>
        <w:t xml:space="preserve">P </w:t>
      </w:r>
      <w:r w:rsidRPr="004D22ED">
        <w:rPr>
          <w:rFonts w:ascii="Book Antiqua" w:eastAsia="Book Antiqua" w:hAnsi="Book Antiqua" w:cs="Book Antiqua"/>
        </w:rPr>
        <w:t>&lt; 0.001).</w:t>
      </w:r>
    </w:p>
    <w:p w14:paraId="4A2C022C" w14:textId="77777777" w:rsidR="00A77B3E" w:rsidRPr="004D22ED" w:rsidRDefault="00A77B3E" w:rsidP="004D22ED">
      <w:pPr>
        <w:adjustRightInd w:val="0"/>
        <w:snapToGrid w:val="0"/>
        <w:spacing w:line="360" w:lineRule="auto"/>
        <w:jc w:val="both"/>
        <w:rPr>
          <w:rFonts w:ascii="Book Antiqua" w:hAnsi="Book Antiqua"/>
        </w:rPr>
      </w:pPr>
    </w:p>
    <w:p w14:paraId="155C373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DISCUSSION</w:t>
      </w:r>
    </w:p>
    <w:p w14:paraId="0DBEFBA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infection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China is approximately 55%</w:t>
      </w:r>
      <w:r w:rsidRPr="004D22ED">
        <w:rPr>
          <w:rFonts w:ascii="Book Antiqua" w:eastAsia="Book Antiqua" w:hAnsi="Book Antiqua" w:cs="Book Antiqua"/>
          <w:vertAlign w:val="superscript"/>
        </w:rPr>
        <w:t>[13]</w:t>
      </w:r>
      <w:r w:rsidRPr="004D22ED">
        <w:rPr>
          <w:rFonts w:ascii="Book Antiqua" w:eastAsia="Book Antiqua" w:hAnsi="Book Antiqua" w:cs="Book Antiqua"/>
        </w:rPr>
        <w:t xml:space="preserve">, while the detection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is only approximately 30%. A variety of reasons may affect the positivity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including the colonization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at the biopsy site</w:t>
      </w:r>
      <w:r w:rsidRPr="004D22ED">
        <w:rPr>
          <w:rFonts w:ascii="Book Antiqua" w:eastAsia="Book Antiqua" w:hAnsi="Book Antiqua" w:cs="Book Antiqua"/>
          <w:vertAlign w:val="superscript"/>
        </w:rPr>
        <w:t>[14]</w:t>
      </w:r>
      <w:r w:rsidRPr="004D22ED">
        <w:rPr>
          <w:rFonts w:ascii="Book Antiqua" w:eastAsia="Book Antiqua" w:hAnsi="Book Antiqua" w:cs="Book Antiqua"/>
        </w:rPr>
        <w:t>, the influence of PPIs and antibacterial drugs on microbial cultures</w:t>
      </w:r>
      <w:r w:rsidRPr="004D22ED">
        <w:rPr>
          <w:rFonts w:ascii="Book Antiqua" w:eastAsia="Book Antiqua" w:hAnsi="Book Antiqua" w:cs="Book Antiqua"/>
          <w:vertAlign w:val="superscript"/>
        </w:rPr>
        <w:t>[15]</w:t>
      </w:r>
      <w:r w:rsidRPr="004D22ED">
        <w:rPr>
          <w:rFonts w:ascii="Book Antiqua" w:eastAsia="Book Antiqua" w:hAnsi="Book Antiqua" w:cs="Book Antiqua"/>
        </w:rPr>
        <w:t xml:space="preserve">, and even contamination in the process of microbial culture. However, the drug susceptibility test based on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culture can provide doctors with guidance for prescribing clinical medication and is the key to individualized treatment. With an annually increasing rate of antibacterial resistance, individualized treatment based on drug susceptibility results is recommended in China. Therefore, the cultivation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is still important and is the gold standard for detecting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w:t>
      </w:r>
    </w:p>
    <w:p w14:paraId="72C99BEB" w14:textId="44D283B0"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In this study, we shared a 10-year data analysis on the infection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Zhejiang Province, China. A total of 283823 gastric mucosal specimens were examined, and the</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rate was 33.30%. Age was determined to be related with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The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had the lowest infection rate of 22.49%, and the population aged 61-70 years had the highest infection rate of 43.33%. The infection rate increased with age; however, the </w:t>
      </w:r>
      <w:r w:rsidRPr="004D22ED">
        <w:rPr>
          <w:rFonts w:ascii="Book Antiqua" w:eastAsia="Book Antiqua" w:hAnsi="Book Antiqua" w:cs="Book Antiqua"/>
        </w:rPr>
        <w:lastRenderedPageBreak/>
        <w:t xml:space="preserve">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in children and adolescents is worthy of attention. The reported rates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among children and adolescents in different areas of China range from 18.62% to 72.28%</w:t>
      </w:r>
      <w:r w:rsidRPr="004D22ED">
        <w:rPr>
          <w:rFonts w:ascii="Book Antiqua" w:eastAsia="Book Antiqua" w:hAnsi="Book Antiqua" w:cs="Book Antiqua"/>
          <w:vertAlign w:val="superscript"/>
        </w:rPr>
        <w:t>[16</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17]</w:t>
      </w:r>
      <w:r w:rsidRPr="004D22ED">
        <w:rPr>
          <w:rFonts w:ascii="Book Antiqua" w:eastAsia="Book Antiqua" w:hAnsi="Book Antiqua" w:cs="Book Antiqua"/>
        </w:rPr>
        <w:t xml:space="preserve">. The “Kyoto global consensus report on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gastritis” proposes that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is an infectious disease</w:t>
      </w:r>
      <w:r w:rsidRPr="004D22ED">
        <w:rPr>
          <w:rFonts w:ascii="Book Antiqua" w:eastAsia="Book Antiqua" w:hAnsi="Book Antiqua" w:cs="Book Antiqua"/>
          <w:vertAlign w:val="superscript"/>
        </w:rPr>
        <w:t>[18]</w:t>
      </w:r>
      <w:r w:rsidRPr="004D22ED">
        <w:rPr>
          <w:rFonts w:ascii="Book Antiqua" w:eastAsia="Book Antiqua" w:hAnsi="Book Antiqua" w:cs="Book Antiqua"/>
        </w:rPr>
        <w:t xml:space="preserve">, and it can be transmitted through mouth-to-mouth, stomach-to-mouth, feces-to-mouth and other routes. Thus, in addition to the limited awareness of hygiene and health, the traditional eating style (sharing food from the same plates) observed in China may play a role in the transmission of </w:t>
      </w:r>
      <w:r w:rsidRPr="004D22ED">
        <w:rPr>
          <w:rFonts w:ascii="Book Antiqua" w:eastAsia="Book Antiqua" w:hAnsi="Book Antiqua" w:cs="Book Antiqua"/>
          <w:i/>
          <w:iCs/>
        </w:rPr>
        <w:t>H. pylori</w:t>
      </w:r>
      <w:r w:rsidRPr="004D22ED">
        <w:rPr>
          <w:rFonts w:ascii="Book Antiqua" w:eastAsia="Book Antiqua" w:hAnsi="Book Antiqua" w:cs="Book Antiqua"/>
        </w:rPr>
        <w:t xml:space="preserve">. The diagnosis and treatment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in children and adolescents requires special attention. In the absence of effective treatment, a</w:t>
      </w:r>
      <w:r w:rsidR="00DE0759">
        <w:rPr>
          <w:rFonts w:ascii="Book Antiqua" w:eastAsia="Book Antiqua" w:hAnsi="Book Antiqua" w:cs="Book Antiqua"/>
        </w:rPr>
        <w:t>n</w:t>
      </w:r>
      <w:r w:rsidRPr="004D22ED">
        <w:rPr>
          <w:rFonts w:ascii="Book Antiqua" w:eastAsia="Book Antiqua" w:hAnsi="Book Antiqua" w:cs="Book Antiqua"/>
        </w:rPr>
        <w:t xml:space="preserve"> </w:t>
      </w:r>
      <w:r w:rsidRPr="004D22ED">
        <w:rPr>
          <w:rFonts w:ascii="Book Antiqua" w:eastAsia="Book Antiqua" w:hAnsi="Book Antiqua" w:cs="Book Antiqua"/>
          <w:i/>
          <w:iCs/>
        </w:rPr>
        <w:t>H. pylori</w:t>
      </w:r>
      <w:r w:rsidRPr="004D22ED">
        <w:rPr>
          <w:rFonts w:ascii="Book Antiqua" w:eastAsia="Book Antiqua" w:hAnsi="Book Antiqua" w:cs="Book Antiqua"/>
        </w:rPr>
        <w:t xml:space="preserve"> infection may be lifelong.</w:t>
      </w:r>
    </w:p>
    <w:p w14:paraId="3B6F8D8B"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On the other hand, males were found to have a higher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than that for females, and Dutta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[19]</w:t>
      </w:r>
      <w:r w:rsidRPr="004D22ED">
        <w:rPr>
          <w:rFonts w:ascii="Book Antiqua" w:eastAsia="Book Antiqua" w:hAnsi="Book Antiqua" w:cs="Book Antiqua"/>
        </w:rPr>
        <w:t xml:space="preserve"> reported the same results. Some habits, such as smoking, may be indirectly related to this result</w:t>
      </w:r>
      <w:r w:rsidRPr="004D22ED">
        <w:rPr>
          <w:rFonts w:ascii="Book Antiqua" w:eastAsia="Book Antiqua" w:hAnsi="Book Antiqua" w:cs="Book Antiqua"/>
          <w:vertAlign w:val="superscript"/>
        </w:rPr>
        <w:t>[20]</w:t>
      </w:r>
      <w:r w:rsidRPr="004D22ED">
        <w:rPr>
          <w:rFonts w:ascii="Book Antiqua" w:eastAsia="Book Antiqua" w:hAnsi="Book Antiqua" w:cs="Book Antiqua"/>
        </w:rPr>
        <w:t>. In Taizhou city, 48.00% of males smoke, while only 1.19% of females smoke</w:t>
      </w:r>
      <w:r w:rsidRPr="004D22ED">
        <w:rPr>
          <w:rFonts w:ascii="Book Antiqua" w:eastAsia="Book Antiqua" w:hAnsi="Book Antiqua" w:cs="Book Antiqua"/>
          <w:vertAlign w:val="superscript"/>
        </w:rPr>
        <w:t>[21]</w:t>
      </w:r>
      <w:r w:rsidRPr="004D22ED">
        <w:rPr>
          <w:rFonts w:ascii="Book Antiqua" w:eastAsia="Book Antiqua" w:hAnsi="Book Antiqua" w:cs="Book Antiqua"/>
        </w:rPr>
        <w:t xml:space="preserve">. The habit of smoking may lead to an increase in the secretion of gastric acid and pepsin, thereby destroying the health of the gastric mucosa and promoting the colonization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w:t>
      </w:r>
    </w:p>
    <w:p w14:paraId="4195DB0C" w14:textId="74C26743"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has high resistance rates to antibacterial drugs in Taizhou city, and these rates have gradually increased over time. The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to amoxicillin remains low (0.21%), while that to metronidazole is high (93.72%) throughout China</w:t>
      </w:r>
      <w:r w:rsidRPr="004D22ED">
        <w:rPr>
          <w:rFonts w:ascii="Book Antiqua" w:eastAsia="Book Antiqua" w:hAnsi="Book Antiqua" w:cs="Book Antiqua"/>
          <w:vertAlign w:val="superscript"/>
        </w:rPr>
        <w:t>[22</w:t>
      </w:r>
      <w:r w:rsidR="009A19FE" w:rsidRPr="004D22ED">
        <w:rPr>
          <w:rFonts w:ascii="Book Antiqua" w:eastAsia="Book Antiqua" w:hAnsi="Book Antiqua" w:cs="Book Antiqua"/>
          <w:vertAlign w:val="superscript"/>
        </w:rPr>
        <w:t>,</w:t>
      </w:r>
      <w:r w:rsidRPr="004D22ED">
        <w:rPr>
          <w:rFonts w:ascii="Book Antiqua" w:eastAsia="Book Antiqua" w:hAnsi="Book Antiqua" w:cs="Book Antiqua"/>
          <w:vertAlign w:val="superscript"/>
        </w:rPr>
        <w:t>23]</w:t>
      </w:r>
      <w:r w:rsidRPr="004D22ED">
        <w:rPr>
          <w:rFonts w:ascii="Book Antiqua" w:eastAsia="Book Antiqua" w:hAnsi="Book Antiqua" w:cs="Book Antiqua"/>
        </w:rPr>
        <w:t xml:space="preserve">. In the </w:t>
      </w:r>
      <w:r w:rsidR="0072429E">
        <w:rPr>
          <w:rFonts w:ascii="Book Antiqua" w:eastAsia="Book Antiqua" w:hAnsi="Book Antiqua" w:cs="Book Antiqua"/>
        </w:rPr>
        <w:t>10</w:t>
      </w:r>
      <w:r w:rsidR="0072429E" w:rsidRPr="004D22ED">
        <w:rPr>
          <w:rFonts w:ascii="Book Antiqua" w:eastAsia="Book Antiqua" w:hAnsi="Book Antiqua" w:cs="Book Antiqua"/>
        </w:rPr>
        <w:t xml:space="preserve"> </w:t>
      </w:r>
      <w:r w:rsidRPr="004D22ED">
        <w:rPr>
          <w:rFonts w:ascii="Book Antiqua" w:eastAsia="Book Antiqua" w:hAnsi="Book Antiqua" w:cs="Book Antiqua"/>
        </w:rPr>
        <w:t>years examined in this study, the resistance rates to clarithromycin and levofloxacin significantly increased by 23.81% and 22.35%, respectively. The resistance rate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increases with age</w:t>
      </w:r>
      <w:r w:rsidRPr="004D22ED">
        <w:rPr>
          <w:rFonts w:ascii="Book Antiqua" w:eastAsia="Book Antiqua" w:hAnsi="Book Antiqua" w:cs="Book Antiqua"/>
          <w:vertAlign w:val="superscript"/>
        </w:rPr>
        <w:t>[9]</w:t>
      </w:r>
      <w:r w:rsidRPr="004D22ED">
        <w:rPr>
          <w:rFonts w:ascii="Book Antiqua" w:eastAsia="Book Antiqua" w:hAnsi="Book Antiqua" w:cs="Book Antiqua"/>
        </w:rPr>
        <w:t>. In this study, the resistance rate to clarithromycin and metronidazole for the population aged ≥ 81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was 15.60% and 21.59% higher, respectively, than those for the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and the difference in levofloxacin resistance reached 38.38%. The application of antibacterial drugs in the population is one of the external factors contributing to the development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resistance, and the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detected for the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who seldom use antibacterial drugs, may be related to the resistance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itself.</w:t>
      </w:r>
    </w:p>
    <w:p w14:paraId="2D013520" w14:textId="35014ECF"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After controlling for age group, females showed a higher incidence of </w:t>
      </w:r>
      <w:r w:rsidRPr="004D22ED">
        <w:rPr>
          <w:rFonts w:ascii="Book Antiqua" w:eastAsia="Book Antiqua" w:hAnsi="Book Antiqua" w:cs="Book Antiqua"/>
          <w:i/>
          <w:iCs/>
        </w:rPr>
        <w:t xml:space="preserve">H. pylori </w:t>
      </w:r>
      <w:r w:rsidRPr="004D22ED">
        <w:rPr>
          <w:rFonts w:ascii="Book Antiqua" w:eastAsia="Book Antiqua" w:hAnsi="Book Antiqua" w:cs="Book Antiqua"/>
        </w:rPr>
        <w:t>resistance to metronidazole</w:t>
      </w:r>
      <w:r w:rsidRPr="004D22ED">
        <w:rPr>
          <w:rFonts w:ascii="Book Antiqua" w:eastAsia="Book Antiqua" w:hAnsi="Book Antiqua" w:cs="Book Antiqua"/>
          <w:vertAlign w:val="superscript"/>
        </w:rPr>
        <w:t>[24]</w:t>
      </w:r>
      <w:r w:rsidRPr="004D22ED">
        <w:rPr>
          <w:rFonts w:ascii="Book Antiqua" w:eastAsia="Book Antiqua" w:hAnsi="Book Antiqua" w:cs="Book Antiqua"/>
        </w:rPr>
        <w:t xml:space="preserve">, which was approximately 1.257 times higher than that of </w:t>
      </w:r>
      <w:r w:rsidRPr="004D22ED">
        <w:rPr>
          <w:rFonts w:ascii="Book Antiqua" w:eastAsia="Book Antiqua" w:hAnsi="Book Antiqua" w:cs="Book Antiqua"/>
        </w:rPr>
        <w:lastRenderedPageBreak/>
        <w:t xml:space="preserve">males. This result is in agreement with data presented by Mirzaei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[25]</w:t>
      </w:r>
      <w:r w:rsidRPr="004D22ED">
        <w:rPr>
          <w:rFonts w:ascii="Book Antiqua" w:eastAsia="Book Antiqua" w:hAnsi="Book Antiqua" w:cs="Book Antiqua"/>
        </w:rPr>
        <w:t xml:space="preserve">. Metronidazole is used in a wide variety of applications and is typically used in the treatment of anaerobic infections in the female reproductive system or for treating </w:t>
      </w:r>
      <w:r w:rsidRPr="004D22ED">
        <w:rPr>
          <w:rFonts w:ascii="Book Antiqua" w:eastAsia="Book Antiqua" w:hAnsi="Book Antiqua" w:cs="Book Antiqua"/>
          <w:i/>
          <w:iCs/>
        </w:rPr>
        <w:t xml:space="preserve">Trichomonas vaginalis </w:t>
      </w:r>
      <w:r w:rsidRPr="004D22ED">
        <w:rPr>
          <w:rFonts w:ascii="Book Antiqua" w:eastAsia="Book Antiqua" w:hAnsi="Book Antiqua" w:cs="Book Antiqua"/>
        </w:rPr>
        <w:t>infections</w:t>
      </w:r>
      <w:r w:rsidRPr="004D22ED">
        <w:rPr>
          <w:rFonts w:ascii="Book Antiqua" w:eastAsia="Book Antiqua" w:hAnsi="Book Antiqua" w:cs="Book Antiqua"/>
          <w:vertAlign w:val="superscript"/>
        </w:rPr>
        <w:t>[26]</w:t>
      </w:r>
      <w:r w:rsidRPr="004D22ED">
        <w:rPr>
          <w:rFonts w:ascii="Book Antiqua" w:eastAsia="Book Antiqua" w:hAnsi="Book Antiqua" w:cs="Book Antiqua"/>
        </w:rPr>
        <w:t xml:space="preserve">. In this study,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934011">
        <w:rPr>
          <w:rFonts w:ascii="Book Antiqua" w:eastAsia="Book Antiqua" w:hAnsi="Book Antiqua" w:cs="Book Antiqua"/>
        </w:rPr>
        <w:t>s</w:t>
      </w:r>
      <w:r w:rsidRPr="004D22ED">
        <w:rPr>
          <w:rFonts w:ascii="Book Antiqua" w:eastAsia="Book Antiqua" w:hAnsi="Book Antiqua" w:cs="Book Antiqua"/>
        </w:rPr>
        <w:t xml:space="preserve"> was at a higher risk of resistance to clarithromycin and levofloxacin for the population aged 21-50 years; this finding is different from the data presented by Shu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[27]</w:t>
      </w:r>
      <w:r w:rsidRPr="004D22ED">
        <w:rPr>
          <w:rFonts w:ascii="Book Antiqua" w:eastAsia="Book Antiqua" w:hAnsi="Book Antiqua" w:cs="Book Antiqua"/>
        </w:rPr>
        <w:t xml:space="preserve">. A study by Shao </w:t>
      </w:r>
      <w:r w:rsidRPr="004D22ED">
        <w:rPr>
          <w:rFonts w:ascii="Book Antiqua" w:eastAsia="Book Antiqua" w:hAnsi="Book Antiqua" w:cs="Book Antiqua"/>
          <w:i/>
          <w:iCs/>
        </w:rPr>
        <w:t>et al</w:t>
      </w:r>
      <w:r w:rsidRPr="004D22ED">
        <w:rPr>
          <w:rFonts w:ascii="Book Antiqua" w:eastAsia="Book Antiqua" w:hAnsi="Book Antiqua" w:cs="Book Antiqua"/>
          <w:vertAlign w:val="superscript"/>
        </w:rPr>
        <w:t xml:space="preserve">[24] </w:t>
      </w:r>
      <w:r w:rsidRPr="004D22ED">
        <w:rPr>
          <w:rFonts w:ascii="Book Antiqua" w:eastAsia="Book Antiqua" w:hAnsi="Book Antiqua" w:cs="Book Antiqua"/>
        </w:rPr>
        <w:t>reported results in agreement with ours. In addition, the incidence of multidrug resistance in females was higher than that in males. These phenomena may be related to hormones, genetic differences, and the frequency of antibiotic use. For levofloxacin and clarithromycin, the younger population, aged ≤ 20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had a similar medication background. For the population aged ≥ 51</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 xml:space="preserve">old, the physical fitness and immunity of individuals decreases with age, and medications increase and vary. Due to the accumulation of medication over the years, the difference between female and male decreases, while the difference between age group increases. For the population in the middle-aged 21-50 group, their physical fitness is relatively healthy, and their immunity is strong. Therefore, the use of antibacterial agents will affect the resistance rates in </w:t>
      </w:r>
      <w:r w:rsidRPr="004D22ED">
        <w:rPr>
          <w:rFonts w:ascii="Book Antiqua" w:eastAsia="Book Antiqua" w:hAnsi="Book Antiqua" w:cs="Book Antiqua"/>
          <w:i/>
          <w:iCs/>
        </w:rPr>
        <w:t>H. pylori</w:t>
      </w:r>
      <w:r w:rsidRPr="004D22ED">
        <w:rPr>
          <w:rFonts w:ascii="Book Antiqua" w:eastAsia="Book Antiqua" w:hAnsi="Book Antiqua" w:cs="Book Antiqua"/>
        </w:rPr>
        <w:t>. Some research indicates that for some less serious infections, such as colds, females are relatively more willing to receive antibiotic treatment, while males are often accustomed to relying on their own immunity. Therefore, female medication habits may be one of the reasons why the resistance rate in females is higher than that in males</w:t>
      </w:r>
      <w:r w:rsidRPr="004D22ED">
        <w:rPr>
          <w:rFonts w:ascii="Book Antiqua" w:eastAsia="Book Antiqua" w:hAnsi="Book Antiqua" w:cs="Book Antiqua"/>
          <w:vertAlign w:val="superscript"/>
        </w:rPr>
        <w:t>[28]</w:t>
      </w:r>
      <w:r w:rsidRPr="004D22ED">
        <w:rPr>
          <w:rFonts w:ascii="Book Antiqua" w:eastAsia="Book Antiqua" w:hAnsi="Book Antiqua" w:cs="Book Antiqua"/>
        </w:rPr>
        <w:t>.</w:t>
      </w:r>
    </w:p>
    <w:p w14:paraId="225FD755" w14:textId="77777777" w:rsidR="00A77B3E" w:rsidRPr="004D22ED" w:rsidRDefault="005315A5" w:rsidP="004D22ED">
      <w:pPr>
        <w:adjustRightInd w:val="0"/>
        <w:snapToGrid w:val="0"/>
        <w:spacing w:line="360" w:lineRule="auto"/>
        <w:ind w:firstLine="420"/>
        <w:jc w:val="both"/>
        <w:rPr>
          <w:rFonts w:ascii="Book Antiqua" w:hAnsi="Book Antiqua"/>
        </w:rPr>
      </w:pPr>
      <w:r w:rsidRPr="004D22ED">
        <w:rPr>
          <w:rFonts w:ascii="Book Antiqua" w:eastAsia="Book Antiqua" w:hAnsi="Book Antiqua" w:cs="Book Antiqua"/>
        </w:rPr>
        <w:t xml:space="preserve">Resistance to antibacterial drugs poses a huge challenge to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therapy. Experts from all over the world have jointly issued some consensus reports, and a number of consensus reports have been published based on the resistance rates of</w:t>
      </w:r>
      <w:r w:rsidRPr="004D22ED">
        <w:rPr>
          <w:rFonts w:ascii="Book Antiqua" w:eastAsia="Book Antiqua" w:hAnsi="Book Antiqua" w:cs="Book Antiqua"/>
          <w:i/>
          <w:iCs/>
        </w:rPr>
        <w:t xml:space="preserve"> 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China. The “Fifth Chinese National Consensus Report on the management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(“Fifth Chinese National Consensus Report”) indicated that quadruple therapy containing clarithromycin and metronidazole was not recommended in empirical therapy when the dual-drug resistance rate is over 15.00%</w:t>
      </w:r>
      <w:r w:rsidRPr="004D22ED">
        <w:rPr>
          <w:rFonts w:ascii="Book Antiqua" w:eastAsia="Book Antiqua" w:hAnsi="Book Antiqua" w:cs="Book Antiqua"/>
          <w:vertAlign w:val="superscript"/>
        </w:rPr>
        <w:t>[29]</w:t>
      </w:r>
      <w:r w:rsidRPr="004D22ED">
        <w:rPr>
          <w:rFonts w:ascii="Book Antiqua" w:eastAsia="Book Antiqua" w:hAnsi="Book Antiqua" w:cs="Book Antiqua"/>
        </w:rPr>
        <w:t xml:space="preserve">. In Taizhou city, the dual-drug resistance rate to clarithromycin and metronidazole is 11.16%, although resistance rates to each drug individually are high. Furthermore, the “Fifth Chinese National Consensus Report”, published in December 2016, proposed that treatment </w:t>
      </w:r>
      <w:r w:rsidRPr="004D22ED">
        <w:rPr>
          <w:rFonts w:ascii="Book Antiqua" w:eastAsia="Book Antiqua" w:hAnsi="Book Antiqua" w:cs="Book Antiqua"/>
        </w:rPr>
        <w:lastRenderedPageBreak/>
        <w:t xml:space="preserve">therapy containing levofloxacin was not recommended for initial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because of its high resistance rate</w:t>
      </w:r>
      <w:r w:rsidRPr="004D22ED">
        <w:rPr>
          <w:rFonts w:ascii="Book Antiqua" w:eastAsia="Book Antiqua" w:hAnsi="Book Antiqua" w:cs="Book Antiqua"/>
          <w:vertAlign w:val="superscript"/>
        </w:rPr>
        <w:t>[28]</w:t>
      </w:r>
      <w:r w:rsidRPr="004D22ED">
        <w:rPr>
          <w:rFonts w:ascii="Book Antiqua" w:eastAsia="Book Antiqua" w:hAnsi="Book Antiqua" w:cs="Book Antiqua"/>
        </w:rPr>
        <w:t>. Following the consensus recommendations, the resistance rate to levofloxacin decreased slightly and remained stable after 2017 in Taizhou, which was an obvious result.</w:t>
      </w:r>
    </w:p>
    <w:p w14:paraId="51D48F06" w14:textId="77777777" w:rsidR="00A77B3E" w:rsidRPr="004D22ED" w:rsidRDefault="00A77B3E" w:rsidP="004D22ED">
      <w:pPr>
        <w:adjustRightInd w:val="0"/>
        <w:snapToGrid w:val="0"/>
        <w:spacing w:line="360" w:lineRule="auto"/>
        <w:ind w:firstLine="420"/>
        <w:jc w:val="both"/>
        <w:rPr>
          <w:rFonts w:ascii="Book Antiqua" w:hAnsi="Book Antiqua"/>
        </w:rPr>
      </w:pPr>
    </w:p>
    <w:p w14:paraId="627FCD6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i/>
          <w:iCs/>
        </w:rPr>
        <w:t>Limits of study</w:t>
      </w:r>
    </w:p>
    <w:p w14:paraId="5BF76AF7" w14:textId="0E39381D"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purpose of this study is to study the prevalence and drug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The detection methods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infection include microbial culture, pathological testing, </w:t>
      </w:r>
      <w:r w:rsidRPr="004D22ED">
        <w:rPr>
          <w:rFonts w:ascii="Book Antiqua" w:eastAsia="Book Antiqua" w:hAnsi="Book Antiqua" w:cs="Book Antiqua"/>
          <w:vertAlign w:val="superscript"/>
        </w:rPr>
        <w:t>13</w:t>
      </w:r>
      <w:r w:rsidRPr="004D22ED">
        <w:rPr>
          <w:rFonts w:ascii="Book Antiqua" w:eastAsia="Book Antiqua" w:hAnsi="Book Antiqua" w:cs="Book Antiqua"/>
        </w:rPr>
        <w:t xml:space="preserve">C urease breath test, nucleic acid testing, </w:t>
      </w:r>
      <w:r w:rsidRPr="004D22ED">
        <w:rPr>
          <w:rFonts w:ascii="Book Antiqua" w:eastAsia="Book Antiqua" w:hAnsi="Book Antiqua" w:cs="Book Antiqua"/>
          <w:i/>
          <w:iCs/>
        </w:rPr>
        <w:t>etc.</w:t>
      </w:r>
      <w:r w:rsidRPr="004D22ED">
        <w:rPr>
          <w:rFonts w:ascii="Book Antiqua" w:eastAsia="Book Antiqua" w:hAnsi="Book Antiqua" w:cs="Book Antiqua"/>
        </w:rPr>
        <w:t xml:space="preserve">, and the combined detection of multiple methods can improve the detection rate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However, some of these methods were not widely and continuously used in the early stages of this study. In this paper, we mainly analy</w:t>
      </w:r>
      <w:r w:rsidR="000E3C16">
        <w:rPr>
          <w:rFonts w:ascii="Book Antiqua" w:eastAsia="Book Antiqua" w:hAnsi="Book Antiqua" w:cs="Book Antiqua"/>
        </w:rPr>
        <w:t>zed</w:t>
      </w:r>
      <w:r w:rsidRPr="004D22ED">
        <w:rPr>
          <w:rFonts w:ascii="Book Antiqua" w:eastAsia="Book Antiqua" w:hAnsi="Book Antiqua" w:cs="Book Antiqua"/>
        </w:rPr>
        <w:t xml:space="preserve"> the data obtained through microbial culture, which can reflect the changes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to a certain extent.</w:t>
      </w:r>
    </w:p>
    <w:p w14:paraId="3DCF6650" w14:textId="77777777" w:rsidR="00A77B3E" w:rsidRPr="004D22ED" w:rsidRDefault="00A77B3E" w:rsidP="004D22ED">
      <w:pPr>
        <w:adjustRightInd w:val="0"/>
        <w:snapToGrid w:val="0"/>
        <w:spacing w:line="360" w:lineRule="auto"/>
        <w:jc w:val="both"/>
        <w:rPr>
          <w:rFonts w:ascii="Book Antiqua" w:hAnsi="Book Antiqua"/>
        </w:rPr>
      </w:pPr>
    </w:p>
    <w:p w14:paraId="5894EA1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CONCLUSION</w:t>
      </w:r>
    </w:p>
    <w:p w14:paraId="63E49AAA" w14:textId="2AA4893F"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prevalence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are serious. The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increased with age, and </w:t>
      </w:r>
      <w:r w:rsidR="000E3C16">
        <w:rPr>
          <w:rFonts w:ascii="Book Antiqua" w:eastAsia="Book Antiqua" w:hAnsi="Book Antiqua" w:cs="Book Antiqua"/>
        </w:rPr>
        <w:t xml:space="preserve">the </w:t>
      </w:r>
      <w:r w:rsidRPr="004D22ED">
        <w:rPr>
          <w:rFonts w:ascii="Book Antiqua" w:eastAsia="Book Antiqua" w:hAnsi="Book Antiqua" w:cs="Book Antiqua"/>
        </w:rPr>
        <w:t xml:space="preserve">male was at a higher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The resistance rate increased with age, and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0E3C16">
        <w:rPr>
          <w:rFonts w:ascii="Book Antiqua" w:eastAsia="Book Antiqua" w:hAnsi="Book Antiqua" w:cs="Book Antiqua"/>
        </w:rPr>
        <w:t>s</w:t>
      </w:r>
      <w:r w:rsidRPr="004D22ED">
        <w:rPr>
          <w:rFonts w:ascii="Book Antiqua" w:eastAsia="Book Antiqua" w:hAnsi="Book Antiqua" w:cs="Book Antiqua"/>
        </w:rPr>
        <w:t>, age 21</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to 50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was at a higher risk of resistance to levofloxacin and clarithromycin. Guided by the consensus report, individualized treatment based on an AST is recommended.</w:t>
      </w:r>
    </w:p>
    <w:p w14:paraId="540E5BB3" w14:textId="77777777" w:rsidR="00A77B3E" w:rsidRPr="004D22ED" w:rsidRDefault="00A77B3E" w:rsidP="004D22ED">
      <w:pPr>
        <w:adjustRightInd w:val="0"/>
        <w:snapToGrid w:val="0"/>
        <w:spacing w:line="360" w:lineRule="auto"/>
        <w:jc w:val="both"/>
        <w:rPr>
          <w:rFonts w:ascii="Book Antiqua" w:hAnsi="Book Antiqua"/>
        </w:rPr>
      </w:pPr>
    </w:p>
    <w:p w14:paraId="45E0CA1A"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caps/>
          <w:u w:val="single"/>
        </w:rPr>
        <w:t>ARTICLE HIGHLIGHTS</w:t>
      </w:r>
    </w:p>
    <w:p w14:paraId="5BB62CB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background</w:t>
      </w:r>
    </w:p>
    <w:p w14:paraId="76DF8B67"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trend of </w:t>
      </w:r>
      <w:r w:rsidRPr="004D22ED">
        <w:rPr>
          <w:rFonts w:ascii="Book Antiqua" w:eastAsia="Book Antiqua" w:hAnsi="Book Antiqua" w:cs="Book Antiqua"/>
          <w:i/>
          <w:iCs/>
          <w:shd w:val="clear" w:color="auto" w:fill="FFFFFF"/>
        </w:rPr>
        <w:t>Helicobacter pylori</w:t>
      </w:r>
      <w:r w:rsidRPr="004D22ED">
        <w:rPr>
          <w:rFonts w:ascii="Book Antiqua" w:eastAsia="Book Antiqua" w:hAnsi="Book Antiqua" w:cs="Book Antiqua"/>
          <w:i/>
          <w:iCs/>
        </w:rPr>
        <w:t xml:space="preserve"> </w:t>
      </w:r>
      <w:r w:rsidRPr="004D22ED">
        <w:rPr>
          <w:rFonts w:ascii="Book Antiqua" w:eastAsia="Book Antiqua" w:hAnsi="Book Antiqua" w:cs="Book Antiqua"/>
        </w:rPr>
        <w:t>(</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prevalence and antibacterial drug resistance is getting more serious.</w:t>
      </w:r>
    </w:p>
    <w:p w14:paraId="78F3DD75" w14:textId="77777777" w:rsidR="00A77B3E" w:rsidRPr="004D22ED" w:rsidRDefault="00A77B3E" w:rsidP="004D22ED">
      <w:pPr>
        <w:adjustRightInd w:val="0"/>
        <w:snapToGrid w:val="0"/>
        <w:spacing w:line="360" w:lineRule="auto"/>
        <w:jc w:val="both"/>
        <w:rPr>
          <w:rFonts w:ascii="Book Antiqua" w:hAnsi="Book Antiqua"/>
        </w:rPr>
      </w:pPr>
    </w:p>
    <w:p w14:paraId="3E83D93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motivation</w:t>
      </w:r>
    </w:p>
    <w:p w14:paraId="6330519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To provide guidance on the use of antimicrobial drugs for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eradication treatment based on the trend of antimicrobial resistance.</w:t>
      </w:r>
    </w:p>
    <w:p w14:paraId="4FB611EC" w14:textId="77777777" w:rsidR="00A77B3E" w:rsidRPr="004D22ED" w:rsidRDefault="00A77B3E" w:rsidP="004D22ED">
      <w:pPr>
        <w:adjustRightInd w:val="0"/>
        <w:snapToGrid w:val="0"/>
        <w:spacing w:line="360" w:lineRule="auto"/>
        <w:jc w:val="both"/>
        <w:rPr>
          <w:rFonts w:ascii="Book Antiqua" w:hAnsi="Book Antiqua"/>
        </w:rPr>
      </w:pPr>
    </w:p>
    <w:p w14:paraId="16DA7A4E"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lastRenderedPageBreak/>
        <w:t>Research objectives</w:t>
      </w:r>
    </w:p>
    <w:p w14:paraId="5692C79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Big data-based research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and antimicrobial resistance trends in Taizhou, Zhejiang Province were performed.</w:t>
      </w:r>
    </w:p>
    <w:p w14:paraId="57FEFF95" w14:textId="77777777" w:rsidR="00A77B3E" w:rsidRPr="004D22ED" w:rsidRDefault="00A77B3E" w:rsidP="004D22ED">
      <w:pPr>
        <w:adjustRightInd w:val="0"/>
        <w:snapToGrid w:val="0"/>
        <w:spacing w:line="360" w:lineRule="auto"/>
        <w:jc w:val="both"/>
        <w:rPr>
          <w:rFonts w:ascii="Book Antiqua" w:hAnsi="Book Antiqua"/>
        </w:rPr>
      </w:pPr>
    </w:p>
    <w:p w14:paraId="6C9FE54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methods</w:t>
      </w:r>
    </w:p>
    <w:p w14:paraId="4D2B88B8" w14:textId="0531ED1D"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Carried out the statistical analysis of the results of gastric mucosal tissue sample culture and drug susceptibility test</w:t>
      </w:r>
      <w:r w:rsidR="00934011">
        <w:rPr>
          <w:rFonts w:ascii="Book Antiqua" w:eastAsia="Book Antiqua" w:hAnsi="Book Antiqua" w:cs="Book Antiqua"/>
        </w:rPr>
        <w:t>s</w:t>
      </w:r>
      <w:r w:rsidRPr="004D22ED">
        <w:rPr>
          <w:rFonts w:ascii="Book Antiqua" w:eastAsia="Book Antiqua" w:hAnsi="Book Antiqua" w:cs="Book Antiqua"/>
        </w:rPr>
        <w:t xml:space="preserve"> in Taizhou in the past </w:t>
      </w:r>
      <w:r w:rsidR="0072429E">
        <w:rPr>
          <w:rFonts w:ascii="Book Antiqua" w:eastAsia="Book Antiqua" w:hAnsi="Book Antiqua" w:cs="Book Antiqua"/>
        </w:rPr>
        <w:t>10</w:t>
      </w:r>
      <w:r w:rsidR="0072429E" w:rsidRPr="004D22ED">
        <w:rPr>
          <w:rFonts w:ascii="Book Antiqua" w:eastAsia="Book Antiqua" w:hAnsi="Book Antiqua" w:cs="Book Antiqua"/>
        </w:rPr>
        <w:t xml:space="preserve"> </w:t>
      </w:r>
      <w:r w:rsidRPr="004D22ED">
        <w:rPr>
          <w:rFonts w:ascii="Book Antiqua" w:eastAsia="Book Antiqua" w:hAnsi="Book Antiqua" w:cs="Book Antiqua"/>
        </w:rPr>
        <w:t xml:space="preserve">years, and explored the differences between different age groups and gender of the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and antibacterial drug resistance rates.</w:t>
      </w:r>
    </w:p>
    <w:p w14:paraId="1A28D00A" w14:textId="77777777" w:rsidR="00A77B3E" w:rsidRPr="004D22ED" w:rsidRDefault="00A77B3E" w:rsidP="004D22ED">
      <w:pPr>
        <w:adjustRightInd w:val="0"/>
        <w:snapToGrid w:val="0"/>
        <w:spacing w:line="360" w:lineRule="auto"/>
        <w:jc w:val="both"/>
        <w:rPr>
          <w:rFonts w:ascii="Book Antiqua" w:hAnsi="Book Antiqua"/>
        </w:rPr>
      </w:pPr>
    </w:p>
    <w:p w14:paraId="2AC1D74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results</w:t>
      </w:r>
    </w:p>
    <w:p w14:paraId="696C180E" w14:textId="50824F13"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prevalence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increased with age, and male</w:t>
      </w:r>
      <w:r w:rsidR="000E3C16">
        <w:rPr>
          <w:rFonts w:ascii="Book Antiqua" w:eastAsia="Book Antiqua" w:hAnsi="Book Antiqua" w:cs="Book Antiqua"/>
        </w:rPr>
        <w:t>s</w:t>
      </w:r>
      <w:r w:rsidRPr="004D22ED">
        <w:rPr>
          <w:rFonts w:ascii="Book Antiqua" w:eastAsia="Book Antiqua" w:hAnsi="Book Antiqua" w:cs="Book Antiqua"/>
        </w:rPr>
        <w:t xml:space="preserve"> w</w:t>
      </w:r>
      <w:r w:rsidR="000E3C16">
        <w:rPr>
          <w:rFonts w:ascii="Book Antiqua" w:eastAsia="Book Antiqua" w:hAnsi="Book Antiqua" w:cs="Book Antiqua"/>
        </w:rPr>
        <w:t>ere</w:t>
      </w:r>
      <w:r w:rsidRPr="004D22ED">
        <w:rPr>
          <w:rFonts w:ascii="Book Antiqua" w:eastAsia="Book Antiqua" w:hAnsi="Book Antiqua" w:cs="Book Antiqua"/>
        </w:rPr>
        <w:t xml:space="preserve"> at a higher risk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prevalence. The resistance rate increased with age, and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female</w:t>
      </w:r>
      <w:r w:rsidR="000E3C16">
        <w:rPr>
          <w:rFonts w:ascii="Book Antiqua" w:eastAsia="Book Antiqua" w:hAnsi="Book Antiqua" w:cs="Book Antiqua"/>
        </w:rPr>
        <w:t>s</w:t>
      </w:r>
      <w:r w:rsidRPr="004D22ED">
        <w:rPr>
          <w:rFonts w:ascii="Book Antiqua" w:eastAsia="Book Antiqua" w:hAnsi="Book Antiqua" w:cs="Book Antiqua"/>
        </w:rPr>
        <w:t>, age 21</w:t>
      </w:r>
      <w:r w:rsidR="0072429E">
        <w:rPr>
          <w:rFonts w:ascii="Book Antiqua" w:eastAsia="Book Antiqua" w:hAnsi="Book Antiqua" w:cs="Book Antiqua"/>
        </w:rPr>
        <w:t>-</w:t>
      </w:r>
      <w:r w:rsidR="0072429E" w:rsidRPr="004D22ED">
        <w:rPr>
          <w:rFonts w:ascii="Book Antiqua" w:eastAsia="Book Antiqua" w:hAnsi="Book Antiqua" w:cs="Book Antiqua"/>
        </w:rPr>
        <w:t>years</w:t>
      </w:r>
      <w:r w:rsidR="0072429E">
        <w:rPr>
          <w:rFonts w:ascii="Book Antiqua" w:eastAsia="Book Antiqua" w:hAnsi="Book Antiqua" w:cs="Book Antiqua"/>
        </w:rPr>
        <w:t>-</w:t>
      </w:r>
      <w:r w:rsidR="0072429E" w:rsidRPr="004D22ED">
        <w:rPr>
          <w:rFonts w:ascii="Book Antiqua" w:eastAsia="Book Antiqua" w:hAnsi="Book Antiqua" w:cs="Book Antiqua"/>
        </w:rPr>
        <w:t>old</w:t>
      </w:r>
      <w:r w:rsidRPr="004D22ED">
        <w:rPr>
          <w:rFonts w:ascii="Book Antiqua" w:eastAsia="Book Antiqua" w:hAnsi="Book Antiqua" w:cs="Book Antiqua"/>
        </w:rPr>
        <w:t xml:space="preserve"> to 50</w:t>
      </w:r>
      <w:r w:rsidR="0072429E">
        <w:rPr>
          <w:rFonts w:ascii="Book Antiqua" w:eastAsia="Book Antiqua" w:hAnsi="Book Antiqua" w:cs="Book Antiqua"/>
        </w:rPr>
        <w:t>-</w:t>
      </w:r>
      <w:r w:rsidRPr="004D22ED">
        <w:rPr>
          <w:rFonts w:ascii="Book Antiqua" w:eastAsia="Book Antiqua" w:hAnsi="Book Antiqua" w:cs="Book Antiqua"/>
        </w:rPr>
        <w:t>years</w:t>
      </w:r>
      <w:r w:rsidR="0072429E">
        <w:rPr>
          <w:rFonts w:ascii="Book Antiqua" w:eastAsia="Book Antiqua" w:hAnsi="Book Antiqua" w:cs="Book Antiqua"/>
        </w:rPr>
        <w:t>-</w:t>
      </w:r>
      <w:r w:rsidRPr="004D22ED">
        <w:rPr>
          <w:rFonts w:ascii="Book Antiqua" w:eastAsia="Book Antiqua" w:hAnsi="Book Antiqua" w:cs="Book Antiqua"/>
        </w:rPr>
        <w:t>old, w</w:t>
      </w:r>
      <w:r w:rsidR="000E3C16">
        <w:rPr>
          <w:rFonts w:ascii="Book Antiqua" w:eastAsia="Book Antiqua" w:hAnsi="Book Antiqua" w:cs="Book Antiqua"/>
        </w:rPr>
        <w:t>ere</w:t>
      </w:r>
      <w:r w:rsidRPr="004D22ED">
        <w:rPr>
          <w:rFonts w:ascii="Book Antiqua" w:eastAsia="Book Antiqua" w:hAnsi="Book Antiqua" w:cs="Book Antiqua"/>
        </w:rPr>
        <w:t xml:space="preserve"> at a higher risk of resistance to levofloxacin and clarithromycin.</w:t>
      </w:r>
    </w:p>
    <w:p w14:paraId="72E3AE72" w14:textId="77777777" w:rsidR="00A77B3E" w:rsidRPr="004D22ED" w:rsidRDefault="00A77B3E" w:rsidP="004D22ED">
      <w:pPr>
        <w:adjustRightInd w:val="0"/>
        <w:snapToGrid w:val="0"/>
        <w:spacing w:line="360" w:lineRule="auto"/>
        <w:jc w:val="both"/>
        <w:rPr>
          <w:rFonts w:ascii="Book Antiqua" w:hAnsi="Book Antiqua"/>
        </w:rPr>
      </w:pPr>
    </w:p>
    <w:p w14:paraId="23A831B1"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conclusions</w:t>
      </w:r>
    </w:p>
    <w:p w14:paraId="06872AE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 xml:space="preserve">The prevalence and resistance of </w:t>
      </w:r>
      <w:r w:rsidRPr="004D22ED">
        <w:rPr>
          <w:rFonts w:ascii="Book Antiqua" w:eastAsia="Book Antiqua" w:hAnsi="Book Antiqua" w:cs="Book Antiqua"/>
          <w:i/>
          <w:iCs/>
        </w:rPr>
        <w:t>H</w:t>
      </w:r>
      <w:r w:rsidRPr="004D22ED">
        <w:rPr>
          <w:rFonts w:ascii="Book Antiqua" w:eastAsia="Book Antiqua" w:hAnsi="Book Antiqua" w:cs="Book Antiqua"/>
        </w:rPr>
        <w:t xml:space="preserve">. </w:t>
      </w:r>
      <w:r w:rsidRPr="004D22ED">
        <w:rPr>
          <w:rFonts w:ascii="Book Antiqua" w:eastAsia="Book Antiqua" w:hAnsi="Book Antiqua" w:cs="Book Antiqua"/>
          <w:i/>
          <w:iCs/>
        </w:rPr>
        <w:t>pylori</w:t>
      </w:r>
      <w:r w:rsidRPr="004D22ED">
        <w:rPr>
          <w:rFonts w:ascii="Book Antiqua" w:eastAsia="Book Antiqua" w:hAnsi="Book Antiqua" w:cs="Book Antiqua"/>
        </w:rPr>
        <w:t xml:space="preserve"> in Taizhou city are serious.</w:t>
      </w:r>
    </w:p>
    <w:p w14:paraId="0A8553A2" w14:textId="77777777" w:rsidR="00A77B3E" w:rsidRPr="004D22ED" w:rsidRDefault="00A77B3E" w:rsidP="004D22ED">
      <w:pPr>
        <w:adjustRightInd w:val="0"/>
        <w:snapToGrid w:val="0"/>
        <w:spacing w:line="360" w:lineRule="auto"/>
        <w:jc w:val="both"/>
        <w:rPr>
          <w:rFonts w:ascii="Book Antiqua" w:hAnsi="Book Antiqua"/>
        </w:rPr>
      </w:pPr>
    </w:p>
    <w:p w14:paraId="37E6296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i/>
        </w:rPr>
        <w:t>Research perspectives</w:t>
      </w:r>
    </w:p>
    <w:p w14:paraId="13CFD73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Guided by the consensus report, individualized treatment based on an AST is recommended.</w:t>
      </w:r>
    </w:p>
    <w:p w14:paraId="27806805" w14:textId="77777777" w:rsidR="00A77B3E" w:rsidRPr="004D22ED" w:rsidRDefault="00A77B3E" w:rsidP="004D22ED">
      <w:pPr>
        <w:adjustRightInd w:val="0"/>
        <w:snapToGrid w:val="0"/>
        <w:spacing w:line="360" w:lineRule="auto"/>
        <w:jc w:val="both"/>
        <w:rPr>
          <w:rFonts w:ascii="Book Antiqua" w:hAnsi="Book Antiqua"/>
        </w:rPr>
      </w:pPr>
    </w:p>
    <w:p w14:paraId="0423582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REFERENCES</w:t>
      </w:r>
    </w:p>
    <w:p w14:paraId="2A96817A"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1 </w:t>
      </w:r>
      <w:r w:rsidRPr="004D22ED">
        <w:rPr>
          <w:rFonts w:ascii="Book Antiqua" w:hAnsi="Book Antiqua"/>
          <w:b/>
          <w:bCs/>
        </w:rPr>
        <w:t>Bray F</w:t>
      </w:r>
      <w:r w:rsidRPr="004D22ED">
        <w:rPr>
          <w:rFonts w:ascii="Book Antiqua" w:hAnsi="Book Antiqua"/>
        </w:rPr>
        <w:t>, Ferlay J, Soerjomataram I, Siegel RL, Torre LA, Jemal A. Global cancer statistics 2018: GLOBOCAN estimates of incidence and mortality worldwide for 36 cancers in 185 countries. </w:t>
      </w:r>
      <w:r w:rsidRPr="004D22ED">
        <w:rPr>
          <w:rFonts w:ascii="Book Antiqua" w:hAnsi="Book Antiqua"/>
          <w:i/>
          <w:iCs/>
        </w:rPr>
        <w:t>CA Cancer J Clin</w:t>
      </w:r>
      <w:r w:rsidRPr="004D22ED">
        <w:rPr>
          <w:rFonts w:ascii="Book Antiqua" w:hAnsi="Book Antiqua"/>
        </w:rPr>
        <w:t> 2018; </w:t>
      </w:r>
      <w:r w:rsidRPr="004D22ED">
        <w:rPr>
          <w:rFonts w:ascii="Book Antiqua" w:hAnsi="Book Antiqua"/>
          <w:b/>
          <w:bCs/>
        </w:rPr>
        <w:t>68</w:t>
      </w:r>
      <w:r w:rsidRPr="004D22ED">
        <w:rPr>
          <w:rFonts w:ascii="Book Antiqua" w:hAnsi="Book Antiqua"/>
        </w:rPr>
        <w:t>: 394-424 [PMID: 30207593 DOI: 10.3322/caac.21492]</w:t>
      </w:r>
    </w:p>
    <w:p w14:paraId="6AF200BB" w14:textId="32205D6D"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w:t>
      </w:r>
      <w:r w:rsidR="009A19FE" w:rsidRPr="004D22ED">
        <w:rPr>
          <w:rFonts w:ascii="Book Antiqua" w:hAnsi="Book Antiqua"/>
        </w:rPr>
        <w:t xml:space="preserve"> </w:t>
      </w:r>
      <w:r w:rsidRPr="004D22ED">
        <w:rPr>
          <w:rFonts w:ascii="Book Antiqua" w:hAnsi="Book Antiqua"/>
          <w:b/>
          <w:bCs/>
        </w:rPr>
        <w:t>Fitzmaurice C</w:t>
      </w:r>
      <w:r w:rsidRPr="004D22ED">
        <w:rPr>
          <w:rFonts w:ascii="Book Antiqua" w:hAnsi="Book Antiqua"/>
        </w:rPr>
        <w:t xml:space="preserve">, Abate D, Abbasi N, Abbastabar H, Abd-Allah F, Abdel-Rahman O, Abdelalim A, Abdoli A, Abdollahpour I, Abdulle ASM, Abebe ND, Abraha HN, Abu-Raddad LJ, Abualhasan A, Adedeji IA, Advani SM, Afarideh M, Afshari M, Aghaali M, Agius D, Agrawal S, Ahmadi A, Ahmadian E, Ahmadpour E, Ahmed MB, Akbari ME, </w:t>
      </w:r>
      <w:r w:rsidRPr="004D22ED">
        <w:rPr>
          <w:rFonts w:ascii="Book Antiqua" w:hAnsi="Book Antiqua"/>
        </w:rPr>
        <w:lastRenderedPageBreak/>
        <w:t xml:space="preserve">Akinyemiju T, Al-Aly Z, AlAbdulKader AM, Alahdab F, Alam T, Alamene GM, Alemnew BTT, Alene KA, Alinia C, Alipour V, Aljunid SM, Bakeshei FA, Almadi MAH, Almasi-Hashiani A, Alsharif U, Alsowaidi S, Alvis-Guzman N, Amini E, Amini S, Amoako YA, Anbari Z, Anber NH, Andrei CL, Anjomshoa M, Ansari F, Ansariadi A, Appiah SCY, Arab-Zozani M, Arabloo J, Arefi Z, Aremu O, Areri HA, Artaman A, Asayesh H, Asfaw ET, Ashagre AF, Assadi R, Ataeinia B, Atalay HT, Ataro Z, Atique S, Ausloos M, Avila-Burgos L, Avokpaho EFGA, Awasthi A, Awoke N, Ayala Quintanilla BP, Ayanore MA, Ayele HT, Babaee E, Bacha U, Badawi A, Bagherzadeh M, Bagli E, Balakrishnan S, Balouchi A, Bärnighausen TW, Battista RJ, Behzadifar M, Behzadifar M, Bekele BB, Belay YB, Belayneh YM, Berfield KKS, Berhane A, Bernabe E, Beuran M, Bhakta N, Bhattacharyya K, Biadgo B, Bijani A, Bin Sayeed MS, Birungi C, Bisignano C, Bitew H, Bjørge T, Bleyer A, Bogale KA, Bojia HA, Borzì AM, Bosetti C, Bou-Orm IR, Brenner H, Brewer JD, Briko AN, Briko NI, Bustamante-Teixeira MT, Butt ZA, Carreras G, Carrero JJ, Carvalho F, Castro C, Castro F, Catalá-López F, Cerin E, Chaiah Y, Chanie WF, Chattu VK, Chaturvedi P, Chauhan NS, Chehrazi M, Chiang PP, Chichiabellu TY, Chido-Amajuoyi OG, Chimed-Ochir O, Choi JJ, Christopher DJ, Chu DT, Constantin MM, Costa VM, Crocetti E, Crowe CS, Curado MP, Dahlawi SMA, Damiani G, Darwish AH, Daryani A, das Neves J, Demeke FM, Demis AB, Demissie BW, Demoz GT, Denova-Gutiérrez E, Derakhshani A, Deribe KS, Desai R, Desalegn BB, Desta M, Dey S, Dharmaratne SD, Dhimal M, Diaz D, Dinberu MTT, Djalalinia S, Doku DT, Drake TM, Dubey M, Dubljanin E, Duken EE, Ebrahimi H, Effiong A, Eftekhari A, El Sayed I, Zaki MES, El-Jaafary SI, El-Khatib Z, Elemineh DA, Elkout H, Ellenbogen RG, Elsharkawy A, Emamian MH, Endalew DA, Endries AY, Eshrati B, Fadhil I, Fallah Omrani V, Faramarzi M, Farhangi MA, Farioli A, Farzadfar F, Fentahun N, Fernandes E, Feyissa GT, Filip I, Fischer F, Fisher JL, Force LM, Foroutan M, Freitas M, Fukumoto T, Futran ND, Gallus S, Gankpe FG, Gayesa RT, Gebrehiwot TT, Gebremeskel GG, Gedefaw GA, Gelaw BK, Geta B, Getachew S, Gezae KE, Ghafourifard M, Ghajar A, Ghashghaee A, Gholamian A, Gill PS, Ginindza TTG, Girmay A, Gizaw M, Gomez RS, Gopalani SV, Gorini G, Goulart BNG, Grada A, Ribeiro Guerra M, Guimaraes ALS, Gupta PC, Gupta R, Hadkhale K, Haj-Mirzaian A, Haj-Mirzaian A, Hamadeh RR, Hamidi S, Hanfore LK, Haro JM, Hasankhani </w:t>
      </w:r>
      <w:r w:rsidRPr="004D22ED">
        <w:rPr>
          <w:rFonts w:ascii="Book Antiqua" w:hAnsi="Book Antiqua"/>
        </w:rPr>
        <w:lastRenderedPageBreak/>
        <w:t xml:space="preserve">M, Hasanzadeh A, Hassen HY, Hay RJ, Hay SI, Henok A, Henry NJ, Herteliu C, Hidru HD, Hoang CL, Hole MK, Hoogar P, Horita N, Hosgood HD, Hosseini M, Hosseinzadeh M, Hostiuc M, Hostiuc S, Househ M, Hussen MM, Ileanu B, Ilic MD, Innos K, Irvani SSN, Iseh KR, Islam SMS, Islami F, Jafari Balalami N, Jafarinia M, Jahangiry L, Jahani MA, Jahanmehr N, Jakovljevic M, James SL, Javanbakht M, Jayaraman S, Jee SH, Jenabi E, Jha RP, Jonas JB, Jonnagaddala J, Joo T, Jungari SB, Jürisson M, Kabir A, Kamangar F, Karch A, Karimi N, Karimian A, Kasaeian A, Kasahun GG, Kassa B, Kassa TD, Kassaw MW, Kaul A, Keiyoro PN, Kelbore AG, Kerbo AA, Khader YS, Khalilarjmandi M, Khan EA, Khan G, Khang YH, Khatab K, Khater A, Khayamzadeh M, Khazaee-Pool M, Khazaei S, Khoja AT, Khosravi MH, Khubchandani J, Kianipour N, Kim D, Kim YJ, Kisa A, Kisa S, Kissimova-Skarbek K, Komaki H, Koyanagi A, Krohn KJ, Bicer BK, Kugbey N, Kumar V, Kuupiel D, La Vecchia C, Lad DP, Lake EA, Lakew AM, Lal DK, Lami FH, Lan Q, Lasrado S, Lauriola P, Lazarus JV, Leigh J, Leshargie CT, Liao Y, Limenih MA, Listl S, Lopez AD, Lopukhov PD, Lunevicius R, Madadin M, Magdeldin S, El Razek HMA, Majeed A, Maleki A, Malekzadeh R, Manafi A, Manafi N, Manamo WA, Mansourian M, Mansournia MA, Mantovani LG, Maroufizadeh S, Martini SMS, Mashamba-Thompson TP, Massenburg BB, Maswabi MT, Mathur MR, McAlinden C, McKee M, Meheretu HAA, Mehrotra R, Mehta V, Meier T, Melaku YA, Meles GG, Meles HG, Melese A, Melku M, Memiah PTN, Mendoza W, Menezes RG, Merat S, Meretoja TJ, Mestrovic T, Miazgowski B, Miazgowski T, Mihretie KMM, Miller TR, Mills EJ, Mir SM, Mirzaei H, Mirzaei HR, Mishra R, Moazen B, Mohammad DK, Mohammad KA, Mohammad Y, Darwesh AM, Mohammadbeigi A, Mohammadi H, Mohammadi M, Mohammadian M, Mohammadian-Hafshejani A, Mohammadoo-Khorasani M, Mohammadpourhodki R, Mohammed AS, Mohammed JA, Mohammed S, Mohebi F, Mokdad AH, Monasta L, Moodley Y, Moosazadeh M, Moossavi M, Moradi G, Moradi-Joo M, Moradi-Lakeh M, Moradpour F, Morawska L, Morgado-da-Costa J, Morisaki N, Morrison SD, Mosapour A, Mousavi SM, Muche AA, Muhammed OSS, Musa J, Nabhan AF, Naderi M, Nagarajan AJ, Nagel G, Nahvijou A, Naik G, Najafi F, Naldi L, Nam HS, Nasiri N, Nazari J, Negoi I, Neupane S, Newcomb PA, Nggada HA, Ngunjiri JW, Nguyen CT, Nikniaz L, Ningrum DNA, Nirayo YL, Nixon MR, Nnaji CA, Nojomi M, Nosratnejad S, Shiadeh MN, Obsa </w:t>
      </w:r>
      <w:r w:rsidRPr="004D22ED">
        <w:rPr>
          <w:rFonts w:ascii="Book Antiqua" w:hAnsi="Book Antiqua"/>
        </w:rPr>
        <w:lastRenderedPageBreak/>
        <w:t>MS, Ofori-Asenso R, Ogbo FA, Oh IH, Olagunju AT, Olagunju TO, Oluwasanu MM, Omonisi AE, Onwujekwe OE, Oommen AM, Oren E, Ortega-Altamirano DDV, Ota E, Otstavnov SS, Owolabi MO, P A M, Padubidri JR, Pakhale S, Pakpour AH, Pana A, Park EK, Parsian H, Pashaei T, Patel S, Patil ST, Pennini A, Pereira DM, Piccinelli C, Pillay JD, Pirestani M, Pishgar F, Postma MJ, Pourjafar H, Pourmalek F, Pourshams A, Prakash S, Prasad N, Qorbani M, Rabiee M, Rabiee N, Radfar A, Rafiei A, Rahim F, Rahimi M, Rahman MA, Rajati F, Rana SM, Raoofi S, Rath GK, Rawaf DL, Rawaf S, Reiner RC, Renzaho AMN, Rezaei N, Rezapour A, Ribeiro AI, Ribeiro D, Ronfani L, Roro EM, Roshandel G, Rostami A, Saad RS, Sabbagh P, Sabour S, Saddik B, Safiri S, Sahebkar A, Salahshoor MR, Salehi F, Salem H, Salem MR, Salimzadeh H, Salomon JA, Samy AM, Sanabria J, Santric Milicevic MM, Sartorius B, Sarveazad A, Sathian B, Satpathy M, Savic M, Sawhney M, Sayyah M, Schneider IJC, Schöttker B, Sekerija M, Sepanlou SG, Sepehrimanesh M, Seyedmousavi S, Shaahmadi F, Shabaninejad H, Shahbaz M, Shaikh MA, Shamshirian A, Shamsizadeh M, Sharafi H, Sharafi Z, Sharif M, Sharifi A, Sharifi H, Sharma R, Sheikh A, Shirkoohi R, Shukla SR, Si S, Siabani S, Silva DAS, Silveira DGA, Singh A, Singh JA, Sisay S, Sitas F, Sobngwi E, Soofi M, Soriano JB, Stathopoulou V, Sufiyan MB, Tabarés-Seisdedos R, Tabuchi T, Takahashi K, Tamtaji OR, Tarawneh MR, Tassew SG, Taymoori P, Tehrani-Banihashemi A, Temsah MH, Temsah O, Tesfay BE, Tesfay FH, Teshale MY, Tessema GA, Thapa S, Tlaye KG, Topor-Madry R, Tovani-Palone MR, Traini E, Tran BX, Tran KB, Tsadik AG, Ullah I, Uthman OA, Vacante M, Vaezi M, Varona Pérez P, Veisani Y, Vidale S, Violante FS, Vlassov V, Vollset SE, Vos T, Vosoughi K, Vu GT, Vujcic IS, Wabinga H, Wachamo TM, Wagnew FS, Waheed Y, Weldegebreal F, Weldesamuel GT, Wijeratne T, Wondafrash DZ, Wonde TE, Wondmieneh AB, Workie HM, Yadav R, Yadegar A, Yadollahpour A, Yaseri M, Yazdi-Feyzabadi V, Yeshaneh A, Yimam MA, Yimer EM, Yisma E, Yonemoto N, Younis MZ, Yousefi B, Yousefifard M, Yu C, Zabeh E, Zadnik V, Moghadam TZ, Zaidi Z, Zamani M, Zandian H, Zangeneh A, Zaki L, Zendehdel K, Zenebe ZM, Zewale TA, Ziapour A, Zodpey S, Murray CJL</w:t>
      </w:r>
      <w:r w:rsidR="009A19FE" w:rsidRPr="004D22ED">
        <w:rPr>
          <w:rFonts w:ascii="Book Antiqua" w:hAnsi="Book Antiqua"/>
        </w:rPr>
        <w:t>; Global Burden of Disease Cancer Collaboration.</w:t>
      </w:r>
      <w:r w:rsidRPr="004D22ED">
        <w:rPr>
          <w:rFonts w:ascii="Book Antiqua" w:hAnsi="Book Antiqua"/>
        </w:rPr>
        <w:t xml:space="preserve"> Global, Regional, and National Cancer Incidence, Mortality, Years of Life Lost, Years Lived With Disability, and Disability-Adjusted Life-Years for 29 Cancer Groups, 1990 to 2017: A Systematic Analysis for the </w:t>
      </w:r>
      <w:r w:rsidRPr="004D22ED">
        <w:rPr>
          <w:rFonts w:ascii="Book Antiqua" w:hAnsi="Book Antiqua"/>
        </w:rPr>
        <w:lastRenderedPageBreak/>
        <w:t>Global Burden of Disease Study. </w:t>
      </w:r>
      <w:r w:rsidRPr="004D22ED">
        <w:rPr>
          <w:rFonts w:ascii="Book Antiqua" w:hAnsi="Book Antiqua"/>
          <w:i/>
          <w:iCs/>
        </w:rPr>
        <w:t>JAMA Oncol</w:t>
      </w:r>
      <w:r w:rsidRPr="004D22ED">
        <w:rPr>
          <w:rFonts w:ascii="Book Antiqua" w:hAnsi="Book Antiqua"/>
        </w:rPr>
        <w:t> 2019; </w:t>
      </w:r>
      <w:r w:rsidRPr="004D22ED">
        <w:rPr>
          <w:rFonts w:ascii="Book Antiqua" w:hAnsi="Book Antiqua"/>
          <w:b/>
          <w:bCs/>
        </w:rPr>
        <w:t>5</w:t>
      </w:r>
      <w:r w:rsidRPr="004D22ED">
        <w:rPr>
          <w:rFonts w:ascii="Book Antiqua" w:hAnsi="Book Antiqua"/>
        </w:rPr>
        <w:t>: 1749-1768 [PMID: 31560378 DOI: 10.1001/jamaoncol.2019.2996]</w:t>
      </w:r>
    </w:p>
    <w:p w14:paraId="6112F6D9"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3 </w:t>
      </w:r>
      <w:r w:rsidRPr="004D22ED">
        <w:rPr>
          <w:rFonts w:ascii="Book Antiqua" w:hAnsi="Book Antiqua"/>
          <w:b/>
          <w:bCs/>
        </w:rPr>
        <w:t>de Martel C</w:t>
      </w:r>
      <w:r w:rsidRPr="004D22ED">
        <w:rPr>
          <w:rFonts w:ascii="Book Antiqua" w:hAnsi="Book Antiqua"/>
        </w:rPr>
        <w:t>, Georges D, Bray F, Ferlay J, Clifford GM. Global burden of cancer attributable to infections in 2018: a worldwide incidence analysis. </w:t>
      </w:r>
      <w:r w:rsidRPr="004D22ED">
        <w:rPr>
          <w:rFonts w:ascii="Book Antiqua" w:hAnsi="Book Antiqua"/>
          <w:i/>
          <w:iCs/>
        </w:rPr>
        <w:t>Lancet Glob Health</w:t>
      </w:r>
      <w:r w:rsidRPr="004D22ED">
        <w:rPr>
          <w:rFonts w:ascii="Book Antiqua" w:hAnsi="Book Antiqua"/>
        </w:rPr>
        <w:t> 2020; </w:t>
      </w:r>
      <w:r w:rsidRPr="004D22ED">
        <w:rPr>
          <w:rFonts w:ascii="Book Antiqua" w:hAnsi="Book Antiqua"/>
          <w:b/>
          <w:bCs/>
        </w:rPr>
        <w:t>8</w:t>
      </w:r>
      <w:r w:rsidRPr="004D22ED">
        <w:rPr>
          <w:rFonts w:ascii="Book Antiqua" w:hAnsi="Book Antiqua"/>
        </w:rPr>
        <w:t>: e180-e190 [PMID: 31862245 DOI: 10.1016/S2214-109X(19)30488-7]</w:t>
      </w:r>
    </w:p>
    <w:p w14:paraId="2F94D8D8"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4 </w:t>
      </w:r>
      <w:r w:rsidRPr="004D22ED">
        <w:rPr>
          <w:rFonts w:ascii="Book Antiqua" w:hAnsi="Book Antiqua"/>
          <w:shd w:val="clear" w:color="auto" w:fill="FFFFFF"/>
        </w:rPr>
        <w:t>Schistosomes, liver flukes and Helicobacter pylori. IARC Working Group on the Evaluation of Carcinogenic Risks to Humans. Lyon, 7-14 June 1994. </w:t>
      </w:r>
      <w:r w:rsidRPr="004D22ED">
        <w:rPr>
          <w:rFonts w:ascii="Book Antiqua" w:hAnsi="Book Antiqua"/>
          <w:i/>
          <w:iCs/>
          <w:shd w:val="clear" w:color="auto" w:fill="FFFFFF"/>
        </w:rPr>
        <w:t>IARC Monogr Eval Carcinog Risks Hum</w:t>
      </w:r>
      <w:r w:rsidRPr="004D22ED">
        <w:rPr>
          <w:rFonts w:ascii="Book Antiqua" w:hAnsi="Book Antiqua"/>
          <w:shd w:val="clear" w:color="auto" w:fill="FFFFFF"/>
        </w:rPr>
        <w:t> 1994; </w:t>
      </w:r>
      <w:r w:rsidRPr="004D22ED">
        <w:rPr>
          <w:rFonts w:ascii="Book Antiqua" w:hAnsi="Book Antiqua"/>
          <w:b/>
          <w:bCs/>
          <w:shd w:val="clear" w:color="auto" w:fill="FFFFFF"/>
        </w:rPr>
        <w:t>61</w:t>
      </w:r>
      <w:r w:rsidRPr="004D22ED">
        <w:rPr>
          <w:rFonts w:ascii="Book Antiqua" w:hAnsi="Book Antiqua"/>
          <w:shd w:val="clear" w:color="auto" w:fill="FFFFFF"/>
        </w:rPr>
        <w:t>: 1-241 [PMID: 7715068 DOI: 10.1002/ijc.2910600502]</w:t>
      </w:r>
    </w:p>
    <w:p w14:paraId="7C4FB387"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5 </w:t>
      </w:r>
      <w:r w:rsidRPr="004D22ED">
        <w:rPr>
          <w:rFonts w:ascii="Book Antiqua" w:hAnsi="Book Antiqua"/>
          <w:b/>
          <w:bCs/>
        </w:rPr>
        <w:t>Hooi JKY</w:t>
      </w:r>
      <w:r w:rsidRPr="004D22ED">
        <w:rPr>
          <w:rFonts w:ascii="Book Antiqua" w:hAnsi="Book Antiqua"/>
        </w:rPr>
        <w:t>, Lai WY, Ng WK, Suen MMY, Underwood FE, Tanyingoh D, Malfertheiner P, Graham DY, Wong VWS, Wu JCY, Chan FKL, Sung JJY, Kaplan GG, Ng SC. Global Prevalence of Helicobacter pylori Infection: Systematic Review and Meta-Analysis. </w:t>
      </w:r>
      <w:r w:rsidRPr="004D22ED">
        <w:rPr>
          <w:rFonts w:ascii="Book Antiqua" w:hAnsi="Book Antiqua"/>
          <w:i/>
          <w:iCs/>
        </w:rPr>
        <w:t>Gastroenterology</w:t>
      </w:r>
      <w:r w:rsidRPr="004D22ED">
        <w:rPr>
          <w:rFonts w:ascii="Book Antiqua" w:hAnsi="Book Antiqua"/>
        </w:rPr>
        <w:t> 2017; </w:t>
      </w:r>
      <w:r w:rsidRPr="004D22ED">
        <w:rPr>
          <w:rFonts w:ascii="Book Antiqua" w:hAnsi="Book Antiqua"/>
          <w:b/>
          <w:bCs/>
        </w:rPr>
        <w:t>153</w:t>
      </w:r>
      <w:r w:rsidRPr="004D22ED">
        <w:rPr>
          <w:rFonts w:ascii="Book Antiqua" w:hAnsi="Book Antiqua"/>
        </w:rPr>
        <w:t>: 420-429 [PMID: 28456631 DOI: 10.1053/j.gastro.2017.04.022]</w:t>
      </w:r>
    </w:p>
    <w:p w14:paraId="18A732D0"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6 </w:t>
      </w:r>
      <w:r w:rsidRPr="004D22ED">
        <w:rPr>
          <w:rFonts w:ascii="Book Antiqua" w:hAnsi="Book Antiqua"/>
          <w:b/>
          <w:bCs/>
        </w:rPr>
        <w:t>Zamani M</w:t>
      </w:r>
      <w:r w:rsidRPr="004D22ED">
        <w:rPr>
          <w:rFonts w:ascii="Book Antiqua" w:hAnsi="Book Antiqua"/>
        </w:rPr>
        <w:t>, Ebrahimtabar F, Zamani V, Miller WH, Alizadeh-Navaei R, Shokri-Shirvani J, Derakhshan MH. Systematic review with meta-analysis: the worldwide prevalence of Helicobacter pylori infection. </w:t>
      </w:r>
      <w:r w:rsidRPr="004D22ED">
        <w:rPr>
          <w:rFonts w:ascii="Book Antiqua" w:hAnsi="Book Antiqua"/>
          <w:i/>
          <w:iCs/>
        </w:rPr>
        <w:t>Aliment Pharmacol Ther</w:t>
      </w:r>
      <w:r w:rsidRPr="004D22ED">
        <w:rPr>
          <w:rFonts w:ascii="Book Antiqua" w:hAnsi="Book Antiqua"/>
        </w:rPr>
        <w:t> 2018; </w:t>
      </w:r>
      <w:r w:rsidRPr="004D22ED">
        <w:rPr>
          <w:rFonts w:ascii="Book Antiqua" w:hAnsi="Book Antiqua"/>
          <w:b/>
          <w:bCs/>
        </w:rPr>
        <w:t>47</w:t>
      </w:r>
      <w:r w:rsidRPr="004D22ED">
        <w:rPr>
          <w:rFonts w:ascii="Book Antiqua" w:hAnsi="Book Antiqua"/>
        </w:rPr>
        <w:t>: 868-876 [PMID: 29430669 DOI: 10.1111/apt.14561]</w:t>
      </w:r>
    </w:p>
    <w:p w14:paraId="61551746"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7 </w:t>
      </w:r>
      <w:r w:rsidRPr="004D22ED">
        <w:rPr>
          <w:rFonts w:ascii="Book Antiqua" w:hAnsi="Book Antiqua"/>
          <w:b/>
          <w:bCs/>
        </w:rPr>
        <w:t>Thung I</w:t>
      </w:r>
      <w:r w:rsidRPr="004D22ED">
        <w:rPr>
          <w:rFonts w:ascii="Book Antiqua" w:hAnsi="Book Antiqua"/>
        </w:rPr>
        <w:t>, Aramin H, Vavinskaya V, Gupta S, Park JY, Crowe SE, Valasek MA. Review article: the global emergence of Helicobacter pylori antibiotic resistance. </w:t>
      </w:r>
      <w:r w:rsidRPr="004D22ED">
        <w:rPr>
          <w:rFonts w:ascii="Book Antiqua" w:hAnsi="Book Antiqua"/>
          <w:i/>
          <w:iCs/>
        </w:rPr>
        <w:t>Aliment Pharmacol Ther</w:t>
      </w:r>
      <w:r w:rsidRPr="004D22ED">
        <w:rPr>
          <w:rFonts w:ascii="Book Antiqua" w:hAnsi="Book Antiqua"/>
        </w:rPr>
        <w:t> 2016; </w:t>
      </w:r>
      <w:r w:rsidRPr="004D22ED">
        <w:rPr>
          <w:rFonts w:ascii="Book Antiqua" w:hAnsi="Book Antiqua"/>
          <w:b/>
          <w:bCs/>
        </w:rPr>
        <w:t>43</w:t>
      </w:r>
      <w:r w:rsidRPr="004D22ED">
        <w:rPr>
          <w:rFonts w:ascii="Book Antiqua" w:hAnsi="Book Antiqua"/>
        </w:rPr>
        <w:t>: 514-533 [PMID: 26694080 DOI: 10.1111/apt.13497]</w:t>
      </w:r>
    </w:p>
    <w:p w14:paraId="186ABDBC"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8 </w:t>
      </w:r>
      <w:r w:rsidRPr="004D22ED">
        <w:rPr>
          <w:rFonts w:ascii="Book Antiqua" w:hAnsi="Book Antiqua"/>
          <w:b/>
          <w:bCs/>
        </w:rPr>
        <w:t>Jin DC,</w:t>
      </w:r>
      <w:r w:rsidRPr="004D22ED">
        <w:rPr>
          <w:rFonts w:ascii="Book Antiqua" w:hAnsi="Book Antiqua"/>
        </w:rPr>
        <w:t xml:space="preserve"> Jiang P, Guo S, Wu SF, Wang Y, Xu K, Qin L. Epidemiological Features of Helicobacter pylori in Chinese Children and adolescents: A Narrative Review. </w:t>
      </w:r>
      <w:r w:rsidRPr="004D22ED">
        <w:rPr>
          <w:rFonts w:ascii="Book Antiqua" w:hAnsi="Book Antiqua"/>
          <w:i/>
        </w:rPr>
        <w:t>Yixue Yanjiu Zazhi</w:t>
      </w:r>
      <w:r w:rsidRPr="004D22ED">
        <w:rPr>
          <w:rFonts w:ascii="Book Antiqua" w:hAnsi="Book Antiqua"/>
        </w:rPr>
        <w:t xml:space="preserve"> 2020; </w:t>
      </w:r>
      <w:r w:rsidRPr="004D22ED">
        <w:rPr>
          <w:rFonts w:ascii="Book Antiqua" w:hAnsi="Book Antiqua"/>
          <w:b/>
          <w:bCs/>
        </w:rPr>
        <w:t>49</w:t>
      </w:r>
      <w:r w:rsidRPr="004D22ED">
        <w:rPr>
          <w:rFonts w:ascii="Book Antiqua" w:hAnsi="Book Antiqua"/>
        </w:rPr>
        <w:t>: 146-151 [DOI: 10.11969/j.issn.1673-548X.2020.07.032]</w:t>
      </w:r>
    </w:p>
    <w:p w14:paraId="51FD9EF3"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9 </w:t>
      </w:r>
      <w:r w:rsidRPr="004D22ED">
        <w:rPr>
          <w:rFonts w:ascii="Book Antiqua" w:hAnsi="Book Antiqua"/>
          <w:b/>
          <w:bCs/>
        </w:rPr>
        <w:t>Ji Z</w:t>
      </w:r>
      <w:r w:rsidRPr="004D22ED">
        <w:rPr>
          <w:rFonts w:ascii="Book Antiqua" w:hAnsi="Book Antiqua"/>
        </w:rPr>
        <w:t>, Han F, Meng F, Tu M, Yang N, Zhang J. The Association of Age and Antibiotic Resistance of Helicobacter Pylori: A Study in Jiaxing City, Zhejiang Province, China. </w:t>
      </w:r>
      <w:r w:rsidRPr="004D22ED">
        <w:rPr>
          <w:rFonts w:ascii="Book Antiqua" w:hAnsi="Book Antiqua"/>
          <w:i/>
          <w:iCs/>
        </w:rPr>
        <w:t>Medicine (Baltimore)</w:t>
      </w:r>
      <w:r w:rsidRPr="004D22ED">
        <w:rPr>
          <w:rFonts w:ascii="Book Antiqua" w:hAnsi="Book Antiqua"/>
        </w:rPr>
        <w:t> 2016; </w:t>
      </w:r>
      <w:r w:rsidRPr="004D22ED">
        <w:rPr>
          <w:rFonts w:ascii="Book Antiqua" w:hAnsi="Book Antiqua"/>
          <w:b/>
          <w:bCs/>
        </w:rPr>
        <w:t>95</w:t>
      </w:r>
      <w:r w:rsidRPr="004D22ED">
        <w:rPr>
          <w:rFonts w:ascii="Book Antiqua" w:hAnsi="Book Antiqua"/>
        </w:rPr>
        <w:t>: e2831 [PMID: 26937912 DOI: 10.1097/MD.0000000000002831]</w:t>
      </w:r>
    </w:p>
    <w:p w14:paraId="09C7BF53" w14:textId="64FC974A"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10 </w:t>
      </w:r>
      <w:r w:rsidRPr="004D22ED">
        <w:rPr>
          <w:rFonts w:ascii="Book Antiqua" w:hAnsi="Book Antiqua"/>
          <w:b/>
          <w:bCs/>
        </w:rPr>
        <w:t>Shang H</w:t>
      </w:r>
      <w:r w:rsidRPr="004D22ED">
        <w:rPr>
          <w:rFonts w:ascii="Book Antiqua" w:hAnsi="Book Antiqua"/>
        </w:rPr>
        <w:t>, Wang YS, Shen ZY. National guide to clinical laboratory procedures. 4th ed. China: People's Medical Publishing House, 2014</w:t>
      </w:r>
    </w:p>
    <w:p w14:paraId="4F038DF8"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lastRenderedPageBreak/>
        <w:t>11 </w:t>
      </w:r>
      <w:r w:rsidRPr="004D22ED">
        <w:rPr>
          <w:rFonts w:ascii="Book Antiqua" w:hAnsi="Book Antiqua"/>
          <w:b/>
          <w:bCs/>
        </w:rPr>
        <w:t>Li L</w:t>
      </w:r>
      <w:r w:rsidRPr="004D22ED">
        <w:rPr>
          <w:rFonts w:ascii="Book Antiqua" w:hAnsi="Book Antiqua"/>
        </w:rPr>
        <w:t>, Ke Y, Yu C, Li G, Yang N, Zhang J, Li Y. Antibiotic resistance of Helicobacter pylori in Chinese children: A multicenter retrospective study over 7 years. </w:t>
      </w:r>
      <w:r w:rsidRPr="004D22ED">
        <w:rPr>
          <w:rFonts w:ascii="Book Antiqua" w:hAnsi="Book Antiqua"/>
          <w:i/>
          <w:iCs/>
        </w:rPr>
        <w:t>Helicobacter</w:t>
      </w:r>
      <w:r w:rsidRPr="004D22ED">
        <w:rPr>
          <w:rFonts w:ascii="Book Antiqua" w:hAnsi="Book Antiqua"/>
        </w:rPr>
        <w:t> 2017; </w:t>
      </w:r>
      <w:r w:rsidRPr="004D22ED">
        <w:rPr>
          <w:rFonts w:ascii="Book Antiqua" w:hAnsi="Book Antiqua"/>
          <w:b/>
          <w:bCs/>
        </w:rPr>
        <w:t>22</w:t>
      </w:r>
      <w:r w:rsidRPr="004D22ED">
        <w:rPr>
          <w:rFonts w:ascii="Book Antiqua" w:hAnsi="Book Antiqua"/>
        </w:rPr>
        <w:t>: e12373 [PMID: 28098401 DOI: 10.1111/hel.12373]</w:t>
      </w:r>
    </w:p>
    <w:p w14:paraId="566A537C"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12 </w:t>
      </w:r>
      <w:r w:rsidRPr="004D22ED">
        <w:rPr>
          <w:rFonts w:ascii="Book Antiqua" w:hAnsi="Book Antiqua"/>
          <w:b/>
          <w:bCs/>
        </w:rPr>
        <w:t>Yang NM,</w:t>
      </w:r>
      <w:r w:rsidRPr="004D22ED">
        <w:rPr>
          <w:rFonts w:ascii="Book Antiqua" w:hAnsi="Book Antiqua"/>
        </w:rPr>
        <w:t> Meng F, Xu SH, Jiang Y, Li HZ, Zhang XF, Guo F, Wu JS, Li WP, Ji ZZ, Ye LP, Pan J, Chen GL, Ye B, Mao JL, Lin L, Zhang JK, Wang S, Ouyang H, Zhu XJ, Lyu LH, Yang JH, Shi ZC, Lin CP, Xu F, Wang QY, Mao JB, Li YM. Therapeutic strategies based on clinical big data of antibiotic resistance monitoring of Helicobacter pylori in Zhejiang province.</w:t>
      </w:r>
      <w:r w:rsidRPr="004D22ED">
        <w:rPr>
          <w:rFonts w:ascii="Book Antiqua" w:hAnsi="Book Antiqua"/>
          <w:i/>
          <w:iCs/>
        </w:rPr>
        <w:t xml:space="preserve"> Zhonghua Xiaohua Neijing Zazhi</w:t>
      </w:r>
      <w:r w:rsidRPr="004D22ED">
        <w:rPr>
          <w:rFonts w:ascii="Book Antiqua" w:hAnsi="Book Antiqua"/>
        </w:rPr>
        <w:t xml:space="preserve"> 2016; </w:t>
      </w:r>
      <w:r w:rsidRPr="004D22ED">
        <w:rPr>
          <w:rFonts w:ascii="Book Antiqua" w:hAnsi="Book Antiqua"/>
          <w:b/>
          <w:bCs/>
        </w:rPr>
        <w:t>33</w:t>
      </w:r>
      <w:r w:rsidRPr="004D22ED">
        <w:rPr>
          <w:rFonts w:ascii="Book Antiqua" w:hAnsi="Book Antiqua"/>
        </w:rPr>
        <w:t>: 738-742 [DOI: 10.3760/cma.j.issn.1007-5232.2016.11.003]</w:t>
      </w:r>
    </w:p>
    <w:p w14:paraId="4811A792"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13 </w:t>
      </w:r>
      <w:r w:rsidRPr="004D22ED">
        <w:rPr>
          <w:rFonts w:ascii="Book Antiqua" w:hAnsi="Book Antiqua"/>
          <w:b/>
          <w:bCs/>
        </w:rPr>
        <w:t>Xiao HQ,</w:t>
      </w:r>
      <w:r w:rsidRPr="004D22ED">
        <w:rPr>
          <w:rFonts w:ascii="Book Antiqua" w:hAnsi="Book Antiqua"/>
        </w:rPr>
        <w:t xml:space="preserve"> Lu TT, Wang CL, Zheng BX, Lian M, Wu HY, Jin Y, Liu ZF. Comparison of Three Detection Methods in Detection of Helicobacter Pylori Infection Rate in Children. </w:t>
      </w:r>
      <w:r w:rsidRPr="004D22ED">
        <w:rPr>
          <w:rFonts w:ascii="Book Antiqua" w:hAnsi="Book Antiqua"/>
          <w:i/>
        </w:rPr>
        <w:t>Erke Yaoxue Zazhi</w:t>
      </w:r>
      <w:r w:rsidRPr="004D22ED">
        <w:rPr>
          <w:rFonts w:ascii="Book Antiqua" w:hAnsi="Book Antiqua"/>
        </w:rPr>
        <w:t xml:space="preserve"> 2018; </w:t>
      </w:r>
      <w:r w:rsidRPr="004D22ED">
        <w:rPr>
          <w:rFonts w:ascii="Book Antiqua" w:hAnsi="Book Antiqua"/>
          <w:b/>
          <w:bCs/>
        </w:rPr>
        <w:t>24</w:t>
      </w:r>
      <w:r w:rsidRPr="004D22ED">
        <w:rPr>
          <w:rFonts w:ascii="Book Antiqua" w:hAnsi="Book Antiqua"/>
        </w:rPr>
        <w:t>:19-22 [DOI: CNKI:SUN:EKYX.0.2018-12-008]</w:t>
      </w:r>
    </w:p>
    <w:p w14:paraId="6856589D"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14 </w:t>
      </w:r>
      <w:r w:rsidRPr="004D22ED">
        <w:rPr>
          <w:rFonts w:ascii="Book Antiqua" w:hAnsi="Book Antiqua"/>
          <w:b/>
          <w:bCs/>
        </w:rPr>
        <w:t>Wang JC,</w:t>
      </w:r>
      <w:r w:rsidRPr="004D22ED">
        <w:rPr>
          <w:rFonts w:ascii="Book Antiqua" w:hAnsi="Book Antiqua"/>
        </w:rPr>
        <w:t xml:space="preserve"> Huang DD, Xu XZ, Lin M, Liu QX, Yang NM, Meng F, Wu JS. The value of combined sampling at multiple sites of gastric mucosa for Helicobacter pylori culture. </w:t>
      </w:r>
      <w:r w:rsidRPr="004D22ED">
        <w:rPr>
          <w:rFonts w:ascii="Book Antiqua" w:hAnsi="Book Antiqua"/>
          <w:i/>
        </w:rPr>
        <w:t>Zhonghua Xiaohua Neijing Zazhi</w:t>
      </w:r>
      <w:r w:rsidRPr="004D22ED">
        <w:rPr>
          <w:rFonts w:ascii="Book Antiqua" w:hAnsi="Book Antiqua"/>
        </w:rPr>
        <w:t xml:space="preserve"> 2017; </w:t>
      </w:r>
      <w:r w:rsidRPr="004D22ED">
        <w:rPr>
          <w:rFonts w:ascii="Book Antiqua" w:hAnsi="Book Antiqua"/>
          <w:b/>
          <w:bCs/>
        </w:rPr>
        <w:t>34</w:t>
      </w:r>
      <w:r w:rsidRPr="004D22ED">
        <w:rPr>
          <w:rFonts w:ascii="Book Antiqua" w:hAnsi="Book Antiqua"/>
        </w:rPr>
        <w:t>:200-202 [DOI: 10.3760/cma.j.issn.1007-5232.2017.03.013]</w:t>
      </w:r>
    </w:p>
    <w:p w14:paraId="5392714D"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15 </w:t>
      </w:r>
      <w:r w:rsidRPr="004D22ED">
        <w:rPr>
          <w:rFonts w:ascii="Book Antiqua" w:hAnsi="Book Antiqua"/>
          <w:b/>
          <w:bCs/>
        </w:rPr>
        <w:t>Saniee P</w:t>
      </w:r>
      <w:r w:rsidRPr="004D22ED">
        <w:rPr>
          <w:rFonts w:ascii="Book Antiqua" w:hAnsi="Book Antiqua"/>
        </w:rPr>
        <w:t>, Shahreza S, Siavoshi F. Negative Effect of Proton-pump Inhibitors (PPIs) on Helicobacter pylori Growth, Morphology, and Urease Test and Recovery after PPI Removal--An In vitro Study. </w:t>
      </w:r>
      <w:r w:rsidRPr="004D22ED">
        <w:rPr>
          <w:rFonts w:ascii="Book Antiqua" w:hAnsi="Book Antiqua"/>
          <w:i/>
          <w:iCs/>
        </w:rPr>
        <w:t>Helicobacter</w:t>
      </w:r>
      <w:r w:rsidRPr="004D22ED">
        <w:rPr>
          <w:rFonts w:ascii="Book Antiqua" w:hAnsi="Book Antiqua"/>
        </w:rPr>
        <w:t> 2016; </w:t>
      </w:r>
      <w:r w:rsidRPr="004D22ED">
        <w:rPr>
          <w:rFonts w:ascii="Book Antiqua" w:hAnsi="Book Antiqua"/>
          <w:b/>
          <w:bCs/>
        </w:rPr>
        <w:t>21</w:t>
      </w:r>
      <w:r w:rsidRPr="004D22ED">
        <w:rPr>
          <w:rFonts w:ascii="Book Antiqua" w:hAnsi="Book Antiqua"/>
        </w:rPr>
        <w:t>: 143-152 [PMID: 26222264 DOI: 10.1111/hel.12246]</w:t>
      </w:r>
    </w:p>
    <w:p w14:paraId="341170E3"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16 </w:t>
      </w:r>
      <w:r w:rsidRPr="004D22ED">
        <w:rPr>
          <w:rFonts w:ascii="Book Antiqua" w:hAnsi="Book Antiqua"/>
          <w:b/>
          <w:bCs/>
        </w:rPr>
        <w:t>Zhang LH</w:t>
      </w:r>
      <w:r w:rsidRPr="004D22ED">
        <w:rPr>
          <w:rFonts w:ascii="Book Antiqua" w:hAnsi="Book Antiqua"/>
        </w:rPr>
        <w:t>, Zhou YN, Zhang ZY, Zhang FH, Li GZ, Li Q, Wu ZQ, Ren BL, Zou SJ, Wang JX. [Epidemiological study on status of Helicobacter pylori in children and teenagers in Wuwei city, Gansu province]. </w:t>
      </w:r>
      <w:r w:rsidRPr="004D22ED">
        <w:rPr>
          <w:rFonts w:ascii="Book Antiqua" w:hAnsi="Book Antiqua"/>
          <w:i/>
          <w:iCs/>
        </w:rPr>
        <w:t>Zhonghua Yi Xue Za Zhi</w:t>
      </w:r>
      <w:r w:rsidRPr="004D22ED">
        <w:rPr>
          <w:rFonts w:ascii="Book Antiqua" w:hAnsi="Book Antiqua"/>
        </w:rPr>
        <w:t> 2009; </w:t>
      </w:r>
      <w:r w:rsidRPr="004D22ED">
        <w:rPr>
          <w:rFonts w:ascii="Book Antiqua" w:hAnsi="Book Antiqua"/>
          <w:b/>
          <w:bCs/>
        </w:rPr>
        <w:t>89</w:t>
      </w:r>
      <w:r w:rsidRPr="004D22ED">
        <w:rPr>
          <w:rFonts w:ascii="Book Antiqua" w:hAnsi="Book Antiqua"/>
        </w:rPr>
        <w:t>: 2682-2685 [PMID: 20137267]</w:t>
      </w:r>
    </w:p>
    <w:p w14:paraId="1C248D1C"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17 </w:t>
      </w:r>
      <w:r w:rsidRPr="004D22ED">
        <w:rPr>
          <w:rFonts w:ascii="Book Antiqua" w:hAnsi="Book Antiqua"/>
          <w:b/>
          <w:bCs/>
        </w:rPr>
        <w:t>Shu X</w:t>
      </w:r>
      <w:r w:rsidRPr="004D22ED">
        <w:rPr>
          <w:rFonts w:ascii="Book Antiqua" w:hAnsi="Book Antiqua"/>
        </w:rPr>
        <w:t>, Ping M, Yin G, Jiang M. Investigation of Helicobacter </w:t>
      </w:r>
      <w:r w:rsidRPr="004D22ED">
        <w:rPr>
          <w:rFonts w:ascii="Book Antiqua" w:hAnsi="Book Antiqua"/>
          <w:i/>
          <w:iCs/>
        </w:rPr>
        <w:t>pylori</w:t>
      </w:r>
      <w:r w:rsidRPr="004D22ED">
        <w:rPr>
          <w:rFonts w:ascii="Book Antiqua" w:hAnsi="Book Antiqua"/>
        </w:rPr>
        <w:t> infection among symptomatic children in Hangzhou from 2007 to 2014: a retrospective study with 12,796 cases. </w:t>
      </w:r>
      <w:r w:rsidRPr="004D22ED">
        <w:rPr>
          <w:rFonts w:ascii="Book Antiqua" w:hAnsi="Book Antiqua"/>
          <w:i/>
          <w:iCs/>
        </w:rPr>
        <w:t>PeerJ</w:t>
      </w:r>
      <w:r w:rsidRPr="004D22ED">
        <w:rPr>
          <w:rFonts w:ascii="Book Antiqua" w:hAnsi="Book Antiqua"/>
        </w:rPr>
        <w:t> 2017; </w:t>
      </w:r>
      <w:r w:rsidRPr="004D22ED">
        <w:rPr>
          <w:rFonts w:ascii="Book Antiqua" w:hAnsi="Book Antiqua"/>
          <w:b/>
          <w:bCs/>
        </w:rPr>
        <w:t>5</w:t>
      </w:r>
      <w:r w:rsidRPr="004D22ED">
        <w:rPr>
          <w:rFonts w:ascii="Book Antiqua" w:hAnsi="Book Antiqua"/>
        </w:rPr>
        <w:t>: e2937 [PMID: 28168109 DOI: 10.7717/peerj.2937]</w:t>
      </w:r>
    </w:p>
    <w:p w14:paraId="41461A14"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18 </w:t>
      </w:r>
      <w:r w:rsidRPr="004D22ED">
        <w:rPr>
          <w:rFonts w:ascii="Book Antiqua" w:hAnsi="Book Antiqua"/>
          <w:b/>
          <w:bCs/>
        </w:rPr>
        <w:t>Sugano K</w:t>
      </w:r>
      <w:r w:rsidRPr="004D22ED">
        <w:rPr>
          <w:rFonts w:ascii="Book Antiqua" w:hAnsi="Book Antiqua"/>
        </w:rPr>
        <w:t xml:space="preserve">, Tack J, Kuipers EJ, Graham DY, El-Omar EM, Miura S, Haruma K, Asaka M, Uemura N, Malfertheiner P; faculty members of Kyoto Global Consensus Conference. </w:t>
      </w:r>
      <w:r w:rsidRPr="004D22ED">
        <w:rPr>
          <w:rFonts w:ascii="Book Antiqua" w:hAnsi="Book Antiqua"/>
        </w:rPr>
        <w:lastRenderedPageBreak/>
        <w:t>Kyoto global consensus report on Helicobacter pylori gastritis. </w:t>
      </w:r>
      <w:r w:rsidRPr="004D22ED">
        <w:rPr>
          <w:rFonts w:ascii="Book Antiqua" w:hAnsi="Book Antiqua"/>
          <w:i/>
          <w:iCs/>
        </w:rPr>
        <w:t>Gut</w:t>
      </w:r>
      <w:r w:rsidRPr="004D22ED">
        <w:rPr>
          <w:rFonts w:ascii="Book Antiqua" w:hAnsi="Book Antiqua"/>
        </w:rPr>
        <w:t> 2015; </w:t>
      </w:r>
      <w:r w:rsidRPr="004D22ED">
        <w:rPr>
          <w:rFonts w:ascii="Book Antiqua" w:hAnsi="Book Antiqua"/>
          <w:b/>
          <w:bCs/>
        </w:rPr>
        <w:t>64</w:t>
      </w:r>
      <w:r w:rsidRPr="004D22ED">
        <w:rPr>
          <w:rFonts w:ascii="Book Antiqua" w:hAnsi="Book Antiqua"/>
        </w:rPr>
        <w:t>: 1353-1367 [PMID: 26187502 DOI: 10.1136/gutjnl-2015-309252]</w:t>
      </w:r>
    </w:p>
    <w:p w14:paraId="39633FDE"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19 </w:t>
      </w:r>
      <w:r w:rsidRPr="004D22ED">
        <w:rPr>
          <w:rFonts w:ascii="Book Antiqua" w:hAnsi="Book Antiqua"/>
          <w:b/>
          <w:bCs/>
        </w:rPr>
        <w:t>Dutta AK</w:t>
      </w:r>
      <w:r w:rsidRPr="004D22ED">
        <w:rPr>
          <w:rFonts w:ascii="Book Antiqua" w:hAnsi="Book Antiqua"/>
        </w:rPr>
        <w:t>, Reddy VD, Iyer VH, Unnikrishnan LS, Chacko A. Exploring current status of Helicobacter pylori infection in different age groups of patients with dyspepsia. </w:t>
      </w:r>
      <w:r w:rsidRPr="004D22ED">
        <w:rPr>
          <w:rFonts w:ascii="Book Antiqua" w:hAnsi="Book Antiqua"/>
          <w:i/>
          <w:iCs/>
        </w:rPr>
        <w:t>Indian J Gastroenterol</w:t>
      </w:r>
      <w:r w:rsidRPr="004D22ED">
        <w:rPr>
          <w:rFonts w:ascii="Book Antiqua" w:hAnsi="Book Antiqua"/>
        </w:rPr>
        <w:t> 2017; </w:t>
      </w:r>
      <w:r w:rsidRPr="004D22ED">
        <w:rPr>
          <w:rFonts w:ascii="Book Antiqua" w:hAnsi="Book Antiqua"/>
          <w:b/>
          <w:bCs/>
        </w:rPr>
        <w:t>36</w:t>
      </w:r>
      <w:r w:rsidRPr="004D22ED">
        <w:rPr>
          <w:rFonts w:ascii="Book Antiqua" w:hAnsi="Book Antiqua"/>
        </w:rPr>
        <w:t>: 509-513 [PMID: 29368191 DOI: 10.1007/s12664-017-0810-0]</w:t>
      </w:r>
    </w:p>
    <w:p w14:paraId="2F95EFE1"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20 </w:t>
      </w:r>
      <w:r w:rsidRPr="004D22ED">
        <w:rPr>
          <w:rFonts w:ascii="Book Antiqua" w:hAnsi="Book Antiqua"/>
          <w:b/>
          <w:bCs/>
        </w:rPr>
        <w:t>Brenner H</w:t>
      </w:r>
      <w:r w:rsidRPr="004D22ED">
        <w:rPr>
          <w:rFonts w:ascii="Book Antiqua" w:hAnsi="Book Antiqua"/>
        </w:rPr>
        <w:t>, Rothenbacher D, Bode G, Adler G. Relation of smoking and alcohol and coffee consumption to active Helicobacter pylori infection: cross sectional study. </w:t>
      </w:r>
      <w:r w:rsidRPr="004D22ED">
        <w:rPr>
          <w:rFonts w:ascii="Book Antiqua" w:hAnsi="Book Antiqua"/>
          <w:i/>
          <w:iCs/>
        </w:rPr>
        <w:t>BMJ</w:t>
      </w:r>
      <w:r w:rsidRPr="004D22ED">
        <w:rPr>
          <w:rFonts w:ascii="Book Antiqua" w:hAnsi="Book Antiqua"/>
        </w:rPr>
        <w:t> 1997; </w:t>
      </w:r>
      <w:r w:rsidRPr="004D22ED">
        <w:rPr>
          <w:rFonts w:ascii="Book Antiqua" w:hAnsi="Book Antiqua"/>
          <w:b/>
          <w:bCs/>
        </w:rPr>
        <w:t>315</w:t>
      </w:r>
      <w:r w:rsidRPr="004D22ED">
        <w:rPr>
          <w:rFonts w:ascii="Book Antiqua" w:hAnsi="Book Antiqua"/>
        </w:rPr>
        <w:t>: 1489-1492 [PMID: 9420488 DOI: 10.1136/bmj.315.7121.1489]</w:t>
      </w:r>
    </w:p>
    <w:p w14:paraId="2620687A"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21 </w:t>
      </w:r>
      <w:r w:rsidRPr="004D22ED">
        <w:rPr>
          <w:rFonts w:ascii="Book Antiqua" w:hAnsi="Book Antiqua"/>
          <w:b/>
          <w:bCs/>
        </w:rPr>
        <w:t>Liu LC,</w:t>
      </w:r>
      <w:r w:rsidRPr="004D22ED">
        <w:rPr>
          <w:rFonts w:ascii="Book Antiqua" w:hAnsi="Book Antiqua"/>
        </w:rPr>
        <w:t xml:space="preserve"> Wang LY, Wang X, Chen XX, Xu B, Yu YX. Epidemiological survey on smoking and passive smoking situation among adults in Taizhou City, Zhejiang Province. </w:t>
      </w:r>
      <w:r w:rsidRPr="004D22ED">
        <w:rPr>
          <w:rFonts w:ascii="Book Antiqua" w:hAnsi="Book Antiqua"/>
          <w:i/>
        </w:rPr>
        <w:t>Zhongguo Jiankang Jiaoyu</w:t>
      </w:r>
      <w:r w:rsidRPr="004D22ED">
        <w:rPr>
          <w:rFonts w:ascii="Book Antiqua" w:hAnsi="Book Antiqua"/>
        </w:rPr>
        <w:t xml:space="preserve"> 2013; </w:t>
      </w:r>
      <w:r w:rsidRPr="004D22ED">
        <w:rPr>
          <w:rFonts w:ascii="Book Antiqua" w:hAnsi="Book Antiqua"/>
          <w:b/>
          <w:bCs/>
        </w:rPr>
        <w:t>29</w:t>
      </w:r>
      <w:r w:rsidRPr="004D22ED">
        <w:rPr>
          <w:rFonts w:ascii="Book Antiqua" w:hAnsi="Book Antiqua"/>
        </w:rPr>
        <w:t>: 341-344 [DOI: CNKI:SUN:ZGJK.0.2013-04-015]</w:t>
      </w:r>
    </w:p>
    <w:p w14:paraId="4454CCB6"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22 </w:t>
      </w:r>
      <w:r w:rsidRPr="004D22ED">
        <w:rPr>
          <w:rFonts w:ascii="Book Antiqua" w:hAnsi="Book Antiqua"/>
          <w:b/>
          <w:bCs/>
        </w:rPr>
        <w:t>Jiang ZD</w:t>
      </w:r>
      <w:r w:rsidRPr="004D22ED">
        <w:rPr>
          <w:rFonts w:ascii="Book Antiqua" w:hAnsi="Book Antiqua"/>
        </w:rPr>
        <w:t>, He BS, Zhang ZY, Wang SK, Ran D, Wang ZB. Analysis of the Primary and Post-Treatment Antibiotic Resistance of Helicobacter pylori in the Nanjing Area. </w:t>
      </w:r>
      <w:r w:rsidRPr="004D22ED">
        <w:rPr>
          <w:rFonts w:ascii="Book Antiqua" w:hAnsi="Book Antiqua"/>
          <w:i/>
          <w:iCs/>
        </w:rPr>
        <w:t>Curr Pharm Biotechnol</w:t>
      </w:r>
      <w:r w:rsidRPr="004D22ED">
        <w:rPr>
          <w:rFonts w:ascii="Book Antiqua" w:hAnsi="Book Antiqua"/>
        </w:rPr>
        <w:t> 2021; </w:t>
      </w:r>
      <w:r w:rsidRPr="004D22ED">
        <w:rPr>
          <w:rFonts w:ascii="Book Antiqua" w:hAnsi="Book Antiqua"/>
          <w:b/>
          <w:bCs/>
        </w:rPr>
        <w:t>22</w:t>
      </w:r>
      <w:r w:rsidRPr="004D22ED">
        <w:rPr>
          <w:rFonts w:ascii="Book Antiqua" w:hAnsi="Book Antiqua"/>
        </w:rPr>
        <w:t>: 682-685 [PMID: 32811409 DOI: 10.2174/1389201021666200722162613]</w:t>
      </w:r>
    </w:p>
    <w:p w14:paraId="043E4B65"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23 </w:t>
      </w:r>
      <w:r w:rsidRPr="004D22ED">
        <w:rPr>
          <w:rFonts w:ascii="Book Antiqua" w:hAnsi="Book Antiqua"/>
          <w:b/>
          <w:bCs/>
        </w:rPr>
        <w:t>Hu Y</w:t>
      </w:r>
      <w:r w:rsidRPr="004D22ED">
        <w:rPr>
          <w:rFonts w:ascii="Book Antiqua" w:hAnsi="Book Antiqua"/>
        </w:rPr>
        <w:t>, Zhu Y, Lu NH. Novel and Effective Therapeutic Regimens for </w:t>
      </w:r>
      <w:r w:rsidRPr="004D22ED">
        <w:rPr>
          <w:rFonts w:ascii="Book Antiqua" w:hAnsi="Book Antiqua"/>
          <w:i/>
          <w:iCs/>
        </w:rPr>
        <w:t>Helicobacter pylori</w:t>
      </w:r>
      <w:r w:rsidRPr="004D22ED">
        <w:rPr>
          <w:rFonts w:ascii="Book Antiqua" w:hAnsi="Book Antiqua"/>
        </w:rPr>
        <w:t> in an Era of Increasing Antibiotic Resistance. </w:t>
      </w:r>
      <w:r w:rsidRPr="004D22ED">
        <w:rPr>
          <w:rFonts w:ascii="Book Antiqua" w:hAnsi="Book Antiqua"/>
          <w:i/>
          <w:iCs/>
        </w:rPr>
        <w:t>Front Cell Infect Microbiol</w:t>
      </w:r>
      <w:r w:rsidRPr="004D22ED">
        <w:rPr>
          <w:rFonts w:ascii="Book Antiqua" w:hAnsi="Book Antiqua"/>
        </w:rPr>
        <w:t> 2017; </w:t>
      </w:r>
      <w:r w:rsidRPr="004D22ED">
        <w:rPr>
          <w:rFonts w:ascii="Book Antiqua" w:hAnsi="Book Antiqua"/>
          <w:b/>
          <w:bCs/>
        </w:rPr>
        <w:t>7</w:t>
      </w:r>
      <w:r w:rsidRPr="004D22ED">
        <w:rPr>
          <w:rFonts w:ascii="Book Antiqua" w:hAnsi="Book Antiqua"/>
        </w:rPr>
        <w:t>: 168 [PMID: 28529929 DOI: 10.3389/fcimb.2017.00168]</w:t>
      </w:r>
    </w:p>
    <w:p w14:paraId="64DF1D08"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24 </w:t>
      </w:r>
      <w:r w:rsidRPr="004D22ED">
        <w:rPr>
          <w:rFonts w:ascii="Book Antiqua" w:hAnsi="Book Antiqua"/>
          <w:b/>
          <w:bCs/>
        </w:rPr>
        <w:t>Shao Y</w:t>
      </w:r>
      <w:r w:rsidRPr="004D22ED">
        <w:rPr>
          <w:rFonts w:ascii="Book Antiqua" w:hAnsi="Book Antiqua"/>
        </w:rPr>
        <w:t>, Lu R, Yang Y, Xu Q, Wang B, Ye G. Antibiotic resistance of Helicobacter pylori to 16 antibiotics in clinical patients. </w:t>
      </w:r>
      <w:r w:rsidRPr="004D22ED">
        <w:rPr>
          <w:rFonts w:ascii="Book Antiqua" w:hAnsi="Book Antiqua"/>
          <w:i/>
          <w:iCs/>
        </w:rPr>
        <w:t>J Clin Lab Anal</w:t>
      </w:r>
      <w:r w:rsidRPr="004D22ED">
        <w:rPr>
          <w:rFonts w:ascii="Book Antiqua" w:hAnsi="Book Antiqua"/>
        </w:rPr>
        <w:t> 2018; </w:t>
      </w:r>
      <w:r w:rsidRPr="004D22ED">
        <w:rPr>
          <w:rFonts w:ascii="Book Antiqua" w:hAnsi="Book Antiqua"/>
          <w:b/>
          <w:bCs/>
        </w:rPr>
        <w:t>32</w:t>
      </w:r>
      <w:r w:rsidRPr="004D22ED">
        <w:rPr>
          <w:rFonts w:ascii="Book Antiqua" w:hAnsi="Book Antiqua"/>
        </w:rPr>
        <w:t>: e22339 [PMID: 28984385 DOI: 10.1002/jcla.22339]</w:t>
      </w:r>
    </w:p>
    <w:p w14:paraId="5E69B6B6"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25 </w:t>
      </w:r>
      <w:r w:rsidRPr="004D22ED">
        <w:rPr>
          <w:rFonts w:ascii="Book Antiqua" w:hAnsi="Book Antiqua"/>
          <w:b/>
          <w:bCs/>
        </w:rPr>
        <w:t>Mirzaei N,</w:t>
      </w:r>
      <w:r w:rsidRPr="004D22ED">
        <w:rPr>
          <w:rFonts w:ascii="Book Antiqua" w:hAnsi="Book Antiqua"/>
        </w:rPr>
        <w:t> Poursina F, Faghri J, Talebi M, Khataminezhad MR, Hasanzadeh A, Safaei HG. Prevalence of Resistance of Helicobacter pylori Strains to Selected Antibiotics in Isfahan, Iran.</w:t>
      </w:r>
      <w:r w:rsidRPr="004D22ED">
        <w:rPr>
          <w:rFonts w:ascii="Book Antiqua" w:hAnsi="Book Antiqua"/>
          <w:i/>
          <w:iCs/>
        </w:rPr>
        <w:t xml:space="preserve"> Jundishapur J Microbiol</w:t>
      </w:r>
      <w:r w:rsidRPr="004D22ED">
        <w:rPr>
          <w:rFonts w:ascii="Book Antiqua" w:hAnsi="Book Antiqua"/>
        </w:rPr>
        <w:t xml:space="preserve"> 2013; </w:t>
      </w:r>
      <w:r w:rsidRPr="004D22ED">
        <w:rPr>
          <w:rFonts w:ascii="Book Antiqua" w:hAnsi="Book Antiqua"/>
          <w:b/>
          <w:bCs/>
        </w:rPr>
        <w:t>6</w:t>
      </w:r>
      <w:r w:rsidRPr="004D22ED">
        <w:rPr>
          <w:rFonts w:ascii="Book Antiqua" w:hAnsi="Book Antiqua"/>
        </w:rPr>
        <w:t>: e6342 [DOI: 10.5812/jjm.6342]</w:t>
      </w:r>
    </w:p>
    <w:p w14:paraId="18935928"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26 </w:t>
      </w:r>
      <w:r w:rsidRPr="004D22ED">
        <w:rPr>
          <w:rFonts w:ascii="Book Antiqua" w:hAnsi="Book Antiqua"/>
          <w:b/>
          <w:bCs/>
        </w:rPr>
        <w:t>Ben Mansour K</w:t>
      </w:r>
      <w:r w:rsidRPr="004D22ED">
        <w:rPr>
          <w:rFonts w:ascii="Book Antiqua" w:hAnsi="Book Antiqua"/>
        </w:rPr>
        <w:t>, Burucoa C, Zribi M, Masmoudi A, Karoui S, Kallel L, Chouaib S, Matri S, Fekih M, Zarrouk S, Labbene M, Boubaker J, Cheikh I, Hriz MB, Siala N, Ayadi A, Filali A, Mami NB, Najjar T, Maherzi A, Sfar MT, Fendri C. Primary resistance to clarithromycin, metronidazole and amoxicillin of Helicobacter pylori isolated from Tunisian patients with peptic ulcers and gastritis: a prospective multicentre study. </w:t>
      </w:r>
      <w:r w:rsidRPr="004D22ED">
        <w:rPr>
          <w:rFonts w:ascii="Book Antiqua" w:hAnsi="Book Antiqua"/>
          <w:i/>
          <w:iCs/>
        </w:rPr>
        <w:t>Ann Clin Microbiol Antimicrob</w:t>
      </w:r>
      <w:r w:rsidRPr="004D22ED">
        <w:rPr>
          <w:rFonts w:ascii="Book Antiqua" w:hAnsi="Book Antiqua"/>
        </w:rPr>
        <w:t> 2010; </w:t>
      </w:r>
      <w:r w:rsidRPr="004D22ED">
        <w:rPr>
          <w:rFonts w:ascii="Book Antiqua" w:hAnsi="Book Antiqua"/>
          <w:b/>
          <w:bCs/>
        </w:rPr>
        <w:t>9</w:t>
      </w:r>
      <w:r w:rsidRPr="004D22ED">
        <w:rPr>
          <w:rFonts w:ascii="Book Antiqua" w:hAnsi="Book Antiqua"/>
        </w:rPr>
        <w:t>: 22 [PMID: 20707901 DOI: 10.1186/1476-0711-9-22]</w:t>
      </w:r>
    </w:p>
    <w:p w14:paraId="67D022BA"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lastRenderedPageBreak/>
        <w:t>27 </w:t>
      </w:r>
      <w:r w:rsidRPr="004D22ED">
        <w:rPr>
          <w:rFonts w:ascii="Book Antiqua" w:hAnsi="Book Antiqua"/>
          <w:b/>
          <w:bCs/>
        </w:rPr>
        <w:t>Shu X</w:t>
      </w:r>
      <w:r w:rsidRPr="004D22ED">
        <w:rPr>
          <w:rFonts w:ascii="Book Antiqua" w:hAnsi="Book Antiqua"/>
        </w:rPr>
        <w:t>, Yin G, Liu M, Peng K, Zhao H, Jiang M. Antibiotics resistance of Helicobacter pylori in children with upper gastrointestinal symptoms in Hangzhou, China. </w:t>
      </w:r>
      <w:r w:rsidRPr="004D22ED">
        <w:rPr>
          <w:rFonts w:ascii="Book Antiqua" w:hAnsi="Book Antiqua"/>
          <w:i/>
          <w:iCs/>
        </w:rPr>
        <w:t>Helicobacter</w:t>
      </w:r>
      <w:r w:rsidRPr="004D22ED">
        <w:rPr>
          <w:rFonts w:ascii="Book Antiqua" w:hAnsi="Book Antiqua"/>
        </w:rPr>
        <w:t> 2018; </w:t>
      </w:r>
      <w:r w:rsidRPr="004D22ED">
        <w:rPr>
          <w:rFonts w:ascii="Book Antiqua" w:hAnsi="Book Antiqua"/>
          <w:b/>
          <w:bCs/>
        </w:rPr>
        <w:t>23</w:t>
      </w:r>
      <w:r w:rsidRPr="004D22ED">
        <w:rPr>
          <w:rFonts w:ascii="Book Antiqua" w:hAnsi="Book Antiqua"/>
        </w:rPr>
        <w:t>: e12481 [PMID: 29528162 DOI: 10.1111/hel.12481]</w:t>
      </w:r>
    </w:p>
    <w:p w14:paraId="36D1398C" w14:textId="77777777" w:rsidR="005315A5"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28 </w:t>
      </w:r>
      <w:r w:rsidRPr="004D22ED">
        <w:rPr>
          <w:rFonts w:ascii="Book Antiqua" w:hAnsi="Book Antiqua"/>
          <w:b/>
          <w:bCs/>
        </w:rPr>
        <w:t>Roe CM</w:t>
      </w:r>
      <w:r w:rsidRPr="004D22ED">
        <w:rPr>
          <w:rFonts w:ascii="Book Antiqua" w:hAnsi="Book Antiqua"/>
        </w:rPr>
        <w:t>, McNamara AM, Motheral BR. Gender- and age-related prescription drug use patterns. </w:t>
      </w:r>
      <w:r w:rsidRPr="004D22ED">
        <w:rPr>
          <w:rFonts w:ascii="Book Antiqua" w:hAnsi="Book Antiqua"/>
          <w:i/>
          <w:iCs/>
        </w:rPr>
        <w:t>Ann Pharmacother</w:t>
      </w:r>
      <w:r w:rsidRPr="004D22ED">
        <w:rPr>
          <w:rFonts w:ascii="Book Antiqua" w:hAnsi="Book Antiqua"/>
        </w:rPr>
        <w:t> 2002; </w:t>
      </w:r>
      <w:r w:rsidRPr="004D22ED">
        <w:rPr>
          <w:rFonts w:ascii="Book Antiqua" w:hAnsi="Book Antiqua"/>
          <w:b/>
          <w:bCs/>
        </w:rPr>
        <w:t>36</w:t>
      </w:r>
      <w:r w:rsidRPr="004D22ED">
        <w:rPr>
          <w:rFonts w:ascii="Book Antiqua" w:hAnsi="Book Antiqua"/>
        </w:rPr>
        <w:t>: 30-39 [PMID: 11816254 DOI: 10.1345/aph.1A113]</w:t>
      </w:r>
    </w:p>
    <w:p w14:paraId="4A7A1A48" w14:textId="705D6DBF" w:rsidR="009A19FE" w:rsidRPr="004D22ED" w:rsidRDefault="005315A5" w:rsidP="004D22E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D22ED">
        <w:rPr>
          <w:rFonts w:ascii="Book Antiqua" w:hAnsi="Book Antiqua"/>
        </w:rPr>
        <w:t xml:space="preserve">29 </w:t>
      </w:r>
      <w:r w:rsidRPr="004D22ED">
        <w:rPr>
          <w:rFonts w:ascii="Book Antiqua" w:hAnsi="Book Antiqua"/>
          <w:b/>
          <w:bCs/>
        </w:rPr>
        <w:t>Liu</w:t>
      </w:r>
      <w:r w:rsidR="009A19FE" w:rsidRPr="004D22ED">
        <w:rPr>
          <w:rFonts w:ascii="Book Antiqua" w:hAnsi="Book Antiqua"/>
          <w:b/>
          <w:bCs/>
        </w:rPr>
        <w:t xml:space="preserve"> </w:t>
      </w:r>
      <w:r w:rsidRPr="004D22ED">
        <w:rPr>
          <w:rFonts w:ascii="Book Antiqua" w:hAnsi="Book Antiqua"/>
          <w:b/>
          <w:bCs/>
        </w:rPr>
        <w:t>WZ</w:t>
      </w:r>
      <w:r w:rsidRPr="004D22ED">
        <w:rPr>
          <w:rFonts w:ascii="Book Antiqua" w:hAnsi="Book Antiqua"/>
        </w:rPr>
        <w:t>, Xie Y, Lu H, Cheng H, Zeng ZR, Zhou LY, Chen Y, Wang JB</w:t>
      </w:r>
      <w:r w:rsidR="009A19FE" w:rsidRPr="004D22ED">
        <w:rPr>
          <w:rFonts w:ascii="Book Antiqua" w:hAnsi="Book Antiqua"/>
        </w:rPr>
        <w:t>;</w:t>
      </w:r>
      <w:r w:rsidRPr="004D22ED">
        <w:rPr>
          <w:rFonts w:ascii="Book Antiqua" w:hAnsi="Book Antiqua"/>
        </w:rPr>
        <w:t xml:space="preserve"> </w:t>
      </w:r>
      <w:r w:rsidR="009A19FE" w:rsidRPr="004D22ED">
        <w:rPr>
          <w:rFonts w:ascii="Book Antiqua" w:hAnsi="Book Antiqua"/>
        </w:rPr>
        <w:t xml:space="preserve">Chinese Medical Association, Chinese Society of Gastroenterology, </w:t>
      </w:r>
      <w:r w:rsidR="009A19FE" w:rsidRPr="004D22ED">
        <w:rPr>
          <w:rFonts w:ascii="Book Antiqua" w:hAnsi="Book Antiqua"/>
          <w:i/>
          <w:iCs/>
        </w:rPr>
        <w:t>H. pylori</w:t>
      </w:r>
      <w:r w:rsidR="009A19FE" w:rsidRPr="004D22ED">
        <w:rPr>
          <w:rFonts w:ascii="Book Antiqua" w:hAnsi="Book Antiqua"/>
        </w:rPr>
        <w:t xml:space="preserve"> and Peptic Ulcer Study Group, Chinese National Helicobacter Pylori Research Cooperative Group. </w:t>
      </w:r>
      <w:r w:rsidRPr="004D22ED">
        <w:rPr>
          <w:rFonts w:ascii="Book Antiqua" w:hAnsi="Book Antiqua"/>
        </w:rPr>
        <w:t xml:space="preserve">Fifth ChinesNational Consensus Report on the management of Helicobacter pylori infection. </w:t>
      </w:r>
      <w:r w:rsidRPr="004D22ED">
        <w:rPr>
          <w:rFonts w:ascii="Book Antiqua" w:hAnsi="Book Antiqua"/>
          <w:i/>
        </w:rPr>
        <w:t>Wei Chang Bing Xue</w:t>
      </w:r>
      <w:r w:rsidRPr="004D22ED">
        <w:rPr>
          <w:rFonts w:ascii="Book Antiqua" w:hAnsi="Book Antiqua"/>
        </w:rPr>
        <w:t xml:space="preserve"> 2017; </w:t>
      </w:r>
      <w:r w:rsidRPr="004D22ED">
        <w:rPr>
          <w:rFonts w:ascii="Book Antiqua" w:hAnsi="Book Antiqua"/>
          <w:b/>
          <w:bCs/>
        </w:rPr>
        <w:t>37</w:t>
      </w:r>
      <w:r w:rsidRPr="004D22ED">
        <w:rPr>
          <w:rFonts w:ascii="Book Antiqua" w:hAnsi="Book Antiqua"/>
        </w:rPr>
        <w:t>: 364-378 [DOI: 10.3969/j.issn.1008-7125.2017.06.006]</w:t>
      </w:r>
      <w:r w:rsidR="009A19FE" w:rsidRPr="004D22ED">
        <w:rPr>
          <w:rFonts w:ascii="Book Antiqua" w:hAnsi="Book Antiqua"/>
        </w:rPr>
        <w:br w:type="page"/>
      </w:r>
    </w:p>
    <w:p w14:paraId="6AA24F90" w14:textId="4A91AE79"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lastRenderedPageBreak/>
        <w:t>Footnotes</w:t>
      </w:r>
    </w:p>
    <w:p w14:paraId="6FD33E25"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Institutional review board statement: </w:t>
      </w:r>
      <w:r w:rsidRPr="004D22ED">
        <w:rPr>
          <w:rFonts w:ascii="Book Antiqua" w:eastAsia="Book Antiqua" w:hAnsi="Book Antiqua" w:cs="Book Antiqua"/>
          <w:shd w:val="clear" w:color="auto" w:fill="FFFFFF"/>
        </w:rPr>
        <w:t>The study was reviewed and approved by the ethics committee of Taizhou Hospital of Zhejiang Province.</w:t>
      </w:r>
    </w:p>
    <w:p w14:paraId="160414CB" w14:textId="77777777" w:rsidR="00A77B3E" w:rsidRPr="004D22ED" w:rsidRDefault="00A77B3E" w:rsidP="004D22ED">
      <w:pPr>
        <w:adjustRightInd w:val="0"/>
        <w:snapToGrid w:val="0"/>
        <w:spacing w:line="360" w:lineRule="auto"/>
        <w:jc w:val="both"/>
        <w:rPr>
          <w:rFonts w:ascii="Book Antiqua" w:hAnsi="Book Antiqua"/>
        </w:rPr>
      </w:pPr>
    </w:p>
    <w:p w14:paraId="359E734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Informed consent statement: </w:t>
      </w:r>
      <w:r w:rsidRPr="004D22ED">
        <w:rPr>
          <w:rFonts w:ascii="Book Antiqua" w:eastAsia="Book Antiqua" w:hAnsi="Book Antiqua" w:cs="Book Antiqua"/>
        </w:rPr>
        <w:t>Informed written consent was obtained from the patient for publication of this report and any accompanying images.</w:t>
      </w:r>
    </w:p>
    <w:p w14:paraId="1AB877B5" w14:textId="77777777" w:rsidR="00A77B3E" w:rsidRPr="004D22ED" w:rsidRDefault="00A77B3E" w:rsidP="004D22ED">
      <w:pPr>
        <w:adjustRightInd w:val="0"/>
        <w:snapToGrid w:val="0"/>
        <w:spacing w:line="360" w:lineRule="auto"/>
        <w:jc w:val="both"/>
        <w:rPr>
          <w:rFonts w:ascii="Book Antiqua" w:hAnsi="Book Antiqua"/>
        </w:rPr>
      </w:pPr>
    </w:p>
    <w:p w14:paraId="31D50E3B"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Conflict-of-interest statement: </w:t>
      </w:r>
      <w:r w:rsidRPr="004D22ED">
        <w:rPr>
          <w:rFonts w:ascii="Book Antiqua" w:eastAsia="Book Antiqua" w:hAnsi="Book Antiqua" w:cs="Book Antiqua"/>
        </w:rPr>
        <w:t>All the Authors have no conflict of interest related to the manuscript.</w:t>
      </w:r>
    </w:p>
    <w:p w14:paraId="558FBF1B" w14:textId="77777777" w:rsidR="00A77B3E" w:rsidRPr="004D22ED" w:rsidRDefault="00A77B3E" w:rsidP="004D22ED">
      <w:pPr>
        <w:adjustRightInd w:val="0"/>
        <w:snapToGrid w:val="0"/>
        <w:spacing w:line="360" w:lineRule="auto"/>
        <w:jc w:val="both"/>
        <w:rPr>
          <w:rFonts w:ascii="Book Antiqua" w:hAnsi="Book Antiqua"/>
        </w:rPr>
      </w:pPr>
    </w:p>
    <w:p w14:paraId="06A3483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Data sharing statement: </w:t>
      </w:r>
      <w:r w:rsidRPr="004D22ED">
        <w:rPr>
          <w:rFonts w:ascii="Book Antiqua" w:eastAsia="Book Antiqua" w:hAnsi="Book Antiqua" w:cs="Book Antiqua"/>
        </w:rPr>
        <w:t>No additional data are available.</w:t>
      </w:r>
    </w:p>
    <w:p w14:paraId="41159AC1" w14:textId="77777777" w:rsidR="00A77B3E" w:rsidRPr="004D22ED" w:rsidRDefault="00A77B3E" w:rsidP="004D22ED">
      <w:pPr>
        <w:adjustRightInd w:val="0"/>
        <w:snapToGrid w:val="0"/>
        <w:spacing w:line="360" w:lineRule="auto"/>
        <w:jc w:val="both"/>
        <w:rPr>
          <w:rFonts w:ascii="Book Antiqua" w:hAnsi="Book Antiqua"/>
        </w:rPr>
      </w:pPr>
    </w:p>
    <w:p w14:paraId="74DEA9DD"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bCs/>
        </w:rPr>
        <w:t xml:space="preserve">Open-Access: </w:t>
      </w:r>
      <w:r w:rsidRPr="004D22E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2775A1" w14:textId="77777777" w:rsidR="00A77B3E" w:rsidRPr="004D22ED" w:rsidRDefault="00A77B3E" w:rsidP="004D22ED">
      <w:pPr>
        <w:adjustRightInd w:val="0"/>
        <w:snapToGrid w:val="0"/>
        <w:spacing w:line="360" w:lineRule="auto"/>
        <w:jc w:val="both"/>
        <w:rPr>
          <w:rFonts w:ascii="Book Antiqua" w:hAnsi="Book Antiqua"/>
        </w:rPr>
      </w:pPr>
    </w:p>
    <w:p w14:paraId="0DD85C29" w14:textId="714A0EFB"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Manuscript source: </w:t>
      </w:r>
      <w:r w:rsidRPr="004D22ED">
        <w:rPr>
          <w:rFonts w:ascii="Book Antiqua" w:eastAsia="Book Antiqua" w:hAnsi="Book Antiqua" w:cs="Book Antiqua"/>
        </w:rPr>
        <w:t>Unsolicited manuscript</w:t>
      </w:r>
    </w:p>
    <w:p w14:paraId="40544CFD" w14:textId="77777777" w:rsidR="00A77B3E" w:rsidRPr="004D22ED" w:rsidRDefault="00A77B3E" w:rsidP="004D22ED">
      <w:pPr>
        <w:adjustRightInd w:val="0"/>
        <w:snapToGrid w:val="0"/>
        <w:spacing w:line="360" w:lineRule="auto"/>
        <w:jc w:val="both"/>
        <w:rPr>
          <w:rFonts w:ascii="Book Antiqua" w:hAnsi="Book Antiqua"/>
        </w:rPr>
      </w:pPr>
    </w:p>
    <w:p w14:paraId="7D1A534F"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Peer-review started: </w:t>
      </w:r>
      <w:r w:rsidRPr="004D22ED">
        <w:rPr>
          <w:rFonts w:ascii="Book Antiqua" w:eastAsia="Book Antiqua" w:hAnsi="Book Antiqua" w:cs="Book Antiqua"/>
        </w:rPr>
        <w:t>April 22, 2021</w:t>
      </w:r>
    </w:p>
    <w:p w14:paraId="75FAEFE3"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First decision: </w:t>
      </w:r>
      <w:r w:rsidRPr="004D22ED">
        <w:rPr>
          <w:rFonts w:ascii="Book Antiqua" w:eastAsia="Book Antiqua" w:hAnsi="Book Antiqua" w:cs="Book Antiqua"/>
        </w:rPr>
        <w:t>May 24, 2021</w:t>
      </w:r>
    </w:p>
    <w:p w14:paraId="36D1D0C6"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Article in press: </w:t>
      </w:r>
    </w:p>
    <w:p w14:paraId="2A4318C4" w14:textId="77777777" w:rsidR="00A77B3E" w:rsidRPr="004D22ED" w:rsidRDefault="00A77B3E" w:rsidP="004D22ED">
      <w:pPr>
        <w:adjustRightInd w:val="0"/>
        <w:snapToGrid w:val="0"/>
        <w:spacing w:line="360" w:lineRule="auto"/>
        <w:jc w:val="both"/>
        <w:rPr>
          <w:rFonts w:ascii="Book Antiqua" w:hAnsi="Book Antiqua"/>
        </w:rPr>
      </w:pPr>
    </w:p>
    <w:p w14:paraId="6B19F310" w14:textId="0D177F0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Specialty type: </w:t>
      </w:r>
      <w:r w:rsidRPr="004D22ED">
        <w:rPr>
          <w:rFonts w:ascii="Book Antiqua" w:eastAsia="Book Antiqua" w:hAnsi="Book Antiqua" w:cs="Book Antiqua"/>
        </w:rPr>
        <w:t>Gastroenterology and hepatology</w:t>
      </w:r>
    </w:p>
    <w:p w14:paraId="5D8EA12D"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 xml:space="preserve">Country/Territory of origin: </w:t>
      </w:r>
      <w:r w:rsidRPr="004D22ED">
        <w:rPr>
          <w:rFonts w:ascii="Book Antiqua" w:eastAsia="Book Antiqua" w:hAnsi="Book Antiqua" w:cs="Book Antiqua"/>
        </w:rPr>
        <w:t>China</w:t>
      </w:r>
    </w:p>
    <w:p w14:paraId="43CA18A2"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t>Peer-review report’s scientific quality classification</w:t>
      </w:r>
    </w:p>
    <w:p w14:paraId="3B1FDE29"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A (Excellent): 0</w:t>
      </w:r>
    </w:p>
    <w:p w14:paraId="509AA688"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B (Very good): B</w:t>
      </w:r>
    </w:p>
    <w:p w14:paraId="57F38EDD"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lastRenderedPageBreak/>
        <w:t>Grade C (Good): C</w:t>
      </w:r>
    </w:p>
    <w:p w14:paraId="35BC9DDC"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D (Fair): D</w:t>
      </w:r>
    </w:p>
    <w:p w14:paraId="2000D824"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rPr>
        <w:t>Grade E (Poor): 0</w:t>
      </w:r>
    </w:p>
    <w:p w14:paraId="5B70A109" w14:textId="77777777" w:rsidR="00A77B3E" w:rsidRPr="004D22ED" w:rsidRDefault="00A77B3E" w:rsidP="004D22ED">
      <w:pPr>
        <w:adjustRightInd w:val="0"/>
        <w:snapToGrid w:val="0"/>
        <w:spacing w:line="360" w:lineRule="auto"/>
        <w:jc w:val="both"/>
        <w:rPr>
          <w:rFonts w:ascii="Book Antiqua" w:hAnsi="Book Antiqua"/>
        </w:rPr>
      </w:pPr>
    </w:p>
    <w:p w14:paraId="0ADECCCF" w14:textId="1CB96EDC" w:rsidR="00A77B3E" w:rsidRPr="004D22ED" w:rsidRDefault="005315A5" w:rsidP="004D22ED">
      <w:pPr>
        <w:adjustRightInd w:val="0"/>
        <w:snapToGrid w:val="0"/>
        <w:spacing w:line="360" w:lineRule="auto"/>
        <w:jc w:val="both"/>
        <w:rPr>
          <w:rFonts w:ascii="Book Antiqua" w:hAnsi="Book Antiqua"/>
        </w:rPr>
        <w:sectPr w:rsidR="00A77B3E" w:rsidRPr="004D22ED">
          <w:footerReference w:type="default" r:id="rId6"/>
          <w:pgSz w:w="12240" w:h="15840"/>
          <w:pgMar w:top="1440" w:right="1440" w:bottom="1440" w:left="1440" w:header="720" w:footer="720" w:gutter="0"/>
          <w:cols w:space="720"/>
          <w:docGrid w:linePitch="360"/>
        </w:sectPr>
      </w:pPr>
      <w:r w:rsidRPr="004D22ED">
        <w:rPr>
          <w:rFonts w:ascii="Book Antiqua" w:eastAsia="Book Antiqua" w:hAnsi="Book Antiqua" w:cs="Book Antiqua"/>
          <w:b/>
        </w:rPr>
        <w:t xml:space="preserve">P-Reviewer: </w:t>
      </w:r>
      <w:r w:rsidRPr="004D22ED">
        <w:rPr>
          <w:rFonts w:ascii="Book Antiqua" w:eastAsia="Book Antiqua" w:hAnsi="Book Antiqua" w:cs="Book Antiqua"/>
        </w:rPr>
        <w:t>Apiratwarakul K, Megraud F, Mohammadi M</w:t>
      </w:r>
      <w:r w:rsidRPr="004D22ED">
        <w:rPr>
          <w:rFonts w:ascii="Book Antiqua" w:eastAsia="Book Antiqua" w:hAnsi="Book Antiqua" w:cs="Book Antiqua"/>
          <w:b/>
        </w:rPr>
        <w:t xml:space="preserve"> S-Editor: </w:t>
      </w:r>
      <w:r w:rsidRPr="004D22ED">
        <w:rPr>
          <w:rFonts w:ascii="Book Antiqua" w:eastAsia="Book Antiqua" w:hAnsi="Book Antiqua" w:cs="Book Antiqua"/>
        </w:rPr>
        <w:t>Liu M</w:t>
      </w:r>
      <w:r w:rsidRPr="004D22ED">
        <w:rPr>
          <w:rFonts w:ascii="Book Antiqua" w:eastAsia="Book Antiqua" w:hAnsi="Book Antiqua" w:cs="Book Antiqua"/>
          <w:b/>
        </w:rPr>
        <w:t xml:space="preserve"> L-Editor:</w:t>
      </w:r>
      <w:r w:rsidR="00A84F1D">
        <w:rPr>
          <w:rFonts w:ascii="Book Antiqua" w:eastAsia="Book Antiqua" w:hAnsi="Book Antiqua" w:cs="Book Antiqua"/>
          <w:b/>
        </w:rPr>
        <w:t xml:space="preserve"> </w:t>
      </w:r>
      <w:r w:rsidR="00A84F1D">
        <w:rPr>
          <w:rFonts w:ascii="Book Antiqua" w:eastAsia="Book Antiqua" w:hAnsi="Book Antiqua" w:cs="Book Antiqua"/>
          <w:bCs/>
        </w:rPr>
        <w:t xml:space="preserve">Filipodia </w:t>
      </w:r>
      <w:r w:rsidRPr="004D22ED">
        <w:rPr>
          <w:rFonts w:ascii="Book Antiqua" w:eastAsia="Book Antiqua" w:hAnsi="Book Antiqua" w:cs="Book Antiqua"/>
          <w:b/>
        </w:rPr>
        <w:t xml:space="preserve">P-Editor: </w:t>
      </w:r>
    </w:p>
    <w:p w14:paraId="2063E250" w14:textId="77777777" w:rsidR="00A77B3E" w:rsidRPr="004D22ED" w:rsidRDefault="005315A5" w:rsidP="004D22ED">
      <w:pPr>
        <w:adjustRightInd w:val="0"/>
        <w:snapToGrid w:val="0"/>
        <w:spacing w:line="360" w:lineRule="auto"/>
        <w:jc w:val="both"/>
        <w:rPr>
          <w:rFonts w:ascii="Book Antiqua" w:hAnsi="Book Antiqua"/>
        </w:rPr>
      </w:pPr>
      <w:r w:rsidRPr="004D22ED">
        <w:rPr>
          <w:rFonts w:ascii="Book Antiqua" w:eastAsia="Book Antiqua" w:hAnsi="Book Antiqua" w:cs="Book Antiqua"/>
          <w:b/>
        </w:rPr>
        <w:lastRenderedPageBreak/>
        <w:t>Figure Legends</w:t>
      </w:r>
    </w:p>
    <w:p w14:paraId="7D5EF85B" w14:textId="58D562E3" w:rsidR="005315A5" w:rsidRPr="004D22ED" w:rsidRDefault="004D22ED" w:rsidP="004D22ED">
      <w:pPr>
        <w:adjustRightInd w:val="0"/>
        <w:snapToGrid w:val="0"/>
        <w:spacing w:line="360" w:lineRule="auto"/>
        <w:jc w:val="both"/>
        <w:rPr>
          <w:rFonts w:ascii="Book Antiqua" w:eastAsia="Book Antiqua" w:hAnsi="Book Antiqua" w:cs="Book Antiqua"/>
          <w:b/>
        </w:rPr>
      </w:pPr>
      <w:r w:rsidRPr="004D22ED">
        <w:rPr>
          <w:rFonts w:ascii="Book Antiqua" w:eastAsia="Book Antiqua" w:hAnsi="Book Antiqua" w:cs="Book Antiqua"/>
          <w:b/>
          <w:noProof/>
        </w:rPr>
        <w:drawing>
          <wp:inline distT="0" distB="0" distL="0" distR="0" wp14:anchorId="1ED53DDD" wp14:editId="625CA3C5">
            <wp:extent cx="5240130" cy="30707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8322" cy="3075558"/>
                    </a:xfrm>
                    <a:prstGeom prst="rect">
                      <a:avLst/>
                    </a:prstGeom>
                    <a:noFill/>
                  </pic:spPr>
                </pic:pic>
              </a:graphicData>
            </a:graphic>
          </wp:inline>
        </w:drawing>
      </w:r>
    </w:p>
    <w:p w14:paraId="3F6AB2A5" w14:textId="77777777" w:rsidR="005315A5" w:rsidRPr="004D22ED"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b/>
          <w:bCs/>
        </w:rPr>
        <w:t>Figure 1 T</w:t>
      </w:r>
      <w:r w:rsidRPr="004D22ED">
        <w:rPr>
          <w:rFonts w:ascii="Book Antiqua" w:eastAsia="Book Antiqua" w:hAnsi="Book Antiqua" w:cs="Book Antiqua"/>
          <w:b/>
        </w:rPr>
        <w:t xml:space="preserve">rends of </w:t>
      </w:r>
      <w:r w:rsidRPr="004D22ED">
        <w:rPr>
          <w:rFonts w:ascii="Book Antiqua" w:eastAsia="Book Antiqua" w:hAnsi="Book Antiqua" w:cs="Book Antiqua"/>
          <w:b/>
          <w:i/>
        </w:rPr>
        <w:t xml:space="preserve">Helicobacter pylori </w:t>
      </w:r>
      <w:r w:rsidRPr="004D22ED">
        <w:rPr>
          <w:rFonts w:ascii="Book Antiqua" w:eastAsia="Book Antiqua" w:hAnsi="Book Antiqua" w:cs="Book Antiqua"/>
          <w:b/>
        </w:rPr>
        <w:t>resistance to four antibacterial drugs with years.</w:t>
      </w:r>
      <w:r w:rsidRPr="004D22ED">
        <w:rPr>
          <w:rFonts w:ascii="Book Antiqua" w:eastAsia="Book Antiqua" w:hAnsi="Book Antiqua" w:cs="Book Antiqua"/>
        </w:rPr>
        <w:t xml:space="preserve"> </w:t>
      </w:r>
    </w:p>
    <w:p w14:paraId="7B5439E2" w14:textId="77777777" w:rsidR="005315A5" w:rsidRPr="004D22ED"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rPr>
        <w:br w:type="page"/>
      </w:r>
    </w:p>
    <w:p w14:paraId="693D7A0D" w14:textId="4EECBCD9" w:rsidR="005315A5" w:rsidRPr="004D22ED" w:rsidRDefault="004D22ED"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noProof/>
        </w:rPr>
        <w:lastRenderedPageBreak/>
        <w:drawing>
          <wp:inline distT="0" distB="0" distL="0" distR="0" wp14:anchorId="703F2452" wp14:editId="6D971571">
            <wp:extent cx="4055386" cy="2376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5056" cy="2382155"/>
                    </a:xfrm>
                    <a:prstGeom prst="rect">
                      <a:avLst/>
                    </a:prstGeom>
                    <a:noFill/>
                  </pic:spPr>
                </pic:pic>
              </a:graphicData>
            </a:graphic>
          </wp:inline>
        </w:drawing>
      </w:r>
    </w:p>
    <w:p w14:paraId="768034BD" w14:textId="77777777" w:rsidR="005315A5" w:rsidRPr="004D22ED" w:rsidRDefault="005315A5" w:rsidP="004D22ED">
      <w:pPr>
        <w:autoSpaceDE w:val="0"/>
        <w:autoSpaceDN w:val="0"/>
        <w:adjustRightInd w:val="0"/>
        <w:snapToGrid w:val="0"/>
        <w:spacing w:line="360" w:lineRule="auto"/>
        <w:jc w:val="both"/>
        <w:rPr>
          <w:rFonts w:ascii="Book Antiqua" w:eastAsia="SimSun" w:hAnsi="Book Antiqua"/>
        </w:rPr>
      </w:pPr>
      <w:r w:rsidRPr="004D22ED">
        <w:rPr>
          <w:rFonts w:ascii="Book Antiqua" w:eastAsia="SimSun" w:hAnsi="Book Antiqua"/>
          <w:b/>
          <w:bCs/>
        </w:rPr>
        <w:t>Figure 2</w:t>
      </w:r>
      <w:r w:rsidRPr="004D22ED">
        <w:rPr>
          <w:rFonts w:ascii="Book Antiqua" w:eastAsia="SimSun" w:hAnsi="Book Antiqua"/>
        </w:rPr>
        <w:t xml:space="preserve"> </w:t>
      </w:r>
      <w:r w:rsidRPr="004D22ED">
        <w:rPr>
          <w:rFonts w:ascii="Book Antiqua" w:eastAsia="SimSun" w:hAnsi="Book Antiqua"/>
          <w:b/>
        </w:rPr>
        <w:t xml:space="preserve">Trends of </w:t>
      </w:r>
      <w:r w:rsidRPr="004D22ED">
        <w:rPr>
          <w:rFonts w:ascii="Book Antiqua" w:eastAsia="Book Antiqua" w:hAnsi="Book Antiqua" w:cs="Book Antiqua"/>
          <w:b/>
          <w:i/>
        </w:rPr>
        <w:t>Helicobacter pylori</w:t>
      </w:r>
      <w:r w:rsidRPr="004D22ED">
        <w:rPr>
          <w:rFonts w:ascii="Book Antiqua" w:eastAsia="SimSun" w:hAnsi="Book Antiqua"/>
          <w:b/>
        </w:rPr>
        <w:t xml:space="preserve"> resistance</w:t>
      </w:r>
      <w:r w:rsidRPr="004D22ED">
        <w:rPr>
          <w:rFonts w:ascii="Book Antiqua" w:eastAsia="SimSun" w:hAnsi="Book Antiqua"/>
          <w:b/>
          <w:i/>
        </w:rPr>
        <w:t xml:space="preserve"> </w:t>
      </w:r>
      <w:r w:rsidRPr="004D22ED">
        <w:rPr>
          <w:rFonts w:ascii="Book Antiqua" w:eastAsia="SimSun" w:hAnsi="Book Antiqua"/>
          <w:b/>
        </w:rPr>
        <w:t>to four antibacterial drugs with age groups.</w:t>
      </w:r>
    </w:p>
    <w:p w14:paraId="2F7425B5" w14:textId="77777777" w:rsidR="005315A5" w:rsidRPr="004D22ED" w:rsidRDefault="005315A5" w:rsidP="004D22ED">
      <w:pPr>
        <w:adjustRightInd w:val="0"/>
        <w:snapToGrid w:val="0"/>
        <w:spacing w:line="360" w:lineRule="auto"/>
        <w:jc w:val="both"/>
        <w:rPr>
          <w:rFonts w:ascii="Book Antiqua" w:eastAsia="Book Antiqua" w:hAnsi="Book Antiqua" w:cs="Book Antiqua"/>
        </w:rPr>
      </w:pPr>
      <w:r w:rsidRPr="004D22ED">
        <w:rPr>
          <w:rFonts w:ascii="Book Antiqua" w:eastAsia="Book Antiqua" w:hAnsi="Book Antiqua" w:cs="Book Antiqua"/>
        </w:rPr>
        <w:br w:type="page"/>
      </w:r>
    </w:p>
    <w:p w14:paraId="68544FB6" w14:textId="4A15C1DF" w:rsidR="004D22ED" w:rsidRPr="004D22ED" w:rsidRDefault="004D22ED" w:rsidP="004D22ED">
      <w:pPr>
        <w:autoSpaceDE w:val="0"/>
        <w:autoSpaceDN w:val="0"/>
        <w:adjustRightInd w:val="0"/>
        <w:snapToGrid w:val="0"/>
        <w:spacing w:line="360" w:lineRule="auto"/>
        <w:jc w:val="both"/>
        <w:rPr>
          <w:rFonts w:ascii="Book Antiqua" w:eastAsia="Book Antiqua" w:hAnsi="Book Antiqua" w:cs="Book Antiqua"/>
          <w:lang w:eastAsia="zh-CN"/>
        </w:rPr>
      </w:pPr>
      <w:r w:rsidRPr="004D22ED">
        <w:rPr>
          <w:rFonts w:ascii="Book Antiqua" w:eastAsia="Book Antiqua" w:hAnsi="Book Antiqua" w:cs="Book Antiqua"/>
          <w:noProof/>
          <w:lang w:eastAsia="zh-CN"/>
        </w:rPr>
        <w:lastRenderedPageBreak/>
        <w:drawing>
          <wp:inline distT="0" distB="0" distL="0" distR="0" wp14:anchorId="0A6A6A12" wp14:editId="3679AE80">
            <wp:extent cx="5208104" cy="2893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796" cy="2896637"/>
                    </a:xfrm>
                    <a:prstGeom prst="rect">
                      <a:avLst/>
                    </a:prstGeom>
                    <a:noFill/>
                  </pic:spPr>
                </pic:pic>
              </a:graphicData>
            </a:graphic>
          </wp:inline>
        </w:drawing>
      </w:r>
    </w:p>
    <w:p w14:paraId="7F80D02B" w14:textId="495E06A8" w:rsidR="005315A5" w:rsidRPr="004D22ED" w:rsidRDefault="005315A5" w:rsidP="004D22ED">
      <w:pPr>
        <w:autoSpaceDE w:val="0"/>
        <w:autoSpaceDN w:val="0"/>
        <w:adjustRightInd w:val="0"/>
        <w:snapToGrid w:val="0"/>
        <w:spacing w:line="360" w:lineRule="auto"/>
        <w:jc w:val="both"/>
        <w:rPr>
          <w:rFonts w:ascii="Book Antiqua" w:eastAsia="SimSun" w:hAnsi="Book Antiqua"/>
        </w:rPr>
      </w:pPr>
      <w:r w:rsidRPr="004D22ED">
        <w:rPr>
          <w:rFonts w:ascii="Book Antiqua" w:eastAsia="SimSun" w:hAnsi="Book Antiqua"/>
          <w:b/>
          <w:bCs/>
        </w:rPr>
        <w:t>Figure 3</w:t>
      </w:r>
      <w:r w:rsidRPr="004D22ED">
        <w:rPr>
          <w:rFonts w:ascii="Book Antiqua" w:eastAsia="SimSun" w:hAnsi="Book Antiqua"/>
        </w:rPr>
        <w:t xml:space="preserve"> </w:t>
      </w:r>
      <w:r w:rsidRPr="004D22ED">
        <w:rPr>
          <w:rFonts w:ascii="Book Antiqua" w:eastAsia="Book Antiqua" w:hAnsi="Book Antiqua" w:cs="Book Antiqua"/>
          <w:b/>
          <w:i/>
        </w:rPr>
        <w:t>Helicobacter pylori</w:t>
      </w:r>
      <w:r w:rsidRPr="004D22ED">
        <w:rPr>
          <w:rFonts w:ascii="Book Antiqua" w:eastAsia="SimSun" w:hAnsi="Book Antiqua"/>
          <w:b/>
        </w:rPr>
        <w:t xml:space="preserve"> resistance rate to four antibacterial drugs. </w:t>
      </w:r>
      <w:r w:rsidRPr="004D22ED">
        <w:rPr>
          <w:rFonts w:ascii="Book Antiqua" w:eastAsia="SimSun" w:hAnsi="Book Antiqua"/>
        </w:rPr>
        <w:t xml:space="preserve">A: The resistance to levofloxacin; B: The resistance to clarithromycin; C: The resistance to metronidazole; D: The resistance to amoxicillin. </w:t>
      </w:r>
      <w:r w:rsidRPr="004D22ED">
        <w:rPr>
          <w:rFonts w:ascii="Book Antiqua" w:eastAsia="SimSun" w:hAnsi="Book Antiqua"/>
          <w:vertAlign w:val="superscript"/>
          <w:lang w:eastAsia="zh-CN"/>
        </w:rPr>
        <w:t>a</w:t>
      </w:r>
      <w:r w:rsidRPr="004D22ED">
        <w:rPr>
          <w:rFonts w:ascii="Book Antiqua" w:eastAsia="Book Antiqua" w:hAnsi="Book Antiqua" w:cs="Book Antiqua"/>
          <w:i/>
          <w:iCs/>
        </w:rPr>
        <w:t xml:space="preserve">P </w:t>
      </w:r>
      <w:r w:rsidRPr="004D22ED">
        <w:rPr>
          <w:rFonts w:ascii="Book Antiqua" w:eastAsia="Book Antiqua" w:hAnsi="Book Antiqua" w:cs="Book Antiqua"/>
        </w:rPr>
        <w:t>&lt; 0.05</w:t>
      </w:r>
      <w:r w:rsidRPr="004D22ED">
        <w:rPr>
          <w:rFonts w:ascii="Book Antiqua" w:eastAsia="SimSun" w:hAnsi="Book Antiqua"/>
        </w:rPr>
        <w:t xml:space="preserve">. There </w:t>
      </w:r>
      <w:r w:rsidR="00292AC4">
        <w:rPr>
          <w:rFonts w:ascii="Book Antiqua" w:eastAsia="SimSun" w:hAnsi="Book Antiqua"/>
        </w:rPr>
        <w:t>were</w:t>
      </w:r>
      <w:r w:rsidRPr="004D22ED">
        <w:rPr>
          <w:rFonts w:ascii="Book Antiqua" w:eastAsia="SimSun" w:hAnsi="Book Antiqua"/>
        </w:rPr>
        <w:t xml:space="preserve"> significant difference</w:t>
      </w:r>
      <w:r w:rsidR="00934011">
        <w:rPr>
          <w:rFonts w:ascii="Book Antiqua" w:eastAsia="SimSun" w:hAnsi="Book Antiqua"/>
        </w:rPr>
        <w:t>s</w:t>
      </w:r>
      <w:r w:rsidRPr="004D22ED">
        <w:rPr>
          <w:rFonts w:ascii="Book Antiqua" w:eastAsia="SimSun" w:hAnsi="Book Antiqua"/>
        </w:rPr>
        <w:t xml:space="preserve"> of the resistance between male</w:t>
      </w:r>
      <w:r w:rsidR="00292AC4">
        <w:rPr>
          <w:rFonts w:ascii="Book Antiqua" w:eastAsia="SimSun" w:hAnsi="Book Antiqua"/>
        </w:rPr>
        <w:t>s</w:t>
      </w:r>
      <w:r w:rsidRPr="004D22ED">
        <w:rPr>
          <w:rFonts w:ascii="Book Antiqua" w:eastAsia="SimSun" w:hAnsi="Book Antiqua"/>
        </w:rPr>
        <w:t xml:space="preserve"> and female</w:t>
      </w:r>
      <w:r w:rsidR="00292AC4">
        <w:rPr>
          <w:rFonts w:ascii="Book Antiqua" w:eastAsia="SimSun" w:hAnsi="Book Antiqua"/>
        </w:rPr>
        <w:t>s</w:t>
      </w:r>
      <w:r w:rsidRPr="004D22ED">
        <w:rPr>
          <w:rFonts w:ascii="Book Antiqua" w:eastAsia="SimSun" w:hAnsi="Book Antiqua"/>
        </w:rPr>
        <w:t>.</w:t>
      </w:r>
    </w:p>
    <w:p w14:paraId="0BBF0B45" w14:textId="77777777" w:rsidR="005315A5" w:rsidRPr="004D22ED" w:rsidRDefault="005315A5" w:rsidP="004D22ED">
      <w:pPr>
        <w:adjustRightInd w:val="0"/>
        <w:snapToGrid w:val="0"/>
        <w:spacing w:line="360" w:lineRule="auto"/>
        <w:jc w:val="both"/>
        <w:rPr>
          <w:rFonts w:ascii="Book Antiqua" w:eastAsia="Book Antiqua" w:hAnsi="Book Antiqua" w:cs="Book Antiqua"/>
          <w:b/>
        </w:rPr>
      </w:pPr>
      <w:r w:rsidRPr="004D22ED">
        <w:rPr>
          <w:rFonts w:ascii="Book Antiqua" w:hAnsi="Book Antiqua"/>
        </w:rPr>
        <w:br w:type="page"/>
      </w:r>
    </w:p>
    <w:p w14:paraId="3B1FFD1B" w14:textId="77777777" w:rsidR="005315A5" w:rsidRPr="004D22ED" w:rsidRDefault="005315A5" w:rsidP="004D22ED">
      <w:pPr>
        <w:autoSpaceDE w:val="0"/>
        <w:autoSpaceDN w:val="0"/>
        <w:adjustRightInd w:val="0"/>
        <w:snapToGrid w:val="0"/>
        <w:spacing w:line="360" w:lineRule="auto"/>
        <w:jc w:val="both"/>
        <w:rPr>
          <w:rFonts w:ascii="Book Antiqua" w:hAnsi="Book Antiqua"/>
          <w:b/>
          <w:bCs/>
        </w:rPr>
      </w:pPr>
      <w:r w:rsidRPr="004D22ED">
        <w:rPr>
          <w:rFonts w:ascii="Book Antiqua" w:eastAsia="SimSun" w:hAnsi="Book Antiqua"/>
          <w:b/>
          <w:bCs/>
        </w:rPr>
        <w:lastRenderedPageBreak/>
        <w:t xml:space="preserve">Table 1 Basic information of specimen tested for </w:t>
      </w:r>
      <w:r w:rsidRPr="004D22ED">
        <w:rPr>
          <w:rFonts w:ascii="Book Antiqua" w:eastAsia="SimSun" w:hAnsi="Book Antiqua"/>
          <w:b/>
          <w:bCs/>
          <w:i/>
        </w:rPr>
        <w:t>H</w:t>
      </w:r>
      <w:r w:rsidRPr="004D22ED">
        <w:rPr>
          <w:rFonts w:ascii="Book Antiqua" w:eastAsia="SimSun" w:hAnsi="Book Antiqua"/>
          <w:b/>
          <w:bCs/>
        </w:rPr>
        <w:t xml:space="preserve">. </w:t>
      </w:r>
      <w:r w:rsidRPr="004D22ED">
        <w:rPr>
          <w:rFonts w:ascii="Book Antiqua" w:eastAsia="SimSun" w:hAnsi="Book Antiqua"/>
          <w:b/>
          <w:bCs/>
          <w:i/>
        </w:rPr>
        <w:t>pylori</w:t>
      </w:r>
      <w:r w:rsidRPr="004D22ED">
        <w:rPr>
          <w:rFonts w:ascii="Book Antiqua" w:eastAsia="SimSun" w:hAnsi="Book Antiqua"/>
          <w:b/>
          <w:bCs/>
        </w:rPr>
        <w:t xml:space="preserve"> infection (</w:t>
      </w:r>
      <w:r w:rsidRPr="004D22ED">
        <w:rPr>
          <w:rFonts w:ascii="Book Antiqua" w:eastAsia="SimSun" w:hAnsi="Book Antiqua"/>
          <w:b/>
          <w:bCs/>
          <w:i/>
          <w:iCs/>
        </w:rPr>
        <w:t>n</w:t>
      </w:r>
      <w:r w:rsidRPr="004D22ED">
        <w:rPr>
          <w:rFonts w:ascii="Book Antiqua" w:eastAsia="SimSun" w:hAnsi="Book Antiqua"/>
          <w:b/>
          <w:bCs/>
        </w:rPr>
        <w:t>)</w:t>
      </w:r>
    </w:p>
    <w:tbl>
      <w:tblPr>
        <w:tblW w:w="10773" w:type="dxa"/>
        <w:jc w:val="center"/>
        <w:tblLayout w:type="fixed"/>
        <w:tblLook w:val="04A0" w:firstRow="1" w:lastRow="0" w:firstColumn="1" w:lastColumn="0" w:noHBand="0" w:noVBand="1"/>
      </w:tblPr>
      <w:tblGrid>
        <w:gridCol w:w="993"/>
        <w:gridCol w:w="1080"/>
        <w:gridCol w:w="931"/>
        <w:gridCol w:w="931"/>
        <w:gridCol w:w="931"/>
        <w:gridCol w:w="928"/>
        <w:gridCol w:w="927"/>
        <w:gridCol w:w="976"/>
        <w:gridCol w:w="756"/>
        <w:gridCol w:w="1470"/>
        <w:gridCol w:w="850"/>
      </w:tblGrid>
      <w:tr w:rsidR="009A19FE" w:rsidRPr="004D22ED" w14:paraId="63774D2E" w14:textId="77777777" w:rsidTr="00A21E24">
        <w:trPr>
          <w:trHeight w:val="270"/>
          <w:jc w:val="center"/>
        </w:trPr>
        <w:tc>
          <w:tcPr>
            <w:tcW w:w="993" w:type="dxa"/>
            <w:vMerge w:val="restart"/>
            <w:tcBorders>
              <w:top w:val="single" w:sz="12" w:space="0" w:color="auto"/>
            </w:tcBorders>
            <w:shd w:val="clear" w:color="auto" w:fill="auto"/>
            <w:noWrap/>
            <w:vAlign w:val="center"/>
            <w:hideMark/>
          </w:tcPr>
          <w:p w14:paraId="553DC0A3"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Age group</w:t>
            </w:r>
          </w:p>
        </w:tc>
        <w:tc>
          <w:tcPr>
            <w:tcW w:w="1080" w:type="dxa"/>
            <w:vMerge w:val="restart"/>
            <w:tcBorders>
              <w:top w:val="single" w:sz="12" w:space="0" w:color="auto"/>
            </w:tcBorders>
            <w:vAlign w:val="center"/>
          </w:tcPr>
          <w:p w14:paraId="3D140029"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Infection rate (%)</w:t>
            </w:r>
          </w:p>
        </w:tc>
        <w:tc>
          <w:tcPr>
            <w:tcW w:w="2793" w:type="dxa"/>
            <w:gridSpan w:val="3"/>
            <w:tcBorders>
              <w:top w:val="single" w:sz="12" w:space="0" w:color="auto"/>
            </w:tcBorders>
            <w:shd w:val="clear" w:color="auto" w:fill="auto"/>
            <w:noWrap/>
            <w:vAlign w:val="center"/>
            <w:hideMark/>
          </w:tcPr>
          <w:p w14:paraId="435701A8"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Tested specimen</w:t>
            </w:r>
          </w:p>
        </w:tc>
        <w:tc>
          <w:tcPr>
            <w:tcW w:w="2831" w:type="dxa"/>
            <w:gridSpan w:val="3"/>
            <w:tcBorders>
              <w:top w:val="single" w:sz="12" w:space="0" w:color="auto"/>
            </w:tcBorders>
            <w:shd w:val="clear" w:color="auto" w:fill="auto"/>
            <w:noWrap/>
            <w:vAlign w:val="center"/>
            <w:hideMark/>
          </w:tcPr>
          <w:p w14:paraId="7BE75EEC" w14:textId="45298773"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i/>
              </w:rPr>
              <w:t>H</w:t>
            </w:r>
            <w:r w:rsidRPr="004D22ED">
              <w:rPr>
                <w:rFonts w:ascii="Book Antiqua" w:eastAsia="SimSun" w:hAnsi="Book Antiqua"/>
                <w:b/>
                <w:bCs/>
              </w:rPr>
              <w:t xml:space="preserve">. </w:t>
            </w:r>
            <w:r w:rsidRPr="004D22ED">
              <w:rPr>
                <w:rFonts w:ascii="Book Antiqua" w:eastAsia="SimSun" w:hAnsi="Book Antiqua"/>
                <w:b/>
                <w:bCs/>
                <w:i/>
              </w:rPr>
              <w:t>pylori</w:t>
            </w:r>
            <w:r w:rsidRPr="004D22ED">
              <w:rPr>
                <w:rFonts w:ascii="Book Antiqua" w:eastAsia="SimSun" w:hAnsi="Book Antiqua"/>
                <w:b/>
                <w:bCs/>
              </w:rPr>
              <w:t>–positive specimen</w:t>
            </w:r>
          </w:p>
        </w:tc>
        <w:tc>
          <w:tcPr>
            <w:tcW w:w="3076" w:type="dxa"/>
            <w:gridSpan w:val="3"/>
            <w:tcBorders>
              <w:top w:val="single" w:sz="12" w:space="0" w:color="auto"/>
            </w:tcBorders>
            <w:vAlign w:val="center"/>
          </w:tcPr>
          <w:p w14:paraId="76317C37"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Multivariable analysis</w:t>
            </w:r>
          </w:p>
        </w:tc>
      </w:tr>
      <w:tr w:rsidR="009A19FE" w:rsidRPr="004D22ED" w14:paraId="794E655C" w14:textId="77777777" w:rsidTr="00A21E24">
        <w:trPr>
          <w:trHeight w:val="270"/>
          <w:jc w:val="center"/>
        </w:trPr>
        <w:tc>
          <w:tcPr>
            <w:tcW w:w="993" w:type="dxa"/>
            <w:vMerge/>
            <w:tcBorders>
              <w:bottom w:val="single" w:sz="4" w:space="0" w:color="auto"/>
            </w:tcBorders>
            <w:shd w:val="clear" w:color="auto" w:fill="auto"/>
            <w:noWrap/>
            <w:vAlign w:val="center"/>
          </w:tcPr>
          <w:p w14:paraId="72D8B9A5" w14:textId="77777777" w:rsidR="005315A5" w:rsidRPr="004D22ED" w:rsidRDefault="005315A5" w:rsidP="004D22ED">
            <w:pPr>
              <w:adjustRightInd w:val="0"/>
              <w:snapToGrid w:val="0"/>
              <w:spacing w:line="360" w:lineRule="auto"/>
              <w:jc w:val="both"/>
              <w:rPr>
                <w:rFonts w:ascii="Book Antiqua" w:eastAsia="SimSun" w:hAnsi="Book Antiqua"/>
                <w:b/>
                <w:bCs/>
              </w:rPr>
            </w:pPr>
          </w:p>
        </w:tc>
        <w:tc>
          <w:tcPr>
            <w:tcW w:w="1080" w:type="dxa"/>
            <w:vMerge/>
            <w:tcBorders>
              <w:bottom w:val="single" w:sz="4" w:space="0" w:color="auto"/>
            </w:tcBorders>
            <w:vAlign w:val="center"/>
          </w:tcPr>
          <w:p w14:paraId="7F56EA45" w14:textId="77777777" w:rsidR="005315A5" w:rsidRPr="004D22ED" w:rsidRDefault="005315A5" w:rsidP="004D22ED">
            <w:pPr>
              <w:adjustRightInd w:val="0"/>
              <w:snapToGrid w:val="0"/>
              <w:spacing w:line="360" w:lineRule="auto"/>
              <w:jc w:val="both"/>
              <w:rPr>
                <w:rFonts w:ascii="Book Antiqua" w:eastAsia="SimSun" w:hAnsi="Book Antiqua"/>
                <w:b/>
                <w:bCs/>
              </w:rPr>
            </w:pPr>
          </w:p>
        </w:tc>
        <w:tc>
          <w:tcPr>
            <w:tcW w:w="931" w:type="dxa"/>
            <w:tcBorders>
              <w:bottom w:val="single" w:sz="4" w:space="0" w:color="auto"/>
            </w:tcBorders>
            <w:shd w:val="clear" w:color="auto" w:fill="auto"/>
            <w:noWrap/>
            <w:vAlign w:val="center"/>
          </w:tcPr>
          <w:p w14:paraId="446658AB"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Total</w:t>
            </w:r>
          </w:p>
        </w:tc>
        <w:tc>
          <w:tcPr>
            <w:tcW w:w="931" w:type="dxa"/>
            <w:tcBorders>
              <w:bottom w:val="single" w:sz="4" w:space="0" w:color="auto"/>
            </w:tcBorders>
            <w:shd w:val="clear" w:color="auto" w:fill="auto"/>
            <w:noWrap/>
            <w:vAlign w:val="center"/>
          </w:tcPr>
          <w:p w14:paraId="25647EDA"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Male</w:t>
            </w:r>
          </w:p>
        </w:tc>
        <w:tc>
          <w:tcPr>
            <w:tcW w:w="931" w:type="dxa"/>
            <w:tcBorders>
              <w:bottom w:val="single" w:sz="4" w:space="0" w:color="auto"/>
            </w:tcBorders>
            <w:shd w:val="clear" w:color="auto" w:fill="auto"/>
            <w:noWrap/>
            <w:vAlign w:val="center"/>
          </w:tcPr>
          <w:p w14:paraId="1B6325CC"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Female</w:t>
            </w:r>
          </w:p>
        </w:tc>
        <w:tc>
          <w:tcPr>
            <w:tcW w:w="928" w:type="dxa"/>
            <w:tcBorders>
              <w:bottom w:val="single" w:sz="4" w:space="0" w:color="auto"/>
            </w:tcBorders>
            <w:shd w:val="clear" w:color="auto" w:fill="auto"/>
            <w:noWrap/>
            <w:vAlign w:val="center"/>
          </w:tcPr>
          <w:p w14:paraId="45ADCA37"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Total</w:t>
            </w:r>
          </w:p>
        </w:tc>
        <w:tc>
          <w:tcPr>
            <w:tcW w:w="927" w:type="dxa"/>
            <w:tcBorders>
              <w:bottom w:val="single" w:sz="4" w:space="0" w:color="auto"/>
            </w:tcBorders>
            <w:shd w:val="clear" w:color="auto" w:fill="auto"/>
            <w:noWrap/>
            <w:vAlign w:val="center"/>
          </w:tcPr>
          <w:p w14:paraId="37338848"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Male</w:t>
            </w:r>
          </w:p>
        </w:tc>
        <w:tc>
          <w:tcPr>
            <w:tcW w:w="976" w:type="dxa"/>
            <w:tcBorders>
              <w:bottom w:val="single" w:sz="4" w:space="0" w:color="auto"/>
            </w:tcBorders>
            <w:shd w:val="clear" w:color="auto" w:fill="auto"/>
            <w:noWrap/>
            <w:vAlign w:val="center"/>
          </w:tcPr>
          <w:p w14:paraId="4F000600"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Female</w:t>
            </w:r>
          </w:p>
        </w:tc>
        <w:tc>
          <w:tcPr>
            <w:tcW w:w="756" w:type="dxa"/>
            <w:tcBorders>
              <w:bottom w:val="single" w:sz="4" w:space="0" w:color="auto"/>
            </w:tcBorders>
            <w:vAlign w:val="center"/>
          </w:tcPr>
          <w:p w14:paraId="4EF311A7" w14:textId="77777777" w:rsidR="005315A5" w:rsidRPr="004D22ED" w:rsidRDefault="005315A5" w:rsidP="004D22ED">
            <w:pPr>
              <w:adjustRightInd w:val="0"/>
              <w:snapToGrid w:val="0"/>
              <w:spacing w:line="360" w:lineRule="auto"/>
              <w:jc w:val="both"/>
              <w:rPr>
                <w:rFonts w:ascii="Book Antiqua" w:eastAsia="SimSun" w:hAnsi="Book Antiqua"/>
                <w:b/>
                <w:bCs/>
                <w:iCs/>
              </w:rPr>
            </w:pPr>
            <w:r w:rsidRPr="004D22ED">
              <w:rPr>
                <w:rFonts w:ascii="Book Antiqua" w:eastAsia="SimSun" w:hAnsi="Book Antiqua"/>
                <w:b/>
                <w:bCs/>
                <w:iCs/>
              </w:rPr>
              <w:t>OR</w:t>
            </w:r>
          </w:p>
        </w:tc>
        <w:tc>
          <w:tcPr>
            <w:tcW w:w="1470" w:type="dxa"/>
            <w:tcBorders>
              <w:bottom w:val="single" w:sz="4" w:space="0" w:color="auto"/>
            </w:tcBorders>
            <w:vAlign w:val="center"/>
          </w:tcPr>
          <w:p w14:paraId="5DF923D6" w14:textId="77777777" w:rsidR="005315A5" w:rsidRPr="004D22ED" w:rsidRDefault="005315A5" w:rsidP="004D22ED">
            <w:pPr>
              <w:adjustRightInd w:val="0"/>
              <w:snapToGrid w:val="0"/>
              <w:spacing w:line="360" w:lineRule="auto"/>
              <w:jc w:val="both"/>
              <w:rPr>
                <w:rFonts w:ascii="Book Antiqua" w:eastAsia="SimSun" w:hAnsi="Book Antiqua"/>
                <w:b/>
                <w:bCs/>
                <w:iCs/>
              </w:rPr>
            </w:pPr>
            <w:r w:rsidRPr="004D22ED">
              <w:rPr>
                <w:rFonts w:ascii="Book Antiqua" w:eastAsia="SimSun" w:hAnsi="Book Antiqua"/>
                <w:b/>
                <w:bCs/>
                <w:iCs/>
              </w:rPr>
              <w:t>95%CI</w:t>
            </w:r>
            <w:r w:rsidRPr="004D22ED">
              <w:rPr>
                <w:rFonts w:ascii="Book Antiqua" w:hAnsi="Book Antiqua" w:cs="Arial"/>
                <w:b/>
                <w:bCs/>
                <w:iCs/>
                <w:shd w:val="clear" w:color="auto" w:fill="FFFFFF"/>
                <w:vertAlign w:val="superscript"/>
              </w:rPr>
              <w:t>a</w:t>
            </w:r>
          </w:p>
        </w:tc>
        <w:tc>
          <w:tcPr>
            <w:tcW w:w="850" w:type="dxa"/>
            <w:tcBorders>
              <w:bottom w:val="single" w:sz="4" w:space="0" w:color="auto"/>
            </w:tcBorders>
            <w:vAlign w:val="center"/>
          </w:tcPr>
          <w:p w14:paraId="39E09F5C" w14:textId="77777777" w:rsidR="005315A5" w:rsidRPr="004D22ED" w:rsidRDefault="005315A5" w:rsidP="004D22ED">
            <w:pPr>
              <w:adjustRightInd w:val="0"/>
              <w:snapToGrid w:val="0"/>
              <w:spacing w:line="360" w:lineRule="auto"/>
              <w:jc w:val="both"/>
              <w:rPr>
                <w:rFonts w:ascii="Book Antiqua" w:eastAsia="SimSun" w:hAnsi="Book Antiqua"/>
                <w:b/>
                <w:bCs/>
                <w:i/>
              </w:rPr>
            </w:pPr>
            <w:r w:rsidRPr="004D22ED">
              <w:rPr>
                <w:rFonts w:ascii="Book Antiqua" w:eastAsia="SimSun" w:hAnsi="Book Antiqua"/>
                <w:b/>
                <w:bCs/>
                <w:i/>
              </w:rPr>
              <w:t>P</w:t>
            </w:r>
            <w:r w:rsidRPr="004D22ED">
              <w:rPr>
                <w:rFonts w:ascii="Book Antiqua" w:eastAsia="SimSun" w:hAnsi="Book Antiqua"/>
                <w:b/>
                <w:bCs/>
                <w:iCs/>
              </w:rPr>
              <w:t>-value</w:t>
            </w:r>
          </w:p>
        </w:tc>
      </w:tr>
      <w:tr w:rsidR="009A19FE" w:rsidRPr="004D22ED" w14:paraId="21EB05DE" w14:textId="77777777" w:rsidTr="00A21E24">
        <w:trPr>
          <w:trHeight w:val="270"/>
          <w:jc w:val="center"/>
        </w:trPr>
        <w:tc>
          <w:tcPr>
            <w:tcW w:w="993" w:type="dxa"/>
            <w:tcBorders>
              <w:top w:val="single" w:sz="4" w:space="0" w:color="auto"/>
            </w:tcBorders>
            <w:shd w:val="clear" w:color="auto" w:fill="auto"/>
            <w:noWrap/>
            <w:vAlign w:val="center"/>
          </w:tcPr>
          <w:p w14:paraId="4F936B9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Total</w:t>
            </w:r>
          </w:p>
        </w:tc>
        <w:tc>
          <w:tcPr>
            <w:tcW w:w="1080" w:type="dxa"/>
            <w:tcBorders>
              <w:top w:val="single" w:sz="4" w:space="0" w:color="auto"/>
            </w:tcBorders>
            <w:vAlign w:val="center"/>
          </w:tcPr>
          <w:p w14:paraId="659257F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33.30</w:t>
            </w:r>
          </w:p>
        </w:tc>
        <w:tc>
          <w:tcPr>
            <w:tcW w:w="931" w:type="dxa"/>
            <w:tcBorders>
              <w:top w:val="single" w:sz="4" w:space="0" w:color="auto"/>
            </w:tcBorders>
            <w:shd w:val="clear" w:color="auto" w:fill="auto"/>
            <w:noWrap/>
            <w:vAlign w:val="center"/>
          </w:tcPr>
          <w:p w14:paraId="3A44903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283823</w:t>
            </w:r>
          </w:p>
        </w:tc>
        <w:tc>
          <w:tcPr>
            <w:tcW w:w="931" w:type="dxa"/>
            <w:tcBorders>
              <w:top w:val="single" w:sz="4" w:space="0" w:color="auto"/>
            </w:tcBorders>
            <w:shd w:val="clear" w:color="auto" w:fill="auto"/>
            <w:noWrap/>
            <w:vAlign w:val="center"/>
          </w:tcPr>
          <w:p w14:paraId="735D7BBF"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142851</w:t>
            </w:r>
          </w:p>
        </w:tc>
        <w:tc>
          <w:tcPr>
            <w:tcW w:w="931" w:type="dxa"/>
            <w:tcBorders>
              <w:top w:val="single" w:sz="4" w:space="0" w:color="auto"/>
            </w:tcBorders>
            <w:shd w:val="clear" w:color="auto" w:fill="auto"/>
            <w:noWrap/>
            <w:vAlign w:val="center"/>
          </w:tcPr>
          <w:p w14:paraId="6461528F"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140972</w:t>
            </w:r>
          </w:p>
        </w:tc>
        <w:tc>
          <w:tcPr>
            <w:tcW w:w="928" w:type="dxa"/>
            <w:tcBorders>
              <w:top w:val="single" w:sz="4" w:space="0" w:color="auto"/>
            </w:tcBorders>
            <w:shd w:val="clear" w:color="auto" w:fill="auto"/>
            <w:noWrap/>
            <w:vAlign w:val="center"/>
          </w:tcPr>
          <w:p w14:paraId="04A921A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94509</w:t>
            </w:r>
          </w:p>
        </w:tc>
        <w:tc>
          <w:tcPr>
            <w:tcW w:w="927" w:type="dxa"/>
            <w:tcBorders>
              <w:top w:val="single" w:sz="4" w:space="0" w:color="auto"/>
            </w:tcBorders>
            <w:shd w:val="clear" w:color="auto" w:fill="auto"/>
            <w:noWrap/>
            <w:vAlign w:val="center"/>
          </w:tcPr>
          <w:p w14:paraId="677DA8A3"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49139</w:t>
            </w:r>
          </w:p>
        </w:tc>
        <w:tc>
          <w:tcPr>
            <w:tcW w:w="976" w:type="dxa"/>
            <w:tcBorders>
              <w:top w:val="single" w:sz="4" w:space="0" w:color="auto"/>
            </w:tcBorders>
            <w:shd w:val="clear" w:color="auto" w:fill="auto"/>
            <w:noWrap/>
            <w:vAlign w:val="center"/>
          </w:tcPr>
          <w:p w14:paraId="5ABB574B"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45370</w:t>
            </w:r>
          </w:p>
        </w:tc>
        <w:tc>
          <w:tcPr>
            <w:tcW w:w="756" w:type="dxa"/>
            <w:tcBorders>
              <w:top w:val="single" w:sz="4" w:space="0" w:color="auto"/>
            </w:tcBorders>
            <w:vAlign w:val="center"/>
          </w:tcPr>
          <w:p w14:paraId="6010CF8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w:t>
            </w:r>
          </w:p>
        </w:tc>
        <w:tc>
          <w:tcPr>
            <w:tcW w:w="1470" w:type="dxa"/>
            <w:tcBorders>
              <w:top w:val="single" w:sz="4" w:space="0" w:color="auto"/>
            </w:tcBorders>
            <w:vAlign w:val="center"/>
          </w:tcPr>
          <w:p w14:paraId="7FF674D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w:t>
            </w:r>
          </w:p>
        </w:tc>
        <w:tc>
          <w:tcPr>
            <w:tcW w:w="850" w:type="dxa"/>
            <w:tcBorders>
              <w:top w:val="single" w:sz="4" w:space="0" w:color="auto"/>
            </w:tcBorders>
            <w:vAlign w:val="center"/>
          </w:tcPr>
          <w:p w14:paraId="2CED2D2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w:t>
            </w:r>
          </w:p>
        </w:tc>
      </w:tr>
      <w:tr w:rsidR="009A19FE" w:rsidRPr="004D22ED" w14:paraId="2B824E35" w14:textId="77777777" w:rsidTr="00A21E24">
        <w:trPr>
          <w:trHeight w:val="270"/>
          <w:jc w:val="center"/>
        </w:trPr>
        <w:tc>
          <w:tcPr>
            <w:tcW w:w="993" w:type="dxa"/>
            <w:shd w:val="clear" w:color="auto" w:fill="auto"/>
            <w:noWrap/>
            <w:vAlign w:val="center"/>
            <w:hideMark/>
          </w:tcPr>
          <w:p w14:paraId="504CEC6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 20</w:t>
            </w:r>
          </w:p>
        </w:tc>
        <w:tc>
          <w:tcPr>
            <w:tcW w:w="1080" w:type="dxa"/>
            <w:vAlign w:val="center"/>
          </w:tcPr>
          <w:p w14:paraId="3216856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22.49</w:t>
            </w:r>
          </w:p>
        </w:tc>
        <w:tc>
          <w:tcPr>
            <w:tcW w:w="931" w:type="dxa"/>
            <w:shd w:val="clear" w:color="auto" w:fill="auto"/>
            <w:noWrap/>
            <w:vAlign w:val="center"/>
            <w:hideMark/>
          </w:tcPr>
          <w:p w14:paraId="2507E98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4825</w:t>
            </w:r>
          </w:p>
        </w:tc>
        <w:tc>
          <w:tcPr>
            <w:tcW w:w="931" w:type="dxa"/>
            <w:shd w:val="clear" w:color="auto" w:fill="auto"/>
            <w:noWrap/>
            <w:vAlign w:val="center"/>
            <w:hideMark/>
          </w:tcPr>
          <w:p w14:paraId="3B95B8B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2576</w:t>
            </w:r>
          </w:p>
        </w:tc>
        <w:tc>
          <w:tcPr>
            <w:tcW w:w="931" w:type="dxa"/>
            <w:shd w:val="clear" w:color="auto" w:fill="auto"/>
            <w:noWrap/>
            <w:vAlign w:val="center"/>
            <w:hideMark/>
          </w:tcPr>
          <w:p w14:paraId="79DCA09E"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2249</w:t>
            </w:r>
          </w:p>
        </w:tc>
        <w:tc>
          <w:tcPr>
            <w:tcW w:w="928" w:type="dxa"/>
            <w:shd w:val="clear" w:color="auto" w:fill="auto"/>
            <w:noWrap/>
            <w:vAlign w:val="center"/>
            <w:hideMark/>
          </w:tcPr>
          <w:p w14:paraId="200AC09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1085</w:t>
            </w:r>
          </w:p>
        </w:tc>
        <w:tc>
          <w:tcPr>
            <w:tcW w:w="927" w:type="dxa"/>
            <w:shd w:val="clear" w:color="auto" w:fill="auto"/>
            <w:noWrap/>
            <w:vAlign w:val="center"/>
            <w:hideMark/>
          </w:tcPr>
          <w:p w14:paraId="578A3532"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624</w:t>
            </w:r>
          </w:p>
        </w:tc>
        <w:tc>
          <w:tcPr>
            <w:tcW w:w="976" w:type="dxa"/>
            <w:shd w:val="clear" w:color="auto" w:fill="auto"/>
            <w:noWrap/>
            <w:vAlign w:val="center"/>
            <w:hideMark/>
          </w:tcPr>
          <w:p w14:paraId="6C2793AE"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461</w:t>
            </w:r>
          </w:p>
        </w:tc>
        <w:tc>
          <w:tcPr>
            <w:tcW w:w="756" w:type="dxa"/>
            <w:vAlign w:val="center"/>
          </w:tcPr>
          <w:p w14:paraId="4559763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1.240</w:t>
            </w:r>
          </w:p>
        </w:tc>
        <w:tc>
          <w:tcPr>
            <w:tcW w:w="1470" w:type="dxa"/>
            <w:vAlign w:val="center"/>
          </w:tcPr>
          <w:p w14:paraId="14190D8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1.082 1.421</w:t>
            </w:r>
          </w:p>
        </w:tc>
        <w:tc>
          <w:tcPr>
            <w:tcW w:w="850" w:type="dxa"/>
            <w:vAlign w:val="center"/>
          </w:tcPr>
          <w:p w14:paraId="2027A21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0.002</w:t>
            </w:r>
          </w:p>
        </w:tc>
      </w:tr>
      <w:tr w:rsidR="009A19FE" w:rsidRPr="004D22ED" w14:paraId="305EC18D" w14:textId="77777777" w:rsidTr="00A21E24">
        <w:trPr>
          <w:trHeight w:val="270"/>
          <w:jc w:val="center"/>
        </w:trPr>
        <w:tc>
          <w:tcPr>
            <w:tcW w:w="993" w:type="dxa"/>
            <w:shd w:val="clear" w:color="auto" w:fill="auto"/>
            <w:noWrap/>
            <w:vAlign w:val="center"/>
            <w:hideMark/>
          </w:tcPr>
          <w:p w14:paraId="40FF18C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21-30</w:t>
            </w:r>
          </w:p>
        </w:tc>
        <w:tc>
          <w:tcPr>
            <w:tcW w:w="1080" w:type="dxa"/>
            <w:vAlign w:val="center"/>
          </w:tcPr>
          <w:p w14:paraId="156655C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26.78</w:t>
            </w:r>
          </w:p>
        </w:tc>
        <w:tc>
          <w:tcPr>
            <w:tcW w:w="931" w:type="dxa"/>
            <w:shd w:val="clear" w:color="auto" w:fill="auto"/>
            <w:noWrap/>
            <w:vAlign w:val="center"/>
            <w:hideMark/>
          </w:tcPr>
          <w:p w14:paraId="11F456D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21681</w:t>
            </w:r>
          </w:p>
        </w:tc>
        <w:tc>
          <w:tcPr>
            <w:tcW w:w="931" w:type="dxa"/>
            <w:shd w:val="clear" w:color="auto" w:fill="auto"/>
            <w:noWrap/>
            <w:vAlign w:val="center"/>
            <w:hideMark/>
          </w:tcPr>
          <w:p w14:paraId="65B4DA8F"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11655</w:t>
            </w:r>
          </w:p>
        </w:tc>
        <w:tc>
          <w:tcPr>
            <w:tcW w:w="931" w:type="dxa"/>
            <w:shd w:val="clear" w:color="auto" w:fill="auto"/>
            <w:noWrap/>
            <w:vAlign w:val="center"/>
            <w:hideMark/>
          </w:tcPr>
          <w:p w14:paraId="66319955"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10026</w:t>
            </w:r>
          </w:p>
        </w:tc>
        <w:tc>
          <w:tcPr>
            <w:tcW w:w="928" w:type="dxa"/>
            <w:shd w:val="clear" w:color="auto" w:fill="auto"/>
            <w:noWrap/>
            <w:vAlign w:val="center"/>
            <w:hideMark/>
          </w:tcPr>
          <w:p w14:paraId="17D4359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5807</w:t>
            </w:r>
          </w:p>
        </w:tc>
        <w:tc>
          <w:tcPr>
            <w:tcW w:w="927" w:type="dxa"/>
            <w:shd w:val="clear" w:color="auto" w:fill="auto"/>
            <w:noWrap/>
            <w:vAlign w:val="center"/>
            <w:hideMark/>
          </w:tcPr>
          <w:p w14:paraId="43197272"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3196</w:t>
            </w:r>
          </w:p>
        </w:tc>
        <w:tc>
          <w:tcPr>
            <w:tcW w:w="976" w:type="dxa"/>
            <w:shd w:val="clear" w:color="auto" w:fill="auto"/>
            <w:noWrap/>
            <w:vAlign w:val="center"/>
            <w:hideMark/>
          </w:tcPr>
          <w:p w14:paraId="424851E9"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2611</w:t>
            </w:r>
          </w:p>
        </w:tc>
        <w:tc>
          <w:tcPr>
            <w:tcW w:w="756" w:type="dxa"/>
            <w:vAlign w:val="center"/>
          </w:tcPr>
          <w:p w14:paraId="6B7B30F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1.073</w:t>
            </w:r>
          </w:p>
        </w:tc>
        <w:tc>
          <w:tcPr>
            <w:tcW w:w="1470" w:type="dxa"/>
            <w:vAlign w:val="center"/>
          </w:tcPr>
          <w:p w14:paraId="7012149F"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1.010 1.140</w:t>
            </w:r>
          </w:p>
        </w:tc>
        <w:tc>
          <w:tcPr>
            <w:tcW w:w="850" w:type="dxa"/>
            <w:vAlign w:val="center"/>
          </w:tcPr>
          <w:p w14:paraId="00AE0E1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0.022</w:t>
            </w:r>
          </w:p>
        </w:tc>
      </w:tr>
      <w:tr w:rsidR="009A19FE" w:rsidRPr="004D22ED" w14:paraId="74C25281" w14:textId="77777777" w:rsidTr="00A21E24">
        <w:trPr>
          <w:trHeight w:val="270"/>
          <w:jc w:val="center"/>
        </w:trPr>
        <w:tc>
          <w:tcPr>
            <w:tcW w:w="993" w:type="dxa"/>
            <w:shd w:val="clear" w:color="auto" w:fill="auto"/>
            <w:noWrap/>
            <w:vAlign w:val="center"/>
            <w:hideMark/>
          </w:tcPr>
          <w:p w14:paraId="3E33FF1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31-40</w:t>
            </w:r>
          </w:p>
        </w:tc>
        <w:tc>
          <w:tcPr>
            <w:tcW w:w="1080" w:type="dxa"/>
            <w:vAlign w:val="center"/>
          </w:tcPr>
          <w:p w14:paraId="6BCEC60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27.24</w:t>
            </w:r>
          </w:p>
        </w:tc>
        <w:tc>
          <w:tcPr>
            <w:tcW w:w="931" w:type="dxa"/>
            <w:shd w:val="clear" w:color="auto" w:fill="auto"/>
            <w:noWrap/>
            <w:vAlign w:val="center"/>
            <w:hideMark/>
          </w:tcPr>
          <w:p w14:paraId="7690C00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46803</w:t>
            </w:r>
          </w:p>
        </w:tc>
        <w:tc>
          <w:tcPr>
            <w:tcW w:w="931" w:type="dxa"/>
            <w:shd w:val="clear" w:color="auto" w:fill="auto"/>
            <w:noWrap/>
            <w:vAlign w:val="center"/>
            <w:hideMark/>
          </w:tcPr>
          <w:p w14:paraId="2A23CE8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23720</w:t>
            </w:r>
          </w:p>
        </w:tc>
        <w:tc>
          <w:tcPr>
            <w:tcW w:w="931" w:type="dxa"/>
            <w:shd w:val="clear" w:color="auto" w:fill="auto"/>
            <w:noWrap/>
            <w:vAlign w:val="center"/>
            <w:hideMark/>
          </w:tcPr>
          <w:p w14:paraId="3AB78A08"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23083</w:t>
            </w:r>
          </w:p>
        </w:tc>
        <w:tc>
          <w:tcPr>
            <w:tcW w:w="928" w:type="dxa"/>
            <w:shd w:val="clear" w:color="auto" w:fill="auto"/>
            <w:noWrap/>
            <w:vAlign w:val="center"/>
            <w:hideMark/>
          </w:tcPr>
          <w:p w14:paraId="2E371F1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12750</w:t>
            </w:r>
          </w:p>
        </w:tc>
        <w:tc>
          <w:tcPr>
            <w:tcW w:w="927" w:type="dxa"/>
            <w:shd w:val="clear" w:color="auto" w:fill="auto"/>
            <w:noWrap/>
            <w:vAlign w:val="center"/>
            <w:hideMark/>
          </w:tcPr>
          <w:p w14:paraId="13B06217"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6688</w:t>
            </w:r>
          </w:p>
        </w:tc>
        <w:tc>
          <w:tcPr>
            <w:tcW w:w="976" w:type="dxa"/>
            <w:shd w:val="clear" w:color="auto" w:fill="auto"/>
            <w:noWrap/>
            <w:vAlign w:val="center"/>
            <w:hideMark/>
          </w:tcPr>
          <w:p w14:paraId="70AFD0B0"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6062</w:t>
            </w:r>
          </w:p>
        </w:tc>
        <w:tc>
          <w:tcPr>
            <w:tcW w:w="756" w:type="dxa"/>
            <w:vAlign w:val="center"/>
          </w:tcPr>
          <w:p w14:paraId="23E5E2F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1.103</w:t>
            </w:r>
          </w:p>
        </w:tc>
        <w:tc>
          <w:tcPr>
            <w:tcW w:w="1470" w:type="dxa"/>
            <w:vAlign w:val="center"/>
          </w:tcPr>
          <w:p w14:paraId="45407D9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1.059 1.148</w:t>
            </w:r>
          </w:p>
        </w:tc>
        <w:tc>
          <w:tcPr>
            <w:tcW w:w="850" w:type="dxa"/>
            <w:vAlign w:val="center"/>
          </w:tcPr>
          <w:p w14:paraId="561EC04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0.000</w:t>
            </w:r>
          </w:p>
        </w:tc>
      </w:tr>
      <w:tr w:rsidR="009A19FE" w:rsidRPr="004D22ED" w14:paraId="42363163" w14:textId="77777777" w:rsidTr="00A21E24">
        <w:trPr>
          <w:trHeight w:val="270"/>
          <w:jc w:val="center"/>
        </w:trPr>
        <w:tc>
          <w:tcPr>
            <w:tcW w:w="993" w:type="dxa"/>
            <w:shd w:val="clear" w:color="auto" w:fill="auto"/>
            <w:noWrap/>
            <w:vAlign w:val="center"/>
            <w:hideMark/>
          </w:tcPr>
          <w:p w14:paraId="5DE4175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41-50</w:t>
            </w:r>
          </w:p>
        </w:tc>
        <w:tc>
          <w:tcPr>
            <w:tcW w:w="1080" w:type="dxa"/>
            <w:vAlign w:val="center"/>
          </w:tcPr>
          <w:p w14:paraId="12608E2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29.76</w:t>
            </w:r>
          </w:p>
        </w:tc>
        <w:tc>
          <w:tcPr>
            <w:tcW w:w="931" w:type="dxa"/>
            <w:shd w:val="clear" w:color="auto" w:fill="auto"/>
            <w:noWrap/>
            <w:vAlign w:val="center"/>
            <w:hideMark/>
          </w:tcPr>
          <w:p w14:paraId="1D3AE37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80907</w:t>
            </w:r>
          </w:p>
        </w:tc>
        <w:tc>
          <w:tcPr>
            <w:tcW w:w="931" w:type="dxa"/>
            <w:shd w:val="clear" w:color="auto" w:fill="auto"/>
            <w:noWrap/>
            <w:vAlign w:val="center"/>
            <w:hideMark/>
          </w:tcPr>
          <w:p w14:paraId="7735DA0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39271</w:t>
            </w:r>
          </w:p>
        </w:tc>
        <w:tc>
          <w:tcPr>
            <w:tcW w:w="931" w:type="dxa"/>
            <w:shd w:val="clear" w:color="auto" w:fill="auto"/>
            <w:noWrap/>
            <w:vAlign w:val="center"/>
            <w:hideMark/>
          </w:tcPr>
          <w:p w14:paraId="67FADB91"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41636</w:t>
            </w:r>
          </w:p>
        </w:tc>
        <w:tc>
          <w:tcPr>
            <w:tcW w:w="928" w:type="dxa"/>
            <w:shd w:val="clear" w:color="auto" w:fill="auto"/>
            <w:noWrap/>
            <w:vAlign w:val="center"/>
            <w:hideMark/>
          </w:tcPr>
          <w:p w14:paraId="1DC6486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24078</w:t>
            </w:r>
          </w:p>
        </w:tc>
        <w:tc>
          <w:tcPr>
            <w:tcW w:w="927" w:type="dxa"/>
            <w:shd w:val="clear" w:color="auto" w:fill="auto"/>
            <w:noWrap/>
            <w:vAlign w:val="center"/>
            <w:hideMark/>
          </w:tcPr>
          <w:p w14:paraId="5AD390FF"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12156</w:t>
            </w:r>
          </w:p>
        </w:tc>
        <w:tc>
          <w:tcPr>
            <w:tcW w:w="976" w:type="dxa"/>
            <w:shd w:val="clear" w:color="auto" w:fill="auto"/>
            <w:noWrap/>
            <w:vAlign w:val="center"/>
            <w:hideMark/>
          </w:tcPr>
          <w:p w14:paraId="016E65BA"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11922</w:t>
            </w:r>
          </w:p>
        </w:tc>
        <w:tc>
          <w:tcPr>
            <w:tcW w:w="756" w:type="dxa"/>
            <w:vAlign w:val="center"/>
          </w:tcPr>
          <w:p w14:paraId="034130F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1.117</w:t>
            </w:r>
          </w:p>
        </w:tc>
        <w:tc>
          <w:tcPr>
            <w:tcW w:w="1470" w:type="dxa"/>
            <w:vAlign w:val="center"/>
          </w:tcPr>
          <w:p w14:paraId="76FF530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1.084 1.152</w:t>
            </w:r>
          </w:p>
        </w:tc>
        <w:tc>
          <w:tcPr>
            <w:tcW w:w="850" w:type="dxa"/>
            <w:vAlign w:val="center"/>
          </w:tcPr>
          <w:p w14:paraId="3C2067A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0.000</w:t>
            </w:r>
          </w:p>
        </w:tc>
      </w:tr>
      <w:tr w:rsidR="009A19FE" w:rsidRPr="004D22ED" w14:paraId="4AB26045" w14:textId="77777777" w:rsidTr="00A21E24">
        <w:trPr>
          <w:trHeight w:val="270"/>
          <w:jc w:val="center"/>
        </w:trPr>
        <w:tc>
          <w:tcPr>
            <w:tcW w:w="993" w:type="dxa"/>
            <w:shd w:val="clear" w:color="auto" w:fill="auto"/>
            <w:noWrap/>
            <w:vAlign w:val="center"/>
            <w:hideMark/>
          </w:tcPr>
          <w:p w14:paraId="34117F2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51-60</w:t>
            </w:r>
          </w:p>
        </w:tc>
        <w:tc>
          <w:tcPr>
            <w:tcW w:w="1080" w:type="dxa"/>
            <w:vAlign w:val="center"/>
          </w:tcPr>
          <w:p w14:paraId="1E46D88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38.86</w:t>
            </w:r>
          </w:p>
        </w:tc>
        <w:tc>
          <w:tcPr>
            <w:tcW w:w="931" w:type="dxa"/>
            <w:shd w:val="clear" w:color="auto" w:fill="auto"/>
            <w:noWrap/>
            <w:vAlign w:val="center"/>
            <w:hideMark/>
          </w:tcPr>
          <w:p w14:paraId="1EEC733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72229</w:t>
            </w:r>
          </w:p>
        </w:tc>
        <w:tc>
          <w:tcPr>
            <w:tcW w:w="931" w:type="dxa"/>
            <w:shd w:val="clear" w:color="auto" w:fill="auto"/>
            <w:noWrap/>
            <w:vAlign w:val="center"/>
            <w:hideMark/>
          </w:tcPr>
          <w:p w14:paraId="700D51E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35077</w:t>
            </w:r>
          </w:p>
        </w:tc>
        <w:tc>
          <w:tcPr>
            <w:tcW w:w="931" w:type="dxa"/>
            <w:shd w:val="clear" w:color="auto" w:fill="auto"/>
            <w:noWrap/>
            <w:vAlign w:val="center"/>
            <w:hideMark/>
          </w:tcPr>
          <w:p w14:paraId="4A0C2951"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37152</w:t>
            </w:r>
          </w:p>
        </w:tc>
        <w:tc>
          <w:tcPr>
            <w:tcW w:w="928" w:type="dxa"/>
            <w:shd w:val="clear" w:color="auto" w:fill="auto"/>
            <w:noWrap/>
            <w:vAlign w:val="center"/>
            <w:hideMark/>
          </w:tcPr>
          <w:p w14:paraId="4F99E1F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28066</w:t>
            </w:r>
          </w:p>
        </w:tc>
        <w:tc>
          <w:tcPr>
            <w:tcW w:w="927" w:type="dxa"/>
            <w:shd w:val="clear" w:color="auto" w:fill="auto"/>
            <w:noWrap/>
            <w:vAlign w:val="center"/>
            <w:hideMark/>
          </w:tcPr>
          <w:p w14:paraId="5D7E9CE4"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14284</w:t>
            </w:r>
          </w:p>
        </w:tc>
        <w:tc>
          <w:tcPr>
            <w:tcW w:w="976" w:type="dxa"/>
            <w:shd w:val="clear" w:color="auto" w:fill="auto"/>
            <w:noWrap/>
            <w:vAlign w:val="center"/>
            <w:hideMark/>
          </w:tcPr>
          <w:p w14:paraId="5D55C0B3"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13782</w:t>
            </w:r>
          </w:p>
        </w:tc>
        <w:tc>
          <w:tcPr>
            <w:tcW w:w="756" w:type="dxa"/>
            <w:vAlign w:val="center"/>
          </w:tcPr>
          <w:p w14:paraId="3DCE861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1.165</w:t>
            </w:r>
          </w:p>
        </w:tc>
        <w:tc>
          <w:tcPr>
            <w:tcW w:w="1470" w:type="dxa"/>
            <w:vAlign w:val="center"/>
          </w:tcPr>
          <w:p w14:paraId="36FC06B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1.131 1.200</w:t>
            </w:r>
          </w:p>
        </w:tc>
        <w:tc>
          <w:tcPr>
            <w:tcW w:w="850" w:type="dxa"/>
            <w:vAlign w:val="center"/>
          </w:tcPr>
          <w:p w14:paraId="7D9B525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0.000</w:t>
            </w:r>
          </w:p>
        </w:tc>
      </w:tr>
      <w:tr w:rsidR="009A19FE" w:rsidRPr="004D22ED" w14:paraId="348F05D5" w14:textId="77777777" w:rsidTr="00A21E24">
        <w:trPr>
          <w:trHeight w:val="270"/>
          <w:jc w:val="center"/>
        </w:trPr>
        <w:tc>
          <w:tcPr>
            <w:tcW w:w="993" w:type="dxa"/>
            <w:shd w:val="clear" w:color="auto" w:fill="auto"/>
            <w:noWrap/>
            <w:vAlign w:val="center"/>
            <w:hideMark/>
          </w:tcPr>
          <w:p w14:paraId="3824055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61-70</w:t>
            </w:r>
          </w:p>
        </w:tc>
        <w:tc>
          <w:tcPr>
            <w:tcW w:w="1080" w:type="dxa"/>
            <w:vAlign w:val="center"/>
          </w:tcPr>
          <w:p w14:paraId="58EEB9D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43.33</w:t>
            </w:r>
          </w:p>
        </w:tc>
        <w:tc>
          <w:tcPr>
            <w:tcW w:w="931" w:type="dxa"/>
            <w:shd w:val="clear" w:color="auto" w:fill="auto"/>
            <w:noWrap/>
            <w:vAlign w:val="center"/>
            <w:hideMark/>
          </w:tcPr>
          <w:p w14:paraId="595D67D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40951</w:t>
            </w:r>
          </w:p>
        </w:tc>
        <w:tc>
          <w:tcPr>
            <w:tcW w:w="931" w:type="dxa"/>
            <w:shd w:val="clear" w:color="auto" w:fill="auto"/>
            <w:noWrap/>
            <w:vAlign w:val="center"/>
            <w:hideMark/>
          </w:tcPr>
          <w:p w14:paraId="6F6690E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21065</w:t>
            </w:r>
          </w:p>
        </w:tc>
        <w:tc>
          <w:tcPr>
            <w:tcW w:w="931" w:type="dxa"/>
            <w:shd w:val="clear" w:color="auto" w:fill="auto"/>
            <w:noWrap/>
            <w:vAlign w:val="center"/>
            <w:hideMark/>
          </w:tcPr>
          <w:p w14:paraId="4CD1E547"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19886</w:t>
            </w:r>
          </w:p>
        </w:tc>
        <w:tc>
          <w:tcPr>
            <w:tcW w:w="928" w:type="dxa"/>
            <w:shd w:val="clear" w:color="auto" w:fill="auto"/>
            <w:noWrap/>
            <w:vAlign w:val="center"/>
            <w:hideMark/>
          </w:tcPr>
          <w:p w14:paraId="2B55BC4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17744</w:t>
            </w:r>
          </w:p>
        </w:tc>
        <w:tc>
          <w:tcPr>
            <w:tcW w:w="927" w:type="dxa"/>
            <w:shd w:val="clear" w:color="auto" w:fill="auto"/>
            <w:noWrap/>
            <w:vAlign w:val="center"/>
            <w:hideMark/>
          </w:tcPr>
          <w:p w14:paraId="132476FD"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9250</w:t>
            </w:r>
          </w:p>
        </w:tc>
        <w:tc>
          <w:tcPr>
            <w:tcW w:w="976" w:type="dxa"/>
            <w:shd w:val="clear" w:color="auto" w:fill="auto"/>
            <w:noWrap/>
            <w:vAlign w:val="center"/>
            <w:hideMark/>
          </w:tcPr>
          <w:p w14:paraId="78F58C2B"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8494</w:t>
            </w:r>
          </w:p>
        </w:tc>
        <w:tc>
          <w:tcPr>
            <w:tcW w:w="756" w:type="dxa"/>
            <w:vAlign w:val="center"/>
          </w:tcPr>
          <w:p w14:paraId="7F0F39A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1.050</w:t>
            </w:r>
          </w:p>
        </w:tc>
        <w:tc>
          <w:tcPr>
            <w:tcW w:w="1470" w:type="dxa"/>
            <w:vAlign w:val="center"/>
          </w:tcPr>
          <w:p w14:paraId="06242C4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1.010 1.092</w:t>
            </w:r>
          </w:p>
        </w:tc>
        <w:tc>
          <w:tcPr>
            <w:tcW w:w="850" w:type="dxa"/>
            <w:vAlign w:val="center"/>
          </w:tcPr>
          <w:p w14:paraId="34C2E9C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0.014</w:t>
            </w:r>
          </w:p>
        </w:tc>
      </w:tr>
      <w:tr w:rsidR="009A19FE" w:rsidRPr="004D22ED" w14:paraId="48F2CFB6" w14:textId="77777777" w:rsidTr="00A21E24">
        <w:trPr>
          <w:trHeight w:val="270"/>
          <w:jc w:val="center"/>
        </w:trPr>
        <w:tc>
          <w:tcPr>
            <w:tcW w:w="993" w:type="dxa"/>
            <w:shd w:val="clear" w:color="auto" w:fill="auto"/>
            <w:noWrap/>
            <w:vAlign w:val="center"/>
            <w:hideMark/>
          </w:tcPr>
          <w:p w14:paraId="6DDF78F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71-80</w:t>
            </w:r>
          </w:p>
        </w:tc>
        <w:tc>
          <w:tcPr>
            <w:tcW w:w="1080" w:type="dxa"/>
            <w:vAlign w:val="center"/>
          </w:tcPr>
          <w:p w14:paraId="3131A67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32.39</w:t>
            </w:r>
          </w:p>
        </w:tc>
        <w:tc>
          <w:tcPr>
            <w:tcW w:w="931" w:type="dxa"/>
            <w:shd w:val="clear" w:color="auto" w:fill="auto"/>
            <w:noWrap/>
            <w:vAlign w:val="center"/>
            <w:hideMark/>
          </w:tcPr>
          <w:p w14:paraId="58CB857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13939</w:t>
            </w:r>
          </w:p>
        </w:tc>
        <w:tc>
          <w:tcPr>
            <w:tcW w:w="931" w:type="dxa"/>
            <w:shd w:val="clear" w:color="auto" w:fill="auto"/>
            <w:noWrap/>
            <w:vAlign w:val="center"/>
            <w:hideMark/>
          </w:tcPr>
          <w:p w14:paraId="12CCBB9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7866</w:t>
            </w:r>
          </w:p>
        </w:tc>
        <w:tc>
          <w:tcPr>
            <w:tcW w:w="931" w:type="dxa"/>
            <w:shd w:val="clear" w:color="auto" w:fill="auto"/>
            <w:noWrap/>
            <w:vAlign w:val="center"/>
            <w:hideMark/>
          </w:tcPr>
          <w:p w14:paraId="53466082"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6073</w:t>
            </w:r>
          </w:p>
        </w:tc>
        <w:tc>
          <w:tcPr>
            <w:tcW w:w="928" w:type="dxa"/>
            <w:shd w:val="clear" w:color="auto" w:fill="auto"/>
            <w:noWrap/>
            <w:vAlign w:val="center"/>
            <w:hideMark/>
          </w:tcPr>
          <w:p w14:paraId="4DF1395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4515</w:t>
            </w:r>
          </w:p>
        </w:tc>
        <w:tc>
          <w:tcPr>
            <w:tcW w:w="927" w:type="dxa"/>
            <w:shd w:val="clear" w:color="auto" w:fill="auto"/>
            <w:noWrap/>
            <w:vAlign w:val="center"/>
            <w:hideMark/>
          </w:tcPr>
          <w:p w14:paraId="3A31777A"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2635</w:t>
            </w:r>
          </w:p>
        </w:tc>
        <w:tc>
          <w:tcPr>
            <w:tcW w:w="976" w:type="dxa"/>
            <w:shd w:val="clear" w:color="auto" w:fill="auto"/>
            <w:noWrap/>
            <w:vAlign w:val="center"/>
            <w:hideMark/>
          </w:tcPr>
          <w:p w14:paraId="16C157FE"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1880</w:t>
            </w:r>
          </w:p>
        </w:tc>
        <w:tc>
          <w:tcPr>
            <w:tcW w:w="756" w:type="dxa"/>
            <w:vAlign w:val="center"/>
          </w:tcPr>
          <w:p w14:paraId="1259687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1.123</w:t>
            </w:r>
          </w:p>
        </w:tc>
        <w:tc>
          <w:tcPr>
            <w:tcW w:w="1470" w:type="dxa"/>
            <w:vAlign w:val="center"/>
          </w:tcPr>
          <w:p w14:paraId="0B0A6C9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1.046 1.207</w:t>
            </w:r>
          </w:p>
        </w:tc>
        <w:tc>
          <w:tcPr>
            <w:tcW w:w="850" w:type="dxa"/>
            <w:vAlign w:val="center"/>
          </w:tcPr>
          <w:p w14:paraId="29F5776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0.001</w:t>
            </w:r>
          </w:p>
        </w:tc>
      </w:tr>
      <w:tr w:rsidR="009A19FE" w:rsidRPr="004D22ED" w14:paraId="35E344E7" w14:textId="77777777" w:rsidTr="00A21E24">
        <w:trPr>
          <w:trHeight w:val="270"/>
          <w:jc w:val="center"/>
        </w:trPr>
        <w:tc>
          <w:tcPr>
            <w:tcW w:w="993" w:type="dxa"/>
            <w:tcBorders>
              <w:bottom w:val="single" w:sz="12" w:space="0" w:color="auto"/>
            </w:tcBorders>
            <w:shd w:val="clear" w:color="auto" w:fill="auto"/>
            <w:noWrap/>
            <w:vAlign w:val="center"/>
            <w:hideMark/>
          </w:tcPr>
          <w:p w14:paraId="2617476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 81</w:t>
            </w:r>
          </w:p>
        </w:tc>
        <w:tc>
          <w:tcPr>
            <w:tcW w:w="1080" w:type="dxa"/>
            <w:tcBorders>
              <w:bottom w:val="single" w:sz="12" w:space="0" w:color="auto"/>
            </w:tcBorders>
            <w:vAlign w:val="center"/>
          </w:tcPr>
          <w:p w14:paraId="661BA69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18.65</w:t>
            </w:r>
          </w:p>
        </w:tc>
        <w:tc>
          <w:tcPr>
            <w:tcW w:w="931" w:type="dxa"/>
            <w:tcBorders>
              <w:bottom w:val="single" w:sz="12" w:space="0" w:color="auto"/>
            </w:tcBorders>
            <w:shd w:val="clear" w:color="auto" w:fill="auto"/>
            <w:noWrap/>
            <w:vAlign w:val="center"/>
            <w:hideMark/>
          </w:tcPr>
          <w:p w14:paraId="4DD2DD1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2488</w:t>
            </w:r>
          </w:p>
        </w:tc>
        <w:tc>
          <w:tcPr>
            <w:tcW w:w="931" w:type="dxa"/>
            <w:tcBorders>
              <w:bottom w:val="single" w:sz="12" w:space="0" w:color="auto"/>
            </w:tcBorders>
            <w:shd w:val="clear" w:color="auto" w:fill="auto"/>
            <w:noWrap/>
            <w:vAlign w:val="center"/>
            <w:hideMark/>
          </w:tcPr>
          <w:p w14:paraId="2D78032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1621</w:t>
            </w:r>
          </w:p>
        </w:tc>
        <w:tc>
          <w:tcPr>
            <w:tcW w:w="931" w:type="dxa"/>
            <w:tcBorders>
              <w:bottom w:val="single" w:sz="12" w:space="0" w:color="auto"/>
            </w:tcBorders>
            <w:shd w:val="clear" w:color="auto" w:fill="auto"/>
            <w:noWrap/>
            <w:vAlign w:val="center"/>
            <w:hideMark/>
          </w:tcPr>
          <w:p w14:paraId="701E0CE4"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867</w:t>
            </w:r>
          </w:p>
        </w:tc>
        <w:tc>
          <w:tcPr>
            <w:tcW w:w="928" w:type="dxa"/>
            <w:tcBorders>
              <w:bottom w:val="single" w:sz="12" w:space="0" w:color="auto"/>
            </w:tcBorders>
            <w:shd w:val="clear" w:color="auto" w:fill="auto"/>
            <w:noWrap/>
            <w:vAlign w:val="center"/>
            <w:hideMark/>
          </w:tcPr>
          <w:p w14:paraId="4BE16E3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464</w:t>
            </w:r>
          </w:p>
        </w:tc>
        <w:tc>
          <w:tcPr>
            <w:tcW w:w="927" w:type="dxa"/>
            <w:tcBorders>
              <w:bottom w:val="single" w:sz="12" w:space="0" w:color="auto"/>
            </w:tcBorders>
            <w:shd w:val="clear" w:color="auto" w:fill="auto"/>
            <w:noWrap/>
            <w:vAlign w:val="center"/>
            <w:hideMark/>
          </w:tcPr>
          <w:p w14:paraId="224E9A63"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306</w:t>
            </w:r>
          </w:p>
        </w:tc>
        <w:tc>
          <w:tcPr>
            <w:tcW w:w="976" w:type="dxa"/>
            <w:tcBorders>
              <w:bottom w:val="single" w:sz="12" w:space="0" w:color="auto"/>
            </w:tcBorders>
            <w:shd w:val="clear" w:color="auto" w:fill="auto"/>
            <w:noWrap/>
            <w:vAlign w:val="center"/>
            <w:hideMark/>
          </w:tcPr>
          <w:p w14:paraId="3C859059" w14:textId="77777777" w:rsidR="005315A5" w:rsidRPr="004D22ED" w:rsidRDefault="005315A5" w:rsidP="004D22ED">
            <w:pPr>
              <w:adjustRightInd w:val="0"/>
              <w:snapToGrid w:val="0"/>
              <w:spacing w:line="360" w:lineRule="auto"/>
              <w:jc w:val="both"/>
              <w:rPr>
                <w:rFonts w:ascii="Book Antiqua" w:eastAsia="SimSun" w:hAnsi="Book Antiqua"/>
                <w:bCs/>
              </w:rPr>
            </w:pPr>
            <w:r w:rsidRPr="004D22ED">
              <w:rPr>
                <w:rFonts w:ascii="Book Antiqua" w:eastAsia="SimSun" w:hAnsi="Book Antiqua"/>
                <w:bCs/>
              </w:rPr>
              <w:t>158</w:t>
            </w:r>
          </w:p>
        </w:tc>
        <w:tc>
          <w:tcPr>
            <w:tcW w:w="756" w:type="dxa"/>
            <w:tcBorders>
              <w:bottom w:val="single" w:sz="12" w:space="0" w:color="auto"/>
            </w:tcBorders>
            <w:vAlign w:val="center"/>
          </w:tcPr>
          <w:p w14:paraId="6AFF6BA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1.044</w:t>
            </w:r>
          </w:p>
        </w:tc>
        <w:tc>
          <w:tcPr>
            <w:tcW w:w="1470" w:type="dxa"/>
            <w:tcBorders>
              <w:bottom w:val="single" w:sz="12" w:space="0" w:color="auto"/>
            </w:tcBorders>
            <w:vAlign w:val="center"/>
          </w:tcPr>
          <w:p w14:paraId="63D14D1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0.844 1.292</w:t>
            </w:r>
          </w:p>
        </w:tc>
        <w:tc>
          <w:tcPr>
            <w:tcW w:w="850" w:type="dxa"/>
            <w:tcBorders>
              <w:bottom w:val="single" w:sz="12" w:space="0" w:color="auto"/>
            </w:tcBorders>
            <w:vAlign w:val="center"/>
          </w:tcPr>
          <w:p w14:paraId="6F87556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0.690</w:t>
            </w:r>
          </w:p>
        </w:tc>
      </w:tr>
    </w:tbl>
    <w:p w14:paraId="6AD723AA" w14:textId="77777777" w:rsidR="005315A5" w:rsidRPr="004D22ED" w:rsidRDefault="005315A5" w:rsidP="004D22ED">
      <w:pPr>
        <w:pStyle w:val="1"/>
        <w:adjustRightInd w:val="0"/>
        <w:snapToGrid w:val="0"/>
        <w:spacing w:line="360" w:lineRule="auto"/>
        <w:rPr>
          <w:rFonts w:ascii="Book Antiqua" w:hAnsi="Book Antiqua"/>
          <w:sz w:val="24"/>
          <w:szCs w:val="24"/>
        </w:rPr>
      </w:pPr>
      <w:r w:rsidRPr="004D22ED">
        <w:rPr>
          <w:rFonts w:ascii="Book Antiqua" w:hAnsi="Book Antiqua" w:cs="Arial"/>
          <w:sz w:val="24"/>
          <w:szCs w:val="24"/>
          <w:shd w:val="clear" w:color="auto" w:fill="FFFFFF"/>
          <w:vertAlign w:val="superscript"/>
        </w:rPr>
        <w:t>a</w:t>
      </w:r>
      <w:r w:rsidRPr="004D22ED">
        <w:rPr>
          <w:rFonts w:ascii="Book Antiqua" w:eastAsia="SimSun" w:hAnsi="Book Antiqua"/>
          <w:sz w:val="24"/>
          <w:szCs w:val="24"/>
        </w:rPr>
        <w:t>95%confidence interval (lower bound, upper bound). CI: C</w:t>
      </w:r>
      <w:r w:rsidRPr="004D22ED">
        <w:rPr>
          <w:rFonts w:ascii="Book Antiqua" w:hAnsi="Book Antiqua"/>
          <w:sz w:val="24"/>
          <w:szCs w:val="24"/>
        </w:rPr>
        <w:t xml:space="preserve">onfidence interval; </w:t>
      </w:r>
      <w:r w:rsidRPr="004D22ED">
        <w:rPr>
          <w:rFonts w:ascii="Book Antiqua" w:eastAsia="SimSun" w:hAnsi="Book Antiqua"/>
          <w:i/>
          <w:sz w:val="24"/>
          <w:szCs w:val="24"/>
        </w:rPr>
        <w:t>H</w:t>
      </w:r>
      <w:r w:rsidRPr="004D22ED">
        <w:rPr>
          <w:rFonts w:ascii="Book Antiqua" w:eastAsia="SimSun" w:hAnsi="Book Antiqua"/>
          <w:sz w:val="24"/>
          <w:szCs w:val="24"/>
        </w:rPr>
        <w:t xml:space="preserve">. </w:t>
      </w:r>
      <w:r w:rsidRPr="004D22ED">
        <w:rPr>
          <w:rFonts w:ascii="Book Antiqua" w:eastAsia="SimSun" w:hAnsi="Book Antiqua"/>
          <w:i/>
          <w:sz w:val="24"/>
          <w:szCs w:val="24"/>
        </w:rPr>
        <w:t>pylori</w:t>
      </w:r>
      <w:r w:rsidRPr="004D22ED">
        <w:rPr>
          <w:rFonts w:ascii="Book Antiqua" w:eastAsia="SimSun" w:hAnsi="Book Antiqua"/>
          <w:iCs/>
          <w:sz w:val="24"/>
          <w:szCs w:val="24"/>
        </w:rPr>
        <w:t>:</w:t>
      </w:r>
      <w:r w:rsidRPr="004D22ED">
        <w:rPr>
          <w:rFonts w:ascii="Book Antiqua" w:eastAsia="SimSun" w:hAnsi="Book Antiqua"/>
          <w:i/>
          <w:sz w:val="24"/>
          <w:szCs w:val="24"/>
        </w:rPr>
        <w:t xml:space="preserve"> </w:t>
      </w:r>
      <w:r w:rsidRPr="004D22ED">
        <w:rPr>
          <w:rFonts w:ascii="Book Antiqua" w:eastAsia="Book Antiqua" w:hAnsi="Book Antiqua" w:cs="Book Antiqua"/>
          <w:i/>
          <w:sz w:val="24"/>
          <w:szCs w:val="24"/>
        </w:rPr>
        <w:t>Helicobacter pylori</w:t>
      </w:r>
      <w:r w:rsidRPr="004D22ED">
        <w:rPr>
          <w:rFonts w:ascii="Book Antiqua" w:eastAsia="Book Antiqua" w:hAnsi="Book Antiqua" w:cs="Book Antiqua"/>
          <w:iCs/>
          <w:sz w:val="24"/>
          <w:szCs w:val="24"/>
        </w:rPr>
        <w:t>.</w:t>
      </w:r>
    </w:p>
    <w:p w14:paraId="5A80111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br w:type="page"/>
      </w:r>
    </w:p>
    <w:p w14:paraId="7E1D7626" w14:textId="1B096D5C" w:rsidR="005315A5" w:rsidRPr="004D22ED" w:rsidRDefault="005315A5" w:rsidP="004D22ED">
      <w:pPr>
        <w:autoSpaceDE w:val="0"/>
        <w:autoSpaceDN w:val="0"/>
        <w:adjustRightInd w:val="0"/>
        <w:snapToGrid w:val="0"/>
        <w:spacing w:line="360" w:lineRule="auto"/>
        <w:jc w:val="both"/>
        <w:rPr>
          <w:rFonts w:ascii="Book Antiqua" w:eastAsia="SimSun" w:hAnsi="Book Antiqua"/>
          <w:b/>
          <w:bCs/>
        </w:rPr>
      </w:pPr>
      <w:r w:rsidRPr="004D22ED">
        <w:rPr>
          <w:rFonts w:ascii="Book Antiqua" w:eastAsia="SimSun" w:hAnsi="Book Antiqua"/>
          <w:b/>
          <w:bCs/>
        </w:rPr>
        <w:lastRenderedPageBreak/>
        <w:t xml:space="preserve">Table 2 The multiple-drug resistance of </w:t>
      </w:r>
      <w:r w:rsidRPr="004D22ED">
        <w:rPr>
          <w:rFonts w:ascii="Book Antiqua" w:eastAsia="SimSun" w:hAnsi="Book Antiqua"/>
          <w:b/>
          <w:bCs/>
          <w:i/>
        </w:rPr>
        <w:t>H</w:t>
      </w:r>
      <w:r w:rsidRPr="004D22ED">
        <w:rPr>
          <w:rFonts w:ascii="Book Antiqua" w:eastAsia="SimSun" w:hAnsi="Book Antiqua"/>
          <w:b/>
          <w:bCs/>
        </w:rPr>
        <w:t xml:space="preserve">. </w:t>
      </w:r>
      <w:r w:rsidRPr="004D22ED">
        <w:rPr>
          <w:rFonts w:ascii="Book Antiqua" w:eastAsia="SimSun" w:hAnsi="Book Antiqua"/>
          <w:b/>
          <w:bCs/>
          <w:i/>
        </w:rPr>
        <w:t>pylori</w:t>
      </w:r>
      <w:r w:rsidRPr="004D22ED">
        <w:rPr>
          <w:rFonts w:ascii="Book Antiqua" w:eastAsia="SimSun" w:hAnsi="Book Antiqua"/>
          <w:b/>
          <w:bCs/>
        </w:rPr>
        <w:t xml:space="preserve"> to the four antibacterial drugs</w:t>
      </w:r>
      <w:r w:rsidR="0072429E">
        <w:rPr>
          <w:rFonts w:ascii="Book Antiqua" w:eastAsia="SimSun" w:hAnsi="Book Antiqua"/>
          <w:b/>
          <w:bCs/>
        </w:rPr>
        <w:t>,</w:t>
      </w:r>
      <w:r w:rsidRPr="004D22ED">
        <w:rPr>
          <w:rFonts w:ascii="Book Antiqua" w:eastAsia="SimSun" w:hAnsi="Book Antiqua"/>
          <w:b/>
          <w:bCs/>
        </w:rPr>
        <w:t xml:space="preserve"> </w:t>
      </w:r>
      <w:r w:rsidRPr="004D22ED">
        <w:rPr>
          <w:rFonts w:ascii="Book Antiqua" w:eastAsia="SimSun" w:hAnsi="Book Antiqua"/>
          <w:b/>
          <w:bCs/>
          <w:i/>
          <w:iCs/>
        </w:rPr>
        <w:t>n</w:t>
      </w:r>
    </w:p>
    <w:tbl>
      <w:tblPr>
        <w:tblW w:w="5738" w:type="dxa"/>
        <w:jc w:val="center"/>
        <w:tblLook w:val="04A0" w:firstRow="1" w:lastRow="0" w:firstColumn="1" w:lastColumn="0" w:noHBand="0" w:noVBand="1"/>
      </w:tblPr>
      <w:tblGrid>
        <w:gridCol w:w="3004"/>
        <w:gridCol w:w="876"/>
        <w:gridCol w:w="876"/>
        <w:gridCol w:w="1003"/>
      </w:tblGrid>
      <w:tr w:rsidR="009A19FE" w:rsidRPr="004D22ED" w14:paraId="63DFD4D7" w14:textId="77777777" w:rsidTr="004D2B14">
        <w:trPr>
          <w:trHeight w:val="270"/>
          <w:jc w:val="center"/>
        </w:trPr>
        <w:tc>
          <w:tcPr>
            <w:tcW w:w="3004" w:type="dxa"/>
            <w:tcBorders>
              <w:top w:val="single" w:sz="12" w:space="0" w:color="auto"/>
              <w:left w:val="nil"/>
              <w:bottom w:val="single" w:sz="4" w:space="0" w:color="auto"/>
              <w:right w:val="nil"/>
            </w:tcBorders>
            <w:shd w:val="clear" w:color="auto" w:fill="auto"/>
            <w:noWrap/>
            <w:vAlign w:val="bottom"/>
            <w:hideMark/>
          </w:tcPr>
          <w:p w14:paraId="4B4A903B" w14:textId="77777777" w:rsidR="005315A5" w:rsidRPr="004D22ED" w:rsidRDefault="005315A5" w:rsidP="004D22ED">
            <w:pPr>
              <w:adjustRightInd w:val="0"/>
              <w:snapToGrid w:val="0"/>
              <w:spacing w:line="360" w:lineRule="auto"/>
              <w:jc w:val="both"/>
              <w:rPr>
                <w:rFonts w:ascii="Book Antiqua" w:eastAsia="Times New Roman" w:hAnsi="Book Antiqua"/>
                <w:b/>
                <w:bCs/>
              </w:rPr>
            </w:pPr>
            <w:r w:rsidRPr="004D22ED">
              <w:rPr>
                <w:rFonts w:ascii="Book Antiqua" w:eastAsia="SimSun" w:hAnsi="Book Antiqua"/>
                <w:b/>
                <w:bCs/>
              </w:rPr>
              <w:t>Antibacterial drugs</w:t>
            </w:r>
          </w:p>
        </w:tc>
        <w:tc>
          <w:tcPr>
            <w:tcW w:w="876" w:type="dxa"/>
            <w:tcBorders>
              <w:top w:val="single" w:sz="12" w:space="0" w:color="auto"/>
              <w:left w:val="nil"/>
              <w:bottom w:val="single" w:sz="4" w:space="0" w:color="auto"/>
              <w:right w:val="nil"/>
            </w:tcBorders>
            <w:shd w:val="clear" w:color="auto" w:fill="auto"/>
            <w:noWrap/>
            <w:vAlign w:val="bottom"/>
            <w:hideMark/>
          </w:tcPr>
          <w:p w14:paraId="068C0E2A"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Total</w:t>
            </w:r>
          </w:p>
        </w:tc>
        <w:tc>
          <w:tcPr>
            <w:tcW w:w="876" w:type="dxa"/>
            <w:tcBorders>
              <w:top w:val="single" w:sz="12" w:space="0" w:color="auto"/>
              <w:left w:val="nil"/>
              <w:bottom w:val="single" w:sz="4" w:space="0" w:color="auto"/>
              <w:right w:val="nil"/>
            </w:tcBorders>
            <w:shd w:val="clear" w:color="auto" w:fill="auto"/>
            <w:noWrap/>
            <w:vAlign w:val="bottom"/>
            <w:hideMark/>
          </w:tcPr>
          <w:p w14:paraId="460815DC"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Male</w:t>
            </w:r>
          </w:p>
        </w:tc>
        <w:tc>
          <w:tcPr>
            <w:tcW w:w="982" w:type="dxa"/>
            <w:tcBorders>
              <w:top w:val="single" w:sz="12" w:space="0" w:color="auto"/>
              <w:left w:val="nil"/>
              <w:bottom w:val="single" w:sz="4" w:space="0" w:color="auto"/>
              <w:right w:val="nil"/>
            </w:tcBorders>
            <w:shd w:val="clear" w:color="auto" w:fill="auto"/>
            <w:noWrap/>
            <w:vAlign w:val="bottom"/>
            <w:hideMark/>
          </w:tcPr>
          <w:p w14:paraId="3F3B6007" w14:textId="77777777" w:rsidR="005315A5" w:rsidRPr="004D22ED" w:rsidRDefault="005315A5" w:rsidP="004D22ED">
            <w:pPr>
              <w:adjustRightInd w:val="0"/>
              <w:snapToGrid w:val="0"/>
              <w:spacing w:line="360" w:lineRule="auto"/>
              <w:jc w:val="both"/>
              <w:rPr>
                <w:rFonts w:ascii="Book Antiqua" w:eastAsia="SimSun" w:hAnsi="Book Antiqua"/>
                <w:b/>
                <w:bCs/>
              </w:rPr>
            </w:pPr>
            <w:r w:rsidRPr="004D22ED">
              <w:rPr>
                <w:rFonts w:ascii="Book Antiqua" w:eastAsia="SimSun" w:hAnsi="Book Antiqua"/>
                <w:b/>
                <w:bCs/>
              </w:rPr>
              <w:t>Female</w:t>
            </w:r>
          </w:p>
        </w:tc>
      </w:tr>
      <w:tr w:rsidR="009A19FE" w:rsidRPr="004D22ED" w14:paraId="76EB06AC" w14:textId="77777777" w:rsidTr="004D2B14">
        <w:trPr>
          <w:trHeight w:val="270"/>
          <w:jc w:val="center"/>
        </w:trPr>
        <w:tc>
          <w:tcPr>
            <w:tcW w:w="3004" w:type="dxa"/>
            <w:tcBorders>
              <w:top w:val="nil"/>
              <w:left w:val="nil"/>
              <w:bottom w:val="nil"/>
              <w:right w:val="nil"/>
            </w:tcBorders>
            <w:shd w:val="clear" w:color="auto" w:fill="auto"/>
            <w:noWrap/>
            <w:vAlign w:val="bottom"/>
          </w:tcPr>
          <w:p w14:paraId="1CF5365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Sensitive</w:t>
            </w:r>
            <w:r w:rsidRPr="004D22ED">
              <w:rPr>
                <w:rFonts w:ascii="Book Antiqua" w:hAnsi="Book Antiqua" w:cs="Arial"/>
                <w:shd w:val="clear" w:color="auto" w:fill="FFFFFF"/>
                <w:vertAlign w:val="superscript"/>
              </w:rPr>
              <w:t>a</w:t>
            </w:r>
          </w:p>
        </w:tc>
        <w:tc>
          <w:tcPr>
            <w:tcW w:w="876" w:type="dxa"/>
            <w:tcBorders>
              <w:top w:val="nil"/>
              <w:left w:val="nil"/>
              <w:bottom w:val="nil"/>
              <w:right w:val="nil"/>
            </w:tcBorders>
            <w:shd w:val="clear" w:color="auto" w:fill="auto"/>
            <w:noWrap/>
          </w:tcPr>
          <w:p w14:paraId="06317EB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4314</w:t>
            </w:r>
          </w:p>
        </w:tc>
        <w:tc>
          <w:tcPr>
            <w:tcW w:w="876" w:type="dxa"/>
            <w:tcBorders>
              <w:top w:val="nil"/>
              <w:left w:val="nil"/>
              <w:bottom w:val="nil"/>
              <w:right w:val="nil"/>
            </w:tcBorders>
            <w:shd w:val="clear" w:color="auto" w:fill="auto"/>
            <w:noWrap/>
          </w:tcPr>
          <w:p w14:paraId="33D722A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2485</w:t>
            </w:r>
          </w:p>
        </w:tc>
        <w:tc>
          <w:tcPr>
            <w:tcW w:w="982" w:type="dxa"/>
            <w:tcBorders>
              <w:top w:val="nil"/>
              <w:left w:val="nil"/>
              <w:bottom w:val="nil"/>
              <w:right w:val="nil"/>
            </w:tcBorders>
            <w:shd w:val="clear" w:color="auto" w:fill="auto"/>
            <w:noWrap/>
          </w:tcPr>
          <w:p w14:paraId="5F5910E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1829</w:t>
            </w:r>
          </w:p>
        </w:tc>
      </w:tr>
      <w:tr w:rsidR="009A19FE" w:rsidRPr="004D22ED" w14:paraId="293969A0" w14:textId="77777777" w:rsidTr="004D2B14">
        <w:trPr>
          <w:trHeight w:val="270"/>
          <w:jc w:val="center"/>
        </w:trPr>
        <w:tc>
          <w:tcPr>
            <w:tcW w:w="3004" w:type="dxa"/>
            <w:tcBorders>
              <w:top w:val="nil"/>
              <w:left w:val="nil"/>
              <w:bottom w:val="nil"/>
              <w:right w:val="nil"/>
            </w:tcBorders>
            <w:shd w:val="clear" w:color="auto" w:fill="auto"/>
            <w:noWrap/>
            <w:vAlign w:val="bottom"/>
          </w:tcPr>
          <w:p w14:paraId="316BE5A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w:t>
            </w:r>
          </w:p>
        </w:tc>
        <w:tc>
          <w:tcPr>
            <w:tcW w:w="876" w:type="dxa"/>
            <w:tcBorders>
              <w:top w:val="nil"/>
              <w:left w:val="nil"/>
              <w:bottom w:val="nil"/>
              <w:right w:val="nil"/>
            </w:tcBorders>
            <w:shd w:val="clear" w:color="auto" w:fill="auto"/>
            <w:noWrap/>
            <w:vAlign w:val="bottom"/>
          </w:tcPr>
          <w:p w14:paraId="13550FC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626</w:t>
            </w:r>
          </w:p>
        </w:tc>
        <w:tc>
          <w:tcPr>
            <w:tcW w:w="876" w:type="dxa"/>
            <w:tcBorders>
              <w:top w:val="nil"/>
              <w:left w:val="nil"/>
              <w:bottom w:val="nil"/>
              <w:right w:val="nil"/>
            </w:tcBorders>
            <w:shd w:val="clear" w:color="auto" w:fill="auto"/>
            <w:noWrap/>
            <w:vAlign w:val="bottom"/>
          </w:tcPr>
          <w:p w14:paraId="414A36C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362</w:t>
            </w:r>
          </w:p>
        </w:tc>
        <w:tc>
          <w:tcPr>
            <w:tcW w:w="982" w:type="dxa"/>
            <w:tcBorders>
              <w:top w:val="nil"/>
              <w:left w:val="nil"/>
              <w:bottom w:val="nil"/>
              <w:right w:val="nil"/>
            </w:tcBorders>
            <w:shd w:val="clear" w:color="auto" w:fill="auto"/>
            <w:noWrap/>
            <w:vAlign w:val="bottom"/>
          </w:tcPr>
          <w:p w14:paraId="57245E1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264</w:t>
            </w:r>
          </w:p>
        </w:tc>
      </w:tr>
      <w:tr w:rsidR="009A19FE" w:rsidRPr="004D22ED" w14:paraId="29D3A5A8" w14:textId="77777777" w:rsidTr="004D2B14">
        <w:trPr>
          <w:trHeight w:val="270"/>
          <w:jc w:val="center"/>
        </w:trPr>
        <w:tc>
          <w:tcPr>
            <w:tcW w:w="3004" w:type="dxa"/>
            <w:tcBorders>
              <w:top w:val="nil"/>
              <w:left w:val="nil"/>
              <w:bottom w:val="nil"/>
              <w:right w:val="nil"/>
            </w:tcBorders>
            <w:shd w:val="clear" w:color="auto" w:fill="auto"/>
            <w:noWrap/>
            <w:vAlign w:val="bottom"/>
          </w:tcPr>
          <w:p w14:paraId="1A95E27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CLA</w:t>
            </w:r>
          </w:p>
        </w:tc>
        <w:tc>
          <w:tcPr>
            <w:tcW w:w="876" w:type="dxa"/>
            <w:tcBorders>
              <w:top w:val="nil"/>
              <w:left w:val="nil"/>
              <w:bottom w:val="nil"/>
              <w:right w:val="nil"/>
            </w:tcBorders>
            <w:shd w:val="clear" w:color="auto" w:fill="auto"/>
            <w:noWrap/>
            <w:vAlign w:val="bottom"/>
          </w:tcPr>
          <w:p w14:paraId="031E943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557</w:t>
            </w:r>
          </w:p>
        </w:tc>
        <w:tc>
          <w:tcPr>
            <w:tcW w:w="876" w:type="dxa"/>
            <w:tcBorders>
              <w:top w:val="nil"/>
              <w:left w:val="nil"/>
              <w:bottom w:val="nil"/>
              <w:right w:val="nil"/>
            </w:tcBorders>
            <w:shd w:val="clear" w:color="auto" w:fill="auto"/>
            <w:noWrap/>
            <w:vAlign w:val="bottom"/>
          </w:tcPr>
          <w:p w14:paraId="47284A9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332</w:t>
            </w:r>
          </w:p>
        </w:tc>
        <w:tc>
          <w:tcPr>
            <w:tcW w:w="982" w:type="dxa"/>
            <w:tcBorders>
              <w:top w:val="nil"/>
              <w:left w:val="nil"/>
              <w:bottom w:val="nil"/>
              <w:right w:val="nil"/>
            </w:tcBorders>
            <w:shd w:val="clear" w:color="auto" w:fill="auto"/>
            <w:noWrap/>
            <w:vAlign w:val="bottom"/>
          </w:tcPr>
          <w:p w14:paraId="6FC3139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225</w:t>
            </w:r>
          </w:p>
        </w:tc>
      </w:tr>
      <w:tr w:rsidR="009A19FE" w:rsidRPr="004D22ED" w14:paraId="7A58D9AC"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786E63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MTR</w:t>
            </w:r>
          </w:p>
        </w:tc>
        <w:tc>
          <w:tcPr>
            <w:tcW w:w="876" w:type="dxa"/>
            <w:tcBorders>
              <w:top w:val="nil"/>
              <w:left w:val="nil"/>
              <w:bottom w:val="nil"/>
              <w:right w:val="nil"/>
            </w:tcBorders>
            <w:shd w:val="clear" w:color="auto" w:fill="auto"/>
            <w:noWrap/>
            <w:vAlign w:val="bottom"/>
            <w:hideMark/>
          </w:tcPr>
          <w:p w14:paraId="4D39963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50413</w:t>
            </w:r>
          </w:p>
        </w:tc>
        <w:tc>
          <w:tcPr>
            <w:tcW w:w="876" w:type="dxa"/>
            <w:tcBorders>
              <w:top w:val="nil"/>
              <w:left w:val="nil"/>
              <w:bottom w:val="nil"/>
              <w:right w:val="nil"/>
            </w:tcBorders>
            <w:shd w:val="clear" w:color="auto" w:fill="auto"/>
            <w:noWrap/>
            <w:vAlign w:val="bottom"/>
            <w:hideMark/>
          </w:tcPr>
          <w:p w14:paraId="35442FC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26642</w:t>
            </w:r>
          </w:p>
        </w:tc>
        <w:tc>
          <w:tcPr>
            <w:tcW w:w="982" w:type="dxa"/>
            <w:tcBorders>
              <w:top w:val="nil"/>
              <w:left w:val="nil"/>
              <w:bottom w:val="nil"/>
              <w:right w:val="nil"/>
            </w:tcBorders>
            <w:shd w:val="clear" w:color="auto" w:fill="auto"/>
            <w:noWrap/>
            <w:vAlign w:val="bottom"/>
            <w:hideMark/>
          </w:tcPr>
          <w:p w14:paraId="13E95B1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23771</w:t>
            </w:r>
          </w:p>
        </w:tc>
      </w:tr>
      <w:tr w:rsidR="009A19FE" w:rsidRPr="004D22ED" w14:paraId="1AFEE4C7"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DA3848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AMX</w:t>
            </w:r>
          </w:p>
        </w:tc>
        <w:tc>
          <w:tcPr>
            <w:tcW w:w="876" w:type="dxa"/>
            <w:tcBorders>
              <w:top w:val="nil"/>
              <w:left w:val="nil"/>
              <w:bottom w:val="nil"/>
              <w:right w:val="nil"/>
            </w:tcBorders>
            <w:shd w:val="clear" w:color="auto" w:fill="auto"/>
            <w:noWrap/>
            <w:vAlign w:val="bottom"/>
            <w:hideMark/>
          </w:tcPr>
          <w:p w14:paraId="452048B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c>
          <w:tcPr>
            <w:tcW w:w="876" w:type="dxa"/>
            <w:tcBorders>
              <w:top w:val="nil"/>
              <w:left w:val="nil"/>
              <w:bottom w:val="nil"/>
              <w:right w:val="nil"/>
            </w:tcBorders>
            <w:shd w:val="clear" w:color="auto" w:fill="auto"/>
            <w:noWrap/>
            <w:vAlign w:val="bottom"/>
            <w:hideMark/>
          </w:tcPr>
          <w:p w14:paraId="0292A99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c>
          <w:tcPr>
            <w:tcW w:w="982" w:type="dxa"/>
            <w:tcBorders>
              <w:top w:val="nil"/>
              <w:left w:val="nil"/>
              <w:bottom w:val="nil"/>
              <w:right w:val="nil"/>
            </w:tcBorders>
            <w:shd w:val="clear" w:color="auto" w:fill="auto"/>
            <w:noWrap/>
            <w:vAlign w:val="bottom"/>
            <w:hideMark/>
          </w:tcPr>
          <w:p w14:paraId="4F80CB2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r>
      <w:tr w:rsidR="009A19FE" w:rsidRPr="004D22ED" w14:paraId="6B501C96"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F9B5A9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CLA</w:t>
            </w:r>
          </w:p>
        </w:tc>
        <w:tc>
          <w:tcPr>
            <w:tcW w:w="876" w:type="dxa"/>
            <w:tcBorders>
              <w:top w:val="nil"/>
              <w:left w:val="nil"/>
              <w:bottom w:val="nil"/>
              <w:right w:val="nil"/>
            </w:tcBorders>
            <w:shd w:val="clear" w:color="auto" w:fill="auto"/>
            <w:noWrap/>
            <w:vAlign w:val="bottom"/>
            <w:hideMark/>
          </w:tcPr>
          <w:p w14:paraId="45EF4AD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444</w:t>
            </w:r>
          </w:p>
        </w:tc>
        <w:tc>
          <w:tcPr>
            <w:tcW w:w="876" w:type="dxa"/>
            <w:tcBorders>
              <w:top w:val="nil"/>
              <w:left w:val="nil"/>
              <w:bottom w:val="nil"/>
              <w:right w:val="nil"/>
            </w:tcBorders>
            <w:shd w:val="clear" w:color="auto" w:fill="auto"/>
            <w:noWrap/>
            <w:vAlign w:val="bottom"/>
            <w:hideMark/>
          </w:tcPr>
          <w:p w14:paraId="0816065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234</w:t>
            </w:r>
          </w:p>
        </w:tc>
        <w:tc>
          <w:tcPr>
            <w:tcW w:w="982" w:type="dxa"/>
            <w:tcBorders>
              <w:top w:val="nil"/>
              <w:left w:val="nil"/>
              <w:bottom w:val="nil"/>
              <w:right w:val="nil"/>
            </w:tcBorders>
            <w:shd w:val="clear" w:color="auto" w:fill="auto"/>
            <w:noWrap/>
            <w:vAlign w:val="bottom"/>
            <w:hideMark/>
          </w:tcPr>
          <w:p w14:paraId="4FFE56A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210</w:t>
            </w:r>
          </w:p>
        </w:tc>
      </w:tr>
      <w:tr w:rsidR="009A19FE" w:rsidRPr="004D22ED" w14:paraId="0281A532"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7B659C5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MTR</w:t>
            </w:r>
          </w:p>
        </w:tc>
        <w:tc>
          <w:tcPr>
            <w:tcW w:w="876" w:type="dxa"/>
            <w:tcBorders>
              <w:top w:val="nil"/>
              <w:left w:val="nil"/>
              <w:bottom w:val="nil"/>
              <w:right w:val="nil"/>
            </w:tcBorders>
            <w:shd w:val="clear" w:color="auto" w:fill="auto"/>
            <w:noWrap/>
            <w:vAlign w:val="bottom"/>
            <w:hideMark/>
          </w:tcPr>
          <w:p w14:paraId="042C1E4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16419</w:t>
            </w:r>
          </w:p>
        </w:tc>
        <w:tc>
          <w:tcPr>
            <w:tcW w:w="876" w:type="dxa"/>
            <w:tcBorders>
              <w:top w:val="nil"/>
              <w:left w:val="nil"/>
              <w:bottom w:val="nil"/>
              <w:right w:val="nil"/>
            </w:tcBorders>
            <w:shd w:val="clear" w:color="auto" w:fill="auto"/>
            <w:noWrap/>
            <w:vAlign w:val="bottom"/>
            <w:hideMark/>
          </w:tcPr>
          <w:p w14:paraId="2B91A3A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8343</w:t>
            </w:r>
          </w:p>
        </w:tc>
        <w:tc>
          <w:tcPr>
            <w:tcW w:w="982" w:type="dxa"/>
            <w:tcBorders>
              <w:top w:val="nil"/>
              <w:left w:val="nil"/>
              <w:bottom w:val="nil"/>
              <w:right w:val="nil"/>
            </w:tcBorders>
            <w:shd w:val="clear" w:color="auto" w:fill="auto"/>
            <w:noWrap/>
            <w:vAlign w:val="bottom"/>
            <w:hideMark/>
          </w:tcPr>
          <w:p w14:paraId="0D409AD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8076</w:t>
            </w:r>
          </w:p>
        </w:tc>
      </w:tr>
      <w:tr w:rsidR="009A19FE" w:rsidRPr="004D22ED" w14:paraId="6841BF49"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42AB164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AMX</w:t>
            </w:r>
          </w:p>
        </w:tc>
        <w:tc>
          <w:tcPr>
            <w:tcW w:w="876" w:type="dxa"/>
            <w:tcBorders>
              <w:top w:val="nil"/>
              <w:left w:val="nil"/>
              <w:bottom w:val="nil"/>
              <w:right w:val="nil"/>
            </w:tcBorders>
            <w:shd w:val="clear" w:color="auto" w:fill="auto"/>
            <w:noWrap/>
            <w:vAlign w:val="bottom"/>
            <w:hideMark/>
          </w:tcPr>
          <w:p w14:paraId="3882749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w:t>
            </w:r>
          </w:p>
        </w:tc>
        <w:tc>
          <w:tcPr>
            <w:tcW w:w="876" w:type="dxa"/>
            <w:tcBorders>
              <w:top w:val="nil"/>
              <w:left w:val="nil"/>
              <w:bottom w:val="nil"/>
              <w:right w:val="nil"/>
            </w:tcBorders>
            <w:shd w:val="clear" w:color="auto" w:fill="auto"/>
            <w:noWrap/>
            <w:vAlign w:val="bottom"/>
            <w:hideMark/>
          </w:tcPr>
          <w:p w14:paraId="7FBFAAA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w:t>
            </w:r>
          </w:p>
        </w:tc>
        <w:tc>
          <w:tcPr>
            <w:tcW w:w="982" w:type="dxa"/>
            <w:tcBorders>
              <w:top w:val="nil"/>
              <w:left w:val="nil"/>
              <w:bottom w:val="nil"/>
              <w:right w:val="nil"/>
            </w:tcBorders>
            <w:shd w:val="clear" w:color="auto" w:fill="auto"/>
            <w:noWrap/>
            <w:vAlign w:val="bottom"/>
            <w:hideMark/>
          </w:tcPr>
          <w:p w14:paraId="7703CFA4"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r>
      <w:tr w:rsidR="009A19FE" w:rsidRPr="004D22ED" w14:paraId="52DA90E3"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3D54455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CLA + MTR</w:t>
            </w:r>
          </w:p>
        </w:tc>
        <w:tc>
          <w:tcPr>
            <w:tcW w:w="876" w:type="dxa"/>
            <w:tcBorders>
              <w:top w:val="nil"/>
              <w:left w:val="nil"/>
              <w:bottom w:val="nil"/>
              <w:right w:val="nil"/>
            </w:tcBorders>
            <w:shd w:val="clear" w:color="auto" w:fill="auto"/>
            <w:noWrap/>
            <w:vAlign w:val="bottom"/>
            <w:hideMark/>
          </w:tcPr>
          <w:p w14:paraId="64F4CAB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10551</w:t>
            </w:r>
          </w:p>
        </w:tc>
        <w:tc>
          <w:tcPr>
            <w:tcW w:w="876" w:type="dxa"/>
            <w:tcBorders>
              <w:top w:val="nil"/>
              <w:left w:val="nil"/>
              <w:bottom w:val="nil"/>
              <w:right w:val="nil"/>
            </w:tcBorders>
            <w:shd w:val="clear" w:color="auto" w:fill="auto"/>
            <w:noWrap/>
            <w:vAlign w:val="bottom"/>
            <w:hideMark/>
          </w:tcPr>
          <w:p w14:paraId="1E11731F"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5599</w:t>
            </w:r>
          </w:p>
        </w:tc>
        <w:tc>
          <w:tcPr>
            <w:tcW w:w="982" w:type="dxa"/>
            <w:tcBorders>
              <w:top w:val="nil"/>
              <w:left w:val="nil"/>
              <w:bottom w:val="nil"/>
              <w:right w:val="nil"/>
            </w:tcBorders>
            <w:shd w:val="clear" w:color="auto" w:fill="auto"/>
            <w:noWrap/>
            <w:vAlign w:val="bottom"/>
            <w:hideMark/>
          </w:tcPr>
          <w:p w14:paraId="1E7A3F4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4952</w:t>
            </w:r>
          </w:p>
        </w:tc>
      </w:tr>
      <w:tr w:rsidR="009A19FE" w:rsidRPr="004D22ED" w14:paraId="61DAB2BA"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25F5253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CLA + AMX</w:t>
            </w:r>
          </w:p>
        </w:tc>
        <w:tc>
          <w:tcPr>
            <w:tcW w:w="876" w:type="dxa"/>
            <w:tcBorders>
              <w:top w:val="nil"/>
              <w:left w:val="nil"/>
              <w:bottom w:val="nil"/>
              <w:right w:val="nil"/>
            </w:tcBorders>
            <w:shd w:val="clear" w:color="auto" w:fill="auto"/>
            <w:noWrap/>
            <w:vAlign w:val="bottom"/>
            <w:hideMark/>
          </w:tcPr>
          <w:p w14:paraId="48A267A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c>
          <w:tcPr>
            <w:tcW w:w="876" w:type="dxa"/>
            <w:tcBorders>
              <w:top w:val="nil"/>
              <w:left w:val="nil"/>
              <w:bottom w:val="nil"/>
              <w:right w:val="nil"/>
            </w:tcBorders>
            <w:shd w:val="clear" w:color="auto" w:fill="auto"/>
            <w:noWrap/>
            <w:vAlign w:val="bottom"/>
            <w:hideMark/>
          </w:tcPr>
          <w:p w14:paraId="196F715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c>
          <w:tcPr>
            <w:tcW w:w="982" w:type="dxa"/>
            <w:tcBorders>
              <w:top w:val="nil"/>
              <w:left w:val="nil"/>
              <w:bottom w:val="nil"/>
              <w:right w:val="nil"/>
            </w:tcBorders>
            <w:shd w:val="clear" w:color="auto" w:fill="auto"/>
            <w:noWrap/>
            <w:vAlign w:val="bottom"/>
            <w:hideMark/>
          </w:tcPr>
          <w:p w14:paraId="635C2A96"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r>
      <w:tr w:rsidR="009A19FE" w:rsidRPr="004D22ED" w14:paraId="6D4A9B3C"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1E077B8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MTR + AMX</w:t>
            </w:r>
          </w:p>
        </w:tc>
        <w:tc>
          <w:tcPr>
            <w:tcW w:w="876" w:type="dxa"/>
            <w:tcBorders>
              <w:top w:val="nil"/>
              <w:left w:val="nil"/>
              <w:bottom w:val="nil"/>
              <w:right w:val="nil"/>
            </w:tcBorders>
            <w:shd w:val="clear" w:color="auto" w:fill="auto"/>
            <w:noWrap/>
            <w:vAlign w:val="bottom"/>
            <w:hideMark/>
          </w:tcPr>
          <w:p w14:paraId="201B1B2D"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17</w:t>
            </w:r>
          </w:p>
        </w:tc>
        <w:tc>
          <w:tcPr>
            <w:tcW w:w="876" w:type="dxa"/>
            <w:tcBorders>
              <w:top w:val="nil"/>
              <w:left w:val="nil"/>
              <w:bottom w:val="nil"/>
              <w:right w:val="nil"/>
            </w:tcBorders>
            <w:shd w:val="clear" w:color="auto" w:fill="auto"/>
            <w:noWrap/>
            <w:vAlign w:val="bottom"/>
            <w:hideMark/>
          </w:tcPr>
          <w:p w14:paraId="4AEE501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14</w:t>
            </w:r>
          </w:p>
        </w:tc>
        <w:tc>
          <w:tcPr>
            <w:tcW w:w="982" w:type="dxa"/>
            <w:tcBorders>
              <w:top w:val="nil"/>
              <w:left w:val="nil"/>
              <w:bottom w:val="nil"/>
              <w:right w:val="nil"/>
            </w:tcBorders>
            <w:shd w:val="clear" w:color="auto" w:fill="auto"/>
            <w:noWrap/>
            <w:vAlign w:val="bottom"/>
            <w:hideMark/>
          </w:tcPr>
          <w:p w14:paraId="338415F1"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3</w:t>
            </w:r>
          </w:p>
        </w:tc>
      </w:tr>
      <w:tr w:rsidR="009A19FE" w:rsidRPr="004D22ED" w14:paraId="0A7A6808"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6232411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CLA + MTR</w:t>
            </w:r>
          </w:p>
        </w:tc>
        <w:tc>
          <w:tcPr>
            <w:tcW w:w="876" w:type="dxa"/>
            <w:tcBorders>
              <w:top w:val="nil"/>
              <w:left w:val="nil"/>
              <w:bottom w:val="nil"/>
              <w:right w:val="nil"/>
            </w:tcBorders>
            <w:shd w:val="clear" w:color="auto" w:fill="auto"/>
            <w:noWrap/>
            <w:vAlign w:val="bottom"/>
            <w:hideMark/>
          </w:tcPr>
          <w:p w14:paraId="3CF7BF3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10990</w:t>
            </w:r>
          </w:p>
        </w:tc>
        <w:tc>
          <w:tcPr>
            <w:tcW w:w="876" w:type="dxa"/>
            <w:tcBorders>
              <w:top w:val="nil"/>
              <w:left w:val="nil"/>
              <w:bottom w:val="nil"/>
              <w:right w:val="nil"/>
            </w:tcBorders>
            <w:shd w:val="clear" w:color="auto" w:fill="auto"/>
            <w:noWrap/>
            <w:vAlign w:val="bottom"/>
            <w:hideMark/>
          </w:tcPr>
          <w:p w14:paraId="07703D4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5035</w:t>
            </w:r>
          </w:p>
        </w:tc>
        <w:tc>
          <w:tcPr>
            <w:tcW w:w="982" w:type="dxa"/>
            <w:tcBorders>
              <w:top w:val="nil"/>
              <w:left w:val="nil"/>
              <w:bottom w:val="nil"/>
              <w:right w:val="nil"/>
            </w:tcBorders>
            <w:shd w:val="clear" w:color="auto" w:fill="auto"/>
            <w:noWrap/>
            <w:vAlign w:val="bottom"/>
            <w:hideMark/>
          </w:tcPr>
          <w:p w14:paraId="77EAEC5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5955</w:t>
            </w:r>
          </w:p>
        </w:tc>
      </w:tr>
      <w:tr w:rsidR="009A19FE" w:rsidRPr="004D22ED" w14:paraId="47E1EE16"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14F5AFE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CLA + AMX</w:t>
            </w:r>
          </w:p>
        </w:tc>
        <w:tc>
          <w:tcPr>
            <w:tcW w:w="876" w:type="dxa"/>
            <w:tcBorders>
              <w:top w:val="nil"/>
              <w:left w:val="nil"/>
              <w:bottom w:val="nil"/>
              <w:right w:val="nil"/>
            </w:tcBorders>
            <w:shd w:val="clear" w:color="auto" w:fill="auto"/>
            <w:noWrap/>
            <w:vAlign w:val="bottom"/>
            <w:hideMark/>
          </w:tcPr>
          <w:p w14:paraId="306934B0"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c>
          <w:tcPr>
            <w:tcW w:w="876" w:type="dxa"/>
            <w:tcBorders>
              <w:top w:val="nil"/>
              <w:left w:val="nil"/>
              <w:bottom w:val="nil"/>
              <w:right w:val="nil"/>
            </w:tcBorders>
            <w:shd w:val="clear" w:color="auto" w:fill="auto"/>
            <w:noWrap/>
            <w:vAlign w:val="bottom"/>
            <w:hideMark/>
          </w:tcPr>
          <w:p w14:paraId="4F1717A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c>
          <w:tcPr>
            <w:tcW w:w="982" w:type="dxa"/>
            <w:tcBorders>
              <w:top w:val="nil"/>
              <w:left w:val="nil"/>
              <w:bottom w:val="nil"/>
              <w:right w:val="nil"/>
            </w:tcBorders>
            <w:shd w:val="clear" w:color="auto" w:fill="auto"/>
            <w:noWrap/>
            <w:vAlign w:val="bottom"/>
            <w:hideMark/>
          </w:tcPr>
          <w:p w14:paraId="43F27792"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0</w:t>
            </w:r>
          </w:p>
        </w:tc>
      </w:tr>
      <w:tr w:rsidR="009A19FE" w:rsidRPr="004D22ED" w14:paraId="3080A409"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417797DC"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MTR + AMX</w:t>
            </w:r>
          </w:p>
        </w:tc>
        <w:tc>
          <w:tcPr>
            <w:tcW w:w="876" w:type="dxa"/>
            <w:tcBorders>
              <w:top w:val="nil"/>
              <w:left w:val="nil"/>
              <w:bottom w:val="nil"/>
              <w:right w:val="nil"/>
            </w:tcBorders>
            <w:shd w:val="clear" w:color="auto" w:fill="auto"/>
            <w:noWrap/>
            <w:vAlign w:val="bottom"/>
            <w:hideMark/>
          </w:tcPr>
          <w:p w14:paraId="2409B2E8"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48</w:t>
            </w:r>
          </w:p>
        </w:tc>
        <w:tc>
          <w:tcPr>
            <w:tcW w:w="876" w:type="dxa"/>
            <w:tcBorders>
              <w:top w:val="nil"/>
              <w:left w:val="nil"/>
              <w:bottom w:val="nil"/>
              <w:right w:val="nil"/>
            </w:tcBorders>
            <w:shd w:val="clear" w:color="auto" w:fill="auto"/>
            <w:noWrap/>
            <w:vAlign w:val="bottom"/>
            <w:hideMark/>
          </w:tcPr>
          <w:p w14:paraId="23213BE9"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25</w:t>
            </w:r>
          </w:p>
        </w:tc>
        <w:tc>
          <w:tcPr>
            <w:tcW w:w="982" w:type="dxa"/>
            <w:tcBorders>
              <w:top w:val="nil"/>
              <w:left w:val="nil"/>
              <w:bottom w:val="nil"/>
              <w:right w:val="nil"/>
            </w:tcBorders>
            <w:shd w:val="clear" w:color="auto" w:fill="auto"/>
            <w:noWrap/>
            <w:vAlign w:val="bottom"/>
            <w:hideMark/>
          </w:tcPr>
          <w:p w14:paraId="4D04140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23</w:t>
            </w:r>
          </w:p>
        </w:tc>
      </w:tr>
      <w:tr w:rsidR="009A19FE" w:rsidRPr="004D22ED" w14:paraId="3C746E5B" w14:textId="77777777" w:rsidTr="004D2B14">
        <w:trPr>
          <w:trHeight w:val="270"/>
          <w:jc w:val="center"/>
        </w:trPr>
        <w:tc>
          <w:tcPr>
            <w:tcW w:w="3004" w:type="dxa"/>
            <w:tcBorders>
              <w:top w:val="nil"/>
              <w:left w:val="nil"/>
              <w:bottom w:val="nil"/>
              <w:right w:val="nil"/>
            </w:tcBorders>
            <w:shd w:val="clear" w:color="auto" w:fill="auto"/>
            <w:noWrap/>
            <w:vAlign w:val="bottom"/>
            <w:hideMark/>
          </w:tcPr>
          <w:p w14:paraId="5221CB27"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CLA + MTR + AMX</w:t>
            </w:r>
          </w:p>
        </w:tc>
        <w:tc>
          <w:tcPr>
            <w:tcW w:w="876" w:type="dxa"/>
            <w:tcBorders>
              <w:top w:val="nil"/>
              <w:left w:val="nil"/>
              <w:bottom w:val="nil"/>
              <w:right w:val="nil"/>
            </w:tcBorders>
            <w:shd w:val="clear" w:color="auto" w:fill="auto"/>
            <w:noWrap/>
            <w:vAlign w:val="bottom"/>
            <w:hideMark/>
          </w:tcPr>
          <w:p w14:paraId="757B87D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28</w:t>
            </w:r>
          </w:p>
        </w:tc>
        <w:tc>
          <w:tcPr>
            <w:tcW w:w="876" w:type="dxa"/>
            <w:tcBorders>
              <w:top w:val="nil"/>
              <w:left w:val="nil"/>
              <w:bottom w:val="nil"/>
              <w:right w:val="nil"/>
            </w:tcBorders>
            <w:shd w:val="clear" w:color="auto" w:fill="auto"/>
            <w:noWrap/>
            <w:vAlign w:val="bottom"/>
            <w:hideMark/>
          </w:tcPr>
          <w:p w14:paraId="1F17E3F5"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16</w:t>
            </w:r>
          </w:p>
        </w:tc>
        <w:tc>
          <w:tcPr>
            <w:tcW w:w="982" w:type="dxa"/>
            <w:tcBorders>
              <w:top w:val="nil"/>
              <w:left w:val="nil"/>
              <w:bottom w:val="nil"/>
              <w:right w:val="nil"/>
            </w:tcBorders>
            <w:shd w:val="clear" w:color="auto" w:fill="auto"/>
            <w:noWrap/>
            <w:vAlign w:val="bottom"/>
            <w:hideMark/>
          </w:tcPr>
          <w:p w14:paraId="7290EA2B"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12</w:t>
            </w:r>
          </w:p>
        </w:tc>
      </w:tr>
      <w:tr w:rsidR="009A19FE" w:rsidRPr="004D22ED" w14:paraId="0EBCBDEA" w14:textId="77777777" w:rsidTr="004D2B14">
        <w:trPr>
          <w:trHeight w:val="270"/>
          <w:jc w:val="center"/>
        </w:trPr>
        <w:tc>
          <w:tcPr>
            <w:tcW w:w="3004" w:type="dxa"/>
            <w:tcBorders>
              <w:top w:val="nil"/>
              <w:left w:val="nil"/>
              <w:bottom w:val="single" w:sz="12" w:space="0" w:color="auto"/>
              <w:right w:val="nil"/>
            </w:tcBorders>
            <w:shd w:val="clear" w:color="auto" w:fill="auto"/>
            <w:noWrap/>
            <w:vAlign w:val="bottom"/>
            <w:hideMark/>
          </w:tcPr>
          <w:p w14:paraId="59BA60EA"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LEV + CLA + MTR + AMX</w:t>
            </w:r>
          </w:p>
        </w:tc>
        <w:tc>
          <w:tcPr>
            <w:tcW w:w="876" w:type="dxa"/>
            <w:tcBorders>
              <w:top w:val="nil"/>
              <w:left w:val="nil"/>
              <w:bottom w:val="single" w:sz="12" w:space="0" w:color="auto"/>
              <w:right w:val="nil"/>
            </w:tcBorders>
            <w:shd w:val="clear" w:color="auto" w:fill="auto"/>
            <w:noWrap/>
            <w:vAlign w:val="bottom"/>
            <w:hideMark/>
          </w:tcPr>
          <w:p w14:paraId="5E24D24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101</w:t>
            </w:r>
          </w:p>
        </w:tc>
        <w:tc>
          <w:tcPr>
            <w:tcW w:w="876" w:type="dxa"/>
            <w:tcBorders>
              <w:top w:val="nil"/>
              <w:left w:val="nil"/>
              <w:bottom w:val="single" w:sz="12" w:space="0" w:color="auto"/>
              <w:right w:val="nil"/>
            </w:tcBorders>
            <w:shd w:val="clear" w:color="auto" w:fill="auto"/>
            <w:noWrap/>
            <w:vAlign w:val="bottom"/>
            <w:hideMark/>
          </w:tcPr>
          <w:p w14:paraId="45A34BB3"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51</w:t>
            </w:r>
          </w:p>
        </w:tc>
        <w:tc>
          <w:tcPr>
            <w:tcW w:w="982" w:type="dxa"/>
            <w:tcBorders>
              <w:top w:val="nil"/>
              <w:left w:val="nil"/>
              <w:bottom w:val="single" w:sz="12" w:space="0" w:color="auto"/>
              <w:right w:val="nil"/>
            </w:tcBorders>
            <w:shd w:val="clear" w:color="auto" w:fill="auto"/>
            <w:noWrap/>
            <w:vAlign w:val="bottom"/>
            <w:hideMark/>
          </w:tcPr>
          <w:p w14:paraId="249BF96E" w14:textId="77777777" w:rsidR="005315A5" w:rsidRPr="004D22ED" w:rsidRDefault="005315A5" w:rsidP="004D22ED">
            <w:pPr>
              <w:adjustRightInd w:val="0"/>
              <w:snapToGrid w:val="0"/>
              <w:spacing w:line="360" w:lineRule="auto"/>
              <w:jc w:val="both"/>
              <w:rPr>
                <w:rFonts w:ascii="Book Antiqua" w:eastAsia="SimSun" w:hAnsi="Book Antiqua"/>
              </w:rPr>
            </w:pPr>
            <w:r w:rsidRPr="004D22ED">
              <w:rPr>
                <w:rFonts w:ascii="Book Antiqua" w:eastAsia="SimSun" w:hAnsi="Book Antiqua"/>
              </w:rPr>
              <w:t>50</w:t>
            </w:r>
          </w:p>
        </w:tc>
      </w:tr>
    </w:tbl>
    <w:p w14:paraId="32EDEAFC" w14:textId="23B110D5" w:rsidR="00A77B3E" w:rsidRPr="004D22ED" w:rsidRDefault="005315A5" w:rsidP="004D22ED">
      <w:pPr>
        <w:autoSpaceDE w:val="0"/>
        <w:autoSpaceDN w:val="0"/>
        <w:adjustRightInd w:val="0"/>
        <w:snapToGrid w:val="0"/>
        <w:spacing w:line="360" w:lineRule="auto"/>
        <w:jc w:val="both"/>
        <w:rPr>
          <w:rFonts w:ascii="Book Antiqua" w:eastAsia="SimSun" w:hAnsi="Book Antiqua"/>
        </w:rPr>
      </w:pPr>
      <w:r w:rsidRPr="004D22ED">
        <w:rPr>
          <w:rFonts w:ascii="Book Antiqua" w:hAnsi="Book Antiqua" w:cs="Arial"/>
          <w:shd w:val="clear" w:color="auto" w:fill="FFFFFF"/>
          <w:vertAlign w:val="superscript"/>
        </w:rPr>
        <w:t>a</w:t>
      </w:r>
      <w:r w:rsidRPr="004D22ED">
        <w:rPr>
          <w:rFonts w:ascii="Book Antiqua" w:eastAsia="SimSun" w:hAnsi="Book Antiqua"/>
        </w:rPr>
        <w:t>Sensitive to all four antibacterial drugs. CLA: Clarithromycin; LEV: Levofloxacin; MTR: Metronidazole; AMX: Amoxicillin.</w:t>
      </w:r>
    </w:p>
    <w:sectPr w:rsidR="00A77B3E" w:rsidRPr="004D2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5EC5" w14:textId="77777777" w:rsidR="00B70BB1" w:rsidRDefault="00B70BB1" w:rsidP="005315A5">
      <w:r>
        <w:separator/>
      </w:r>
    </w:p>
  </w:endnote>
  <w:endnote w:type="continuationSeparator" w:id="0">
    <w:p w14:paraId="388CA1C0" w14:textId="77777777" w:rsidR="00B70BB1" w:rsidRDefault="00B70BB1" w:rsidP="005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072250"/>
      <w:docPartObj>
        <w:docPartGallery w:val="Page Numbers (Bottom of Page)"/>
        <w:docPartUnique/>
      </w:docPartObj>
    </w:sdtPr>
    <w:sdtEndPr>
      <w:rPr>
        <w:rFonts w:ascii="Book Antiqua" w:hAnsi="Book Antiqua"/>
        <w:sz w:val="24"/>
        <w:szCs w:val="24"/>
      </w:rPr>
    </w:sdtEndPr>
    <w:sdtContent>
      <w:p w14:paraId="5207D3DE" w14:textId="2A470618" w:rsidR="005315A5" w:rsidRPr="005315A5" w:rsidRDefault="005315A5" w:rsidP="005315A5">
        <w:pPr>
          <w:pStyle w:val="Footer"/>
          <w:jc w:val="right"/>
          <w:rPr>
            <w:rFonts w:ascii="Book Antiqua" w:hAnsi="Book Antiqua"/>
            <w:sz w:val="24"/>
            <w:szCs w:val="24"/>
          </w:rPr>
        </w:pPr>
        <w:r w:rsidRPr="005315A5">
          <w:rPr>
            <w:rFonts w:ascii="Book Antiqua" w:hAnsi="Book Antiqua"/>
            <w:sz w:val="24"/>
            <w:szCs w:val="24"/>
          </w:rPr>
          <w:fldChar w:fldCharType="begin"/>
        </w:r>
        <w:r w:rsidRPr="005315A5">
          <w:rPr>
            <w:rFonts w:ascii="Book Antiqua" w:hAnsi="Book Antiqua"/>
            <w:sz w:val="24"/>
            <w:szCs w:val="24"/>
          </w:rPr>
          <w:instrText>PAGE   \* MERGEFORMAT</w:instrText>
        </w:r>
        <w:r w:rsidRPr="005315A5">
          <w:rPr>
            <w:rFonts w:ascii="Book Antiqua" w:hAnsi="Book Antiqua"/>
            <w:sz w:val="24"/>
            <w:szCs w:val="24"/>
          </w:rPr>
          <w:fldChar w:fldCharType="separate"/>
        </w:r>
        <w:r w:rsidR="003E168E" w:rsidRPr="003E168E">
          <w:rPr>
            <w:rFonts w:ascii="Book Antiqua" w:hAnsi="Book Antiqua"/>
            <w:noProof/>
            <w:sz w:val="24"/>
            <w:szCs w:val="24"/>
            <w:lang w:val="zh-CN" w:eastAsia="zh-CN"/>
          </w:rPr>
          <w:t>28</w:t>
        </w:r>
        <w:r w:rsidRPr="005315A5">
          <w:rPr>
            <w:rFonts w:ascii="Book Antiqua" w:hAnsi="Book Antiqua"/>
            <w:sz w:val="24"/>
            <w:szCs w:val="24"/>
          </w:rPr>
          <w:fldChar w:fldCharType="end"/>
        </w:r>
        <w:r w:rsidRPr="005315A5">
          <w:rPr>
            <w:rFonts w:ascii="Book Antiqua" w:hAnsi="Book Antiqua"/>
            <w:sz w:val="24"/>
            <w:szCs w:val="24"/>
          </w:rPr>
          <w:t xml:space="preserve"> </w:t>
        </w:r>
        <w:r w:rsidRPr="005315A5">
          <w:rPr>
            <w:rFonts w:ascii="Book Antiqua" w:hAnsi="Book Antiqua"/>
            <w:sz w:val="24"/>
            <w:szCs w:val="24"/>
            <w:lang w:eastAsia="zh-CN"/>
          </w:rPr>
          <w:t xml:space="preserve">/ </w:t>
        </w:r>
        <w:r w:rsidR="003514A0">
          <w:rPr>
            <w:rFonts w:ascii="Book Antiqua" w:hAnsi="Book Antiqua"/>
            <w:sz w:val="24"/>
            <w:szCs w:val="24"/>
          </w:rPr>
          <w:t>30</w:t>
        </w:r>
      </w:p>
    </w:sdtContent>
  </w:sdt>
  <w:p w14:paraId="6CE47B05" w14:textId="77777777" w:rsidR="005315A5" w:rsidRDefault="0053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B5DC" w14:textId="77777777" w:rsidR="00B70BB1" w:rsidRDefault="00B70BB1" w:rsidP="005315A5">
      <w:r>
        <w:separator/>
      </w:r>
    </w:p>
  </w:footnote>
  <w:footnote w:type="continuationSeparator" w:id="0">
    <w:p w14:paraId="7C1EB631" w14:textId="77777777" w:rsidR="00B70BB1" w:rsidRDefault="00B70BB1" w:rsidP="0053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A3"/>
    <w:rsid w:val="000D0024"/>
    <w:rsid w:val="000E3C16"/>
    <w:rsid w:val="00140892"/>
    <w:rsid w:val="0017380C"/>
    <w:rsid w:val="001955C5"/>
    <w:rsid w:val="001A7900"/>
    <w:rsid w:val="00292AC4"/>
    <w:rsid w:val="002B0A68"/>
    <w:rsid w:val="002D66E3"/>
    <w:rsid w:val="003514A0"/>
    <w:rsid w:val="00385E45"/>
    <w:rsid w:val="003E168E"/>
    <w:rsid w:val="004573BB"/>
    <w:rsid w:val="004D22ED"/>
    <w:rsid w:val="004D2B14"/>
    <w:rsid w:val="005315A5"/>
    <w:rsid w:val="00590E07"/>
    <w:rsid w:val="0072429E"/>
    <w:rsid w:val="00757801"/>
    <w:rsid w:val="007C38BB"/>
    <w:rsid w:val="00815839"/>
    <w:rsid w:val="008336F9"/>
    <w:rsid w:val="00934011"/>
    <w:rsid w:val="00947C0A"/>
    <w:rsid w:val="009927E9"/>
    <w:rsid w:val="009A19FE"/>
    <w:rsid w:val="009A29E4"/>
    <w:rsid w:val="009F1113"/>
    <w:rsid w:val="00A77B3E"/>
    <w:rsid w:val="00A84F1D"/>
    <w:rsid w:val="00B266B3"/>
    <w:rsid w:val="00B70BB1"/>
    <w:rsid w:val="00BE704B"/>
    <w:rsid w:val="00BF62BA"/>
    <w:rsid w:val="00CA2A55"/>
    <w:rsid w:val="00D138D8"/>
    <w:rsid w:val="00D577D3"/>
    <w:rsid w:val="00DD5647"/>
    <w:rsid w:val="00DE0759"/>
    <w:rsid w:val="00EC54FB"/>
    <w:rsid w:val="00FD1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C2D24"/>
  <w15:docId w15:val="{59FA8FC8-9F7B-441D-B5C3-553C3424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5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15A5"/>
    <w:rPr>
      <w:sz w:val="18"/>
      <w:szCs w:val="18"/>
    </w:rPr>
  </w:style>
  <w:style w:type="paragraph" w:styleId="Footer">
    <w:name w:val="footer"/>
    <w:basedOn w:val="Normal"/>
    <w:link w:val="FooterChar"/>
    <w:uiPriority w:val="99"/>
    <w:unhideWhenUsed/>
    <w:rsid w:val="005315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15A5"/>
    <w:rPr>
      <w:sz w:val="18"/>
      <w:szCs w:val="18"/>
    </w:rPr>
  </w:style>
  <w:style w:type="paragraph" w:styleId="NormalWeb">
    <w:name w:val="Normal (Web)"/>
    <w:basedOn w:val="Normal"/>
    <w:uiPriority w:val="99"/>
    <w:unhideWhenUsed/>
    <w:rsid w:val="005315A5"/>
    <w:pPr>
      <w:spacing w:before="100" w:beforeAutospacing="1" w:after="100" w:afterAutospacing="1"/>
    </w:pPr>
    <w:rPr>
      <w:rFonts w:ascii="SimSun" w:eastAsia="SimSun" w:hAnsi="SimSun" w:cs="SimSun"/>
      <w:lang w:eastAsia="zh-CN"/>
    </w:rPr>
  </w:style>
  <w:style w:type="paragraph" w:customStyle="1" w:styleId="1">
    <w:name w:val="正文1"/>
    <w:rsid w:val="005315A5"/>
    <w:pPr>
      <w:widowControl w:val="0"/>
      <w:jc w:val="both"/>
    </w:pPr>
    <w:rPr>
      <w:rFonts w:ascii="DengXian" w:eastAsia="DengXian" w:hAnsi="DengXian"/>
      <w:kern w:val="2"/>
      <w:sz w:val="21"/>
      <w:szCs w:val="21"/>
      <w:lang w:eastAsia="zh-CN"/>
    </w:rPr>
  </w:style>
  <w:style w:type="character" w:styleId="CommentReference">
    <w:name w:val="annotation reference"/>
    <w:basedOn w:val="DefaultParagraphFont"/>
    <w:semiHidden/>
    <w:unhideWhenUsed/>
    <w:rsid w:val="004D2B14"/>
    <w:rPr>
      <w:sz w:val="21"/>
      <w:szCs w:val="21"/>
    </w:rPr>
  </w:style>
  <w:style w:type="paragraph" w:styleId="CommentText">
    <w:name w:val="annotation text"/>
    <w:basedOn w:val="Normal"/>
    <w:link w:val="CommentTextChar"/>
    <w:semiHidden/>
    <w:unhideWhenUsed/>
    <w:rsid w:val="004D2B14"/>
  </w:style>
  <w:style w:type="character" w:customStyle="1" w:styleId="CommentTextChar">
    <w:name w:val="Comment Text Char"/>
    <w:basedOn w:val="DefaultParagraphFont"/>
    <w:link w:val="CommentText"/>
    <w:semiHidden/>
    <w:rsid w:val="004D2B14"/>
    <w:rPr>
      <w:sz w:val="24"/>
      <w:szCs w:val="24"/>
    </w:rPr>
  </w:style>
  <w:style w:type="paragraph" w:styleId="CommentSubject">
    <w:name w:val="annotation subject"/>
    <w:basedOn w:val="CommentText"/>
    <w:next w:val="CommentText"/>
    <w:link w:val="CommentSubjectChar"/>
    <w:semiHidden/>
    <w:unhideWhenUsed/>
    <w:rsid w:val="004D2B14"/>
    <w:rPr>
      <w:b/>
      <w:bCs/>
    </w:rPr>
  </w:style>
  <w:style w:type="character" w:customStyle="1" w:styleId="CommentSubjectChar">
    <w:name w:val="Comment Subject Char"/>
    <w:basedOn w:val="CommentTextChar"/>
    <w:link w:val="CommentSubject"/>
    <w:semiHidden/>
    <w:rsid w:val="004D2B14"/>
    <w:rPr>
      <w:b/>
      <w:bCs/>
      <w:sz w:val="24"/>
      <w:szCs w:val="24"/>
    </w:rPr>
  </w:style>
  <w:style w:type="paragraph" w:styleId="BalloonText">
    <w:name w:val="Balloon Text"/>
    <w:basedOn w:val="Normal"/>
    <w:link w:val="BalloonTextChar"/>
    <w:rsid w:val="004D2B14"/>
    <w:rPr>
      <w:sz w:val="18"/>
      <w:szCs w:val="18"/>
    </w:rPr>
  </w:style>
  <w:style w:type="character" w:customStyle="1" w:styleId="BalloonTextChar">
    <w:name w:val="Balloon Text Char"/>
    <w:basedOn w:val="DefaultParagraphFont"/>
    <w:link w:val="BalloonText"/>
    <w:rsid w:val="004D2B14"/>
    <w:rPr>
      <w:sz w:val="18"/>
      <w:szCs w:val="18"/>
    </w:rPr>
  </w:style>
  <w:style w:type="paragraph" w:styleId="Revision">
    <w:name w:val="Revision"/>
    <w:hidden/>
    <w:uiPriority w:val="99"/>
    <w:semiHidden/>
    <w:rsid w:val="00195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30</Pages>
  <Words>7224</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lxx</dc:creator>
  <cp:lastModifiedBy>Filipodia</cp:lastModifiedBy>
  <cp:revision>5</cp:revision>
  <dcterms:created xsi:type="dcterms:W3CDTF">2021-10-18T00:48:00Z</dcterms:created>
  <dcterms:modified xsi:type="dcterms:W3CDTF">2021-10-19T01:44:00Z</dcterms:modified>
</cp:coreProperties>
</file>