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64848</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Unpacking the challenge of gastric varices: A review on indication, timing and modality of therapy</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Vaz K </w:t>
      </w:r>
      <w:r>
        <w:rPr>
          <w:rFonts w:ascii="Book Antiqua" w:eastAsia="Book Antiqua" w:hAnsi="Book Antiqua" w:cs="Book Antiqua"/>
          <w:i/>
          <w:iCs/>
          <w:color w:val="000000"/>
        </w:rPr>
        <w:t>et al</w:t>
      </w:r>
      <w:r>
        <w:rPr>
          <w:rFonts w:ascii="Book Antiqua" w:eastAsia="Book Antiqua" w:hAnsi="Book Antiqua" w:cs="Book Antiqua"/>
          <w:color w:val="000000"/>
        </w:rPr>
        <w:t>. Gastric varices review</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Karl Vaz, Marios </w:t>
      </w:r>
      <w:r>
        <w:rPr>
          <w:rFonts w:ascii="Book Antiqua" w:eastAsia="Book Antiqua" w:hAnsi="Book Antiqua" w:cs="Book Antiqua"/>
          <w:color w:val="000000"/>
        </w:rPr>
        <w:t>Efthymiou, Rhys Vaughan, Adam G Testro, Hin-Boon Lew, Leonardo Zorron Cheng Tao Pu, Sujievvan Chandran</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Karl Vaz, Marios Efthymiou, Rhys Vaughan, Adam G Testro, Leonardo Zorron Cheng Tao Pu, Sujievvan Chandran, </w:t>
      </w:r>
      <w:r>
        <w:rPr>
          <w:rFonts w:ascii="Book Antiqua" w:eastAsia="Book Antiqua" w:hAnsi="Book Antiqua" w:cs="Book Antiqua"/>
          <w:color w:val="000000"/>
        </w:rPr>
        <w:t>Department of Gastroenterology and Hepatology</w:t>
      </w:r>
      <w:r>
        <w:rPr>
          <w:rFonts w:ascii="Book Antiqua" w:eastAsia="Book Antiqua" w:hAnsi="Book Antiqua" w:cs="Book Antiqua"/>
          <w:color w:val="000000"/>
        </w:rPr>
        <w:t>, Austin Health, Heidelberg 3084, Victoria, Australia</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Marios Efthymiou, Rhys Vaughan, Sujievvan Chandran, </w:t>
      </w:r>
      <w:r>
        <w:rPr>
          <w:rFonts w:ascii="Book Antiqua" w:eastAsia="Book Antiqua" w:hAnsi="Book Antiqua" w:cs="Book Antiqua"/>
          <w:color w:val="000000"/>
        </w:rPr>
        <w:t>University of Melbourne, Parkville 3052, Victoria, Australia</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Hin-Boon Lew, </w:t>
      </w:r>
      <w:r>
        <w:rPr>
          <w:rFonts w:ascii="Book Antiqua" w:eastAsia="Book Antiqua" w:hAnsi="Book Antiqua" w:cs="Book Antiqua"/>
          <w:color w:val="000000"/>
        </w:rPr>
        <w:t>Department of Radiology, Austin Health, Heidelberg 3084, Victoria, Austra</w:t>
      </w:r>
      <w:r>
        <w:rPr>
          <w:rFonts w:ascii="Book Antiqua" w:eastAsia="Book Antiqua" w:hAnsi="Book Antiqua" w:cs="Book Antiqua"/>
          <w:color w:val="000000"/>
        </w:rPr>
        <w:t>lia</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hAnsi="Book Antiqua"/>
          <w:color w:val="201F35"/>
          <w:shd w:val="clear" w:color="auto" w:fill="FFFFFF"/>
        </w:rPr>
        <w:t>Vaz</w:t>
      </w:r>
      <w:r>
        <w:rPr>
          <w:rFonts w:ascii="Book Antiqua" w:eastAsia="Book Antiqua" w:hAnsi="Book Antiqua" w:cs="Book Antiqua"/>
          <w:color w:val="000000"/>
        </w:rPr>
        <w:t xml:space="preserve"> K, </w:t>
      </w:r>
      <w:r>
        <w:rPr>
          <w:rFonts w:ascii="Book Antiqua" w:hAnsi="Book Antiqua"/>
          <w:color w:val="201F35"/>
          <w:shd w:val="clear" w:color="auto" w:fill="FFFFFF"/>
        </w:rPr>
        <w:t>Efthymiou</w:t>
      </w:r>
      <w:r>
        <w:rPr>
          <w:rFonts w:ascii="Book Antiqua" w:eastAsia="Book Antiqua" w:hAnsi="Book Antiqua" w:cs="Book Antiqua"/>
          <w:color w:val="000000"/>
        </w:rPr>
        <w:t xml:space="preserve"> M, </w:t>
      </w:r>
      <w:r>
        <w:rPr>
          <w:rFonts w:ascii="Book Antiqua" w:hAnsi="Book Antiqua"/>
          <w:color w:val="201F35"/>
          <w:shd w:val="clear" w:color="auto" w:fill="FFFFFF"/>
        </w:rPr>
        <w:t>Vaughan</w:t>
      </w:r>
      <w:r>
        <w:rPr>
          <w:rFonts w:ascii="Book Antiqua" w:eastAsia="Book Antiqua" w:hAnsi="Book Antiqua" w:cs="Book Antiqua"/>
          <w:color w:val="000000"/>
        </w:rPr>
        <w:t xml:space="preserve"> R, </w:t>
      </w:r>
      <w:r>
        <w:rPr>
          <w:rFonts w:ascii="Book Antiqua" w:hAnsi="Book Antiqua"/>
          <w:color w:val="201F35"/>
          <w:shd w:val="clear" w:color="auto" w:fill="FFFFFF"/>
        </w:rPr>
        <w:t>Testro</w:t>
      </w:r>
      <w:r>
        <w:rPr>
          <w:rFonts w:ascii="Book Antiqua" w:eastAsia="Book Antiqua" w:hAnsi="Book Antiqua" w:cs="Book Antiqua"/>
          <w:color w:val="000000"/>
        </w:rPr>
        <w:t xml:space="preserve"> AG, </w:t>
      </w:r>
      <w:r>
        <w:rPr>
          <w:rFonts w:ascii="Book Antiqua" w:hAnsi="Book Antiqua"/>
          <w:color w:val="201F35"/>
          <w:shd w:val="clear" w:color="auto" w:fill="FFFFFF"/>
        </w:rPr>
        <w:t>Lew</w:t>
      </w:r>
      <w:r>
        <w:rPr>
          <w:rFonts w:ascii="Book Antiqua" w:eastAsia="Book Antiqua" w:hAnsi="Book Antiqua" w:cs="Book Antiqua"/>
          <w:color w:val="000000"/>
        </w:rPr>
        <w:t xml:space="preserve"> HB, </w:t>
      </w:r>
      <w:r>
        <w:rPr>
          <w:rFonts w:ascii="Book Antiqua" w:hAnsi="Book Antiqua"/>
          <w:color w:val="201F35"/>
          <w:shd w:val="clear" w:color="auto" w:fill="FFFFFF"/>
        </w:rPr>
        <w:t>Pu</w:t>
      </w:r>
      <w:r>
        <w:rPr>
          <w:rFonts w:ascii="Book Antiqua" w:eastAsia="Book Antiqua" w:hAnsi="Book Antiqua" w:cs="Book Antiqua"/>
          <w:color w:val="000000"/>
        </w:rPr>
        <w:t xml:space="preserve"> LZCT and </w:t>
      </w:r>
      <w:r>
        <w:rPr>
          <w:rFonts w:ascii="Book Antiqua" w:hAnsi="Book Antiqua"/>
          <w:color w:val="201F35"/>
          <w:shd w:val="clear" w:color="auto" w:fill="FFFFFF"/>
        </w:rPr>
        <w:t>Chandran</w:t>
      </w:r>
      <w:r>
        <w:rPr>
          <w:rFonts w:ascii="Book Antiqua" w:eastAsia="Book Antiqua" w:hAnsi="Book Antiqua" w:cs="Book Antiqua"/>
          <w:color w:val="000000"/>
        </w:rPr>
        <w:t xml:space="preserve"> S all contributed to the drafting and/or review of the manuscript.</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Corresponding author: Karl Vaz, MBBS, Doctor, </w:t>
      </w:r>
      <w:r>
        <w:rPr>
          <w:rFonts w:ascii="Book Antiqua" w:eastAsia="Book Antiqua" w:hAnsi="Book Antiqua" w:cs="Book Antiqua"/>
          <w:color w:val="000000"/>
        </w:rPr>
        <w:t>Department of Gastroenterology and Hepatolog</w:t>
      </w:r>
      <w:r>
        <w:rPr>
          <w:rFonts w:ascii="Book Antiqua" w:eastAsia="Book Antiqua" w:hAnsi="Book Antiqua" w:cs="Book Antiqua"/>
          <w:color w:val="000000"/>
        </w:rPr>
        <w:t>y, Austin Health, 145 Studley Rd, Heidelberg 3084, Victoria, Australia. karl.vaz@austin.org.au</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February 24, 2021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9, 2021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48"/>
      <w:bookmarkStart w:id="1" w:name="OLE_LINK33"/>
      <w:bookmarkStart w:id="2" w:name="OLE_LINK15"/>
      <w:r>
        <w:rPr>
          <w:rFonts w:ascii="Book Antiqua" w:eastAsia="宋体" w:hAnsi="Book Antiqua"/>
          <w:color w:val="000000" w:themeColor="text1"/>
        </w:rPr>
        <w:t>J</w:t>
      </w:r>
      <w:r>
        <w:rPr>
          <w:rFonts w:ascii="Book Antiqua" w:eastAsia="宋体" w:hAnsi="Book Antiqua" w:hint="eastAsia"/>
          <w:color w:val="000000" w:themeColor="text1"/>
        </w:rPr>
        <w:t>u</w:t>
      </w:r>
      <w:r>
        <w:rPr>
          <w:rFonts w:ascii="Book Antiqua" w:eastAsia="宋体" w:hAnsi="Book Antiqua"/>
          <w:color w:val="000000" w:themeColor="text1"/>
        </w:rPr>
        <w:t>ly 29, 2021</w:t>
      </w:r>
      <w:bookmarkEnd w:id="0"/>
      <w:bookmarkEnd w:id="1"/>
      <w:bookmarkEnd w:id="2"/>
    </w:p>
    <w:p w:rsidR="00274AA8" w:rsidRDefault="00FE4189">
      <w:pPr>
        <w:adjustRightInd w:val="0"/>
        <w:snapToGrid w:val="0"/>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August 27</w:t>
      </w:r>
      <w:r>
        <w:rPr>
          <w:rFonts w:ascii="Book Antiqua" w:eastAsia="宋体" w:hAnsi="Book Antiqua" w:cs="Book Antiqua" w:hint="eastAsia"/>
          <w:color w:val="000000"/>
          <w:lang w:eastAsia="zh-CN"/>
        </w:rPr>
        <w:t>, 2021</w:t>
      </w:r>
    </w:p>
    <w:p w:rsidR="00274AA8" w:rsidRDefault="00274AA8">
      <w:pPr>
        <w:adjustRightInd w:val="0"/>
        <w:snapToGrid w:val="0"/>
        <w:spacing w:line="360" w:lineRule="auto"/>
        <w:jc w:val="both"/>
        <w:rPr>
          <w:rFonts w:ascii="Book Antiqua" w:hAnsi="Book Antiqua"/>
        </w:rPr>
      </w:pPr>
    </w:p>
    <w:p w:rsidR="00274AA8" w:rsidRDefault="00274AA8">
      <w:pPr>
        <w:adjustRightInd w:val="0"/>
        <w:snapToGrid w:val="0"/>
        <w:spacing w:line="360" w:lineRule="auto"/>
        <w:jc w:val="both"/>
        <w:rPr>
          <w:rFonts w:ascii="Book Antiqua" w:hAnsi="Book Antiqua"/>
        </w:rPr>
        <w:sectPr w:rsidR="00274AA8">
          <w:footerReference w:type="default" r:id="rId8"/>
          <w:pgSz w:w="12240" w:h="15840"/>
          <w:pgMar w:top="1440" w:right="1440" w:bottom="1440" w:left="1440" w:header="720" w:footer="720" w:gutter="0"/>
          <w:cols w:space="720"/>
          <w:docGrid w:linePitch="360"/>
        </w:sect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Abstract</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Upper gastrointestinal bleeding from oesophageal or gastric varices is an important medical condition in patients with portal </w:t>
      </w:r>
      <w:r>
        <w:rPr>
          <w:rFonts w:ascii="Book Antiqua" w:eastAsia="Book Antiqua" w:hAnsi="Book Antiqua" w:cs="Book Antiqua"/>
          <w:color w:val="000000"/>
        </w:rPr>
        <w:t>hypertension. Despite the emergence of a number of novel endoscopic and radiologic therapies for oesophagogastric varices, controversy exists regarding the indication, timing and modality of therapy. The aim of this review is to provide a concise and pract</w:t>
      </w:r>
      <w:r>
        <w:rPr>
          <w:rFonts w:ascii="Book Antiqua" w:eastAsia="Book Antiqua" w:hAnsi="Book Antiqua" w:cs="Book Antiqua"/>
          <w:color w:val="000000"/>
        </w:rPr>
        <w:t>ical evidence-based overview of these issues.</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Upper gastrointestinal bleeding; Portal hypertension; Gastric varices; Variceal band ligation; Variceal obliteration; Sclerotherapy; Transjugular intrahepatic portosystemic shunt; Balloon-occlusion </w:t>
      </w:r>
      <w:r>
        <w:rPr>
          <w:rFonts w:ascii="Book Antiqua" w:eastAsia="Book Antiqua" w:hAnsi="Book Antiqua" w:cs="Book Antiqua"/>
          <w:color w:val="000000"/>
        </w:rPr>
        <w:t>retrograde transvenous obliteration</w:t>
      </w:r>
    </w:p>
    <w:p w:rsidR="003E3C4C" w:rsidRDefault="003E3C4C" w:rsidP="003E3C4C">
      <w:pPr>
        <w:spacing w:line="360" w:lineRule="auto"/>
        <w:jc w:val="both"/>
        <w:rPr>
          <w:lang w:eastAsia="zh-CN"/>
        </w:rPr>
      </w:pPr>
    </w:p>
    <w:p w:rsidR="003E3C4C" w:rsidRPr="00026CB8" w:rsidRDefault="003E3C4C" w:rsidP="003E3C4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274AA8" w:rsidRDefault="00274AA8">
      <w:pPr>
        <w:adjustRightInd w:val="0"/>
        <w:snapToGrid w:val="0"/>
        <w:spacing w:line="360" w:lineRule="auto"/>
        <w:jc w:val="both"/>
        <w:rPr>
          <w:rFonts w:ascii="Book Antiqua" w:hAnsi="Book Antiqua"/>
        </w:rPr>
      </w:pPr>
    </w:p>
    <w:p w:rsidR="007E1E79" w:rsidRDefault="005F1620">
      <w:pPr>
        <w:adjustRightInd w:val="0"/>
        <w:snapToGrid w:val="0"/>
        <w:spacing w:line="360" w:lineRule="auto"/>
        <w:jc w:val="both"/>
        <w:rPr>
          <w:rFonts w:ascii="Book Antiqua" w:hAnsi="Book Antiqua" w:cs="Book Antiqua" w:hint="eastAsia"/>
          <w:color w:val="000000"/>
          <w:lang w:eastAsia="zh-CN"/>
        </w:rPr>
      </w:pPr>
      <w:r w:rsidRPr="005F1620">
        <w:rPr>
          <w:rFonts w:ascii="Book Antiqua" w:hAnsi="Book Antiqua" w:cs="Book Antiqua" w:hint="eastAsia"/>
          <w:b/>
          <w:color w:val="000000"/>
          <w:lang w:eastAsia="zh-CN"/>
        </w:rPr>
        <w:t xml:space="preserve">Citation: </w:t>
      </w:r>
      <w:r w:rsidR="00FE4189">
        <w:rPr>
          <w:rFonts w:ascii="Book Antiqua" w:eastAsia="Book Antiqua" w:hAnsi="Book Antiqua" w:cs="Book Antiqua"/>
          <w:color w:val="000000"/>
        </w:rPr>
        <w:t xml:space="preserve">Vaz K, Efthymiou M, Vaughan R, Testro AG, Lew HB, Pu LZCT, Chandran S. Unpacking the challenge of gastric varices: A review on indication, timing and modality of therapy. </w:t>
      </w:r>
      <w:r w:rsidR="00FE4189">
        <w:rPr>
          <w:rFonts w:ascii="Book Antiqua" w:eastAsia="Book Antiqua" w:hAnsi="Book Antiqua" w:cs="Book Antiqua"/>
          <w:i/>
          <w:iCs/>
          <w:color w:val="000000"/>
        </w:rPr>
        <w:t>World J Hepatol</w:t>
      </w:r>
      <w:r w:rsidR="00FE4189">
        <w:rPr>
          <w:rFonts w:ascii="Book Antiqua" w:eastAsia="Book Antiqua" w:hAnsi="Book Antiqua" w:cs="Book Antiqua"/>
          <w:color w:val="000000"/>
        </w:rPr>
        <w:t xml:space="preserve"> 2021; </w:t>
      </w:r>
      <w:r w:rsidR="00FE4189">
        <w:rPr>
          <w:rFonts w:ascii="Book Antiqua" w:eastAsia="Book Antiqua" w:hAnsi="Book Antiqua" w:cs="Book Antiqua" w:hint="eastAsia"/>
          <w:color w:val="000000"/>
        </w:rPr>
        <w:t>13(8):</w:t>
      </w:r>
      <w:r w:rsidR="007E1E79" w:rsidRPr="007E1E79">
        <w:t xml:space="preserve"> </w:t>
      </w:r>
      <w:r w:rsidR="007E1E79" w:rsidRPr="007E1E79">
        <w:rPr>
          <w:rFonts w:ascii="Book Antiqua" w:eastAsia="Book Antiqua" w:hAnsi="Book Antiqua" w:cs="Book Antiqua"/>
          <w:color w:val="000000"/>
        </w:rPr>
        <w:t>868-878</w:t>
      </w:r>
      <w:r w:rsidR="00FE4189">
        <w:rPr>
          <w:rFonts w:ascii="Book Antiqua" w:eastAsia="Book Antiqua" w:hAnsi="Book Antiqua" w:cs="Book Antiqua" w:hint="eastAsia"/>
          <w:color w:val="000000"/>
        </w:rPr>
        <w:t xml:space="preserve"> </w:t>
      </w:r>
    </w:p>
    <w:p w:rsidR="007E1E79" w:rsidRDefault="00FE4189">
      <w:pPr>
        <w:adjustRightInd w:val="0"/>
        <w:snapToGrid w:val="0"/>
        <w:spacing w:line="360" w:lineRule="auto"/>
        <w:jc w:val="both"/>
        <w:rPr>
          <w:rFonts w:ascii="Book Antiqua" w:hAnsi="Book Antiqua" w:cs="Book Antiqua" w:hint="eastAsia"/>
          <w:color w:val="000000"/>
          <w:lang w:eastAsia="zh-CN"/>
        </w:rPr>
      </w:pPr>
      <w:r w:rsidRPr="005F1620">
        <w:rPr>
          <w:rFonts w:ascii="Book Antiqua" w:eastAsia="Book Antiqua" w:hAnsi="Book Antiqua" w:cs="Book Antiqua" w:hint="eastAsia"/>
          <w:b/>
          <w:color w:val="000000"/>
        </w:rPr>
        <w:t>URL:</w:t>
      </w:r>
      <w:r>
        <w:rPr>
          <w:rFonts w:ascii="Book Antiqua" w:eastAsia="Book Antiqua" w:hAnsi="Book Antiqua" w:cs="Book Antiqua" w:hint="eastAsia"/>
          <w:color w:val="000000"/>
        </w:rPr>
        <w:t xml:space="preserve"> </w:t>
      </w:r>
      <w:r>
        <w:rPr>
          <w:rFonts w:ascii="Book Antiqua" w:eastAsia="Book Antiqua" w:hAnsi="Book Antiqua" w:cs="Book Antiqua" w:hint="eastAsia"/>
          <w:color w:val="000000"/>
        </w:rPr>
        <w:t>https://www.wjgnet.com/1948-5182/full/v13/i8/</w:t>
      </w:r>
      <w:r w:rsidR="007E1E79" w:rsidRPr="007E1E79">
        <w:rPr>
          <w:rFonts w:ascii="Book Antiqua" w:eastAsia="Book Antiqua" w:hAnsi="Book Antiqua" w:cs="Book Antiqua"/>
          <w:color w:val="000000"/>
        </w:rPr>
        <w:t>868</w:t>
      </w:r>
      <w:r>
        <w:rPr>
          <w:rFonts w:ascii="Book Antiqua" w:eastAsia="Book Antiqua" w:hAnsi="Book Antiqua" w:cs="Book Antiqua" w:hint="eastAsia"/>
          <w:color w:val="000000"/>
        </w:rPr>
        <w:t>.htm</w:t>
      </w:r>
      <w:r>
        <w:rPr>
          <w:rFonts w:ascii="Book Antiqua" w:eastAsia="Book Antiqua" w:hAnsi="Book Antiqua" w:cs="Book Antiqua" w:hint="eastAsia"/>
          <w:color w:val="000000"/>
        </w:rPr>
        <w:t xml:space="preserve"> </w:t>
      </w:r>
    </w:p>
    <w:p w:rsidR="00274AA8" w:rsidRDefault="00FE4189">
      <w:pPr>
        <w:adjustRightInd w:val="0"/>
        <w:snapToGrid w:val="0"/>
        <w:spacing w:line="360" w:lineRule="auto"/>
        <w:jc w:val="both"/>
        <w:rPr>
          <w:rFonts w:ascii="Book Antiqua" w:hAnsi="Book Antiqua"/>
        </w:rPr>
      </w:pPr>
      <w:r w:rsidRPr="005F1620">
        <w:rPr>
          <w:rFonts w:ascii="Book Antiqua" w:eastAsia="Book Antiqua" w:hAnsi="Book Antiqua" w:cs="Book Antiqua" w:hint="eastAsia"/>
          <w:b/>
          <w:color w:val="000000"/>
        </w:rPr>
        <w:t>DOI:</w:t>
      </w:r>
      <w:r>
        <w:rPr>
          <w:rFonts w:ascii="Book Antiqua" w:eastAsia="Book Antiqua" w:hAnsi="Book Antiqua" w:cs="Book Antiqua" w:hint="eastAsia"/>
          <w:color w:val="000000"/>
        </w:rPr>
        <w:t xml:space="preserve"> https://dx.doi.org/10.4254/wjh.v13.i8.</w:t>
      </w:r>
      <w:r w:rsidR="007E1E79" w:rsidRPr="007E1E79">
        <w:rPr>
          <w:rFonts w:ascii="Book Antiqua" w:eastAsia="Book Antiqua" w:hAnsi="Book Antiqua" w:cs="Book Antiqua"/>
          <w:color w:val="000000"/>
        </w:rPr>
        <w:t>868</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Gastric varices are an uncommon source of bleeding in patients with portal hypertension. Although evidence supports acute bleeding treatment an</w:t>
      </w:r>
      <w:r>
        <w:rPr>
          <w:rFonts w:ascii="Book Antiqua" w:eastAsia="Book Antiqua" w:hAnsi="Book Antiqua" w:cs="Book Antiqua"/>
          <w:color w:val="000000"/>
        </w:rPr>
        <w:t>d secondary prophylaxis using interventional endoscopy or radiology, there is still lack of data to support primary prophylaxis for all patients. If treatment is required, both interventional endoscopy and radiological approaches should be considered. Inte</w:t>
      </w:r>
      <w:r>
        <w:rPr>
          <w:rFonts w:ascii="Book Antiqua" w:eastAsia="Book Antiqua" w:hAnsi="Book Antiqua" w:cs="Book Antiqua"/>
          <w:color w:val="000000"/>
        </w:rPr>
        <w:t>rventional endoscopy using endoscopic ultrasound-guided combination coil and cyanoacrylate obliteration appears to be the optimal approach based on the current literature.</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rsidR="00274AA8" w:rsidRDefault="00FE4189">
      <w:pPr>
        <w:adjustRightInd w:val="0"/>
        <w:snapToGrid w:val="0"/>
        <w:spacing w:line="360" w:lineRule="auto"/>
        <w:jc w:val="both"/>
        <w:rPr>
          <w:rFonts w:ascii="Book Antiqua" w:hAnsi="Book Antiqua"/>
          <w:i/>
          <w:iCs/>
        </w:rPr>
      </w:pPr>
      <w:r>
        <w:rPr>
          <w:rFonts w:ascii="Book Antiqua" w:eastAsia="Book Antiqua" w:hAnsi="Book Antiqua" w:cs="Book Antiqua"/>
          <w:b/>
          <w:bCs/>
          <w:i/>
          <w:iCs/>
          <w:color w:val="000000"/>
        </w:rPr>
        <w:t>Incidence</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The incidence of gastric varices (GV) is 15%-20% from endosc</w:t>
      </w:r>
      <w:r>
        <w:rPr>
          <w:rFonts w:ascii="Book Antiqua" w:eastAsia="Book Antiqua" w:hAnsi="Book Antiqua" w:cs="Book Antiqua"/>
          <w:color w:val="000000"/>
        </w:rPr>
        <w:t>opic epidemiological studies of portal hypertension</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Unlike oesophageal varices that tend to be present in the lamina propria mucosae and superficial submucosa, GV lie deep in the submucosa and as such can be difficult to differentiate from prominent </w:t>
      </w:r>
      <w:r>
        <w:rPr>
          <w:rFonts w:ascii="Book Antiqua" w:eastAsia="Book Antiqua" w:hAnsi="Book Antiqua" w:cs="Book Antiqua"/>
          <w:color w:val="000000"/>
        </w:rPr>
        <w:t>gastric rugae with standard endoscopy. Endoscopic ultrasonography studies have demonstrated that a proportion of GV are undiagnosed on standard diagnostic endoscopy</w:t>
      </w:r>
      <w:r>
        <w:rPr>
          <w:rFonts w:ascii="Book Antiqua" w:eastAsia="Book Antiqua" w:hAnsi="Book Antiqua" w:cs="Book Antiqua"/>
          <w:color w:val="000000"/>
          <w:vertAlign w:val="superscript"/>
        </w:rPr>
        <w:t>[3,4]</w:t>
      </w:r>
      <w:r>
        <w:rPr>
          <w:rFonts w:ascii="Book Antiqua" w:eastAsia="Book Antiqua" w:hAnsi="Book Antiqua" w:cs="Book Antiqua"/>
          <w:color w:val="000000"/>
        </w:rPr>
        <w:t>. However, this may not be clinically significant, as the size of the varix is one of t</w:t>
      </w:r>
      <w:r>
        <w:rPr>
          <w:rFonts w:ascii="Book Antiqua" w:eastAsia="Book Antiqua" w:hAnsi="Book Antiqua" w:cs="Book Antiqua"/>
          <w:color w:val="000000"/>
        </w:rPr>
        <w:t xml:space="preserve">he characteristics that predict risk of haemorrhage, and larger GV are less likely to remain undetected by standard endoscopy. </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Both GV and oesophageal varices develop as a consequence of portal hypertension. Portal hypertension may lead to reversal of flo</w:t>
      </w:r>
      <w:r>
        <w:rPr>
          <w:rFonts w:ascii="Book Antiqua" w:eastAsia="Book Antiqua" w:hAnsi="Book Antiqua" w:cs="Book Antiqua"/>
          <w:color w:val="000000"/>
        </w:rPr>
        <w:t xml:space="preserve">w through the portal circulation, with two common outlets -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coronary (gastric) vein to the right and left gastric veins, and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splenic vein to the short and posterior gastric veins</w:t>
      </w:r>
      <w:r>
        <w:rPr>
          <w:rFonts w:ascii="Book Antiqua" w:eastAsia="Book Antiqua" w:hAnsi="Book Antiqua" w:cs="Book Antiqua"/>
          <w:color w:val="000000"/>
          <w:vertAlign w:val="superscript"/>
        </w:rPr>
        <w:t>[5]</w:t>
      </w:r>
      <w:r>
        <w:rPr>
          <w:rFonts w:ascii="Book Antiqua" w:eastAsia="Book Antiqua" w:hAnsi="Book Antiqua" w:cs="Book Antiqua"/>
          <w:color w:val="000000"/>
        </w:rPr>
        <w:t>. The former supply the distal oesophagus and cardia of the</w:t>
      </w:r>
      <w:r>
        <w:rPr>
          <w:rFonts w:ascii="Book Antiqua" w:eastAsia="Book Antiqua" w:hAnsi="Book Antiqua" w:cs="Book Antiqua"/>
          <w:color w:val="000000"/>
        </w:rPr>
        <w:t xml:space="preserve"> stomach where transmitted pressures and increased flow lead to formation of oesophageal and cardio-oesophageal varices. The latter supply the fundus whereby increased pressures and flow through this system leads to the formation of fundal varices. In a ha</w:t>
      </w:r>
      <w:r>
        <w:rPr>
          <w:rFonts w:ascii="Book Antiqua" w:eastAsia="Book Antiqua" w:hAnsi="Book Antiqua" w:cs="Book Antiqua"/>
          <w:color w:val="000000"/>
        </w:rPr>
        <w:t xml:space="preserve">emodynamic study of oesophageal and and GV by Watanabe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78% of patients with portal hypertension had the majority of collateral flow through the left and right gastric veins, likely accounting for the difference in incidence between oesophageal an</w:t>
      </w:r>
      <w:r>
        <w:rPr>
          <w:rFonts w:ascii="Book Antiqua" w:eastAsia="Book Antiqua" w:hAnsi="Book Antiqua" w:cs="Book Antiqua"/>
          <w:color w:val="000000"/>
        </w:rPr>
        <w:t xml:space="preserve">d GV. </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In the same study, GV were demonstrated to bleed at lower portal pressures than oesophageal varices, largely due to the higher prevalence of gastro-renal shunts in those with GV. These shunts decompress the portal system. This finding has since been</w:t>
      </w:r>
      <w:r>
        <w:rPr>
          <w:rFonts w:ascii="Book Antiqua" w:eastAsia="Book Antiqua" w:hAnsi="Book Antiqua" w:cs="Book Antiqua"/>
          <w:color w:val="000000"/>
        </w:rPr>
        <w:t xml:space="preserve"> confirmed in further studies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GV Classification</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Sarin and Kumar</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seminal paper on the anatomical classification of GV from 1989 remains the most widely accepted method for describing GV. They are divided into two groups, with further sub-classifi</w:t>
      </w:r>
      <w:r>
        <w:rPr>
          <w:rFonts w:ascii="Book Antiqua" w:eastAsia="Book Antiqua" w:hAnsi="Book Antiqua" w:cs="Book Antiqua"/>
          <w:color w:val="000000"/>
        </w:rPr>
        <w:t>cation (Figure 1)</w:t>
      </w:r>
      <w:r>
        <w:rPr>
          <w:rFonts w:ascii="Book Antiqua" w:eastAsia="宋体" w:hAnsi="Book Antiqua" w:cs="宋体"/>
          <w:color w:val="000000"/>
          <w:lang w:eastAsia="zh-CN"/>
        </w:rPr>
        <w:t xml:space="preserve">: (1) </w:t>
      </w:r>
      <w:r>
        <w:rPr>
          <w:rFonts w:ascii="Book Antiqua" w:eastAsia="Book Antiqua" w:hAnsi="Book Antiqua" w:cs="Book Antiqua"/>
          <w:color w:val="000000"/>
        </w:rPr>
        <w:t xml:space="preserve">Gastroesophageal varices (GOV) – are continuation of oesophageal varices that extend beyond the gastroesophageal junction. These are divided into: (a) Type 1 (GOV1) – those that extend along the lesser curve of the stomach. These </w:t>
      </w:r>
      <w:r>
        <w:rPr>
          <w:rFonts w:ascii="Book Antiqua" w:eastAsia="Book Antiqua" w:hAnsi="Book Antiqua" w:cs="Book Antiqua"/>
          <w:color w:val="000000"/>
        </w:rPr>
        <w:t>account for 75% of all GV</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(b) Type 2 (GOV2) – those that extend along the greater curve of the stomach into the fundus; (2) Isolated GV (IGV) – occur in the absence of oesophageal varices and are sub-classified into: (a) Type 1 (IGV1) – located in the </w:t>
      </w:r>
      <w:r>
        <w:rPr>
          <w:rFonts w:ascii="Book Antiqua" w:eastAsia="Book Antiqua" w:hAnsi="Book Antiqua" w:cs="Book Antiqua"/>
          <w:color w:val="000000"/>
        </w:rPr>
        <w:t>fundus and do not extend to the cardia. They are also called fundal varices; (b) Type 2 (IGV2) – can occur anywhere in the stomach (</w:t>
      </w:r>
      <w:r>
        <w:rPr>
          <w:rFonts w:ascii="Book Antiqua" w:eastAsia="Book Antiqua" w:hAnsi="Book Antiqua" w:cs="Book Antiqua"/>
          <w:i/>
          <w:iCs/>
          <w:color w:val="000000"/>
        </w:rPr>
        <w:t>i.e.</w:t>
      </w:r>
      <w:r>
        <w:rPr>
          <w:rFonts w:ascii="Book Antiqua" w:eastAsia="Book Antiqua" w:hAnsi="Book Antiqua" w:cs="Book Antiqua"/>
          <w:color w:val="000000"/>
        </w:rPr>
        <w:t>, body, antrum, pylorus). These are rare, occurring in &lt; 5% of those with GV.</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use of this classification system has </w:t>
      </w:r>
      <w:r>
        <w:rPr>
          <w:rFonts w:ascii="Book Antiqua" w:eastAsia="Book Antiqua" w:hAnsi="Book Antiqua" w:cs="Book Antiqua"/>
          <w:color w:val="000000"/>
        </w:rPr>
        <w:t xml:space="preserve">been shown to predict risk of bleeding and guides management. GOV1 varices behave similarly to oesophageal varices, and so the treatment paradigm for prophylaxis and acute variceal haemorrhage is the same for oesophageal varices. IGV1 and GOV2 varices are </w:t>
      </w:r>
      <w:r>
        <w:rPr>
          <w:rFonts w:ascii="Book Antiqua" w:eastAsia="Book Antiqua" w:hAnsi="Book Antiqua" w:cs="Book Antiqua"/>
          <w:color w:val="000000"/>
        </w:rPr>
        <w:t>more difficult to control when they bleed compared with GOV1 varices and portend a poorer prognosis</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An alternate classification, published by Hashizume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is a more detailed examination of GV describing the form (tortuous, nodular or tumorous),</w:t>
      </w:r>
      <w:r>
        <w:rPr>
          <w:rFonts w:ascii="Book Antiqua" w:eastAsia="Book Antiqua" w:hAnsi="Book Antiqua" w:cs="Book Antiqua"/>
          <w:color w:val="000000"/>
        </w:rPr>
        <w:t xml:space="preserve"> location (anterior, posterior, lesser curve or greater curve of cardia, or fundic), and colour (red or white) of the varix (Figure 2). Similar to classification systems for oesophageal varices, this classification is aimed at stratifying patients at highe</w:t>
      </w:r>
      <w:r>
        <w:rPr>
          <w:rFonts w:ascii="Book Antiqua" w:eastAsia="Book Antiqua" w:hAnsi="Book Antiqua" w:cs="Book Antiqua"/>
          <w:color w:val="000000"/>
        </w:rPr>
        <w:t>st risk of bleeding. In a stepwise logistic regression analysis, those with varices in the anterior or greater curve of the cardia, nodular appearance (</w:t>
      </w:r>
      <w:r>
        <w:rPr>
          <w:rFonts w:ascii="Book Antiqua" w:eastAsia="Book Antiqua" w:hAnsi="Book Antiqua" w:cs="Book Antiqua"/>
          <w:i/>
          <w:iCs/>
          <w:color w:val="000000"/>
        </w:rPr>
        <w:t>i.e.</w:t>
      </w:r>
      <w:r>
        <w:rPr>
          <w:rFonts w:ascii="Book Antiqua" w:eastAsia="Book Antiqua" w:hAnsi="Book Antiqua" w:cs="Book Antiqua"/>
          <w:color w:val="000000"/>
        </w:rPr>
        <w:t>, larger size), or red colour spot had the highest predicted risk for bleeding</w:t>
      </w:r>
      <w:r>
        <w:rPr>
          <w:rFonts w:ascii="Book Antiqua" w:eastAsia="Book Antiqua" w:hAnsi="Book Antiqua" w:cs="Book Antiqua"/>
          <w:color w:val="000000"/>
          <w:vertAlign w:val="superscript"/>
        </w:rPr>
        <w:t>[9]</w:t>
      </w:r>
      <w:r>
        <w:rPr>
          <w:rFonts w:ascii="Book Antiqua" w:eastAsia="Book Antiqua" w:hAnsi="Book Antiqua" w:cs="Book Antiqua"/>
          <w:color w:val="000000"/>
        </w:rPr>
        <w:t>. In another study,</w:t>
      </w:r>
      <w:r>
        <w:rPr>
          <w:rFonts w:ascii="Book Antiqua" w:eastAsia="Book Antiqua" w:hAnsi="Book Antiqua" w:cs="Book Antiqua"/>
          <w:color w:val="000000"/>
        </w:rPr>
        <w:t xml:space="preserve"> which focused on patients with fundic varices, increased size and presence of a red spot increased risk of haemorrhage</w:t>
      </w:r>
      <w:r>
        <w:rPr>
          <w:rFonts w:ascii="Book Antiqua" w:eastAsia="Book Antiqua" w:hAnsi="Book Antiqua" w:cs="Book Antiqua"/>
          <w:color w:val="000000"/>
          <w:vertAlign w:val="superscript"/>
        </w:rPr>
        <w:t>[10]</w:t>
      </w:r>
      <w:r>
        <w:rPr>
          <w:rFonts w:ascii="Book Antiqua" w:eastAsia="Book Antiqua" w:hAnsi="Book Antiqua" w:cs="Book Antiqua"/>
          <w:color w:val="000000"/>
        </w:rPr>
        <w:t>. Advanced liver disease, as determined by the Child-Turcotte-Pugh classification, was an additional risk factor for bleeding</w:t>
      </w:r>
      <w:r>
        <w:rPr>
          <w:rFonts w:ascii="Book Antiqua" w:eastAsia="Book Antiqua" w:hAnsi="Book Antiqua" w:cs="Book Antiqua"/>
          <w:color w:val="000000"/>
          <w:vertAlign w:val="superscript"/>
        </w:rPr>
        <w:t>[10]</w:t>
      </w:r>
      <w:r>
        <w:rPr>
          <w:rFonts w:ascii="Book Antiqua" w:eastAsia="Book Antiqua" w:hAnsi="Book Antiqua" w:cs="Book Antiqua"/>
          <w:color w:val="000000"/>
        </w:rPr>
        <w:t>. Ot</w:t>
      </w:r>
      <w:r>
        <w:rPr>
          <w:rFonts w:ascii="Book Antiqua" w:eastAsia="Book Antiqua" w:hAnsi="Book Antiqua" w:cs="Book Antiqua"/>
          <w:color w:val="000000"/>
        </w:rPr>
        <w:t>her classification systems exist</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are used less frequently than those described by Sarin and Kumar</w:t>
      </w:r>
      <w:r>
        <w:rPr>
          <w:rFonts w:ascii="Book Antiqua" w:eastAsia="Book Antiqua" w:hAnsi="Book Antiqua" w:cs="Book Antiqua"/>
          <w:color w:val="000000"/>
          <w:vertAlign w:val="superscript"/>
        </w:rPr>
        <w:t>[8]</w:t>
      </w:r>
      <w:r>
        <w:rPr>
          <w:rFonts w:ascii="Book Antiqua" w:eastAsia="宋体" w:hAnsi="Book Antiqua" w:cs="宋体"/>
          <w:color w:val="000000"/>
          <w:lang w:eastAsia="zh-CN"/>
        </w:rPr>
        <w:t>,</w:t>
      </w:r>
      <w:r>
        <w:rPr>
          <w:rFonts w:ascii="Book Antiqua" w:eastAsia="Book Antiqua" w:hAnsi="Book Antiqua" w:cs="Book Antiqua"/>
          <w:color w:val="000000"/>
        </w:rPr>
        <w:t xml:space="preserve"> and Hashizume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Acute gastric variceal haemorrhage</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Bleeding from GV is considered definite if there is active spurting or oozing fro</w:t>
      </w:r>
      <w:r>
        <w:rPr>
          <w:rFonts w:ascii="Book Antiqua" w:eastAsia="Book Antiqua" w:hAnsi="Book Antiqua" w:cs="Book Antiqua"/>
          <w:color w:val="000000"/>
        </w:rPr>
        <w:t>m the varix or an adherent clot or fibrin plug on the varix. GV bleeding should be considered the cause of upper gastrointestinal bleeding when a GV without high-risk stigmata is present in the absence of oesophageal varices or an alternate source of bleed</w:t>
      </w:r>
      <w:r>
        <w:rPr>
          <w:rFonts w:ascii="Book Antiqua" w:eastAsia="Book Antiqua" w:hAnsi="Book Antiqua" w:cs="Book Antiqua"/>
          <w:color w:val="000000"/>
        </w:rPr>
        <w:t>ing</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b/>
          <w:bCs/>
          <w:i/>
          <w:iCs/>
        </w:rPr>
      </w:pPr>
      <w:r>
        <w:rPr>
          <w:rFonts w:ascii="Book Antiqua" w:eastAsia="Book Antiqua" w:hAnsi="Book Antiqua" w:cs="Book Antiqua"/>
          <w:b/>
          <w:bCs/>
          <w:i/>
          <w:iCs/>
          <w:color w:val="000000"/>
        </w:rPr>
        <w:t xml:space="preserve">Pre-endoscopic management </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Pre-endoscopic management follows that for oesophageal variceal bleeding, namely use of splanchnic vasoconstrictors (</w:t>
      </w:r>
      <w:r>
        <w:rPr>
          <w:rFonts w:ascii="Book Antiqua" w:eastAsia="Book Antiqua" w:hAnsi="Book Antiqua" w:cs="Book Antiqua"/>
          <w:i/>
          <w:iCs/>
          <w:color w:val="000000"/>
        </w:rPr>
        <w:t>i.e.</w:t>
      </w:r>
      <w:r>
        <w:rPr>
          <w:rFonts w:ascii="Book Antiqua" w:eastAsia="Book Antiqua" w:hAnsi="Book Antiqua" w:cs="Book Antiqua"/>
          <w:color w:val="000000"/>
        </w:rPr>
        <w:t>, terlipressin or octreotide) to reduce portal pressures, prophylactic antibiotics (</w:t>
      </w:r>
      <w:r>
        <w:rPr>
          <w:rFonts w:ascii="Book Antiqua" w:eastAsia="Book Antiqua" w:hAnsi="Book Antiqua" w:cs="Book Antiqua"/>
          <w:i/>
          <w:iCs/>
          <w:color w:val="000000"/>
        </w:rPr>
        <w:t>e.g.</w:t>
      </w:r>
      <w:r>
        <w:rPr>
          <w:rFonts w:ascii="Book Antiqua" w:eastAsia="Book Antiqua" w:hAnsi="Book Antiqua" w:cs="Book Antiqua"/>
          <w:color w:val="000000"/>
        </w:rPr>
        <w:t>, ceftria</w:t>
      </w:r>
      <w:r>
        <w:rPr>
          <w:rFonts w:ascii="Book Antiqua" w:eastAsia="Book Antiqua" w:hAnsi="Book Antiqua" w:cs="Book Antiqua"/>
          <w:color w:val="000000"/>
        </w:rPr>
        <w:t>xone), and a restrictive transfusion protocol</w:t>
      </w:r>
      <w:r>
        <w:rPr>
          <w:rFonts w:ascii="Book Antiqua" w:eastAsia="Book Antiqua" w:hAnsi="Book Antiqua" w:cs="Book Antiqua"/>
          <w:color w:val="000000"/>
          <w:vertAlign w:val="superscript"/>
        </w:rPr>
        <w:t>[13,14]</w:t>
      </w:r>
      <w:r>
        <w:rPr>
          <w:rFonts w:ascii="Book Antiqua" w:eastAsia="Book Antiqua" w:hAnsi="Book Antiqua" w:cs="Book Antiqua"/>
          <w:color w:val="000000"/>
        </w:rPr>
        <w:t>. The same medical treatment is instituted in patients with a presumed diagnosis of variceal haemorrhage with known portal hypertension who present with symptoms of upper gastrointestinal bleeding.</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b/>
          <w:bCs/>
          <w:i/>
          <w:iCs/>
        </w:rPr>
      </w:pPr>
      <w:r>
        <w:rPr>
          <w:rFonts w:ascii="Book Antiqua" w:eastAsia="Book Antiqua" w:hAnsi="Book Antiqua" w:cs="Book Antiqua"/>
          <w:b/>
          <w:bCs/>
          <w:i/>
          <w:iCs/>
          <w:color w:val="000000"/>
        </w:rPr>
        <w:t>Endos</w:t>
      </w:r>
      <w:r>
        <w:rPr>
          <w:rFonts w:ascii="Book Antiqua" w:eastAsia="Book Antiqua" w:hAnsi="Book Antiqua" w:cs="Book Antiqua"/>
          <w:b/>
          <w:bCs/>
          <w:i/>
          <w:iCs/>
          <w:color w:val="000000"/>
        </w:rPr>
        <w:t>copic management</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As outlined above, GOV1 varices are considered an extension of oesophageal varices and so at the time of haemorrhage should be treated in the same manner as bleeding oesophageal varices [</w:t>
      </w:r>
      <w:r>
        <w:rPr>
          <w:rFonts w:ascii="Book Antiqua" w:eastAsia="Book Antiqua" w:hAnsi="Book Antiqua" w:cs="Book Antiqua"/>
          <w:i/>
          <w:iCs/>
          <w:color w:val="000000"/>
        </w:rPr>
        <w:t>i.e.</w:t>
      </w:r>
      <w:r>
        <w:rPr>
          <w:rFonts w:ascii="Book Antiqua" w:eastAsia="Book Antiqua" w:hAnsi="Book Antiqua" w:cs="Book Antiqua"/>
          <w:color w:val="000000"/>
        </w:rPr>
        <w:t xml:space="preserve">, endoscopic variceal band ligation (EVBL), </w:t>
      </w:r>
      <w:r>
        <w:rPr>
          <w:rFonts w:ascii="Book Antiqua" w:eastAsia="Book Antiqua" w:hAnsi="Book Antiqua" w:cs="Book Antiqua"/>
          <w:color w:val="000000"/>
        </w:rPr>
        <w:t>Figure 3]</w:t>
      </w:r>
      <w:r>
        <w:rPr>
          <w:rFonts w:ascii="Book Antiqua" w:eastAsia="Book Antiqua" w:hAnsi="Book Antiqua" w:cs="Book Antiqua"/>
          <w:color w:val="000000"/>
          <w:vertAlign w:val="superscript"/>
        </w:rPr>
        <w:t>[2,12-14]</w:t>
      </w:r>
      <w:r>
        <w:rPr>
          <w:rFonts w:ascii="Book Antiqua" w:eastAsia="Book Antiqua" w:hAnsi="Book Antiqua" w:cs="Book Antiqua"/>
          <w:color w:val="000000"/>
        </w:rPr>
        <w:t>. One small prospective randomized controlled trial (RCT) reported numerically higher haemostasis and lower re-bleeding rates in the subset of patients with GOV1 haemorrhage treated with endoscopic variceal obturation (EVO) rather than EV</w:t>
      </w:r>
      <w:r>
        <w:rPr>
          <w:rFonts w:ascii="Book Antiqua" w:eastAsia="Book Antiqua" w:hAnsi="Book Antiqua" w:cs="Book Antiqua"/>
          <w:color w:val="000000"/>
        </w:rPr>
        <w:t>BL</w:t>
      </w:r>
      <w:r>
        <w:rPr>
          <w:rFonts w:ascii="Book Antiqua" w:eastAsia="Book Antiqua" w:hAnsi="Book Antiqua" w:cs="Book Antiqua"/>
          <w:color w:val="000000"/>
          <w:vertAlign w:val="superscript"/>
        </w:rPr>
        <w:t>[15]</w:t>
      </w:r>
      <w:r>
        <w:rPr>
          <w:rFonts w:ascii="Book Antiqua" w:eastAsia="Book Antiqua" w:hAnsi="Book Antiqua" w:cs="Book Antiqua"/>
          <w:color w:val="000000"/>
        </w:rPr>
        <w:t>, although this did not reach statistical significance. Both treatments may be considered equally efficacious for GOV1 varices.</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Current guidelines support the use of cyanoacrylate injection – either as </w:t>
      </w:r>
      <w:r>
        <w:rPr>
          <w:rFonts w:ascii="Book Antiqua" w:eastAsia="Book Antiqua" w:hAnsi="Book Antiqua" w:cs="Book Antiqua"/>
          <w:i/>
          <w:iCs/>
          <w:color w:val="000000"/>
        </w:rPr>
        <w:t>N-</w:t>
      </w:r>
      <w:r>
        <w:rPr>
          <w:rFonts w:ascii="Book Antiqua" w:eastAsia="Book Antiqua" w:hAnsi="Book Antiqua" w:cs="Book Antiqua"/>
          <w:color w:val="000000"/>
        </w:rPr>
        <w:t>butyl-2-cyanoacrylate (</w:t>
      </w:r>
      <w:r>
        <w:rPr>
          <w:rFonts w:ascii="Book Antiqua" w:eastAsia="Book Antiqua" w:hAnsi="Book Antiqua" w:cs="Book Antiqua"/>
          <w:i/>
          <w:iCs/>
          <w:color w:val="000000"/>
        </w:rPr>
        <w:t>e.g.</w:t>
      </w:r>
      <w:r>
        <w:rPr>
          <w:rFonts w:ascii="Book Antiqua" w:eastAsia="Book Antiqua" w:hAnsi="Book Antiqua" w:cs="Book Antiqua"/>
          <w:color w:val="000000"/>
        </w:rPr>
        <w:t>, Histoacryl</w:t>
      </w:r>
      <w:r>
        <w:rPr>
          <w:rFonts w:ascii="Book Antiqua" w:eastAsia="Book Antiqua" w:hAnsi="Book Antiqua" w:cs="Book Antiqua"/>
          <w:color w:val="000000"/>
          <w:vertAlign w:val="superscript"/>
        </w:rPr>
        <w:t>®</w:t>
      </w:r>
      <w:r>
        <w:rPr>
          <w:rFonts w:ascii="Book Antiqua" w:eastAsia="Book Antiqua" w:hAnsi="Book Antiqua" w:cs="Book Antiqua"/>
          <w:color w:val="000000"/>
        </w:rPr>
        <w:t>) or 2</w:t>
      </w:r>
      <w:r>
        <w:rPr>
          <w:rFonts w:ascii="Book Antiqua" w:eastAsia="Book Antiqua" w:hAnsi="Book Antiqua" w:cs="Book Antiqua"/>
          <w:color w:val="000000"/>
        </w:rPr>
        <w:t>-octyl-cyanoacrylate (</w:t>
      </w:r>
      <w:r>
        <w:rPr>
          <w:rFonts w:ascii="Book Antiqua" w:eastAsia="Book Antiqua" w:hAnsi="Book Antiqua" w:cs="Book Antiqua"/>
          <w:i/>
          <w:iCs/>
          <w:color w:val="000000"/>
        </w:rPr>
        <w:t>e.g.</w:t>
      </w:r>
      <w:r>
        <w:rPr>
          <w:rFonts w:ascii="Book Antiqua" w:eastAsia="Book Antiqua" w:hAnsi="Book Antiqua" w:cs="Book Antiqua"/>
          <w:color w:val="000000"/>
        </w:rPr>
        <w:t>, Dermabond) – for acutely bleeding fundic varices (GOV2 and IGV1), in a procedure termed EVO</w:t>
      </w:r>
      <w:r>
        <w:rPr>
          <w:rFonts w:ascii="Book Antiqua" w:eastAsia="Book Antiqua" w:hAnsi="Book Antiqua" w:cs="Book Antiqua"/>
          <w:color w:val="000000"/>
          <w:vertAlign w:val="superscript"/>
        </w:rPr>
        <w:t>[13,14]</w:t>
      </w:r>
      <w:r>
        <w:rPr>
          <w:rFonts w:ascii="Book Antiqua" w:eastAsia="Book Antiqua" w:hAnsi="Book Antiqua" w:cs="Book Antiqua"/>
          <w:color w:val="000000"/>
        </w:rPr>
        <w:t>. Cyanoacrylate is a tissue adhesive that rapidly polymerizes upon contact with water/blood, leading to a change in the liquid com</w:t>
      </w:r>
      <w:r>
        <w:rPr>
          <w:rFonts w:ascii="Book Antiqua" w:eastAsia="Book Antiqua" w:hAnsi="Book Antiqua" w:cs="Book Antiqua"/>
          <w:color w:val="000000"/>
        </w:rPr>
        <w:t>position to one of a hard brittle acrylic plastic. Majority evidence for its use stems from uncontrolled retrospective and prospective studies</w:t>
      </w:r>
      <w:r>
        <w:rPr>
          <w:rFonts w:ascii="Book Antiqua" w:eastAsia="Book Antiqua" w:hAnsi="Book Antiqua" w:cs="Book Antiqua"/>
          <w:color w:val="000000"/>
          <w:vertAlign w:val="superscript"/>
        </w:rPr>
        <w:t>[16]</w:t>
      </w:r>
      <w:r>
        <w:rPr>
          <w:rFonts w:ascii="Book Antiqua" w:eastAsia="Book Antiqua" w:hAnsi="Book Antiqua" w:cs="Book Antiqua"/>
          <w:color w:val="000000"/>
        </w:rPr>
        <w:t>, with one RCT demonstrating a statistically non-significant increased haemostasis rate when compared to alcoh</w:t>
      </w:r>
      <w:r>
        <w:rPr>
          <w:rFonts w:ascii="Book Antiqua" w:eastAsia="Book Antiqua" w:hAnsi="Book Antiqua" w:cs="Book Antiqua"/>
          <w:color w:val="000000"/>
        </w:rPr>
        <w:t xml:space="preserve">ol-based sclerotherapy (89% </w:t>
      </w:r>
      <w:r>
        <w:rPr>
          <w:rFonts w:ascii="Book Antiqua" w:eastAsia="Book Antiqua" w:hAnsi="Book Antiqua" w:cs="Book Antiqua"/>
          <w:i/>
          <w:iCs/>
          <w:color w:val="000000"/>
        </w:rPr>
        <w:t>vs</w:t>
      </w:r>
      <w:r>
        <w:rPr>
          <w:rFonts w:ascii="Book Antiqua" w:eastAsia="Book Antiqua" w:hAnsi="Book Antiqua" w:cs="Book Antiqua"/>
          <w:color w:val="000000"/>
        </w:rPr>
        <w:t xml:space="preserve"> 62%)</w:t>
      </w:r>
      <w:r>
        <w:rPr>
          <w:rFonts w:ascii="Book Antiqua" w:eastAsia="Book Antiqua" w:hAnsi="Book Antiqua" w:cs="Book Antiqua"/>
          <w:color w:val="000000"/>
          <w:vertAlign w:val="superscript"/>
        </w:rPr>
        <w:t>[17]</w:t>
      </w:r>
      <w:r>
        <w:rPr>
          <w:rFonts w:ascii="Book Antiqua" w:eastAsia="Book Antiqua" w:hAnsi="Book Antiqua" w:cs="Book Antiqua"/>
          <w:color w:val="000000"/>
        </w:rPr>
        <w:t>. Haemostasis rates for cyanoacrylate glue injection are 80%-100%, with re-bleeding rates of 10%-60%</w:t>
      </w:r>
      <w:r>
        <w:rPr>
          <w:rFonts w:ascii="Book Antiqua" w:eastAsia="Book Antiqua" w:hAnsi="Book Antiqua" w:cs="Book Antiqua"/>
          <w:color w:val="000000"/>
          <w:vertAlign w:val="superscript"/>
        </w:rPr>
        <w:t>[16]</w:t>
      </w:r>
      <w:r>
        <w:rPr>
          <w:rFonts w:ascii="Book Antiqua" w:eastAsia="Book Antiqua" w:hAnsi="Book Antiqua" w:cs="Book Antiqua"/>
          <w:color w:val="000000"/>
        </w:rPr>
        <w:t>. Complications are rare, with fever and pain being the most common, while the most feared is embolization of the</w:t>
      </w:r>
      <w:r>
        <w:rPr>
          <w:rFonts w:ascii="Book Antiqua" w:eastAsia="Book Antiqua" w:hAnsi="Book Antiqua" w:cs="Book Antiqua"/>
          <w:color w:val="000000"/>
        </w:rPr>
        <w:t xml:space="preserve"> glue into systemic beds that can lead to ischaemia in those tissues (</w:t>
      </w:r>
      <w:r>
        <w:rPr>
          <w:rFonts w:ascii="Book Antiqua" w:eastAsia="Book Antiqua" w:hAnsi="Book Antiqua" w:cs="Book Antiqua"/>
          <w:i/>
          <w:iCs/>
          <w:color w:val="000000"/>
        </w:rPr>
        <w:t>e.g.</w:t>
      </w:r>
      <w:r>
        <w:rPr>
          <w:rFonts w:ascii="Book Antiqua" w:eastAsia="Book Antiqua" w:hAnsi="Book Antiqua" w:cs="Book Antiqua"/>
          <w:color w:val="000000"/>
        </w:rPr>
        <w:t>, stroke, myocardial infarction, splenic infarction, pulmonary embolus).</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Thrombin injection has been utilized as an alternative to cyanoacrylate for EVO for almost three decades; how</w:t>
      </w:r>
      <w:r>
        <w:rPr>
          <w:rFonts w:ascii="Book Antiqua" w:eastAsia="Book Antiqua" w:hAnsi="Book Antiqua" w:cs="Book Antiqua"/>
          <w:color w:val="000000"/>
        </w:rPr>
        <w:t>ever, like cyanoacrylate, evidence for its use is taken from small, uncontrolled studies</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It appears safe, with few adverse procedure-related outcomes, and haemostasis and re-bleeding rates similar to cyanoacrylate. </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Sclerotherapy, the injection of a s</w:t>
      </w:r>
      <w:r>
        <w:rPr>
          <w:rFonts w:ascii="Book Antiqua" w:eastAsia="Book Antiqua" w:hAnsi="Book Antiqua" w:cs="Book Antiqua"/>
          <w:color w:val="000000"/>
        </w:rPr>
        <w:t>clerosant agent into the varix, has gone out of favour for the treatment of gastric variceal haemorrhage due to unacceptably high re-bleeding rates of up to 90%-100%</w:t>
      </w:r>
      <w:r>
        <w:rPr>
          <w:rFonts w:ascii="Book Antiqua" w:eastAsia="Book Antiqua" w:hAnsi="Book Antiqua" w:cs="Book Antiqua"/>
          <w:color w:val="000000"/>
          <w:vertAlign w:val="superscript"/>
        </w:rPr>
        <w:t>[16]</w:t>
      </w:r>
      <w:r>
        <w:rPr>
          <w:rFonts w:ascii="Book Antiqua" w:eastAsia="Book Antiqua" w:hAnsi="Book Antiqua" w:cs="Book Antiqua"/>
          <w:color w:val="000000"/>
        </w:rPr>
        <w:t>. This is often due to ulceration at the point of injection resulting from the high vol</w:t>
      </w:r>
      <w:r>
        <w:rPr>
          <w:rFonts w:ascii="Book Antiqua" w:eastAsia="Book Antiqua" w:hAnsi="Book Antiqua" w:cs="Book Antiqua"/>
          <w:color w:val="000000"/>
        </w:rPr>
        <w:t xml:space="preserve">ume of sclerosant required to obliterate GV, with a large amount of sclerosant flowing away from the variceal bed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co-existent gastro-renal shunts that occur with high prevalence in patients with GV</w:t>
      </w:r>
      <w:r>
        <w:rPr>
          <w:rFonts w:ascii="Book Antiqua" w:eastAsia="Book Antiqua" w:hAnsi="Book Antiqua" w:cs="Book Antiqua"/>
          <w:color w:val="000000"/>
          <w:vertAlign w:val="superscript"/>
        </w:rPr>
        <w:t>[16]</w:t>
      </w:r>
      <w:r>
        <w:rPr>
          <w:rFonts w:ascii="Book Antiqua" w:eastAsia="Book Antiqua" w:hAnsi="Book Antiqua" w:cs="Book Antiqua"/>
          <w:color w:val="000000"/>
        </w:rPr>
        <w:t>. Adverse events include fever, and retrosternal an</w:t>
      </w:r>
      <w:r>
        <w:rPr>
          <w:rFonts w:ascii="Book Antiqua" w:eastAsia="Book Antiqua" w:hAnsi="Book Antiqua" w:cs="Book Antiqua"/>
          <w:color w:val="000000"/>
        </w:rPr>
        <w:t xml:space="preserve">d abdominal pain. </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IGV-2 varices are rare; hence little evidence exists as to the optimal endoscopic management. In general, it is accepted that they should be treated according to GOV2/IGV1 varices with EVO. </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b/>
          <w:bCs/>
          <w:i/>
          <w:iCs/>
        </w:rPr>
      </w:pPr>
      <w:r>
        <w:rPr>
          <w:rFonts w:ascii="Book Antiqua" w:eastAsia="Book Antiqua" w:hAnsi="Book Antiqua" w:cs="Book Antiqua"/>
          <w:b/>
          <w:bCs/>
          <w:i/>
          <w:iCs/>
          <w:color w:val="000000"/>
        </w:rPr>
        <w:t>Salvage therapy</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Balloon tamponade with Sengst</w:t>
      </w:r>
      <w:r>
        <w:rPr>
          <w:rFonts w:ascii="Book Antiqua" w:eastAsia="Book Antiqua" w:hAnsi="Book Antiqua" w:cs="Book Antiqua"/>
          <w:color w:val="000000"/>
        </w:rPr>
        <w:t>aken-Blakemore, Minnesota or Linton-Nachlas tubes can be utilized in patients with bleeding from GOV1, GOV2 and IGV1 varices. They will not be effective for IGV2 varices, given the ectopic location of the culprit lesion. The Linton-Nachlas tube may be pref</w:t>
      </w:r>
      <w:r>
        <w:rPr>
          <w:rFonts w:ascii="Book Antiqua" w:eastAsia="Book Antiqua" w:hAnsi="Book Antiqua" w:cs="Book Antiqua"/>
          <w:color w:val="000000"/>
        </w:rPr>
        <w:t>erred in gastric variceal haemorrhage if available, as the gastric balloon has greater volume capacity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p>
    <w:p w:rsidR="00274AA8" w:rsidRDefault="00FE4189">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Transjugular intrahepatic portosystemic shunt (TIPS) (Figure 4) is an effective salvage therapy for patients with endoscopically-uncontrollable ble</w:t>
      </w:r>
      <w:r>
        <w:rPr>
          <w:rFonts w:ascii="Book Antiqua" w:eastAsia="Book Antiqua" w:hAnsi="Book Antiqua" w:cs="Book Antiqua"/>
          <w:color w:val="000000"/>
        </w:rPr>
        <w:t>eding oesophageal varices, however its utility in refractory gastric variceal haemorrhage is less clear</w:t>
      </w:r>
      <w:r>
        <w:rPr>
          <w:rFonts w:ascii="Book Antiqua" w:eastAsia="Book Antiqua" w:hAnsi="Book Antiqua" w:cs="Book Antiqua"/>
          <w:color w:val="000000"/>
          <w:vertAlign w:val="superscript"/>
        </w:rPr>
        <w:t>[12]</w:t>
      </w:r>
      <w:r>
        <w:rPr>
          <w:rFonts w:ascii="Book Antiqua" w:eastAsia="Book Antiqua" w:hAnsi="Book Antiqua" w:cs="Book Antiqua"/>
          <w:color w:val="000000"/>
        </w:rPr>
        <w:t>. Although haemostasis rates exceed 90%, re-bleeding is reported to occur in 15%-30%</w:t>
      </w:r>
      <w:r>
        <w:rPr>
          <w:rFonts w:ascii="Book Antiqua" w:eastAsia="Book Antiqua" w:hAnsi="Book Antiqua" w:cs="Book Antiqua"/>
          <w:color w:val="000000"/>
          <w:vertAlign w:val="superscript"/>
        </w:rPr>
        <w:t>[18-20]</w:t>
      </w:r>
      <w:r>
        <w:rPr>
          <w:rFonts w:ascii="Book Antiqua" w:eastAsia="Book Antiqua" w:hAnsi="Book Antiqua" w:cs="Book Antiqua"/>
          <w:color w:val="000000"/>
        </w:rPr>
        <w:t xml:space="preserve"> and concerns remain over post-TIPS encephalopathy, which </w:t>
      </w:r>
      <w:r>
        <w:rPr>
          <w:rFonts w:ascii="Book Antiqua" w:eastAsia="Book Antiqua" w:hAnsi="Book Antiqua" w:cs="Book Antiqua"/>
          <w:color w:val="000000"/>
        </w:rPr>
        <w:t>can be recalcitrant to standard medical therapy and necessitate revision of the TIPS. Several hypotheses have been proposed to explain the risk of re-bleeding</w:t>
      </w:r>
      <w:r>
        <w:rPr>
          <w:rFonts w:ascii="Book Antiqua" w:eastAsia="Book Antiqua" w:hAnsi="Book Antiqua" w:cs="Book Antiqua"/>
          <w:color w:val="000000"/>
          <w:vertAlign w:val="superscript"/>
        </w:rPr>
        <w:t>[21,22]</w:t>
      </w:r>
      <w:r>
        <w:rPr>
          <w:rFonts w:ascii="Book Antiqua" w:eastAsia="Book Antiqua" w:hAnsi="Book Antiqua" w:cs="Book Antiqua"/>
          <w:color w:val="000000"/>
        </w:rPr>
        <w:t>;</w:t>
      </w:r>
      <w:r>
        <w:rPr>
          <w:rFonts w:ascii="Book Antiqua" w:hAnsi="Book Antiqua"/>
          <w:lang w:eastAsia="zh-CN"/>
        </w:rPr>
        <w:t xml:space="preserve"> </w:t>
      </w:r>
      <w:r>
        <w:rPr>
          <w:rFonts w:ascii="Book Antiqua" w:eastAsia="Book Antiqua" w:hAnsi="Book Antiqua" w:cs="Book Antiqua"/>
          <w:color w:val="000000"/>
        </w:rPr>
        <w:t>‘Proximity’ theory – feeding vessels to GV lie further away from a TIPS shunt than feedin</w:t>
      </w:r>
      <w:r>
        <w:rPr>
          <w:rFonts w:ascii="Book Antiqua" w:eastAsia="Book Antiqua" w:hAnsi="Book Antiqua" w:cs="Book Antiqua"/>
          <w:color w:val="000000"/>
        </w:rPr>
        <w:t>g vessels to oesophageal varices, hence the shunt is less effective in decompressing GV; ‘Throughput’ theory – gastro-renal shunts that occur in high frequency in association with bleeding GV compete with the TIPS for portal flow and can continue to feed t</w:t>
      </w:r>
      <w:r>
        <w:rPr>
          <w:rFonts w:ascii="Book Antiqua" w:eastAsia="Book Antiqua" w:hAnsi="Book Antiqua" w:cs="Book Antiqua"/>
          <w:color w:val="000000"/>
        </w:rPr>
        <w:t>he gastric variceal bed; ‘Recruitment’ theory – development of new feeder vessels after proximal embolization of a GV</w:t>
      </w:r>
      <w:r>
        <w:rPr>
          <w:rFonts w:ascii="Book Antiqua" w:hAnsi="Book Antiqua"/>
          <w:lang w:eastAsia="zh-CN"/>
        </w:rPr>
        <w:t>.</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retrospective comparison studies, Mahadeva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found TIPS to be more effective in preventing re-bleeding when compared with EVO in acute gastric variceal haemorrhage, whilst Procaccini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found no difference between the two modalities.</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Balloon-occlusion retrograde transvenous obliteration (BRTO</w:t>
      </w:r>
      <w:r>
        <w:rPr>
          <w:rFonts w:ascii="Book Antiqua" w:eastAsia="Book Antiqua" w:hAnsi="Book Antiqua" w:cs="Book Antiqua"/>
          <w:color w:val="000000"/>
        </w:rPr>
        <w:t>) and its modifications (coil-assisted or plug-assisted retrograde transvenous obliteration) aim to sclerose a varix without treating portal hypertension. BRTO is often reserved for use in patients with anatomy not amenable for TIPS or where TIPS is contra</w:t>
      </w:r>
      <w:r>
        <w:rPr>
          <w:rFonts w:ascii="Book Antiqua" w:eastAsia="Book Antiqua" w:hAnsi="Book Antiqua" w:cs="Book Antiqua"/>
          <w:color w:val="000000"/>
        </w:rPr>
        <w:t>indicated (</w:t>
      </w:r>
      <w:r>
        <w:rPr>
          <w:rFonts w:ascii="Book Antiqua" w:eastAsia="Book Antiqua" w:hAnsi="Book Antiqua" w:cs="Book Antiqua"/>
          <w:i/>
          <w:iCs/>
          <w:color w:val="000000"/>
        </w:rPr>
        <w:t>i.e.</w:t>
      </w:r>
      <w:r>
        <w:rPr>
          <w:rFonts w:ascii="Book Antiqua" w:eastAsia="Book Antiqua" w:hAnsi="Book Antiqua" w:cs="Book Antiqua"/>
          <w:color w:val="000000"/>
        </w:rPr>
        <w:t>, past history of hepatic encephalopathy or advanced synthetic liver dysfunction), and is reliant on the presence of a gastro-renal shunt for technical feasibility. Similar to TIPS, it is highly effective in achieving haemostasis with succes</w:t>
      </w:r>
      <w:r>
        <w:rPr>
          <w:rFonts w:ascii="Book Antiqua" w:eastAsia="Book Antiqua" w:hAnsi="Book Antiqua" w:cs="Book Antiqua"/>
          <w:color w:val="000000"/>
        </w:rPr>
        <w:t>s rates &gt; 90%</w:t>
      </w:r>
      <w:r>
        <w:rPr>
          <w:rFonts w:ascii="Book Antiqua" w:eastAsia="Book Antiqua" w:hAnsi="Book Antiqua" w:cs="Book Antiqua"/>
          <w:color w:val="000000"/>
          <w:vertAlign w:val="superscript"/>
        </w:rPr>
        <w:t>[21,25]</w:t>
      </w:r>
      <w:r>
        <w:rPr>
          <w:rFonts w:ascii="Book Antiqua" w:eastAsia="Book Antiqua" w:hAnsi="Book Antiqua" w:cs="Book Antiqua"/>
          <w:color w:val="000000"/>
        </w:rPr>
        <w:t>. A meta-analysis of uncontrolled studies reported a clinical success rate of 97%, defined as no GV recurrence or re-bleed of acutely bleeding GV or no bleed in the case of at-risk GV that have never-bled</w:t>
      </w:r>
      <w:r>
        <w:rPr>
          <w:rFonts w:ascii="Book Antiqua" w:eastAsia="Book Antiqua" w:hAnsi="Book Antiqua" w:cs="Book Antiqua"/>
          <w:color w:val="000000"/>
          <w:vertAlign w:val="superscript"/>
        </w:rPr>
        <w:t>[26]</w:t>
      </w:r>
      <w:r>
        <w:rPr>
          <w:rFonts w:ascii="Book Antiqua" w:eastAsia="Book Antiqua" w:hAnsi="Book Antiqua" w:cs="Book Antiqua"/>
          <w:color w:val="000000"/>
        </w:rPr>
        <w:t>. The main sclerosant used f</w:t>
      </w:r>
      <w:r>
        <w:rPr>
          <w:rFonts w:ascii="Book Antiqua" w:eastAsia="Book Antiqua" w:hAnsi="Book Antiqua" w:cs="Book Antiqua"/>
          <w:color w:val="000000"/>
        </w:rPr>
        <w:t>or BRTO in reported studies was ethalonamine oleate, in 94% of cases, and the most common side effect was haematuria, occurring in 70%</w:t>
      </w:r>
      <w:r>
        <w:rPr>
          <w:rFonts w:ascii="Book Antiqua" w:eastAsia="Book Antiqua" w:hAnsi="Book Antiqua" w:cs="Book Antiqua"/>
          <w:color w:val="000000"/>
          <w:vertAlign w:val="superscript"/>
        </w:rPr>
        <w:t>[26]</w:t>
      </w:r>
      <w:r>
        <w:rPr>
          <w:rFonts w:ascii="Book Antiqua" w:eastAsia="Book Antiqua" w:hAnsi="Book Antiqua" w:cs="Book Antiqua"/>
          <w:color w:val="000000"/>
        </w:rPr>
        <w:t>. Given ethalonamine oleate is a known cause of haemolysis, the common occurrence of haematuria is somewhat expected f</w:t>
      </w:r>
      <w:r>
        <w:rPr>
          <w:rFonts w:ascii="Book Antiqua" w:eastAsia="Book Antiqua" w:hAnsi="Book Antiqua" w:cs="Book Antiqua"/>
          <w:color w:val="000000"/>
        </w:rPr>
        <w:t xml:space="preserve">rom consequent haemoglobinuria. The antidote for this is parenteral administration of haptoglobin. Although this review by Park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included patients who underwent BRTO for acute treatment of variceal haemorrhage, primary prophylaxis and secondary pr</w:t>
      </w:r>
      <w:r>
        <w:rPr>
          <w:rFonts w:ascii="Book Antiqua" w:eastAsia="Book Antiqua" w:hAnsi="Book Antiqua" w:cs="Book Antiqua"/>
          <w:color w:val="000000"/>
        </w:rPr>
        <w:t>ophylaxis, a breakdown of indication was not provided and subgroup analysis for this purpose not available. Another, more recently published meta-analysis</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found that there was no significant difference in immediate haemostasis rates between the two pro</w:t>
      </w:r>
      <w:r>
        <w:rPr>
          <w:rFonts w:ascii="Book Antiqua" w:eastAsia="Book Antiqua" w:hAnsi="Book Antiqua" w:cs="Book Antiqua"/>
          <w:color w:val="000000"/>
        </w:rPr>
        <w:t xml:space="preserve">cedures, but a higher re-bleeding rate post-TIPS [relative risk (RR) 2.61, 95% confidence interval (CI) 1.75–3.90,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higher post-procedural hepatic encephalopathy rate post-TIPS (RR 16.11, 95%CI: 7.13–36.37,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statistically non-significan</w:t>
      </w:r>
      <w:r>
        <w:rPr>
          <w:rFonts w:ascii="Book Antiqua" w:eastAsia="Book Antiqua" w:hAnsi="Book Antiqua" w:cs="Book Antiqua"/>
          <w:color w:val="000000"/>
        </w:rPr>
        <w:t>t higher rate of ascites in the BRTO group and statistically non-significant worsening in Child-Pugh status in those who received TIPS. Apart from a small pilot study out of Seoul, Korea</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that randomly assigned 14 patients with acutely bleeding GV to up</w:t>
      </w:r>
      <w:r>
        <w:rPr>
          <w:rFonts w:ascii="Book Antiqua" w:eastAsia="Book Antiqua" w:hAnsi="Book Antiqua" w:cs="Book Antiqua"/>
          <w:color w:val="000000"/>
        </w:rPr>
        <w:t>-front TIPS or BRTO, there have not been any head-to-head RCTs to ascertain the difference in safety and efficacy between these procedures in patients with acutely bleeding GV. A disadvantage of BRTO is that it can lead to the development or worsening of n</w:t>
      </w:r>
      <w:r>
        <w:rPr>
          <w:rFonts w:ascii="Book Antiqua" w:eastAsia="Book Antiqua" w:hAnsi="Book Antiqua" w:cs="Book Antiqua"/>
          <w:color w:val="000000"/>
        </w:rPr>
        <w:t xml:space="preserve">on-GV (oesophageal or ectopic) as portal blood flow is diverted through alternate pathways, or exacerbation or new development of ascites due to raised portal pressures. This is not an issue post-TIPS, which effectively decompresses the portal system. </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b/>
          <w:bCs/>
        </w:rPr>
      </w:pPr>
      <w:r>
        <w:rPr>
          <w:rFonts w:ascii="Book Antiqua" w:eastAsia="Book Antiqua" w:hAnsi="Book Antiqua" w:cs="Book Antiqua"/>
          <w:b/>
          <w:bCs/>
          <w:color w:val="000000"/>
          <w:u w:val="single" w:color="000000"/>
        </w:rPr>
        <w:t>SE</w:t>
      </w:r>
      <w:r>
        <w:rPr>
          <w:rFonts w:ascii="Book Antiqua" w:eastAsia="Book Antiqua" w:hAnsi="Book Antiqua" w:cs="Book Antiqua"/>
          <w:b/>
          <w:bCs/>
          <w:color w:val="000000"/>
          <w:u w:val="single" w:color="000000"/>
        </w:rPr>
        <w:t>CONDARY PROPHYLAXIS</w:t>
      </w:r>
    </w:p>
    <w:p w:rsidR="00274AA8" w:rsidRDefault="00FE4189">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Non-selective beta-blockers</w:t>
      </w:r>
    </w:p>
    <w:p w:rsidR="00274AA8" w:rsidRDefault="00FE418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No controlled study has demonstrated efficacy of non-selective beta-blockers (NSBB) for secondary prophylaxis following gastric variceal bleeding. In a RCT by Mishra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[29]</w:t>
      </w:r>
      <w:r>
        <w:rPr>
          <w:rFonts w:ascii="Book Antiqua" w:eastAsia="Book Antiqua" w:hAnsi="Book Antiqua" w:cs="Book Antiqua"/>
          <w:color w:val="000000"/>
        </w:rPr>
        <w:t>, EVO was far more effective in p</w:t>
      </w:r>
      <w:r>
        <w:rPr>
          <w:rFonts w:ascii="Book Antiqua" w:eastAsia="Book Antiqua" w:hAnsi="Book Antiqua" w:cs="Book Antiqua"/>
          <w:color w:val="000000"/>
        </w:rPr>
        <w:t xml:space="preserve">reventing re-bleeding than propranolol, with a relative risk reduction of 80% and absolute risk reduction of 35%. Hung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and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explored the adjunct use of propranolol or carvedilol, respectively, to 3-4 weekly EVO alone following gastr</w:t>
      </w:r>
      <w:r>
        <w:rPr>
          <w:rFonts w:ascii="Book Antiqua" w:eastAsia="Book Antiqua" w:hAnsi="Book Antiqua" w:cs="Book Antiqua"/>
          <w:color w:val="000000"/>
        </w:rPr>
        <w:t>ic variceal haemorrhage in an RCT setting, albeit with no placebo arm. Neither found a difference in gastric variceal re-bleeding rates between the two groups. Of note is that both studies were conducted in the same institution with similar inclusion and e</w:t>
      </w:r>
      <w:r>
        <w:rPr>
          <w:rFonts w:ascii="Book Antiqua" w:eastAsia="Book Antiqua" w:hAnsi="Book Antiqua" w:cs="Book Antiqua"/>
          <w:color w:val="000000"/>
        </w:rPr>
        <w:t xml:space="preserve">xclusion criteria, except the more recent study by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included all patients with any form of gastric variceal bleeding, whilst Hung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only included patients with fundic variceal haemorrhage (GOV2 or IGV1). The study by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did demonstrate a significant reduction in all-cause upper gastrointestinal re-bleeding in the group assigned to carvedilol (28% </w:t>
      </w:r>
      <w:r>
        <w:rPr>
          <w:rFonts w:ascii="Book Antiqua" w:eastAsia="Book Antiqua" w:hAnsi="Book Antiqua" w:cs="Book Antiqua"/>
          <w:i/>
          <w:iCs/>
          <w:color w:val="000000"/>
        </w:rPr>
        <w:t>vs</w:t>
      </w:r>
      <w:r>
        <w:rPr>
          <w:rFonts w:ascii="Book Antiqua" w:eastAsia="Book Antiqua" w:hAnsi="Book Antiqua" w:cs="Book Antiqua"/>
          <w:color w:val="000000"/>
        </w:rPr>
        <w:t xml:space="preserve"> 48%, </w:t>
      </w:r>
      <w:r>
        <w:rPr>
          <w:rFonts w:ascii="Book Antiqua" w:eastAsia="Book Antiqua" w:hAnsi="Book Antiqua" w:cs="Book Antiqua"/>
          <w:i/>
          <w:iCs/>
          <w:color w:val="000000"/>
        </w:rPr>
        <w:t>P</w:t>
      </w:r>
      <w:r>
        <w:rPr>
          <w:rFonts w:ascii="Book Antiqua" w:eastAsia="Book Antiqua" w:hAnsi="Book Antiqua" w:cs="Book Antiqua"/>
          <w:color w:val="000000"/>
        </w:rPr>
        <w:t xml:space="preserve"> = 0.03), driven by a reduction in bleeding from portal hypertensive gastropathy, and oesophageal and gastric ulcers.</w:t>
      </w:r>
      <w:r>
        <w:rPr>
          <w:rFonts w:ascii="Book Antiqua" w:eastAsia="Book Antiqua" w:hAnsi="Book Antiqua" w:cs="Book Antiqua"/>
          <w:color w:val="000000"/>
        </w:rPr>
        <w:t xml:space="preserve"> However, the authors also reported on a higher incidence of adverse events in the carvedilol group (53% </w:t>
      </w:r>
      <w:r>
        <w:rPr>
          <w:rFonts w:ascii="Book Antiqua" w:eastAsia="Book Antiqua" w:hAnsi="Book Antiqua" w:cs="Book Antiqua"/>
          <w:i/>
          <w:iCs/>
          <w:color w:val="000000"/>
        </w:rPr>
        <w:t>vs</w:t>
      </w:r>
      <w:r>
        <w:rPr>
          <w:rFonts w:ascii="Book Antiqua" w:eastAsia="Book Antiqua" w:hAnsi="Book Antiqua" w:cs="Book Antiqua"/>
          <w:color w:val="000000"/>
        </w:rPr>
        <w:t xml:space="preserve"> 15%,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due to more frequent dizziness and exertional dyspnoea. Despite this, no patient in the carvedilol group discontinued therapy. The </w:t>
      </w:r>
      <w:r>
        <w:rPr>
          <w:rFonts w:ascii="Book Antiqua" w:eastAsia="Book Antiqua" w:hAnsi="Book Antiqua" w:cs="Book Antiqua"/>
          <w:color w:val="000000"/>
        </w:rPr>
        <w:t xml:space="preserve">lack of efficacy with NSBB following gastric variceal haemorrhage is postulated to be due to the fact that GVs bleed at lower portal pressures, with NSBB having little effect on preventing flow of blood to the culprit variceal bed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co-existent gastro-re</w:t>
      </w:r>
      <w:r>
        <w:rPr>
          <w:rFonts w:ascii="Book Antiqua" w:eastAsia="Book Antiqua" w:hAnsi="Book Antiqua" w:cs="Book Antiqua"/>
          <w:color w:val="000000"/>
        </w:rPr>
        <w:t>nal shunt</w:t>
      </w:r>
      <w:r>
        <w:rPr>
          <w:rFonts w:ascii="Book Antiqua" w:eastAsia="Book Antiqua" w:hAnsi="Book Antiqua" w:cs="Book Antiqua"/>
          <w:color w:val="000000"/>
          <w:vertAlign w:val="superscript"/>
        </w:rPr>
        <w:t>[30,31]</w:t>
      </w:r>
      <w:r>
        <w:rPr>
          <w:rFonts w:ascii="Book Antiqua" w:eastAsia="Book Antiqua" w:hAnsi="Book Antiqua" w:cs="Book Antiqua"/>
          <w:color w:val="000000"/>
        </w:rPr>
        <w:t>.</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Endoscopic therapy</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Although endoscopic ultrasound (EUS) guided injection of cyanoacrylate reduces embolic complication rates, as a result of reduced volume of cyanoacrylate injected, its use during acute gastric variceal haemorrhage is limited in most centres due to access t</w:t>
      </w:r>
      <w:r>
        <w:rPr>
          <w:rFonts w:ascii="Book Antiqua" w:eastAsia="Book Antiqua" w:hAnsi="Book Antiqua" w:cs="Book Antiqua"/>
          <w:color w:val="000000"/>
        </w:rPr>
        <w:t xml:space="preserve">o endoscopists with expertise in EUS. However, it is an emerging therapy for secondary prophylaxis. A two-part observational comparative study by Lee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compared fortnightly EUS-guided injection of cyanoacrylate in patients presenting with acute ble</w:t>
      </w:r>
      <w:r>
        <w:rPr>
          <w:rFonts w:ascii="Book Antiqua" w:eastAsia="Book Antiqua" w:hAnsi="Book Antiqua" w:cs="Book Antiqua"/>
          <w:color w:val="000000"/>
        </w:rPr>
        <w:t>eding from any type of GV with “on demand” therapy, whereby standard endoscopy and injection of cyanoacrylate was only undertaken at the time of re-bleeding. A significant reduction in re-bleeding was demonstrated in the active endoscopic treatment group (</w:t>
      </w:r>
      <w:r>
        <w:rPr>
          <w:rFonts w:ascii="Book Antiqua" w:eastAsia="Book Antiqua" w:hAnsi="Book Antiqua" w:cs="Book Antiqua"/>
          <w:color w:val="000000"/>
        </w:rPr>
        <w:t xml:space="preserve">35% </w:t>
      </w:r>
      <w:r>
        <w:rPr>
          <w:rFonts w:ascii="Book Antiqua" w:eastAsia="Book Antiqua" w:hAnsi="Book Antiqua" w:cs="Book Antiqua"/>
          <w:i/>
          <w:iCs/>
          <w:color w:val="000000"/>
        </w:rPr>
        <w:t>vs</w:t>
      </w:r>
      <w:r>
        <w:rPr>
          <w:rFonts w:ascii="Book Antiqua" w:eastAsia="Book Antiqua" w:hAnsi="Book Antiqua" w:cs="Book Antiqua"/>
          <w:color w:val="000000"/>
        </w:rPr>
        <w:t xml:space="preserve"> 70%, </w:t>
      </w:r>
      <w:r>
        <w:rPr>
          <w:rFonts w:ascii="Book Antiqua" w:eastAsia="Book Antiqua" w:hAnsi="Book Antiqua" w:cs="Book Antiqua"/>
          <w:i/>
          <w:iCs/>
          <w:color w:val="000000"/>
        </w:rPr>
        <w:t>P</w:t>
      </w:r>
      <w:r>
        <w:rPr>
          <w:rFonts w:ascii="Book Antiqua" w:eastAsia="Book Antiqua" w:hAnsi="Book Antiqua" w:cs="Book Antiqua"/>
          <w:color w:val="000000"/>
        </w:rPr>
        <w:t xml:space="preserve"> = 0.0006). There was no impact on mortality, likely due to the small number of patients in the study. In a similar cohort trial design, Bick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found that there was a lower gastric variceal and all-cause upper gastrointestinal re-bleed</w:t>
      </w:r>
      <w:r>
        <w:rPr>
          <w:rFonts w:ascii="Book Antiqua" w:eastAsia="Book Antiqua" w:hAnsi="Book Antiqua" w:cs="Book Antiqua"/>
          <w:color w:val="000000"/>
        </w:rPr>
        <w:t xml:space="preserve">ing rate (9% </w:t>
      </w:r>
      <w:r>
        <w:rPr>
          <w:rFonts w:ascii="Book Antiqua" w:eastAsia="Book Antiqua" w:hAnsi="Book Antiqua" w:cs="Book Antiqua"/>
          <w:i/>
          <w:iCs/>
          <w:color w:val="000000"/>
        </w:rPr>
        <w:t>vs</w:t>
      </w:r>
      <w:r>
        <w:rPr>
          <w:rFonts w:ascii="Book Antiqua" w:eastAsia="Book Antiqua" w:hAnsi="Book Antiqua" w:cs="Book Antiqua"/>
          <w:color w:val="000000"/>
        </w:rPr>
        <w:t xml:space="preserve"> 24%, </w:t>
      </w:r>
      <w:r>
        <w:rPr>
          <w:rFonts w:ascii="Book Antiqua" w:eastAsia="Book Antiqua" w:hAnsi="Book Antiqua" w:cs="Book Antiqua"/>
          <w:i/>
          <w:iCs/>
          <w:color w:val="000000"/>
        </w:rPr>
        <w:t>P</w:t>
      </w:r>
      <w:r>
        <w:rPr>
          <w:rFonts w:ascii="Book Antiqua" w:eastAsia="Book Antiqua" w:hAnsi="Book Antiqua" w:cs="Book Antiqua"/>
          <w:color w:val="000000"/>
        </w:rPr>
        <w:t xml:space="preserve"> = 0.045 and 19% </w:t>
      </w:r>
      <w:r>
        <w:rPr>
          <w:rFonts w:ascii="Book Antiqua" w:eastAsia="Book Antiqua" w:hAnsi="Book Antiqua" w:cs="Book Antiqua"/>
          <w:i/>
          <w:iCs/>
          <w:color w:val="000000"/>
        </w:rPr>
        <w:t>vs</w:t>
      </w:r>
      <w:r>
        <w:rPr>
          <w:rFonts w:ascii="Book Antiqua" w:eastAsia="Book Antiqua" w:hAnsi="Book Antiqua" w:cs="Book Antiqua"/>
          <w:color w:val="000000"/>
        </w:rPr>
        <w:t xml:space="preserve"> 50%,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respectively) in those managed with EUS-guided cyanoacrylate injection compared with standard endoscopy guided injection. It is important to note that the standard endoscopy cohort had a higher mean</w:t>
      </w:r>
      <w:r>
        <w:rPr>
          <w:rFonts w:ascii="Book Antiqua" w:eastAsia="Book Antiqua" w:hAnsi="Book Antiqua" w:cs="Book Antiqua"/>
          <w:color w:val="000000"/>
        </w:rPr>
        <w:t xml:space="preserve"> MELD (17 </w:t>
      </w:r>
      <w:r>
        <w:rPr>
          <w:rFonts w:ascii="Book Antiqua" w:eastAsia="Book Antiqua" w:hAnsi="Book Antiqua" w:cs="Book Antiqua"/>
          <w:i/>
          <w:iCs/>
          <w:color w:val="000000"/>
        </w:rPr>
        <w:t>vs</w:t>
      </w:r>
      <w:r>
        <w:rPr>
          <w:rFonts w:ascii="Book Antiqua" w:eastAsia="Book Antiqua" w:hAnsi="Book Antiqua" w:cs="Book Antiqua"/>
          <w:color w:val="000000"/>
        </w:rPr>
        <w:t xml:space="preserve"> 13,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lower incidence of IGV1 varices (8% </w:t>
      </w:r>
      <w:r>
        <w:rPr>
          <w:rFonts w:ascii="Book Antiqua" w:eastAsia="Book Antiqua" w:hAnsi="Book Antiqua" w:cs="Book Antiqua"/>
          <w:i/>
          <w:iCs/>
          <w:color w:val="000000"/>
        </w:rPr>
        <w:t>vs</w:t>
      </w:r>
      <w:r>
        <w:rPr>
          <w:rFonts w:ascii="Book Antiqua" w:eastAsia="Book Antiqua" w:hAnsi="Book Antiqua" w:cs="Book Antiqua"/>
          <w:color w:val="000000"/>
        </w:rPr>
        <w:t xml:space="preserve"> 47%), with the latter likely accounted for by the greater sensitive of EUS for the detection of GV. </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 novel endoscopic method that is gaining popularity globally is EUS-guided coiling </w:t>
      </w:r>
      <w:r>
        <w:rPr>
          <w:rFonts w:ascii="Book Antiqua" w:eastAsia="Book Antiqua" w:hAnsi="Book Antiqua" w:cs="Book Antiqua"/>
          <w:color w:val="000000"/>
        </w:rPr>
        <w:t>of GV, which involves injection of metal embolization micro-coils coated with synthetic stainless steel-fibres, leading to turbulent blood flow and intravariceal clot formation to obliterate the varix</w:t>
      </w:r>
      <w:r>
        <w:rPr>
          <w:rFonts w:ascii="Book Antiqua" w:eastAsia="Book Antiqua" w:hAnsi="Book Antiqua" w:cs="Book Antiqua"/>
          <w:color w:val="000000"/>
          <w:vertAlign w:val="superscript"/>
        </w:rPr>
        <w:t>[34]</w:t>
      </w:r>
      <w:r>
        <w:rPr>
          <w:rFonts w:ascii="Book Antiqua" w:eastAsia="Book Antiqua" w:hAnsi="Book Antiqua" w:cs="Book Antiqua"/>
          <w:color w:val="000000"/>
        </w:rPr>
        <w:t>. This can be combined with injection of cyanoacryla</w:t>
      </w:r>
      <w:r>
        <w:rPr>
          <w:rFonts w:ascii="Book Antiqua" w:eastAsia="Book Antiqua" w:hAnsi="Book Antiqua" w:cs="Book Antiqua"/>
          <w:color w:val="000000"/>
        </w:rPr>
        <w:t>te glue (Figure 5), in a procedure that aims to prevent systemic embolization of the cyanoacrylate, as the coils may provide a scaffold for polymerization, as well as requiring less volume of glue injection as a result of precise delivery into the target t</w:t>
      </w:r>
      <w:r>
        <w:rPr>
          <w:rFonts w:ascii="Book Antiqua" w:eastAsia="Book Antiqua" w:hAnsi="Book Antiqua" w:cs="Book Antiqua"/>
          <w:color w:val="000000"/>
        </w:rPr>
        <w:t>ributary</w:t>
      </w:r>
      <w:r>
        <w:rPr>
          <w:rFonts w:ascii="Book Antiqua" w:eastAsia="Book Antiqua" w:hAnsi="Book Antiqua" w:cs="Book Antiqua"/>
          <w:color w:val="000000"/>
          <w:vertAlign w:val="superscript"/>
        </w:rPr>
        <w:t>[35]</w:t>
      </w:r>
      <w:r>
        <w:rPr>
          <w:rFonts w:ascii="Book Antiqua" w:eastAsia="Book Antiqua" w:hAnsi="Book Antiqua" w:cs="Book Antiqua"/>
          <w:color w:val="000000"/>
        </w:rPr>
        <w:t>. The additional benefit of EUS over standard endoscopy is the ability for immediate post-treatment Doppler evaluation of the variceal bed and its afferent tributaries, to ensure complete obliteration</w:t>
      </w:r>
      <w:r>
        <w:rPr>
          <w:rFonts w:ascii="Book Antiqua" w:eastAsia="Book Antiqua" w:hAnsi="Book Antiqua" w:cs="Book Antiqua"/>
          <w:color w:val="000000"/>
          <w:vertAlign w:val="superscript"/>
        </w:rPr>
        <w:t>[34,35]</w:t>
      </w:r>
      <w:r>
        <w:rPr>
          <w:rFonts w:ascii="Book Antiqua" w:eastAsia="Book Antiqua" w:hAnsi="Book Antiqua" w:cs="Book Antiqua"/>
          <w:color w:val="000000"/>
        </w:rPr>
        <w:t>. In a retrospective, multicentre stu</w:t>
      </w:r>
      <w:r>
        <w:rPr>
          <w:rFonts w:ascii="Book Antiqua" w:eastAsia="Book Antiqua" w:hAnsi="Book Antiqua" w:cs="Book Antiqua"/>
          <w:color w:val="000000"/>
        </w:rPr>
        <w:t xml:space="preserve">dy by Romero-Castro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comparing outcomes of 30 patients who underwent EUS-guided coil (</w:t>
      </w:r>
      <w:r>
        <w:rPr>
          <w:rFonts w:ascii="Book Antiqua" w:eastAsia="Book Antiqua" w:hAnsi="Book Antiqua" w:cs="Book Antiqua"/>
          <w:i/>
          <w:iCs/>
          <w:color w:val="000000"/>
        </w:rPr>
        <w:t>n</w:t>
      </w:r>
      <w:r>
        <w:rPr>
          <w:rFonts w:ascii="Book Antiqua" w:eastAsia="Book Antiqua" w:hAnsi="Book Antiqua" w:cs="Book Antiqua"/>
          <w:color w:val="000000"/>
        </w:rPr>
        <w:t xml:space="preserve"> = 11) with those who underwent EUS-guided cyanoacrylate injection (</w:t>
      </w:r>
      <w:r>
        <w:rPr>
          <w:rFonts w:ascii="Book Antiqua" w:eastAsia="Book Antiqua" w:hAnsi="Book Antiqua" w:cs="Book Antiqua"/>
          <w:i/>
          <w:iCs/>
          <w:color w:val="000000"/>
        </w:rPr>
        <w:t>n</w:t>
      </w:r>
      <w:r>
        <w:rPr>
          <w:rFonts w:ascii="Book Antiqua" w:eastAsia="Book Antiqua" w:hAnsi="Book Antiqua" w:cs="Book Antiqua"/>
          <w:color w:val="000000"/>
        </w:rPr>
        <w:t xml:space="preserve"> = 19) into GVs that had previously bled (</w:t>
      </w:r>
      <w:r>
        <w:rPr>
          <w:rFonts w:ascii="Book Antiqua" w:eastAsia="Book Antiqua" w:hAnsi="Book Antiqua" w:cs="Book Antiqua"/>
          <w:i/>
          <w:iCs/>
          <w:color w:val="000000"/>
        </w:rPr>
        <w:t>n</w:t>
      </w:r>
      <w:r>
        <w:rPr>
          <w:rFonts w:ascii="Book Antiqua" w:eastAsia="Book Antiqua" w:hAnsi="Book Antiqua" w:cs="Book Antiqua"/>
          <w:color w:val="000000"/>
        </w:rPr>
        <w:t xml:space="preserve"> = 23) or never bled (</w:t>
      </w:r>
      <w:r>
        <w:rPr>
          <w:rFonts w:ascii="Book Antiqua" w:eastAsia="Book Antiqua" w:hAnsi="Book Antiqua" w:cs="Book Antiqua"/>
          <w:i/>
          <w:iCs/>
          <w:color w:val="000000"/>
        </w:rPr>
        <w:t>n</w:t>
      </w:r>
      <w:r>
        <w:rPr>
          <w:rFonts w:ascii="Book Antiqua" w:eastAsia="Book Antiqua" w:hAnsi="Book Antiqua" w:cs="Book Antiqua"/>
          <w:color w:val="000000"/>
        </w:rPr>
        <w:t xml:space="preserve"> = 7), both methods were </w:t>
      </w:r>
      <w:r>
        <w:rPr>
          <w:rFonts w:ascii="Book Antiqua" w:eastAsia="Book Antiqua" w:hAnsi="Book Antiqua" w:cs="Book Antiqua"/>
          <w:color w:val="000000"/>
        </w:rPr>
        <w:t xml:space="preserve">highly effective in obliterating the varices (96.7% cumulatively) without a difference in re-bleeding rate. The cyanoacrylate group required more sessions to achieve obliteration (29 sessions </w:t>
      </w:r>
      <w:r>
        <w:rPr>
          <w:rFonts w:ascii="Book Antiqua" w:eastAsia="Book Antiqua" w:hAnsi="Book Antiqua" w:cs="Book Antiqua"/>
          <w:i/>
          <w:iCs/>
          <w:color w:val="000000"/>
        </w:rPr>
        <w:t>vs</w:t>
      </w:r>
      <w:r>
        <w:rPr>
          <w:rFonts w:ascii="Book Antiqua" w:eastAsia="Book Antiqua" w:hAnsi="Book Antiqua" w:cs="Book Antiqua"/>
          <w:color w:val="000000"/>
        </w:rPr>
        <w:t xml:space="preserve"> 14 sessions, </w:t>
      </w:r>
      <w:r>
        <w:rPr>
          <w:rFonts w:ascii="Book Antiqua" w:eastAsia="Book Antiqua" w:hAnsi="Book Antiqua" w:cs="Book Antiqua"/>
          <w:i/>
          <w:iCs/>
          <w:color w:val="000000"/>
        </w:rPr>
        <w:t>P</w:t>
      </w:r>
      <w:r>
        <w:rPr>
          <w:rFonts w:ascii="Book Antiqua" w:eastAsia="Book Antiqua" w:hAnsi="Book Antiqua" w:cs="Book Antiqua"/>
          <w:color w:val="000000"/>
        </w:rPr>
        <w:t xml:space="preserve"> = 0.29) and had lesser proportion of patients </w:t>
      </w:r>
      <w:r>
        <w:rPr>
          <w:rFonts w:ascii="Book Antiqua" w:eastAsia="Book Antiqua" w:hAnsi="Book Antiqua" w:cs="Book Antiqua"/>
          <w:color w:val="000000"/>
        </w:rPr>
        <w:t xml:space="preserve">achieving variceal obliteration after a single endoscopic session (18% </w:t>
      </w:r>
      <w:r>
        <w:rPr>
          <w:rFonts w:ascii="Book Antiqua" w:eastAsia="Book Antiqua" w:hAnsi="Book Antiqua" w:cs="Book Antiqua"/>
          <w:i/>
          <w:iCs/>
          <w:color w:val="000000"/>
        </w:rPr>
        <w:t>vs</w:t>
      </w:r>
      <w:r>
        <w:rPr>
          <w:rFonts w:ascii="Book Antiqua" w:eastAsia="Book Antiqua" w:hAnsi="Book Antiqua" w:cs="Book Antiqua"/>
          <w:color w:val="000000"/>
        </w:rPr>
        <w:t xml:space="preserve"> 82%), whilst also having a higher reported adverse event rate (58% </w:t>
      </w:r>
      <w:r>
        <w:rPr>
          <w:rFonts w:ascii="Book Antiqua" w:eastAsia="Book Antiqua" w:hAnsi="Book Antiqua" w:cs="Book Antiqua"/>
          <w:i/>
          <w:iCs/>
          <w:color w:val="000000"/>
        </w:rPr>
        <w:t>vs</w:t>
      </w:r>
      <w:r>
        <w:rPr>
          <w:rFonts w:ascii="Book Antiqua" w:eastAsia="Book Antiqua" w:hAnsi="Book Antiqua" w:cs="Book Antiqua"/>
          <w:color w:val="000000"/>
        </w:rPr>
        <w:t xml:space="preserve"> 9%,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eastAsia="Book Antiqua" w:hAnsi="Book Antiqua" w:cs="Book Antiqua"/>
          <w:color w:val="000000"/>
        </w:rPr>
        <w:t xml:space="preserve"> 0.01). However, the majority of adverse events were asymptomatic pulmonary emboli detected on routine computed tomography (CT) of the chest of patients post-procedure, with no difference noted in the symptomatic adverse event rate between groups. It is al</w:t>
      </w:r>
      <w:r>
        <w:rPr>
          <w:rFonts w:ascii="Book Antiqua" w:eastAsia="Book Antiqua" w:hAnsi="Book Antiqua" w:cs="Book Antiqua"/>
          <w:color w:val="000000"/>
        </w:rPr>
        <w:t>so noteworthy that a statistically significant higher proportion of patients with bleeding varices and Child-Pugh C status cirrhosis were represented within the cyanoacrylate group in this study.</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Binmoeller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were the first to publish on the effica</w:t>
      </w:r>
      <w:r>
        <w:rPr>
          <w:rFonts w:ascii="Book Antiqua" w:eastAsia="Book Antiqua" w:hAnsi="Book Antiqua" w:cs="Book Antiqua"/>
          <w:color w:val="000000"/>
        </w:rPr>
        <w:t>cy and safety of combined EUS-guided coil and cyanoacrylate injection for GV, predominantly in patients who had recovered from an acute gastric variceal haemorrhage (</w:t>
      </w:r>
      <w:r>
        <w:rPr>
          <w:rFonts w:ascii="Book Antiqua" w:eastAsia="Book Antiqua" w:hAnsi="Book Antiqua" w:cs="Book Antiqua"/>
          <w:i/>
          <w:iCs/>
          <w:color w:val="000000"/>
        </w:rPr>
        <w:t>n</w:t>
      </w:r>
      <w:r>
        <w:rPr>
          <w:rFonts w:ascii="Book Antiqua" w:eastAsia="Book Antiqua" w:hAnsi="Book Antiqua" w:cs="Book Antiqua"/>
          <w:color w:val="000000"/>
        </w:rPr>
        <w:t xml:space="preserve"> = 28/30). The same group reported on a more extensive patient cohort (</w:t>
      </w:r>
      <w:r>
        <w:rPr>
          <w:rFonts w:ascii="Book Antiqua" w:eastAsia="Book Antiqua" w:hAnsi="Book Antiqua" w:cs="Book Antiqua"/>
          <w:i/>
          <w:iCs/>
          <w:color w:val="000000"/>
        </w:rPr>
        <w:t>n</w:t>
      </w:r>
      <w:r>
        <w:rPr>
          <w:rFonts w:ascii="Book Antiqua" w:eastAsia="Book Antiqua" w:hAnsi="Book Antiqua" w:cs="Book Antiqua"/>
          <w:color w:val="000000"/>
        </w:rPr>
        <w:t xml:space="preserve"> = 152) some year</w:t>
      </w:r>
      <w:r>
        <w:rPr>
          <w:rFonts w:ascii="Book Antiqua" w:eastAsia="Book Antiqua" w:hAnsi="Book Antiqua" w:cs="Book Antiqua"/>
          <w:color w:val="000000"/>
        </w:rPr>
        <w:t>s later, with high obliteration rate (93%) at follow-up endoscopy, low re-bleeding rate (16%, with 50% re-bleeding events non-variceal in origin), and few procedure-related adverse events (7%; 4/9 patients with abdominal pain, 1/9 patients with pulmonary e</w:t>
      </w:r>
      <w:r>
        <w:rPr>
          <w:rFonts w:ascii="Book Antiqua" w:eastAsia="Book Antiqua" w:hAnsi="Book Antiqua" w:cs="Book Antiqua"/>
          <w:color w:val="000000"/>
        </w:rPr>
        <w:t>mbolus)</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Of note, 26% of patients in this study underwent treatment as primary prophylaxis, somewhat unique in the GV treatment evidence base. A single randomized trial has been performed evaluating combination coiling and cyanoacrylate injection with </w:t>
      </w:r>
      <w:r>
        <w:rPr>
          <w:rFonts w:ascii="Book Antiqua" w:eastAsia="Book Antiqua" w:hAnsi="Book Antiqua" w:cs="Book Antiqua"/>
          <w:color w:val="000000"/>
        </w:rPr>
        <w:t xml:space="preserve">coiling alone, reporting a higher variceal disappearance rate on immediate post-procedure endoscopy (87% </w:t>
      </w:r>
      <w:r>
        <w:rPr>
          <w:rFonts w:ascii="Book Antiqua" w:eastAsia="Book Antiqua" w:hAnsi="Book Antiqua" w:cs="Book Antiqua"/>
          <w:i/>
          <w:iCs/>
          <w:color w:val="000000"/>
        </w:rPr>
        <w:t>vs</w:t>
      </w:r>
      <w:r>
        <w:rPr>
          <w:rFonts w:ascii="Book Antiqua" w:eastAsia="Book Antiqua" w:hAnsi="Book Antiqua" w:cs="Book Antiqua"/>
          <w:color w:val="000000"/>
        </w:rPr>
        <w:t xml:space="preserve"> 13%,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lower re-bleeding rate (3.3% </w:t>
      </w:r>
      <w:r>
        <w:rPr>
          <w:rFonts w:ascii="Book Antiqua" w:eastAsia="Book Antiqua" w:hAnsi="Book Antiqua" w:cs="Book Antiqua"/>
          <w:i/>
          <w:iCs/>
          <w:color w:val="000000"/>
        </w:rPr>
        <w:t>vs</w:t>
      </w:r>
      <w:r>
        <w:rPr>
          <w:rFonts w:ascii="Book Antiqua" w:eastAsia="Book Antiqua" w:hAnsi="Book Antiqua" w:cs="Book Antiqua"/>
          <w:color w:val="000000"/>
        </w:rPr>
        <w:t xml:space="preserve"> 20%, </w:t>
      </w:r>
      <w:r>
        <w:rPr>
          <w:rFonts w:ascii="Book Antiqua" w:eastAsia="Book Antiqua" w:hAnsi="Book Antiqua" w:cs="Book Antiqua"/>
          <w:i/>
          <w:iCs/>
          <w:color w:val="000000"/>
        </w:rPr>
        <w:t>P</w:t>
      </w:r>
      <w:r>
        <w:rPr>
          <w:rFonts w:ascii="Book Antiqua" w:eastAsia="Book Antiqua" w:hAnsi="Book Antiqua" w:cs="Book Antiqua"/>
          <w:color w:val="000000"/>
        </w:rPr>
        <w:t xml:space="preserve"> = 0.04), variceal reappearance rate on follow-up endoscopy at 3-mo (13% </w:t>
      </w:r>
      <w:r>
        <w:rPr>
          <w:rFonts w:ascii="Book Antiqua" w:eastAsia="Book Antiqua" w:hAnsi="Book Antiqua" w:cs="Book Antiqua"/>
          <w:i/>
          <w:iCs/>
          <w:color w:val="000000"/>
        </w:rPr>
        <w:t>vs</w:t>
      </w:r>
      <w:r>
        <w:rPr>
          <w:rFonts w:ascii="Book Antiqua" w:eastAsia="Book Antiqua" w:hAnsi="Book Antiqua" w:cs="Book Antiqua"/>
          <w:color w:val="000000"/>
        </w:rPr>
        <w:t xml:space="preserve"> 47%,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w:t>
      </w:r>
      <w:r>
        <w:rPr>
          <w:rFonts w:ascii="Book Antiqua" w:eastAsia="Book Antiqua" w:hAnsi="Book Antiqua" w:cs="Book Antiqua"/>
          <w:color w:val="000000"/>
        </w:rPr>
        <w:t xml:space="preserve">1), and re-intervention rate (17% </w:t>
      </w:r>
      <w:r>
        <w:rPr>
          <w:rFonts w:ascii="Book Antiqua" w:eastAsia="Book Antiqua" w:hAnsi="Book Antiqua" w:cs="Book Antiqua"/>
          <w:i/>
          <w:iCs/>
          <w:color w:val="000000"/>
        </w:rPr>
        <w:t>vs</w:t>
      </w:r>
      <w:r>
        <w:rPr>
          <w:rFonts w:ascii="Book Antiqua" w:eastAsia="Book Antiqua" w:hAnsi="Book Antiqua" w:cs="Book Antiqua"/>
          <w:color w:val="000000"/>
        </w:rPr>
        <w:t xml:space="preserve"> 40%, </w:t>
      </w:r>
      <w:r>
        <w:rPr>
          <w:rFonts w:ascii="Book Antiqua" w:eastAsia="Book Antiqua" w:hAnsi="Book Antiqua" w:cs="Book Antiqua"/>
          <w:i/>
          <w:iCs/>
          <w:color w:val="000000"/>
        </w:rPr>
        <w:t>P</w:t>
      </w:r>
      <w:r>
        <w:rPr>
          <w:rFonts w:ascii="Book Antiqua" w:eastAsia="Book Antiqua" w:hAnsi="Book Antiqua" w:cs="Book Antiqua"/>
          <w:color w:val="000000"/>
        </w:rPr>
        <w:t xml:space="preserve"> = 0.045) in the arm allocated to combination therapy</w:t>
      </w:r>
      <w:r>
        <w:rPr>
          <w:rFonts w:ascii="Book Antiqua" w:eastAsia="Book Antiqua" w:hAnsi="Book Antiqua" w:cs="Book Antiqua"/>
          <w:color w:val="000000"/>
          <w:vertAlign w:val="superscript"/>
        </w:rPr>
        <w:t>[39]</w:t>
      </w:r>
      <w:r>
        <w:rPr>
          <w:rFonts w:ascii="Book Antiqua" w:eastAsia="Book Antiqua" w:hAnsi="Book Antiqua" w:cs="Book Antiqua"/>
          <w:color w:val="000000"/>
        </w:rPr>
        <w:t>. The cumulative mortality rate of 28% from this study despite relatively preserved liver function in participants (90% Child Pugh A, median MELD 9.5 at enr</w:t>
      </w:r>
      <w:r>
        <w:rPr>
          <w:rFonts w:ascii="Book Antiqua" w:eastAsia="Book Antiqua" w:hAnsi="Book Antiqua" w:cs="Book Antiqua"/>
          <w:color w:val="000000"/>
        </w:rPr>
        <w:t xml:space="preserve">olment) is of concern and somewhat unexplained, particularly given 10/17 patients died from uncontrolled haemorrhage and 9/10 of these were variceal in nature. </w:t>
      </w:r>
    </w:p>
    <w:p w:rsidR="00274AA8" w:rsidRDefault="00274AA8">
      <w:pPr>
        <w:adjustRightInd w:val="0"/>
        <w:snapToGrid w:val="0"/>
        <w:spacing w:line="360" w:lineRule="auto"/>
        <w:jc w:val="both"/>
        <w:rPr>
          <w:rFonts w:ascii="Book Antiqua" w:hAnsi="Book Antiqua"/>
          <w:b/>
          <w:bCs/>
        </w:rPr>
      </w:pPr>
    </w:p>
    <w:p w:rsidR="00274AA8" w:rsidRDefault="00FE4189">
      <w:pPr>
        <w:adjustRightInd w:val="0"/>
        <w:snapToGrid w:val="0"/>
        <w:spacing w:line="360" w:lineRule="auto"/>
        <w:jc w:val="both"/>
        <w:rPr>
          <w:rFonts w:ascii="Book Antiqua" w:hAnsi="Book Antiqua"/>
          <w:b/>
          <w:bCs/>
        </w:rPr>
      </w:pPr>
      <w:r>
        <w:rPr>
          <w:rFonts w:ascii="Book Antiqua" w:eastAsia="Book Antiqua" w:hAnsi="Book Antiqua" w:cs="Book Antiqua"/>
          <w:b/>
          <w:bCs/>
          <w:i/>
          <w:iCs/>
          <w:color w:val="000000"/>
        </w:rPr>
        <w:t>Interventional radiology</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Only a single RCT has evaluated EVO with up-front TIPS for secondary </w:t>
      </w:r>
      <w:r>
        <w:rPr>
          <w:rFonts w:ascii="Book Antiqua" w:eastAsia="Book Antiqua" w:hAnsi="Book Antiqua" w:cs="Book Antiqua"/>
          <w:color w:val="000000"/>
        </w:rPr>
        <w:t>prophylaxis of gastric variceal haemorrhage</w:t>
      </w:r>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and revealed a 71% relative risk reduction over 3 years in gastric variceal re-bleeding rate in the TIPS arm, albeit with 26% of TIPS patients suffering from hepatic encephalopathy. This study pre-dates the </w:t>
      </w:r>
      <w:r>
        <w:rPr>
          <w:rFonts w:ascii="Book Antiqua" w:eastAsia="Book Antiqua" w:hAnsi="Book Antiqua" w:cs="Book Antiqua"/>
          <w:color w:val="000000"/>
        </w:rPr>
        <w:t>era of EUS-guided coils and very few patients in this study had IGV1 varices. TIPS may be an attractive option in patients with concurrent ascites and/or presence of other non-GV, but less so in those with a history of prior encephalopathy or advanced synt</w:t>
      </w:r>
      <w:r>
        <w:rPr>
          <w:rFonts w:ascii="Book Antiqua" w:eastAsia="Book Antiqua" w:hAnsi="Book Antiqua" w:cs="Book Antiqua"/>
          <w:color w:val="000000"/>
        </w:rPr>
        <w:t>hetic liver dysfunction.</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A single prospective, non-randomized study</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and two retrospective, observational studies</w:t>
      </w:r>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have demonstrated a lower re-bleeding rate in patients treated with BRTO rather than EVO for secondary prophylaxis of variceal haemo</w:t>
      </w:r>
      <w:r>
        <w:rPr>
          <w:rFonts w:ascii="Book Antiqua" w:eastAsia="Book Antiqua" w:hAnsi="Book Antiqua" w:cs="Book Antiqua"/>
          <w:color w:val="000000"/>
        </w:rPr>
        <w:t xml:space="preserve">rrhage (3%-15% </w:t>
      </w:r>
      <w:r>
        <w:rPr>
          <w:rFonts w:ascii="Book Antiqua" w:eastAsia="Book Antiqua" w:hAnsi="Book Antiqua" w:cs="Book Antiqua"/>
          <w:i/>
          <w:iCs/>
          <w:color w:val="000000"/>
        </w:rPr>
        <w:t>vs</w:t>
      </w:r>
      <w:r>
        <w:rPr>
          <w:rFonts w:ascii="Book Antiqua" w:eastAsia="Book Antiqua" w:hAnsi="Book Antiqua" w:cs="Book Antiqua"/>
          <w:color w:val="000000"/>
        </w:rPr>
        <w:t xml:space="preserve"> 22%-71%). They each had differing inclusion criteria, with the prospective study including patients with GOV1, GOV2 and IGV1 varices, whilst the two retrospective studies both excluded patients with GOV1 varices, and one only included pat</w:t>
      </w:r>
      <w:r>
        <w:rPr>
          <w:rFonts w:ascii="Book Antiqua" w:eastAsia="Book Antiqua" w:hAnsi="Book Antiqua" w:cs="Book Antiqua"/>
          <w:color w:val="000000"/>
        </w:rPr>
        <w:t>ients with IGV1 varices</w:t>
      </w:r>
      <w:r>
        <w:rPr>
          <w:rFonts w:ascii="Book Antiqua" w:eastAsia="Book Antiqua" w:hAnsi="Book Antiqua" w:cs="Book Antiqua"/>
          <w:color w:val="000000"/>
          <w:vertAlign w:val="superscript"/>
        </w:rPr>
        <w:t>[42]</w:t>
      </w:r>
      <w:r>
        <w:rPr>
          <w:rFonts w:ascii="Book Antiqua" w:eastAsia="Book Antiqua" w:hAnsi="Book Antiqua" w:cs="Book Antiqua"/>
          <w:color w:val="000000"/>
        </w:rPr>
        <w:t>.</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Contemporary case series have begun exploring the feasibility and safety of combined interventional radiological procedures, namely TIPS with balloon-occluded transvenous obliteration (whether in an antegrade or retrograde fash</w:t>
      </w:r>
      <w:r>
        <w:rPr>
          <w:rFonts w:ascii="Book Antiqua" w:eastAsia="Book Antiqua" w:hAnsi="Book Antiqua" w:cs="Book Antiqua"/>
          <w:color w:val="000000"/>
        </w:rPr>
        <w:t>ion)</w:t>
      </w:r>
      <w:r>
        <w:rPr>
          <w:rFonts w:ascii="Book Antiqua" w:eastAsia="Book Antiqua" w:hAnsi="Book Antiqua" w:cs="Book Antiqua"/>
          <w:color w:val="000000"/>
          <w:vertAlign w:val="superscript"/>
        </w:rPr>
        <w:t>[44-46]</w:t>
      </w:r>
      <w:r>
        <w:rPr>
          <w:rFonts w:ascii="Book Antiqua" w:eastAsia="Book Antiqua" w:hAnsi="Book Antiqua" w:cs="Book Antiqua"/>
          <w:color w:val="000000"/>
        </w:rPr>
        <w:t>. Purported benefits from retrospective audits of combined procedures are reduced re-bleeding and post-procedure encephalopathy rates, stable or improved liver function, and prevention or improvement of ascites. Finally, percutaneous transhepati</w:t>
      </w:r>
      <w:r>
        <w:rPr>
          <w:rFonts w:ascii="Book Antiqua" w:eastAsia="Book Antiqua" w:hAnsi="Book Antiqua" w:cs="Book Antiqua"/>
          <w:color w:val="000000"/>
        </w:rPr>
        <w:t>c obliteration is an alternate route to obliteration of a gastric varix in those without a gastro-renal shunt and who may have contraindication to TIPS</w:t>
      </w:r>
      <w:r>
        <w:rPr>
          <w:rFonts w:ascii="Book Antiqua" w:eastAsia="Book Antiqua" w:hAnsi="Book Antiqua" w:cs="Book Antiqua"/>
          <w:color w:val="000000"/>
          <w:vertAlign w:val="superscript"/>
        </w:rPr>
        <w:t>[47]</w:t>
      </w:r>
      <w:r>
        <w:rPr>
          <w:rFonts w:ascii="Book Antiqua" w:eastAsia="Book Antiqua" w:hAnsi="Book Antiqua" w:cs="Book Antiqua"/>
          <w:color w:val="000000"/>
        </w:rPr>
        <w:t>.</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Given the wide array of therapeutic options available are reliant on specific anatomical features, </w:t>
      </w:r>
      <w:r>
        <w:rPr>
          <w:rFonts w:ascii="Book Antiqua" w:eastAsia="Book Antiqua" w:hAnsi="Book Antiqua" w:cs="Book Antiqua"/>
          <w:color w:val="000000"/>
        </w:rPr>
        <w:t xml:space="preserve">such as feeding vessels into the variceal bed or presence of a gastro-renal shunt, appropriate imaging of the portomesenteric circulation with CT should be attained in patients with GV to allow the most anatomically suitable intervention to be chosen. </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aps/>
          <w:color w:val="000000"/>
          <w:u w:val="single"/>
        </w:rPr>
        <w:t>Pr</w:t>
      </w:r>
      <w:r>
        <w:rPr>
          <w:rFonts w:ascii="Book Antiqua" w:eastAsia="Book Antiqua" w:hAnsi="Book Antiqua" w:cs="Book Antiqua"/>
          <w:b/>
          <w:bCs/>
          <w:caps/>
          <w:color w:val="000000"/>
          <w:u w:val="single"/>
        </w:rPr>
        <w:t>imary prophylaxis</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Whilst there is a modest evidence-base for secondary prophylactic measures for bleeding GV, there is a paucity of data examining the role of primary prophylaxis. Few trials have recruited patients with the intention to treat GV prior to </w:t>
      </w:r>
      <w:r>
        <w:rPr>
          <w:rFonts w:ascii="Book Antiqua" w:eastAsia="Book Antiqua" w:hAnsi="Book Antiqua" w:cs="Book Antiqua"/>
          <w:color w:val="000000"/>
        </w:rPr>
        <w:t>bleeding, and those that have</w:t>
      </w:r>
      <w:r>
        <w:rPr>
          <w:rFonts w:ascii="Book Antiqua" w:eastAsia="Book Antiqua" w:hAnsi="Book Antiqua" w:cs="Book Antiqua"/>
          <w:color w:val="000000"/>
          <w:vertAlign w:val="superscript"/>
        </w:rPr>
        <w:t>[36,38,39]</w:t>
      </w:r>
      <w:r>
        <w:rPr>
          <w:rFonts w:ascii="Book Antiqua" w:eastAsia="Book Antiqua" w:hAnsi="Book Antiqua" w:cs="Book Antiqua"/>
          <w:color w:val="000000"/>
        </w:rPr>
        <w:t xml:space="preserve"> have done so in low numbers which prevents any meaningful subgroup analysis.</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One RCT by Mishra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randomized patients with never-bled GOV2 or IGV1 ≥10mm in size to cyanoacrylate injection, propranolol or no th</w:t>
      </w:r>
      <w:r>
        <w:rPr>
          <w:rFonts w:ascii="Book Antiqua" w:eastAsia="Book Antiqua" w:hAnsi="Book Antiqua" w:cs="Book Antiqua"/>
          <w:color w:val="000000"/>
        </w:rPr>
        <w:t xml:space="preserve">erapy in a 1:1:1 ratio. This demonstrated a significant reduction in GV bleeding in those treated with cyanoacrylate compared to those with propranolol or no therapy (10% </w:t>
      </w:r>
      <w:r>
        <w:rPr>
          <w:rFonts w:ascii="Book Antiqua" w:eastAsia="Book Antiqua" w:hAnsi="Book Antiqua" w:cs="Book Antiqua"/>
          <w:i/>
          <w:iCs/>
          <w:color w:val="000000"/>
        </w:rPr>
        <w:t>vs</w:t>
      </w:r>
      <w:r>
        <w:rPr>
          <w:rFonts w:ascii="Book Antiqua" w:eastAsia="Book Antiqua" w:hAnsi="Book Antiqua" w:cs="Book Antiqua"/>
          <w:color w:val="000000"/>
        </w:rPr>
        <w:t xml:space="preserve"> 38% </w:t>
      </w:r>
      <w:r>
        <w:rPr>
          <w:rFonts w:ascii="Book Antiqua" w:eastAsia="Book Antiqua" w:hAnsi="Book Antiqua" w:cs="Book Antiqua"/>
          <w:i/>
          <w:iCs/>
          <w:color w:val="000000"/>
        </w:rPr>
        <w:t>vs</w:t>
      </w:r>
      <w:r>
        <w:rPr>
          <w:rFonts w:ascii="Book Antiqua" w:eastAsia="Book Antiqua" w:hAnsi="Book Antiqua" w:cs="Book Antiqua"/>
          <w:color w:val="000000"/>
        </w:rPr>
        <w:t xml:space="preserve"> 53%,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as well as a significant reduction in bleed-related mortal</w:t>
      </w:r>
      <w:r>
        <w:rPr>
          <w:rFonts w:ascii="Book Antiqua" w:eastAsia="Book Antiqua" w:hAnsi="Book Antiqua" w:cs="Book Antiqua"/>
          <w:color w:val="000000"/>
        </w:rPr>
        <w:t xml:space="preserve">ity between those receiving endoscopic therapy and those who received no specific therapy (0% </w:t>
      </w:r>
      <w:r>
        <w:rPr>
          <w:rFonts w:ascii="Book Antiqua" w:eastAsia="Book Antiqua" w:hAnsi="Book Antiqua" w:cs="Book Antiqua"/>
          <w:i/>
          <w:iCs/>
          <w:color w:val="000000"/>
        </w:rPr>
        <w:t>vs</w:t>
      </w:r>
      <w:r>
        <w:rPr>
          <w:rFonts w:ascii="Book Antiqua" w:eastAsia="Book Antiqua" w:hAnsi="Book Antiqua" w:cs="Book Antiqua"/>
          <w:color w:val="000000"/>
        </w:rPr>
        <w:t xml:space="preserve"> 20%,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There was no statistical difference in overall mortality between the groups (7% </w:t>
      </w:r>
      <w:r>
        <w:rPr>
          <w:rFonts w:ascii="Book Antiqua" w:eastAsia="Book Antiqua" w:hAnsi="Book Antiqua" w:cs="Book Antiqua"/>
          <w:i/>
          <w:iCs/>
          <w:color w:val="000000"/>
        </w:rPr>
        <w:t>vs</w:t>
      </w:r>
      <w:r>
        <w:rPr>
          <w:rFonts w:ascii="Book Antiqua" w:eastAsia="Book Antiqua" w:hAnsi="Book Antiqua" w:cs="Book Antiqua"/>
          <w:color w:val="000000"/>
        </w:rPr>
        <w:t xml:space="preserve"> 17% </w:t>
      </w:r>
      <w:r>
        <w:rPr>
          <w:rFonts w:ascii="Book Antiqua" w:eastAsia="Book Antiqua" w:hAnsi="Book Antiqua" w:cs="Book Antiqua"/>
          <w:i/>
          <w:iCs/>
          <w:color w:val="000000"/>
        </w:rPr>
        <w:t>vs</w:t>
      </w:r>
      <w:r>
        <w:rPr>
          <w:rFonts w:ascii="Book Antiqua" w:eastAsia="Book Antiqua" w:hAnsi="Book Antiqua" w:cs="Book Antiqua"/>
          <w:color w:val="000000"/>
        </w:rPr>
        <w:t xml:space="preserve"> 26%, </w:t>
      </w:r>
      <w:r>
        <w:rPr>
          <w:rFonts w:ascii="Book Antiqua" w:eastAsia="Book Antiqua" w:hAnsi="Book Antiqua" w:cs="Book Antiqua"/>
          <w:i/>
          <w:iCs/>
          <w:color w:val="000000"/>
        </w:rPr>
        <w:t>P</w:t>
      </w:r>
      <w:r>
        <w:rPr>
          <w:rFonts w:ascii="Book Antiqua" w:eastAsia="Book Antiqua" w:hAnsi="Book Antiqua" w:cs="Book Antiqua"/>
          <w:color w:val="000000"/>
        </w:rPr>
        <w:t xml:space="preserve"> = 0.113), nor therapy-related complications (</w:t>
      </w:r>
      <w:r>
        <w:rPr>
          <w:rFonts w:ascii="Book Antiqua" w:eastAsia="Book Antiqua" w:hAnsi="Book Antiqua" w:cs="Book Antiqua"/>
          <w:color w:val="000000"/>
        </w:rPr>
        <w:t xml:space="preserve">3% </w:t>
      </w:r>
      <w:r>
        <w:rPr>
          <w:rFonts w:ascii="Book Antiqua" w:eastAsia="Book Antiqua" w:hAnsi="Book Antiqua" w:cs="Book Antiqua"/>
          <w:i/>
          <w:iCs/>
          <w:color w:val="000000"/>
        </w:rPr>
        <w:t>vs</w:t>
      </w:r>
      <w:r>
        <w:rPr>
          <w:rFonts w:ascii="Book Antiqua" w:eastAsia="Book Antiqua" w:hAnsi="Book Antiqua" w:cs="Book Antiqua"/>
          <w:color w:val="000000"/>
        </w:rPr>
        <w:t xml:space="preserve"> 3% </w:t>
      </w:r>
      <w:r>
        <w:rPr>
          <w:rFonts w:ascii="Book Antiqua" w:eastAsia="Book Antiqua" w:hAnsi="Book Antiqua" w:cs="Book Antiqua"/>
          <w:i/>
          <w:iCs/>
          <w:color w:val="000000"/>
        </w:rPr>
        <w:t>vs</w:t>
      </w:r>
      <w:r>
        <w:rPr>
          <w:rFonts w:ascii="Book Antiqua" w:eastAsia="Book Antiqua" w:hAnsi="Book Antiqua" w:cs="Book Antiqua"/>
          <w:color w:val="000000"/>
        </w:rPr>
        <w:t xml:space="preserve"> 7%, </w:t>
      </w:r>
      <w:r>
        <w:rPr>
          <w:rFonts w:ascii="Book Antiqua" w:eastAsia="Book Antiqua" w:hAnsi="Book Antiqua" w:cs="Book Antiqua"/>
          <w:i/>
          <w:iCs/>
          <w:color w:val="000000"/>
        </w:rPr>
        <w:t>P</w:t>
      </w:r>
      <w:r>
        <w:rPr>
          <w:rFonts w:ascii="Book Antiqua" w:eastAsia="Book Antiqua" w:hAnsi="Book Antiqua" w:cs="Book Antiqua"/>
          <w:color w:val="000000"/>
        </w:rPr>
        <w:t xml:space="preserve"> = 1.0). This suggests endoscopic cyanoacrylate therapy could be recommended in patients with GV larger than 10mm in size, and NSBB therapy considered in those with contraindication to, or declining, cyanoacrylate injection. </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In subgroup a</w:t>
      </w:r>
      <w:r>
        <w:rPr>
          <w:rFonts w:ascii="Book Antiqua" w:eastAsia="Book Antiqua" w:hAnsi="Book Antiqua" w:cs="Book Antiqua"/>
          <w:color w:val="000000"/>
        </w:rPr>
        <w:t xml:space="preserve">nalysis of another study by Bhat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[38]</w:t>
      </w:r>
      <w:r>
        <w:rPr>
          <w:rFonts w:ascii="Book Antiqua" w:eastAsia="Book Antiqua" w:hAnsi="Book Antiqua" w:cs="Book Antiqua"/>
          <w:color w:val="000000"/>
        </w:rPr>
        <w:t>, 93% of patients undergoing combined EUS-guided coiling with cyanoacrylate for primary prophylaxis had no GV bleeding over a mean follow-up time of 449 d.</w:t>
      </w:r>
    </w:p>
    <w:p w:rsidR="00274AA8" w:rsidRDefault="00FE4189">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To date, there are no head-to-head trials comparing endosc</w:t>
      </w:r>
      <w:r>
        <w:rPr>
          <w:rFonts w:ascii="Book Antiqua" w:eastAsia="Book Antiqua" w:hAnsi="Book Antiqua" w:cs="Book Antiqua"/>
          <w:color w:val="000000"/>
        </w:rPr>
        <w:t xml:space="preserve">opic therapy with radiologic interventions for primary prophylaxis, nor any specific trials to compare various endoscopic therapies (coil </w:t>
      </w:r>
      <w:r>
        <w:rPr>
          <w:rFonts w:ascii="Book Antiqua" w:eastAsia="Book Antiqua" w:hAnsi="Book Antiqua" w:cs="Book Antiqua"/>
          <w:i/>
          <w:iCs/>
          <w:color w:val="000000"/>
        </w:rPr>
        <w:t>vs</w:t>
      </w:r>
      <w:r>
        <w:rPr>
          <w:rFonts w:ascii="Book Antiqua" w:eastAsia="Book Antiqua" w:hAnsi="Book Antiqua" w:cs="Book Antiqua"/>
          <w:color w:val="000000"/>
        </w:rPr>
        <w:t xml:space="preserve"> cyanoacrylate or combination 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monotherapy). </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rsidR="00274AA8" w:rsidRDefault="00FE4189">
      <w:pPr>
        <w:adjustRightInd w:val="0"/>
        <w:snapToGrid w:val="0"/>
        <w:spacing w:line="360" w:lineRule="auto"/>
        <w:jc w:val="both"/>
        <w:rPr>
          <w:rFonts w:ascii="Book Antiqua" w:hAnsi="Book Antiqua"/>
          <w:i/>
          <w:iCs/>
        </w:rPr>
      </w:pPr>
      <w:r>
        <w:rPr>
          <w:rFonts w:ascii="Book Antiqua" w:eastAsia="Book Antiqua" w:hAnsi="Book Antiqua" w:cs="Book Antiqua"/>
          <w:b/>
          <w:bCs/>
          <w:i/>
          <w:iCs/>
          <w:color w:val="000000"/>
        </w:rPr>
        <w:t>Future directions</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The majority of evidence for t</w:t>
      </w:r>
      <w:r>
        <w:rPr>
          <w:rFonts w:ascii="Book Antiqua" w:eastAsia="Book Antiqua" w:hAnsi="Book Antiqua" w:cs="Book Antiqua"/>
          <w:color w:val="000000"/>
        </w:rPr>
        <w:t>he treatment of GV stems from retrospective studies, and so there is a need for further prospective and randomized trials to better guide management. In particular, there is a paucity of data on primary prophylaxis of GV, the risk of treating small (&lt; 10 m</w:t>
      </w:r>
      <w:r>
        <w:rPr>
          <w:rFonts w:ascii="Book Antiqua" w:eastAsia="Book Antiqua" w:hAnsi="Book Antiqua" w:cs="Book Antiqua"/>
          <w:color w:val="000000"/>
        </w:rPr>
        <w:t>m) or low-risk GV, and on the optimal approach to secondary prophylaxis (endoscopic, radiologic or combined) since the advent of EUS-based combination therapy. Furthermore, little is known regarding the ideal timeframe for surveillance of GV, whether treat</w:t>
      </w:r>
      <w:r>
        <w:rPr>
          <w:rFonts w:ascii="Book Antiqua" w:eastAsia="Book Antiqua" w:hAnsi="Book Antiqua" w:cs="Book Antiqua"/>
          <w:color w:val="000000"/>
        </w:rPr>
        <w:t xml:space="preserve">ed or untreated. </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rsidR="00274AA8" w:rsidRDefault="00FE4189">
      <w:pPr>
        <w:adjustRightInd w:val="0"/>
        <w:snapToGrid w:val="0"/>
        <w:spacing w:line="360" w:lineRule="auto"/>
        <w:jc w:val="both"/>
        <w:rPr>
          <w:rFonts w:ascii="Book Antiqua" w:hAnsi="Book Antiqua"/>
        </w:rPr>
      </w:pPr>
      <w:bookmarkStart w:id="3" w:name="OLE_LINK9"/>
      <w:r>
        <w:rPr>
          <w:rFonts w:ascii="Book Antiqua" w:eastAsia="Book Antiqua" w:hAnsi="Book Antiqua" w:cs="Book Antiqua"/>
          <w:color w:val="000000"/>
        </w:rPr>
        <w:t xml:space="preserve">1 </w:t>
      </w:r>
      <w:r>
        <w:rPr>
          <w:rFonts w:ascii="Book Antiqua" w:eastAsia="Book Antiqua" w:hAnsi="Book Antiqua" w:cs="Book Antiqua"/>
          <w:b/>
          <w:bCs/>
          <w:color w:val="000000"/>
        </w:rPr>
        <w:t>Hosking SW</w:t>
      </w:r>
      <w:r>
        <w:rPr>
          <w:rFonts w:ascii="Book Antiqua" w:eastAsia="Book Antiqua" w:hAnsi="Book Antiqua" w:cs="Book Antiqua"/>
          <w:color w:val="000000"/>
        </w:rPr>
        <w:t xml:space="preserve">, Johnson AG. Gastric varices: a proposed classification leading to management.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75</w:t>
      </w:r>
      <w:r>
        <w:rPr>
          <w:rFonts w:ascii="Book Antiqua" w:eastAsia="Book Antiqua" w:hAnsi="Book Antiqua" w:cs="Book Antiqua"/>
          <w:color w:val="000000"/>
        </w:rPr>
        <w:t>: 195-196 [PMID: 3349325 DOI: 10.1002/bjs.1800750303]</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Lahoti D, Saxena SP, Murthy NS, Makwana UK. Prevalence, classification and natural history of gastric varices: a long-term follow-up study in 568 portal hypertension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1343-1349 [PMID: 1446890 DOI: 10.1002/hep.1840160607]</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L</w:t>
      </w:r>
      <w:r>
        <w:rPr>
          <w:rFonts w:ascii="Book Antiqua" w:eastAsia="Book Antiqua" w:hAnsi="Book Antiqua" w:cs="Book Antiqua"/>
          <w:b/>
          <w:bCs/>
          <w:color w:val="000000"/>
        </w:rPr>
        <w:t>o GH</w:t>
      </w:r>
      <w:r>
        <w:rPr>
          <w:rFonts w:ascii="Book Antiqua" w:eastAsia="Book Antiqua" w:hAnsi="Book Antiqua" w:cs="Book Antiqua"/>
          <w:color w:val="000000"/>
        </w:rPr>
        <w:t xml:space="preserve">, Lai KH, Cheng JS, Huang RL, Wang SJ, Chiang HT. Prevalence of paraesophageal varices and gastric varices in patients achieving variceal obliteration by banding ligation and by injection sclerotherapy.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1999; </w:t>
      </w:r>
      <w:r>
        <w:rPr>
          <w:rFonts w:ascii="Book Antiqua" w:eastAsia="Book Antiqua" w:hAnsi="Book Antiqua" w:cs="Book Antiqua"/>
          <w:b/>
          <w:bCs/>
          <w:color w:val="000000"/>
        </w:rPr>
        <w:t>49</w:t>
      </w:r>
      <w:r>
        <w:rPr>
          <w:rFonts w:ascii="Book Antiqua" w:eastAsia="Book Antiqua" w:hAnsi="Book Antiqua" w:cs="Book Antiqua"/>
          <w:color w:val="000000"/>
        </w:rPr>
        <w:t>: 428-436 [PMID: 1020</w:t>
      </w:r>
      <w:r>
        <w:rPr>
          <w:rFonts w:ascii="Book Antiqua" w:eastAsia="Book Antiqua" w:hAnsi="Book Antiqua" w:cs="Book Antiqua"/>
          <w:color w:val="000000"/>
        </w:rPr>
        <w:t>2054 DOI: 10.1016/s0016-5107(99)70038-6]</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Caletti G</w:t>
      </w:r>
      <w:r>
        <w:rPr>
          <w:rFonts w:ascii="Book Antiqua" w:eastAsia="Book Antiqua" w:hAnsi="Book Antiqua" w:cs="Book Antiqua"/>
          <w:color w:val="000000"/>
        </w:rPr>
        <w:t xml:space="preserve">, Brocchi E, Baraldini M, Ferrari A, Gibilaro M, Barbara L. Assessment of portal hypertension by endoscopic ultrasonography.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1990; </w:t>
      </w:r>
      <w:r>
        <w:rPr>
          <w:rFonts w:ascii="Book Antiqua" w:eastAsia="Book Antiqua" w:hAnsi="Book Antiqua" w:cs="Book Antiqua"/>
          <w:b/>
          <w:bCs/>
          <w:color w:val="000000"/>
        </w:rPr>
        <w:t>36</w:t>
      </w:r>
      <w:r>
        <w:rPr>
          <w:rFonts w:ascii="Book Antiqua" w:eastAsia="Book Antiqua" w:hAnsi="Book Antiqua" w:cs="Book Antiqua"/>
          <w:color w:val="000000"/>
        </w:rPr>
        <w:t>: S21-S27 [PMID: 2184082 DOI: 10.1016/s0016-5107(90</w:t>
      </w:r>
      <w:r>
        <w:rPr>
          <w:rFonts w:ascii="Book Antiqua" w:eastAsia="Book Antiqua" w:hAnsi="Book Antiqua" w:cs="Book Antiqua"/>
          <w:color w:val="000000"/>
        </w:rPr>
        <w:t>)71011-5]</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Watanabe K</w:t>
      </w:r>
      <w:r>
        <w:rPr>
          <w:rFonts w:ascii="Book Antiqua" w:eastAsia="Book Antiqua" w:hAnsi="Book Antiqua" w:cs="Book Antiqua"/>
          <w:color w:val="000000"/>
        </w:rPr>
        <w:t xml:space="preserve">, Kimura K, Matsutani S, Ohto M, Okuda K. Portal hemodynamics in patients with gastric varices. A study in 230 patients with esophageal and/or gastric varices using portal vein catheterization.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1988; </w:t>
      </w:r>
      <w:r>
        <w:rPr>
          <w:rFonts w:ascii="Book Antiqua" w:eastAsia="Book Antiqua" w:hAnsi="Book Antiqua" w:cs="Book Antiqua"/>
          <w:b/>
          <w:bCs/>
          <w:color w:val="000000"/>
        </w:rPr>
        <w:t>95</w:t>
      </w:r>
      <w:r>
        <w:rPr>
          <w:rFonts w:ascii="Book Antiqua" w:eastAsia="Book Antiqua" w:hAnsi="Book Antiqua" w:cs="Book Antiqua"/>
          <w:color w:val="000000"/>
        </w:rPr>
        <w:t xml:space="preserve">: 434-440 </w:t>
      </w:r>
      <w:r>
        <w:rPr>
          <w:rFonts w:ascii="Book Antiqua" w:eastAsia="Book Antiqua" w:hAnsi="Book Antiqua" w:cs="Book Antiqua"/>
          <w:color w:val="000000"/>
        </w:rPr>
        <w:t>[PMID: 3391371 DOI: 10.1016/0016-5085(88)90501-x]</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Tripathi D</w:t>
      </w:r>
      <w:r>
        <w:rPr>
          <w:rFonts w:ascii="Book Antiqua" w:eastAsia="Book Antiqua" w:hAnsi="Book Antiqua" w:cs="Book Antiqua"/>
          <w:color w:val="000000"/>
        </w:rPr>
        <w:t>, Therapondos G, Jackson E, Redhead DN, Hayes PC. The role of the transjugular intrahepatic portosystemic stent shunt (TIPSS) in the management of bleeding gastric varices: clinical and haemodyn</w:t>
      </w:r>
      <w:r>
        <w:rPr>
          <w:rFonts w:ascii="Book Antiqua" w:eastAsia="Book Antiqua" w:hAnsi="Book Antiqua" w:cs="Book Antiqua"/>
          <w:color w:val="000000"/>
        </w:rPr>
        <w:t xml:space="preserve">amic correlations.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2002; </w:t>
      </w:r>
      <w:r>
        <w:rPr>
          <w:rFonts w:ascii="Book Antiqua" w:eastAsia="Book Antiqua" w:hAnsi="Book Antiqua" w:cs="Book Antiqua"/>
          <w:b/>
          <w:bCs/>
          <w:color w:val="000000"/>
        </w:rPr>
        <w:t>51</w:t>
      </w:r>
      <w:r>
        <w:rPr>
          <w:rFonts w:ascii="Book Antiqua" w:eastAsia="Book Antiqua" w:hAnsi="Book Antiqua" w:cs="Book Antiqua"/>
          <w:color w:val="000000"/>
        </w:rPr>
        <w:t>: 270-274 [PMID: 12117893 DOI: 10.1136/gut.51.2.270]</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Sanyal AJ</w:t>
      </w:r>
      <w:r>
        <w:rPr>
          <w:rFonts w:ascii="Book Antiqua" w:eastAsia="Book Antiqua" w:hAnsi="Book Antiqua" w:cs="Book Antiqua"/>
          <w:color w:val="000000"/>
        </w:rPr>
        <w:t>, Freedman AM, Luketic VA, Purdum PP 3rd, Shiffman ML, DeMeo J, Cole PE, Tisnado J. The natural history of portal hypertension after transjugular intrahepatic po</w:t>
      </w:r>
      <w:r>
        <w:rPr>
          <w:rFonts w:ascii="Book Antiqua" w:eastAsia="Book Antiqua" w:hAnsi="Book Antiqua" w:cs="Book Antiqua"/>
          <w:color w:val="000000"/>
        </w:rPr>
        <w:t xml:space="preserve">rtosystemic shunts.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112</w:t>
      </w:r>
      <w:r>
        <w:rPr>
          <w:rFonts w:ascii="Book Antiqua" w:eastAsia="Book Antiqua" w:hAnsi="Book Antiqua" w:cs="Book Antiqua"/>
          <w:color w:val="000000"/>
        </w:rPr>
        <w:t>: 889-898 [PMID: 9041251 DOI: 10.1053/gast.1997.v112.pm9041251]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Kumar A. Gastric varices: profile, classification, and management.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1989; </w:t>
      </w:r>
      <w:r>
        <w:rPr>
          <w:rFonts w:ascii="Book Antiqua" w:eastAsia="Book Antiqua" w:hAnsi="Book Antiqua" w:cs="Book Antiqua"/>
          <w:b/>
          <w:bCs/>
          <w:color w:val="000000"/>
        </w:rPr>
        <w:t>84</w:t>
      </w:r>
      <w:r>
        <w:rPr>
          <w:rFonts w:ascii="Book Antiqua" w:eastAsia="Book Antiqua" w:hAnsi="Book Antiqua" w:cs="Book Antiqua"/>
          <w:color w:val="000000"/>
        </w:rPr>
        <w:t>: 1244-1249 [PMID: 2679046]</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 xml:space="preserve">Hashizume </w:t>
      </w:r>
      <w:r>
        <w:rPr>
          <w:rFonts w:ascii="Book Antiqua" w:eastAsia="Book Antiqua" w:hAnsi="Book Antiqua" w:cs="Book Antiqua"/>
          <w:b/>
          <w:bCs/>
          <w:color w:val="000000"/>
        </w:rPr>
        <w:t>M</w:t>
      </w:r>
      <w:r>
        <w:rPr>
          <w:rFonts w:ascii="Book Antiqua" w:eastAsia="Book Antiqua" w:hAnsi="Book Antiqua" w:cs="Book Antiqua"/>
          <w:color w:val="000000"/>
        </w:rPr>
        <w:t xml:space="preserve">, Kitano S, Yamaga H, Koyanagi N, Sugimachi K. Endoscopic classification of gastric varices.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1990; </w:t>
      </w:r>
      <w:r>
        <w:rPr>
          <w:rFonts w:ascii="Book Antiqua" w:eastAsia="Book Antiqua" w:hAnsi="Book Antiqua" w:cs="Book Antiqua"/>
          <w:b/>
          <w:bCs/>
          <w:color w:val="000000"/>
        </w:rPr>
        <w:t>36</w:t>
      </w:r>
      <w:r>
        <w:rPr>
          <w:rFonts w:ascii="Book Antiqua" w:eastAsia="Book Antiqua" w:hAnsi="Book Antiqua" w:cs="Book Antiqua"/>
          <w:color w:val="000000"/>
        </w:rPr>
        <w:t>: 276-280 [PMID: 2365213 DOI: 10.1016/s0016-5107(90)71023-1]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Kim T</w:t>
      </w:r>
      <w:r>
        <w:rPr>
          <w:rFonts w:ascii="Book Antiqua" w:eastAsia="Book Antiqua" w:hAnsi="Book Antiqua" w:cs="Book Antiqua"/>
          <w:color w:val="000000"/>
        </w:rPr>
        <w:t xml:space="preserve">, Shijo H, Kokawa H, Tokumitsu H, Kubara K, Ota K, Akiyoshi N, Iida T, Yokoyama M, Okumura M. Risk factors for hemorrhage from gastric fundal varices.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25</w:t>
      </w:r>
      <w:r>
        <w:rPr>
          <w:rFonts w:ascii="Book Antiqua" w:eastAsia="Book Antiqua" w:hAnsi="Book Antiqua" w:cs="Book Antiqua"/>
          <w:color w:val="000000"/>
        </w:rPr>
        <w:t>: 307-312 [PMID: 9021939 DOI: 10.1053/jhep.1997.v25.pm0009021939]</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Abby Philips C</w:t>
      </w:r>
      <w:r>
        <w:rPr>
          <w:rFonts w:ascii="Book Antiqua" w:eastAsia="Book Antiqua" w:hAnsi="Book Antiqua" w:cs="Book Antiqua"/>
          <w:color w:val="000000"/>
        </w:rPr>
        <w:t>, S</w:t>
      </w:r>
      <w:r>
        <w:rPr>
          <w:rFonts w:ascii="Book Antiqua" w:eastAsia="Book Antiqua" w:hAnsi="Book Antiqua" w:cs="Book Antiqua"/>
          <w:color w:val="000000"/>
        </w:rPr>
        <w:t xml:space="preserve">ahney A. Oesophageal and gastric varices: historical aspects, classification and grading: everything in one place. </w:t>
      </w:r>
      <w:r>
        <w:rPr>
          <w:rFonts w:ascii="Book Antiqua" w:eastAsia="Book Antiqua" w:hAnsi="Book Antiqua" w:cs="Book Antiqua"/>
          <w:i/>
          <w:iCs/>
          <w:color w:val="000000"/>
        </w:rPr>
        <w:t>Gastroenterol Rep (Oxf)</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186-195 [PMID: 27324725 DOI: 10.1093/gastro/gow018]</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Ryan BM</w:t>
      </w:r>
      <w:r>
        <w:rPr>
          <w:rFonts w:ascii="Book Antiqua" w:eastAsia="Book Antiqua" w:hAnsi="Book Antiqua" w:cs="Book Antiqua"/>
          <w:color w:val="000000"/>
        </w:rPr>
        <w:t>, Stockbrugger RW, Ryan JM. A pathophysiologic</w:t>
      </w:r>
      <w:r>
        <w:rPr>
          <w:rFonts w:ascii="Book Antiqua" w:eastAsia="Book Antiqua" w:hAnsi="Book Antiqua" w:cs="Book Antiqua"/>
          <w:color w:val="000000"/>
        </w:rPr>
        <w:t xml:space="preserve">, gastroenterologic, and radiologic approach to the management of gastric varices.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126</w:t>
      </w:r>
      <w:r>
        <w:rPr>
          <w:rFonts w:ascii="Book Antiqua" w:eastAsia="Book Antiqua" w:hAnsi="Book Antiqua" w:cs="Book Antiqua"/>
          <w:color w:val="000000"/>
        </w:rPr>
        <w:t>: 1175-1189 [PMID: 15057756 DOI: 10.1053/j.gastro.2004.01.058]</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Garcia-Tsao G</w:t>
      </w:r>
      <w:r>
        <w:rPr>
          <w:rFonts w:ascii="Book Antiqua" w:eastAsia="Book Antiqua" w:hAnsi="Book Antiqua" w:cs="Book Antiqua"/>
          <w:color w:val="000000"/>
        </w:rPr>
        <w:t>, Abraldes JG, Berzigotti A, Bosch J. Portal hypertensive bleeding i</w:t>
      </w:r>
      <w:r>
        <w:rPr>
          <w:rFonts w:ascii="Book Antiqua" w:eastAsia="Book Antiqua" w:hAnsi="Book Antiqua" w:cs="Book Antiqua"/>
          <w:color w:val="000000"/>
        </w:rPr>
        <w:t xml:space="preserve">n cirrhosis: Risk stratification, diagnosis, and management: 2016 practice guidance by the American Association for the study of liver diseases.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65</w:t>
      </w:r>
      <w:r>
        <w:rPr>
          <w:rFonts w:ascii="Book Antiqua" w:eastAsia="Book Antiqua" w:hAnsi="Book Antiqua" w:cs="Book Antiqua"/>
          <w:color w:val="000000"/>
        </w:rPr>
        <w:t>: 310-335 [PMID: 27786365 DOI: 10.1002/hep.28906]</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European Association for the Study of t</w:t>
      </w:r>
      <w:r>
        <w:rPr>
          <w:rFonts w:ascii="Book Antiqua" w:eastAsia="Book Antiqua" w:hAnsi="Book Antiqua" w:cs="Book Antiqua"/>
          <w:b/>
          <w:bCs/>
          <w:color w:val="000000"/>
        </w:rPr>
        <w:t>he Liver.</w:t>
      </w:r>
      <w:r>
        <w:rPr>
          <w:rFonts w:ascii="Book Antiqua" w:eastAsia="Book Antiqua" w:hAnsi="Book Antiqua" w:cs="Book Antiqua"/>
          <w:color w:val="000000"/>
        </w:rPr>
        <w:t xml:space="preserve"> EASL Clinical Practice Guidelines for the management of patients with decompensated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406-460 [PMID: 29653741 DOI: 10.1016/j.jhep.2018.03.024]</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Lo GH</w:t>
      </w:r>
      <w:r>
        <w:rPr>
          <w:rFonts w:ascii="Book Antiqua" w:eastAsia="Book Antiqua" w:hAnsi="Book Antiqua" w:cs="Book Antiqua"/>
          <w:color w:val="000000"/>
        </w:rPr>
        <w:t xml:space="preserve">, Lai KH, Cheng JS, Chen MH, Chiang HT. A prospective, randomized </w:t>
      </w:r>
      <w:r>
        <w:rPr>
          <w:rFonts w:ascii="Book Antiqua" w:eastAsia="Book Antiqua" w:hAnsi="Book Antiqua" w:cs="Book Antiqua"/>
          <w:color w:val="000000"/>
        </w:rPr>
        <w:t xml:space="preserve">trial of butyl cyanoacrylate injection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band ligation in the management of bleeding gastric varices.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1060-1064 [PMID: 11343232 DOI: 10.1053/jhep.2001.24116]</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Mishra SR. Endoscopic therapy for gastric varices. </w:t>
      </w:r>
      <w:r>
        <w:rPr>
          <w:rFonts w:ascii="Book Antiqua" w:eastAsia="Book Antiqua" w:hAnsi="Book Antiqua" w:cs="Book Antiqua"/>
          <w:i/>
          <w:iCs/>
          <w:color w:val="000000"/>
        </w:rPr>
        <w:t>Clin Liver D</w:t>
      </w:r>
      <w:r>
        <w:rPr>
          <w:rFonts w:ascii="Book Antiqua" w:eastAsia="Book Antiqua" w:hAnsi="Book Antiqua" w:cs="Book Antiqua"/>
          <w:i/>
          <w:iCs/>
          <w:color w:val="000000"/>
        </w:rPr>
        <w:t>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14</w:t>
      </w:r>
      <w:r>
        <w:rPr>
          <w:rFonts w:ascii="Book Antiqua" w:eastAsia="Book Antiqua" w:hAnsi="Book Antiqua" w:cs="Book Antiqua"/>
          <w:color w:val="000000"/>
        </w:rPr>
        <w:t>: 263-279 [PMID: 20682234 DOI: 10.1016/j.cld.2010.03.007]</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Jain AK, Jain M, Gupta R. A randomized controlled trial of cyanoacrylate </w:t>
      </w:r>
      <w:r>
        <w:rPr>
          <w:rFonts w:ascii="Book Antiqua" w:eastAsia="Book Antiqua" w:hAnsi="Book Antiqua" w:cs="Book Antiqua"/>
          <w:i/>
          <w:iCs/>
          <w:color w:val="000000"/>
        </w:rPr>
        <w:t>vs</w:t>
      </w:r>
      <w:r>
        <w:rPr>
          <w:rFonts w:ascii="Book Antiqua" w:eastAsia="Book Antiqua" w:hAnsi="Book Antiqua" w:cs="Book Antiqua"/>
          <w:color w:val="000000"/>
        </w:rPr>
        <w:t xml:space="preserve"> alcohol injection in patients with isolated fundic varices.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2002; </w:t>
      </w:r>
      <w:r>
        <w:rPr>
          <w:rFonts w:ascii="Book Antiqua" w:eastAsia="Book Antiqua" w:hAnsi="Book Antiqua" w:cs="Book Antiqua"/>
          <w:b/>
          <w:bCs/>
          <w:color w:val="000000"/>
        </w:rPr>
        <w:t>97</w:t>
      </w:r>
      <w:r>
        <w:rPr>
          <w:rFonts w:ascii="Book Antiqua" w:eastAsia="Book Antiqua" w:hAnsi="Book Antiqua" w:cs="Book Antiqua"/>
          <w:color w:val="000000"/>
        </w:rPr>
        <w:t>: 1010-1015</w:t>
      </w:r>
      <w:r>
        <w:rPr>
          <w:rFonts w:ascii="Book Antiqua" w:eastAsia="Book Antiqua" w:hAnsi="Book Antiqua" w:cs="Book Antiqua"/>
          <w:color w:val="000000"/>
        </w:rPr>
        <w:t xml:space="preserve"> [PMID: 12003381 DOI: 10.1111/j.1572-0241.2002.05622.x]</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Barange K</w:t>
      </w:r>
      <w:r>
        <w:rPr>
          <w:rFonts w:ascii="Book Antiqua" w:eastAsia="Book Antiqua" w:hAnsi="Book Antiqua" w:cs="Book Antiqua"/>
          <w:color w:val="000000"/>
        </w:rPr>
        <w:t>, Péron JM, Imani K, Otal P, Payen JL, Rousseau H, Pascal JP, Joffre F, Vinel JP. Transjugular intrahepatic portosystemic shunt in the treatment of refractory bleeding from ruptured gastri</w:t>
      </w:r>
      <w:r>
        <w:rPr>
          <w:rFonts w:ascii="Book Antiqua" w:eastAsia="Book Antiqua" w:hAnsi="Book Antiqua" w:cs="Book Antiqua"/>
          <w:color w:val="000000"/>
        </w:rPr>
        <w:t xml:space="preserve">c varices.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30</w:t>
      </w:r>
      <w:r>
        <w:rPr>
          <w:rFonts w:ascii="Book Antiqua" w:eastAsia="Book Antiqua" w:hAnsi="Book Antiqua" w:cs="Book Antiqua"/>
          <w:color w:val="000000"/>
        </w:rPr>
        <w:t>: 1139-1143 [PMID: 10534333 DOI: 10.1002/hep.510300523]</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Chau TN</w:t>
      </w:r>
      <w:r>
        <w:rPr>
          <w:rFonts w:ascii="Book Antiqua" w:eastAsia="Book Antiqua" w:hAnsi="Book Antiqua" w:cs="Book Antiqua"/>
          <w:color w:val="000000"/>
        </w:rPr>
        <w:t>, Patch D, Chan YW, Nagral A, Dick R, Burroughs AK. "Salvage" transjugular intrahepatic portosystemic shunts: gastric fundal compared with esophageal variceal b</w:t>
      </w:r>
      <w:r>
        <w:rPr>
          <w:rFonts w:ascii="Book Antiqua" w:eastAsia="Book Antiqua" w:hAnsi="Book Antiqua" w:cs="Book Antiqua"/>
          <w:color w:val="000000"/>
        </w:rPr>
        <w:t xml:space="preserve">leeding.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981-987 [PMID: 9558287 DOI: 10.1016/s0016-5085(98)00640-4]</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Stanley AJ</w:t>
      </w:r>
      <w:r>
        <w:rPr>
          <w:rFonts w:ascii="Book Antiqua" w:eastAsia="Book Antiqua" w:hAnsi="Book Antiqua" w:cs="Book Antiqua"/>
          <w:color w:val="000000"/>
        </w:rPr>
        <w:t xml:space="preserve">, Jalan R, Ireland HM, Redhead DN, Bouchier IA, Hayes PC. A comparison between gastric and oesophageal variceal haemorrhage treated with transjugular intrahepatic portosystemic stent shunt (TIPSS).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1997; </w:t>
      </w:r>
      <w:r>
        <w:rPr>
          <w:rFonts w:ascii="Book Antiqua" w:eastAsia="Book Antiqua" w:hAnsi="Book Antiqua" w:cs="Book Antiqua"/>
          <w:b/>
          <w:bCs/>
          <w:color w:val="000000"/>
        </w:rPr>
        <w:t>11</w:t>
      </w:r>
      <w:r>
        <w:rPr>
          <w:rFonts w:ascii="Book Antiqua" w:eastAsia="Book Antiqua" w:hAnsi="Book Antiqua" w:cs="Book Antiqua"/>
          <w:color w:val="000000"/>
        </w:rPr>
        <w:t>: 171-176 [PMID: 9042990 DO</w:t>
      </w:r>
      <w:r>
        <w:rPr>
          <w:rFonts w:ascii="Book Antiqua" w:eastAsia="Book Antiqua" w:hAnsi="Book Antiqua" w:cs="Book Antiqua"/>
          <w:color w:val="000000"/>
        </w:rPr>
        <w:t>I: 10.1046/j.1365-2036.1997.106277000.x]</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Ahamed R, Rajesh S, George T, Mohanan M, Augustine P. Beyond the scope and the glue: update on evaluation and management of gastric varices.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361 [PMID: 33126847 DOI: 10.118</w:t>
      </w:r>
      <w:r>
        <w:rPr>
          <w:rFonts w:ascii="Book Antiqua" w:eastAsia="Book Antiqua" w:hAnsi="Book Antiqua" w:cs="Book Antiqua"/>
          <w:color w:val="000000"/>
        </w:rPr>
        <w:t>6/s12876-020-01513-7]</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Rajesh S</w:t>
      </w:r>
      <w:r>
        <w:rPr>
          <w:rFonts w:ascii="Book Antiqua" w:eastAsia="Book Antiqua" w:hAnsi="Book Antiqua" w:cs="Book Antiqua"/>
          <w:color w:val="000000"/>
        </w:rPr>
        <w:t xml:space="preserve">, George T, Philips CA, Ahamed R, Kumbar S, Mohan N, Mohanan M, Augustine P. Transjugular intrahepatic portosystemic shunt in cirrhosis: An exhaustive critical update.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5561-5596 [PMID: 330881</w:t>
      </w:r>
      <w:r>
        <w:rPr>
          <w:rFonts w:ascii="Book Antiqua" w:eastAsia="Book Antiqua" w:hAnsi="Book Antiqua" w:cs="Book Antiqua"/>
          <w:color w:val="000000"/>
        </w:rPr>
        <w:t>54 DOI: 10.3748/wjg.v26.i37.5561]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Mahadeva S</w:t>
      </w:r>
      <w:r>
        <w:rPr>
          <w:rFonts w:ascii="Book Antiqua" w:eastAsia="Book Antiqua" w:hAnsi="Book Antiqua" w:cs="Book Antiqua"/>
          <w:color w:val="000000"/>
        </w:rPr>
        <w:t xml:space="preserve">, Bellamy MC, Kessel D, Davies MH, Millson CE. Cost-effectiveness of N-butyl-2-cyanoacrylate (histoacryl) glue injections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transjugular intrahepatic portosystemic shunt in the management of acute gastric var</w:t>
      </w:r>
      <w:r>
        <w:rPr>
          <w:rFonts w:ascii="Book Antiqua" w:eastAsia="Book Antiqua" w:hAnsi="Book Antiqua" w:cs="Book Antiqua"/>
          <w:color w:val="000000"/>
        </w:rPr>
        <w:t xml:space="preserve">iceal bleeding.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2688-2693 [PMID: 14687818 DOI: 10.1111/j.1572-0241.2003.08769.x]</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Procaccini NJ</w:t>
      </w:r>
      <w:r>
        <w:rPr>
          <w:rFonts w:ascii="Book Antiqua" w:eastAsia="Book Antiqua" w:hAnsi="Book Antiqua" w:cs="Book Antiqua"/>
          <w:color w:val="000000"/>
        </w:rPr>
        <w:t xml:space="preserve">, Al-Osaimi AM, Northup P, Argo C, Caldwell SH. Endoscopic cyanoacrylate </w:t>
      </w:r>
      <w:r>
        <w:rPr>
          <w:rFonts w:ascii="Book Antiqua" w:eastAsia="Book Antiqua" w:hAnsi="Book Antiqua" w:cs="Book Antiqua"/>
          <w:i/>
          <w:iCs/>
          <w:color w:val="000000"/>
        </w:rPr>
        <w:t>vs</w:t>
      </w:r>
      <w:r>
        <w:rPr>
          <w:rFonts w:ascii="Book Antiqua" w:eastAsia="Book Antiqua" w:hAnsi="Book Antiqua" w:cs="Book Antiqua"/>
          <w:color w:val="000000"/>
        </w:rPr>
        <w:t xml:space="preserve"> transjugular intrahepatic portosystemic shunt for gast</w:t>
      </w:r>
      <w:r>
        <w:rPr>
          <w:rFonts w:ascii="Book Antiqua" w:eastAsia="Book Antiqua" w:hAnsi="Book Antiqua" w:cs="Book Antiqua"/>
          <w:color w:val="000000"/>
        </w:rPr>
        <w:t xml:space="preserve">ric variceal bleeding: a single-center U.S. 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881-887 [PMID: 19559425 DOI: 10.1016/j.gie.2009.03.1169]</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Saad WE</w:t>
      </w:r>
      <w:r>
        <w:rPr>
          <w:rFonts w:ascii="Book Antiqua" w:eastAsia="Book Antiqua" w:hAnsi="Book Antiqua" w:cs="Book Antiqua"/>
          <w:color w:val="000000"/>
        </w:rPr>
        <w:t xml:space="preserve">, Darcy MD. Transjugular Intrahepatic Portosystemic Shunt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Balloon-occluded Retrograde Transveno</w:t>
      </w:r>
      <w:r>
        <w:rPr>
          <w:rFonts w:ascii="Book Antiqua" w:eastAsia="Book Antiqua" w:hAnsi="Book Antiqua" w:cs="Book Antiqua"/>
          <w:color w:val="000000"/>
        </w:rPr>
        <w:t xml:space="preserve">us Obliteration (BRTO) for the Management of Gastric Varices. </w:t>
      </w:r>
      <w:r>
        <w:rPr>
          <w:rFonts w:ascii="Book Antiqua" w:eastAsia="Book Antiqua" w:hAnsi="Book Antiqua" w:cs="Book Antiqua"/>
          <w:i/>
          <w:iCs/>
          <w:color w:val="000000"/>
        </w:rPr>
        <w:t>Semin Intervent Radiol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28</w:t>
      </w:r>
      <w:r>
        <w:rPr>
          <w:rFonts w:ascii="Book Antiqua" w:eastAsia="Book Antiqua" w:hAnsi="Book Antiqua" w:cs="Book Antiqua"/>
          <w:color w:val="000000"/>
        </w:rPr>
        <w:t>: 339-349 [PMID: 22942552 DOI: 10.1055/s-0031-1284461]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Park JK</w:t>
      </w:r>
      <w:r>
        <w:rPr>
          <w:rFonts w:ascii="Book Antiqua" w:eastAsia="Book Antiqua" w:hAnsi="Book Antiqua" w:cs="Book Antiqua"/>
          <w:color w:val="000000"/>
        </w:rPr>
        <w:t>, Saab S, Kee ST, Busuttil RW, Kim HJ, Durazo F, Cho SK, Lee EW. Balloon-Occluded Retrograde Trans</w:t>
      </w:r>
      <w:r>
        <w:rPr>
          <w:rFonts w:ascii="Book Antiqua" w:eastAsia="Book Antiqua" w:hAnsi="Book Antiqua" w:cs="Book Antiqua"/>
          <w:color w:val="000000"/>
        </w:rPr>
        <w:t xml:space="preserve">venous Obliteration (BRTO) for Treatment of Gastric Varices: Review and Meta-Analysis.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1543-1553 [PMID: 25519690 DOI: 10.1007/s10620-014-3485-8]</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Wang ZW</w:t>
      </w:r>
      <w:r>
        <w:rPr>
          <w:rFonts w:ascii="Book Antiqua" w:eastAsia="Book Antiqua" w:hAnsi="Book Antiqua" w:cs="Book Antiqua"/>
          <w:color w:val="000000"/>
        </w:rPr>
        <w:t xml:space="preserve">, Liu JC, Zhao F, Zhang WG, Duan XH, Chen PF, Yang SF, Li HW, Chen FW, Shi HS, </w:t>
      </w:r>
      <w:r>
        <w:rPr>
          <w:rFonts w:ascii="Book Antiqua" w:eastAsia="Book Antiqua" w:hAnsi="Book Antiqua" w:cs="Book Antiqua"/>
          <w:color w:val="000000"/>
        </w:rPr>
        <w:t xml:space="preserve">Ren JZ. Comparison of the Effects of TIPS </w:t>
      </w:r>
      <w:r>
        <w:rPr>
          <w:rFonts w:ascii="Book Antiqua" w:eastAsia="Book Antiqua" w:hAnsi="Book Antiqua" w:cs="Book Antiqua"/>
          <w:i/>
          <w:iCs/>
          <w:color w:val="000000"/>
        </w:rPr>
        <w:t>vs</w:t>
      </w:r>
      <w:r>
        <w:rPr>
          <w:rFonts w:ascii="Book Antiqua" w:eastAsia="Book Antiqua" w:hAnsi="Book Antiqua" w:cs="Book Antiqua"/>
          <w:color w:val="000000"/>
        </w:rPr>
        <w:t xml:space="preserve"> BRTO on Bleeding Gastric Varices: A Meta-Analysis.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5143013 [PMID: 32104670 DOI: 10.1155/2020/5143013]</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Choi YH</w:t>
      </w:r>
      <w:r>
        <w:rPr>
          <w:rFonts w:ascii="Book Antiqua" w:eastAsia="Book Antiqua" w:hAnsi="Book Antiqua" w:cs="Book Antiqua"/>
          <w:color w:val="000000"/>
        </w:rPr>
        <w:t>, Yoon CJ, Park JH, Chung JW, Kwon JW, Choi GM. Balloon-occ</w:t>
      </w:r>
      <w:r>
        <w:rPr>
          <w:rFonts w:ascii="Book Antiqua" w:eastAsia="Book Antiqua" w:hAnsi="Book Antiqua" w:cs="Book Antiqua"/>
          <w:color w:val="000000"/>
        </w:rPr>
        <w:t xml:space="preserve">luded retrograde transvenous obliteration for gastric variceal bleeding: its feasibility compared with transjugular intrahepatic portosystemic shunt. </w:t>
      </w:r>
      <w:r>
        <w:rPr>
          <w:rFonts w:ascii="Book Antiqua" w:eastAsia="Book Antiqua" w:hAnsi="Book Antiqua" w:cs="Book Antiqua"/>
          <w:i/>
          <w:iCs/>
          <w:color w:val="000000"/>
        </w:rPr>
        <w:t>Korean J Radiol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4</w:t>
      </w:r>
      <w:r>
        <w:rPr>
          <w:rFonts w:ascii="Book Antiqua" w:eastAsia="Book Antiqua" w:hAnsi="Book Antiqua" w:cs="Book Antiqua"/>
          <w:color w:val="000000"/>
        </w:rPr>
        <w:t>: 109-116 [PMID: 12845306 DOI: 10.3348/kjr.2003.4.2.109]</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Mishra SR</w:t>
      </w:r>
      <w:r>
        <w:rPr>
          <w:rFonts w:ascii="Book Antiqua" w:eastAsia="Book Antiqua" w:hAnsi="Book Antiqua" w:cs="Book Antiqua"/>
          <w:color w:val="000000"/>
        </w:rPr>
        <w:t xml:space="preserve">, Chander Sharma B, Kumar A, Sarin SK. Endoscopic cyanoacrylate injection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beta-blocker for secondary prophylaxis of gastric variceal bleed: a randomised controlled trial.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729-735 [PMID: 20551457 DOI: 10.1136/gut.2009.192039]</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Hung HH</w:t>
      </w:r>
      <w:r>
        <w:rPr>
          <w:rFonts w:ascii="Book Antiqua" w:eastAsia="Book Antiqua" w:hAnsi="Book Antiqua" w:cs="Book Antiqua"/>
          <w:color w:val="000000"/>
        </w:rPr>
        <w:t>, Ch</w:t>
      </w:r>
      <w:r>
        <w:rPr>
          <w:rFonts w:ascii="Book Antiqua" w:eastAsia="Book Antiqua" w:hAnsi="Book Antiqua" w:cs="Book Antiqua"/>
          <w:color w:val="000000"/>
        </w:rPr>
        <w:t xml:space="preserve">ang CJ, Hou MC, Liao WC, Chan CC, Huang HC, Lin HC, Lee FY, Lee SD. Efficacy of non-selective β-blockers as adjunct to endoscopic prophylactic treatment for gastric variceal bleeding: a randomized controlled trial.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1025-1032 [PMID: 2226</w:t>
      </w:r>
      <w:r>
        <w:rPr>
          <w:rFonts w:ascii="Book Antiqua" w:eastAsia="Book Antiqua" w:hAnsi="Book Antiqua" w:cs="Book Antiqua"/>
          <w:color w:val="000000"/>
        </w:rPr>
        <w:t>6602 DOI: 10.1016/j.jhep.2011.12.021]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Chen WC</w:t>
      </w:r>
      <w:r>
        <w:rPr>
          <w:rFonts w:ascii="Book Antiqua" w:eastAsia="Book Antiqua" w:hAnsi="Book Antiqua" w:cs="Book Antiqua"/>
          <w:color w:val="000000"/>
        </w:rPr>
        <w:t>, Hsin IF, Chen PH, Hsu PI, Wang YP, Cheng JS, Lin HS, Hou MC, Lee FY. Addition of Carvedilol to Gastric Variceal Obturation Does Not Decrease Recurrence of Gastric Variceal Bleeding in Patients With Cirrhosi</w:t>
      </w:r>
      <w:r>
        <w:rPr>
          <w:rFonts w:ascii="Book Antiqua" w:eastAsia="Book Antiqua" w:hAnsi="Book Antiqua" w:cs="Book Antiqua"/>
          <w:color w:val="000000"/>
        </w:rPr>
        <w:t xml:space="preserve">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2356-2363 [PMID: 30772583 DOI: 10.1016/j.cgh.2019.02.021]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Lee YT</w:t>
      </w:r>
      <w:r>
        <w:rPr>
          <w:rFonts w:ascii="Book Antiqua" w:eastAsia="Book Antiqua" w:hAnsi="Book Antiqua" w:cs="Book Antiqua"/>
          <w:color w:val="000000"/>
        </w:rPr>
        <w:t xml:space="preserve">, Chan FK, Ng EK, Leung VK, Law KB, Yung MY, Chung SC, Sung JJ. EUS-guided injection of cyanoacrylate for bleeding gastric varices. </w:t>
      </w:r>
      <w:r>
        <w:rPr>
          <w:rFonts w:ascii="Book Antiqua" w:eastAsia="Book Antiqua" w:hAnsi="Book Antiqua" w:cs="Book Antiqua"/>
          <w:i/>
          <w:iCs/>
          <w:color w:val="000000"/>
        </w:rPr>
        <w:t>Gastrointest Endo</w:t>
      </w:r>
      <w:r>
        <w:rPr>
          <w:rFonts w:ascii="Book Antiqua" w:eastAsia="Book Antiqua" w:hAnsi="Book Antiqua" w:cs="Book Antiqua"/>
          <w:i/>
          <w:iCs/>
          <w:color w:val="000000"/>
        </w:rPr>
        <w:t>sc</w:t>
      </w:r>
      <w:r>
        <w:rPr>
          <w:rFonts w:ascii="Book Antiqua" w:eastAsia="Book Antiqua" w:hAnsi="Book Antiqua" w:cs="Book Antiqua"/>
          <w:color w:val="000000"/>
        </w:rPr>
        <w:t xml:space="preserve"> 2000; </w:t>
      </w:r>
      <w:r>
        <w:rPr>
          <w:rFonts w:ascii="Book Antiqua" w:eastAsia="Book Antiqua" w:hAnsi="Book Antiqua" w:cs="Book Antiqua"/>
          <w:b/>
          <w:bCs/>
          <w:color w:val="000000"/>
        </w:rPr>
        <w:t>52</w:t>
      </w:r>
      <w:r>
        <w:rPr>
          <w:rFonts w:ascii="Book Antiqua" w:eastAsia="Book Antiqua" w:hAnsi="Book Antiqua" w:cs="Book Antiqua"/>
          <w:color w:val="000000"/>
        </w:rPr>
        <w:t>: 168-174 [PMID: 10922086 DOI: 10.1067/mge.2000.107911]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Bick BL</w:t>
      </w:r>
      <w:r>
        <w:rPr>
          <w:rFonts w:ascii="Book Antiqua" w:eastAsia="Book Antiqua" w:hAnsi="Book Antiqua" w:cs="Book Antiqua"/>
          <w:color w:val="000000"/>
        </w:rPr>
        <w:t xml:space="preserve">, Al-Haddad M, Liangpunsakul S, Ghabril MS, DeWitt JM. EUS-guided fine needle injection is superior to direct endoscopic injection of 2-octyl cyanoacrylate for the treatment of gastric variceal bleeding.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1837-1845 [PMID: 30259158 DOI:</w:t>
      </w:r>
      <w:r>
        <w:rPr>
          <w:rFonts w:ascii="Book Antiqua" w:eastAsia="Book Antiqua" w:hAnsi="Book Antiqua" w:cs="Book Antiqua"/>
          <w:color w:val="000000"/>
        </w:rPr>
        <w:t xml:space="preserve"> 10.1007/s00464-018-6462-z]</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Binmoeller KF</w:t>
      </w:r>
      <w:r>
        <w:rPr>
          <w:rFonts w:ascii="Book Antiqua" w:eastAsia="Book Antiqua" w:hAnsi="Book Antiqua" w:cs="Book Antiqua"/>
          <w:color w:val="000000"/>
        </w:rPr>
        <w:t xml:space="preserve">. Endoscopic Ultrasound-Guided Coil and Glue Injection for Gastric Variceal Bleeding. </w:t>
      </w:r>
      <w:r>
        <w:rPr>
          <w:rFonts w:ascii="Book Antiqua" w:eastAsia="Book Antiqua" w:hAnsi="Book Antiqua" w:cs="Book Antiqua"/>
          <w:i/>
          <w:iCs/>
          <w:color w:val="000000"/>
        </w:rPr>
        <w:t>Gastroenterol Hepatol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123-126 [PMID: 29606925]</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Khoury T</w:t>
      </w:r>
      <w:r>
        <w:rPr>
          <w:rFonts w:ascii="Book Antiqua" w:eastAsia="Book Antiqua" w:hAnsi="Book Antiqua" w:cs="Book Antiqua"/>
          <w:color w:val="000000"/>
        </w:rPr>
        <w:t>, Nadella D, Wiles A, Marshall C, Kumar M, Shapira G,</w:t>
      </w:r>
      <w:r>
        <w:rPr>
          <w:rFonts w:ascii="Book Antiqua" w:eastAsia="Book Antiqua" w:hAnsi="Book Antiqua" w:cs="Book Antiqua"/>
          <w:color w:val="000000"/>
        </w:rPr>
        <w:t xml:space="preserve"> Ludvik N, Schumann A, Mahamid M, Mizrahi M. A review article on gastric varices with focus on the emerging role of endoscopic ultrasound-guided angiotherapy.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1411-1415 [PMID: 29985209 DOI: 10.1097/MEG.0000000000001200</w:t>
      </w:r>
      <w:r>
        <w:rPr>
          <w:rFonts w:ascii="Book Antiqua" w:eastAsia="Book Antiqua" w:hAnsi="Book Antiqua" w:cs="Book Antiqua"/>
          <w:color w:val="000000"/>
        </w:rPr>
        <w:t>]</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Romero-Castro R</w:t>
      </w:r>
      <w:r>
        <w:rPr>
          <w:rFonts w:ascii="Book Antiqua" w:eastAsia="Book Antiqua" w:hAnsi="Book Antiqua" w:cs="Book Antiqua"/>
          <w:color w:val="000000"/>
        </w:rPr>
        <w:t>, Ellrichmann M, Ortiz-Moyano C, Subtil-Inigo JC, Junquera-Florez F, Gornals JB, Repiso-Ortega A, Vila-Costas J, Marcos-Sanchez F, Muñoz-Navas M, Romero-Gomez M, Brullet-Benedi E, Romero-Vazquez J, Caunedo-Alvarez A, Pellicer-Bautista F</w:t>
      </w:r>
      <w:r>
        <w:rPr>
          <w:rFonts w:ascii="Book Antiqua" w:eastAsia="Book Antiqua" w:hAnsi="Book Antiqua" w:cs="Book Antiqua"/>
          <w:color w:val="000000"/>
        </w:rPr>
        <w:t xml:space="preserve">, Herrerias-Gutierrez JM, Fritscher-Ravens A. EUS-guided coil </w:t>
      </w:r>
      <w:r>
        <w:rPr>
          <w:rFonts w:ascii="Book Antiqua" w:eastAsia="Book Antiqua" w:hAnsi="Book Antiqua" w:cs="Book Antiqua"/>
          <w:i/>
          <w:iCs/>
          <w:color w:val="000000"/>
        </w:rPr>
        <w:t>vs</w:t>
      </w:r>
      <w:r>
        <w:rPr>
          <w:rFonts w:ascii="Book Antiqua" w:eastAsia="Book Antiqua" w:hAnsi="Book Antiqua" w:cs="Book Antiqua"/>
          <w:color w:val="000000"/>
        </w:rPr>
        <w:t xml:space="preserve"> cyanoacrylate therapy for the treatment of gastric varices: a multicenter study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78</w:t>
      </w:r>
      <w:r>
        <w:rPr>
          <w:rFonts w:ascii="Book Antiqua" w:eastAsia="Book Antiqua" w:hAnsi="Book Antiqua" w:cs="Book Antiqua"/>
          <w:color w:val="000000"/>
        </w:rPr>
        <w:t>: 711-721 [PMID: 23891417 DOI: 10.1016/j.gie.2013.05.009]</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Binmoel</w:t>
      </w:r>
      <w:r>
        <w:rPr>
          <w:rFonts w:ascii="Book Antiqua" w:eastAsia="Book Antiqua" w:hAnsi="Book Antiqua" w:cs="Book Antiqua"/>
          <w:b/>
          <w:bCs/>
          <w:color w:val="000000"/>
        </w:rPr>
        <w:t>ler KF</w:t>
      </w:r>
      <w:r>
        <w:rPr>
          <w:rFonts w:ascii="Book Antiqua" w:eastAsia="Book Antiqua" w:hAnsi="Book Antiqua" w:cs="Book Antiqua"/>
          <w:color w:val="000000"/>
        </w:rPr>
        <w:t xml:space="preserve">, Weilert F, Shah JN, Kim J. EUS-guided transesophageal treatment of gastric fundal varices with combined coiling and cyanoacrylate glue injection (with videos).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1019-1025 [PMID: 21889139 DOI: 10.1016/j.gie.2011.06.030]</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Bhat YM</w:t>
      </w:r>
      <w:r>
        <w:rPr>
          <w:rFonts w:ascii="Book Antiqua" w:eastAsia="Book Antiqua" w:hAnsi="Book Antiqua" w:cs="Book Antiqua"/>
          <w:color w:val="000000"/>
        </w:rPr>
        <w:t xml:space="preserve">, Weilert F, Fredrick RT, Kane SD, Shah JN, Hamerski CM, Binmoeller KF. EUS-guided treatment of gastric fundal varices with combined injection of coils and cyanoacrylate glue: a large U.S. experience over 6 years (with video).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2016; </w:t>
      </w:r>
      <w:r>
        <w:rPr>
          <w:rFonts w:ascii="Book Antiqua" w:eastAsia="Book Antiqua" w:hAnsi="Book Antiqua" w:cs="Book Antiqua"/>
          <w:b/>
          <w:bCs/>
          <w:color w:val="000000"/>
        </w:rPr>
        <w:t>83</w:t>
      </w:r>
      <w:r>
        <w:rPr>
          <w:rFonts w:ascii="Book Antiqua" w:eastAsia="Book Antiqua" w:hAnsi="Book Antiqua" w:cs="Book Antiqua"/>
          <w:color w:val="000000"/>
        </w:rPr>
        <w:t>: 1164-1172 [PMID: 26452992 DOI: 10.1016/j.gie.2015.09.040]</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Robles-Medranda C</w:t>
      </w:r>
      <w:r>
        <w:rPr>
          <w:rFonts w:ascii="Book Antiqua" w:eastAsia="Book Antiqua" w:hAnsi="Book Antiqua" w:cs="Book Antiqua"/>
          <w:color w:val="000000"/>
        </w:rPr>
        <w:t>, Oleas R, Valero M, Puga-Tejada M, Baquerizo-Burgos J, Ospina J, Pitanga-Lukashok H. Endoscopic ultrasonography-guided deployment of embolization coils and cyanoacryl</w:t>
      </w:r>
      <w:r>
        <w:rPr>
          <w:rFonts w:ascii="Book Antiqua" w:eastAsia="Book Antiqua" w:hAnsi="Book Antiqua" w:cs="Book Antiqua"/>
          <w:color w:val="000000"/>
        </w:rPr>
        <w:t xml:space="preserve">ate injection in gastric varices </w:t>
      </w:r>
      <w:r>
        <w:rPr>
          <w:rFonts w:ascii="Book Antiqua" w:eastAsia="Book Antiqua" w:hAnsi="Book Antiqua" w:cs="Book Antiqua"/>
          <w:i/>
          <w:iCs/>
          <w:color w:val="000000"/>
        </w:rPr>
        <w:t>vs</w:t>
      </w:r>
      <w:r>
        <w:rPr>
          <w:rFonts w:ascii="Book Antiqua" w:eastAsia="Book Antiqua" w:hAnsi="Book Antiqua" w:cs="Book Antiqua"/>
          <w:color w:val="000000"/>
        </w:rPr>
        <w:t xml:space="preserve"> coiling alone: a randomized trial.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268-275 [PMID: 32126576 DOI: 10.1055/a-1123-9054]</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Lo GH</w:t>
      </w:r>
      <w:r>
        <w:rPr>
          <w:rFonts w:ascii="Book Antiqua" w:eastAsia="Book Antiqua" w:hAnsi="Book Antiqua" w:cs="Book Antiqua"/>
          <w:color w:val="000000"/>
        </w:rPr>
        <w:t>, Liang HL, Chen WC, Chen MH, Lai KH, Hsu PI, Lin CK, Chan HH, Pan HB. A prospective, randomized controlled</w:t>
      </w:r>
      <w:r>
        <w:rPr>
          <w:rFonts w:ascii="Book Antiqua" w:eastAsia="Book Antiqua" w:hAnsi="Book Antiqua" w:cs="Book Antiqua"/>
          <w:color w:val="000000"/>
        </w:rPr>
        <w:t xml:space="preserve"> trial of transjugular intrahepatic portosystemic shunt </w:t>
      </w:r>
      <w:r>
        <w:rPr>
          <w:rFonts w:ascii="Book Antiqua" w:eastAsia="Book Antiqua" w:hAnsi="Book Antiqua" w:cs="Book Antiqua"/>
          <w:i/>
          <w:iCs/>
          <w:color w:val="000000"/>
        </w:rPr>
        <w:t>vs</w:t>
      </w:r>
      <w:r>
        <w:rPr>
          <w:rFonts w:ascii="Book Antiqua" w:eastAsia="Book Antiqua" w:hAnsi="Book Antiqua" w:cs="Book Antiqua"/>
          <w:color w:val="000000"/>
        </w:rPr>
        <w:t xml:space="preserve"> cyanoacrylate injection in the prevention of gastric variceal rebleeding.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2007; </w:t>
      </w:r>
      <w:r>
        <w:rPr>
          <w:rFonts w:ascii="Book Antiqua" w:eastAsia="Book Antiqua" w:hAnsi="Book Antiqua" w:cs="Book Antiqua"/>
          <w:b/>
          <w:bCs/>
          <w:color w:val="000000"/>
        </w:rPr>
        <w:t>39</w:t>
      </w:r>
      <w:r>
        <w:rPr>
          <w:rFonts w:ascii="Book Antiqua" w:eastAsia="Book Antiqua" w:hAnsi="Book Antiqua" w:cs="Book Antiqua"/>
          <w:color w:val="000000"/>
        </w:rPr>
        <w:t>: 679-685 [PMID: 17661241 DOI: 10.1055/s-2007-966591]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Hong CH</w:t>
      </w:r>
      <w:r>
        <w:rPr>
          <w:rFonts w:ascii="Book Antiqua" w:eastAsia="Book Antiqua" w:hAnsi="Book Antiqua" w:cs="Book Antiqua"/>
          <w:color w:val="000000"/>
        </w:rPr>
        <w:t xml:space="preserve">, Kim HJ, Park JH, Park DI, Cho YK, Sohn </w:t>
      </w:r>
      <w:r>
        <w:rPr>
          <w:rFonts w:ascii="Book Antiqua" w:eastAsia="Book Antiqua" w:hAnsi="Book Antiqua" w:cs="Book Antiqua"/>
          <w:color w:val="000000"/>
        </w:rPr>
        <w:t xml:space="preserve">CI, Jeon WK, Kim BI, Hong HP, Shin JH. Treatment of patients with gastric variceal hemorrhage: endoscopic N-butyl-2-cyanoacrylate injection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balloon-occluded retrograde transvenous obliteration.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372-378 [PMID: 19032446 D</w:t>
      </w:r>
      <w:r>
        <w:rPr>
          <w:rFonts w:ascii="Book Antiqua" w:eastAsia="Book Antiqua" w:hAnsi="Book Antiqua" w:cs="Book Antiqua"/>
          <w:color w:val="000000"/>
        </w:rPr>
        <w:t>OI: 10.1111/j.1440-1746.2008.05651.x]</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Akahoshi T</w:t>
      </w:r>
      <w:r>
        <w:rPr>
          <w:rFonts w:ascii="Book Antiqua" w:eastAsia="Book Antiqua" w:hAnsi="Book Antiqua" w:cs="Book Antiqua"/>
          <w:color w:val="000000"/>
        </w:rPr>
        <w:t xml:space="preserve">, Tomikawa M, Kamori M, Tsutsumi N, Nagao Y, Hashizume M, Maehara Y. Impact of balloon-occluded retrograde transvenous obliteration on management of isolated fundal gastric variceal bleeding.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w:t>
      </w:r>
      <w:r>
        <w:rPr>
          <w:rFonts w:ascii="Book Antiqua" w:eastAsia="Book Antiqua" w:hAnsi="Book Antiqua" w:cs="Book Antiqua"/>
          <w:color w:val="000000"/>
        </w:rPr>
        <w:t xml:space="preserve">012; </w:t>
      </w:r>
      <w:r>
        <w:rPr>
          <w:rFonts w:ascii="Book Antiqua" w:eastAsia="Book Antiqua" w:hAnsi="Book Antiqua" w:cs="Book Antiqua"/>
          <w:b/>
          <w:bCs/>
          <w:color w:val="000000"/>
        </w:rPr>
        <w:t>42</w:t>
      </w:r>
      <w:r>
        <w:rPr>
          <w:rFonts w:ascii="Book Antiqua" w:eastAsia="Book Antiqua" w:hAnsi="Book Antiqua" w:cs="Book Antiqua"/>
          <w:color w:val="000000"/>
        </w:rPr>
        <w:t>: 385-393 [PMID: 22176386 DOI: 10.1111/j.1872-034X.2011.00939.x]</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Stein DJ</w:t>
      </w:r>
      <w:r>
        <w:rPr>
          <w:rFonts w:ascii="Book Antiqua" w:eastAsia="Book Antiqua" w:hAnsi="Book Antiqua" w:cs="Book Antiqua"/>
          <w:color w:val="000000"/>
        </w:rPr>
        <w:t xml:space="preserve">, Salinas C, Sabri S, Onyeali R, Caldwell S, Henry Z. Balloon Retrograde Transvenous Obliteration Versus Endoscopic Cyanoacrylate in Bleeding Gastric Varices: Comparison of </w:t>
      </w:r>
      <w:r>
        <w:rPr>
          <w:rFonts w:ascii="Book Antiqua" w:eastAsia="Book Antiqua" w:hAnsi="Book Antiqua" w:cs="Book Antiqua"/>
          <w:color w:val="000000"/>
        </w:rPr>
        <w:t xml:space="preserve">Rebleeding and Mortality with Extended Follow-up. </w:t>
      </w:r>
      <w:r>
        <w:rPr>
          <w:rFonts w:ascii="Book Antiqua" w:eastAsia="Book Antiqua" w:hAnsi="Book Antiqua" w:cs="Book Antiqua"/>
          <w:i/>
          <w:iCs/>
          <w:color w:val="000000"/>
        </w:rPr>
        <w:t>J Vasc Interv Radiol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187-194 [PMID: 30717949 DOI: 10.1016/j.jvir.2018.12.008]</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44 </w:t>
      </w:r>
      <w:r>
        <w:rPr>
          <w:rFonts w:ascii="Book Antiqua" w:eastAsia="Book Antiqua" w:hAnsi="Book Antiqua" w:cs="Book Antiqua"/>
          <w:b/>
          <w:bCs/>
          <w:color w:val="000000"/>
        </w:rPr>
        <w:t>Saad WE</w:t>
      </w:r>
      <w:r>
        <w:rPr>
          <w:rFonts w:ascii="Book Antiqua" w:eastAsia="Book Antiqua" w:hAnsi="Book Antiqua" w:cs="Book Antiqua"/>
          <w:color w:val="000000"/>
        </w:rPr>
        <w:t>, Wagner CC, Lippert A, Al-Osaimi A, Davies MG, Matsumoto AH, Angle JF, Caldwell S. Protective value of TIPS</w:t>
      </w:r>
      <w:r>
        <w:rPr>
          <w:rFonts w:ascii="Book Antiqua" w:eastAsia="Book Antiqua" w:hAnsi="Book Antiqua" w:cs="Book Antiqua"/>
          <w:color w:val="000000"/>
        </w:rPr>
        <w:t xml:space="preserve"> against the development of hydrothorax/ascites and upper gastrointestinal bleeding after balloon-occluded retrograde transvenous obliteration (BRTO).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108</w:t>
      </w:r>
      <w:r>
        <w:rPr>
          <w:rFonts w:ascii="Book Antiqua" w:eastAsia="Book Antiqua" w:hAnsi="Book Antiqua" w:cs="Book Antiqua"/>
          <w:color w:val="000000"/>
        </w:rPr>
        <w:t>: 1612-1619 [PMID: 23939627 DOI: 10.1038/ajg.2013.232]</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45 </w:t>
      </w:r>
      <w:r>
        <w:rPr>
          <w:rFonts w:ascii="Book Antiqua" w:eastAsia="Book Antiqua" w:hAnsi="Book Antiqua" w:cs="Book Antiqua"/>
          <w:b/>
          <w:bCs/>
          <w:color w:val="000000"/>
        </w:rPr>
        <w:t>Liu J</w:t>
      </w:r>
      <w:r>
        <w:rPr>
          <w:rFonts w:ascii="Book Antiqua" w:eastAsia="Book Antiqua" w:hAnsi="Book Antiqua" w:cs="Book Antiqua"/>
          <w:color w:val="000000"/>
        </w:rPr>
        <w:t>, Yang C, Huan</w:t>
      </w:r>
      <w:r>
        <w:rPr>
          <w:rFonts w:ascii="Book Antiqua" w:eastAsia="Book Antiqua" w:hAnsi="Book Antiqua" w:cs="Book Antiqua"/>
          <w:color w:val="000000"/>
        </w:rPr>
        <w:t xml:space="preserve">g S, Zhou C, Shi Q, Qian K, Song S, Xiong B. The combination of balloon-assisted antegrade transvenous obliteration and transjugular intrahepatic portosystemic shunt for the management of cardiofundal varices hemorrhage.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w:t>
      </w:r>
      <w:r>
        <w:rPr>
          <w:rFonts w:ascii="Book Antiqua" w:eastAsia="Book Antiqua" w:hAnsi="Book Antiqua" w:cs="Book Antiqua"/>
          <w:b/>
          <w:bCs/>
          <w:color w:val="000000"/>
        </w:rPr>
        <w:t>2</w:t>
      </w:r>
      <w:r>
        <w:rPr>
          <w:rFonts w:ascii="Book Antiqua" w:eastAsia="Book Antiqua" w:hAnsi="Book Antiqua" w:cs="Book Antiqua"/>
          <w:color w:val="000000"/>
        </w:rPr>
        <w:t>: 656-662 [PMID: 32175982 DOI: 10.1097/MEG.0000000000001705]</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Saad WE</w:t>
      </w:r>
      <w:r>
        <w:rPr>
          <w:rFonts w:ascii="Book Antiqua" w:eastAsia="Book Antiqua" w:hAnsi="Book Antiqua" w:cs="Book Antiqua"/>
          <w:color w:val="000000"/>
        </w:rPr>
        <w:t xml:space="preserve">. Combining Transjugular Intrahepatic Portosystemic Shunt with Balloon-Occluded Retrograde Transvenous Obliteration or Augmenting TIPS with Variceal Embolization for the Management of </w:t>
      </w:r>
      <w:r>
        <w:rPr>
          <w:rFonts w:ascii="Book Antiqua" w:eastAsia="Book Antiqua" w:hAnsi="Book Antiqua" w:cs="Book Antiqua"/>
          <w:color w:val="000000"/>
        </w:rPr>
        <w:t xml:space="preserve">Gastric Varices: An Evolving Middle Ground? </w:t>
      </w:r>
      <w:r>
        <w:rPr>
          <w:rFonts w:ascii="Book Antiqua" w:eastAsia="Book Antiqua" w:hAnsi="Book Antiqua" w:cs="Book Antiqua"/>
          <w:i/>
          <w:iCs/>
          <w:color w:val="000000"/>
        </w:rPr>
        <w:t>Semin Intervent Radiol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31</w:t>
      </w:r>
      <w:r>
        <w:rPr>
          <w:rFonts w:ascii="Book Antiqua" w:eastAsia="Book Antiqua" w:hAnsi="Book Antiqua" w:cs="Book Antiqua"/>
          <w:color w:val="000000"/>
        </w:rPr>
        <w:t>: 266-268 [PMID: 25177089 DOI: 10.1055/s-0034-1382796]</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Saad WE</w:t>
      </w:r>
      <w:r>
        <w:rPr>
          <w:rFonts w:ascii="Book Antiqua" w:eastAsia="Book Antiqua" w:hAnsi="Book Antiqua" w:cs="Book Antiqua"/>
          <w:color w:val="000000"/>
        </w:rPr>
        <w:t>, Kitanosono T, Koizumi J. Balloon-occluded antegrade transvenous obliteration with or without balloon-occluded retr</w:t>
      </w:r>
      <w:r>
        <w:rPr>
          <w:rFonts w:ascii="Book Antiqua" w:eastAsia="Book Antiqua" w:hAnsi="Book Antiqua" w:cs="Book Antiqua"/>
          <w:color w:val="000000"/>
        </w:rPr>
        <w:t xml:space="preserve">ograde transvenous obliteration for the management of gastric varices: concept and technical applications. </w:t>
      </w:r>
      <w:r>
        <w:rPr>
          <w:rFonts w:ascii="Book Antiqua" w:eastAsia="Book Antiqua" w:hAnsi="Book Antiqua" w:cs="Book Antiqua"/>
          <w:i/>
          <w:iCs/>
          <w:color w:val="000000"/>
        </w:rPr>
        <w:t>Tech Vasc Interv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15</w:t>
      </w:r>
      <w:r>
        <w:rPr>
          <w:rFonts w:ascii="Book Antiqua" w:eastAsia="Book Antiqua" w:hAnsi="Book Antiqua" w:cs="Book Antiqua"/>
          <w:color w:val="000000"/>
        </w:rPr>
        <w:t>: 203-225 [PMID: 23021832 DOI: 10.1053/j.tvir.2012.07.004]</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Mishra SR</w:t>
      </w:r>
      <w:r>
        <w:rPr>
          <w:rFonts w:ascii="Book Antiqua" w:eastAsia="Book Antiqua" w:hAnsi="Book Antiqua" w:cs="Book Antiqua"/>
          <w:color w:val="000000"/>
        </w:rPr>
        <w:t xml:space="preserve">, Sharma BC, Kumar A, Sarin SK. Primary prophylaxis of gastric variceal bleeding comparing cyanoacrylate injection and beta-blockers: a randomized controlled trial.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1161-1167 [PMID: 21145834 DOI: 10.1016/j.jhep.2010.09.031]</w:t>
      </w:r>
    </w:p>
    <w:bookmarkEnd w:id="3"/>
    <w:p w:rsidR="00274AA8" w:rsidRDefault="00274AA8">
      <w:pPr>
        <w:adjustRightInd w:val="0"/>
        <w:snapToGrid w:val="0"/>
        <w:spacing w:line="360" w:lineRule="auto"/>
        <w:jc w:val="both"/>
        <w:rPr>
          <w:rFonts w:ascii="Book Antiqua" w:hAnsi="Book Antiqua"/>
        </w:rPr>
        <w:sectPr w:rsidR="00274AA8">
          <w:pgSz w:w="12240" w:h="15840"/>
          <w:pgMar w:top="1440" w:right="1440" w:bottom="1440" w:left="1440" w:header="720" w:footer="720" w:gutter="0"/>
          <w:cols w:space="720"/>
          <w:docGrid w:linePitch="360"/>
        </w:sect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Foot</w:t>
      </w:r>
      <w:r>
        <w:rPr>
          <w:rFonts w:ascii="Book Antiqua" w:eastAsia="Book Antiqua" w:hAnsi="Book Antiqua" w:cs="Book Antiqua"/>
          <w:b/>
          <w:color w:val="000000"/>
        </w:rPr>
        <w:t>notes</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confirm there are no conflicts of interest to declare</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w:t>
      </w:r>
      <w:r>
        <w:rPr>
          <w:rFonts w:ascii="Book Antiqua" w:eastAsia="Book Antiqua" w:hAnsi="Book Antiqua" w:cs="Book Antiqua"/>
          <w:color w:val="000000"/>
        </w:rPr>
        <w:t>buted in accordance with the Creative Commons Attribution NonCommercial (CC BY-NC 4.0) license, which permits others to distribute, remix, adapt, build upon this work non-commercially, and license their derivative works on different terms, provided the ori</w:t>
      </w:r>
      <w:r>
        <w:rPr>
          <w:rFonts w:ascii="Book Antiqua" w:eastAsia="Book Antiqua" w:hAnsi="Book Antiqua" w:cs="Book Antiqua"/>
          <w:color w:val="000000"/>
        </w:rPr>
        <w:t>ginal work is properly cited and the use is non-commercial. See: http://creativecommons.org/Licenses/by-nc/4.0/</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24, 2021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3, 2021</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宋体" w:hAnsi="Book Antiqua"/>
          <w:color w:val="000000" w:themeColor="text1"/>
        </w:rPr>
        <w:t>J</w:t>
      </w:r>
      <w:r>
        <w:rPr>
          <w:rFonts w:ascii="Book Antiqua" w:eastAsia="宋体" w:hAnsi="Book Antiqua" w:hint="eastAsia"/>
          <w:color w:val="000000" w:themeColor="text1"/>
        </w:rPr>
        <w:t>u</w:t>
      </w:r>
      <w:r>
        <w:rPr>
          <w:rFonts w:ascii="Book Antiqua" w:eastAsia="宋体" w:hAnsi="Book Antiqua"/>
          <w:color w:val="000000" w:themeColor="text1"/>
        </w:rPr>
        <w:t>ly 29, 2021</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Australia</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0</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rsidR="00274AA8" w:rsidRDefault="00FE4189">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rsidR="00274AA8" w:rsidRDefault="00274AA8">
      <w:pPr>
        <w:adjustRightInd w:val="0"/>
        <w:snapToGrid w:val="0"/>
        <w:spacing w:line="360" w:lineRule="auto"/>
        <w:jc w:val="both"/>
        <w:rPr>
          <w:rFonts w:ascii="Book Antiqua" w:hAnsi="Book Antiqua"/>
        </w:rPr>
      </w:pPr>
    </w:p>
    <w:p w:rsidR="00274AA8" w:rsidRDefault="00FE4189">
      <w:pPr>
        <w:adjustRightInd w:val="0"/>
        <w:snapToGrid w:val="0"/>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Kreisel W</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Guo X</w:t>
      </w:r>
    </w:p>
    <w:p w:rsidR="00274AA8" w:rsidRDefault="00FE4189">
      <w:pPr>
        <w:adjustRightInd w:val="0"/>
        <w:snapToGrid w:val="0"/>
        <w:spacing w:line="360" w:lineRule="auto"/>
        <w:jc w:val="both"/>
        <w:rPr>
          <w:rFonts w:ascii="Book Antiqua" w:hAnsi="Book Antiqua"/>
          <w:b/>
          <w:bCs/>
        </w:rPr>
      </w:pPr>
      <w:r>
        <w:rPr>
          <w:rFonts w:ascii="Book Antiqua" w:eastAsia="Book Antiqua" w:hAnsi="Book Antiqua" w:cs="Book Antiqua"/>
          <w:b/>
          <w:color w:val="000000"/>
        </w:rPr>
        <w:br w:type="page"/>
      </w:r>
      <w:r>
        <w:rPr>
          <w:rFonts w:ascii="Book Antiqua" w:hAnsi="Book Antiqua"/>
          <w:b/>
          <w:bCs/>
        </w:rPr>
        <w:t>Figure Legends</w:t>
      </w:r>
    </w:p>
    <w:p w:rsidR="00274AA8" w:rsidRDefault="00FE4189">
      <w:pPr>
        <w:adjustRightInd w:val="0"/>
        <w:snapToGrid w:val="0"/>
        <w:spacing w:line="360" w:lineRule="auto"/>
        <w:jc w:val="both"/>
        <w:rPr>
          <w:rFonts w:ascii="Book Antiqua" w:hAnsi="Book Antiqua"/>
          <w:b/>
          <w:bCs/>
        </w:rPr>
      </w:pPr>
      <w:r>
        <w:rPr>
          <w:rFonts w:ascii="Book Antiqua" w:hAnsi="Book Antiqua"/>
          <w:b/>
          <w:bCs/>
          <w:noProof/>
          <w:lang w:eastAsia="zh-CN"/>
        </w:rPr>
        <w:drawing>
          <wp:inline distT="0" distB="0" distL="0" distR="0">
            <wp:extent cx="2268855" cy="3200400"/>
            <wp:effectExtent l="0" t="0" r="0" b="0"/>
            <wp:docPr id="4" name="Picture 3" descr="Macintosh HD:Users:karlvaz:Downloads:jgh_6572_f1.gif"/>
            <wp:cNvGraphicFramePr/>
            <a:graphic xmlns:a="http://schemas.openxmlformats.org/drawingml/2006/main">
              <a:graphicData uri="http://schemas.openxmlformats.org/drawingml/2006/picture">
                <pic:pic xmlns:pic="http://schemas.openxmlformats.org/drawingml/2006/picture">
                  <pic:nvPicPr>
                    <pic:cNvPr id="4" name="Picture 3" descr="Macintosh HD:Users:karlvaz:Downloads:jgh_6572_f1.gif"/>
                    <pic:cNvPicPr/>
                  </pic:nvPicPr>
                  <pic:blipFill>
                    <a:blip r:embed="rId9">
                      <a:extLst>
                        <a:ext uri="{28A0092B-C50C-407E-A947-70E740481C1C}">
                          <a14:useLocalDpi xmlns:a14="http://schemas.microsoft.com/office/drawing/2010/main" val="0"/>
                        </a:ext>
                      </a:extLst>
                    </a:blip>
                    <a:srcRect/>
                    <a:stretch>
                      <a:fillRect/>
                    </a:stretch>
                  </pic:blipFill>
                  <pic:spPr>
                    <a:xfrm>
                      <a:off x="0" y="0"/>
                      <a:ext cx="2268855" cy="3200400"/>
                    </a:xfrm>
                    <a:prstGeom prst="rect">
                      <a:avLst/>
                    </a:prstGeom>
                    <a:noFill/>
                    <a:ln>
                      <a:noFill/>
                    </a:ln>
                  </pic:spPr>
                </pic:pic>
              </a:graphicData>
            </a:graphic>
          </wp:inline>
        </w:drawing>
      </w:r>
    </w:p>
    <w:p w:rsidR="00274AA8" w:rsidRDefault="00FE4189">
      <w:pPr>
        <w:adjustRightInd w:val="0"/>
        <w:snapToGrid w:val="0"/>
        <w:spacing w:line="360" w:lineRule="auto"/>
        <w:jc w:val="both"/>
        <w:rPr>
          <w:rFonts w:ascii="Book Antiqua" w:hAnsi="Book Antiqua"/>
        </w:rPr>
      </w:pPr>
      <w:r>
        <w:rPr>
          <w:rFonts w:ascii="Book Antiqua" w:hAnsi="Book Antiqua"/>
          <w:b/>
          <w:bCs/>
        </w:rPr>
        <w:t xml:space="preserve">Figure 1 Classification of gastric varices according to Sarin </w:t>
      </w:r>
      <w:r>
        <w:rPr>
          <w:rFonts w:ascii="Book Antiqua" w:hAnsi="Book Antiqua"/>
          <w:b/>
          <w:bCs/>
          <w:i/>
          <w:iCs/>
        </w:rPr>
        <w:t>et al</w:t>
      </w:r>
      <w:r>
        <w:rPr>
          <w:rFonts w:ascii="Book Antiqua" w:hAnsi="Book Antiqua"/>
          <w:b/>
          <w:bCs/>
          <w:vertAlign w:val="superscript"/>
        </w:rPr>
        <w:t>[2]</w:t>
      </w:r>
      <w:r>
        <w:rPr>
          <w:rFonts w:ascii="Book Antiqua" w:hAnsi="Book Antiqua"/>
          <w:b/>
          <w:bCs/>
        </w:rPr>
        <w:t xml:space="preserve">. </w:t>
      </w:r>
      <w:r>
        <w:rPr>
          <w:rFonts w:ascii="Book Antiqua" w:hAnsi="Book Antiqua"/>
        </w:rPr>
        <w:t>Citation: Sarin SK, Lahoti D, Saxena SP, Murthy NS, Makwana UK. Prevalence, classification and natural history o</w:t>
      </w:r>
      <w:r>
        <w:rPr>
          <w:rFonts w:ascii="Book Antiqua" w:hAnsi="Book Antiqua"/>
        </w:rPr>
        <w:t xml:space="preserve">f gastric varices: A long-term follow-up study in 568 portal hypertension patients. Hepatology 1992; 16: 1343-1349. Copyright © The Authors 1992. Published by John Wiley and Sons.  </w:t>
      </w:r>
    </w:p>
    <w:p w:rsidR="00274AA8" w:rsidRDefault="00274AA8">
      <w:pPr>
        <w:adjustRightInd w:val="0"/>
        <w:snapToGrid w:val="0"/>
        <w:spacing w:line="360" w:lineRule="auto"/>
        <w:jc w:val="both"/>
        <w:rPr>
          <w:rFonts w:ascii="Book Antiqua" w:hAnsi="Book Antiqua"/>
          <w:b/>
          <w:bCs/>
          <w:lang w:val="en-AU"/>
        </w:rPr>
      </w:pPr>
    </w:p>
    <w:p w:rsidR="00274AA8" w:rsidRDefault="00FE4189">
      <w:pPr>
        <w:adjustRightInd w:val="0"/>
        <w:snapToGrid w:val="0"/>
        <w:spacing w:line="360" w:lineRule="auto"/>
        <w:jc w:val="both"/>
        <w:rPr>
          <w:rFonts w:ascii="Book Antiqua" w:hAnsi="Book Antiqua"/>
          <w:b/>
          <w:bCs/>
        </w:rPr>
      </w:pPr>
      <w:r>
        <w:rPr>
          <w:rFonts w:ascii="Book Antiqua" w:hAnsi="Book Antiqua"/>
          <w:b/>
          <w:bCs/>
          <w:lang w:val="en-AU"/>
        </w:rPr>
        <w:br w:type="page"/>
      </w:r>
      <w:r>
        <w:rPr>
          <w:rFonts w:ascii="Book Antiqua" w:hAnsi="Book Antiqua"/>
          <w:b/>
          <w:bCs/>
          <w:noProof/>
          <w:lang w:eastAsia="zh-CN"/>
        </w:rPr>
        <w:drawing>
          <wp:inline distT="0" distB="0" distL="0" distR="0">
            <wp:extent cx="3221355" cy="3028950"/>
            <wp:effectExtent l="0" t="0" r="0" b="0"/>
            <wp:docPr id="1" name="Picture 3" descr="Macintosh HD:Users:karlvaz:Downloads:jgh_6572_f2.gif"/>
            <wp:cNvGraphicFramePr/>
            <a:graphic xmlns:a="http://schemas.openxmlformats.org/drawingml/2006/main">
              <a:graphicData uri="http://schemas.openxmlformats.org/drawingml/2006/picture">
                <pic:pic xmlns:pic="http://schemas.openxmlformats.org/drawingml/2006/picture">
                  <pic:nvPicPr>
                    <pic:cNvPr id="1" name="Picture 3" descr="Macintosh HD:Users:karlvaz:Downloads:jgh_6572_f2.gif"/>
                    <pic:cNvPicPr/>
                  </pic:nvPicPr>
                  <pic:blipFill>
                    <a:blip r:embed="rId10">
                      <a:extLst>
                        <a:ext uri="{28A0092B-C50C-407E-A947-70E740481C1C}">
                          <a14:useLocalDpi xmlns:a14="http://schemas.microsoft.com/office/drawing/2010/main" val="0"/>
                        </a:ext>
                      </a:extLst>
                    </a:blip>
                    <a:srcRect/>
                    <a:stretch>
                      <a:fillRect/>
                    </a:stretch>
                  </pic:blipFill>
                  <pic:spPr>
                    <a:xfrm>
                      <a:off x="0" y="0"/>
                      <a:ext cx="3221698" cy="3029335"/>
                    </a:xfrm>
                    <a:prstGeom prst="rect">
                      <a:avLst/>
                    </a:prstGeom>
                    <a:noFill/>
                    <a:ln>
                      <a:noFill/>
                    </a:ln>
                  </pic:spPr>
                </pic:pic>
              </a:graphicData>
            </a:graphic>
          </wp:inline>
        </w:drawing>
      </w:r>
    </w:p>
    <w:p w:rsidR="00274AA8" w:rsidRDefault="00FE4189">
      <w:pPr>
        <w:adjustRightInd w:val="0"/>
        <w:snapToGrid w:val="0"/>
        <w:spacing w:line="360" w:lineRule="auto"/>
        <w:jc w:val="both"/>
        <w:rPr>
          <w:rFonts w:ascii="Book Antiqua" w:hAnsi="Book Antiqua"/>
        </w:rPr>
      </w:pPr>
      <w:r>
        <w:rPr>
          <w:rFonts w:ascii="Book Antiqua" w:hAnsi="Book Antiqua"/>
          <w:b/>
          <w:bCs/>
        </w:rPr>
        <w:t>Figure 2 Classification of gastric varices according to Hashizume</w:t>
      </w:r>
      <w:r>
        <w:rPr>
          <w:rFonts w:ascii="Book Antiqua" w:hAnsi="Book Antiqua"/>
          <w:b/>
          <w:bCs/>
          <w:i/>
          <w:iCs/>
        </w:rPr>
        <w:t xml:space="preserve"> et a</w:t>
      </w:r>
      <w:r>
        <w:rPr>
          <w:rFonts w:ascii="Book Antiqua" w:hAnsi="Book Antiqua"/>
          <w:b/>
          <w:bCs/>
          <w:i/>
          <w:iCs/>
        </w:rPr>
        <w:t>l</w:t>
      </w:r>
      <w:r>
        <w:rPr>
          <w:rFonts w:ascii="Book Antiqua" w:hAnsi="Book Antiqua"/>
          <w:b/>
          <w:bCs/>
          <w:vertAlign w:val="superscript"/>
          <w:lang w:eastAsia="zh-CN"/>
        </w:rPr>
        <w:t>[9]</w:t>
      </w:r>
      <w:r>
        <w:rPr>
          <w:rFonts w:ascii="Book Antiqua" w:hAnsi="Book Antiqua"/>
          <w:b/>
          <w:bCs/>
        </w:rPr>
        <w:t xml:space="preserve">. </w:t>
      </w:r>
      <w:r>
        <w:rPr>
          <w:rFonts w:ascii="Book Antiqua" w:eastAsia="Book Antiqua" w:hAnsi="Book Antiqua" w:cs="Book Antiqua"/>
          <w:color w:val="000000"/>
        </w:rPr>
        <w:t xml:space="preserve">Citation: Hashizume M, Kitano S, Yamaga H, Koyanagi N, Sugimachi K. Endoscopic classification of gastric varices. </w:t>
      </w:r>
      <w:r>
        <w:rPr>
          <w:rFonts w:ascii="Book Antiqua" w:hAnsi="Book Antiqua"/>
        </w:rPr>
        <w:t>Gastrointestinal Endoscopy</w:t>
      </w:r>
      <w:r>
        <w:rPr>
          <w:rFonts w:ascii="Book Antiqua" w:eastAsia="Book Antiqua" w:hAnsi="Book Antiqua" w:cs="Book Antiqua"/>
          <w:color w:val="000000"/>
        </w:rPr>
        <w:t xml:space="preserve"> 1990; 36: 276-280. </w:t>
      </w:r>
      <w:r>
        <w:rPr>
          <w:rFonts w:ascii="Book Antiqua" w:hAnsi="Book Antiqua"/>
        </w:rPr>
        <w:t xml:space="preserve">Copyright © The Authors 1990. Published by Elsevier.  </w:t>
      </w:r>
    </w:p>
    <w:p w:rsidR="00274AA8" w:rsidRDefault="00FE4189">
      <w:pPr>
        <w:adjustRightInd w:val="0"/>
        <w:snapToGrid w:val="0"/>
        <w:spacing w:line="360" w:lineRule="auto"/>
        <w:jc w:val="both"/>
        <w:rPr>
          <w:rFonts w:ascii="Book Antiqua" w:hAnsi="Book Antiqua"/>
        </w:rPr>
      </w:pPr>
      <w:r>
        <w:rPr>
          <w:rFonts w:ascii="Book Antiqua" w:hAnsi="Book Antiqua"/>
          <w:b/>
          <w:bCs/>
        </w:rPr>
        <w:br w:type="page"/>
      </w:r>
      <w:r>
        <w:rPr>
          <w:rFonts w:ascii="Book Antiqua" w:hAnsi="Book Antiqua"/>
          <w:b/>
          <w:bCs/>
          <w:noProof/>
          <w:lang w:eastAsia="zh-CN"/>
        </w:rPr>
        <w:drawing>
          <wp:inline distT="0" distB="0" distL="0" distR="0">
            <wp:extent cx="5998845" cy="44507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98845" cy="4450715"/>
                    </a:xfrm>
                    <a:prstGeom prst="rect">
                      <a:avLst/>
                    </a:prstGeom>
                    <a:noFill/>
                  </pic:spPr>
                </pic:pic>
              </a:graphicData>
            </a:graphic>
          </wp:inline>
        </w:drawing>
      </w:r>
      <w:r>
        <w:rPr>
          <w:rFonts w:ascii="Book Antiqua" w:hAnsi="Book Antiqua"/>
          <w:b/>
          <w:bCs/>
        </w:rPr>
        <w:t>Figure 3 Endoscopic variceal band</w:t>
      </w:r>
      <w:r>
        <w:rPr>
          <w:rFonts w:ascii="Book Antiqua" w:hAnsi="Book Antiqua"/>
          <w:b/>
          <w:bCs/>
        </w:rPr>
        <w:t>ing of gastroesophageal varices 1.</w:t>
      </w:r>
      <w:r>
        <w:rPr>
          <w:rFonts w:ascii="Book Antiqua" w:hAnsi="Book Antiqua"/>
        </w:rPr>
        <w:t xml:space="preserve"> A: Pre-banding forward view of varix; B: Pre-banding retroflexed view of varix; C: Immediately post-banding of varix.</w:t>
      </w:r>
    </w:p>
    <w:p w:rsidR="00274AA8" w:rsidRDefault="00FE4189">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eastAsia="zh-CN"/>
        </w:rPr>
        <w:drawing>
          <wp:inline distT="0" distB="0" distL="0" distR="0">
            <wp:extent cx="5403215" cy="1695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4767" cy="1696315"/>
                    </a:xfrm>
                    <a:prstGeom prst="rect">
                      <a:avLst/>
                    </a:prstGeom>
                    <a:noFill/>
                  </pic:spPr>
                </pic:pic>
              </a:graphicData>
            </a:graphic>
          </wp:inline>
        </w:drawing>
      </w:r>
    </w:p>
    <w:p w:rsidR="00274AA8" w:rsidRDefault="00FE4189">
      <w:pPr>
        <w:adjustRightInd w:val="0"/>
        <w:snapToGrid w:val="0"/>
        <w:spacing w:line="360" w:lineRule="auto"/>
        <w:jc w:val="both"/>
        <w:rPr>
          <w:rFonts w:ascii="Book Antiqua" w:hAnsi="Book Antiqua"/>
          <w:lang w:val="en-AU"/>
        </w:rPr>
      </w:pPr>
      <w:r>
        <w:rPr>
          <w:rFonts w:ascii="Book Antiqua" w:hAnsi="Book Antiqua"/>
          <w:b/>
          <w:bCs/>
          <w:lang w:val="en-AU"/>
        </w:rPr>
        <w:t>Figure 4</w:t>
      </w:r>
      <w:r>
        <w:rPr>
          <w:rFonts w:ascii="Book Antiqua" w:hAnsi="Book Antiqua"/>
          <w:lang w:val="en-AU"/>
        </w:rPr>
        <w:t xml:space="preserve"> </w:t>
      </w:r>
      <w:r>
        <w:rPr>
          <w:rFonts w:ascii="Book Antiqua" w:hAnsi="Book Antiqua"/>
          <w:b/>
          <w:bCs/>
          <w:lang w:val="en-AU"/>
        </w:rPr>
        <w:t>Transjugular intrahepatic portosystemic shunt decompressing gastric varix.</w:t>
      </w:r>
      <w:r>
        <w:rPr>
          <w:rFonts w:ascii="Book Antiqua" w:hAnsi="Book Antiqua"/>
          <w:lang w:val="en-AU"/>
        </w:rPr>
        <w:t xml:space="preserve"> A: Pre-transjugular intrahepatic portosystemic shunt (TIPS) with contrast toward gastric variceal bed; B: Post-TIPS with no contrast flow toward gastric variceal bed.</w:t>
      </w:r>
    </w:p>
    <w:p w:rsidR="00274AA8" w:rsidRDefault="00FE4189">
      <w:pPr>
        <w:adjustRightInd w:val="0"/>
        <w:snapToGrid w:val="0"/>
        <w:spacing w:line="360" w:lineRule="auto"/>
        <w:jc w:val="both"/>
        <w:rPr>
          <w:rFonts w:ascii="Book Antiqua" w:hAnsi="Book Antiqua"/>
        </w:rPr>
      </w:pPr>
      <w:r>
        <w:rPr>
          <w:rFonts w:ascii="Book Antiqua" w:hAnsi="Book Antiqua"/>
          <w:lang w:val="en-AU"/>
        </w:rPr>
        <w:br w:type="page"/>
      </w:r>
      <w:r>
        <w:rPr>
          <w:rFonts w:ascii="Book Antiqua" w:hAnsi="Book Antiqua"/>
          <w:noProof/>
          <w:lang w:eastAsia="zh-CN"/>
        </w:rPr>
        <w:drawing>
          <wp:inline distT="0" distB="0" distL="0" distR="0">
            <wp:extent cx="4194810" cy="45326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96414" cy="4534159"/>
                    </a:xfrm>
                    <a:prstGeom prst="rect">
                      <a:avLst/>
                    </a:prstGeom>
                    <a:noFill/>
                  </pic:spPr>
                </pic:pic>
              </a:graphicData>
            </a:graphic>
          </wp:inline>
        </w:drawing>
      </w:r>
    </w:p>
    <w:p w:rsidR="00274AA8" w:rsidRDefault="00FE4189">
      <w:pPr>
        <w:adjustRightInd w:val="0"/>
        <w:snapToGrid w:val="0"/>
        <w:spacing w:line="360" w:lineRule="auto"/>
        <w:jc w:val="both"/>
        <w:rPr>
          <w:rFonts w:ascii="Book Antiqua" w:hAnsi="Book Antiqua"/>
        </w:rPr>
      </w:pPr>
      <w:r>
        <w:rPr>
          <w:rFonts w:ascii="Book Antiqua" w:hAnsi="Book Antiqua"/>
          <w:b/>
          <w:bCs/>
          <w:lang w:val="en-AU"/>
        </w:rPr>
        <w:t>Figure 5 Primary prophylaxis of isolated gastric varices 1 with five 0.18 10 mm micro</w:t>
      </w:r>
      <w:r>
        <w:rPr>
          <w:rFonts w:ascii="Book Antiqua" w:hAnsi="Book Antiqua"/>
          <w:b/>
          <w:bCs/>
          <w:lang w:val="en-AU"/>
        </w:rPr>
        <w:t>nester coils in combination 1 mL cyanoacrylate glue.</w:t>
      </w:r>
      <w:r>
        <w:rPr>
          <w:rFonts w:ascii="Book Antiqua" w:hAnsi="Book Antiqua"/>
          <w:lang w:val="en-AU"/>
        </w:rPr>
        <w:t xml:space="preserve"> A: Pre-treatment endoscopic appearance; B: Endoscopic ultrasound (EUS) appearance immediately post-deployment of coils; C: Endoscopic appearance 1-mo post-treatment; D: Complete obliteration 4-mo post-tr</w:t>
      </w:r>
      <w:r>
        <w:rPr>
          <w:rFonts w:ascii="Book Antiqua" w:hAnsi="Book Antiqua"/>
          <w:lang w:val="en-AU"/>
        </w:rPr>
        <w:t>eatment; E: EUS appearance of varix with no Doppler flow 4-mo post-treatment.</w:t>
      </w:r>
    </w:p>
    <w:p w:rsidR="003E3C4C" w:rsidRDefault="003E3C4C" w:rsidP="003E3C4C">
      <w:pPr>
        <w:jc w:val="center"/>
        <w:rPr>
          <w:rFonts w:ascii="Book Antiqua" w:hAnsi="Book Antiqua"/>
          <w:lang w:eastAsia="zh-CN"/>
        </w:rPr>
      </w:pPr>
      <w:r>
        <w:rPr>
          <w:rFonts w:ascii="Book Antiqua" w:hAnsi="Book Antiqua"/>
        </w:rPr>
        <w:br w:type="page"/>
      </w:r>
      <w:bookmarkStart w:id="4" w:name="OLE_LINK1"/>
      <w:bookmarkStart w:id="5" w:name="OLE_LINK2"/>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r>
        <w:rPr>
          <w:rFonts w:ascii="Book Antiqua" w:hAnsi="Book Antiqua"/>
          <w:noProof/>
          <w:lang w:eastAsia="zh-CN"/>
        </w:rPr>
        <w:drawing>
          <wp:inline distT="0" distB="0" distL="0" distR="0" wp14:anchorId="41929DC8" wp14:editId="30BBE78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3E3C4C" w:rsidRDefault="003E3C4C" w:rsidP="003E3C4C">
      <w:pPr>
        <w:jc w:val="center"/>
        <w:rPr>
          <w:rFonts w:ascii="Book Antiqua" w:hAnsi="Book Antiqua"/>
          <w:lang w:eastAsia="zh-CN"/>
        </w:rPr>
      </w:pPr>
    </w:p>
    <w:p w:rsidR="003E3C4C" w:rsidRPr="00763D22" w:rsidRDefault="003E3C4C" w:rsidP="003E3C4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3E3C4C" w:rsidRPr="00763D22" w:rsidRDefault="003E3C4C" w:rsidP="003E3C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3E3C4C" w:rsidRPr="00763D22" w:rsidRDefault="003E3C4C" w:rsidP="003E3C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3E3C4C" w:rsidRPr="00763D22" w:rsidRDefault="003E3C4C" w:rsidP="003E3C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3E3C4C" w:rsidRPr="00763D22" w:rsidRDefault="003E3C4C" w:rsidP="003E3C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3E3C4C" w:rsidRPr="00763D22" w:rsidRDefault="003E3C4C" w:rsidP="003E3C4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r>
        <w:rPr>
          <w:rFonts w:ascii="Book Antiqua" w:hAnsi="Book Antiqua"/>
          <w:noProof/>
          <w:lang w:eastAsia="zh-CN"/>
        </w:rPr>
        <w:drawing>
          <wp:inline distT="0" distB="0" distL="0" distR="0" wp14:anchorId="33AF33FD" wp14:editId="636A3EF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Default="003E3C4C" w:rsidP="003E3C4C">
      <w:pPr>
        <w:jc w:val="center"/>
        <w:rPr>
          <w:rFonts w:ascii="Book Antiqua" w:hAnsi="Book Antiqua"/>
          <w:lang w:eastAsia="zh-CN"/>
        </w:rPr>
      </w:pPr>
    </w:p>
    <w:p w:rsidR="003E3C4C" w:rsidRPr="00763D22" w:rsidRDefault="003E3C4C" w:rsidP="003E3C4C">
      <w:pPr>
        <w:jc w:val="right"/>
        <w:rPr>
          <w:rFonts w:ascii="Book Antiqua" w:hAnsi="Book Antiqua"/>
          <w:color w:val="000000" w:themeColor="text1"/>
          <w:lang w:eastAsia="zh-CN"/>
        </w:rPr>
      </w:pPr>
    </w:p>
    <w:p w:rsidR="003E3C4C" w:rsidRPr="00763D22" w:rsidRDefault="003E3C4C" w:rsidP="003E3C4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rsidR="00274AA8" w:rsidRDefault="00274AA8">
      <w:pPr>
        <w:adjustRightInd w:val="0"/>
        <w:snapToGrid w:val="0"/>
        <w:spacing w:line="360" w:lineRule="auto"/>
        <w:jc w:val="both"/>
        <w:rPr>
          <w:rFonts w:ascii="Book Antiqua" w:hAnsi="Book Antiqua"/>
        </w:rPr>
      </w:pPr>
      <w:bookmarkStart w:id="6" w:name="_GoBack"/>
      <w:bookmarkEnd w:id="6"/>
    </w:p>
    <w:sectPr w:rsidR="00274A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189" w:rsidRDefault="00FE4189">
      <w:r>
        <w:separator/>
      </w:r>
    </w:p>
  </w:endnote>
  <w:endnote w:type="continuationSeparator" w:id="0">
    <w:p w:rsidR="00FE4189" w:rsidRDefault="00FE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A1002AE7" w:usb1="C0000063" w:usb2="00000038" w:usb3="00000000" w:csb0="000000B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284241"/>
    </w:sdtPr>
    <w:sdtEndPr/>
    <w:sdtContent>
      <w:sdt>
        <w:sdtPr>
          <w:id w:val="-1705238520"/>
        </w:sdtPr>
        <w:sdtEndPr/>
        <w:sdtContent>
          <w:p w:rsidR="00274AA8" w:rsidRDefault="00FE4189">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noProof/>
                <w:sz w:val="24"/>
                <w:szCs w:val="24"/>
              </w:rPr>
              <w:t>1</w:t>
            </w:r>
            <w:r>
              <w:rPr>
                <w:rFonts w:ascii="Book Antiqua" w:hAnsi="Book Antiqua"/>
                <w:b/>
                <w:bCs/>
                <w:sz w:val="24"/>
                <w:szCs w:val="24"/>
              </w:rPr>
              <w:fldChar w:fldCharType="end"/>
            </w:r>
          </w:p>
        </w:sdtContent>
      </w:sdt>
    </w:sdtContent>
  </w:sdt>
  <w:p w:rsidR="00274AA8" w:rsidRDefault="00274AA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189" w:rsidRDefault="00FE4189">
      <w:r>
        <w:separator/>
      </w:r>
    </w:p>
  </w:footnote>
  <w:footnote w:type="continuationSeparator" w:id="0">
    <w:p w:rsidR="00FE4189" w:rsidRDefault="00FE41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10238B"/>
    <w:rsid w:val="00263B20"/>
    <w:rsid w:val="00274AA8"/>
    <w:rsid w:val="003059CC"/>
    <w:rsid w:val="00334B39"/>
    <w:rsid w:val="003E3C4C"/>
    <w:rsid w:val="00446DB3"/>
    <w:rsid w:val="004C16EB"/>
    <w:rsid w:val="00520B61"/>
    <w:rsid w:val="005C5B1E"/>
    <w:rsid w:val="005F1620"/>
    <w:rsid w:val="00663BB5"/>
    <w:rsid w:val="006C17E9"/>
    <w:rsid w:val="006F0DF5"/>
    <w:rsid w:val="007E1E79"/>
    <w:rsid w:val="00806A7E"/>
    <w:rsid w:val="008F1C3B"/>
    <w:rsid w:val="00946ED6"/>
    <w:rsid w:val="00A67F5D"/>
    <w:rsid w:val="00A729B0"/>
    <w:rsid w:val="00A77B3E"/>
    <w:rsid w:val="00BE3AA6"/>
    <w:rsid w:val="00C31E39"/>
    <w:rsid w:val="00C37A03"/>
    <w:rsid w:val="00C84AD9"/>
    <w:rsid w:val="00CA2A55"/>
    <w:rsid w:val="00CA4FF3"/>
    <w:rsid w:val="00CB7882"/>
    <w:rsid w:val="00CF4076"/>
    <w:rsid w:val="00D5443D"/>
    <w:rsid w:val="00D81F12"/>
    <w:rsid w:val="00D86186"/>
    <w:rsid w:val="00D861F7"/>
    <w:rsid w:val="00F5096D"/>
    <w:rsid w:val="00FE4189"/>
    <w:rsid w:val="0A2F2812"/>
    <w:rsid w:val="22E5612C"/>
    <w:rsid w:val="4A0B3C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rFonts w:ascii="Lucida Grande" w:hAnsi="Lucida Grande" w:cs="Lucida Grande"/>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Hyperlink"/>
    <w:basedOn w:val="a0"/>
    <w:unhideWhenUsed/>
    <w:rPr>
      <w:color w:val="0000FF"/>
      <w:u w:val="single"/>
    </w:rPr>
  </w:style>
  <w:style w:type="character" w:styleId="a9">
    <w:name w:val="annotation reference"/>
    <w:basedOn w:val="a0"/>
    <w:semiHidden/>
    <w:unhideWhenUsed/>
    <w:rPr>
      <w:sz w:val="21"/>
      <w:szCs w:val="21"/>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0">
    <w:name w:val="批注框文本 Char"/>
    <w:basedOn w:val="a0"/>
    <w:link w:val="a4"/>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6365</Words>
  <Characters>36281</Characters>
  <Application>Microsoft Office Word</Application>
  <DocSecurity>0</DocSecurity>
  <Lines>302</Lines>
  <Paragraphs>85</Paragraphs>
  <ScaleCrop>false</ScaleCrop>
  <Company>HP</Company>
  <LinksUpToDate>false</LinksUpToDate>
  <CharactersWithSpaces>42561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梅长苏</dc:creator>
  <cp:lastModifiedBy>liujihong2008@qq.con</cp:lastModifiedBy>
  <cp:revision>23</cp:revision>
  <dcterms:created xsi:type="dcterms:W3CDTF">2021-07-27T09:20:00Z</dcterms:created>
  <dcterms:modified xsi:type="dcterms:W3CDTF">2021-08-19T08:25:00Z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2260604844D74A158D1641AB43B775DD</vt:lpwstr>
  </property>
</Properties>
</file>