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B360" w14:textId="07440C1E"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Name</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of</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Journal:</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i/>
          <w:color w:val="000000"/>
        </w:rPr>
        <w:t>World</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i/>
          <w:color w:val="000000"/>
        </w:rPr>
        <w:t>Journal</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i/>
          <w:color w:val="000000"/>
        </w:rPr>
        <w:t>of</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i/>
          <w:color w:val="000000"/>
        </w:rPr>
        <w:t>Orthopedics</w:t>
      </w:r>
    </w:p>
    <w:p w14:paraId="3A5048A9" w14:textId="746DE93A"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Manuscript</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NO:</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64896</w:t>
      </w:r>
    </w:p>
    <w:p w14:paraId="35004C9E" w14:textId="6F0D4584"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Manuscript</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Type:</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ORIGINAL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ARTICLE</w:t>
      </w:r>
    </w:p>
    <w:p w14:paraId="7610D6F4" w14:textId="77777777" w:rsidR="00E07E0B" w:rsidRPr="00886C60" w:rsidRDefault="00E07E0B" w:rsidP="00886C60">
      <w:pPr>
        <w:adjustRightInd w:val="0"/>
        <w:snapToGrid w:val="0"/>
        <w:spacing w:line="360" w:lineRule="auto"/>
        <w:jc w:val="both"/>
        <w:rPr>
          <w:rFonts w:ascii="Book Antiqua" w:eastAsia="Book Antiqua" w:hAnsi="Book Antiqua" w:cs="Book Antiqua"/>
          <w:b/>
          <w:i/>
          <w:color w:val="000000"/>
        </w:rPr>
      </w:pPr>
    </w:p>
    <w:p w14:paraId="6C27338E" w14:textId="30CD4372"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Clinical</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and</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Translational</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Research</w:t>
      </w:r>
    </w:p>
    <w:p w14:paraId="36F1BE74" w14:textId="1FE98E38"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Trends</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and</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risk</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factors</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for</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opioid</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administration</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for</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non-emergent</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lower</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back</w:t>
      </w:r>
      <w:r w:rsidR="00167F91" w:rsidRPr="00886C60">
        <w:rPr>
          <w:rFonts w:ascii="Book Antiqua" w:eastAsia="Book Antiqua" w:hAnsi="Book Antiqua" w:cs="Book Antiqua"/>
          <w:b/>
          <w:bCs/>
          <w:color w:val="000000"/>
        </w:rPr>
        <w:t xml:space="preserve"> </w:t>
      </w:r>
      <w:r w:rsidR="00890C47" w:rsidRPr="00886C60">
        <w:rPr>
          <w:rFonts w:ascii="Book Antiqua" w:eastAsia="Book Antiqua" w:hAnsi="Book Antiqua" w:cs="Book Antiqua"/>
          <w:b/>
          <w:bCs/>
          <w:color w:val="000000"/>
        </w:rPr>
        <w:t>pa</w:t>
      </w:r>
      <w:r w:rsidRPr="00886C60">
        <w:rPr>
          <w:rFonts w:ascii="Book Antiqua" w:eastAsia="Book Antiqua" w:hAnsi="Book Antiqua" w:cs="Book Antiqua"/>
          <w:b/>
          <w:bCs/>
          <w:color w:val="000000"/>
        </w:rPr>
        <w:t>in</w:t>
      </w:r>
      <w:r w:rsidR="00167F91" w:rsidRPr="00886C60">
        <w:rPr>
          <w:rFonts w:ascii="Book Antiqua" w:eastAsia="Book Antiqua" w:hAnsi="Book Antiqua" w:cs="Book Antiqua"/>
          <w:b/>
          <w:bCs/>
          <w:color w:val="000000"/>
        </w:rPr>
        <w:t xml:space="preserve"> </w:t>
      </w:r>
    </w:p>
    <w:p w14:paraId="73244952" w14:textId="77777777" w:rsidR="00A77B3E" w:rsidRPr="00886C60" w:rsidRDefault="00A77B3E" w:rsidP="00886C60">
      <w:pPr>
        <w:adjustRightInd w:val="0"/>
        <w:snapToGrid w:val="0"/>
        <w:spacing w:line="360" w:lineRule="auto"/>
        <w:jc w:val="both"/>
        <w:rPr>
          <w:rFonts w:ascii="Book Antiqua" w:hAnsi="Book Antiqua"/>
        </w:rPr>
      </w:pPr>
    </w:p>
    <w:p w14:paraId="521DBF2E" w14:textId="0697E03D" w:rsidR="00A77B3E" w:rsidRPr="00886C60" w:rsidRDefault="00E07E0B"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Gwam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CU</w:t>
      </w:r>
      <w:r w:rsidR="00167F91" w:rsidRPr="00886C60">
        <w:rPr>
          <w:rFonts w:ascii="Book Antiqua" w:eastAsia="Book Antiqua" w:hAnsi="Book Antiqua" w:cs="Book Antiqua"/>
          <w:color w:val="000000"/>
        </w:rPr>
        <w:t xml:space="preserve"> </w:t>
      </w:r>
      <w:r w:rsidRPr="00886C60">
        <w:rPr>
          <w:rFonts w:ascii="Book Antiqua" w:eastAsia="宋体" w:hAnsi="Book Antiqua" w:cs="宋体"/>
          <w:i/>
          <w:iCs/>
          <w:color w:val="000000"/>
          <w:lang w:eastAsia="zh-CN"/>
        </w:rPr>
        <w:t>et</w:t>
      </w:r>
      <w:r w:rsidR="00167F91" w:rsidRPr="00886C60">
        <w:rPr>
          <w:rFonts w:ascii="Book Antiqua" w:eastAsia="宋体" w:hAnsi="Book Antiqua" w:cs="宋体"/>
          <w:i/>
          <w:iCs/>
          <w:color w:val="000000"/>
          <w:lang w:eastAsia="zh-CN"/>
        </w:rPr>
        <w:t xml:space="preserve"> </w:t>
      </w:r>
      <w:r w:rsidRPr="00886C60">
        <w:rPr>
          <w:rFonts w:ascii="Book Antiqua" w:eastAsia="宋体" w:hAnsi="Book Antiqua" w:cs="宋体"/>
          <w:i/>
          <w:iCs/>
          <w:color w:val="000000"/>
          <w:lang w:eastAsia="zh-CN"/>
        </w:rPr>
        <w:t>al</w:t>
      </w:r>
      <w:r w:rsidRPr="00886C60">
        <w:rPr>
          <w:rFonts w:ascii="Book Antiqua" w:eastAsia="宋体" w:hAnsi="Book Antiqua" w:cs="宋体"/>
          <w:color w:val="000000"/>
          <w:lang w:eastAsia="zh-CN"/>
        </w:rPr>
        <w:t>.</w:t>
      </w:r>
      <w:r w:rsidR="00167F91" w:rsidRPr="00886C60">
        <w:rPr>
          <w:rFonts w:ascii="Book Antiqua" w:eastAsia="宋体" w:hAnsi="Book Antiqua" w:cs="宋体"/>
          <w:color w:val="000000"/>
          <w:lang w:eastAsia="zh-CN"/>
        </w:rPr>
        <w:t xml:space="preserve"> </w:t>
      </w:r>
      <w:r w:rsidR="00642AB2" w:rsidRPr="00886C60">
        <w:rPr>
          <w:rFonts w:ascii="Book Antiqua" w:eastAsia="Book Antiqua" w:hAnsi="Book Antiqua" w:cs="Book Antiqua"/>
          <w:color w:val="000000"/>
        </w:rPr>
        <w:t>Opioid</w:t>
      </w:r>
      <w:r w:rsidR="00890C47" w:rsidRPr="00886C60">
        <w:rPr>
          <w:rFonts w:ascii="Book Antiqua" w:eastAsia="Book Antiqua" w:hAnsi="Book Antiqua" w:cs="Book Antiqua"/>
          <w:color w:val="000000"/>
        </w:rPr>
        <w:t>s</w:t>
      </w:r>
      <w:r w:rsidR="00167F91" w:rsidRPr="00886C60">
        <w:rPr>
          <w:rFonts w:ascii="Book Antiqua" w:eastAsia="Book Antiqua" w:hAnsi="Book Antiqua" w:cs="Book Antiqua"/>
          <w:color w:val="000000"/>
        </w:rPr>
        <w:t xml:space="preserve"> </w:t>
      </w:r>
      <w:r w:rsidR="00890C47"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890C47"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00890C47"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00890C47"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00890C47" w:rsidRPr="00886C60">
        <w:rPr>
          <w:rFonts w:ascii="Book Antiqua" w:eastAsia="Book Antiqua" w:hAnsi="Book Antiqua" w:cs="Book Antiqua"/>
          <w:color w:val="000000"/>
        </w:rPr>
        <w:t>pa</w:t>
      </w:r>
      <w:r w:rsidR="00642AB2" w:rsidRPr="00886C60">
        <w:rPr>
          <w:rFonts w:ascii="Book Antiqua" w:eastAsia="Book Antiqua" w:hAnsi="Book Antiqua" w:cs="Book Antiqua"/>
          <w:color w:val="000000"/>
        </w:rPr>
        <w:t>in</w:t>
      </w:r>
    </w:p>
    <w:p w14:paraId="5A3C333B" w14:textId="77777777" w:rsidR="00A77B3E" w:rsidRPr="00886C60" w:rsidRDefault="00A77B3E" w:rsidP="00886C60">
      <w:pPr>
        <w:adjustRightInd w:val="0"/>
        <w:snapToGrid w:val="0"/>
        <w:spacing w:line="360" w:lineRule="auto"/>
        <w:jc w:val="both"/>
        <w:rPr>
          <w:rFonts w:ascii="Book Antiqua" w:hAnsi="Book Antiqua"/>
        </w:rPr>
      </w:pPr>
    </w:p>
    <w:p w14:paraId="05EC9BC8" w14:textId="60CF0FED" w:rsidR="00A77B3E" w:rsidRDefault="00C9409C" w:rsidP="00F85123">
      <w:pPr>
        <w:adjustRightInd w:val="0"/>
        <w:snapToGrid w:val="0"/>
        <w:spacing w:line="360" w:lineRule="auto"/>
        <w:jc w:val="both"/>
        <w:rPr>
          <w:rFonts w:ascii="Book Antiqua" w:hAnsi="Book Antiqua"/>
          <w:color w:val="201F35"/>
        </w:rPr>
      </w:pPr>
      <w:r>
        <w:rPr>
          <w:rFonts w:ascii="Book Antiqua" w:hAnsi="Book Antiqua"/>
          <w:color w:val="201F35"/>
        </w:rPr>
        <w:t xml:space="preserve">Chukwuweike U Gwam, Ahmed K Emara, Noor Chughtai, Sameer Javed, T David Luo, Kevin Y Wang, Morad Chughtai, Tadhg O'Gara, </w:t>
      </w:r>
      <w:r w:rsidR="00F85123" w:rsidRPr="00F85123">
        <w:rPr>
          <w:rFonts w:ascii="Book Antiqua" w:hAnsi="Book Antiqua"/>
          <w:color w:val="201F35"/>
        </w:rPr>
        <w:t>Johannes F Plate</w:t>
      </w:r>
    </w:p>
    <w:p w14:paraId="078DE241" w14:textId="77777777" w:rsidR="00C9409C" w:rsidRPr="00886C60" w:rsidRDefault="00C9409C" w:rsidP="00886C60">
      <w:pPr>
        <w:adjustRightInd w:val="0"/>
        <w:snapToGrid w:val="0"/>
        <w:spacing w:line="360" w:lineRule="auto"/>
        <w:jc w:val="both"/>
        <w:rPr>
          <w:rFonts w:ascii="Book Antiqua" w:hAnsi="Book Antiqua"/>
        </w:rPr>
      </w:pPr>
    </w:p>
    <w:p w14:paraId="0CE64777" w14:textId="1CB7707E" w:rsidR="00C9409C" w:rsidRDefault="00C9409C" w:rsidP="00886C60">
      <w:pPr>
        <w:adjustRightInd w:val="0"/>
        <w:snapToGrid w:val="0"/>
        <w:spacing w:line="360" w:lineRule="auto"/>
        <w:jc w:val="both"/>
        <w:rPr>
          <w:rFonts w:ascii="Book Antiqua" w:hAnsi="Book Antiqua"/>
          <w:color w:val="201F35"/>
        </w:rPr>
      </w:pPr>
      <w:r>
        <w:rPr>
          <w:rFonts w:ascii="Book Antiqua" w:hAnsi="Book Antiqua"/>
          <w:b/>
          <w:bCs/>
          <w:color w:val="201F35"/>
        </w:rPr>
        <w:t>Chukwuweike U Gwam, T David Luo, Kevin Y Wang, Tadhg O'Gara,</w:t>
      </w:r>
      <w:r w:rsidR="008741F6">
        <w:rPr>
          <w:rFonts w:ascii="Book Antiqua" w:hAnsi="Book Antiqua"/>
          <w:b/>
          <w:bCs/>
          <w:color w:val="201F35"/>
        </w:rPr>
        <w:t xml:space="preserve"> </w:t>
      </w:r>
      <w:r>
        <w:rPr>
          <w:rFonts w:ascii="Book Antiqua" w:hAnsi="Book Antiqua"/>
          <w:color w:val="201F35"/>
        </w:rPr>
        <w:t>Department of Orthopedic Surgery, Wake Forest School of Medicine, Winston-Salem, NC 27157, United States</w:t>
      </w:r>
    </w:p>
    <w:p w14:paraId="1C14FC7E" w14:textId="77777777" w:rsidR="00C9409C" w:rsidRDefault="00C9409C" w:rsidP="00886C60">
      <w:pPr>
        <w:adjustRightInd w:val="0"/>
        <w:snapToGrid w:val="0"/>
        <w:spacing w:line="360" w:lineRule="auto"/>
        <w:jc w:val="both"/>
        <w:rPr>
          <w:rFonts w:ascii="Book Antiqua" w:hAnsi="Book Antiqua"/>
          <w:color w:val="201F35"/>
        </w:rPr>
      </w:pPr>
    </w:p>
    <w:p w14:paraId="38BCB1AD" w14:textId="77777777" w:rsidR="00C9409C" w:rsidRDefault="00C9409C" w:rsidP="00886C60">
      <w:pPr>
        <w:adjustRightInd w:val="0"/>
        <w:snapToGrid w:val="0"/>
        <w:spacing w:line="360" w:lineRule="auto"/>
        <w:jc w:val="both"/>
        <w:rPr>
          <w:rFonts w:ascii="Book Antiqua" w:eastAsia="Book Antiqua" w:hAnsi="Book Antiqua" w:cs="Book Antiqua"/>
          <w:b/>
          <w:bCs/>
          <w:color w:val="000000"/>
        </w:rPr>
      </w:pPr>
      <w:r>
        <w:rPr>
          <w:rFonts w:ascii="Book Antiqua" w:hAnsi="Book Antiqua"/>
          <w:b/>
          <w:bCs/>
          <w:color w:val="201F35"/>
        </w:rPr>
        <w:t>Ahmed K Emara, Noor Chughtai, Sameer Javed, Morad Chughtai, </w:t>
      </w:r>
      <w:r>
        <w:rPr>
          <w:rFonts w:ascii="Book Antiqua" w:hAnsi="Book Antiqua"/>
          <w:color w:val="201F35"/>
        </w:rPr>
        <w:t>Department of Orthopedic Surgery, Cleveland Clinic Foundation, Cleveland, OH 44195, United States</w:t>
      </w:r>
      <w:r w:rsidRPr="00886C60">
        <w:rPr>
          <w:rFonts w:ascii="Book Antiqua" w:eastAsia="Book Antiqua" w:hAnsi="Book Antiqua" w:cs="Book Antiqua"/>
          <w:b/>
          <w:bCs/>
          <w:color w:val="000000"/>
        </w:rPr>
        <w:t xml:space="preserve"> </w:t>
      </w:r>
    </w:p>
    <w:p w14:paraId="211F3383" w14:textId="77777777" w:rsidR="00C9409C" w:rsidRPr="00BA1CD5" w:rsidRDefault="00C9409C" w:rsidP="006B7A25">
      <w:pPr>
        <w:adjustRightInd w:val="0"/>
        <w:snapToGrid w:val="0"/>
        <w:spacing w:line="360" w:lineRule="auto"/>
        <w:jc w:val="both"/>
        <w:rPr>
          <w:rFonts w:ascii="Book Antiqua" w:hAnsi="Book Antiqua" w:cs="Book Antiqua"/>
          <w:b/>
          <w:bCs/>
          <w:color w:val="000000"/>
          <w:lang w:eastAsia="zh-CN"/>
        </w:rPr>
      </w:pPr>
    </w:p>
    <w:p w14:paraId="5679D258" w14:textId="57BAD5CE" w:rsidR="00BA1CD5" w:rsidRPr="00BA1CD5" w:rsidRDefault="00BA1CD5" w:rsidP="006B7A25">
      <w:pPr>
        <w:widowControl w:val="0"/>
        <w:autoSpaceDE w:val="0"/>
        <w:autoSpaceDN w:val="0"/>
        <w:adjustRightInd w:val="0"/>
        <w:spacing w:line="360" w:lineRule="auto"/>
        <w:jc w:val="both"/>
        <w:rPr>
          <w:rFonts w:ascii="Book Antiqua" w:eastAsia="TimesNewRomanPSMT" w:hAnsi="Book Antiqua" w:cs="TimesNewRomanPSMT"/>
        </w:rPr>
      </w:pPr>
      <w:r w:rsidRPr="00BA1CD5">
        <w:rPr>
          <w:rFonts w:ascii="Book Antiqua" w:eastAsia="ArialNarrow-Bold" w:hAnsi="Book Antiqua" w:cs="ArialNarrow-Bold"/>
          <w:b/>
          <w:bCs/>
        </w:rPr>
        <w:t xml:space="preserve">Johannes F Plate, </w:t>
      </w:r>
      <w:r w:rsidRPr="00BA1CD5">
        <w:rPr>
          <w:rFonts w:ascii="Book Antiqua" w:eastAsia="TimesNewRomanPSMT" w:hAnsi="Book Antiqua" w:cs="TimesNewRomanPSMT"/>
        </w:rPr>
        <w:t>Department of Orthopaedic Surgery, University of Pittsburgh, 5200 Centre</w:t>
      </w:r>
      <w:r>
        <w:rPr>
          <w:rFonts w:ascii="Book Antiqua" w:eastAsia="TimesNewRomanPSMT" w:hAnsi="Book Antiqua" w:cs="TimesNewRomanPSMT" w:hint="eastAsia"/>
          <w:lang w:eastAsia="zh-CN"/>
        </w:rPr>
        <w:t xml:space="preserve"> </w:t>
      </w:r>
      <w:r w:rsidRPr="00BA1CD5">
        <w:rPr>
          <w:rFonts w:ascii="Book Antiqua" w:eastAsia="TimesNewRomanPSMT" w:hAnsi="Book Antiqua" w:cs="TimesNewRomanPSMT"/>
        </w:rPr>
        <w:t>Avenue, Suite 415, Pittsburgh, PA 15232, USA</w:t>
      </w:r>
    </w:p>
    <w:p w14:paraId="2380D1DF" w14:textId="77777777" w:rsidR="00BA1CD5" w:rsidRPr="00BA1CD5" w:rsidRDefault="00BA1CD5" w:rsidP="00BA1CD5">
      <w:pPr>
        <w:adjustRightInd w:val="0"/>
        <w:snapToGrid w:val="0"/>
        <w:spacing w:line="360" w:lineRule="auto"/>
        <w:jc w:val="both"/>
        <w:rPr>
          <w:rFonts w:ascii="Book Antiqua" w:hAnsi="Book Antiqua" w:cs="Book Antiqua"/>
          <w:b/>
          <w:bCs/>
          <w:color w:val="000000"/>
          <w:lang w:eastAsia="zh-CN"/>
        </w:rPr>
      </w:pPr>
    </w:p>
    <w:p w14:paraId="6A1649AC" w14:textId="22964E68"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Author</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contributions:</w:t>
      </w:r>
      <w:r w:rsidR="00167F91" w:rsidRPr="00886C60">
        <w:rPr>
          <w:rFonts w:ascii="Book Antiqua" w:eastAsia="Book Antiqua" w:hAnsi="Book Antiqua" w:cs="Book Antiqua"/>
          <w:b/>
          <w:bCs/>
          <w:color w:val="000000"/>
        </w:rPr>
        <w:t xml:space="preserve"> </w:t>
      </w:r>
      <w:r w:rsidR="0082551D" w:rsidRPr="005D6E83">
        <w:rPr>
          <w:rFonts w:ascii="Book Antiqua" w:eastAsia="Book Antiqua" w:hAnsi="Book Antiqua" w:cs="Book Antiqua"/>
          <w:bCs/>
          <w:color w:val="000000"/>
        </w:rPr>
        <w:t>Gwam C</w:t>
      </w:r>
      <w:r w:rsidR="0082551D">
        <w:rPr>
          <w:rFonts w:ascii="Book Antiqua" w:hAnsi="Book Antiqua" w:cs="Book Antiqua" w:hint="eastAsia"/>
          <w:bCs/>
          <w:color w:val="000000"/>
          <w:lang w:eastAsia="zh-CN"/>
        </w:rPr>
        <w:t>U</w:t>
      </w:r>
      <w:r w:rsidR="0082551D" w:rsidRPr="005D6E83">
        <w:rPr>
          <w:rFonts w:ascii="Book Antiqua" w:eastAsia="Book Antiqua" w:hAnsi="Book Antiqua" w:cs="Book Antiqua"/>
          <w:bCs/>
          <w:color w:val="000000"/>
        </w:rPr>
        <w:t>, Javed S, and Chughtai N wrote the initial draft; Gwam C</w:t>
      </w:r>
      <w:r w:rsidR="0082551D">
        <w:rPr>
          <w:rFonts w:ascii="Book Antiqua" w:hAnsi="Book Antiqua" w:cs="Book Antiqua" w:hint="eastAsia"/>
          <w:bCs/>
          <w:color w:val="000000"/>
          <w:lang w:eastAsia="zh-CN"/>
        </w:rPr>
        <w:t>U</w:t>
      </w:r>
      <w:r w:rsidR="0082551D" w:rsidRPr="005D6E83">
        <w:rPr>
          <w:rFonts w:ascii="Book Antiqua" w:eastAsia="Book Antiqua" w:hAnsi="Book Antiqua" w:cs="Book Antiqua"/>
          <w:bCs/>
          <w:color w:val="000000"/>
        </w:rPr>
        <w:t xml:space="preserve">, Luo TD, Chughtai M, and Plate </w:t>
      </w:r>
      <w:r w:rsidR="000D12CC" w:rsidRPr="005D6E83">
        <w:rPr>
          <w:rFonts w:ascii="Book Antiqua" w:eastAsia="Book Antiqua" w:hAnsi="Book Antiqua" w:cs="Book Antiqua"/>
          <w:bCs/>
          <w:color w:val="000000"/>
        </w:rPr>
        <w:t>J</w:t>
      </w:r>
      <w:r w:rsidR="0082551D" w:rsidRPr="005D6E83">
        <w:rPr>
          <w:rFonts w:ascii="Book Antiqua" w:eastAsia="Book Antiqua" w:hAnsi="Book Antiqua" w:cs="Book Antiqua"/>
          <w:bCs/>
          <w:color w:val="000000"/>
        </w:rPr>
        <w:t xml:space="preserve">F was involved in conceptualization; Gwam </w:t>
      </w:r>
      <w:r w:rsidR="00385208" w:rsidRPr="005D6E83">
        <w:rPr>
          <w:rFonts w:ascii="Book Antiqua" w:eastAsia="Book Antiqua" w:hAnsi="Book Antiqua" w:cs="Book Antiqua"/>
          <w:bCs/>
          <w:color w:val="000000"/>
        </w:rPr>
        <w:t>C</w:t>
      </w:r>
      <w:r w:rsidR="00385208">
        <w:rPr>
          <w:rFonts w:ascii="Book Antiqua" w:hAnsi="Book Antiqua" w:cs="Book Antiqua" w:hint="eastAsia"/>
          <w:bCs/>
          <w:color w:val="000000"/>
          <w:lang w:eastAsia="zh-CN"/>
        </w:rPr>
        <w:t>U</w:t>
      </w:r>
      <w:r w:rsidR="0082551D" w:rsidRPr="005D6E83">
        <w:rPr>
          <w:rFonts w:ascii="Book Antiqua" w:eastAsia="Book Antiqua" w:hAnsi="Book Antiqua" w:cs="Book Antiqua"/>
          <w:bCs/>
          <w:color w:val="000000"/>
        </w:rPr>
        <w:t xml:space="preserve">, Emara AK, Wang KY, and Plate </w:t>
      </w:r>
      <w:r w:rsidR="000D12CC" w:rsidRPr="005D6E83">
        <w:rPr>
          <w:rFonts w:ascii="Book Antiqua" w:eastAsia="Book Antiqua" w:hAnsi="Book Antiqua" w:cs="Book Antiqua"/>
          <w:bCs/>
          <w:color w:val="000000"/>
        </w:rPr>
        <w:t>J</w:t>
      </w:r>
      <w:r w:rsidR="0082551D" w:rsidRPr="005D6E83">
        <w:rPr>
          <w:rFonts w:ascii="Book Antiqua" w:eastAsia="Book Antiqua" w:hAnsi="Book Antiqua" w:cs="Book Antiqua"/>
          <w:bCs/>
          <w:color w:val="000000"/>
        </w:rPr>
        <w:t>F performed statistical analysis; Emara AK and Wang KY did data procurement; Emara AK, Chughtai N, Luo TD, Chughtai M, and O’Gara T performed critical draft revisions; Chughtai M, O’Gara T contributed to supervision.</w:t>
      </w:r>
    </w:p>
    <w:p w14:paraId="5940EB5C" w14:textId="77777777" w:rsidR="00A77B3E" w:rsidRPr="00886C60" w:rsidRDefault="00A77B3E" w:rsidP="00886C60">
      <w:pPr>
        <w:adjustRightInd w:val="0"/>
        <w:snapToGrid w:val="0"/>
        <w:spacing w:line="360" w:lineRule="auto"/>
        <w:jc w:val="both"/>
        <w:rPr>
          <w:rFonts w:ascii="Book Antiqua" w:hAnsi="Book Antiqua"/>
        </w:rPr>
      </w:pPr>
    </w:p>
    <w:p w14:paraId="2A92137F" w14:textId="0B44ADE2"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lastRenderedPageBreak/>
        <w:t>Corresponding</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author:</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Morad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Chughtai,</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MD,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Surgeon,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Orthopaedic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Surgery,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Cleveland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Clinic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9500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Euclid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Avenue,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Cleveland,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44195,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chughtm@ccf.org</w:t>
      </w:r>
    </w:p>
    <w:p w14:paraId="4102B844" w14:textId="77777777" w:rsidR="00A77B3E" w:rsidRPr="00886C60" w:rsidRDefault="00A77B3E" w:rsidP="00886C60">
      <w:pPr>
        <w:adjustRightInd w:val="0"/>
        <w:snapToGrid w:val="0"/>
        <w:spacing w:line="360" w:lineRule="auto"/>
        <w:jc w:val="both"/>
        <w:rPr>
          <w:rFonts w:ascii="Book Antiqua" w:hAnsi="Book Antiqua"/>
        </w:rPr>
      </w:pPr>
    </w:p>
    <w:p w14:paraId="2063ED56" w14:textId="4B2D84F4"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Received: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February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2021</w:t>
      </w:r>
    </w:p>
    <w:p w14:paraId="3494AD8C" w14:textId="4BFF10FE"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Revised: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April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2021</w:t>
      </w:r>
    </w:p>
    <w:p w14:paraId="46D29B44" w14:textId="25F1D0AC" w:rsidR="00A77B3E" w:rsidRPr="00F25A0D"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Accepted:</w:t>
      </w:r>
      <w:r w:rsidR="00167F91" w:rsidRPr="00886C60">
        <w:rPr>
          <w:rFonts w:ascii="Book Antiqua" w:eastAsia="Book Antiqua" w:hAnsi="Book Antiqua" w:cs="Book Antiqua"/>
          <w:b/>
          <w:bCs/>
          <w:color w:val="000000"/>
        </w:rPr>
        <w:t xml:space="preserve"> </w:t>
      </w:r>
      <w:r w:rsidR="00F25A0D" w:rsidRPr="00F25A0D">
        <w:rPr>
          <w:rFonts w:ascii="Book Antiqua" w:eastAsia="Book Antiqua" w:hAnsi="Book Antiqua" w:cs="Book Antiqua"/>
          <w:color w:val="000000"/>
        </w:rPr>
        <w:t>August 24, 2021</w:t>
      </w:r>
    </w:p>
    <w:p w14:paraId="189B5D84" w14:textId="27601E74" w:rsidR="00A77B3E" w:rsidRPr="00167691" w:rsidRDefault="00642AB2" w:rsidP="00886C60">
      <w:pPr>
        <w:adjustRightInd w:val="0"/>
        <w:snapToGrid w:val="0"/>
        <w:spacing w:line="360" w:lineRule="auto"/>
        <w:jc w:val="both"/>
        <w:rPr>
          <w:rFonts w:ascii="Book Antiqua" w:hAnsi="Book Antiqua"/>
          <w:lang w:eastAsia="zh-CN"/>
        </w:rPr>
      </w:pPr>
      <w:r w:rsidRPr="00886C60">
        <w:rPr>
          <w:rFonts w:ascii="Book Antiqua" w:eastAsia="Book Antiqua" w:hAnsi="Book Antiqua" w:cs="Book Antiqua"/>
          <w:b/>
          <w:bCs/>
          <w:color w:val="000000"/>
        </w:rPr>
        <w:t>Published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online:</w:t>
      </w:r>
      <w:r w:rsidR="00167F91" w:rsidRPr="00886C60">
        <w:rPr>
          <w:rFonts w:ascii="Book Antiqua" w:eastAsia="Book Antiqua" w:hAnsi="Book Antiqua" w:cs="Book Antiqua"/>
          <w:b/>
          <w:bCs/>
          <w:color w:val="000000"/>
        </w:rPr>
        <w:t xml:space="preserve"> </w:t>
      </w:r>
      <w:r w:rsidR="00167691" w:rsidRPr="00167691">
        <w:rPr>
          <w:rFonts w:ascii="Book Antiqua" w:eastAsia="Book Antiqua" w:hAnsi="Book Antiqua" w:cs="Book Antiqua"/>
          <w:bCs/>
          <w:color w:val="000000"/>
        </w:rPr>
        <w:t>September</w:t>
      </w:r>
      <w:r w:rsidR="00167691" w:rsidRPr="00167691">
        <w:rPr>
          <w:rFonts w:ascii="Book Antiqua" w:hAnsi="Book Antiqua" w:cs="Book Antiqua" w:hint="eastAsia"/>
          <w:bCs/>
          <w:color w:val="000000"/>
          <w:lang w:eastAsia="zh-CN"/>
        </w:rPr>
        <w:t xml:space="preserve"> 18, 2021</w:t>
      </w:r>
    </w:p>
    <w:p w14:paraId="06122EF9" w14:textId="77777777" w:rsidR="00C9409C" w:rsidRDefault="00C9409C" w:rsidP="00886C60">
      <w:pPr>
        <w:adjustRightInd w:val="0"/>
        <w:snapToGrid w:val="0"/>
        <w:spacing w:line="360" w:lineRule="auto"/>
        <w:jc w:val="both"/>
        <w:rPr>
          <w:rFonts w:ascii="Book Antiqua" w:eastAsia="Book Antiqua" w:hAnsi="Book Antiqua" w:cs="Book Antiqua"/>
          <w:b/>
          <w:color w:val="000000"/>
        </w:rPr>
      </w:pPr>
    </w:p>
    <w:p w14:paraId="6C9C4563" w14:textId="77777777" w:rsidR="00C9409C" w:rsidRDefault="00C9409C" w:rsidP="00886C60">
      <w:pPr>
        <w:adjustRightInd w:val="0"/>
        <w:snapToGrid w:val="0"/>
        <w:spacing w:line="360" w:lineRule="auto"/>
        <w:jc w:val="both"/>
        <w:rPr>
          <w:rFonts w:ascii="Book Antiqua" w:eastAsia="Book Antiqua" w:hAnsi="Book Antiqua" w:cs="Book Antiqua"/>
          <w:b/>
          <w:color w:val="000000"/>
        </w:rPr>
      </w:pPr>
    </w:p>
    <w:p w14:paraId="33326638" w14:textId="02A0C46D"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Abstract</w:t>
      </w:r>
    </w:p>
    <w:p w14:paraId="2F882E10"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BACKGROUND</w:t>
      </w:r>
    </w:p>
    <w:p w14:paraId="165BECBD" w14:textId="65DE1BF2"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prevalent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contribute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overcrowding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diverting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attention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serious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focus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current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literature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regarding</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general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concerning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subsequent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w:t>
      </w:r>
      <w:r w:rsidR="00167F91" w:rsidRPr="00886C60">
        <w:rPr>
          <w:rFonts w:ascii="Book Antiqua" w:eastAsia="Book Antiqua" w:hAnsi="Book Antiqua" w:cs="Book Antiqua"/>
          <w:color w:val="000000"/>
        </w:rPr>
        <w:t xml:space="preserve"> </w:t>
      </w:r>
    </w:p>
    <w:p w14:paraId="5F95C8BA" w14:textId="77777777" w:rsidR="00A77B3E" w:rsidRPr="00886C60" w:rsidRDefault="00A77B3E" w:rsidP="00886C60">
      <w:pPr>
        <w:adjustRightInd w:val="0"/>
        <w:snapToGrid w:val="0"/>
        <w:spacing w:line="360" w:lineRule="auto"/>
        <w:jc w:val="both"/>
        <w:rPr>
          <w:rFonts w:ascii="Book Antiqua" w:hAnsi="Book Antiqua"/>
        </w:rPr>
      </w:pPr>
    </w:p>
    <w:p w14:paraId="10427F02"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AIM</w:t>
      </w:r>
    </w:p>
    <w:p w14:paraId="620F37BB" w14:textId="41CF7F61" w:rsidR="00A77B3E" w:rsidRPr="00886C60" w:rsidRDefault="00E07E0B"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T</w:t>
      </w:r>
      <w:r w:rsidR="00642AB2" w:rsidRPr="00886C60">
        <w:rPr>
          <w:rFonts w:ascii="Book Antiqua" w:eastAsia="Book Antiqua" w:hAnsi="Book Antiqua" w:cs="Book Antiqua"/>
          <w:color w:val="000000"/>
        </w:rPr>
        <w:t>o</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determine</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annual</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administration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p>
    <w:p w14:paraId="7CD9F020" w14:textId="77777777" w:rsidR="00A77B3E" w:rsidRPr="00886C60" w:rsidRDefault="00A77B3E" w:rsidP="00886C60">
      <w:pPr>
        <w:adjustRightInd w:val="0"/>
        <w:snapToGrid w:val="0"/>
        <w:spacing w:line="360" w:lineRule="auto"/>
        <w:jc w:val="both"/>
        <w:rPr>
          <w:rFonts w:ascii="Book Antiqua" w:hAnsi="Book Antiqua"/>
        </w:rPr>
      </w:pPr>
    </w:p>
    <w:p w14:paraId="4FDDEABE"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METHODS</w:t>
      </w:r>
    </w:p>
    <w:p w14:paraId="0F836341" w14:textId="3916A9ED"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retrospectively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identified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National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transformed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two-year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intervals,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weighted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lastRenderedPageBreak/>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conducted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weighted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generate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incidence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estimates.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Bivariate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statistics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differences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count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logistic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regression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performed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Statistical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0080261E" w:rsidRPr="00886C60">
        <w:rPr>
          <w:rFonts w:ascii="Book Antiqua" w:eastAsia="Book Antiqua" w:hAnsi="Book Antiqua" w:cs="Book Antiqua"/>
          <w:i/>
          <w:iCs/>
          <w:color w:val="000000"/>
        </w:rPr>
        <w:t>P</w:t>
      </w:r>
      <w:r w:rsidRPr="00886C60">
        <w:rPr>
          <w:rFonts w:ascii="Book Antiqua" w:eastAsia="Book Antiqua" w:hAnsi="Book Antiqua" w:cs="Book Antiqua"/>
          <w:color w:val="000000"/>
        </w:rPr>
        <w:t>-value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0.05.</w:t>
      </w:r>
    </w:p>
    <w:p w14:paraId="3E835B20" w14:textId="77777777" w:rsidR="00A77B3E" w:rsidRPr="00886C60" w:rsidRDefault="00A77B3E" w:rsidP="00886C60">
      <w:pPr>
        <w:adjustRightInd w:val="0"/>
        <w:snapToGrid w:val="0"/>
        <w:spacing w:line="360" w:lineRule="auto"/>
        <w:jc w:val="both"/>
        <w:rPr>
          <w:rFonts w:ascii="Book Antiqua" w:hAnsi="Book Antiqua"/>
        </w:rPr>
      </w:pPr>
    </w:p>
    <w:p w14:paraId="504BC266"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RESULTS</w:t>
      </w:r>
    </w:p>
    <w:p w14:paraId="056DB2DA" w14:textId="4729331C"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Out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41658475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(7726)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exclusion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criteria.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4.05%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3.56%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common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period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hydrocodone-based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(49.1%)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tramadol-based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(16.9),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combination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types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contributing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35.7%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Pr="00886C60">
        <w:rPr>
          <w:rFonts w:ascii="Book Antiqua" w:eastAsia="Book Antiqua" w:hAnsi="Book Antiqua" w:cs="Book Antiqua"/>
          <w:b/>
          <w:bCs/>
          <w:color w:val="000000"/>
        </w:rPr>
        <w: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43.84-years-old,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obtainment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radiographic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imaging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i/>
          <w:color w:val="000000"/>
        </w:rPr>
        <w:t>P</w:t>
      </w:r>
      <w:r w:rsidR="00167F91" w:rsidRPr="00886C60">
        <w:rPr>
          <w:rFonts w:ascii="Book Antiqua" w:eastAsia="Book Antiqua" w:hAnsi="Book Antiqua" w:cs="Book Antiqua"/>
          <w:i/>
          <w:color w:val="000000"/>
        </w:rPr>
        <w:t xml:space="preserve"> </w:t>
      </w:r>
      <w:r w:rsidR="00514C8F" w:rsidRPr="00886C60">
        <w:rPr>
          <w:rFonts w:ascii="Book Antiqua" w:eastAsia="Book Antiqua" w:hAnsi="Book Antiqua" w:cs="Book Antiqua"/>
          <w:i/>
          <w:color w:val="000000"/>
        </w:rPr>
        <w:t>&lt;</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color w:val="000000"/>
        </w:rPr>
        <w:t>0.05).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located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Midwest</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[odds</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ratio</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(OR)</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2.42,</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i/>
          <w:iCs/>
          <w:color w:val="000000"/>
        </w:rPr>
        <w:t>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0.001</w:t>
      </w:r>
      <w:r w:rsidR="00514C8F" w:rsidRPr="00886C60">
        <w:rPr>
          <w:rFonts w:ascii="Book Antiqua" w:eastAsia="Book Antiqua" w:hAnsi="Book Antiqua" w:cs="Book Antiqua"/>
          <w:color w:val="000000"/>
        </w:rPr>
        <w:t>[</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South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2.35,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&lt;</w:t>
      </w:r>
      <w:r w:rsidR="001938B7">
        <w:rPr>
          <w:rFonts w:ascii="Book Antiqua" w:hAnsi="Book Antiqua" w:cs="Book Antiqua" w:hint="eastAsia"/>
          <w:color w:val="000000"/>
          <w:lang w:eastAsia="zh-CN"/>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2.57,</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i/>
          <w:color w:val="000000"/>
        </w:rPr>
        <w:t>P</w:t>
      </w:r>
      <w:r w:rsidR="00167F91" w:rsidRPr="00886C60">
        <w:rPr>
          <w:rFonts w:ascii="Book Antiqua" w:eastAsia="Book Antiqua" w:hAnsi="Book Antiqua" w:cs="Book Antiqua"/>
          <w:i/>
          <w:color w:val="000000"/>
        </w:rPr>
        <w:t xml:space="preserve"> </w:t>
      </w:r>
      <w:r w:rsidR="00514C8F" w:rsidRPr="00886C60">
        <w:rPr>
          <w:rFonts w:ascii="Book Antiqua" w:eastAsia="Book Antiqua" w:hAnsi="Book Antiqua" w:cs="Book Antiqua"/>
          <w:i/>
          <w:color w:val="000000"/>
        </w:rPr>
        <w:t>&lt;</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Northeast.</w:t>
      </w:r>
    </w:p>
    <w:p w14:paraId="5C7308F8" w14:textId="77777777" w:rsidR="00A77B3E" w:rsidRPr="00886C60" w:rsidRDefault="00A77B3E" w:rsidP="00886C60">
      <w:pPr>
        <w:adjustRightInd w:val="0"/>
        <w:snapToGrid w:val="0"/>
        <w:spacing w:line="360" w:lineRule="auto"/>
        <w:jc w:val="both"/>
        <w:rPr>
          <w:rFonts w:ascii="Book Antiqua" w:hAnsi="Book Antiqua"/>
        </w:rPr>
      </w:pPr>
    </w:p>
    <w:p w14:paraId="442BFFA4"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CONCLUSION</w:t>
      </w:r>
    </w:p>
    <w:p w14:paraId="66FAFF7B" w14:textId="30F7C621"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number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attributed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focus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practices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both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federal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levels.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still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common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conclusions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drawn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practices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cohort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p>
    <w:p w14:paraId="462807C5" w14:textId="77777777" w:rsidR="00A77B3E" w:rsidRPr="00886C60" w:rsidRDefault="00A77B3E" w:rsidP="00886C60">
      <w:pPr>
        <w:adjustRightInd w:val="0"/>
        <w:snapToGrid w:val="0"/>
        <w:spacing w:line="360" w:lineRule="auto"/>
        <w:jc w:val="both"/>
        <w:rPr>
          <w:rFonts w:ascii="Book Antiqua" w:hAnsi="Book Antiqua"/>
        </w:rPr>
      </w:pPr>
    </w:p>
    <w:p w14:paraId="08BEF499" w14:textId="5062E1EC"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Key</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Words: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t>
      </w:r>
      <w:r w:rsidR="00514C8F" w:rsidRPr="00886C60">
        <w:rPr>
          <w:rFonts w:ascii="Book Antiqua" w:eastAsia="Book Antiqua" w:hAnsi="Book Antiqua" w:cs="Book Antiqua"/>
          <w:color w:val="000000"/>
        </w:rPr>
        <w:t>w</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pa</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S</w:t>
      </w:r>
      <w:r w:rsidRPr="00886C60">
        <w:rPr>
          <w:rFonts w:ascii="Book Antiqua" w:eastAsia="Book Antiqua" w:hAnsi="Book Antiqua" w:cs="Book Antiqua"/>
          <w:color w:val="000000"/>
        </w:rPr>
        <w:t>pine;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p>
    <w:p w14:paraId="072F0183" w14:textId="77777777" w:rsidR="009F0BD7" w:rsidRDefault="009F0BD7" w:rsidP="009F0BD7">
      <w:pPr>
        <w:rPr>
          <w:rFonts w:asciiTheme="minorEastAsia" w:hAnsiTheme="minorEastAsia"/>
          <w:b/>
        </w:rPr>
      </w:pPr>
    </w:p>
    <w:p w14:paraId="3159BFC7" w14:textId="77777777" w:rsidR="009F0BD7" w:rsidRPr="00026CB8" w:rsidRDefault="009F0BD7" w:rsidP="009F0BD7">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0BA57DE" w14:textId="77777777" w:rsidR="00A77B3E" w:rsidRPr="00886C60" w:rsidRDefault="00A77B3E" w:rsidP="00886C60">
      <w:pPr>
        <w:adjustRightInd w:val="0"/>
        <w:snapToGrid w:val="0"/>
        <w:spacing w:line="360" w:lineRule="auto"/>
        <w:jc w:val="both"/>
        <w:rPr>
          <w:rFonts w:ascii="Book Antiqua" w:hAnsi="Book Antiqua"/>
        </w:rPr>
      </w:pPr>
    </w:p>
    <w:p w14:paraId="7CCCED0C" w14:textId="618E9977" w:rsidR="004E3A4F" w:rsidRDefault="001B3533" w:rsidP="00D573F4">
      <w:pPr>
        <w:adjustRightInd w:val="0"/>
        <w:snapToGrid w:val="0"/>
        <w:spacing w:line="360" w:lineRule="auto"/>
        <w:jc w:val="both"/>
        <w:rPr>
          <w:rFonts w:ascii="Book Antiqua" w:eastAsia="宋体" w:hAnsi="Book Antiqua"/>
        </w:rPr>
      </w:pPr>
      <w:r w:rsidRPr="007A4FCF">
        <w:rPr>
          <w:rFonts w:ascii="Book Antiqua" w:eastAsia="Book Antiqua" w:hAnsi="Book Antiqua" w:cs="Book Antiqua"/>
          <w:b/>
          <w:bCs/>
          <w:color w:val="000000"/>
        </w:rPr>
        <w:t>Citation:</w:t>
      </w:r>
      <w:r>
        <w:rPr>
          <w:rFonts w:ascii="Book Antiqua" w:eastAsia="Book Antiqua" w:hAnsi="Book Antiqua" w:cs="Book Antiqua"/>
          <w:b/>
          <w:bCs/>
          <w:color w:val="000000"/>
        </w:rPr>
        <w:t xml:space="preserve"> </w:t>
      </w:r>
      <w:r w:rsidR="00A83900" w:rsidRPr="00A83900">
        <w:rPr>
          <w:rFonts w:ascii="Book Antiqua" w:eastAsia="Book Antiqua" w:hAnsi="Book Antiqua" w:cs="Book Antiqua"/>
          <w:color w:val="000000"/>
        </w:rPr>
        <w:t xml:space="preserve">Gwam CU, Emara AK, Chughtai N, Javed S, Luo TD, Wang KY, Chughtai M, O'Gara T, Plate FJ. Trends and risk factors for opioid administration for non-emergent lower back pain. </w:t>
      </w:r>
      <w:r w:rsidR="00A83900" w:rsidRPr="00A83900">
        <w:rPr>
          <w:rFonts w:ascii="Book Antiqua" w:eastAsia="Book Antiqua" w:hAnsi="Book Antiqua" w:cs="Book Antiqua"/>
          <w:i/>
          <w:iCs/>
          <w:color w:val="000000"/>
        </w:rPr>
        <w:t>World J Orthop</w:t>
      </w:r>
      <w:r w:rsidR="00A83900" w:rsidRPr="00A83900">
        <w:rPr>
          <w:rFonts w:ascii="Book Antiqua" w:eastAsia="Book Antiqua" w:hAnsi="Book Antiqua" w:cs="Book Antiqua"/>
          <w:color w:val="000000"/>
        </w:rPr>
        <w:t xml:space="preserve"> </w:t>
      </w:r>
      <w:r w:rsidR="00D573F4" w:rsidRPr="00D573F4">
        <w:rPr>
          <w:rFonts w:ascii="Book Antiqua" w:eastAsia="Book Antiqua" w:hAnsi="Book Antiqua" w:cs="Book Antiqua"/>
          <w:color w:val="000000"/>
        </w:rPr>
        <w:t>2021; 12(</w:t>
      </w:r>
      <w:r w:rsidR="00D573F4">
        <w:rPr>
          <w:rFonts w:ascii="Book Antiqua" w:hAnsi="Book Antiqua" w:cs="Book Antiqua" w:hint="eastAsia"/>
          <w:color w:val="000000"/>
          <w:lang w:eastAsia="zh-CN"/>
        </w:rPr>
        <w:t>9</w:t>
      </w:r>
      <w:r w:rsidR="00D573F4" w:rsidRPr="00D573F4">
        <w:rPr>
          <w:rFonts w:ascii="Book Antiqua" w:eastAsia="Book Antiqua" w:hAnsi="Book Antiqua" w:cs="Book Antiqua"/>
          <w:color w:val="000000"/>
        </w:rPr>
        <w:t xml:space="preserve">): </w:t>
      </w:r>
      <w:r w:rsidR="008A7B15" w:rsidRPr="001816EE">
        <w:rPr>
          <w:rFonts w:ascii="Book Antiqua" w:eastAsia="宋体" w:hAnsi="Book Antiqua" w:hint="eastAsia"/>
        </w:rPr>
        <w:t>700</w:t>
      </w:r>
      <w:r w:rsidR="00D573F4" w:rsidRPr="00D573F4">
        <w:rPr>
          <w:rFonts w:ascii="Book Antiqua" w:eastAsia="Book Antiqua" w:hAnsi="Book Antiqua" w:cs="Book Antiqua"/>
          <w:color w:val="000000"/>
        </w:rPr>
        <w:t>-</w:t>
      </w:r>
      <w:r w:rsidR="00DE7932" w:rsidRPr="001816EE">
        <w:rPr>
          <w:rFonts w:ascii="Book Antiqua" w:eastAsia="宋体" w:hAnsi="Book Antiqua" w:hint="eastAsia"/>
        </w:rPr>
        <w:t>709</w:t>
      </w:r>
      <w:r w:rsidR="00DE7932">
        <w:rPr>
          <w:rFonts w:ascii="Book Antiqua" w:eastAsia="宋体" w:hAnsi="Book Antiqua"/>
        </w:rPr>
        <w:t xml:space="preserve"> </w:t>
      </w:r>
    </w:p>
    <w:p w14:paraId="3B1A08F6" w14:textId="77777777" w:rsidR="004E3A4F" w:rsidRDefault="00D573F4" w:rsidP="00D573F4">
      <w:pPr>
        <w:adjustRightInd w:val="0"/>
        <w:snapToGrid w:val="0"/>
        <w:spacing w:line="360" w:lineRule="auto"/>
        <w:jc w:val="both"/>
        <w:rPr>
          <w:rFonts w:ascii="Book Antiqua" w:hAnsi="Book Antiqua" w:cs="Book Antiqua"/>
          <w:color w:val="000000"/>
          <w:lang w:eastAsia="zh-CN"/>
        </w:rPr>
      </w:pPr>
      <w:r w:rsidRPr="007B21FC">
        <w:rPr>
          <w:rFonts w:ascii="Book Antiqua" w:eastAsia="Book Antiqua" w:hAnsi="Book Antiqua" w:cs="Book Antiqua"/>
          <w:b/>
          <w:bCs/>
          <w:color w:val="000000"/>
        </w:rPr>
        <w:t>URL:</w:t>
      </w:r>
      <w:r w:rsidRPr="00D573F4">
        <w:rPr>
          <w:rFonts w:ascii="Book Antiqua" w:eastAsia="Book Antiqua" w:hAnsi="Book Antiqua" w:cs="Book Antiqua"/>
          <w:color w:val="000000"/>
        </w:rPr>
        <w:t xml:space="preserve"> https://www.wjgnet.com/2218-5836/full/v12/i</w:t>
      </w:r>
      <w:r>
        <w:rPr>
          <w:rFonts w:ascii="Book Antiqua" w:hAnsi="Book Antiqua" w:cs="Book Antiqua" w:hint="eastAsia"/>
          <w:color w:val="000000"/>
          <w:lang w:eastAsia="zh-CN"/>
        </w:rPr>
        <w:t>9</w:t>
      </w:r>
      <w:r w:rsidRPr="00D573F4">
        <w:rPr>
          <w:rFonts w:ascii="Book Antiqua" w:eastAsia="Book Antiqua" w:hAnsi="Book Antiqua" w:cs="Book Antiqua"/>
          <w:color w:val="000000"/>
        </w:rPr>
        <w:t>/</w:t>
      </w:r>
      <w:r w:rsidR="008A7B15" w:rsidRPr="001816EE">
        <w:rPr>
          <w:rFonts w:ascii="Book Antiqua" w:eastAsia="宋体" w:hAnsi="Book Antiqua" w:hint="eastAsia"/>
        </w:rPr>
        <w:t>700</w:t>
      </w:r>
      <w:r w:rsidRPr="00D573F4">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7D4BAB34" w14:textId="5CAEDB25" w:rsidR="00A77B3E" w:rsidRPr="00D573F4" w:rsidRDefault="00D573F4" w:rsidP="00D573F4">
      <w:pPr>
        <w:adjustRightInd w:val="0"/>
        <w:snapToGrid w:val="0"/>
        <w:spacing w:line="360" w:lineRule="auto"/>
        <w:jc w:val="both"/>
        <w:rPr>
          <w:rFonts w:ascii="Book Antiqua" w:eastAsia="Book Antiqua" w:hAnsi="Book Antiqua" w:cs="Book Antiqua"/>
          <w:color w:val="000000"/>
        </w:rPr>
      </w:pPr>
      <w:r w:rsidRPr="007B21FC">
        <w:rPr>
          <w:rFonts w:ascii="Book Antiqua" w:eastAsia="Book Antiqua" w:hAnsi="Book Antiqua" w:cs="Book Antiqua"/>
          <w:b/>
          <w:bCs/>
          <w:color w:val="000000"/>
        </w:rPr>
        <w:t>DOI:</w:t>
      </w:r>
      <w:r w:rsidRPr="00D573F4">
        <w:rPr>
          <w:rFonts w:ascii="Book Antiqua" w:eastAsia="Book Antiqua" w:hAnsi="Book Antiqua" w:cs="Book Antiqua"/>
          <w:color w:val="000000"/>
        </w:rPr>
        <w:t xml:space="preserve"> https://dx.doi.org/10.5312/wjo.v12.i</w:t>
      </w:r>
      <w:r>
        <w:rPr>
          <w:rFonts w:ascii="Book Antiqua" w:hAnsi="Book Antiqua" w:cs="Book Antiqua" w:hint="eastAsia"/>
          <w:color w:val="000000"/>
          <w:lang w:eastAsia="zh-CN"/>
        </w:rPr>
        <w:t>9</w:t>
      </w:r>
      <w:r w:rsidRPr="00D573F4">
        <w:rPr>
          <w:rFonts w:ascii="Book Antiqua" w:eastAsia="Book Antiqua" w:hAnsi="Book Antiqua" w:cs="Book Antiqua"/>
          <w:color w:val="000000"/>
        </w:rPr>
        <w:t>.</w:t>
      </w:r>
      <w:r w:rsidR="008A7B15" w:rsidRPr="001816EE">
        <w:rPr>
          <w:rFonts w:ascii="Book Antiqua" w:eastAsia="宋体" w:hAnsi="Book Antiqua" w:hint="eastAsia"/>
        </w:rPr>
        <w:t>700</w:t>
      </w:r>
    </w:p>
    <w:p w14:paraId="2E628ACE" w14:textId="77777777" w:rsidR="00D573F4" w:rsidRPr="00D573F4" w:rsidRDefault="00D573F4" w:rsidP="00886C60">
      <w:pPr>
        <w:adjustRightInd w:val="0"/>
        <w:snapToGrid w:val="0"/>
        <w:spacing w:line="360" w:lineRule="auto"/>
        <w:jc w:val="both"/>
        <w:rPr>
          <w:rFonts w:ascii="Book Antiqua" w:hAnsi="Book Antiqua"/>
          <w:lang w:eastAsia="zh-CN"/>
        </w:rPr>
      </w:pPr>
    </w:p>
    <w:p w14:paraId="5AF3EFC9" w14:textId="0C1160A5"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Core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Tip:</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diminishing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appreciated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span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eight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reflection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policies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aiming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regulation.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likelihood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43.84-years-old,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obtainment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radiographic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imaging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Midwest/South/West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Providers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should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cognizant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given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burden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imposed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healthcare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system.</w:t>
      </w:r>
    </w:p>
    <w:p w14:paraId="5B42E2A3" w14:textId="77777777" w:rsidR="00A77B3E" w:rsidRPr="00886C60" w:rsidRDefault="00A77B3E" w:rsidP="00886C60">
      <w:pPr>
        <w:adjustRightInd w:val="0"/>
        <w:snapToGrid w:val="0"/>
        <w:spacing w:line="360" w:lineRule="auto"/>
        <w:jc w:val="both"/>
        <w:rPr>
          <w:rFonts w:ascii="Book Antiqua" w:hAnsi="Book Antiqua"/>
        </w:rPr>
      </w:pPr>
    </w:p>
    <w:p w14:paraId="2FFD6148"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aps/>
          <w:color w:val="000000"/>
          <w:u w:val="single"/>
        </w:rPr>
        <w:t>INTRODUCTION</w:t>
      </w:r>
    </w:p>
    <w:p w14:paraId="79286F9E" w14:textId="77777777" w:rsidR="002D1B9F"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common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healthcare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musculoskeletal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disorders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514C8F" w:rsidRPr="00886C60">
        <w:rPr>
          <w:rFonts w:ascii="Book Antiqua" w:eastAsia="Book Antiqua" w:hAnsi="Book Antiqua" w:cs="Book Antiqua"/>
          <w:color w:val="000000"/>
        </w:rPr>
        <w:t>ED</w:t>
      </w:r>
      <w:r w:rsidRPr="00886C60">
        <w:rPr>
          <w:rFonts w:ascii="Book Antiqua" w:eastAsia="Book Antiqua" w:hAnsi="Book Antiqua" w:cs="Book Antiqua"/>
          <w:color w:val="000000"/>
        </w:rPr>
        <w:t>)</w:t>
      </w:r>
      <w:r w:rsidR="00514C8F" w:rsidRPr="00886C60">
        <w:rPr>
          <w:rFonts w:ascii="Book Antiqua" w:eastAsia="Book Antiqua" w:hAnsi="Book Antiqua" w:cs="Book Antiqua"/>
          <w:color w:val="000000"/>
          <w:vertAlign w:val="superscript"/>
        </w:rPr>
        <w:t>[1,2]</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prevalence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ranges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greater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80%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514C8F" w:rsidRPr="00886C60">
        <w:rPr>
          <w:rFonts w:ascii="Book Antiqua" w:eastAsia="Book Antiqua" w:hAnsi="Book Antiqua" w:cs="Book Antiqua"/>
          <w:color w:val="000000"/>
          <w:vertAlign w:val="superscript"/>
        </w:rPr>
        <w:t>[3]</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physicians,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suggest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evaluation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symptoms,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potentially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leading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overcrowding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distracting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serious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health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Pr="00886C60">
        <w:rPr>
          <w:rFonts w:ascii="Book Antiqua" w:eastAsia="Book Antiqua" w:hAnsi="Book Antiqua" w:cs="Book Antiqua"/>
          <w:color w:val="000000"/>
          <w:vertAlign w:val="superscript"/>
        </w:rPr>
        <w:t>[4,5]</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imaging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radiation,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admitted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control,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given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6–8</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p>
    <w:p w14:paraId="20F94E12" w14:textId="77777777" w:rsidR="002D1B9F"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lastRenderedPageBreak/>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inconclusive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results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efficacy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treating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worse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outcomes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6-month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follow-up.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Furthermore,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similar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efficacy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treatment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both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acute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chronic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9–12</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non-cancer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dramatically,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along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abuse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resulting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deaths</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13–16</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Davies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514C8F" w:rsidRPr="00886C60">
        <w:rPr>
          <w:rFonts w:ascii="Book Antiqua" w:eastAsia="Book Antiqua" w:hAnsi="Book Antiqua" w:cs="Book Antiqua"/>
          <w:color w:val="000000"/>
          <w:vertAlign w:val="superscript"/>
        </w:rPr>
        <w:t>[16]</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color w:val="000000"/>
        </w:rPr>
        <w:t>analyzed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January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2005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December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stratifying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revealed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85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nearly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2-fold</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American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College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Physicians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recommends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debilitating,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refractory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treatments</w:t>
      </w:r>
      <w:r w:rsidRPr="00886C60">
        <w:rPr>
          <w:rFonts w:ascii="Book Antiqua" w:eastAsia="Book Antiqua" w:hAnsi="Book Antiqua" w:cs="Book Antiqua"/>
          <w:color w:val="000000"/>
          <w:vertAlign w:val="superscript"/>
        </w:rPr>
        <w:t>[17</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Further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mandated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American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Academy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recommending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second-line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treatment</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18</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Despite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calls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regulation,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evidence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deviation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recommendations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persists.</w:t>
      </w:r>
      <w:r w:rsidR="00167F91" w:rsidRPr="00886C60">
        <w:rPr>
          <w:rFonts w:ascii="Book Antiqua" w:eastAsia="Book Antiqua" w:hAnsi="Book Antiqua" w:cs="Book Antiqua"/>
          <w:color w:val="000000"/>
        </w:rPr>
        <w:t xml:space="preserve"> </w:t>
      </w:r>
      <w:r w:rsidR="00886C60" w:rsidRPr="00886C60">
        <w:rPr>
          <w:rFonts w:ascii="Book Antiqua" w:eastAsia="Book Antiqua" w:hAnsi="Book Antiqua" w:cs="Book Antiqua"/>
          <w:color w:val="000000"/>
        </w:rPr>
        <w:t xml:space="preserve">Indeed, Hayden </w:t>
      </w:r>
      <w:r w:rsidR="00886C60" w:rsidRPr="00886C60">
        <w:rPr>
          <w:rFonts w:ascii="Book Antiqua" w:eastAsia="Book Antiqua" w:hAnsi="Book Antiqua" w:cs="Book Antiqua"/>
          <w:i/>
          <w:iCs/>
          <w:color w:val="000000"/>
        </w:rPr>
        <w:t>et al</w:t>
      </w:r>
      <w:r w:rsidR="00886C60" w:rsidRPr="00886C60">
        <w:rPr>
          <w:rFonts w:ascii="Book Antiqua" w:eastAsia="Book Antiqua" w:hAnsi="Book Antiqua" w:cs="Book Antiqua"/>
          <w:color w:val="000000"/>
          <w:vertAlign w:val="superscript"/>
        </w:rPr>
        <w:t>[19]</w:t>
      </w:r>
      <w:r w:rsidR="00886C60" w:rsidRPr="00886C60">
        <w:rPr>
          <w:rFonts w:ascii="Book Antiqua" w:eastAsia="Book Antiqua" w:hAnsi="Book Antiqua" w:cs="Book Antiqua"/>
          <w:color w:val="000000"/>
        </w:rPr>
        <w:t xml:space="preserve"> reported 5% of previously opioid-naïve patients who present to the emergency department for low back pain become prolonged opioid users.</w:t>
      </w:r>
    </w:p>
    <w:p w14:paraId="6A62017B" w14:textId="3AA32CC5" w:rsidR="00A77B3E" w:rsidRPr="00886C60"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Temporal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patterns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documented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but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combat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continuing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epidemic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Therefore,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purpose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determine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annual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p>
    <w:p w14:paraId="4CDFB33C" w14:textId="77777777" w:rsidR="00A77B3E" w:rsidRPr="00886C60" w:rsidRDefault="00A77B3E" w:rsidP="00886C60">
      <w:pPr>
        <w:adjustRightInd w:val="0"/>
        <w:snapToGrid w:val="0"/>
        <w:spacing w:line="360" w:lineRule="auto"/>
        <w:jc w:val="both"/>
        <w:rPr>
          <w:rFonts w:ascii="Book Antiqua" w:hAnsi="Book Antiqua"/>
        </w:rPr>
      </w:pPr>
    </w:p>
    <w:p w14:paraId="3CEBDFAF" w14:textId="0BCA6A81"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aps/>
          <w:color w:val="000000"/>
          <w:u w:val="single"/>
        </w:rPr>
        <w:t>MATERIALS</w:t>
      </w:r>
      <w:r w:rsidR="00167F91" w:rsidRPr="00886C60">
        <w:rPr>
          <w:rFonts w:ascii="Book Antiqua" w:eastAsia="Book Antiqua" w:hAnsi="Book Antiqua" w:cs="Book Antiqua"/>
          <w:b/>
          <w:caps/>
          <w:color w:val="000000"/>
          <w:u w:val="single"/>
        </w:rPr>
        <w:t xml:space="preserve"> </w:t>
      </w:r>
      <w:r w:rsidRPr="00886C60">
        <w:rPr>
          <w:rFonts w:ascii="Book Antiqua" w:eastAsia="Book Antiqua" w:hAnsi="Book Antiqua" w:cs="Book Antiqua"/>
          <w:b/>
          <w:caps/>
          <w:color w:val="000000"/>
          <w:u w:val="single"/>
        </w:rPr>
        <w:t>AND</w:t>
      </w:r>
      <w:r w:rsidR="00167F91" w:rsidRPr="00886C60">
        <w:rPr>
          <w:rFonts w:ascii="Book Antiqua" w:eastAsia="Book Antiqua" w:hAnsi="Book Antiqua" w:cs="Book Antiqua"/>
          <w:b/>
          <w:caps/>
          <w:color w:val="000000"/>
          <w:u w:val="single"/>
        </w:rPr>
        <w:t xml:space="preserve"> </w:t>
      </w:r>
      <w:r w:rsidRPr="00886C60">
        <w:rPr>
          <w:rFonts w:ascii="Book Antiqua" w:eastAsia="Book Antiqua" w:hAnsi="Book Antiqua" w:cs="Book Antiqua"/>
          <w:b/>
          <w:caps/>
          <w:color w:val="000000"/>
          <w:u w:val="single"/>
        </w:rPr>
        <w:t>METHODS</w:t>
      </w:r>
    </w:p>
    <w:p w14:paraId="3FF12314" w14:textId="594098D6" w:rsidR="00A77B3E" w:rsidRPr="00886C60" w:rsidRDefault="00642AB2" w:rsidP="00886C60">
      <w:pPr>
        <w:adjustRightInd w:val="0"/>
        <w:snapToGrid w:val="0"/>
        <w:spacing w:line="360" w:lineRule="auto"/>
        <w:jc w:val="both"/>
        <w:rPr>
          <w:rFonts w:ascii="Book Antiqua" w:hAnsi="Book Antiqua"/>
          <w:b/>
          <w:bCs/>
        </w:rPr>
      </w:pPr>
      <w:r w:rsidRPr="00886C60">
        <w:rPr>
          <w:rFonts w:ascii="Book Antiqua" w:eastAsia="Book Antiqua" w:hAnsi="Book Antiqua" w:cs="Book Antiqua"/>
          <w:b/>
          <w:bCs/>
          <w:i/>
          <w:iCs/>
          <w:color w:val="000000"/>
        </w:rPr>
        <w:t>Database</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and</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Patient</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Selection</w:t>
      </w:r>
    </w:p>
    <w:p w14:paraId="361D808A" w14:textId="77777777" w:rsidR="002D1B9F"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retrospective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National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reviewed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publicly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available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designed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collect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services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lastRenderedPageBreak/>
        <w:t>obtained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sample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non-federally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employed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office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physicians.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2012,</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relied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paper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instruments;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switched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computerized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collection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2012.</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Each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physician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randomly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assigned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one-week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reporting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period.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period,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systematic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random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sample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recorded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United States </w:t>
      </w:r>
      <w:r w:rsidRPr="00886C60">
        <w:rPr>
          <w:rFonts w:ascii="Book Antiqua" w:eastAsia="Book Antiqua" w:hAnsi="Book Antiqua" w:cs="Book Antiqua"/>
          <w:color w:val="000000"/>
        </w:rPr>
        <w:t>Census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interviewers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computerized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Record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four-stage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probability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design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samples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sampling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(PSUs),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PSUs,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clinics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service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clinics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service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details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cdc.gov.</w:t>
      </w:r>
      <w:r w:rsidR="00167F91" w:rsidRPr="00886C60">
        <w:rPr>
          <w:rFonts w:ascii="Book Antiqua" w:eastAsia="Book Antiqua" w:hAnsi="Book Antiqua" w:cs="Book Antiqua"/>
          <w:color w:val="000000"/>
        </w:rPr>
        <w:t xml:space="preserve"> </w:t>
      </w:r>
    </w:p>
    <w:p w14:paraId="1F3D4FA0" w14:textId="5FBB78FE" w:rsidR="00A77B3E" w:rsidRPr="00886C60"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aforementioned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settings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captured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identified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codes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chief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symptoms”;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soreness,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discomfort“;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cramps,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contractures,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spasms”;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soreness,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discomfort”;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cramps,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contractures,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spasms”.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admitted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stay.</w:t>
      </w:r>
      <w:r w:rsidR="00167F91" w:rsidRPr="00886C60">
        <w:rPr>
          <w:rFonts w:ascii="Book Antiqua" w:eastAsia="Book Antiqua" w:hAnsi="Book Antiqua" w:cs="Book Antiqua"/>
          <w:color w:val="000000"/>
        </w:rPr>
        <w:t xml:space="preserve"> </w:t>
      </w:r>
    </w:p>
    <w:p w14:paraId="0E246DF1" w14:textId="77777777" w:rsidR="00A77B3E" w:rsidRPr="00886C60" w:rsidRDefault="00A77B3E" w:rsidP="00886C60">
      <w:pPr>
        <w:adjustRightInd w:val="0"/>
        <w:snapToGrid w:val="0"/>
        <w:spacing w:line="360" w:lineRule="auto"/>
        <w:jc w:val="both"/>
        <w:rPr>
          <w:rFonts w:ascii="Book Antiqua" w:hAnsi="Book Antiqua"/>
        </w:rPr>
      </w:pPr>
    </w:p>
    <w:p w14:paraId="269A6E99" w14:textId="6BD2E057" w:rsidR="00A77B3E" w:rsidRPr="00886C60" w:rsidRDefault="00642AB2" w:rsidP="00886C60">
      <w:pPr>
        <w:adjustRightInd w:val="0"/>
        <w:snapToGrid w:val="0"/>
        <w:spacing w:line="360" w:lineRule="auto"/>
        <w:jc w:val="both"/>
        <w:rPr>
          <w:rFonts w:ascii="Book Antiqua" w:hAnsi="Book Antiqua"/>
          <w:b/>
          <w:bCs/>
        </w:rPr>
      </w:pPr>
      <w:r w:rsidRPr="00886C60">
        <w:rPr>
          <w:rFonts w:ascii="Book Antiqua" w:eastAsia="Book Antiqua" w:hAnsi="Book Antiqua" w:cs="Book Antiqua"/>
          <w:b/>
          <w:bCs/>
          <w:i/>
          <w:iCs/>
          <w:color w:val="000000"/>
        </w:rPr>
        <w:t>Statistical</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analysis</w:t>
      </w:r>
    </w:p>
    <w:p w14:paraId="0D91B854" w14:textId="65EE117F"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weighted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conducted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weighted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generate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incidence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estimates.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chi-square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performed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differences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count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transformed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two-year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intervals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recommendations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Center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Prevention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Control</w:t>
      </w:r>
      <w:r w:rsidRPr="00886C60">
        <w:rPr>
          <w:rFonts w:ascii="Book Antiqua" w:eastAsia="Book Antiqua" w:hAnsi="Book Antiqua" w:cs="Book Antiqua"/>
          <w:color w:val="000000"/>
          <w:vertAlign w:val="superscript"/>
        </w:rPr>
        <w:t>[20</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Logistic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regression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conducted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Group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entered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logistic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regression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model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removed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group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level’s</w:t>
      </w:r>
      <w:r w:rsidR="00167F91" w:rsidRPr="00886C60">
        <w:rPr>
          <w:rFonts w:ascii="Book Antiqua" w:eastAsia="Book Antiqua" w:hAnsi="Book Antiqua" w:cs="Book Antiqua"/>
          <w:color w:val="000000"/>
        </w:rPr>
        <w:t xml:space="preserve"> </w:t>
      </w:r>
      <w:r w:rsidR="00167F91" w:rsidRPr="00886C60">
        <w:rPr>
          <w:rFonts w:ascii="Book Antiqua" w:eastAsia="Book Antiqua" w:hAnsi="Book Antiqua" w:cs="Book Antiqua"/>
          <w:i/>
          <w:iCs/>
          <w:color w:val="000000"/>
        </w:rPr>
        <w:t>P</w:t>
      </w:r>
      <w:r w:rsidRPr="00886C60">
        <w:rPr>
          <w:rFonts w:ascii="Book Antiqua" w:eastAsia="Book Antiqua" w:hAnsi="Book Antiqua" w:cs="Book Antiqua"/>
          <w:color w:val="000000"/>
        </w:rPr>
        <w:t>-value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exceeded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discretized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categories: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“moderate”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00167F91" w:rsidRPr="00886C60">
        <w:rPr>
          <w:rFonts w:ascii="Book Antiqua" w:eastAsia="Book Antiqua" w:hAnsi="Book Antiqua" w:cs="Book Antiqua"/>
          <w:i/>
          <w:iCs/>
          <w:color w:val="000000"/>
        </w:rPr>
        <w:t>P</w:t>
      </w:r>
      <w:r w:rsidRPr="00886C60">
        <w:rPr>
          <w:rFonts w:ascii="Book Antiqua" w:eastAsia="Book Antiqua" w:hAnsi="Book Antiqua" w:cs="Book Antiqua"/>
          <w:color w:val="000000"/>
        </w:rPr>
        <w:t>-value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threshold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statistical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statistical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conducted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statistical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software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(Vienna,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Austria).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package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analyze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p>
    <w:p w14:paraId="2A5932B4" w14:textId="77777777" w:rsidR="00A77B3E" w:rsidRPr="00886C60" w:rsidRDefault="00A77B3E" w:rsidP="00886C60">
      <w:pPr>
        <w:adjustRightInd w:val="0"/>
        <w:snapToGrid w:val="0"/>
        <w:spacing w:line="360" w:lineRule="auto"/>
        <w:jc w:val="both"/>
        <w:rPr>
          <w:rFonts w:ascii="Book Antiqua" w:hAnsi="Book Antiqua"/>
        </w:rPr>
      </w:pPr>
    </w:p>
    <w:p w14:paraId="3AFAE21B"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aps/>
          <w:color w:val="000000"/>
          <w:u w:val="single"/>
        </w:rPr>
        <w:t>RESULTS</w:t>
      </w:r>
    </w:p>
    <w:p w14:paraId="45C100EC" w14:textId="29B27648" w:rsidR="00A77B3E" w:rsidRPr="00886C60" w:rsidRDefault="00642AB2" w:rsidP="00886C60">
      <w:pPr>
        <w:adjustRightInd w:val="0"/>
        <w:snapToGrid w:val="0"/>
        <w:spacing w:line="360" w:lineRule="auto"/>
        <w:jc w:val="both"/>
        <w:rPr>
          <w:rFonts w:ascii="Book Antiqua" w:hAnsi="Book Antiqua"/>
          <w:b/>
          <w:bCs/>
        </w:rPr>
      </w:pPr>
      <w:r w:rsidRPr="00886C60">
        <w:rPr>
          <w:rFonts w:ascii="Book Antiqua" w:eastAsia="Book Antiqua" w:hAnsi="Book Antiqua" w:cs="Book Antiqua"/>
          <w:b/>
          <w:bCs/>
          <w:i/>
          <w:iCs/>
          <w:color w:val="000000"/>
        </w:rPr>
        <w:t>Trends</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in</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presentation</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to</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the</w:t>
      </w:r>
      <w:r w:rsidR="00167F91" w:rsidRPr="00886C60">
        <w:rPr>
          <w:rFonts w:ascii="Book Antiqua" w:eastAsia="Book Antiqua" w:hAnsi="Book Antiqua" w:cs="Book Antiqua"/>
          <w:b/>
          <w:bCs/>
          <w:i/>
          <w:iCs/>
          <w:color w:val="000000"/>
        </w:rPr>
        <w:t xml:space="preserve"> </w:t>
      </w:r>
      <w:r w:rsidR="00514C8F" w:rsidRPr="00886C60">
        <w:rPr>
          <w:rFonts w:ascii="Book Antiqua" w:eastAsia="Book Antiqua" w:hAnsi="Book Antiqua" w:cs="Book Antiqua"/>
          <w:b/>
          <w:bCs/>
          <w:i/>
          <w:iCs/>
          <w:color w:val="000000"/>
        </w:rPr>
        <w:t>ED</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for</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non-emergent</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back</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pain</w:t>
      </w:r>
    </w:p>
    <w:p w14:paraId="184D32C8" w14:textId="4FAAEE01" w:rsidR="00A77B3E" w:rsidRPr="00886C60" w:rsidRDefault="00642AB2" w:rsidP="00886C60">
      <w:pPr>
        <w:adjustRightInd w:val="0"/>
        <w:snapToGrid w:val="0"/>
        <w:spacing w:line="360" w:lineRule="auto"/>
        <w:jc w:val="both"/>
        <w:rPr>
          <w:rFonts w:ascii="Book Antiqua" w:eastAsia="Book Antiqua" w:hAnsi="Book Antiqua" w:cs="Book Antiqua"/>
          <w:color w:val="000000"/>
        </w:rPr>
      </w:pPr>
      <w:r w:rsidRPr="00886C60">
        <w:rPr>
          <w:rFonts w:ascii="Book Antiqua" w:eastAsia="Book Antiqua" w:hAnsi="Book Antiqua" w:cs="Book Antiqua"/>
          <w:color w:val="000000"/>
        </w:rPr>
        <w:t>After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implementation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exclusion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criteria,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group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7726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41658475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confidence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interval</w:t>
      </w:r>
      <w:r w:rsidR="00167F91" w:rsidRPr="00886C60">
        <w:rPr>
          <w:rFonts w:ascii="Book Antiqua" w:eastAsia="Book Antiqua" w:hAnsi="Book Antiqua" w:cs="Book Antiqua"/>
          <w:color w:val="000000"/>
        </w:rPr>
        <w:t xml:space="preserve"> (CI)</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34317928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48999021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3.65%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3.99%).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4.05%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3.81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3.56%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3.21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3.91)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(Figure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w:t>
      </w:r>
      <w:r w:rsidR="00167F91" w:rsidRPr="00886C60">
        <w:rPr>
          <w:rFonts w:ascii="Book Antiqua" w:eastAsia="Book Antiqua" w:hAnsi="Book Antiqua" w:cs="Book Antiqua"/>
          <w:color w:val="000000"/>
        </w:rPr>
        <w:t xml:space="preserve"> </w:t>
      </w:r>
    </w:p>
    <w:p w14:paraId="6B79778C" w14:textId="77777777" w:rsidR="00167F91" w:rsidRPr="00886C60" w:rsidRDefault="00167F91" w:rsidP="00886C60">
      <w:pPr>
        <w:adjustRightInd w:val="0"/>
        <w:snapToGrid w:val="0"/>
        <w:spacing w:line="360" w:lineRule="auto"/>
        <w:jc w:val="both"/>
        <w:rPr>
          <w:rFonts w:ascii="Book Antiqua" w:hAnsi="Book Antiqua"/>
        </w:rPr>
      </w:pPr>
    </w:p>
    <w:p w14:paraId="64A1DC59" w14:textId="3F6B8201" w:rsidR="00A77B3E" w:rsidRPr="00886C60" w:rsidRDefault="00642AB2" w:rsidP="00886C60">
      <w:pPr>
        <w:adjustRightInd w:val="0"/>
        <w:snapToGrid w:val="0"/>
        <w:spacing w:line="360" w:lineRule="auto"/>
        <w:jc w:val="both"/>
        <w:rPr>
          <w:rFonts w:ascii="Book Antiqua" w:hAnsi="Book Antiqua"/>
          <w:b/>
          <w:bCs/>
        </w:rPr>
      </w:pPr>
      <w:r w:rsidRPr="00886C60">
        <w:rPr>
          <w:rFonts w:ascii="Book Antiqua" w:eastAsia="Book Antiqua" w:hAnsi="Book Antiqua" w:cs="Book Antiqua"/>
          <w:b/>
          <w:bCs/>
          <w:i/>
          <w:iCs/>
          <w:color w:val="000000"/>
        </w:rPr>
        <w:t>Incidence</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of</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opioid</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prescription</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at</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discharge</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for</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non-emergent</w:t>
      </w:r>
      <w:r w:rsidR="00167F91" w:rsidRPr="00886C60">
        <w:rPr>
          <w:rFonts w:ascii="Book Antiqua" w:eastAsia="Book Antiqua" w:hAnsi="Book Antiqua" w:cs="Book Antiqua"/>
          <w:b/>
          <w:bCs/>
          <w:i/>
          <w:iCs/>
          <w:color w:val="000000"/>
        </w:rPr>
        <w:t xml:space="preserve"> </w:t>
      </w:r>
      <w:r w:rsidR="00514C8F" w:rsidRPr="00886C60">
        <w:rPr>
          <w:rFonts w:ascii="Book Antiqua" w:eastAsia="Book Antiqua" w:hAnsi="Book Antiqua" w:cs="Book Antiqua"/>
          <w:b/>
          <w:bCs/>
          <w:i/>
          <w:iCs/>
          <w:color w:val="000000"/>
        </w:rPr>
        <w:t>LBP</w:t>
      </w:r>
    </w:p>
    <w:p w14:paraId="6EC2B6F8" w14:textId="77777777" w:rsidR="002D1B9F" w:rsidRDefault="00167F91"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 xml:space="preserve">Fifty-two percent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all</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cases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that</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presented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for</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non-emergent</w:t>
      </w:r>
      <w:r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LBP</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were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prescribed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opioid-based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medication</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between</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2010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2017</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(95%CI:</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49.9%</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54.0%).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However,</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rates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opioid-based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prescriptions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decreased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between</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period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2010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2011</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(55.9%;</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95%CI:</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52.9%</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58.9%)</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period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2016</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2017</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(45.0%;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95%CI:</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39.86%</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50.22%)</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(Figure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2).</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most</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common</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prescribed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included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hydrocodone-based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medications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(49.1%</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all</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prescribed;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95%CI:</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46.3%</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52.0%)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and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tramadol-based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medications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(16.9%</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all</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prescribed;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95%CI:</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14.8%</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19.0%),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with</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the</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combination</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all</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other</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types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contributing</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35.7%</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(95%</w:t>
      </w:r>
      <w:r w:rsidRPr="00886C60">
        <w:rPr>
          <w:rFonts w:ascii="Book Antiqua" w:eastAsia="Book Antiqua" w:hAnsi="Book Antiqua" w:cs="Book Antiqua"/>
          <w:color w:val="000000"/>
        </w:rPr>
        <w:t xml:space="preserve">CI: </w:t>
      </w:r>
      <w:r w:rsidR="00642AB2" w:rsidRPr="00886C60">
        <w:rPr>
          <w:rFonts w:ascii="Book Antiqua" w:eastAsia="Book Antiqua" w:hAnsi="Book Antiqua" w:cs="Book Antiqua"/>
          <w:color w:val="000000"/>
        </w:rPr>
        <w:t>32.6%</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39.0%)</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of</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total</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opioids</w:t>
      </w:r>
      <w:r w:rsidRPr="00886C60">
        <w:rPr>
          <w:rFonts w:ascii="Book Antiqua" w:eastAsia="Book Antiqua" w:hAnsi="Book Antiqua" w:cs="Book Antiqua"/>
          <w:color w:val="000000"/>
        </w:rPr>
        <w:t xml:space="preserve"> </w:t>
      </w:r>
      <w:r w:rsidR="00642AB2" w:rsidRPr="00886C60">
        <w:rPr>
          <w:rFonts w:ascii="Book Antiqua" w:eastAsia="Book Antiqua" w:hAnsi="Book Antiqua" w:cs="Book Antiqua"/>
          <w:color w:val="000000"/>
        </w:rPr>
        <w:t>prescribed.</w:t>
      </w:r>
      <w:r w:rsidRPr="00886C60">
        <w:rPr>
          <w:rFonts w:ascii="Book Antiqua" w:eastAsia="Book Antiqua" w:hAnsi="Book Antiqua" w:cs="Book Antiqua"/>
          <w:color w:val="000000"/>
        </w:rPr>
        <w:t xml:space="preserve"> </w:t>
      </w:r>
    </w:p>
    <w:p w14:paraId="022F1C80" w14:textId="008AFAC3" w:rsidR="00A77B3E" w:rsidRPr="00886C60"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Trend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revealed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hydrocodone-based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period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(28.0%;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25.3%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30.7%)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period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(19.3%;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15.6%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23.1%).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change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tramadol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types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(Figure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w:t>
      </w:r>
      <w:r w:rsidR="00167F91" w:rsidRPr="00886C60">
        <w:rPr>
          <w:rFonts w:ascii="Book Antiqua" w:eastAsia="Book Antiqua" w:hAnsi="Book Antiqua" w:cs="Book Antiqua"/>
          <w:color w:val="000000"/>
        </w:rPr>
        <w:t xml:space="preserve"> </w:t>
      </w:r>
    </w:p>
    <w:p w14:paraId="6464FB18" w14:textId="77777777" w:rsidR="00A77B3E" w:rsidRPr="00886C60" w:rsidRDefault="00A77B3E" w:rsidP="00886C60">
      <w:pPr>
        <w:adjustRightInd w:val="0"/>
        <w:snapToGrid w:val="0"/>
        <w:spacing w:line="360" w:lineRule="auto"/>
        <w:jc w:val="both"/>
        <w:rPr>
          <w:rFonts w:ascii="Book Antiqua" w:hAnsi="Book Antiqua"/>
        </w:rPr>
      </w:pPr>
    </w:p>
    <w:p w14:paraId="1101A216" w14:textId="77136235" w:rsidR="00A77B3E" w:rsidRPr="00886C60" w:rsidRDefault="00642AB2" w:rsidP="00886C60">
      <w:pPr>
        <w:adjustRightInd w:val="0"/>
        <w:snapToGrid w:val="0"/>
        <w:spacing w:line="360" w:lineRule="auto"/>
        <w:jc w:val="both"/>
        <w:rPr>
          <w:rFonts w:ascii="Book Antiqua" w:hAnsi="Book Antiqua"/>
          <w:b/>
          <w:bCs/>
        </w:rPr>
      </w:pPr>
      <w:r w:rsidRPr="00886C60">
        <w:rPr>
          <w:rFonts w:ascii="Book Antiqua" w:eastAsia="Book Antiqua" w:hAnsi="Book Antiqua" w:cs="Book Antiqua"/>
          <w:b/>
          <w:bCs/>
          <w:i/>
          <w:iCs/>
          <w:color w:val="000000"/>
        </w:rPr>
        <w:t>Factors</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associated</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with</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opioid</w:t>
      </w:r>
      <w:r w:rsidR="00167F91" w:rsidRPr="00886C60">
        <w:rPr>
          <w:rFonts w:ascii="Book Antiqua" w:eastAsia="Book Antiqua" w:hAnsi="Book Antiqua" w:cs="Book Antiqua"/>
          <w:b/>
          <w:bCs/>
          <w:i/>
          <w:iCs/>
          <w:color w:val="000000"/>
        </w:rPr>
        <w:t xml:space="preserve"> </w:t>
      </w:r>
      <w:r w:rsidRPr="00886C60">
        <w:rPr>
          <w:rFonts w:ascii="Book Antiqua" w:eastAsia="Book Antiqua" w:hAnsi="Book Antiqua" w:cs="Book Antiqua"/>
          <w:b/>
          <w:bCs/>
          <w:i/>
          <w:iCs/>
          <w:color w:val="000000"/>
        </w:rPr>
        <w:t>prescriptions</w:t>
      </w:r>
    </w:p>
    <w:p w14:paraId="06B3F2B9" w14:textId="7C111144"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Estimated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household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quartile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32793</w:t>
      </w:r>
      <w:r w:rsidR="00167F91" w:rsidRPr="00886C60">
        <w:rPr>
          <w:rFonts w:ascii="Book Antiqua" w:eastAsia="Book Antiqua" w:hAnsi="Book Antiqua" w:cs="Book Antiqua"/>
          <w:color w:val="000000"/>
        </w:rPr>
        <w:t xml:space="preserve"> dollars </w:t>
      </w:r>
      <w:r w:rsidRPr="00886C60">
        <w:rPr>
          <w:rFonts w:ascii="Book Antiqua" w:eastAsia="Book Antiqua" w:hAnsi="Book Antiqua" w:cs="Book Antiqua"/>
          <w:color w:val="000000"/>
        </w:rPr>
        <w:t>annually),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belonging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third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quartile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(40627</w:t>
      </w:r>
      <w:r w:rsidR="00167F91" w:rsidRPr="00886C60">
        <w:rPr>
          <w:rFonts w:ascii="Book Antiqua" w:eastAsia="Book Antiqua" w:hAnsi="Book Antiqua" w:cs="Book Antiqua"/>
          <w:color w:val="000000"/>
        </w:rPr>
        <w:t xml:space="preserve"> dollars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52387</w:t>
      </w:r>
      <w:r w:rsidR="00167F91" w:rsidRPr="00886C60">
        <w:rPr>
          <w:rFonts w:ascii="Book Antiqua" w:eastAsia="Book Antiqua" w:hAnsi="Book Antiqua" w:cs="Book Antiqua"/>
          <w:color w:val="000000"/>
        </w:rPr>
        <w:t xml:space="preserve"> </w:t>
      </w:r>
      <w:r w:rsidR="00167F91" w:rsidRPr="00886C60">
        <w:rPr>
          <w:rFonts w:ascii="Book Antiqua" w:eastAsia="Book Antiqua" w:hAnsi="Book Antiqua" w:cs="Book Antiqua"/>
          <w:color w:val="000000"/>
        </w:rPr>
        <w:lastRenderedPageBreak/>
        <w:t xml:space="preserve">dollars </w:t>
      </w:r>
      <w:r w:rsidRPr="00886C60">
        <w:rPr>
          <w:rFonts w:ascii="Book Antiqua" w:eastAsia="Book Antiqua" w:hAnsi="Book Antiqua" w:cs="Book Antiqua"/>
          <w:color w:val="000000"/>
        </w:rPr>
        <w:t>annually)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odds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[odds</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ratio</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(OR)</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1.35;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1.13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1.61;</w:t>
      </w:r>
      <w:r w:rsidR="00167F91" w:rsidRPr="00886C60">
        <w:rPr>
          <w:rFonts w:ascii="Book Antiqua" w:eastAsia="Book Antiqua" w:hAnsi="Book Antiqua" w:cs="Book Antiqua"/>
          <w:color w:val="000000"/>
        </w:rPr>
        <w:t xml:space="preserve"> </w:t>
      </w:r>
      <w:r w:rsidR="00167F91" w:rsidRPr="00886C60">
        <w:rPr>
          <w:rFonts w:ascii="Book Antiqua" w:eastAsia="Book Antiqua" w:hAnsi="Book Antiqua" w:cs="Book Antiqua"/>
          <w:i/>
          <w:iCs/>
          <w:color w:val="000000"/>
        </w:rPr>
        <w:t>P</w:t>
      </w:r>
      <w:r w:rsidR="00167F91" w:rsidRPr="00886C60">
        <w:rPr>
          <w:rFonts w:ascii="Book Antiqua" w:eastAsia="Book Antiqua" w:hAnsi="Book Antiqua" w:cs="Book Antiqua"/>
          <w:color w:val="000000"/>
        </w:rPr>
        <w:t xml:space="preserve"> ≤</w:t>
      </w:r>
      <w:r w:rsidR="00167F91" w:rsidRPr="00886C60">
        <w:rPr>
          <w:rFonts w:ascii="Book Antiqua" w:hAnsi="Book Antiqua" w:cs="Book Antiqua"/>
          <w:color w:val="000000"/>
          <w:lang w:eastAsia="zh-CN"/>
        </w:rPr>
        <w:t xml:space="preserve"> </w:t>
      </w:r>
      <w:r w:rsidRPr="00886C60">
        <w:rPr>
          <w:rFonts w:ascii="Book Antiqua" w:eastAsia="Book Antiqua" w:hAnsi="Book Antiqua" w:cs="Book Antiqua"/>
          <w:color w:val="000000"/>
        </w:rPr>
        <w:t>0.001</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1.29;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1.58;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0.018)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self-payers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1.25;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1.56;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0.048)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odds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radiographic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images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obtained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1.47;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1.30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1.66;</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i/>
          <w:color w:val="000000"/>
        </w:rPr>
        <w:t>P</w:t>
      </w:r>
      <w:r w:rsidR="00167F91" w:rsidRPr="00886C60">
        <w:rPr>
          <w:rFonts w:ascii="Book Antiqua" w:eastAsia="Book Antiqua" w:hAnsi="Book Antiqua" w:cs="Book Antiqua"/>
          <w:i/>
          <w:color w:val="000000"/>
        </w:rPr>
        <w:t xml:space="preserve"> </w:t>
      </w:r>
      <w:r w:rsidR="00514C8F" w:rsidRPr="00886C60">
        <w:rPr>
          <w:rFonts w:ascii="Book Antiqua" w:eastAsia="Book Antiqua" w:hAnsi="Book Antiqua" w:cs="Book Antiqua"/>
          <w:i/>
          <w:color w:val="000000"/>
        </w:rPr>
        <w:t>&lt;</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greater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43.94-years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reported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2.14;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1.63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2.81;</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i/>
          <w:color w:val="000000"/>
        </w:rPr>
        <w:t>P</w:t>
      </w:r>
      <w:r w:rsidR="00167F91" w:rsidRPr="00886C60">
        <w:rPr>
          <w:rFonts w:ascii="Book Antiqua" w:eastAsia="Book Antiqua" w:hAnsi="Book Antiqua" w:cs="Book Antiqua"/>
          <w:i/>
          <w:color w:val="000000"/>
        </w:rPr>
        <w:t xml:space="preserve"> </w:t>
      </w:r>
      <w:r w:rsidR="00514C8F" w:rsidRPr="00886C60">
        <w:rPr>
          <w:rFonts w:ascii="Book Antiqua" w:eastAsia="Book Antiqua" w:hAnsi="Book Antiqua" w:cs="Book Antiqua"/>
          <w:i/>
          <w:color w:val="000000"/>
        </w:rPr>
        <w:t>&lt;</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also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located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Midwest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2.42;</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1.94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3.01;</w:t>
      </w:r>
      <w:r w:rsidR="00167F91" w:rsidRPr="00886C60">
        <w:rPr>
          <w:rFonts w:ascii="Book Antiqua" w:eastAsia="Book Antiqua" w:hAnsi="Book Antiqua" w:cs="Book Antiqua"/>
          <w:color w:val="000000"/>
        </w:rPr>
        <w:t xml:space="preserve"> </w:t>
      </w:r>
      <w:r w:rsidR="00167F91" w:rsidRPr="00886C60">
        <w:rPr>
          <w:rFonts w:ascii="Book Antiqua" w:eastAsia="Book Antiqua" w:hAnsi="Book Antiqua" w:cs="Book Antiqua"/>
          <w:i/>
          <w:iCs/>
          <w:color w:val="000000"/>
        </w:rPr>
        <w:t xml:space="preserve">P </w:t>
      </w:r>
      <w:r w:rsidRPr="00886C60">
        <w:rPr>
          <w:rFonts w:ascii="Book Antiqua" w:eastAsia="Book Antiqua" w:hAnsi="Book Antiqua" w:cs="Book Antiqua"/>
          <w:color w:val="000000"/>
        </w:rPr>
        <w:t>&lt;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South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2.35;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1.91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2.88;</w:t>
      </w:r>
      <w:r w:rsidR="00167F91" w:rsidRPr="00886C60">
        <w:rPr>
          <w:rFonts w:ascii="Book Antiqua" w:eastAsia="Book Antiqua" w:hAnsi="Book Antiqua" w:cs="Book Antiqua"/>
          <w:color w:val="000000"/>
        </w:rPr>
        <w:t xml:space="preserve"> </w:t>
      </w:r>
      <w:r w:rsidR="00167F91" w:rsidRPr="00886C60">
        <w:rPr>
          <w:rFonts w:ascii="Book Antiqua" w:eastAsia="Book Antiqua" w:hAnsi="Book Antiqua" w:cs="Book Antiqua"/>
          <w:i/>
          <w:iCs/>
          <w:color w:val="000000"/>
        </w:rPr>
        <w:t>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2.57;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95%CI: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1.94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3.42;</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i/>
          <w:color w:val="000000"/>
        </w:rPr>
        <w:t>P</w:t>
      </w:r>
      <w:r w:rsidR="00167F91" w:rsidRPr="00886C60">
        <w:rPr>
          <w:rFonts w:ascii="Book Antiqua" w:eastAsia="Book Antiqua" w:hAnsi="Book Antiqua" w:cs="Book Antiqua"/>
          <w:i/>
          <w:color w:val="000000"/>
        </w:rPr>
        <w:t xml:space="preserve"> </w:t>
      </w:r>
      <w:r w:rsidR="00514C8F" w:rsidRPr="00886C60">
        <w:rPr>
          <w:rFonts w:ascii="Book Antiqua" w:eastAsia="Book Antiqua" w:hAnsi="Book Antiqua" w:cs="Book Antiqua"/>
          <w:i/>
          <w:color w:val="000000"/>
        </w:rPr>
        <w:t>&lt;</w:t>
      </w:r>
      <w:r w:rsidR="00167F91" w:rsidRPr="00886C60">
        <w:rPr>
          <w:rFonts w:ascii="Book Antiqua" w:eastAsia="Book Antiqua" w:hAnsi="Book Antiqua" w:cs="Book Antiqua"/>
          <w:i/>
          <w:color w:val="000000"/>
        </w:rPr>
        <w:t xml:space="preserve"> </w:t>
      </w:r>
      <w:r w:rsidRPr="00886C60">
        <w:rPr>
          <w:rFonts w:ascii="Book Antiqua" w:eastAsia="Book Antiqua" w:hAnsi="Book Antiqua" w:cs="Book Antiqua"/>
          <w:color w:val="000000"/>
        </w:rPr>
        <w:t>0.001)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yielded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greater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odds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Northeast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region.</w:t>
      </w:r>
      <w:r w:rsidR="00167F91" w:rsidRPr="00886C60">
        <w:rPr>
          <w:rFonts w:ascii="Book Antiqua" w:eastAsia="Book Antiqua" w:hAnsi="Book Antiqua" w:cs="Book Antiqua"/>
          <w:color w:val="000000"/>
        </w:rPr>
        <w:t xml:space="preserve"> </w:t>
      </w:r>
    </w:p>
    <w:p w14:paraId="407356AF" w14:textId="77777777" w:rsidR="00A77B3E" w:rsidRPr="00886C60" w:rsidRDefault="00A77B3E" w:rsidP="00886C60">
      <w:pPr>
        <w:adjustRightInd w:val="0"/>
        <w:snapToGrid w:val="0"/>
        <w:spacing w:line="360" w:lineRule="auto"/>
        <w:jc w:val="both"/>
        <w:rPr>
          <w:rFonts w:ascii="Book Antiqua" w:hAnsi="Book Antiqua"/>
        </w:rPr>
      </w:pPr>
    </w:p>
    <w:p w14:paraId="23D14940"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aps/>
          <w:color w:val="000000"/>
          <w:u w:val="single"/>
        </w:rPr>
        <w:t>DISCUSSION</w:t>
      </w:r>
    </w:p>
    <w:p w14:paraId="17F320A1" w14:textId="77777777" w:rsidR="002D1B9F"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While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gradually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paucity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literature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evaluating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specifically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21</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reports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number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Furthermore,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independent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43.84-years-old,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obtainment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radiographic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imaging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p>
    <w:p w14:paraId="6DDD06B2" w14:textId="77777777" w:rsidR="002D1B9F"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consistent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previous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literature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demonstrating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22–25</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Marra</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[22]</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color w:val="000000"/>
        </w:rPr>
        <w:t>analyzed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information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2005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causes,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32%</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duration</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22</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common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reasons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major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lastRenderedPageBreak/>
        <w:t>limitation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Marra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[22]</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grouping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causes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single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cohort.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representative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general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similar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time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interval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established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Marra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[22]</w:t>
      </w:r>
      <w:r w:rsidR="00025E6E"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needed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granularity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terms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specifically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population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p>
    <w:p w14:paraId="7D192E2D" w14:textId="77777777" w:rsidR="002D1B9F"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elderly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individuals,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prevalence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ranging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75%,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direct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correlation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Pr="00886C60">
        <w:rPr>
          <w:rFonts w:ascii="Book Antiqua" w:eastAsia="Book Antiqua" w:hAnsi="Book Antiqua" w:cs="Book Antiqua"/>
          <w:color w:val="000000"/>
          <w:vertAlign w:val="superscript"/>
        </w:rPr>
        <w:t>[26]</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suggest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independent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following</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perhaps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individuals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known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correlated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particularly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relative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common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causes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following</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secondary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trauma</w:t>
      </w:r>
      <w:r w:rsidRPr="00886C60">
        <w:rPr>
          <w:rFonts w:ascii="Book Antiqua" w:eastAsia="Book Antiqua" w:hAnsi="Book Antiqua" w:cs="Book Antiqua"/>
          <w:color w:val="000000"/>
          <w:vertAlign w:val="superscript"/>
        </w:rPr>
        <w:t>[27,28]</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contributed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p>
    <w:p w14:paraId="609A7A7B" w14:textId="77777777" w:rsidR="002D1B9F"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particular,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43.84-years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independent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direct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relationship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demonstrated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chief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instance,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Ward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 xml:space="preserve">[24] </w:t>
      </w:r>
      <w:r w:rsidRPr="00886C60">
        <w:rPr>
          <w:rFonts w:ascii="Book Antiqua" w:eastAsia="Book Antiqua" w:hAnsi="Book Antiqua" w:cs="Book Antiqua"/>
          <w:color w:val="000000"/>
        </w:rPr>
        <w:t>utilized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Intelligence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aggregating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electronic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health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record</w:t>
      </w:r>
      <w:r w:rsidR="00025E6E"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Pr="00886C60">
        <w:rPr>
          <w:rFonts w:ascii="Book Antiqua" w:eastAsia="Book Antiqua" w:hAnsi="Book Antiqua" w:cs="Book Antiqua"/>
          <w:color w:val="000000"/>
        </w:rPr>
        <w: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January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direct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relationship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adjusted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odds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ratio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025E6E"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54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lastly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1.02)</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24</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Ward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[24]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attempted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account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chief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categorization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approach,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authors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acknowledged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remaining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heterogeneity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terms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chief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dataset.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comparison,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lastRenderedPageBreak/>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chief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complaints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entirely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homogenous,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contributed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direct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correlation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p>
    <w:p w14:paraId="71C7BF6F" w14:textId="77777777" w:rsidR="002D1B9F"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respect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Ali</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[29]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reported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potentially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problematic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Problematic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defined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match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protocol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established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previous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literature</w:t>
      </w:r>
      <w:r w:rsidRPr="00886C60">
        <w:rPr>
          <w:rFonts w:ascii="Book Antiqua" w:eastAsia="Book Antiqua" w:hAnsi="Book Antiqua" w:cs="Book Antiqua"/>
          <w:color w:val="000000"/>
          <w:vertAlign w:val="superscript"/>
        </w:rPr>
        <w:t>[29]</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Although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address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problematic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self-payers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p>
    <w:p w14:paraId="19A64AC4" w14:textId="09F0B120" w:rsidR="00A77B3E" w:rsidRPr="00886C60" w:rsidRDefault="00642AB2" w:rsidP="002D1B9F">
      <w:pPr>
        <w:adjustRightInd w:val="0"/>
        <w:snapToGrid w:val="0"/>
        <w:spacing w:line="360" w:lineRule="auto"/>
        <w:ind w:firstLineChars="100" w:firstLine="240"/>
        <w:jc w:val="both"/>
        <w:rPr>
          <w:rFonts w:ascii="Book Antiqua" w:hAnsi="Book Antiqua"/>
        </w:rPr>
      </w:pP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terms,</w:t>
      </w:r>
      <w:r w:rsidR="00025E6E"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population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specifically,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Janakiram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[25]</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color w:val="000000"/>
        </w:rPr>
        <w:t>performed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multistate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Truven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Marketscan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2013</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general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practitioner,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(14%)</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third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leading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Implementation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authorization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plans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plans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minimize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opioid-related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morbidity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cohort,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but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also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discourage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initiation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long-acting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therapy</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30,31</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Interestingly,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could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appropriately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managed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physician,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would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potentially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driving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down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demonstrate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adequate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reduces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annual</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healthcare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expenditure</w:t>
      </w:r>
      <w:r w:rsidRPr="00886C60">
        <w:rPr>
          <w:rFonts w:ascii="Book Antiqua" w:eastAsia="Book Antiqua" w:hAnsi="Book Antiqua" w:cs="Book Antiqua"/>
          <w:color w:val="000000"/>
          <w:vertAlign w:val="superscript"/>
        </w:rPr>
        <w:t>[32–34]</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therefore,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driving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especially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Pr="00886C60">
        <w:rPr>
          <w:rFonts w:ascii="Book Antiqua" w:eastAsia="Book Antiqua" w:hAnsi="Book Antiqua" w:cs="Book Antiqua"/>
          <w:color w:val="000000"/>
          <w:vertAlign w:val="superscript"/>
        </w:rPr>
        <w:t>[35–37]</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words,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increased</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underlying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mental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comorbid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conditions.</w:t>
      </w:r>
    </w:p>
    <w:p w14:paraId="1B8EF07C" w14:textId="4CB62CF6" w:rsidR="00A77B3E" w:rsidRPr="00886C60" w:rsidRDefault="00642AB2" w:rsidP="00886C60">
      <w:pPr>
        <w:adjustRightInd w:val="0"/>
        <w:snapToGrid w:val="0"/>
        <w:spacing w:line="360" w:lineRule="auto"/>
        <w:ind w:firstLineChars="200" w:firstLine="480"/>
        <w:jc w:val="both"/>
        <w:rPr>
          <w:rFonts w:ascii="Book Antiqua" w:hAnsi="Book Antiqua"/>
        </w:rPr>
      </w:pPr>
      <w:r w:rsidRPr="00886C60">
        <w:rPr>
          <w:rFonts w:ascii="Book Antiqua" w:eastAsia="Book Antiqua" w:hAnsi="Book Antiqua" w:cs="Book Antiqua"/>
          <w:color w:val="000000"/>
        </w:rPr>
        <w:t>Extended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services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also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amount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presentations</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33</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Extended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services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offer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ability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book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appointments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lastRenderedPageBreak/>
        <w:t>outside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contractual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hours,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either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early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morning,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evening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weekends.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Whittaker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vertAlign w:val="superscript"/>
        </w:rPr>
        <w:t>[33]</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color w:val="000000"/>
        </w:rPr>
        <w:t>measured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impact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extended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56</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practices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offering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seven-day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extended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through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during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evenings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weekends,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469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practices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routine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working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hours.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Implementing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extended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demonstrated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reduction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both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frequency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patient-initiated</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“minor”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problems</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33</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majority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categorization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“minor”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problems,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possible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widespread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extended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services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potential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reduce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p>
    <w:p w14:paraId="55AC9020" w14:textId="2A37B5BF" w:rsidR="00A77B3E" w:rsidRPr="00886C60" w:rsidRDefault="00642AB2" w:rsidP="00886C60">
      <w:pPr>
        <w:adjustRightInd w:val="0"/>
        <w:snapToGrid w:val="0"/>
        <w:spacing w:line="360" w:lineRule="auto"/>
        <w:ind w:firstLineChars="200" w:firstLine="480"/>
        <w:jc w:val="both"/>
        <w:rPr>
          <w:rFonts w:ascii="Book Antiqua" w:hAnsi="Book Antiqua"/>
        </w:rPr>
      </w:pP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also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shown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prevalent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severe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compared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older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women.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Interestingly,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found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difference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women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Pr="00886C60">
        <w:rPr>
          <w:rFonts w:ascii="Book Antiqua" w:eastAsia="Book Antiqua" w:hAnsi="Book Antiqua" w:cs="Book Antiqua"/>
          <w:color w:val="000000"/>
          <w:vertAlign w:val="superscript"/>
        </w:rPr>
        <w:t>[38]</w:t>
      </w:r>
      <w:r w:rsidRPr="00886C60">
        <w:rPr>
          <w:rFonts w:ascii="Book Antiqua" w:eastAsia="Book Antiqua" w:hAnsi="Book Antiqua" w:cs="Book Antiqua"/>
          <w:color w:val="000000"/>
        </w:rPr>
        <w:t>.</w:t>
      </w:r>
    </w:p>
    <w:p w14:paraId="5821F59D" w14:textId="2B6DB5CB" w:rsidR="00A77B3E" w:rsidRPr="00886C60" w:rsidRDefault="00642AB2" w:rsidP="00886C60">
      <w:pPr>
        <w:adjustRightInd w:val="0"/>
        <w:snapToGrid w:val="0"/>
        <w:spacing w:line="360" w:lineRule="auto"/>
        <w:ind w:firstLineChars="200" w:firstLine="480"/>
        <w:jc w:val="both"/>
        <w:rPr>
          <w:rFonts w:ascii="Book Antiqua" w:hAnsi="Book Antiqua"/>
        </w:rPr>
      </w:pPr>
      <w:r w:rsidRPr="00886C60">
        <w:rPr>
          <w:rFonts w:ascii="Book Antiqua" w:eastAsia="Book Antiqua" w:hAnsi="Book Antiqua" w:cs="Book Antiqua"/>
          <w:color w:val="000000"/>
        </w:rPr>
        <w:t>Finally,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numeric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scores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implicated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contributing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epidemic,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administered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those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report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scores</w:t>
      </w:r>
      <w:r w:rsidR="00514C8F" w:rsidRPr="00886C60">
        <w:rPr>
          <w:rFonts w:ascii="Book Antiqua" w:eastAsia="Book Antiqua" w:hAnsi="Book Antiqua" w:cs="Book Antiqua"/>
          <w:color w:val="000000"/>
          <w:vertAlign w:val="superscript"/>
        </w:rPr>
        <w:t>[</w:t>
      </w:r>
      <w:r w:rsidRPr="00886C60">
        <w:rPr>
          <w:rFonts w:ascii="Book Antiqua" w:eastAsia="Book Antiqua" w:hAnsi="Book Antiqua" w:cs="Book Antiqua"/>
          <w:color w:val="000000"/>
          <w:vertAlign w:val="superscript"/>
        </w:rPr>
        <w:t>39</w:t>
      </w:r>
      <w:r w:rsidR="00514C8F" w:rsidRPr="00886C60">
        <w:rPr>
          <w:rFonts w:ascii="Book Antiqua" w:eastAsia="Book Antiqua" w:hAnsi="Book Antiqua" w:cs="Book Antiqua"/>
          <w:color w:val="000000"/>
          <w:vertAlign w:val="superscript"/>
        </w:rPr>
        <w:t>]</w:t>
      </w:r>
      <w:r w:rsidR="00514C8F"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cross-sectional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Monitto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i/>
          <w:iCs/>
          <w:color w:val="000000"/>
        </w:rPr>
        <w:t>et</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i/>
          <w:iCs/>
          <w:color w:val="000000"/>
        </w:rPr>
        <w:t>al</w:t>
      </w:r>
      <w:r w:rsidR="00025E6E" w:rsidRPr="00886C60">
        <w:rPr>
          <w:rFonts w:ascii="Book Antiqua" w:eastAsia="Book Antiqua" w:hAnsi="Book Antiqua" w:cs="Book Antiqua"/>
          <w:color w:val="000000"/>
          <w:shd w:val="clear" w:color="auto" w:fill="FFFFFF"/>
          <w:vertAlign w:val="superscript"/>
        </w:rPr>
        <w:t>[40]</w:t>
      </w:r>
      <w:r w:rsidR="00167F91" w:rsidRPr="00886C60">
        <w:rPr>
          <w:rFonts w:ascii="Book Antiqua" w:eastAsia="Book Antiqua" w:hAnsi="Book Antiqua" w:cs="Book Antiqua"/>
          <w:i/>
          <w:iCs/>
          <w:color w:val="000000"/>
        </w:rPr>
        <w:t xml:space="preserve"> </w:t>
      </w:r>
      <w:r w:rsidRPr="00886C60">
        <w:rPr>
          <w:rFonts w:ascii="Book Antiqua" w:eastAsia="Book Antiqua" w:hAnsi="Book Antiqua" w:cs="Book Antiqua"/>
          <w:color w:val="000000"/>
          <w:shd w:val="clear" w:color="auto" w:fill="FFFFFF"/>
        </w:rPr>
        <w:t>explored</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the</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association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of</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patient</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factors</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with</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opioid</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dispensing,</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consumption,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and</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medication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remaining</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completion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of</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therapy</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after</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hospital</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discharge.</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Their</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findings</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suggest</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higher</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discharge</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pain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scores</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can</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predict</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higher</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opioid</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dispensing</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and</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consumption</w:t>
      </w:r>
      <w:r w:rsidR="00514C8F" w:rsidRPr="00886C60">
        <w:rPr>
          <w:rFonts w:ascii="Book Antiqua" w:eastAsia="Book Antiqua" w:hAnsi="Book Antiqua" w:cs="Book Antiqua"/>
          <w:color w:val="000000"/>
          <w:shd w:val="clear" w:color="auto" w:fill="FFFFFF"/>
        </w:rPr>
        <w:t>.</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T</w:t>
      </w:r>
      <w:r w:rsidRPr="00886C60">
        <w:rPr>
          <w:rFonts w:ascii="Book Antiqua" w:eastAsia="Book Antiqua" w:hAnsi="Book Antiqua" w:cs="Book Antiqua"/>
          <w:color w:val="000000"/>
        </w:rPr>
        <w: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consistent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scales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further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validation,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scales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potentially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predict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ultimately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standardize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number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should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p>
    <w:p w14:paraId="29D867A5" w14:textId="375D6D32" w:rsidR="00A77B3E" w:rsidRPr="00886C60" w:rsidRDefault="00642AB2" w:rsidP="00886C60">
      <w:pPr>
        <w:adjustRightInd w:val="0"/>
        <w:snapToGrid w:val="0"/>
        <w:spacing w:line="360" w:lineRule="auto"/>
        <w:ind w:firstLineChars="200" w:firstLine="480"/>
        <w:jc w:val="both"/>
        <w:rPr>
          <w:rFonts w:ascii="Book Antiqua" w:hAnsi="Book Antiqua"/>
        </w:rPr>
      </w:pP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few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must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considered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interpreting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results,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inherent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administrative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First,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addressed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concern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regarding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validity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slight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variability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documentation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across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Pr="00886C60">
        <w:rPr>
          <w:rFonts w:ascii="Book Antiqua" w:eastAsia="Book Antiqua" w:hAnsi="Book Antiqua" w:cs="Book Antiqua"/>
          <w:color w:val="000000"/>
          <w:vertAlign w:val="superscript"/>
        </w:rPr>
        <w:t>[41]</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potential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issue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purposely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utilizing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variables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collected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consistent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fashion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Second,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information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ascertained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individual</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longitudinal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information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lastRenderedPageBreak/>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allowing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determine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appropriateness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therapy</w:t>
      </w:r>
      <w:r w:rsidRPr="00886C60">
        <w:rPr>
          <w:rFonts w:ascii="Book Antiqua" w:eastAsia="Book Antiqua" w:hAnsi="Book Antiqua" w:cs="Book Antiqua"/>
          <w:color w:val="000000"/>
          <w:vertAlign w:val="superscript"/>
        </w:rPr>
        <w:t>[22]</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example,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history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substance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abuse.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does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preclude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validity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findings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methodology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cases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warrant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Finally,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assessed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time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interval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available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from</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NHAMCS.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Despite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limitations,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provides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valuable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information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regarding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annual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patterns,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p>
    <w:p w14:paraId="02499F56" w14:textId="77777777" w:rsidR="00A77B3E" w:rsidRPr="00886C60" w:rsidRDefault="00A77B3E" w:rsidP="00886C60">
      <w:pPr>
        <w:adjustRightInd w:val="0"/>
        <w:snapToGrid w:val="0"/>
        <w:spacing w:line="360" w:lineRule="auto"/>
        <w:jc w:val="both"/>
        <w:rPr>
          <w:rFonts w:ascii="Book Antiqua" w:hAnsi="Book Antiqua"/>
        </w:rPr>
      </w:pPr>
    </w:p>
    <w:p w14:paraId="5D7244BD"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aps/>
          <w:color w:val="000000"/>
          <w:u w:val="single"/>
        </w:rPr>
        <w:t>CONCLUSION</w:t>
      </w:r>
    </w:p>
    <w:p w14:paraId="0C1E1BF7" w14:textId="7C3AB5F6"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Despite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legislative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efforts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improve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continue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burdened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maladies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demonstrated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number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2017,</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significant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same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time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period.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Regression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analysis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identified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43.84-years-old,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higher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private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insurance,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obtainment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radiographic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imaging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independent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after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located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Northeast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likely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Ultimately,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physician-directed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education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minimize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burden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heightened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awareness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previous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practices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needed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mitigate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narcotic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514C8F"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Future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prospective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determine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impact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federal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legislative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mandates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influence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given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discharge.</w:t>
      </w:r>
      <w:r w:rsidR="00167F91" w:rsidRPr="00886C60">
        <w:rPr>
          <w:rFonts w:ascii="Book Antiqua" w:eastAsia="Book Antiqua" w:hAnsi="Book Antiqua" w:cs="Book Antiqua"/>
          <w:color w:val="000000"/>
        </w:rPr>
        <w:t xml:space="preserve"> </w:t>
      </w:r>
    </w:p>
    <w:p w14:paraId="7A237BB7" w14:textId="77777777" w:rsidR="00A77B3E" w:rsidRPr="00886C60" w:rsidRDefault="00A77B3E" w:rsidP="00886C60">
      <w:pPr>
        <w:adjustRightInd w:val="0"/>
        <w:snapToGrid w:val="0"/>
        <w:spacing w:line="360" w:lineRule="auto"/>
        <w:jc w:val="both"/>
        <w:rPr>
          <w:rFonts w:ascii="Book Antiqua" w:hAnsi="Book Antiqua"/>
        </w:rPr>
      </w:pPr>
    </w:p>
    <w:p w14:paraId="3E4E0308" w14:textId="00F62CD5"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aps/>
          <w:color w:val="000000"/>
          <w:u w:val="single"/>
        </w:rPr>
        <w:t>ARTICLE</w:t>
      </w:r>
      <w:r w:rsidR="00167F91" w:rsidRPr="00886C60">
        <w:rPr>
          <w:rFonts w:ascii="Book Antiqua" w:eastAsia="Book Antiqua" w:hAnsi="Book Antiqua" w:cs="Book Antiqua"/>
          <w:b/>
          <w:caps/>
          <w:color w:val="000000"/>
          <w:u w:val="single"/>
        </w:rPr>
        <w:t xml:space="preserve"> </w:t>
      </w:r>
      <w:r w:rsidRPr="00886C60">
        <w:rPr>
          <w:rFonts w:ascii="Book Antiqua" w:eastAsia="Book Antiqua" w:hAnsi="Book Antiqua" w:cs="Book Antiqua"/>
          <w:b/>
          <w:caps/>
          <w:color w:val="000000"/>
          <w:u w:val="single"/>
        </w:rPr>
        <w:t>HIGHLIGHTS</w:t>
      </w:r>
    </w:p>
    <w:p w14:paraId="51D724F2" w14:textId="6D6AB76D"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background</w:t>
      </w:r>
    </w:p>
    <w:p w14:paraId="45B125FD" w14:textId="7D4C56C3"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lastRenderedPageBreak/>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major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emergency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department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visits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ranges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incidence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between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49%</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80%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025E6E" w:rsidRPr="00886C60">
        <w:rPr>
          <w:rFonts w:ascii="Book Antiqua" w:eastAsia="Book Antiqua" w:hAnsi="Book Antiqua" w:cs="Book Antiqua"/>
          <w:color w:val="000000"/>
        </w:rPr>
        <w:t>United States.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often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unnecessary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p>
    <w:p w14:paraId="380B3F17" w14:textId="77777777" w:rsidR="00A77B3E" w:rsidRPr="00886C60" w:rsidRDefault="00A77B3E" w:rsidP="00886C60">
      <w:pPr>
        <w:adjustRightInd w:val="0"/>
        <w:snapToGrid w:val="0"/>
        <w:spacing w:line="360" w:lineRule="auto"/>
        <w:jc w:val="both"/>
        <w:rPr>
          <w:rFonts w:ascii="Book Antiqua" w:hAnsi="Book Antiqua"/>
        </w:rPr>
      </w:pPr>
    </w:p>
    <w:p w14:paraId="22802994" w14:textId="0DF661E8"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motivation</w:t>
      </w:r>
    </w:p>
    <w:p w14:paraId="29C7CC89" w14:textId="36E4B08C"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Several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been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implemented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mitigate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impact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ascertained.</w:t>
      </w:r>
    </w:p>
    <w:p w14:paraId="70FE7F54" w14:textId="77777777" w:rsidR="00A77B3E" w:rsidRPr="00886C60" w:rsidRDefault="00A77B3E" w:rsidP="00886C60">
      <w:pPr>
        <w:adjustRightInd w:val="0"/>
        <w:snapToGrid w:val="0"/>
        <w:spacing w:line="360" w:lineRule="auto"/>
        <w:jc w:val="both"/>
        <w:rPr>
          <w:rFonts w:ascii="Book Antiqua" w:hAnsi="Book Antiqua"/>
        </w:rPr>
      </w:pPr>
    </w:p>
    <w:p w14:paraId="6E67B85E" w14:textId="3803BFC2"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objectives</w:t>
      </w:r>
    </w:p>
    <w:p w14:paraId="1C18DBEC" w14:textId="0EE1F338"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aimed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outline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annual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prescribed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non-emergent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LBP</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p>
    <w:p w14:paraId="00B9A443" w14:textId="77777777" w:rsidR="00A77B3E" w:rsidRPr="00886C60" w:rsidRDefault="00A77B3E" w:rsidP="00886C60">
      <w:pPr>
        <w:adjustRightInd w:val="0"/>
        <w:snapToGrid w:val="0"/>
        <w:spacing w:line="360" w:lineRule="auto"/>
        <w:jc w:val="both"/>
        <w:rPr>
          <w:rFonts w:ascii="Book Antiqua" w:hAnsi="Book Antiqua"/>
        </w:rPr>
      </w:pPr>
    </w:p>
    <w:p w14:paraId="6CDF424E" w14:textId="63054DD1"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methods</w:t>
      </w:r>
    </w:p>
    <w:p w14:paraId="4BFF8B5E" w14:textId="5507515C"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We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reviewed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National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subsequently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admitted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outcome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evaluated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chronological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patient-specific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p>
    <w:p w14:paraId="25928338" w14:textId="77777777" w:rsidR="00A77B3E" w:rsidRPr="00886C60" w:rsidRDefault="00A77B3E" w:rsidP="00886C60">
      <w:pPr>
        <w:adjustRightInd w:val="0"/>
        <w:snapToGrid w:val="0"/>
        <w:spacing w:line="360" w:lineRule="auto"/>
        <w:jc w:val="both"/>
        <w:rPr>
          <w:rFonts w:ascii="Book Antiqua" w:hAnsi="Book Antiqua"/>
        </w:rPr>
      </w:pPr>
    </w:p>
    <w:p w14:paraId="00C0CEAB" w14:textId="0236985C"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results</w:t>
      </w:r>
    </w:p>
    <w:p w14:paraId="7FC528FE" w14:textId="017B4965"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We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reviewed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National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Hospital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Ambulatory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Survey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18</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years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age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subsequently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admitted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included.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primary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outcome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were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evaluated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chronological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patient-specific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risk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factors.</w:t>
      </w:r>
    </w:p>
    <w:p w14:paraId="49C2A54A" w14:textId="77777777" w:rsidR="00A77B3E" w:rsidRPr="00886C60" w:rsidRDefault="00A77B3E" w:rsidP="00886C60">
      <w:pPr>
        <w:adjustRightInd w:val="0"/>
        <w:snapToGrid w:val="0"/>
        <w:spacing w:line="360" w:lineRule="auto"/>
        <w:jc w:val="both"/>
        <w:rPr>
          <w:rFonts w:ascii="Book Antiqua" w:hAnsi="Book Antiqua"/>
        </w:rPr>
      </w:pPr>
    </w:p>
    <w:p w14:paraId="4B4BE76B" w14:textId="386C5769"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conclusions</w:t>
      </w:r>
    </w:p>
    <w:p w14:paraId="39F9BE0D" w14:textId="198E8688"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lastRenderedPageBreak/>
        <w:t>Overall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demonstrated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past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decade;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however,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pattern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diminished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hydrocodone-based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associated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mild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increase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tramadol-based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pattern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due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legislative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guidelines.</w:t>
      </w:r>
    </w:p>
    <w:p w14:paraId="3CFCCBD2" w14:textId="77777777" w:rsidR="00A77B3E" w:rsidRPr="00886C60" w:rsidRDefault="00A77B3E" w:rsidP="00886C60">
      <w:pPr>
        <w:adjustRightInd w:val="0"/>
        <w:snapToGrid w:val="0"/>
        <w:spacing w:line="360" w:lineRule="auto"/>
        <w:jc w:val="both"/>
        <w:rPr>
          <w:rFonts w:ascii="Book Antiqua" w:hAnsi="Book Antiqua"/>
        </w:rPr>
      </w:pPr>
    </w:p>
    <w:p w14:paraId="4923FBA0" w14:textId="2367A51F"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i/>
          <w:color w:val="000000"/>
        </w:rPr>
        <w:t>Research</w:t>
      </w:r>
      <w:r w:rsidR="00167F91" w:rsidRPr="00886C60">
        <w:rPr>
          <w:rFonts w:ascii="Book Antiqua" w:eastAsia="Book Antiqua" w:hAnsi="Book Antiqua" w:cs="Book Antiqua"/>
          <w:b/>
          <w:i/>
          <w:color w:val="000000"/>
        </w:rPr>
        <w:t xml:space="preserve"> </w:t>
      </w:r>
      <w:r w:rsidRPr="00886C60">
        <w:rPr>
          <w:rFonts w:ascii="Book Antiqua" w:eastAsia="Book Antiqua" w:hAnsi="Book Antiqua" w:cs="Book Antiqua"/>
          <w:b/>
          <w:i/>
          <w:color w:val="000000"/>
        </w:rPr>
        <w:t>perspectives</w:t>
      </w:r>
    </w:p>
    <w:p w14:paraId="0478F5C8" w14:textId="629B3334"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Further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research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required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identify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future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trends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may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veritable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reflection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more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recent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policies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regulating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opioid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prescription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low</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back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particularly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tramadol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based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medications.</w:t>
      </w:r>
    </w:p>
    <w:p w14:paraId="2F79A62A" w14:textId="77777777" w:rsidR="00A77B3E" w:rsidRPr="00886C60" w:rsidRDefault="00A77B3E" w:rsidP="00886C60">
      <w:pPr>
        <w:adjustRightInd w:val="0"/>
        <w:snapToGrid w:val="0"/>
        <w:spacing w:line="360" w:lineRule="auto"/>
        <w:jc w:val="both"/>
        <w:rPr>
          <w:rFonts w:ascii="Book Antiqua" w:hAnsi="Book Antiqua"/>
        </w:rPr>
      </w:pPr>
    </w:p>
    <w:p w14:paraId="68E86F0C"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REFERENCES</w:t>
      </w:r>
    </w:p>
    <w:p w14:paraId="6D9E23C8"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1 </w:t>
      </w:r>
      <w:r w:rsidRPr="00437301">
        <w:rPr>
          <w:rFonts w:ascii="Book Antiqua" w:hAnsi="Book Antiqua"/>
          <w:b/>
          <w:bCs/>
          <w:color w:val="201F35"/>
        </w:rPr>
        <w:t>Bell JA</w:t>
      </w:r>
      <w:r w:rsidRPr="00437301">
        <w:rPr>
          <w:rFonts w:ascii="Book Antiqua" w:hAnsi="Book Antiqua"/>
          <w:color w:val="201F35"/>
        </w:rPr>
        <w:t>, Burnett A. Exercise for the primary, secondary and tertiary prevention of low back pain in the workplace: a systematic review. </w:t>
      </w:r>
      <w:r w:rsidRPr="00437301">
        <w:rPr>
          <w:rFonts w:ascii="Book Antiqua" w:hAnsi="Book Antiqua"/>
          <w:i/>
          <w:iCs/>
          <w:color w:val="201F35"/>
        </w:rPr>
        <w:t>J Occup Rehabil</w:t>
      </w:r>
      <w:r w:rsidRPr="00437301">
        <w:rPr>
          <w:rFonts w:ascii="Book Antiqua" w:hAnsi="Book Antiqua"/>
          <w:color w:val="201F35"/>
        </w:rPr>
        <w:t> 2009; </w:t>
      </w:r>
      <w:r w:rsidRPr="00437301">
        <w:rPr>
          <w:rFonts w:ascii="Book Antiqua" w:hAnsi="Book Antiqua"/>
          <w:b/>
          <w:bCs/>
          <w:color w:val="201F35"/>
        </w:rPr>
        <w:t>19</w:t>
      </w:r>
      <w:r w:rsidRPr="00437301">
        <w:rPr>
          <w:rFonts w:ascii="Book Antiqua" w:hAnsi="Book Antiqua"/>
          <w:color w:val="201F35"/>
        </w:rPr>
        <w:t>: 8-24 [PMID: 19219537 DOI: 10.1007/s10926-009-9164-5]</w:t>
      </w:r>
    </w:p>
    <w:p w14:paraId="66CF9422" w14:textId="6F57B5D5"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2 </w:t>
      </w:r>
      <w:r w:rsidRPr="00437301">
        <w:rPr>
          <w:rFonts w:ascii="Book Antiqua" w:hAnsi="Book Antiqua"/>
          <w:b/>
          <w:bCs/>
          <w:color w:val="201F35"/>
        </w:rPr>
        <w:t>Borczuk P</w:t>
      </w:r>
      <w:r w:rsidRPr="00437301">
        <w:rPr>
          <w:rFonts w:ascii="Book Antiqua" w:hAnsi="Book Antiqua"/>
          <w:color w:val="201F35"/>
        </w:rPr>
        <w:t>. An evidence-based approach to the evaluation and treatment of low back pain in the emergency department. </w:t>
      </w:r>
      <w:r w:rsidRPr="00437301">
        <w:rPr>
          <w:rFonts w:ascii="Book Antiqua" w:hAnsi="Book Antiqua"/>
          <w:i/>
          <w:iCs/>
          <w:color w:val="201F35"/>
        </w:rPr>
        <w:t>Emerg Med Pract</w:t>
      </w:r>
      <w:r w:rsidRPr="00437301">
        <w:rPr>
          <w:rFonts w:ascii="Book Antiqua" w:hAnsi="Book Antiqua"/>
          <w:color w:val="201F35"/>
        </w:rPr>
        <w:t> 2013; </w:t>
      </w:r>
      <w:r w:rsidRPr="00437301">
        <w:rPr>
          <w:rFonts w:ascii="Book Antiqua" w:hAnsi="Book Antiqua"/>
          <w:b/>
          <w:bCs/>
          <w:color w:val="201F35"/>
        </w:rPr>
        <w:t>15</w:t>
      </w:r>
      <w:r w:rsidRPr="00437301">
        <w:rPr>
          <w:rFonts w:ascii="Book Antiqua" w:hAnsi="Book Antiqua"/>
          <w:color w:val="201F35"/>
        </w:rPr>
        <w:t>: 1-23 [PMID: 24044786]</w:t>
      </w:r>
    </w:p>
    <w:p w14:paraId="4472CC85"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3 </w:t>
      </w:r>
      <w:r w:rsidRPr="00437301">
        <w:rPr>
          <w:rFonts w:ascii="Book Antiqua" w:hAnsi="Book Antiqua"/>
          <w:b/>
          <w:bCs/>
          <w:color w:val="201F35"/>
        </w:rPr>
        <w:t>Scott NA</w:t>
      </w:r>
      <w:r w:rsidRPr="00437301">
        <w:rPr>
          <w:rFonts w:ascii="Book Antiqua" w:hAnsi="Book Antiqua"/>
          <w:color w:val="201F35"/>
        </w:rPr>
        <w:t>, Moga C, Harstall C. Managing low back pain in the primary care setting: the know-do gap. </w:t>
      </w:r>
      <w:r w:rsidRPr="00437301">
        <w:rPr>
          <w:rFonts w:ascii="Book Antiqua" w:hAnsi="Book Antiqua"/>
          <w:i/>
          <w:iCs/>
          <w:color w:val="201F35"/>
        </w:rPr>
        <w:t>Pain Res Manag</w:t>
      </w:r>
      <w:r w:rsidRPr="00437301">
        <w:rPr>
          <w:rFonts w:ascii="Book Antiqua" w:hAnsi="Book Antiqua"/>
          <w:color w:val="201F35"/>
        </w:rPr>
        <w:t> 2010; </w:t>
      </w:r>
      <w:r w:rsidRPr="00437301">
        <w:rPr>
          <w:rFonts w:ascii="Book Antiqua" w:hAnsi="Book Antiqua"/>
          <w:b/>
          <w:bCs/>
          <w:color w:val="201F35"/>
        </w:rPr>
        <w:t>15</w:t>
      </w:r>
      <w:r w:rsidRPr="00437301">
        <w:rPr>
          <w:rFonts w:ascii="Book Antiqua" w:hAnsi="Book Antiqua"/>
          <w:color w:val="201F35"/>
        </w:rPr>
        <w:t>: 392-400 [PMID: 21165374 DOI: 10.1155/2010/252695]</w:t>
      </w:r>
    </w:p>
    <w:p w14:paraId="031CE0F0"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4 </w:t>
      </w:r>
      <w:r w:rsidRPr="00437301">
        <w:rPr>
          <w:rFonts w:ascii="Book Antiqua" w:hAnsi="Book Antiqua"/>
          <w:b/>
          <w:bCs/>
          <w:color w:val="201F35"/>
        </w:rPr>
        <w:t>Edwards J</w:t>
      </w:r>
      <w:r w:rsidRPr="00437301">
        <w:rPr>
          <w:rFonts w:ascii="Book Antiqua" w:hAnsi="Book Antiqua"/>
          <w:color w:val="201F35"/>
        </w:rPr>
        <w:t>, Hayden J, Asbridge M, Gregoire B, Magee K. Prevalence of low back pain in emergency settings: a systematic review and meta-analysis. </w:t>
      </w:r>
      <w:r w:rsidRPr="00437301">
        <w:rPr>
          <w:rFonts w:ascii="Book Antiqua" w:hAnsi="Book Antiqua"/>
          <w:i/>
          <w:iCs/>
          <w:color w:val="201F35"/>
        </w:rPr>
        <w:t>BMC Musculoskelet Disord</w:t>
      </w:r>
      <w:r w:rsidRPr="00437301">
        <w:rPr>
          <w:rFonts w:ascii="Book Antiqua" w:hAnsi="Book Antiqua"/>
          <w:color w:val="201F35"/>
        </w:rPr>
        <w:t> 2017; </w:t>
      </w:r>
      <w:r w:rsidRPr="00437301">
        <w:rPr>
          <w:rFonts w:ascii="Book Antiqua" w:hAnsi="Book Antiqua"/>
          <w:b/>
          <w:bCs/>
          <w:color w:val="201F35"/>
        </w:rPr>
        <w:t>18</w:t>
      </w:r>
      <w:r w:rsidRPr="00437301">
        <w:rPr>
          <w:rFonts w:ascii="Book Antiqua" w:hAnsi="Book Antiqua"/>
          <w:color w:val="201F35"/>
        </w:rPr>
        <w:t>: 143 [PMID: 28376873 DOI: 10.1186/s12891-017-1511-7]</w:t>
      </w:r>
    </w:p>
    <w:p w14:paraId="05EE09C5" w14:textId="776F2028"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5 </w:t>
      </w:r>
      <w:r w:rsidRPr="00437301">
        <w:rPr>
          <w:rFonts w:ascii="Book Antiqua" w:hAnsi="Book Antiqua"/>
          <w:b/>
          <w:bCs/>
          <w:color w:val="201F35"/>
        </w:rPr>
        <w:t>Kocher KE</w:t>
      </w:r>
      <w:r w:rsidRPr="00437301">
        <w:rPr>
          <w:rFonts w:ascii="Book Antiqua" w:hAnsi="Book Antiqua"/>
          <w:color w:val="201F35"/>
        </w:rPr>
        <w:t>, Meurer WJ, Fazel R, Scott PA, Krumholz HM, Nallamothu BK. National trends in use of computed tomography in the emergency department. </w:t>
      </w:r>
      <w:r w:rsidRPr="00437301">
        <w:rPr>
          <w:rFonts w:ascii="Book Antiqua" w:hAnsi="Book Antiqua"/>
          <w:i/>
          <w:iCs/>
          <w:color w:val="201F35"/>
        </w:rPr>
        <w:t>Ann Emerg Med</w:t>
      </w:r>
      <w:r w:rsidRPr="00437301">
        <w:rPr>
          <w:rFonts w:ascii="Book Antiqua" w:hAnsi="Book Antiqua"/>
          <w:color w:val="201F35"/>
        </w:rPr>
        <w:t> 2011; </w:t>
      </w:r>
      <w:r w:rsidRPr="00437301">
        <w:rPr>
          <w:rFonts w:ascii="Book Antiqua" w:hAnsi="Book Antiqua"/>
          <w:b/>
          <w:bCs/>
          <w:color w:val="201F35"/>
        </w:rPr>
        <w:t>58</w:t>
      </w:r>
      <w:r w:rsidRPr="00437301">
        <w:rPr>
          <w:rFonts w:ascii="Book Antiqua" w:hAnsi="Book Antiqua"/>
          <w:color w:val="201F35"/>
        </w:rPr>
        <w:t>: 452-</w:t>
      </w:r>
      <w:r w:rsidR="002D3118" w:rsidRPr="00437301">
        <w:rPr>
          <w:rFonts w:ascii="Book Antiqua" w:hAnsi="Book Antiqua"/>
          <w:color w:val="201F35"/>
        </w:rPr>
        <w:t>4</w:t>
      </w:r>
      <w:r w:rsidRPr="00437301">
        <w:rPr>
          <w:rFonts w:ascii="Book Antiqua" w:hAnsi="Book Antiqua"/>
          <w:color w:val="201F35"/>
        </w:rPr>
        <w:t>62 [PMID: 21835499 DOI: 10.1016/j.annemergmed.2011.05.020]</w:t>
      </w:r>
    </w:p>
    <w:p w14:paraId="17F96EFD"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6 </w:t>
      </w:r>
      <w:r w:rsidRPr="00437301">
        <w:rPr>
          <w:rFonts w:ascii="Book Antiqua" w:hAnsi="Book Antiqua"/>
          <w:b/>
          <w:bCs/>
          <w:color w:val="201F35"/>
        </w:rPr>
        <w:t>Machado GC</w:t>
      </w:r>
      <w:r w:rsidRPr="00437301">
        <w:rPr>
          <w:rFonts w:ascii="Book Antiqua" w:hAnsi="Book Antiqua"/>
          <w:color w:val="201F35"/>
        </w:rPr>
        <w:t>, Rogan E, Maher CG. Managing non-serious low back pain in the emergency department: Time for a change? </w:t>
      </w:r>
      <w:r w:rsidRPr="00437301">
        <w:rPr>
          <w:rFonts w:ascii="Book Antiqua" w:hAnsi="Book Antiqua"/>
          <w:i/>
          <w:iCs/>
          <w:color w:val="201F35"/>
        </w:rPr>
        <w:t>Emerg Med Australas</w:t>
      </w:r>
      <w:r w:rsidRPr="00437301">
        <w:rPr>
          <w:rFonts w:ascii="Book Antiqua" w:hAnsi="Book Antiqua"/>
          <w:color w:val="201F35"/>
        </w:rPr>
        <w:t> 2018; </w:t>
      </w:r>
      <w:r w:rsidRPr="00437301">
        <w:rPr>
          <w:rFonts w:ascii="Book Antiqua" w:hAnsi="Book Antiqua"/>
          <w:b/>
          <w:bCs/>
          <w:color w:val="201F35"/>
        </w:rPr>
        <w:t>30</w:t>
      </w:r>
      <w:r w:rsidRPr="00437301">
        <w:rPr>
          <w:rFonts w:ascii="Book Antiqua" w:hAnsi="Book Antiqua"/>
          <w:color w:val="201F35"/>
        </w:rPr>
        <w:t>: 279-282 [PMID: 29145708 DOI: 10.1111/1742-6723.12903]</w:t>
      </w:r>
    </w:p>
    <w:p w14:paraId="57238EA8"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lastRenderedPageBreak/>
        <w:t>7 </w:t>
      </w:r>
      <w:r w:rsidRPr="00437301">
        <w:rPr>
          <w:rFonts w:ascii="Book Antiqua" w:hAnsi="Book Antiqua"/>
          <w:b/>
          <w:bCs/>
          <w:color w:val="201F35"/>
        </w:rPr>
        <w:t>Schlemmer E</w:t>
      </w:r>
      <w:r w:rsidRPr="00437301">
        <w:rPr>
          <w:rFonts w:ascii="Book Antiqua" w:hAnsi="Book Antiqua"/>
          <w:color w:val="201F35"/>
        </w:rPr>
        <w:t>, Mitchiner JC, Brown M, Wasilevich E. Imaging during low back pain ED visits: a claims-based descriptive analysis. </w:t>
      </w:r>
      <w:r w:rsidRPr="00437301">
        <w:rPr>
          <w:rFonts w:ascii="Book Antiqua" w:hAnsi="Book Antiqua"/>
          <w:i/>
          <w:iCs/>
          <w:color w:val="201F35"/>
        </w:rPr>
        <w:t>Am J Emerg Med</w:t>
      </w:r>
      <w:r w:rsidRPr="00437301">
        <w:rPr>
          <w:rFonts w:ascii="Book Antiqua" w:hAnsi="Book Antiqua"/>
          <w:color w:val="201F35"/>
        </w:rPr>
        <w:t> 2015; </w:t>
      </w:r>
      <w:r w:rsidRPr="00437301">
        <w:rPr>
          <w:rFonts w:ascii="Book Antiqua" w:hAnsi="Book Antiqua"/>
          <w:b/>
          <w:bCs/>
          <w:color w:val="201F35"/>
        </w:rPr>
        <w:t>33</w:t>
      </w:r>
      <w:r w:rsidRPr="00437301">
        <w:rPr>
          <w:rFonts w:ascii="Book Antiqua" w:hAnsi="Book Antiqua"/>
          <w:color w:val="201F35"/>
        </w:rPr>
        <w:t>: 414-418 [PMID: 25624075 DOI: 10.1016/j.ajem.2014.12.060]</w:t>
      </w:r>
    </w:p>
    <w:p w14:paraId="0A249AD0"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8 </w:t>
      </w:r>
      <w:r w:rsidRPr="00437301">
        <w:rPr>
          <w:rFonts w:ascii="Book Antiqua" w:hAnsi="Book Antiqua"/>
          <w:b/>
          <w:bCs/>
          <w:color w:val="201F35"/>
        </w:rPr>
        <w:t>Kyi L</w:t>
      </w:r>
      <w:r w:rsidRPr="00437301">
        <w:rPr>
          <w:rFonts w:ascii="Book Antiqua" w:hAnsi="Book Antiqua"/>
          <w:color w:val="201F35"/>
        </w:rPr>
        <w:t>, Kandane-Rathnayake R, Morand E, Roberts LJ. Outcomes of patients admitted to hospital medical units with back pain. </w:t>
      </w:r>
      <w:r w:rsidRPr="00437301">
        <w:rPr>
          <w:rFonts w:ascii="Book Antiqua" w:hAnsi="Book Antiqua"/>
          <w:i/>
          <w:iCs/>
          <w:color w:val="201F35"/>
        </w:rPr>
        <w:t>Intern Med J</w:t>
      </w:r>
      <w:r w:rsidRPr="00437301">
        <w:rPr>
          <w:rFonts w:ascii="Book Antiqua" w:hAnsi="Book Antiqua"/>
          <w:color w:val="201F35"/>
        </w:rPr>
        <w:t> 2019; </w:t>
      </w:r>
      <w:r w:rsidRPr="00437301">
        <w:rPr>
          <w:rFonts w:ascii="Book Antiqua" w:hAnsi="Book Antiqua"/>
          <w:b/>
          <w:bCs/>
          <w:color w:val="201F35"/>
        </w:rPr>
        <w:t>49</w:t>
      </w:r>
      <w:r w:rsidRPr="00437301">
        <w:rPr>
          <w:rFonts w:ascii="Book Antiqua" w:hAnsi="Book Antiqua"/>
          <w:color w:val="201F35"/>
        </w:rPr>
        <w:t>: 316-322 [PMID: 30091257 DOI: 10.1111/imj.14075]</w:t>
      </w:r>
    </w:p>
    <w:p w14:paraId="3953DC34"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9 </w:t>
      </w:r>
      <w:r w:rsidRPr="00437301">
        <w:rPr>
          <w:rFonts w:ascii="Book Antiqua" w:hAnsi="Book Antiqua"/>
          <w:b/>
          <w:bCs/>
          <w:color w:val="201F35"/>
        </w:rPr>
        <w:t>Deyo RA</w:t>
      </w:r>
      <w:r w:rsidRPr="00437301">
        <w:rPr>
          <w:rFonts w:ascii="Book Antiqua" w:hAnsi="Book Antiqua"/>
          <w:color w:val="201F35"/>
        </w:rPr>
        <w:t>, Von Korff M, Duhrkoop D. Opioids for low back pain. </w:t>
      </w:r>
      <w:r w:rsidRPr="00437301">
        <w:rPr>
          <w:rFonts w:ascii="Book Antiqua" w:hAnsi="Book Antiqua"/>
          <w:i/>
          <w:iCs/>
          <w:color w:val="201F35"/>
        </w:rPr>
        <w:t>BMJ</w:t>
      </w:r>
      <w:r w:rsidRPr="00437301">
        <w:rPr>
          <w:rFonts w:ascii="Book Antiqua" w:hAnsi="Book Antiqua"/>
          <w:color w:val="201F35"/>
        </w:rPr>
        <w:t> 2015; </w:t>
      </w:r>
      <w:r w:rsidRPr="00437301">
        <w:rPr>
          <w:rFonts w:ascii="Book Antiqua" w:hAnsi="Book Antiqua"/>
          <w:b/>
          <w:bCs/>
          <w:color w:val="201F35"/>
        </w:rPr>
        <w:t>350</w:t>
      </w:r>
      <w:r w:rsidRPr="00437301">
        <w:rPr>
          <w:rFonts w:ascii="Book Antiqua" w:hAnsi="Book Antiqua"/>
          <w:color w:val="201F35"/>
        </w:rPr>
        <w:t>: g6380 [PMID: 25561513 DOI: 10.1136/bmj.g6380]</w:t>
      </w:r>
    </w:p>
    <w:p w14:paraId="61338B09"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10 </w:t>
      </w:r>
      <w:r w:rsidRPr="00437301">
        <w:rPr>
          <w:rFonts w:ascii="Book Antiqua" w:hAnsi="Book Antiqua"/>
          <w:b/>
          <w:bCs/>
          <w:color w:val="201F35"/>
        </w:rPr>
        <w:t>Ashworth J</w:t>
      </w:r>
      <w:r w:rsidRPr="00437301">
        <w:rPr>
          <w:rFonts w:ascii="Book Antiqua" w:hAnsi="Book Antiqua"/>
          <w:color w:val="201F35"/>
        </w:rPr>
        <w:t>, Green DJ, Dunn KM, Jordan KP. Opioid use among low back pain patients in primary care: Is opioid prescription associated with disability at 6-month follow-up? </w:t>
      </w:r>
      <w:r w:rsidRPr="00437301">
        <w:rPr>
          <w:rFonts w:ascii="Book Antiqua" w:hAnsi="Book Antiqua"/>
          <w:i/>
          <w:iCs/>
          <w:color w:val="201F35"/>
        </w:rPr>
        <w:t>Pain</w:t>
      </w:r>
      <w:r w:rsidRPr="00437301">
        <w:rPr>
          <w:rFonts w:ascii="Book Antiqua" w:hAnsi="Book Antiqua"/>
          <w:color w:val="201F35"/>
        </w:rPr>
        <w:t> 2013; </w:t>
      </w:r>
      <w:r w:rsidRPr="00437301">
        <w:rPr>
          <w:rFonts w:ascii="Book Antiqua" w:hAnsi="Book Antiqua"/>
          <w:b/>
          <w:bCs/>
          <w:color w:val="201F35"/>
        </w:rPr>
        <w:t>154</w:t>
      </w:r>
      <w:r w:rsidRPr="00437301">
        <w:rPr>
          <w:rFonts w:ascii="Book Antiqua" w:hAnsi="Book Antiqua"/>
          <w:color w:val="201F35"/>
        </w:rPr>
        <w:t>: 1038-1044 [PMID: 23688575 DOI: 10.1016/j.pain.2013.03.011]</w:t>
      </w:r>
    </w:p>
    <w:p w14:paraId="1169B170"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11 </w:t>
      </w:r>
      <w:r w:rsidRPr="00437301">
        <w:rPr>
          <w:rFonts w:ascii="Book Antiqua" w:hAnsi="Book Antiqua"/>
          <w:b/>
          <w:bCs/>
          <w:color w:val="201F35"/>
        </w:rPr>
        <w:t>Wertli MM</w:t>
      </w:r>
      <w:r w:rsidRPr="00437301">
        <w:rPr>
          <w:rFonts w:ascii="Book Antiqua" w:hAnsi="Book Antiqua"/>
          <w:color w:val="201F35"/>
        </w:rPr>
        <w:t>, Steurer J. [Pain medications for acute and chronic low back pain]. </w:t>
      </w:r>
      <w:r w:rsidRPr="00437301">
        <w:rPr>
          <w:rFonts w:ascii="Book Antiqua" w:hAnsi="Book Antiqua"/>
          <w:i/>
          <w:iCs/>
          <w:color w:val="201F35"/>
        </w:rPr>
        <w:t>Internist (Berl)</w:t>
      </w:r>
      <w:r w:rsidRPr="00437301">
        <w:rPr>
          <w:rFonts w:ascii="Book Antiqua" w:hAnsi="Book Antiqua"/>
          <w:color w:val="201F35"/>
        </w:rPr>
        <w:t> 2018; </w:t>
      </w:r>
      <w:r w:rsidRPr="00437301">
        <w:rPr>
          <w:rFonts w:ascii="Book Antiqua" w:hAnsi="Book Antiqua"/>
          <w:b/>
          <w:bCs/>
          <w:color w:val="201F35"/>
        </w:rPr>
        <w:t>59</w:t>
      </w:r>
      <w:r w:rsidRPr="00437301">
        <w:rPr>
          <w:rFonts w:ascii="Book Antiqua" w:hAnsi="Book Antiqua"/>
          <w:color w:val="201F35"/>
        </w:rPr>
        <w:t>: 1214-1223 [PMID: 30116855 DOI: 10.1007/s00108-018-0475-5]</w:t>
      </w:r>
    </w:p>
    <w:p w14:paraId="1EC8CF03"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12 </w:t>
      </w:r>
      <w:r w:rsidRPr="00437301">
        <w:rPr>
          <w:rFonts w:ascii="Book Antiqua" w:hAnsi="Book Antiqua"/>
          <w:b/>
          <w:bCs/>
          <w:color w:val="201F35"/>
        </w:rPr>
        <w:t>Smith JA</w:t>
      </w:r>
      <w:r w:rsidRPr="00437301">
        <w:rPr>
          <w:rFonts w:ascii="Book Antiqua" w:hAnsi="Book Antiqua"/>
          <w:color w:val="201F35"/>
        </w:rPr>
        <w:t>, Fuino RL, Pesis-Katz I, Cai X, Powers B, Frazer M, Markman JD. Differences in opioid prescribing in low back pain patients with and without depression: a cross-sectional study of a national sample from the United States. </w:t>
      </w:r>
      <w:r w:rsidRPr="00437301">
        <w:rPr>
          <w:rFonts w:ascii="Book Antiqua" w:hAnsi="Book Antiqua"/>
          <w:i/>
          <w:iCs/>
          <w:color w:val="201F35"/>
        </w:rPr>
        <w:t>Pain Rep</w:t>
      </w:r>
      <w:r w:rsidRPr="00437301">
        <w:rPr>
          <w:rFonts w:ascii="Book Antiqua" w:hAnsi="Book Antiqua"/>
          <w:color w:val="201F35"/>
        </w:rPr>
        <w:t> 2017; </w:t>
      </w:r>
      <w:r w:rsidRPr="00437301">
        <w:rPr>
          <w:rFonts w:ascii="Book Antiqua" w:hAnsi="Book Antiqua"/>
          <w:b/>
          <w:bCs/>
          <w:color w:val="201F35"/>
        </w:rPr>
        <w:t>2</w:t>
      </w:r>
      <w:r w:rsidRPr="00437301">
        <w:rPr>
          <w:rFonts w:ascii="Book Antiqua" w:hAnsi="Book Antiqua"/>
          <w:color w:val="201F35"/>
        </w:rPr>
        <w:t>: e606 [PMID: 29392221 DOI: 10.1097/PR9.0000000000000606]</w:t>
      </w:r>
    </w:p>
    <w:p w14:paraId="18BA57D8"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13 </w:t>
      </w:r>
      <w:r w:rsidRPr="00437301">
        <w:rPr>
          <w:rFonts w:ascii="Book Antiqua" w:hAnsi="Book Antiqua"/>
          <w:b/>
          <w:bCs/>
          <w:color w:val="201F35"/>
        </w:rPr>
        <w:t>Deyo RA</w:t>
      </w:r>
      <w:r w:rsidRPr="00437301">
        <w:rPr>
          <w:rFonts w:ascii="Book Antiqua" w:hAnsi="Book Antiqua"/>
          <w:color w:val="201F35"/>
        </w:rPr>
        <w:t>, Smith DH, Johnson ES, Donovan M, Tillotson CJ, Yang X, Petrik AF, Dobscha SK. Opioids for back pain patients: primary care prescribing patterns and use of services. </w:t>
      </w:r>
      <w:r w:rsidRPr="00437301">
        <w:rPr>
          <w:rFonts w:ascii="Book Antiqua" w:hAnsi="Book Antiqua"/>
          <w:i/>
          <w:iCs/>
          <w:color w:val="201F35"/>
        </w:rPr>
        <w:t>J Am Board Fam Med</w:t>
      </w:r>
      <w:r w:rsidRPr="00437301">
        <w:rPr>
          <w:rFonts w:ascii="Book Antiqua" w:hAnsi="Book Antiqua"/>
          <w:color w:val="201F35"/>
        </w:rPr>
        <w:t> 2011; </w:t>
      </w:r>
      <w:r w:rsidRPr="00437301">
        <w:rPr>
          <w:rFonts w:ascii="Book Antiqua" w:hAnsi="Book Antiqua"/>
          <w:b/>
          <w:bCs/>
          <w:color w:val="201F35"/>
        </w:rPr>
        <w:t>24</w:t>
      </w:r>
      <w:r w:rsidRPr="00437301">
        <w:rPr>
          <w:rFonts w:ascii="Book Antiqua" w:hAnsi="Book Antiqua"/>
          <w:color w:val="201F35"/>
        </w:rPr>
        <w:t>: 717-727 [PMID: 22086815 DOI: 10.3122/jabfm.2011.06.100232]</w:t>
      </w:r>
    </w:p>
    <w:p w14:paraId="3FC8C453" w14:textId="29930FE1"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14 </w:t>
      </w:r>
      <w:r w:rsidRPr="00437301">
        <w:rPr>
          <w:rFonts w:ascii="Book Antiqua" w:hAnsi="Book Antiqua"/>
          <w:b/>
          <w:bCs/>
          <w:color w:val="201F35"/>
        </w:rPr>
        <w:t>Barbera L</w:t>
      </w:r>
      <w:r w:rsidRPr="00437301">
        <w:rPr>
          <w:rFonts w:ascii="Book Antiqua" w:hAnsi="Book Antiqua"/>
          <w:color w:val="201F35"/>
        </w:rPr>
        <w:t>, Sutradhar R, Chu A, Seow H, Howell D, Earle CC, O'Brien MA, Dudgeon D, Atzema C, Husain A, Liu Y, DeAngelis C. Opioid Prescribing Among Cancer and Non-cancer Patients: Time Trend Analysis in the Elderly Using Administrative Data. </w:t>
      </w:r>
      <w:r w:rsidRPr="00437301">
        <w:rPr>
          <w:rFonts w:ascii="Book Antiqua" w:hAnsi="Book Antiqua"/>
          <w:i/>
          <w:iCs/>
          <w:color w:val="201F35"/>
        </w:rPr>
        <w:t>J Pain Symptom Manage</w:t>
      </w:r>
      <w:r w:rsidRPr="00437301">
        <w:rPr>
          <w:rFonts w:ascii="Book Antiqua" w:hAnsi="Book Antiqua"/>
          <w:color w:val="201F35"/>
        </w:rPr>
        <w:t> 2017; </w:t>
      </w:r>
      <w:r w:rsidRPr="00437301">
        <w:rPr>
          <w:rFonts w:ascii="Book Antiqua" w:hAnsi="Book Antiqua"/>
          <w:b/>
          <w:bCs/>
          <w:color w:val="201F35"/>
        </w:rPr>
        <w:t>54</w:t>
      </w:r>
      <w:r w:rsidRPr="00437301">
        <w:rPr>
          <w:rFonts w:ascii="Book Antiqua" w:hAnsi="Book Antiqua"/>
          <w:color w:val="201F35"/>
        </w:rPr>
        <w:t xml:space="preserve">: </w:t>
      </w:r>
      <w:r w:rsidR="0044554F" w:rsidRPr="00437301">
        <w:rPr>
          <w:rFonts w:ascii="Book Antiqua" w:hAnsi="Book Antiqua"/>
          <w:color w:val="201F35"/>
        </w:rPr>
        <w:t>484-492.e1</w:t>
      </w:r>
      <w:r w:rsidRPr="00437301">
        <w:rPr>
          <w:rFonts w:ascii="Book Antiqua" w:hAnsi="Book Antiqua"/>
          <w:color w:val="201F35"/>
        </w:rPr>
        <w:t xml:space="preserve"> [PMID: 28734882 DOI: 10.1016/j.jpainsymman.2017.07.017]</w:t>
      </w:r>
    </w:p>
    <w:p w14:paraId="1420693D"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lastRenderedPageBreak/>
        <w:t>15 </w:t>
      </w:r>
      <w:r w:rsidRPr="00437301">
        <w:rPr>
          <w:rFonts w:ascii="Book Antiqua" w:hAnsi="Book Antiqua"/>
          <w:b/>
          <w:bCs/>
          <w:color w:val="201F35"/>
        </w:rPr>
        <w:t>Häuser W</w:t>
      </w:r>
      <w:r w:rsidRPr="00437301">
        <w:rPr>
          <w:rFonts w:ascii="Book Antiqua" w:hAnsi="Book Antiqua"/>
          <w:color w:val="201F35"/>
        </w:rPr>
        <w:t>, Schug S, Furlan AD. The opioid epidemic and national guidelines for opioid therapy for chronic noncancer pain: a perspective from different continents. </w:t>
      </w:r>
      <w:r w:rsidRPr="00437301">
        <w:rPr>
          <w:rFonts w:ascii="Book Antiqua" w:hAnsi="Book Antiqua"/>
          <w:i/>
          <w:iCs/>
          <w:color w:val="201F35"/>
        </w:rPr>
        <w:t>Pain Rep</w:t>
      </w:r>
      <w:r w:rsidRPr="00437301">
        <w:rPr>
          <w:rFonts w:ascii="Book Antiqua" w:hAnsi="Book Antiqua"/>
          <w:color w:val="201F35"/>
        </w:rPr>
        <w:t> 2017; </w:t>
      </w:r>
      <w:r w:rsidRPr="00437301">
        <w:rPr>
          <w:rFonts w:ascii="Book Antiqua" w:hAnsi="Book Antiqua"/>
          <w:b/>
          <w:bCs/>
          <w:color w:val="201F35"/>
        </w:rPr>
        <w:t>2</w:t>
      </w:r>
      <w:r w:rsidRPr="00437301">
        <w:rPr>
          <w:rFonts w:ascii="Book Antiqua" w:hAnsi="Book Antiqua"/>
          <w:color w:val="201F35"/>
        </w:rPr>
        <w:t>: e599 [PMID: 29392214 DOI: 10.1097/PR9.0000000000000599]</w:t>
      </w:r>
    </w:p>
    <w:p w14:paraId="3A720EC5"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16 </w:t>
      </w:r>
      <w:r w:rsidRPr="00437301">
        <w:rPr>
          <w:rFonts w:ascii="Book Antiqua" w:hAnsi="Book Antiqua"/>
          <w:b/>
          <w:bCs/>
          <w:color w:val="201F35"/>
        </w:rPr>
        <w:t>Davies E</w:t>
      </w:r>
      <w:r w:rsidRPr="00437301">
        <w:rPr>
          <w:rFonts w:ascii="Book Antiqua" w:hAnsi="Book Antiqua"/>
          <w:color w:val="201F35"/>
        </w:rPr>
        <w:t>, Phillips C, Rance J, Sewell B. Examining patterns in opioid prescribing for non-cancer-related pain in Wales: preliminary data from a retrospective cross-sectional study using large datasets. </w:t>
      </w:r>
      <w:r w:rsidRPr="00437301">
        <w:rPr>
          <w:rFonts w:ascii="Book Antiqua" w:hAnsi="Book Antiqua"/>
          <w:i/>
          <w:iCs/>
          <w:color w:val="201F35"/>
        </w:rPr>
        <w:t>Br J Pain</w:t>
      </w:r>
      <w:r w:rsidRPr="00437301">
        <w:rPr>
          <w:rFonts w:ascii="Book Antiqua" w:hAnsi="Book Antiqua"/>
          <w:color w:val="201F35"/>
        </w:rPr>
        <w:t> 2019; </w:t>
      </w:r>
      <w:r w:rsidRPr="00437301">
        <w:rPr>
          <w:rFonts w:ascii="Book Antiqua" w:hAnsi="Book Antiqua"/>
          <w:b/>
          <w:bCs/>
          <w:color w:val="201F35"/>
        </w:rPr>
        <w:t>13</w:t>
      </w:r>
      <w:r w:rsidRPr="00437301">
        <w:rPr>
          <w:rFonts w:ascii="Book Antiqua" w:hAnsi="Book Antiqua"/>
          <w:color w:val="201F35"/>
        </w:rPr>
        <w:t>: 145-158 [PMID: 31308940 DOI: 10.1177/2049463718800737]</w:t>
      </w:r>
    </w:p>
    <w:p w14:paraId="44AD6B97" w14:textId="73D35092"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 xml:space="preserve">17 </w:t>
      </w:r>
      <w:r w:rsidR="002D3118" w:rsidRPr="00437301">
        <w:rPr>
          <w:rFonts w:ascii="Book Antiqua" w:hAnsi="Book Antiqua"/>
          <w:b/>
          <w:bCs/>
          <w:color w:val="201F35"/>
        </w:rPr>
        <w:t>National Center for Health Statistics</w:t>
      </w:r>
      <w:r w:rsidR="002D3118" w:rsidRPr="00437301">
        <w:rPr>
          <w:rFonts w:ascii="Book Antiqua" w:hAnsi="Book Antiqua"/>
          <w:color w:val="201F35"/>
        </w:rPr>
        <w:t xml:space="preserve">. </w:t>
      </w:r>
      <w:r w:rsidRPr="00437301">
        <w:rPr>
          <w:rFonts w:ascii="Book Antiqua" w:hAnsi="Book Antiqua"/>
          <w:color w:val="201F35"/>
        </w:rPr>
        <w:t>Survey Methods and Analytic Guidelines.</w:t>
      </w:r>
      <w:r w:rsidR="002D3118" w:rsidRPr="00437301">
        <w:rPr>
          <w:rFonts w:ascii="Book Antiqua" w:hAnsi="Book Antiqua"/>
          <w:color w:val="201F35"/>
        </w:rPr>
        <w:t xml:space="preserve"> [cited 20 December 2020]. Available from: https://www.cdc.gov/nchs/ahcd/survey_methods.htm</w:t>
      </w:r>
    </w:p>
    <w:p w14:paraId="4C055965" w14:textId="1F5C9E7E"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18 </w:t>
      </w:r>
      <w:r w:rsidRPr="00437301">
        <w:rPr>
          <w:rFonts w:ascii="Book Antiqua" w:hAnsi="Book Antiqua"/>
          <w:b/>
          <w:bCs/>
          <w:color w:val="201F35"/>
        </w:rPr>
        <w:t>Rosenbaum S</w:t>
      </w:r>
      <w:r w:rsidRPr="00437301">
        <w:rPr>
          <w:rFonts w:ascii="Book Antiqua" w:hAnsi="Book Antiqua"/>
          <w:color w:val="201F35"/>
        </w:rPr>
        <w:t>, Authors F, Cheng D, Nima Majlesi F, Heller M, Steve Rosenbaum F, Michael Winters F. Clinical Practice Statement Emergency Department Opioid Prescribing Guidelines for the Treatment of Non-Cancer Related Pain (11/12/2013).</w:t>
      </w:r>
      <w:r w:rsidR="006C2C92" w:rsidRPr="00437301">
        <w:rPr>
          <w:rFonts w:ascii="Book Antiqua" w:hAnsi="Book Antiqua"/>
        </w:rPr>
        <w:t xml:space="preserve"> </w:t>
      </w:r>
      <w:r w:rsidR="006C2C92" w:rsidRPr="00437301">
        <w:rPr>
          <w:rFonts w:ascii="Book Antiqua" w:hAnsi="Book Antiqua"/>
          <w:color w:val="201F35"/>
        </w:rPr>
        <w:t>[cited 20 December 2020]. Available from: https://www.aaem.org/UserFiles/file/Emergency-Department-Opoid-Prescribing-Guidelines.pdf</w:t>
      </w:r>
    </w:p>
    <w:p w14:paraId="044353DB"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19 </w:t>
      </w:r>
      <w:r w:rsidRPr="00437301">
        <w:rPr>
          <w:rFonts w:ascii="Book Antiqua" w:hAnsi="Book Antiqua"/>
          <w:b/>
          <w:bCs/>
          <w:color w:val="201F35"/>
        </w:rPr>
        <w:t>Hayden JA</w:t>
      </w:r>
      <w:r w:rsidRPr="00437301">
        <w:rPr>
          <w:rFonts w:ascii="Book Antiqua" w:hAnsi="Book Antiqua"/>
          <w:color w:val="201F35"/>
        </w:rPr>
        <w:t>, Ellis J, Asbridge M, Ogilvie R, Merdad R, Grant DAG, Stewart SA, Campbell S. Prolonged opioid use among opioid-naive individuals after prescription for nonspecific low back pain in the emergency department. </w:t>
      </w:r>
      <w:r w:rsidRPr="00437301">
        <w:rPr>
          <w:rFonts w:ascii="Book Antiqua" w:hAnsi="Book Antiqua"/>
          <w:i/>
          <w:iCs/>
          <w:color w:val="201F35"/>
        </w:rPr>
        <w:t>Pain</w:t>
      </w:r>
      <w:r w:rsidRPr="00437301">
        <w:rPr>
          <w:rFonts w:ascii="Book Antiqua" w:hAnsi="Book Antiqua"/>
          <w:color w:val="201F35"/>
        </w:rPr>
        <w:t> 2021; </w:t>
      </w:r>
      <w:r w:rsidRPr="00437301">
        <w:rPr>
          <w:rFonts w:ascii="Book Antiqua" w:hAnsi="Book Antiqua"/>
          <w:b/>
          <w:bCs/>
          <w:color w:val="201F35"/>
        </w:rPr>
        <w:t>162</w:t>
      </w:r>
      <w:r w:rsidRPr="00437301">
        <w:rPr>
          <w:rFonts w:ascii="Book Antiqua" w:hAnsi="Book Antiqua"/>
          <w:color w:val="201F35"/>
        </w:rPr>
        <w:t>: 740-748 [PMID: 32947539 DOI: 10.1097/j.pain.0000000000002075]</w:t>
      </w:r>
    </w:p>
    <w:p w14:paraId="25F4BC12" w14:textId="2CDCE82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 xml:space="preserve">20 </w:t>
      </w:r>
      <w:r w:rsidR="006C2C92" w:rsidRPr="00437301">
        <w:rPr>
          <w:rFonts w:ascii="Book Antiqua" w:hAnsi="Book Antiqua"/>
          <w:b/>
          <w:bCs/>
          <w:color w:val="201F35"/>
        </w:rPr>
        <w:t>National Center for Health Statistics</w:t>
      </w:r>
      <w:r w:rsidR="006C2C92" w:rsidRPr="00437301">
        <w:rPr>
          <w:rFonts w:ascii="Book Antiqua" w:hAnsi="Book Antiqua"/>
          <w:color w:val="201F35"/>
        </w:rPr>
        <w:t xml:space="preserve">. </w:t>
      </w:r>
      <w:r w:rsidRPr="00437301">
        <w:rPr>
          <w:rFonts w:ascii="Book Antiqua" w:hAnsi="Book Antiqua"/>
          <w:color w:val="201F35"/>
        </w:rPr>
        <w:t>Ambulatory Health Care Data Homepage.</w:t>
      </w:r>
      <w:r w:rsidR="006C2C92" w:rsidRPr="00437301">
        <w:rPr>
          <w:rFonts w:ascii="Book Antiqua" w:hAnsi="Book Antiqua"/>
          <w:color w:val="201F35"/>
        </w:rPr>
        <w:t xml:space="preserve"> [cited 20 December 2020]. Available from: https://www.cdc.gov/nchs/ahcd/index.htm</w:t>
      </w:r>
    </w:p>
    <w:p w14:paraId="38DFCB44"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21 </w:t>
      </w:r>
      <w:r w:rsidRPr="00437301">
        <w:rPr>
          <w:rFonts w:ascii="Book Antiqua" w:hAnsi="Book Antiqua"/>
          <w:b/>
          <w:bCs/>
          <w:color w:val="201F35"/>
        </w:rPr>
        <w:t>Bohnert ASB</w:t>
      </w:r>
      <w:r w:rsidRPr="00437301">
        <w:rPr>
          <w:rFonts w:ascii="Book Antiqua" w:hAnsi="Book Antiqua"/>
          <w:color w:val="201F35"/>
        </w:rPr>
        <w:t>, Guy GP Jr, Losby JL. Opioid Prescribing in the United States Before and After the Centers for Disease Control and Prevention's 2016 Opioid Guideline. </w:t>
      </w:r>
      <w:r w:rsidRPr="00437301">
        <w:rPr>
          <w:rFonts w:ascii="Book Antiqua" w:hAnsi="Book Antiqua"/>
          <w:i/>
          <w:iCs/>
          <w:color w:val="201F35"/>
        </w:rPr>
        <w:t>Ann Intern Med</w:t>
      </w:r>
      <w:r w:rsidRPr="00437301">
        <w:rPr>
          <w:rFonts w:ascii="Book Antiqua" w:hAnsi="Book Antiqua"/>
          <w:color w:val="201F35"/>
        </w:rPr>
        <w:t> 2018; </w:t>
      </w:r>
      <w:r w:rsidRPr="00437301">
        <w:rPr>
          <w:rFonts w:ascii="Book Antiqua" w:hAnsi="Book Antiqua"/>
          <w:b/>
          <w:bCs/>
          <w:color w:val="201F35"/>
        </w:rPr>
        <w:t>169</w:t>
      </w:r>
      <w:r w:rsidRPr="00437301">
        <w:rPr>
          <w:rFonts w:ascii="Book Antiqua" w:hAnsi="Book Antiqua"/>
          <w:color w:val="201F35"/>
        </w:rPr>
        <w:t>: 367-375 [PMID: 30167651 DOI: 10.7326/M18-1243]</w:t>
      </w:r>
    </w:p>
    <w:p w14:paraId="7C85C98A"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22 </w:t>
      </w:r>
      <w:r w:rsidRPr="00437301">
        <w:rPr>
          <w:rFonts w:ascii="Book Antiqua" w:hAnsi="Book Antiqua"/>
          <w:b/>
          <w:bCs/>
          <w:color w:val="201F35"/>
        </w:rPr>
        <w:t>Marra EM</w:t>
      </w:r>
      <w:r w:rsidRPr="00437301">
        <w:rPr>
          <w:rFonts w:ascii="Book Antiqua" w:hAnsi="Book Antiqua"/>
          <w:color w:val="201F35"/>
        </w:rPr>
        <w:t>, Mazer-Amirshahi M, Mullins P, Pines JM. Opioid Administration and Prescribing in Older Adults in U.S. Emergency Departments (2005-2015). </w:t>
      </w:r>
      <w:r w:rsidRPr="00437301">
        <w:rPr>
          <w:rFonts w:ascii="Book Antiqua" w:hAnsi="Book Antiqua"/>
          <w:i/>
          <w:iCs/>
          <w:color w:val="201F35"/>
        </w:rPr>
        <w:t>West J Emerg Med</w:t>
      </w:r>
      <w:r w:rsidRPr="00437301">
        <w:rPr>
          <w:rFonts w:ascii="Book Antiqua" w:hAnsi="Book Antiqua"/>
          <w:color w:val="201F35"/>
        </w:rPr>
        <w:t> 2018; </w:t>
      </w:r>
      <w:r w:rsidRPr="00437301">
        <w:rPr>
          <w:rFonts w:ascii="Book Antiqua" w:hAnsi="Book Antiqua"/>
          <w:b/>
          <w:bCs/>
          <w:color w:val="201F35"/>
        </w:rPr>
        <w:t>19</w:t>
      </w:r>
      <w:r w:rsidRPr="00437301">
        <w:rPr>
          <w:rFonts w:ascii="Book Antiqua" w:hAnsi="Book Antiqua"/>
          <w:color w:val="201F35"/>
        </w:rPr>
        <w:t>: 678-688 [PMID: 30013704 DOI: 10.5811/westjem.2018.5.37853]</w:t>
      </w:r>
    </w:p>
    <w:p w14:paraId="3391AB2B"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lastRenderedPageBreak/>
        <w:t>23 </w:t>
      </w:r>
      <w:r w:rsidRPr="00437301">
        <w:rPr>
          <w:rFonts w:ascii="Book Antiqua" w:hAnsi="Book Antiqua"/>
          <w:b/>
          <w:bCs/>
          <w:color w:val="201F35"/>
        </w:rPr>
        <w:t>Van Winkle PJ</w:t>
      </w:r>
      <w:r w:rsidRPr="00437301">
        <w:rPr>
          <w:rFonts w:ascii="Book Antiqua" w:hAnsi="Book Antiqua"/>
          <w:color w:val="201F35"/>
        </w:rPr>
        <w:t>, Ghobadi A, Chen Q, Menchine M, Sharp AL. Association of age and opioid use for adolescents and young adults in community emergency departments. </w:t>
      </w:r>
      <w:r w:rsidRPr="00437301">
        <w:rPr>
          <w:rFonts w:ascii="Book Antiqua" w:hAnsi="Book Antiqua"/>
          <w:i/>
          <w:iCs/>
          <w:color w:val="201F35"/>
        </w:rPr>
        <w:t>Am J Emerg Med</w:t>
      </w:r>
      <w:r w:rsidRPr="00437301">
        <w:rPr>
          <w:rFonts w:ascii="Book Antiqua" w:hAnsi="Book Antiqua"/>
          <w:color w:val="201F35"/>
        </w:rPr>
        <w:t> 2019; </w:t>
      </w:r>
      <w:r w:rsidRPr="00437301">
        <w:rPr>
          <w:rFonts w:ascii="Book Antiqua" w:hAnsi="Book Antiqua"/>
          <w:b/>
          <w:bCs/>
          <w:color w:val="201F35"/>
        </w:rPr>
        <w:t>37</w:t>
      </w:r>
      <w:r w:rsidRPr="00437301">
        <w:rPr>
          <w:rFonts w:ascii="Book Antiqua" w:hAnsi="Book Antiqua"/>
          <w:color w:val="201F35"/>
        </w:rPr>
        <w:t>: 1397-1403 [PMID: 30343960 DOI: 10.1016/j.ajem.2018.10.021]</w:t>
      </w:r>
    </w:p>
    <w:p w14:paraId="76606A28"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24 </w:t>
      </w:r>
      <w:r w:rsidRPr="00437301">
        <w:rPr>
          <w:rFonts w:ascii="Book Antiqua" w:hAnsi="Book Antiqua"/>
          <w:b/>
          <w:bCs/>
          <w:color w:val="201F35"/>
        </w:rPr>
        <w:t>Ward MJ</w:t>
      </w:r>
      <w:r w:rsidRPr="00437301">
        <w:rPr>
          <w:rFonts w:ascii="Book Antiqua" w:hAnsi="Book Antiqua"/>
          <w:color w:val="201F35"/>
        </w:rPr>
        <w:t>, Kc D, Jenkins CA, Liu D, Padaki A, Pines JM. Emergency department provider and facility variation in opioid prescriptions for discharged patients. </w:t>
      </w:r>
      <w:r w:rsidRPr="00437301">
        <w:rPr>
          <w:rFonts w:ascii="Book Antiqua" w:hAnsi="Book Antiqua"/>
          <w:i/>
          <w:iCs/>
          <w:color w:val="201F35"/>
        </w:rPr>
        <w:t>Am J Emerg Med</w:t>
      </w:r>
      <w:r w:rsidRPr="00437301">
        <w:rPr>
          <w:rFonts w:ascii="Book Antiqua" w:hAnsi="Book Antiqua"/>
          <w:color w:val="201F35"/>
        </w:rPr>
        <w:t> 2019; </w:t>
      </w:r>
      <w:r w:rsidRPr="00437301">
        <w:rPr>
          <w:rFonts w:ascii="Book Antiqua" w:hAnsi="Book Antiqua"/>
          <w:b/>
          <w:bCs/>
          <w:color w:val="201F35"/>
        </w:rPr>
        <w:t>37</w:t>
      </w:r>
      <w:r w:rsidRPr="00437301">
        <w:rPr>
          <w:rFonts w:ascii="Book Antiqua" w:hAnsi="Book Antiqua"/>
          <w:color w:val="201F35"/>
        </w:rPr>
        <w:t>: 851-858 [PMID: 30077493 DOI: 10.1016/j.ajem.2018.07.054]</w:t>
      </w:r>
    </w:p>
    <w:p w14:paraId="6BD5830E"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25 </w:t>
      </w:r>
      <w:r w:rsidRPr="00437301">
        <w:rPr>
          <w:rFonts w:ascii="Book Antiqua" w:hAnsi="Book Antiqua"/>
          <w:b/>
          <w:bCs/>
          <w:color w:val="201F35"/>
        </w:rPr>
        <w:t>Janakiram C</w:t>
      </w:r>
      <w:r w:rsidRPr="00437301">
        <w:rPr>
          <w:rFonts w:ascii="Book Antiqua" w:hAnsi="Book Antiqua"/>
          <w:color w:val="201F35"/>
        </w:rPr>
        <w:t>, Fontelo P, Huser V, Chalmers NI, Lopez Mitnik G, Brow AR, Iafolla TJ, Dye BA. Opioid Prescriptions for Acute and Chronic Pain Management Among Medicaid Beneficiaries. </w:t>
      </w:r>
      <w:r w:rsidRPr="00437301">
        <w:rPr>
          <w:rFonts w:ascii="Book Antiqua" w:hAnsi="Book Antiqua"/>
          <w:i/>
          <w:iCs/>
          <w:color w:val="201F35"/>
        </w:rPr>
        <w:t>Am J Prev Med</w:t>
      </w:r>
      <w:r w:rsidRPr="00437301">
        <w:rPr>
          <w:rFonts w:ascii="Book Antiqua" w:hAnsi="Book Antiqua"/>
          <w:color w:val="201F35"/>
        </w:rPr>
        <w:t> 2019; </w:t>
      </w:r>
      <w:r w:rsidRPr="00437301">
        <w:rPr>
          <w:rFonts w:ascii="Book Antiqua" w:hAnsi="Book Antiqua"/>
          <w:b/>
          <w:bCs/>
          <w:color w:val="201F35"/>
        </w:rPr>
        <w:t>57</w:t>
      </w:r>
      <w:r w:rsidRPr="00437301">
        <w:rPr>
          <w:rFonts w:ascii="Book Antiqua" w:hAnsi="Book Antiqua"/>
          <w:color w:val="201F35"/>
        </w:rPr>
        <w:t>: 365-373 [PMID: 31377093 DOI: 10.1016/j.amepre.2019.04.022]</w:t>
      </w:r>
    </w:p>
    <w:p w14:paraId="79119A1B"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26 </w:t>
      </w:r>
      <w:r w:rsidRPr="00437301">
        <w:rPr>
          <w:rFonts w:ascii="Book Antiqua" w:hAnsi="Book Antiqua"/>
          <w:b/>
          <w:bCs/>
          <w:color w:val="201F35"/>
        </w:rPr>
        <w:t>de Souza IMB</w:t>
      </w:r>
      <w:r w:rsidRPr="00437301">
        <w:rPr>
          <w:rFonts w:ascii="Book Antiqua" w:hAnsi="Book Antiqua"/>
          <w:color w:val="201F35"/>
        </w:rPr>
        <w:t>, Sakaguchi TF, Yuan SLK, Matsutani LA, do Espírito-Santo AS, Pereira CAB, Marques AP. Prevalence of low back pain in the elderly population: a systematic review. </w:t>
      </w:r>
      <w:r w:rsidRPr="00437301">
        <w:rPr>
          <w:rFonts w:ascii="Book Antiqua" w:hAnsi="Book Antiqua"/>
          <w:i/>
          <w:iCs/>
          <w:color w:val="201F35"/>
        </w:rPr>
        <w:t>Clinics (Sao Paulo)</w:t>
      </w:r>
      <w:r w:rsidRPr="00437301">
        <w:rPr>
          <w:rFonts w:ascii="Book Antiqua" w:hAnsi="Book Antiqua"/>
          <w:color w:val="201F35"/>
        </w:rPr>
        <w:t> 2019; </w:t>
      </w:r>
      <w:r w:rsidRPr="00437301">
        <w:rPr>
          <w:rFonts w:ascii="Book Antiqua" w:hAnsi="Book Antiqua"/>
          <w:b/>
          <w:bCs/>
          <w:color w:val="201F35"/>
        </w:rPr>
        <w:t>74</w:t>
      </w:r>
      <w:r w:rsidRPr="00437301">
        <w:rPr>
          <w:rFonts w:ascii="Book Antiqua" w:hAnsi="Book Antiqua"/>
          <w:color w:val="201F35"/>
        </w:rPr>
        <w:t>: e789 [PMID: 31664424 DOI: 10.6061/clinics/2019/e789]</w:t>
      </w:r>
    </w:p>
    <w:p w14:paraId="3351FEE9"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27 </w:t>
      </w:r>
      <w:r w:rsidRPr="00437301">
        <w:rPr>
          <w:rFonts w:ascii="Book Antiqua" w:hAnsi="Book Antiqua"/>
          <w:b/>
          <w:bCs/>
          <w:color w:val="201F35"/>
        </w:rPr>
        <w:t>Hartvigsen J</w:t>
      </w:r>
      <w:r w:rsidRPr="00437301">
        <w:rPr>
          <w:rFonts w:ascii="Book Antiqua" w:hAnsi="Book Antiqua"/>
          <w:color w:val="201F35"/>
        </w:rPr>
        <w:t>, Hancock MJ, Kongsted A, Louw Q, Ferreira ML, Genevay S, Hoy D, Karppinen J, Pransky G, Sieper J, Smeets RJ, Underwood M; Lancet Low Back Pain Series Working Group. What low back pain is and why we need to pay attention. </w:t>
      </w:r>
      <w:r w:rsidRPr="00437301">
        <w:rPr>
          <w:rFonts w:ascii="Book Antiqua" w:hAnsi="Book Antiqua"/>
          <w:i/>
          <w:iCs/>
          <w:color w:val="201F35"/>
        </w:rPr>
        <w:t>Lancet</w:t>
      </w:r>
      <w:r w:rsidRPr="00437301">
        <w:rPr>
          <w:rFonts w:ascii="Book Antiqua" w:hAnsi="Book Antiqua"/>
          <w:color w:val="201F35"/>
        </w:rPr>
        <w:t> 2018; </w:t>
      </w:r>
      <w:r w:rsidRPr="00437301">
        <w:rPr>
          <w:rFonts w:ascii="Book Antiqua" w:hAnsi="Book Antiqua"/>
          <w:b/>
          <w:bCs/>
          <w:color w:val="201F35"/>
        </w:rPr>
        <w:t>391</w:t>
      </w:r>
      <w:r w:rsidRPr="00437301">
        <w:rPr>
          <w:rFonts w:ascii="Book Antiqua" w:hAnsi="Book Antiqua"/>
          <w:color w:val="201F35"/>
        </w:rPr>
        <w:t>: 2356-2367 [PMID: 29573870 DOI: 10.1016/S0140-6736(18)30480-X]</w:t>
      </w:r>
    </w:p>
    <w:p w14:paraId="6BAD0948"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28 </w:t>
      </w:r>
      <w:r w:rsidRPr="00437301">
        <w:rPr>
          <w:rFonts w:ascii="Book Antiqua" w:hAnsi="Book Antiqua"/>
          <w:b/>
          <w:bCs/>
          <w:color w:val="201F35"/>
        </w:rPr>
        <w:t>van Tulder M</w:t>
      </w:r>
      <w:r w:rsidRPr="00437301">
        <w:rPr>
          <w:rFonts w:ascii="Book Antiqua" w:hAnsi="Book Antiqua"/>
          <w:color w:val="201F35"/>
        </w:rPr>
        <w:t>, Koes B, Bombardier C. Low back pain. </w:t>
      </w:r>
      <w:r w:rsidRPr="00437301">
        <w:rPr>
          <w:rFonts w:ascii="Book Antiqua" w:hAnsi="Book Antiqua"/>
          <w:i/>
          <w:iCs/>
          <w:color w:val="201F35"/>
        </w:rPr>
        <w:t>Best Pract Res Clin Rheumatol</w:t>
      </w:r>
      <w:r w:rsidRPr="00437301">
        <w:rPr>
          <w:rFonts w:ascii="Book Antiqua" w:hAnsi="Book Antiqua"/>
          <w:color w:val="201F35"/>
        </w:rPr>
        <w:t> 2002; </w:t>
      </w:r>
      <w:r w:rsidRPr="00437301">
        <w:rPr>
          <w:rFonts w:ascii="Book Antiqua" w:hAnsi="Book Antiqua"/>
          <w:b/>
          <w:bCs/>
          <w:color w:val="201F35"/>
        </w:rPr>
        <w:t>16</w:t>
      </w:r>
      <w:r w:rsidRPr="00437301">
        <w:rPr>
          <w:rFonts w:ascii="Book Antiqua" w:hAnsi="Book Antiqua"/>
          <w:color w:val="201F35"/>
        </w:rPr>
        <w:t>: 761-775 [PMID: 12473272 DOI: 10.1053/berh.2002.0267]</w:t>
      </w:r>
    </w:p>
    <w:p w14:paraId="684A0AC9"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29 </w:t>
      </w:r>
      <w:r w:rsidRPr="00437301">
        <w:rPr>
          <w:rFonts w:ascii="Book Antiqua" w:hAnsi="Book Antiqua"/>
          <w:b/>
          <w:bCs/>
          <w:color w:val="201F35"/>
        </w:rPr>
        <w:t>Ali MM</w:t>
      </w:r>
      <w:r w:rsidRPr="00437301">
        <w:rPr>
          <w:rFonts w:ascii="Book Antiqua" w:hAnsi="Book Antiqua"/>
          <w:color w:val="201F35"/>
        </w:rPr>
        <w:t>, Tehrani AB, Mutter R, Henke RM, O'Brien M, Pines JM, Mazer-Amirshahi M. Potentially Problematic Opioid Prescriptions Among Individuals With Private Insurance and Medicaid. </w:t>
      </w:r>
      <w:r w:rsidRPr="00437301">
        <w:rPr>
          <w:rFonts w:ascii="Book Antiqua" w:hAnsi="Book Antiqua"/>
          <w:i/>
          <w:iCs/>
          <w:color w:val="201F35"/>
        </w:rPr>
        <w:t>Psychiatr Serv</w:t>
      </w:r>
      <w:r w:rsidRPr="00437301">
        <w:rPr>
          <w:rFonts w:ascii="Book Antiqua" w:hAnsi="Book Antiqua"/>
          <w:color w:val="201F35"/>
        </w:rPr>
        <w:t> 2019; </w:t>
      </w:r>
      <w:r w:rsidRPr="00437301">
        <w:rPr>
          <w:rFonts w:ascii="Book Antiqua" w:hAnsi="Book Antiqua"/>
          <w:b/>
          <w:bCs/>
          <w:color w:val="201F35"/>
        </w:rPr>
        <w:t>70</w:t>
      </w:r>
      <w:r w:rsidRPr="00437301">
        <w:rPr>
          <w:rFonts w:ascii="Book Antiqua" w:hAnsi="Book Antiqua"/>
          <w:color w:val="201F35"/>
        </w:rPr>
        <w:t>: 681-688 [PMID: 31056003 DOI: 10.1176/appi.ps.201800555]</w:t>
      </w:r>
    </w:p>
    <w:p w14:paraId="7B8CB621" w14:textId="0788D2A9"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30 </w:t>
      </w:r>
      <w:r w:rsidRPr="00437301">
        <w:rPr>
          <w:rFonts w:ascii="Book Antiqua" w:hAnsi="Book Antiqua"/>
          <w:b/>
          <w:bCs/>
          <w:color w:val="201F35"/>
        </w:rPr>
        <w:t>Keast SL</w:t>
      </w:r>
      <w:r w:rsidRPr="00437301">
        <w:rPr>
          <w:rFonts w:ascii="Book Antiqua" w:hAnsi="Book Antiqua"/>
          <w:color w:val="201F35"/>
        </w:rPr>
        <w:t>, Kim H, Deyo RA, Middleton L, McConnell KJ, Zhang K, Ahmed SM, Nesser N, Hartung DM. Effects of a prior authorization policy for extended-</w:t>
      </w:r>
      <w:r w:rsidRPr="00437301">
        <w:rPr>
          <w:rFonts w:ascii="Book Antiqua" w:hAnsi="Book Antiqua"/>
          <w:color w:val="201F35"/>
        </w:rPr>
        <w:lastRenderedPageBreak/>
        <w:t>release/long-acting opioids on utilization and outcomes in a state Medicaid program. </w:t>
      </w:r>
      <w:r w:rsidRPr="00437301">
        <w:rPr>
          <w:rFonts w:ascii="Book Antiqua" w:hAnsi="Book Antiqua"/>
          <w:i/>
          <w:iCs/>
          <w:color w:val="201F35"/>
        </w:rPr>
        <w:t>Addiction</w:t>
      </w:r>
      <w:r w:rsidRPr="00437301">
        <w:rPr>
          <w:rFonts w:ascii="Book Antiqua" w:hAnsi="Book Antiqua"/>
          <w:color w:val="201F35"/>
        </w:rPr>
        <w:t> 2018</w:t>
      </w:r>
      <w:r w:rsidR="006C2C92" w:rsidRPr="00437301">
        <w:rPr>
          <w:rFonts w:ascii="Book Antiqua" w:hAnsi="Book Antiqua"/>
          <w:color w:val="201F35"/>
        </w:rPr>
        <w:t xml:space="preserve">; </w:t>
      </w:r>
      <w:r w:rsidR="006C2C92" w:rsidRPr="00437301">
        <w:rPr>
          <w:rFonts w:ascii="Book Antiqua" w:hAnsi="Book Antiqua"/>
          <w:b/>
          <w:bCs/>
          <w:color w:val="201F35"/>
        </w:rPr>
        <w:t>9</w:t>
      </w:r>
      <w:r w:rsidR="006C2C92" w:rsidRPr="00437301">
        <w:rPr>
          <w:rFonts w:ascii="Book Antiqua" w:hAnsi="Book Antiqua"/>
          <w:color w:val="201F35"/>
        </w:rPr>
        <w:t>: 1651-1660</w:t>
      </w:r>
      <w:r w:rsidRPr="00437301">
        <w:rPr>
          <w:rFonts w:ascii="Book Antiqua" w:hAnsi="Book Antiqua"/>
          <w:color w:val="201F35"/>
        </w:rPr>
        <w:t xml:space="preserve"> [PMID: 29679440 DOI: 10.1111/add.14248]</w:t>
      </w:r>
    </w:p>
    <w:p w14:paraId="60340C84"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31 </w:t>
      </w:r>
      <w:r w:rsidRPr="00437301">
        <w:rPr>
          <w:rFonts w:ascii="Book Antiqua" w:hAnsi="Book Antiqua"/>
          <w:b/>
          <w:bCs/>
          <w:color w:val="201F35"/>
        </w:rPr>
        <w:t>Cochran G</w:t>
      </w:r>
      <w:r w:rsidRPr="00437301">
        <w:rPr>
          <w:rFonts w:ascii="Book Antiqua" w:hAnsi="Book Antiqua"/>
          <w:color w:val="201F35"/>
        </w:rPr>
        <w:t>, Gordon AJ, Gellad WF, Chang CH, Lo-Ciganic WH, Lobo C, Cole E, Frazier W, Zheng P, Kelley D, Donohue JM. Medicaid prior authorization and opioid medication abuse and overdose. </w:t>
      </w:r>
      <w:r w:rsidRPr="00437301">
        <w:rPr>
          <w:rFonts w:ascii="Book Antiqua" w:hAnsi="Book Antiqua"/>
          <w:i/>
          <w:iCs/>
          <w:color w:val="201F35"/>
        </w:rPr>
        <w:t>Am J Manag Care</w:t>
      </w:r>
      <w:r w:rsidRPr="00437301">
        <w:rPr>
          <w:rFonts w:ascii="Book Antiqua" w:hAnsi="Book Antiqua"/>
          <w:color w:val="201F35"/>
        </w:rPr>
        <w:t> 2017; </w:t>
      </w:r>
      <w:r w:rsidRPr="00437301">
        <w:rPr>
          <w:rFonts w:ascii="Book Antiqua" w:hAnsi="Book Antiqua"/>
          <w:b/>
          <w:bCs/>
          <w:color w:val="201F35"/>
        </w:rPr>
        <w:t>23</w:t>
      </w:r>
      <w:r w:rsidRPr="00437301">
        <w:rPr>
          <w:rFonts w:ascii="Book Antiqua" w:hAnsi="Book Antiqua"/>
          <w:color w:val="201F35"/>
        </w:rPr>
        <w:t>: e164-e171 [PMID: 28810127]</w:t>
      </w:r>
    </w:p>
    <w:p w14:paraId="47D11FF6"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32 </w:t>
      </w:r>
      <w:r w:rsidRPr="00437301">
        <w:rPr>
          <w:rFonts w:ascii="Book Antiqua" w:hAnsi="Book Antiqua"/>
          <w:b/>
          <w:bCs/>
          <w:color w:val="201F35"/>
        </w:rPr>
        <w:t>Vecchio N</w:t>
      </w:r>
      <w:r w:rsidRPr="00437301">
        <w:rPr>
          <w:rFonts w:ascii="Book Antiqua" w:hAnsi="Book Antiqua"/>
          <w:color w:val="201F35"/>
        </w:rPr>
        <w:t>, Davies D, Rohde N. The effect of inadequate access to healthcare services on emergency room visits. A comparison between physical and mental health conditions. </w:t>
      </w:r>
      <w:r w:rsidRPr="00437301">
        <w:rPr>
          <w:rFonts w:ascii="Book Antiqua" w:hAnsi="Book Antiqua"/>
          <w:i/>
          <w:iCs/>
          <w:color w:val="201F35"/>
        </w:rPr>
        <w:t>PLoS One</w:t>
      </w:r>
      <w:r w:rsidRPr="00437301">
        <w:rPr>
          <w:rFonts w:ascii="Book Antiqua" w:hAnsi="Book Antiqua"/>
          <w:color w:val="201F35"/>
        </w:rPr>
        <w:t> 2018; </w:t>
      </w:r>
      <w:r w:rsidRPr="00437301">
        <w:rPr>
          <w:rFonts w:ascii="Book Antiqua" w:hAnsi="Book Antiqua"/>
          <w:b/>
          <w:bCs/>
          <w:color w:val="201F35"/>
        </w:rPr>
        <w:t>13</w:t>
      </w:r>
      <w:r w:rsidRPr="00437301">
        <w:rPr>
          <w:rFonts w:ascii="Book Antiqua" w:hAnsi="Book Antiqua"/>
          <w:color w:val="201F35"/>
        </w:rPr>
        <w:t>: e0202559 [PMID: 30138438 DOI: 10.1371/journal.pone.0202559]</w:t>
      </w:r>
    </w:p>
    <w:p w14:paraId="3CC3EB72"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33 </w:t>
      </w:r>
      <w:r w:rsidRPr="00437301">
        <w:rPr>
          <w:rFonts w:ascii="Book Antiqua" w:hAnsi="Book Antiqua"/>
          <w:b/>
          <w:bCs/>
          <w:color w:val="201F35"/>
        </w:rPr>
        <w:t>Whittaker W</w:t>
      </w:r>
      <w:r w:rsidRPr="00437301">
        <w:rPr>
          <w:rFonts w:ascii="Book Antiqua" w:hAnsi="Book Antiqua"/>
          <w:color w:val="201F35"/>
        </w:rPr>
        <w:t>, Anselmi L, Kristensen SR, Lau YS, Bailey S, Bower P, Checkland K, Elvey R, Rothwell K, Stokes J, Hodgson D. Associations between Extending Access to Primary Care and Emergency Department Visits: A Difference-In-Differences Analysis. </w:t>
      </w:r>
      <w:r w:rsidRPr="00437301">
        <w:rPr>
          <w:rFonts w:ascii="Book Antiqua" w:hAnsi="Book Antiqua"/>
          <w:i/>
          <w:iCs/>
          <w:color w:val="201F35"/>
        </w:rPr>
        <w:t>PLoS Med</w:t>
      </w:r>
      <w:r w:rsidRPr="00437301">
        <w:rPr>
          <w:rFonts w:ascii="Book Antiqua" w:hAnsi="Book Antiqua"/>
          <w:color w:val="201F35"/>
        </w:rPr>
        <w:t> 2016; </w:t>
      </w:r>
      <w:r w:rsidRPr="00437301">
        <w:rPr>
          <w:rFonts w:ascii="Book Antiqua" w:hAnsi="Book Antiqua"/>
          <w:b/>
          <w:bCs/>
          <w:color w:val="201F35"/>
        </w:rPr>
        <w:t>13</w:t>
      </w:r>
      <w:r w:rsidRPr="00437301">
        <w:rPr>
          <w:rFonts w:ascii="Book Antiqua" w:hAnsi="Book Antiqua"/>
          <w:color w:val="201F35"/>
        </w:rPr>
        <w:t>: e1002113 [PMID: 27598248 DOI: 10.1371/journal.pmed.1002113]</w:t>
      </w:r>
    </w:p>
    <w:p w14:paraId="432C4E67"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34 </w:t>
      </w:r>
      <w:r w:rsidRPr="00437301">
        <w:rPr>
          <w:rFonts w:ascii="Book Antiqua" w:hAnsi="Book Antiqua"/>
          <w:b/>
          <w:bCs/>
          <w:color w:val="201F35"/>
        </w:rPr>
        <w:t>Birmingham LE</w:t>
      </w:r>
      <w:r w:rsidRPr="00437301">
        <w:rPr>
          <w:rFonts w:ascii="Book Antiqua" w:hAnsi="Book Antiqua"/>
          <w:color w:val="201F35"/>
        </w:rPr>
        <w:t>, Cochran T, Frey JA, Stiffler KA, Wilber ST. Emergency department use and barriers to wellness: a survey of emergency department frequent users. </w:t>
      </w:r>
      <w:r w:rsidRPr="00437301">
        <w:rPr>
          <w:rFonts w:ascii="Book Antiqua" w:hAnsi="Book Antiqua"/>
          <w:i/>
          <w:iCs/>
          <w:color w:val="201F35"/>
        </w:rPr>
        <w:t>BMC Emerg Med</w:t>
      </w:r>
      <w:r w:rsidRPr="00437301">
        <w:rPr>
          <w:rFonts w:ascii="Book Antiqua" w:hAnsi="Book Antiqua"/>
          <w:color w:val="201F35"/>
        </w:rPr>
        <w:t> 2017; </w:t>
      </w:r>
      <w:r w:rsidRPr="00437301">
        <w:rPr>
          <w:rFonts w:ascii="Book Antiqua" w:hAnsi="Book Antiqua"/>
          <w:b/>
          <w:bCs/>
          <w:color w:val="201F35"/>
        </w:rPr>
        <w:t>17</w:t>
      </w:r>
      <w:r w:rsidRPr="00437301">
        <w:rPr>
          <w:rFonts w:ascii="Book Antiqua" w:hAnsi="Book Antiqua"/>
          <w:color w:val="201F35"/>
        </w:rPr>
        <w:t>: 16 [PMID: 28486935 DOI: 10.1186/s12873-017-0126-5]</w:t>
      </w:r>
    </w:p>
    <w:p w14:paraId="15C8A508"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35 </w:t>
      </w:r>
      <w:r w:rsidRPr="00437301">
        <w:rPr>
          <w:rFonts w:ascii="Book Antiqua" w:hAnsi="Book Antiqua"/>
          <w:b/>
          <w:bCs/>
          <w:color w:val="201F35"/>
        </w:rPr>
        <w:t>Weinick RM</w:t>
      </w:r>
      <w:r w:rsidRPr="00437301">
        <w:rPr>
          <w:rFonts w:ascii="Book Antiqua" w:hAnsi="Book Antiqua"/>
          <w:color w:val="201F35"/>
        </w:rPr>
        <w:t>, Burns RM, Mehrotra A. Many emergency department visits could be managed at urgent care centers and retail clinics. </w:t>
      </w:r>
      <w:r w:rsidRPr="00437301">
        <w:rPr>
          <w:rFonts w:ascii="Book Antiqua" w:hAnsi="Book Antiqua"/>
          <w:i/>
          <w:iCs/>
          <w:color w:val="201F35"/>
        </w:rPr>
        <w:t>Health Aff (Millwood)</w:t>
      </w:r>
      <w:r w:rsidRPr="00437301">
        <w:rPr>
          <w:rFonts w:ascii="Book Antiqua" w:hAnsi="Book Antiqua"/>
          <w:color w:val="201F35"/>
        </w:rPr>
        <w:t> 2010; </w:t>
      </w:r>
      <w:r w:rsidRPr="00437301">
        <w:rPr>
          <w:rFonts w:ascii="Book Antiqua" w:hAnsi="Book Antiqua"/>
          <w:b/>
          <w:bCs/>
          <w:color w:val="201F35"/>
        </w:rPr>
        <w:t>29</w:t>
      </w:r>
      <w:r w:rsidRPr="00437301">
        <w:rPr>
          <w:rFonts w:ascii="Book Antiqua" w:hAnsi="Book Antiqua"/>
          <w:color w:val="201F35"/>
        </w:rPr>
        <w:t>: 1630-1636 [PMID: 20820018 DOI: 10.1377/hlthaff.2009.0748]</w:t>
      </w:r>
    </w:p>
    <w:p w14:paraId="4D6FCEB1"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36 </w:t>
      </w:r>
      <w:r w:rsidRPr="00437301">
        <w:rPr>
          <w:rFonts w:ascii="Book Antiqua" w:hAnsi="Book Antiqua"/>
          <w:b/>
          <w:bCs/>
          <w:color w:val="201F35"/>
        </w:rPr>
        <w:t>Garcia TC</w:t>
      </w:r>
      <w:r w:rsidRPr="00437301">
        <w:rPr>
          <w:rFonts w:ascii="Book Antiqua" w:hAnsi="Book Antiqua"/>
          <w:color w:val="201F35"/>
        </w:rPr>
        <w:t>, Bernstein AB, Bush MA. Emergency department visitors and visits: who used the emergency room in 2007? </w:t>
      </w:r>
      <w:r w:rsidRPr="00437301">
        <w:rPr>
          <w:rFonts w:ascii="Book Antiqua" w:hAnsi="Book Antiqua"/>
          <w:i/>
          <w:iCs/>
          <w:color w:val="201F35"/>
        </w:rPr>
        <w:t>NCHS Data Brief</w:t>
      </w:r>
      <w:r w:rsidRPr="00437301">
        <w:rPr>
          <w:rFonts w:ascii="Book Antiqua" w:hAnsi="Book Antiqua"/>
          <w:color w:val="201F35"/>
        </w:rPr>
        <w:t> 2010: 1-8 [PMID: 20487622]</w:t>
      </w:r>
    </w:p>
    <w:p w14:paraId="55592B46"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37 </w:t>
      </w:r>
      <w:r w:rsidRPr="00437301">
        <w:rPr>
          <w:rFonts w:ascii="Book Antiqua" w:hAnsi="Book Antiqua"/>
          <w:b/>
          <w:bCs/>
          <w:color w:val="201F35"/>
        </w:rPr>
        <w:t>Hoot NR</w:t>
      </w:r>
      <w:r w:rsidRPr="00437301">
        <w:rPr>
          <w:rFonts w:ascii="Book Antiqua" w:hAnsi="Book Antiqua"/>
          <w:color w:val="201F35"/>
        </w:rPr>
        <w:t>, Aronsky D. Systematic review of emergency department crowding: causes, effects, and solutions. </w:t>
      </w:r>
      <w:r w:rsidRPr="00437301">
        <w:rPr>
          <w:rFonts w:ascii="Book Antiqua" w:hAnsi="Book Antiqua"/>
          <w:i/>
          <w:iCs/>
          <w:color w:val="201F35"/>
        </w:rPr>
        <w:t>Ann Emerg Med</w:t>
      </w:r>
      <w:r w:rsidRPr="00437301">
        <w:rPr>
          <w:rFonts w:ascii="Book Antiqua" w:hAnsi="Book Antiqua"/>
          <w:color w:val="201F35"/>
        </w:rPr>
        <w:t> 2008; </w:t>
      </w:r>
      <w:r w:rsidRPr="00437301">
        <w:rPr>
          <w:rFonts w:ascii="Book Antiqua" w:hAnsi="Book Antiqua"/>
          <w:b/>
          <w:bCs/>
          <w:color w:val="201F35"/>
        </w:rPr>
        <w:t>52</w:t>
      </w:r>
      <w:r w:rsidRPr="00437301">
        <w:rPr>
          <w:rFonts w:ascii="Book Antiqua" w:hAnsi="Book Antiqua"/>
          <w:color w:val="201F35"/>
        </w:rPr>
        <w:t>: 126-136 [PMID: 18433933 DOI: 10.1016/j.annemergmed.2008.03.014]</w:t>
      </w:r>
    </w:p>
    <w:p w14:paraId="58DE0780" w14:textId="77777777"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38 </w:t>
      </w:r>
      <w:r w:rsidRPr="00437301">
        <w:rPr>
          <w:rFonts w:ascii="Book Antiqua" w:hAnsi="Book Antiqua"/>
          <w:b/>
          <w:bCs/>
          <w:color w:val="201F35"/>
        </w:rPr>
        <w:t>Ozcan Kahraman B</w:t>
      </w:r>
      <w:r w:rsidRPr="00437301">
        <w:rPr>
          <w:rFonts w:ascii="Book Antiqua" w:hAnsi="Book Antiqua"/>
          <w:color w:val="201F35"/>
        </w:rPr>
        <w:t>, Kahraman T, Kalemci O, Salik Sengul Y. Gender differences in postural control in people with nonspecific chronic low back pain. </w:t>
      </w:r>
      <w:r w:rsidRPr="00437301">
        <w:rPr>
          <w:rFonts w:ascii="Book Antiqua" w:hAnsi="Book Antiqua"/>
          <w:i/>
          <w:iCs/>
          <w:color w:val="201F35"/>
        </w:rPr>
        <w:t>Gait Posture</w:t>
      </w:r>
      <w:r w:rsidRPr="00437301">
        <w:rPr>
          <w:rFonts w:ascii="Book Antiqua" w:hAnsi="Book Antiqua"/>
          <w:color w:val="201F35"/>
        </w:rPr>
        <w:t> 2018; </w:t>
      </w:r>
      <w:r w:rsidRPr="00437301">
        <w:rPr>
          <w:rFonts w:ascii="Book Antiqua" w:hAnsi="Book Antiqua"/>
          <w:b/>
          <w:bCs/>
          <w:color w:val="201F35"/>
        </w:rPr>
        <w:t>64</w:t>
      </w:r>
      <w:r w:rsidRPr="00437301">
        <w:rPr>
          <w:rFonts w:ascii="Book Antiqua" w:hAnsi="Book Antiqua"/>
          <w:color w:val="201F35"/>
        </w:rPr>
        <w:t>: 147-151 [PMID: 29909228 DOI: 10.1016/j.gaitpost.2018.06.026]</w:t>
      </w:r>
    </w:p>
    <w:p w14:paraId="782C0DEA" w14:textId="77777777" w:rsidR="006C2C92"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shd w:val="clear" w:color="auto" w:fill="FFFFFF"/>
        </w:rPr>
      </w:pPr>
      <w:r w:rsidRPr="00437301">
        <w:rPr>
          <w:rFonts w:ascii="Book Antiqua" w:hAnsi="Book Antiqua"/>
          <w:color w:val="201F35"/>
        </w:rPr>
        <w:lastRenderedPageBreak/>
        <w:t>39 </w:t>
      </w:r>
      <w:r w:rsidR="006C2C92" w:rsidRPr="00437301">
        <w:rPr>
          <w:rFonts w:ascii="Book Antiqua" w:hAnsi="Book Antiqua"/>
          <w:b/>
          <w:bCs/>
          <w:color w:val="201F35"/>
          <w:shd w:val="clear" w:color="auto" w:fill="FFFFFF"/>
        </w:rPr>
        <w:t>Levy N</w:t>
      </w:r>
      <w:r w:rsidR="006C2C92" w:rsidRPr="00437301">
        <w:rPr>
          <w:rFonts w:ascii="Book Antiqua" w:hAnsi="Book Antiqua"/>
          <w:color w:val="201F35"/>
          <w:shd w:val="clear" w:color="auto" w:fill="FFFFFF"/>
        </w:rPr>
        <w:t>, Sturgess J, Mills P. "Pain as the fifth vital sign" and dependence on the "numerical pain scale" is being abandoned in the US: Why? </w:t>
      </w:r>
      <w:r w:rsidR="006C2C92" w:rsidRPr="00437301">
        <w:rPr>
          <w:rFonts w:ascii="Book Antiqua" w:hAnsi="Book Antiqua"/>
          <w:i/>
          <w:iCs/>
          <w:color w:val="201F35"/>
          <w:shd w:val="clear" w:color="auto" w:fill="FFFFFF"/>
        </w:rPr>
        <w:t>Br J Anaesth</w:t>
      </w:r>
      <w:r w:rsidR="006C2C92" w:rsidRPr="00437301">
        <w:rPr>
          <w:rFonts w:ascii="Book Antiqua" w:hAnsi="Book Antiqua"/>
          <w:color w:val="201F35"/>
          <w:shd w:val="clear" w:color="auto" w:fill="FFFFFF"/>
        </w:rPr>
        <w:t> 2018; </w:t>
      </w:r>
      <w:r w:rsidR="006C2C92" w:rsidRPr="00437301">
        <w:rPr>
          <w:rFonts w:ascii="Book Antiqua" w:hAnsi="Book Antiqua"/>
          <w:b/>
          <w:bCs/>
          <w:color w:val="201F35"/>
          <w:shd w:val="clear" w:color="auto" w:fill="FFFFFF"/>
        </w:rPr>
        <w:t>120</w:t>
      </w:r>
      <w:r w:rsidR="006C2C92" w:rsidRPr="00437301">
        <w:rPr>
          <w:rFonts w:ascii="Book Antiqua" w:hAnsi="Book Antiqua"/>
          <w:color w:val="201F35"/>
          <w:shd w:val="clear" w:color="auto" w:fill="FFFFFF"/>
        </w:rPr>
        <w:t>: 435-438 [PMID: 29452798 DOI: 10.1016/j.bja.2017.11.098]</w:t>
      </w:r>
    </w:p>
    <w:p w14:paraId="24A9FCE7" w14:textId="127A4815" w:rsidR="00D639B9" w:rsidRPr="00437301"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40 </w:t>
      </w:r>
      <w:r w:rsidRPr="00437301">
        <w:rPr>
          <w:rFonts w:ascii="Book Antiqua" w:hAnsi="Book Antiqua"/>
          <w:b/>
          <w:bCs/>
          <w:color w:val="201F35"/>
        </w:rPr>
        <w:t>Monitto CL</w:t>
      </w:r>
      <w:r w:rsidRPr="00437301">
        <w:rPr>
          <w:rFonts w:ascii="Book Antiqua" w:hAnsi="Book Antiqua"/>
          <w:color w:val="201F35"/>
        </w:rPr>
        <w:t>, Hsu A, Gao S, Vozzo PT, Park PS, Roter D, Yenokyan G, White ED, Kattail D, Edgeworth AE, Vasquenza KJ, Atwater SE, Shay JE, George JA, Vickers BA, Kost-Byerly S, Lee BH, Yaster M. Opioid Prescribing for the Treatment of Acute Pain in Children on Hospital Discharge. </w:t>
      </w:r>
      <w:r w:rsidRPr="00437301">
        <w:rPr>
          <w:rFonts w:ascii="Book Antiqua" w:hAnsi="Book Antiqua"/>
          <w:i/>
          <w:iCs/>
          <w:color w:val="201F35"/>
        </w:rPr>
        <w:t>Anesth Analg</w:t>
      </w:r>
      <w:r w:rsidRPr="00437301">
        <w:rPr>
          <w:rFonts w:ascii="Book Antiqua" w:hAnsi="Book Antiqua"/>
          <w:color w:val="201F35"/>
        </w:rPr>
        <w:t> 2017; </w:t>
      </w:r>
      <w:r w:rsidRPr="00437301">
        <w:rPr>
          <w:rFonts w:ascii="Book Antiqua" w:hAnsi="Book Antiqua"/>
          <w:b/>
          <w:bCs/>
          <w:color w:val="201F35"/>
        </w:rPr>
        <w:t>125</w:t>
      </w:r>
      <w:r w:rsidRPr="00437301">
        <w:rPr>
          <w:rFonts w:ascii="Book Antiqua" w:hAnsi="Book Antiqua"/>
          <w:color w:val="201F35"/>
        </w:rPr>
        <w:t>: 2113-2122 [PMID: 29189368 DOI: 10.1213/ANE.0000000000002586]</w:t>
      </w:r>
    </w:p>
    <w:p w14:paraId="28580196" w14:textId="77777777" w:rsidR="00D639B9" w:rsidRPr="00886C60" w:rsidRDefault="00D639B9" w:rsidP="00886C60">
      <w:pPr>
        <w:pStyle w:val="a8"/>
        <w:shd w:val="clear" w:color="auto" w:fill="FFFFFF"/>
        <w:adjustRightInd w:val="0"/>
        <w:snapToGrid w:val="0"/>
        <w:spacing w:before="0" w:beforeAutospacing="0" w:after="0" w:afterAutospacing="0" w:line="360" w:lineRule="auto"/>
        <w:jc w:val="both"/>
        <w:rPr>
          <w:rFonts w:ascii="Book Antiqua" w:hAnsi="Book Antiqua"/>
          <w:color w:val="201F35"/>
        </w:rPr>
      </w:pPr>
      <w:r w:rsidRPr="00437301">
        <w:rPr>
          <w:rFonts w:ascii="Book Antiqua" w:hAnsi="Book Antiqua"/>
          <w:color w:val="201F35"/>
        </w:rPr>
        <w:t>41 </w:t>
      </w:r>
      <w:r w:rsidRPr="00437301">
        <w:rPr>
          <w:rFonts w:ascii="Book Antiqua" w:hAnsi="Book Antiqua"/>
          <w:b/>
          <w:bCs/>
          <w:color w:val="201F35"/>
        </w:rPr>
        <w:t>Mafi JN</w:t>
      </w:r>
      <w:r w:rsidRPr="00437301">
        <w:rPr>
          <w:rFonts w:ascii="Book Antiqua" w:hAnsi="Book Antiqua"/>
          <w:color w:val="201F35"/>
        </w:rPr>
        <w:t>, Edwards ST, Pedersen NP, Davis RB, McCarthy EP, Landon BE. Trends in the ambulatory management of headache: analysis of NAMCS and NHAMCS data 1999-2010. </w:t>
      </w:r>
      <w:r w:rsidRPr="00437301">
        <w:rPr>
          <w:rFonts w:ascii="Book Antiqua" w:hAnsi="Book Antiqua"/>
          <w:i/>
          <w:iCs/>
          <w:color w:val="201F35"/>
        </w:rPr>
        <w:t>J Gen Intern Med</w:t>
      </w:r>
      <w:r w:rsidRPr="00437301">
        <w:rPr>
          <w:rFonts w:ascii="Book Antiqua" w:hAnsi="Book Antiqua"/>
          <w:color w:val="201F35"/>
        </w:rPr>
        <w:t> 2015; </w:t>
      </w:r>
      <w:r w:rsidRPr="00437301">
        <w:rPr>
          <w:rFonts w:ascii="Book Antiqua" w:hAnsi="Book Antiqua"/>
          <w:b/>
          <w:bCs/>
          <w:color w:val="201F35"/>
        </w:rPr>
        <w:t>30</w:t>
      </w:r>
      <w:r w:rsidRPr="00437301">
        <w:rPr>
          <w:rFonts w:ascii="Book Antiqua" w:hAnsi="Book Antiqua"/>
          <w:color w:val="201F35"/>
        </w:rPr>
        <w:t>: 548-555 [PMID: 25567755 DOI: 10.1007/s11606-014-3107-3]</w:t>
      </w:r>
    </w:p>
    <w:p w14:paraId="21E49E91" w14:textId="3830144E" w:rsidR="00642AB2" w:rsidRPr="00886C60" w:rsidRDefault="00642AB2" w:rsidP="00886C60">
      <w:pPr>
        <w:adjustRightInd w:val="0"/>
        <w:snapToGrid w:val="0"/>
        <w:spacing w:line="360" w:lineRule="auto"/>
        <w:jc w:val="both"/>
        <w:rPr>
          <w:rFonts w:ascii="Book Antiqua" w:hAnsi="Book Antiqua"/>
        </w:rPr>
        <w:sectPr w:rsidR="00642AB2" w:rsidRPr="00886C60">
          <w:footerReference w:type="default" r:id="rId6"/>
          <w:pgSz w:w="12240" w:h="15840"/>
          <w:pgMar w:top="1440" w:right="1440" w:bottom="1440" w:left="1440" w:header="720" w:footer="720" w:gutter="0"/>
          <w:cols w:space="720"/>
          <w:docGrid w:linePitch="360"/>
        </w:sectPr>
      </w:pPr>
    </w:p>
    <w:p w14:paraId="5AA3E17D" w14:textId="7777777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lastRenderedPageBreak/>
        <w:t>Footnotes</w:t>
      </w:r>
    </w:p>
    <w:p w14:paraId="5C0E56D2" w14:textId="607011D2"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Institutional</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review</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board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statement:</w:t>
      </w:r>
      <w:r w:rsidR="00167F91" w:rsidRPr="00886C60">
        <w:rPr>
          <w:rFonts w:ascii="Book Antiqua" w:eastAsia="Book Antiqua" w:hAnsi="Book Antiqua" w:cs="Book Antiqua"/>
          <w:b/>
          <w:bCs/>
          <w:color w:val="000000"/>
        </w:rPr>
        <w:t xml:space="preserve"> </w:t>
      </w:r>
      <w:r w:rsidR="000E290F"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present</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investigation</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retrospective</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study</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utilized</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publicly</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available</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deidentified</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database;</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therefore,</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no</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institutional</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review</w:t>
      </w:r>
      <w:r w:rsidR="00167F91" w:rsidRPr="00886C60">
        <w:rPr>
          <w:rFonts w:ascii="Book Antiqua" w:eastAsia="Book Antiqua" w:hAnsi="Book Antiqua" w:cs="Book Antiqua"/>
          <w:color w:val="000000"/>
        </w:rPr>
        <w:t xml:space="preserve"> </w:t>
      </w:r>
      <w:r w:rsidR="000E290F" w:rsidRPr="00886C60">
        <w:rPr>
          <w:rFonts w:ascii="Book Antiqua" w:eastAsia="Book Antiqua" w:hAnsi="Book Antiqua" w:cs="Book Antiqua"/>
          <w:color w:val="000000"/>
        </w:rPr>
        <w:t>board</w:t>
      </w:r>
      <w:r w:rsidR="000E290F" w:rsidRPr="00886C60">
        <w:rPr>
          <w:rFonts w:ascii="Book Antiqua" w:eastAsia="宋体" w:hAnsi="Book Antiqua" w:cs="宋体"/>
          <w:color w:val="000000"/>
          <w:lang w:eastAsia="zh-CN"/>
        </w:rPr>
        <w:t>.</w:t>
      </w:r>
    </w:p>
    <w:p w14:paraId="2D258B09" w14:textId="58D44A34" w:rsidR="00A77B3E" w:rsidRPr="00886C60" w:rsidRDefault="00A77B3E" w:rsidP="00886C60">
      <w:pPr>
        <w:adjustRightInd w:val="0"/>
        <w:snapToGrid w:val="0"/>
        <w:spacing w:line="360" w:lineRule="auto"/>
        <w:jc w:val="both"/>
        <w:rPr>
          <w:rFonts w:ascii="Book Antiqua" w:hAnsi="Book Antiqua"/>
        </w:rPr>
      </w:pPr>
    </w:p>
    <w:p w14:paraId="632F8A19" w14:textId="3AD7A801" w:rsidR="006C2C92" w:rsidRPr="00886C60" w:rsidRDefault="006C2C92" w:rsidP="00886C60">
      <w:pPr>
        <w:adjustRightInd w:val="0"/>
        <w:snapToGrid w:val="0"/>
        <w:spacing w:line="360" w:lineRule="auto"/>
        <w:jc w:val="both"/>
        <w:rPr>
          <w:rFonts w:ascii="Book Antiqua" w:hAnsi="Book Antiqua"/>
        </w:rPr>
      </w:pPr>
      <w:r w:rsidRPr="00886C60">
        <w:rPr>
          <w:rFonts w:ascii="Book Antiqua" w:hAnsi="Book Antiqua"/>
          <w:b/>
          <w:bCs/>
        </w:rPr>
        <w:t xml:space="preserve">Informed consent statement: </w:t>
      </w:r>
      <w:r w:rsidRPr="00886C60">
        <w:rPr>
          <w:rFonts w:ascii="Book Antiqua" w:hAnsi="Book Antiqua"/>
        </w:rPr>
        <w:t>The present study utilized a publicly available database. Therefore, Informed consent statement were not required.</w:t>
      </w:r>
    </w:p>
    <w:p w14:paraId="4EFC2B7D" w14:textId="77777777" w:rsidR="00AE1C7F" w:rsidRPr="00886C60" w:rsidRDefault="00AE1C7F" w:rsidP="00886C60">
      <w:pPr>
        <w:adjustRightInd w:val="0"/>
        <w:snapToGrid w:val="0"/>
        <w:spacing w:line="360" w:lineRule="auto"/>
        <w:jc w:val="both"/>
        <w:rPr>
          <w:rFonts w:ascii="Book Antiqua" w:hAnsi="Book Antiqua"/>
          <w:color w:val="201F35"/>
        </w:rPr>
      </w:pPr>
    </w:p>
    <w:p w14:paraId="07708676" w14:textId="2BED42F0"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Conflict-of-interest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statement:</w:t>
      </w:r>
      <w:r w:rsidR="00167F91" w:rsidRPr="00886C60">
        <w:rPr>
          <w:rFonts w:ascii="Book Antiqua" w:eastAsia="Book Antiqua" w:hAnsi="Book Antiqua" w:cs="Book Antiqua"/>
          <w:b/>
          <w:bCs/>
          <w:color w:val="000000"/>
        </w:rPr>
        <w:t xml:space="preserve"> </w:t>
      </w:r>
      <w:r w:rsidR="00AE1C7F" w:rsidRPr="00886C60">
        <w:rPr>
          <w:rFonts w:ascii="Book Antiqua" w:eastAsia="Book Antiqua" w:hAnsi="Book Antiqua" w:cs="Book Antiqua"/>
          <w:color w:val="000000"/>
        </w:rPr>
        <w:t>Plate FJ</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following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disclosures,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related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topic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of</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present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investigation:</w:t>
      </w:r>
      <w:r w:rsidR="006C2C92"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shd w:val="clear" w:color="auto" w:fill="FFFFFF"/>
        </w:rPr>
        <w:t>Biocomposites</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Inc.:</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Research</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support</w:t>
      </w:r>
      <w:r w:rsidR="006C2C92"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Total</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Joint</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Orthopedics:</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Paid</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consultant</w:t>
      </w:r>
      <w:r w:rsidR="006C2C92"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VisualDX:</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Publishing</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royalties,</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financial</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or</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material</w:t>
      </w:r>
      <w:r w:rsidR="00167F91" w:rsidRPr="00886C60">
        <w:rPr>
          <w:rFonts w:ascii="Book Antiqua" w:eastAsia="Book Antiqua" w:hAnsi="Book Antiqua" w:cs="Book Antiqua"/>
          <w:color w:val="000000"/>
          <w:shd w:val="clear" w:color="auto" w:fill="FFFFFF"/>
        </w:rPr>
        <w:t xml:space="preserve"> </w:t>
      </w:r>
      <w:r w:rsidRPr="00886C60">
        <w:rPr>
          <w:rFonts w:ascii="Book Antiqua" w:eastAsia="Book Antiqua" w:hAnsi="Book Antiqua" w:cs="Book Antiqua"/>
          <w:color w:val="000000"/>
          <w:shd w:val="clear" w:color="auto" w:fill="FFFFFF"/>
        </w:rPr>
        <w:t>support</w:t>
      </w:r>
      <w:r w:rsidR="006C2C92" w:rsidRPr="00886C60">
        <w:rPr>
          <w:rFonts w:ascii="Book Antiqua" w:eastAsia="Book Antiqua" w:hAnsi="Book Antiqua" w:cs="Book Antiqua"/>
          <w:color w:val="000000"/>
          <w:shd w:val="clear" w:color="auto" w:fill="FFFFFF"/>
        </w:rPr>
        <w:t xml:space="preserve">; </w:t>
      </w:r>
      <w:r w:rsidR="00AE1C7F" w:rsidRPr="00886C60">
        <w:rPr>
          <w:rFonts w:ascii="Book Antiqua" w:eastAsia="Book Antiqua" w:hAnsi="Book Antiqua" w:cs="Book Antiqua"/>
          <w:color w:val="000000"/>
        </w:rPr>
        <w:t>Other authors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nothing</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disclose</w:t>
      </w:r>
    </w:p>
    <w:p w14:paraId="02E30B8D" w14:textId="77777777" w:rsidR="00A77B3E" w:rsidRPr="00886C60" w:rsidRDefault="00A77B3E" w:rsidP="00886C60">
      <w:pPr>
        <w:adjustRightInd w:val="0"/>
        <w:snapToGrid w:val="0"/>
        <w:spacing w:line="360" w:lineRule="auto"/>
        <w:jc w:val="both"/>
        <w:rPr>
          <w:rFonts w:ascii="Book Antiqua" w:hAnsi="Book Antiqua"/>
        </w:rPr>
      </w:pPr>
    </w:p>
    <w:p w14:paraId="5B3ED9EB" w14:textId="308AD32E"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Data</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sharing</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statement: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All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authors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had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data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current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investigation</w:t>
      </w:r>
      <w:r w:rsidR="006C2C92" w:rsidRPr="00886C60">
        <w:rPr>
          <w:rFonts w:ascii="Book Antiqua" w:eastAsia="Book Antiqua" w:hAnsi="Book Antiqua" w:cs="Book Antiqua"/>
          <w:color w:val="000000"/>
        </w:rPr>
        <w:t>.</w:t>
      </w:r>
    </w:p>
    <w:p w14:paraId="153AE0F8" w14:textId="77777777" w:rsidR="00A77B3E" w:rsidRPr="00886C60" w:rsidRDefault="00A77B3E" w:rsidP="00886C60">
      <w:pPr>
        <w:adjustRightInd w:val="0"/>
        <w:snapToGrid w:val="0"/>
        <w:spacing w:line="360" w:lineRule="auto"/>
        <w:jc w:val="both"/>
        <w:rPr>
          <w:rFonts w:ascii="Book Antiqua" w:hAnsi="Book Antiqua"/>
        </w:rPr>
      </w:pPr>
    </w:p>
    <w:p w14:paraId="0ED55759" w14:textId="0041087D"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bCs/>
          <w:color w:val="000000"/>
        </w:rPr>
        <w:t>Open-Access: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article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open-access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article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that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was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selected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in-house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editor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fully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peer-reviewed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external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reviewers.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distributed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accordance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with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Creative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Commons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Attribution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NonCommercial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BY-NC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4.0)</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license,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which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permits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others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to</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distribute,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remix,</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adapt,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build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upon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work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non-commercially,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license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derivative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works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on</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different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terms,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provided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original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work</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properly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and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the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use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is</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non-commercial.</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See: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http://creativecommons.org/Licenses/by-nc/4.0/</w:t>
      </w:r>
    </w:p>
    <w:p w14:paraId="2984AF39" w14:textId="77777777" w:rsidR="00A77B3E" w:rsidRPr="00886C60" w:rsidRDefault="00A77B3E" w:rsidP="00886C60">
      <w:pPr>
        <w:adjustRightInd w:val="0"/>
        <w:snapToGrid w:val="0"/>
        <w:spacing w:line="360" w:lineRule="auto"/>
        <w:jc w:val="both"/>
        <w:rPr>
          <w:rFonts w:ascii="Book Antiqua" w:hAnsi="Book Antiqua"/>
        </w:rPr>
      </w:pPr>
    </w:p>
    <w:p w14:paraId="6242F8E5" w14:textId="41E8E4FC"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Manuscript</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source:</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Invited</w:t>
      </w:r>
      <w:r w:rsidR="00AE1C7F" w:rsidRPr="00886C60">
        <w:rPr>
          <w:rFonts w:ascii="Book Antiqua" w:eastAsia="Book Antiqua" w:hAnsi="Book Antiqua" w:cs="Book Antiqua"/>
          <w:color w:val="000000"/>
        </w:rPr>
        <w:t xml:space="preserve"> manuscr</w:t>
      </w:r>
      <w:r w:rsidRPr="00886C60">
        <w:rPr>
          <w:rFonts w:ascii="Book Antiqua" w:eastAsia="Book Antiqua" w:hAnsi="Book Antiqua" w:cs="Book Antiqua"/>
          <w:color w:val="000000"/>
        </w:rPr>
        <w:t>ipt</w:t>
      </w:r>
    </w:p>
    <w:p w14:paraId="3E534534" w14:textId="77777777" w:rsidR="00A77B3E" w:rsidRPr="00886C60" w:rsidRDefault="00A77B3E" w:rsidP="00886C60">
      <w:pPr>
        <w:adjustRightInd w:val="0"/>
        <w:snapToGrid w:val="0"/>
        <w:spacing w:line="360" w:lineRule="auto"/>
        <w:jc w:val="both"/>
        <w:rPr>
          <w:rFonts w:ascii="Book Antiqua" w:hAnsi="Book Antiqua"/>
        </w:rPr>
      </w:pPr>
    </w:p>
    <w:p w14:paraId="1B92B7D5" w14:textId="3FBA97D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Peer-review</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started:</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February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25,</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2021</w:t>
      </w:r>
    </w:p>
    <w:p w14:paraId="66A314FB" w14:textId="3507ECE3"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First</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decision:</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March</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31,</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2021</w:t>
      </w:r>
    </w:p>
    <w:p w14:paraId="1968E0A4" w14:textId="7ED96CFF"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Article</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in</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press:</w:t>
      </w:r>
      <w:r w:rsidR="00167F91" w:rsidRPr="00886C60">
        <w:rPr>
          <w:rFonts w:ascii="Book Antiqua" w:eastAsia="Book Antiqua" w:hAnsi="Book Antiqua" w:cs="Book Antiqua"/>
          <w:b/>
          <w:color w:val="000000"/>
        </w:rPr>
        <w:t xml:space="preserve"> </w:t>
      </w:r>
      <w:r w:rsidR="000C35F1" w:rsidRPr="00F25A0D">
        <w:rPr>
          <w:rFonts w:ascii="Book Antiqua" w:eastAsia="Book Antiqua" w:hAnsi="Book Antiqua" w:cs="Book Antiqua"/>
          <w:color w:val="000000"/>
        </w:rPr>
        <w:t>August 24, 2021</w:t>
      </w:r>
    </w:p>
    <w:p w14:paraId="677EA5EE" w14:textId="77777777" w:rsidR="00A77B3E" w:rsidRPr="00886C60" w:rsidRDefault="00A77B3E" w:rsidP="00886C60">
      <w:pPr>
        <w:adjustRightInd w:val="0"/>
        <w:snapToGrid w:val="0"/>
        <w:spacing w:line="360" w:lineRule="auto"/>
        <w:jc w:val="both"/>
        <w:rPr>
          <w:rFonts w:ascii="Book Antiqua" w:hAnsi="Book Antiqua"/>
        </w:rPr>
      </w:pPr>
    </w:p>
    <w:p w14:paraId="00B077B4" w14:textId="50DC4E29"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lastRenderedPageBreak/>
        <w:t>Specialty</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type:</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Orthopedics</w:t>
      </w:r>
    </w:p>
    <w:p w14:paraId="0CECD882" w14:textId="26EDCA90"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Country/Territory</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of</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origin:</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United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States</w:t>
      </w:r>
    </w:p>
    <w:p w14:paraId="753ABBD5" w14:textId="39E99E87"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b/>
          <w:color w:val="000000"/>
        </w:rPr>
        <w:t>Peer-review</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report’s</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scientific</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quality</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classification</w:t>
      </w:r>
    </w:p>
    <w:p w14:paraId="6944C018" w14:textId="6C22E489"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Grade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A</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(Excellent):</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w:t>
      </w:r>
    </w:p>
    <w:p w14:paraId="0D8A358F" w14:textId="12BDF99B"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Grade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(Very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good):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B</w:t>
      </w:r>
    </w:p>
    <w:p w14:paraId="0A356474" w14:textId="45375600"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Grade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(Good):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C</w:t>
      </w:r>
    </w:p>
    <w:p w14:paraId="3D5B5DC7" w14:textId="53344220"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Grade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D</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(Fair):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w:t>
      </w:r>
    </w:p>
    <w:p w14:paraId="75297880" w14:textId="4B64C896" w:rsidR="00A77B3E" w:rsidRPr="00886C60" w:rsidRDefault="00642AB2" w:rsidP="00886C60">
      <w:pPr>
        <w:adjustRightInd w:val="0"/>
        <w:snapToGrid w:val="0"/>
        <w:spacing w:line="360" w:lineRule="auto"/>
        <w:jc w:val="both"/>
        <w:rPr>
          <w:rFonts w:ascii="Book Antiqua" w:hAnsi="Book Antiqua"/>
        </w:rPr>
      </w:pPr>
      <w:r w:rsidRPr="00886C60">
        <w:rPr>
          <w:rFonts w:ascii="Book Antiqua" w:eastAsia="Book Antiqua" w:hAnsi="Book Antiqua" w:cs="Book Antiqua"/>
          <w:color w:val="000000"/>
        </w:rPr>
        <w:t>Grade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E</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(Poor):</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0</w:t>
      </w:r>
    </w:p>
    <w:p w14:paraId="5300C534" w14:textId="77777777" w:rsidR="00A77B3E" w:rsidRPr="00886C60" w:rsidRDefault="00A77B3E" w:rsidP="00886C60">
      <w:pPr>
        <w:adjustRightInd w:val="0"/>
        <w:snapToGrid w:val="0"/>
        <w:spacing w:line="360" w:lineRule="auto"/>
        <w:jc w:val="both"/>
        <w:rPr>
          <w:rFonts w:ascii="Book Antiqua" w:hAnsi="Book Antiqua"/>
        </w:rPr>
      </w:pPr>
    </w:p>
    <w:p w14:paraId="7E46FED1" w14:textId="21F098D4" w:rsidR="000C35F1" w:rsidRPr="000C35F1" w:rsidRDefault="00642AB2" w:rsidP="00886C60">
      <w:pPr>
        <w:adjustRightInd w:val="0"/>
        <w:snapToGrid w:val="0"/>
        <w:spacing w:line="360" w:lineRule="auto"/>
        <w:jc w:val="both"/>
        <w:rPr>
          <w:rFonts w:ascii="Book Antiqua" w:hAnsi="Book Antiqua" w:cs="Book Antiqua"/>
          <w:b/>
          <w:color w:val="000000"/>
          <w:lang w:eastAsia="zh-CN"/>
        </w:rPr>
      </w:pPr>
      <w:r w:rsidRPr="00886C60">
        <w:rPr>
          <w:rFonts w:ascii="Book Antiqua" w:eastAsia="Book Antiqua" w:hAnsi="Book Antiqua" w:cs="Book Antiqua"/>
          <w:b/>
          <w:color w:val="000000"/>
        </w:rPr>
        <w:t>P-Reviewer:</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Reddy</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RS</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S-Editor:</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color w:val="000000"/>
        </w:rPr>
        <w:t>Liu</w:t>
      </w:r>
      <w:r w:rsidR="00167F91" w:rsidRPr="00886C60">
        <w:rPr>
          <w:rFonts w:ascii="Book Antiqua" w:eastAsia="Book Antiqua" w:hAnsi="Book Antiqua" w:cs="Book Antiqua"/>
          <w:color w:val="000000"/>
        </w:rPr>
        <w:t xml:space="preserve"> </w:t>
      </w:r>
      <w:r w:rsidRPr="00886C60">
        <w:rPr>
          <w:rFonts w:ascii="Book Antiqua" w:eastAsia="Book Antiqua" w:hAnsi="Book Antiqua" w:cs="Book Antiqua"/>
          <w:color w:val="000000"/>
        </w:rPr>
        <w:t>M</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L-Editor:</w:t>
      </w:r>
      <w:r w:rsidR="00167F91" w:rsidRPr="00886C60">
        <w:rPr>
          <w:rFonts w:ascii="Book Antiqua" w:eastAsia="Book Antiqua" w:hAnsi="Book Antiqua" w:cs="Book Antiqua"/>
          <w:b/>
          <w:color w:val="000000"/>
        </w:rPr>
        <w:t xml:space="preserve"> </w:t>
      </w:r>
      <w:r w:rsidR="000C35F1" w:rsidRPr="000C35F1">
        <w:rPr>
          <w:rFonts w:ascii="Book Antiqua" w:hAnsi="Book Antiqua" w:cs="Book Antiqua" w:hint="eastAsia"/>
          <w:color w:val="000000"/>
          <w:lang w:eastAsia="zh-CN"/>
        </w:rPr>
        <w:t xml:space="preserve">A </w:t>
      </w:r>
      <w:r w:rsidRPr="00886C60">
        <w:rPr>
          <w:rFonts w:ascii="Book Antiqua" w:eastAsia="Book Antiqua" w:hAnsi="Book Antiqua" w:cs="Book Antiqua"/>
          <w:b/>
          <w:color w:val="000000"/>
        </w:rPr>
        <w:t>P-Editor:</w:t>
      </w:r>
      <w:r w:rsidR="000C35F1">
        <w:rPr>
          <w:rFonts w:ascii="Book Antiqua" w:hAnsi="Book Antiqua" w:cs="Book Antiqua" w:hint="eastAsia"/>
          <w:b/>
          <w:color w:val="000000"/>
          <w:lang w:eastAsia="zh-CN"/>
        </w:rPr>
        <w:t xml:space="preserve"> </w:t>
      </w:r>
      <w:r w:rsidR="000C35F1" w:rsidRPr="000C35F1">
        <w:rPr>
          <w:rFonts w:ascii="Book Antiqua" w:hAnsi="Book Antiqua" w:cs="Book Antiqua" w:hint="eastAsia"/>
          <w:color w:val="000000"/>
          <w:lang w:eastAsia="zh-CN"/>
        </w:rPr>
        <w:t>Liu JH</w:t>
      </w:r>
    </w:p>
    <w:p w14:paraId="5F9A3BB9" w14:textId="04AA9177" w:rsidR="00A77B3E" w:rsidRPr="00886C60" w:rsidRDefault="00167F91" w:rsidP="00886C60">
      <w:pPr>
        <w:adjustRightInd w:val="0"/>
        <w:snapToGrid w:val="0"/>
        <w:spacing w:line="360" w:lineRule="auto"/>
        <w:jc w:val="both"/>
        <w:rPr>
          <w:rFonts w:ascii="Book Antiqua" w:hAnsi="Book Antiqua"/>
        </w:rPr>
        <w:sectPr w:rsidR="00A77B3E" w:rsidRPr="00886C60">
          <w:pgSz w:w="12240" w:h="15840"/>
          <w:pgMar w:top="1440" w:right="1440" w:bottom="1440" w:left="1440" w:header="720" w:footer="720" w:gutter="0"/>
          <w:cols w:space="720"/>
          <w:docGrid w:linePitch="360"/>
        </w:sectPr>
      </w:pPr>
      <w:r w:rsidRPr="00886C60">
        <w:rPr>
          <w:rFonts w:ascii="Book Antiqua" w:eastAsia="Book Antiqua" w:hAnsi="Book Antiqua" w:cs="Book Antiqua"/>
          <w:b/>
          <w:color w:val="000000"/>
        </w:rPr>
        <w:t xml:space="preserve"> </w:t>
      </w:r>
    </w:p>
    <w:p w14:paraId="3AF20E43" w14:textId="1EA5797B" w:rsidR="00A77B3E" w:rsidRPr="00886C60" w:rsidRDefault="00642AB2" w:rsidP="00886C60">
      <w:pPr>
        <w:adjustRightInd w:val="0"/>
        <w:snapToGrid w:val="0"/>
        <w:spacing w:line="360" w:lineRule="auto"/>
        <w:jc w:val="both"/>
        <w:rPr>
          <w:rFonts w:ascii="Book Antiqua" w:eastAsia="Book Antiqua" w:hAnsi="Book Antiqua" w:cs="Book Antiqua"/>
          <w:b/>
          <w:color w:val="000000"/>
        </w:rPr>
      </w:pPr>
      <w:r w:rsidRPr="00886C60">
        <w:rPr>
          <w:rFonts w:ascii="Book Antiqua" w:eastAsia="Book Antiqua" w:hAnsi="Book Antiqua" w:cs="Book Antiqua"/>
          <w:b/>
          <w:color w:val="000000"/>
        </w:rPr>
        <w:lastRenderedPageBreak/>
        <w:t>Figure</w:t>
      </w:r>
      <w:r w:rsidR="00167F91" w:rsidRPr="00886C60">
        <w:rPr>
          <w:rFonts w:ascii="Book Antiqua" w:eastAsia="Book Antiqua" w:hAnsi="Book Antiqua" w:cs="Book Antiqua"/>
          <w:b/>
          <w:color w:val="000000"/>
        </w:rPr>
        <w:t xml:space="preserve"> </w:t>
      </w:r>
      <w:r w:rsidRPr="00886C60">
        <w:rPr>
          <w:rFonts w:ascii="Book Antiqua" w:eastAsia="Book Antiqua" w:hAnsi="Book Antiqua" w:cs="Book Antiqua"/>
          <w:b/>
          <w:color w:val="000000"/>
        </w:rPr>
        <w:t>Legends</w:t>
      </w:r>
    </w:p>
    <w:p w14:paraId="4D3226AB" w14:textId="50C4B16F" w:rsidR="00AE1C7F" w:rsidRPr="00886C60" w:rsidRDefault="00AE1C7F" w:rsidP="00886C60">
      <w:pPr>
        <w:adjustRightInd w:val="0"/>
        <w:snapToGrid w:val="0"/>
        <w:spacing w:line="360" w:lineRule="auto"/>
        <w:jc w:val="both"/>
        <w:rPr>
          <w:rFonts w:ascii="Book Antiqua" w:hAnsi="Book Antiqua"/>
        </w:rPr>
      </w:pPr>
      <w:r w:rsidRPr="00886C60">
        <w:rPr>
          <w:rFonts w:ascii="Book Antiqua" w:hAnsi="Book Antiqua"/>
          <w:noProof/>
          <w:lang w:eastAsia="zh-CN"/>
        </w:rPr>
        <w:drawing>
          <wp:inline distT="0" distB="0" distL="0" distR="0" wp14:anchorId="24D7DBBF" wp14:editId="495B309A">
            <wp:extent cx="3297094" cy="4871777"/>
            <wp:effectExtent l="781050" t="0" r="7607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3302673" cy="4880021"/>
                    </a:xfrm>
                    <a:prstGeom prst="rect">
                      <a:avLst/>
                    </a:prstGeom>
                  </pic:spPr>
                </pic:pic>
              </a:graphicData>
            </a:graphic>
          </wp:inline>
        </w:drawing>
      </w:r>
    </w:p>
    <w:p w14:paraId="7319E2F3" w14:textId="4A6460A2" w:rsidR="00A77B3E" w:rsidRPr="00886C60" w:rsidRDefault="00642AB2" w:rsidP="00886C60">
      <w:pPr>
        <w:adjustRightInd w:val="0"/>
        <w:snapToGrid w:val="0"/>
        <w:spacing w:line="360" w:lineRule="auto"/>
        <w:jc w:val="both"/>
        <w:rPr>
          <w:rFonts w:ascii="Book Antiqua" w:eastAsia="Book Antiqua" w:hAnsi="Book Antiqua" w:cs="Book Antiqua"/>
          <w:b/>
          <w:bCs/>
          <w:color w:val="000000"/>
        </w:rPr>
      </w:pPr>
      <w:r w:rsidRPr="00886C60">
        <w:rPr>
          <w:rFonts w:ascii="Book Antiqua" w:eastAsia="Book Antiqua" w:hAnsi="Book Antiqua" w:cs="Book Antiqua"/>
          <w:b/>
          <w:bCs/>
          <w:color w:val="000000"/>
        </w:rPr>
        <w:t>Figure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1</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Incidences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of</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non-emergent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lower</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back</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pain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that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present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to</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the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emergency</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department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between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2010</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and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2017.</w:t>
      </w:r>
    </w:p>
    <w:p w14:paraId="72564E70" w14:textId="7E9C1112" w:rsidR="00AE1C7F" w:rsidRPr="00886C60" w:rsidRDefault="00AE1C7F" w:rsidP="00886C60">
      <w:pPr>
        <w:adjustRightInd w:val="0"/>
        <w:snapToGrid w:val="0"/>
        <w:spacing w:line="360" w:lineRule="auto"/>
        <w:jc w:val="both"/>
        <w:rPr>
          <w:rFonts w:ascii="Book Antiqua" w:hAnsi="Book Antiqua"/>
        </w:rPr>
      </w:pPr>
      <w:r w:rsidRPr="00886C60">
        <w:rPr>
          <w:rFonts w:ascii="Book Antiqua" w:hAnsi="Book Antiqua"/>
        </w:rPr>
        <w:br w:type="page"/>
      </w:r>
      <w:r w:rsidR="00886C60" w:rsidRPr="00886C60">
        <w:rPr>
          <w:rFonts w:ascii="Book Antiqua" w:hAnsi="Book Antiqua"/>
          <w:noProof/>
          <w:lang w:eastAsia="zh-CN"/>
        </w:rPr>
        <w:lastRenderedPageBreak/>
        <w:drawing>
          <wp:inline distT="0" distB="0" distL="0" distR="0" wp14:anchorId="68A02B9C" wp14:editId="1F377B6C">
            <wp:extent cx="3433879" cy="5581650"/>
            <wp:effectExtent l="1047750" t="0" r="8718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38822" cy="5589684"/>
                    </a:xfrm>
                    <a:prstGeom prst="rect">
                      <a:avLst/>
                    </a:prstGeom>
                    <a:noFill/>
                  </pic:spPr>
                </pic:pic>
              </a:graphicData>
            </a:graphic>
          </wp:inline>
        </w:drawing>
      </w:r>
    </w:p>
    <w:p w14:paraId="43247079" w14:textId="5876B51B" w:rsidR="00886C60" w:rsidRPr="00886C60" w:rsidRDefault="00642AB2" w:rsidP="00886C60">
      <w:pPr>
        <w:adjustRightInd w:val="0"/>
        <w:snapToGrid w:val="0"/>
        <w:spacing w:line="360" w:lineRule="auto"/>
        <w:jc w:val="both"/>
        <w:rPr>
          <w:rFonts w:ascii="Book Antiqua" w:eastAsia="Book Antiqua" w:hAnsi="Book Antiqua" w:cs="Book Antiqua"/>
          <w:b/>
          <w:bCs/>
          <w:color w:val="000000"/>
        </w:rPr>
      </w:pPr>
      <w:r w:rsidRPr="00886C60">
        <w:rPr>
          <w:rFonts w:ascii="Book Antiqua" w:eastAsia="Book Antiqua" w:hAnsi="Book Antiqua" w:cs="Book Antiqua"/>
          <w:b/>
          <w:bCs/>
          <w:color w:val="000000"/>
        </w:rPr>
        <w:t>Figure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2</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Percent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of</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cases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who</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presented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to</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the</w:t>
      </w:r>
      <w:r w:rsidR="00167F91" w:rsidRPr="00886C60">
        <w:rPr>
          <w:rFonts w:ascii="Book Antiqua" w:eastAsia="Book Antiqua" w:hAnsi="Book Antiqua" w:cs="Book Antiqua"/>
          <w:b/>
          <w:bCs/>
          <w:color w:val="000000"/>
        </w:rPr>
        <w:t xml:space="preserve"> </w:t>
      </w:r>
      <w:r w:rsidR="00AE1C7F" w:rsidRPr="00886C60">
        <w:rPr>
          <w:rFonts w:ascii="Book Antiqua" w:eastAsia="Book Antiqua" w:hAnsi="Book Antiqua" w:cs="Book Antiqua"/>
          <w:b/>
          <w:bCs/>
          <w:color w:val="000000"/>
        </w:rPr>
        <w:t>emergency department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with</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non-emergent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back</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pain,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that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were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prescribed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opioid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based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medications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upon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discharge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between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2010</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and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2017.</w:t>
      </w:r>
      <w:r w:rsidR="00167F91" w:rsidRPr="00886C60">
        <w:rPr>
          <w:rFonts w:ascii="Book Antiqua" w:eastAsia="Book Antiqua" w:hAnsi="Book Antiqua" w:cs="Book Antiqua"/>
          <w:b/>
          <w:bCs/>
          <w:color w:val="000000"/>
        </w:rPr>
        <w:t xml:space="preserve"> </w:t>
      </w:r>
    </w:p>
    <w:p w14:paraId="0BEDD1E9" w14:textId="096878B2" w:rsidR="00AE1C7F" w:rsidRPr="00886C60" w:rsidRDefault="00886C60" w:rsidP="00886C60">
      <w:pPr>
        <w:adjustRightInd w:val="0"/>
        <w:snapToGrid w:val="0"/>
        <w:spacing w:line="360" w:lineRule="auto"/>
        <w:jc w:val="both"/>
        <w:rPr>
          <w:rFonts w:ascii="Book Antiqua" w:eastAsia="Book Antiqua" w:hAnsi="Book Antiqua" w:cs="Book Antiqua"/>
          <w:b/>
          <w:bCs/>
          <w:color w:val="000000"/>
        </w:rPr>
      </w:pPr>
      <w:r w:rsidRPr="00886C60">
        <w:rPr>
          <w:rFonts w:ascii="Book Antiqua" w:eastAsia="Book Antiqua" w:hAnsi="Book Antiqua" w:cs="Book Antiqua"/>
          <w:b/>
          <w:bCs/>
          <w:color w:val="000000"/>
        </w:rPr>
        <w:br w:type="page"/>
      </w:r>
      <w:r w:rsidRPr="00886C60">
        <w:rPr>
          <w:rFonts w:ascii="Book Antiqua" w:eastAsia="Book Antiqua" w:hAnsi="Book Antiqua" w:cs="Book Antiqua"/>
          <w:b/>
          <w:bCs/>
          <w:noProof/>
          <w:color w:val="000000"/>
          <w:lang w:eastAsia="zh-CN"/>
        </w:rPr>
        <w:lastRenderedPageBreak/>
        <w:drawing>
          <wp:inline distT="0" distB="0" distL="0" distR="0" wp14:anchorId="186C2557" wp14:editId="4BA1633A">
            <wp:extent cx="3306928" cy="5589270"/>
            <wp:effectExtent l="1143000" t="0" r="11131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310454" cy="5595229"/>
                    </a:xfrm>
                    <a:prstGeom prst="rect">
                      <a:avLst/>
                    </a:prstGeom>
                    <a:noFill/>
                  </pic:spPr>
                </pic:pic>
              </a:graphicData>
            </a:graphic>
          </wp:inline>
        </w:drawing>
      </w:r>
    </w:p>
    <w:p w14:paraId="67FBB6E2" w14:textId="14164437" w:rsidR="00886C60" w:rsidRPr="00886C60" w:rsidRDefault="00642AB2" w:rsidP="00886C60">
      <w:pPr>
        <w:adjustRightInd w:val="0"/>
        <w:snapToGrid w:val="0"/>
        <w:spacing w:line="360" w:lineRule="auto"/>
        <w:jc w:val="both"/>
        <w:rPr>
          <w:rFonts w:ascii="Book Antiqua" w:eastAsia="Book Antiqua" w:hAnsi="Book Antiqua" w:cs="Book Antiqua"/>
          <w:b/>
          <w:bCs/>
          <w:color w:val="000000"/>
        </w:rPr>
      </w:pPr>
      <w:r w:rsidRPr="00886C60">
        <w:rPr>
          <w:rFonts w:ascii="Book Antiqua" w:eastAsia="Book Antiqua" w:hAnsi="Book Antiqua" w:cs="Book Antiqua"/>
          <w:b/>
          <w:bCs/>
          <w:color w:val="000000"/>
        </w:rPr>
        <w:t>Figure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3</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Types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of</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opioids</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prescribed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for</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non-emergent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back</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pain</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that</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presented</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to</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the</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emergency</w:t>
      </w:r>
      <w:r w:rsidR="00167F91" w:rsidRPr="00886C60">
        <w:rPr>
          <w:rFonts w:ascii="Book Antiqua" w:eastAsia="Book Antiqua" w:hAnsi="Book Antiqua" w:cs="Book Antiqua"/>
          <w:b/>
          <w:bCs/>
          <w:color w:val="000000"/>
        </w:rPr>
        <w:t xml:space="preserve"> </w:t>
      </w:r>
      <w:r w:rsidRPr="00886C60">
        <w:rPr>
          <w:rFonts w:ascii="Book Antiqua" w:eastAsia="Book Antiqua" w:hAnsi="Book Antiqua" w:cs="Book Antiqua"/>
          <w:b/>
          <w:bCs/>
          <w:color w:val="000000"/>
        </w:rPr>
        <w:t>department.</w:t>
      </w:r>
      <w:r w:rsidR="00167F91" w:rsidRPr="00886C60">
        <w:rPr>
          <w:rFonts w:ascii="Book Antiqua" w:eastAsia="Book Antiqua" w:hAnsi="Book Antiqua" w:cs="Book Antiqua"/>
          <w:b/>
          <w:bCs/>
          <w:color w:val="000000"/>
        </w:rPr>
        <w:t xml:space="preserve"> </w:t>
      </w:r>
    </w:p>
    <w:p w14:paraId="4E159B0D" w14:textId="561822E0" w:rsidR="00886C60" w:rsidRPr="00886C60" w:rsidRDefault="00886C60" w:rsidP="00886C60">
      <w:pPr>
        <w:pStyle w:val="1"/>
        <w:adjustRightInd w:val="0"/>
        <w:snapToGrid w:val="0"/>
        <w:spacing w:line="360" w:lineRule="auto"/>
        <w:jc w:val="both"/>
        <w:rPr>
          <w:rFonts w:ascii="Book Antiqua" w:eastAsia="Calibri" w:hAnsi="Book Antiqua"/>
          <w:b/>
          <w:bCs/>
          <w:color w:val="000000"/>
        </w:rPr>
      </w:pPr>
      <w:r w:rsidRPr="00886C60">
        <w:rPr>
          <w:rFonts w:ascii="Book Antiqua" w:eastAsia="Book Antiqua" w:hAnsi="Book Antiqua" w:cs="Book Antiqua"/>
          <w:b/>
          <w:bCs/>
          <w:color w:val="000000"/>
        </w:rPr>
        <w:br w:type="page"/>
      </w:r>
      <w:r w:rsidRPr="00886C60">
        <w:rPr>
          <w:rFonts w:ascii="Book Antiqua" w:eastAsia="Calibri" w:hAnsi="Book Antiqua"/>
          <w:b/>
          <w:bCs/>
          <w:color w:val="000000"/>
        </w:rPr>
        <w:lastRenderedPageBreak/>
        <w:t>Table 1 Risk factors associated with emergency department opioid-based medication prescription for non-emergent low back pain</w:t>
      </w:r>
    </w:p>
    <w:tbl>
      <w:tblPr>
        <w:tblStyle w:val="10"/>
        <w:tblW w:w="10613" w:type="dxa"/>
        <w:tblInd w:w="-5" w:type="dxa"/>
        <w:tblBorders>
          <w:top w:val="single" w:sz="4" w:space="0" w:color="auto"/>
          <w:bottom w:val="single" w:sz="4" w:space="0" w:color="auto"/>
        </w:tblBorders>
        <w:tblLook w:val="04A0" w:firstRow="1" w:lastRow="0" w:firstColumn="1" w:lastColumn="0" w:noHBand="0" w:noVBand="1"/>
      </w:tblPr>
      <w:tblGrid>
        <w:gridCol w:w="2665"/>
        <w:gridCol w:w="1825"/>
        <w:gridCol w:w="2381"/>
        <w:gridCol w:w="2381"/>
        <w:gridCol w:w="1361"/>
      </w:tblGrid>
      <w:tr w:rsidR="00886C60" w:rsidRPr="00886C60" w14:paraId="67AF0785" w14:textId="77777777" w:rsidTr="00886C60">
        <w:trPr>
          <w:trHeight w:val="491"/>
        </w:trPr>
        <w:tc>
          <w:tcPr>
            <w:tcW w:w="2665" w:type="dxa"/>
            <w:tcBorders>
              <w:top w:val="single" w:sz="4" w:space="0" w:color="auto"/>
              <w:bottom w:val="single" w:sz="4" w:space="0" w:color="auto"/>
            </w:tcBorders>
            <w:noWrap/>
            <w:vAlign w:val="bottom"/>
            <w:hideMark/>
          </w:tcPr>
          <w:p w14:paraId="42901137" w14:textId="77777777" w:rsidR="00886C60" w:rsidRPr="00886C60" w:rsidRDefault="00886C60" w:rsidP="00886C60">
            <w:pPr>
              <w:pStyle w:val="1"/>
              <w:adjustRightInd w:val="0"/>
              <w:snapToGrid w:val="0"/>
              <w:spacing w:line="360" w:lineRule="auto"/>
              <w:jc w:val="both"/>
              <w:rPr>
                <w:rFonts w:ascii="Book Antiqua" w:hAnsi="Book Antiqua"/>
                <w:b/>
                <w:bCs/>
                <w:color w:val="000000"/>
              </w:rPr>
            </w:pPr>
          </w:p>
        </w:tc>
        <w:tc>
          <w:tcPr>
            <w:tcW w:w="1825" w:type="dxa"/>
            <w:tcBorders>
              <w:top w:val="single" w:sz="4" w:space="0" w:color="auto"/>
              <w:bottom w:val="single" w:sz="4" w:space="0" w:color="auto"/>
            </w:tcBorders>
            <w:noWrap/>
            <w:vAlign w:val="bottom"/>
            <w:hideMark/>
          </w:tcPr>
          <w:p w14:paraId="2BF13264" w14:textId="3A832E9A" w:rsidR="00886C60" w:rsidRPr="00886C60" w:rsidRDefault="00886C60" w:rsidP="00886C60">
            <w:pPr>
              <w:pStyle w:val="1"/>
              <w:adjustRightInd w:val="0"/>
              <w:snapToGrid w:val="0"/>
              <w:spacing w:line="360" w:lineRule="auto"/>
              <w:jc w:val="both"/>
              <w:rPr>
                <w:rFonts w:ascii="Book Antiqua" w:hAnsi="Book Antiqua"/>
                <w:b/>
                <w:bCs/>
                <w:color w:val="000000"/>
              </w:rPr>
            </w:pPr>
            <w:r w:rsidRPr="00886C60">
              <w:rPr>
                <w:rFonts w:ascii="Book Antiqua" w:hAnsi="Book Antiqua"/>
                <w:b/>
                <w:bCs/>
                <w:color w:val="000000"/>
              </w:rPr>
              <w:t xml:space="preserve">Odds </w:t>
            </w:r>
            <w:r w:rsidR="00C9409C">
              <w:rPr>
                <w:rFonts w:ascii="Book Antiqua" w:hAnsi="Book Antiqua" w:hint="eastAsia"/>
                <w:b/>
                <w:bCs/>
                <w:color w:val="000000"/>
              </w:rPr>
              <w:t>r</w:t>
            </w:r>
            <w:r w:rsidRPr="00886C60">
              <w:rPr>
                <w:rFonts w:ascii="Book Antiqua" w:hAnsi="Book Antiqua"/>
                <w:b/>
                <w:bCs/>
                <w:color w:val="000000"/>
              </w:rPr>
              <w:t>atio</w:t>
            </w:r>
          </w:p>
        </w:tc>
        <w:tc>
          <w:tcPr>
            <w:tcW w:w="2381" w:type="dxa"/>
            <w:tcBorders>
              <w:top w:val="single" w:sz="4" w:space="0" w:color="auto"/>
              <w:bottom w:val="single" w:sz="4" w:space="0" w:color="auto"/>
            </w:tcBorders>
            <w:noWrap/>
            <w:vAlign w:val="bottom"/>
            <w:hideMark/>
          </w:tcPr>
          <w:p w14:paraId="5F26DDC6" w14:textId="77777777" w:rsidR="00886C60" w:rsidRPr="00886C60" w:rsidRDefault="00886C60" w:rsidP="00886C60">
            <w:pPr>
              <w:pStyle w:val="1"/>
              <w:adjustRightInd w:val="0"/>
              <w:snapToGrid w:val="0"/>
              <w:spacing w:line="360" w:lineRule="auto"/>
              <w:jc w:val="both"/>
              <w:rPr>
                <w:rFonts w:ascii="Book Antiqua" w:hAnsi="Book Antiqua"/>
                <w:b/>
                <w:bCs/>
                <w:color w:val="000000"/>
              </w:rPr>
            </w:pPr>
            <w:r w:rsidRPr="00886C60">
              <w:rPr>
                <w:rFonts w:ascii="Book Antiqua" w:hAnsi="Book Antiqua"/>
                <w:b/>
                <w:bCs/>
                <w:color w:val="000000"/>
              </w:rPr>
              <w:t>Lower 95% confidence interval</w:t>
            </w:r>
          </w:p>
        </w:tc>
        <w:tc>
          <w:tcPr>
            <w:tcW w:w="2381" w:type="dxa"/>
            <w:tcBorders>
              <w:top w:val="single" w:sz="4" w:space="0" w:color="auto"/>
              <w:bottom w:val="single" w:sz="4" w:space="0" w:color="auto"/>
            </w:tcBorders>
            <w:noWrap/>
            <w:vAlign w:val="bottom"/>
            <w:hideMark/>
          </w:tcPr>
          <w:p w14:paraId="7116DEA7" w14:textId="77777777" w:rsidR="00886C60" w:rsidRPr="00886C60" w:rsidRDefault="00886C60" w:rsidP="00886C60">
            <w:pPr>
              <w:pStyle w:val="1"/>
              <w:adjustRightInd w:val="0"/>
              <w:snapToGrid w:val="0"/>
              <w:spacing w:line="360" w:lineRule="auto"/>
              <w:jc w:val="both"/>
              <w:rPr>
                <w:rFonts w:ascii="Book Antiqua" w:hAnsi="Book Antiqua"/>
                <w:b/>
                <w:bCs/>
                <w:color w:val="000000"/>
              </w:rPr>
            </w:pPr>
            <w:r w:rsidRPr="00886C60">
              <w:rPr>
                <w:rFonts w:ascii="Book Antiqua" w:hAnsi="Book Antiqua"/>
                <w:b/>
                <w:bCs/>
                <w:color w:val="000000"/>
              </w:rPr>
              <w:t>Upper 95% confidence interval</w:t>
            </w:r>
          </w:p>
        </w:tc>
        <w:tc>
          <w:tcPr>
            <w:tcW w:w="1361" w:type="dxa"/>
            <w:tcBorders>
              <w:top w:val="single" w:sz="4" w:space="0" w:color="auto"/>
              <w:bottom w:val="single" w:sz="4" w:space="0" w:color="auto"/>
            </w:tcBorders>
            <w:noWrap/>
            <w:vAlign w:val="bottom"/>
            <w:hideMark/>
          </w:tcPr>
          <w:p w14:paraId="156891D3" w14:textId="13698FAF" w:rsidR="00886C60" w:rsidRPr="00886C60" w:rsidRDefault="00886C60" w:rsidP="008931C3">
            <w:pPr>
              <w:pStyle w:val="1"/>
              <w:adjustRightInd w:val="0"/>
              <w:snapToGrid w:val="0"/>
              <w:spacing w:line="360" w:lineRule="auto"/>
              <w:jc w:val="both"/>
              <w:rPr>
                <w:rFonts w:ascii="Book Antiqua" w:hAnsi="Book Antiqua"/>
                <w:b/>
                <w:bCs/>
                <w:color w:val="000000"/>
              </w:rPr>
            </w:pPr>
            <w:r w:rsidRPr="00886C60">
              <w:rPr>
                <w:rFonts w:ascii="Book Antiqua" w:hAnsi="Book Antiqua"/>
                <w:b/>
                <w:bCs/>
                <w:i/>
                <w:iCs/>
                <w:color w:val="000000"/>
              </w:rPr>
              <w:t>P</w:t>
            </w:r>
            <w:r w:rsidR="008931C3">
              <w:rPr>
                <w:rFonts w:ascii="Book Antiqua" w:hAnsi="Book Antiqua" w:hint="eastAsia"/>
                <w:b/>
                <w:bCs/>
                <w:color w:val="000000"/>
              </w:rPr>
              <w:t xml:space="preserve"> </w:t>
            </w:r>
            <w:r w:rsidRPr="00886C60">
              <w:rPr>
                <w:rFonts w:ascii="Book Antiqua" w:hAnsi="Book Antiqua"/>
                <w:b/>
                <w:bCs/>
                <w:color w:val="000000"/>
              </w:rPr>
              <w:t>value</w:t>
            </w:r>
          </w:p>
        </w:tc>
      </w:tr>
      <w:tr w:rsidR="00886C60" w:rsidRPr="00886C60" w14:paraId="2C6DD3C5" w14:textId="77777777" w:rsidTr="00886C60">
        <w:trPr>
          <w:trHeight w:val="312"/>
        </w:trPr>
        <w:tc>
          <w:tcPr>
            <w:tcW w:w="2665" w:type="dxa"/>
            <w:tcBorders>
              <w:top w:val="single" w:sz="4" w:space="0" w:color="auto"/>
            </w:tcBorders>
            <w:noWrap/>
            <w:vAlign w:val="bottom"/>
            <w:hideMark/>
          </w:tcPr>
          <w:p w14:paraId="40C0582D" w14:textId="448FCE3A"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Home income [quartile 1 (below 32793 dollars)]</w:t>
            </w:r>
          </w:p>
        </w:tc>
        <w:tc>
          <w:tcPr>
            <w:tcW w:w="1825" w:type="dxa"/>
            <w:tcBorders>
              <w:top w:val="single" w:sz="4" w:space="0" w:color="auto"/>
            </w:tcBorders>
            <w:noWrap/>
            <w:vAlign w:val="center"/>
            <w:hideMark/>
          </w:tcPr>
          <w:p w14:paraId="2E038E8A"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Reference</w:t>
            </w:r>
          </w:p>
        </w:tc>
        <w:tc>
          <w:tcPr>
            <w:tcW w:w="2381" w:type="dxa"/>
            <w:tcBorders>
              <w:top w:val="single" w:sz="4" w:space="0" w:color="auto"/>
            </w:tcBorders>
            <w:noWrap/>
            <w:vAlign w:val="center"/>
          </w:tcPr>
          <w:p w14:paraId="598015F4"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tcBorders>
              <w:top w:val="single" w:sz="4" w:space="0" w:color="auto"/>
            </w:tcBorders>
            <w:noWrap/>
            <w:vAlign w:val="center"/>
          </w:tcPr>
          <w:p w14:paraId="21D718F8"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1361" w:type="dxa"/>
            <w:tcBorders>
              <w:top w:val="single" w:sz="4" w:space="0" w:color="auto"/>
            </w:tcBorders>
            <w:noWrap/>
            <w:vAlign w:val="center"/>
          </w:tcPr>
          <w:p w14:paraId="53E5A813"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r>
      <w:tr w:rsidR="00886C60" w:rsidRPr="00886C60" w14:paraId="2C0D5864" w14:textId="77777777" w:rsidTr="00886C60">
        <w:trPr>
          <w:trHeight w:val="312"/>
        </w:trPr>
        <w:tc>
          <w:tcPr>
            <w:tcW w:w="2665" w:type="dxa"/>
            <w:noWrap/>
            <w:vAlign w:val="bottom"/>
            <w:hideMark/>
          </w:tcPr>
          <w:p w14:paraId="0C61F181" w14:textId="0D0028F5"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Home income [quartile 2 (32794-40626 dollars)]</w:t>
            </w:r>
          </w:p>
        </w:tc>
        <w:tc>
          <w:tcPr>
            <w:tcW w:w="1825" w:type="dxa"/>
            <w:noWrap/>
            <w:vAlign w:val="center"/>
            <w:hideMark/>
          </w:tcPr>
          <w:p w14:paraId="247A9989"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1.17</w:t>
            </w:r>
          </w:p>
        </w:tc>
        <w:tc>
          <w:tcPr>
            <w:tcW w:w="2381" w:type="dxa"/>
            <w:noWrap/>
            <w:vAlign w:val="center"/>
            <w:hideMark/>
          </w:tcPr>
          <w:p w14:paraId="0E60F50A"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0.98</w:t>
            </w:r>
          </w:p>
        </w:tc>
        <w:tc>
          <w:tcPr>
            <w:tcW w:w="2381" w:type="dxa"/>
            <w:noWrap/>
            <w:vAlign w:val="center"/>
            <w:hideMark/>
          </w:tcPr>
          <w:p w14:paraId="38A5330F"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1.40</w:t>
            </w:r>
          </w:p>
        </w:tc>
        <w:tc>
          <w:tcPr>
            <w:tcW w:w="1361" w:type="dxa"/>
            <w:noWrap/>
            <w:vAlign w:val="center"/>
            <w:hideMark/>
          </w:tcPr>
          <w:p w14:paraId="34A4A9A8"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0.078</w:t>
            </w:r>
          </w:p>
        </w:tc>
      </w:tr>
      <w:tr w:rsidR="00886C60" w:rsidRPr="00886C60" w14:paraId="1E8F98DE" w14:textId="77777777" w:rsidTr="00886C60">
        <w:trPr>
          <w:trHeight w:val="312"/>
        </w:trPr>
        <w:tc>
          <w:tcPr>
            <w:tcW w:w="2665" w:type="dxa"/>
            <w:noWrap/>
            <w:vAlign w:val="bottom"/>
            <w:hideMark/>
          </w:tcPr>
          <w:p w14:paraId="1704BD50" w14:textId="0DB78270"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Home income [quartile 3 (40627-52387 dollars)]</w:t>
            </w:r>
          </w:p>
        </w:tc>
        <w:tc>
          <w:tcPr>
            <w:tcW w:w="1825" w:type="dxa"/>
            <w:noWrap/>
            <w:vAlign w:val="center"/>
            <w:hideMark/>
          </w:tcPr>
          <w:p w14:paraId="2BDF5665"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1.35</w:t>
            </w:r>
          </w:p>
        </w:tc>
        <w:tc>
          <w:tcPr>
            <w:tcW w:w="2381" w:type="dxa"/>
            <w:noWrap/>
            <w:vAlign w:val="center"/>
            <w:hideMark/>
          </w:tcPr>
          <w:p w14:paraId="32021A3D"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1.13</w:t>
            </w:r>
          </w:p>
        </w:tc>
        <w:tc>
          <w:tcPr>
            <w:tcW w:w="2381" w:type="dxa"/>
            <w:noWrap/>
            <w:vAlign w:val="center"/>
            <w:hideMark/>
          </w:tcPr>
          <w:p w14:paraId="15B55CD2"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1.61</w:t>
            </w:r>
          </w:p>
        </w:tc>
        <w:tc>
          <w:tcPr>
            <w:tcW w:w="1361" w:type="dxa"/>
            <w:noWrap/>
            <w:vAlign w:val="center"/>
            <w:hideMark/>
          </w:tcPr>
          <w:p w14:paraId="69B6A2C7"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0.001</w:t>
            </w:r>
          </w:p>
        </w:tc>
      </w:tr>
      <w:tr w:rsidR="00886C60" w:rsidRPr="00886C60" w14:paraId="3EC3480D" w14:textId="77777777" w:rsidTr="00886C60">
        <w:trPr>
          <w:trHeight w:val="312"/>
        </w:trPr>
        <w:tc>
          <w:tcPr>
            <w:tcW w:w="2665" w:type="dxa"/>
            <w:noWrap/>
            <w:vAlign w:val="bottom"/>
            <w:hideMark/>
          </w:tcPr>
          <w:p w14:paraId="05E837B2" w14:textId="0F11629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Home income [quartile 4 (52388 dollars or more)]</w:t>
            </w:r>
          </w:p>
        </w:tc>
        <w:tc>
          <w:tcPr>
            <w:tcW w:w="1825" w:type="dxa"/>
            <w:noWrap/>
            <w:vAlign w:val="center"/>
            <w:hideMark/>
          </w:tcPr>
          <w:p w14:paraId="38AD603C"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1.11</w:t>
            </w:r>
          </w:p>
        </w:tc>
        <w:tc>
          <w:tcPr>
            <w:tcW w:w="2381" w:type="dxa"/>
            <w:noWrap/>
            <w:vAlign w:val="center"/>
            <w:hideMark/>
          </w:tcPr>
          <w:p w14:paraId="6E51BCF4"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0.91</w:t>
            </w:r>
          </w:p>
        </w:tc>
        <w:tc>
          <w:tcPr>
            <w:tcW w:w="2381" w:type="dxa"/>
            <w:noWrap/>
            <w:vAlign w:val="center"/>
            <w:hideMark/>
          </w:tcPr>
          <w:p w14:paraId="50CAD0B4"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1.34</w:t>
            </w:r>
          </w:p>
        </w:tc>
        <w:tc>
          <w:tcPr>
            <w:tcW w:w="1361" w:type="dxa"/>
            <w:noWrap/>
            <w:vAlign w:val="center"/>
            <w:hideMark/>
          </w:tcPr>
          <w:p w14:paraId="0FB5712B"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0.318</w:t>
            </w:r>
          </w:p>
        </w:tc>
      </w:tr>
      <w:tr w:rsidR="00886C60" w:rsidRPr="00886C60" w14:paraId="375429F2" w14:textId="77777777" w:rsidTr="00886C60">
        <w:trPr>
          <w:trHeight w:val="312"/>
        </w:trPr>
        <w:tc>
          <w:tcPr>
            <w:tcW w:w="2665" w:type="dxa"/>
            <w:noWrap/>
            <w:vAlign w:val="bottom"/>
            <w:hideMark/>
          </w:tcPr>
          <w:p w14:paraId="64AFF4DC"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Insurance</w:t>
            </w:r>
          </w:p>
        </w:tc>
        <w:tc>
          <w:tcPr>
            <w:tcW w:w="1825" w:type="dxa"/>
            <w:noWrap/>
            <w:vAlign w:val="center"/>
          </w:tcPr>
          <w:p w14:paraId="4D518977"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4C138980"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248EC33A"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1361" w:type="dxa"/>
            <w:noWrap/>
            <w:vAlign w:val="center"/>
          </w:tcPr>
          <w:p w14:paraId="13E445BD"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r>
      <w:tr w:rsidR="00886C60" w:rsidRPr="00886C60" w14:paraId="6AA38B52" w14:textId="77777777" w:rsidTr="00886C60">
        <w:trPr>
          <w:trHeight w:val="312"/>
        </w:trPr>
        <w:tc>
          <w:tcPr>
            <w:tcW w:w="2665" w:type="dxa"/>
            <w:noWrap/>
            <w:vAlign w:val="bottom"/>
            <w:hideMark/>
          </w:tcPr>
          <w:p w14:paraId="32D9EAED"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Medicaid</w:t>
            </w:r>
          </w:p>
        </w:tc>
        <w:tc>
          <w:tcPr>
            <w:tcW w:w="1825" w:type="dxa"/>
            <w:noWrap/>
            <w:vAlign w:val="center"/>
            <w:hideMark/>
          </w:tcPr>
          <w:p w14:paraId="6D1660E9"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Reference</w:t>
            </w:r>
          </w:p>
        </w:tc>
        <w:tc>
          <w:tcPr>
            <w:tcW w:w="2381" w:type="dxa"/>
            <w:noWrap/>
            <w:vAlign w:val="center"/>
          </w:tcPr>
          <w:p w14:paraId="0E90AA2E"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5EDD70F7"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1361" w:type="dxa"/>
            <w:noWrap/>
            <w:vAlign w:val="center"/>
          </w:tcPr>
          <w:p w14:paraId="70438DCB"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r>
      <w:tr w:rsidR="00886C60" w:rsidRPr="00886C60" w14:paraId="3CC0220F" w14:textId="77777777" w:rsidTr="00886C60">
        <w:trPr>
          <w:trHeight w:val="312"/>
        </w:trPr>
        <w:tc>
          <w:tcPr>
            <w:tcW w:w="2665" w:type="dxa"/>
            <w:noWrap/>
            <w:vAlign w:val="bottom"/>
            <w:hideMark/>
          </w:tcPr>
          <w:p w14:paraId="1F24BC42"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Medicare</w:t>
            </w:r>
          </w:p>
        </w:tc>
        <w:tc>
          <w:tcPr>
            <w:tcW w:w="1825" w:type="dxa"/>
            <w:noWrap/>
            <w:vAlign w:val="center"/>
            <w:hideMark/>
          </w:tcPr>
          <w:p w14:paraId="5F56DFEE"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1.03</w:t>
            </w:r>
          </w:p>
        </w:tc>
        <w:tc>
          <w:tcPr>
            <w:tcW w:w="2381" w:type="dxa"/>
            <w:noWrap/>
            <w:vAlign w:val="center"/>
            <w:hideMark/>
          </w:tcPr>
          <w:p w14:paraId="22D990E5"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0.84</w:t>
            </w:r>
          </w:p>
        </w:tc>
        <w:tc>
          <w:tcPr>
            <w:tcW w:w="2381" w:type="dxa"/>
            <w:noWrap/>
            <w:vAlign w:val="center"/>
            <w:hideMark/>
          </w:tcPr>
          <w:p w14:paraId="0F985618"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1.28</w:t>
            </w:r>
          </w:p>
        </w:tc>
        <w:tc>
          <w:tcPr>
            <w:tcW w:w="1361" w:type="dxa"/>
            <w:noWrap/>
            <w:vAlign w:val="center"/>
            <w:hideMark/>
          </w:tcPr>
          <w:p w14:paraId="622B9355"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0.753</w:t>
            </w:r>
          </w:p>
        </w:tc>
      </w:tr>
      <w:tr w:rsidR="00886C60" w:rsidRPr="00886C60" w14:paraId="37A07121" w14:textId="77777777" w:rsidTr="00886C60">
        <w:trPr>
          <w:trHeight w:val="312"/>
        </w:trPr>
        <w:tc>
          <w:tcPr>
            <w:tcW w:w="2665" w:type="dxa"/>
            <w:noWrap/>
            <w:vAlign w:val="bottom"/>
            <w:hideMark/>
          </w:tcPr>
          <w:p w14:paraId="31E76ECB"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Other</w:t>
            </w:r>
          </w:p>
        </w:tc>
        <w:tc>
          <w:tcPr>
            <w:tcW w:w="1825" w:type="dxa"/>
            <w:noWrap/>
            <w:vAlign w:val="center"/>
            <w:hideMark/>
          </w:tcPr>
          <w:p w14:paraId="16923751"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1.38</w:t>
            </w:r>
          </w:p>
        </w:tc>
        <w:tc>
          <w:tcPr>
            <w:tcW w:w="2381" w:type="dxa"/>
            <w:noWrap/>
            <w:vAlign w:val="center"/>
            <w:hideMark/>
          </w:tcPr>
          <w:p w14:paraId="0260E28A"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0.71</w:t>
            </w:r>
          </w:p>
        </w:tc>
        <w:tc>
          <w:tcPr>
            <w:tcW w:w="2381" w:type="dxa"/>
            <w:noWrap/>
            <w:vAlign w:val="center"/>
            <w:hideMark/>
          </w:tcPr>
          <w:p w14:paraId="59DF7FE1"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2.67</w:t>
            </w:r>
          </w:p>
        </w:tc>
        <w:tc>
          <w:tcPr>
            <w:tcW w:w="1361" w:type="dxa"/>
            <w:noWrap/>
            <w:vAlign w:val="center"/>
            <w:hideMark/>
          </w:tcPr>
          <w:p w14:paraId="6E39B9F9"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0.337</w:t>
            </w:r>
          </w:p>
        </w:tc>
      </w:tr>
      <w:tr w:rsidR="00886C60" w:rsidRPr="00886C60" w14:paraId="3016FE69" w14:textId="77777777" w:rsidTr="00886C60">
        <w:trPr>
          <w:trHeight w:val="312"/>
        </w:trPr>
        <w:tc>
          <w:tcPr>
            <w:tcW w:w="2665" w:type="dxa"/>
            <w:noWrap/>
            <w:vAlign w:val="bottom"/>
            <w:hideMark/>
          </w:tcPr>
          <w:p w14:paraId="2120D994" w14:textId="7E97B6D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Private insurance</w:t>
            </w:r>
          </w:p>
        </w:tc>
        <w:tc>
          <w:tcPr>
            <w:tcW w:w="1825" w:type="dxa"/>
            <w:noWrap/>
            <w:vAlign w:val="center"/>
            <w:hideMark/>
          </w:tcPr>
          <w:p w14:paraId="0447CD66"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1.29</w:t>
            </w:r>
          </w:p>
        </w:tc>
        <w:tc>
          <w:tcPr>
            <w:tcW w:w="2381" w:type="dxa"/>
            <w:noWrap/>
            <w:vAlign w:val="center"/>
            <w:hideMark/>
          </w:tcPr>
          <w:p w14:paraId="519F723C"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1.04</w:t>
            </w:r>
          </w:p>
        </w:tc>
        <w:tc>
          <w:tcPr>
            <w:tcW w:w="2381" w:type="dxa"/>
            <w:noWrap/>
            <w:vAlign w:val="center"/>
            <w:hideMark/>
          </w:tcPr>
          <w:p w14:paraId="6CEE39C4"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1.58</w:t>
            </w:r>
          </w:p>
        </w:tc>
        <w:tc>
          <w:tcPr>
            <w:tcW w:w="1361" w:type="dxa"/>
            <w:noWrap/>
            <w:vAlign w:val="center"/>
            <w:hideMark/>
          </w:tcPr>
          <w:p w14:paraId="0A2B0978"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0.018</w:t>
            </w:r>
          </w:p>
        </w:tc>
      </w:tr>
      <w:tr w:rsidR="00886C60" w:rsidRPr="00886C60" w14:paraId="747EAD5B" w14:textId="77777777" w:rsidTr="00886C60">
        <w:trPr>
          <w:trHeight w:val="312"/>
        </w:trPr>
        <w:tc>
          <w:tcPr>
            <w:tcW w:w="2665" w:type="dxa"/>
            <w:noWrap/>
            <w:vAlign w:val="bottom"/>
            <w:hideMark/>
          </w:tcPr>
          <w:p w14:paraId="7D2AD65C" w14:textId="5F0780D4"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Self-pay</w:t>
            </w:r>
          </w:p>
        </w:tc>
        <w:tc>
          <w:tcPr>
            <w:tcW w:w="1825" w:type="dxa"/>
            <w:noWrap/>
            <w:vAlign w:val="center"/>
            <w:hideMark/>
          </w:tcPr>
          <w:p w14:paraId="6F6E8DEA"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1.25</w:t>
            </w:r>
          </w:p>
        </w:tc>
        <w:tc>
          <w:tcPr>
            <w:tcW w:w="2381" w:type="dxa"/>
            <w:noWrap/>
            <w:vAlign w:val="center"/>
            <w:hideMark/>
          </w:tcPr>
          <w:p w14:paraId="7F474C01"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1.00</w:t>
            </w:r>
          </w:p>
        </w:tc>
        <w:tc>
          <w:tcPr>
            <w:tcW w:w="2381" w:type="dxa"/>
            <w:noWrap/>
            <w:vAlign w:val="center"/>
            <w:hideMark/>
          </w:tcPr>
          <w:p w14:paraId="6D3BC842"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1.56</w:t>
            </w:r>
          </w:p>
        </w:tc>
        <w:tc>
          <w:tcPr>
            <w:tcW w:w="1361" w:type="dxa"/>
            <w:noWrap/>
            <w:vAlign w:val="center"/>
            <w:hideMark/>
          </w:tcPr>
          <w:p w14:paraId="297E7C98"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0.048</w:t>
            </w:r>
          </w:p>
        </w:tc>
      </w:tr>
      <w:tr w:rsidR="00886C60" w:rsidRPr="00886C60" w14:paraId="2BBD81B8" w14:textId="77777777" w:rsidTr="00886C60">
        <w:trPr>
          <w:trHeight w:val="312"/>
        </w:trPr>
        <w:tc>
          <w:tcPr>
            <w:tcW w:w="2665" w:type="dxa"/>
            <w:noWrap/>
            <w:vAlign w:val="bottom"/>
            <w:hideMark/>
          </w:tcPr>
          <w:p w14:paraId="3ACD699B" w14:textId="40B623AB"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Workers compensation</w:t>
            </w:r>
          </w:p>
        </w:tc>
        <w:tc>
          <w:tcPr>
            <w:tcW w:w="1825" w:type="dxa"/>
            <w:noWrap/>
            <w:vAlign w:val="center"/>
            <w:hideMark/>
          </w:tcPr>
          <w:p w14:paraId="7559285C"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1.10</w:t>
            </w:r>
          </w:p>
        </w:tc>
        <w:tc>
          <w:tcPr>
            <w:tcW w:w="2381" w:type="dxa"/>
            <w:noWrap/>
            <w:vAlign w:val="center"/>
            <w:hideMark/>
          </w:tcPr>
          <w:p w14:paraId="786E5571"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0.72</w:t>
            </w:r>
          </w:p>
        </w:tc>
        <w:tc>
          <w:tcPr>
            <w:tcW w:w="2381" w:type="dxa"/>
            <w:noWrap/>
            <w:vAlign w:val="center"/>
            <w:hideMark/>
          </w:tcPr>
          <w:p w14:paraId="3BD0D25A"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1.70</w:t>
            </w:r>
          </w:p>
        </w:tc>
        <w:tc>
          <w:tcPr>
            <w:tcW w:w="1361" w:type="dxa"/>
            <w:noWrap/>
            <w:vAlign w:val="center"/>
            <w:hideMark/>
          </w:tcPr>
          <w:p w14:paraId="55229BBD"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0.660</w:t>
            </w:r>
          </w:p>
        </w:tc>
      </w:tr>
      <w:tr w:rsidR="00886C60" w:rsidRPr="00886C60" w14:paraId="652CCE74" w14:textId="77777777" w:rsidTr="00886C60">
        <w:trPr>
          <w:trHeight w:val="312"/>
        </w:trPr>
        <w:tc>
          <w:tcPr>
            <w:tcW w:w="2665" w:type="dxa"/>
            <w:noWrap/>
            <w:vAlign w:val="bottom"/>
            <w:hideMark/>
          </w:tcPr>
          <w:p w14:paraId="20264471"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Images obtained</w:t>
            </w:r>
          </w:p>
        </w:tc>
        <w:tc>
          <w:tcPr>
            <w:tcW w:w="1825" w:type="dxa"/>
            <w:noWrap/>
            <w:vAlign w:val="center"/>
            <w:hideMark/>
          </w:tcPr>
          <w:p w14:paraId="771C594C"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1.47</w:t>
            </w:r>
          </w:p>
        </w:tc>
        <w:tc>
          <w:tcPr>
            <w:tcW w:w="2381" w:type="dxa"/>
            <w:noWrap/>
            <w:vAlign w:val="center"/>
            <w:hideMark/>
          </w:tcPr>
          <w:p w14:paraId="159AA5EF"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1.30</w:t>
            </w:r>
          </w:p>
        </w:tc>
        <w:tc>
          <w:tcPr>
            <w:tcW w:w="2381" w:type="dxa"/>
            <w:noWrap/>
            <w:vAlign w:val="center"/>
            <w:hideMark/>
          </w:tcPr>
          <w:p w14:paraId="68DC75E6"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1.66</w:t>
            </w:r>
          </w:p>
        </w:tc>
        <w:tc>
          <w:tcPr>
            <w:tcW w:w="1361" w:type="dxa"/>
            <w:noWrap/>
            <w:vAlign w:val="center"/>
            <w:hideMark/>
          </w:tcPr>
          <w:p w14:paraId="6CA3DB9C" w14:textId="5E1D7F1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&lt; 0.001</w:t>
            </w:r>
          </w:p>
        </w:tc>
      </w:tr>
      <w:tr w:rsidR="00886C60" w:rsidRPr="00886C60" w14:paraId="482CEF93" w14:textId="77777777" w:rsidTr="00886C60">
        <w:trPr>
          <w:trHeight w:val="312"/>
        </w:trPr>
        <w:tc>
          <w:tcPr>
            <w:tcW w:w="2665" w:type="dxa"/>
            <w:noWrap/>
            <w:vAlign w:val="bottom"/>
            <w:hideMark/>
          </w:tcPr>
          <w:p w14:paraId="02F92FCE" w14:textId="671696BA"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Mean centered age</w:t>
            </w:r>
          </w:p>
        </w:tc>
        <w:tc>
          <w:tcPr>
            <w:tcW w:w="1825" w:type="dxa"/>
            <w:noWrap/>
            <w:vAlign w:val="center"/>
            <w:hideMark/>
          </w:tcPr>
          <w:p w14:paraId="2CABA863"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1.01</w:t>
            </w:r>
          </w:p>
        </w:tc>
        <w:tc>
          <w:tcPr>
            <w:tcW w:w="2381" w:type="dxa"/>
            <w:noWrap/>
            <w:vAlign w:val="center"/>
            <w:hideMark/>
          </w:tcPr>
          <w:p w14:paraId="50679A6F"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1.00</w:t>
            </w:r>
          </w:p>
        </w:tc>
        <w:tc>
          <w:tcPr>
            <w:tcW w:w="2381" w:type="dxa"/>
            <w:noWrap/>
            <w:vAlign w:val="center"/>
            <w:hideMark/>
          </w:tcPr>
          <w:p w14:paraId="319C7535"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1.01</w:t>
            </w:r>
          </w:p>
        </w:tc>
        <w:tc>
          <w:tcPr>
            <w:tcW w:w="1361" w:type="dxa"/>
            <w:noWrap/>
            <w:vAlign w:val="center"/>
            <w:hideMark/>
          </w:tcPr>
          <w:p w14:paraId="5A4946C6"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0.001</w:t>
            </w:r>
          </w:p>
        </w:tc>
      </w:tr>
      <w:tr w:rsidR="00886C60" w:rsidRPr="00886C60" w14:paraId="76622E09" w14:textId="77777777" w:rsidTr="00886C60">
        <w:trPr>
          <w:trHeight w:val="312"/>
        </w:trPr>
        <w:tc>
          <w:tcPr>
            <w:tcW w:w="2665" w:type="dxa"/>
            <w:noWrap/>
            <w:vAlign w:val="bottom"/>
            <w:hideMark/>
          </w:tcPr>
          <w:p w14:paraId="7EEFA57A" w14:textId="68A14246"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Pain-low</w:t>
            </w:r>
          </w:p>
        </w:tc>
        <w:tc>
          <w:tcPr>
            <w:tcW w:w="1825" w:type="dxa"/>
            <w:noWrap/>
            <w:vAlign w:val="center"/>
            <w:hideMark/>
          </w:tcPr>
          <w:p w14:paraId="4AAC39AC"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Reference</w:t>
            </w:r>
          </w:p>
        </w:tc>
        <w:tc>
          <w:tcPr>
            <w:tcW w:w="2381" w:type="dxa"/>
            <w:noWrap/>
            <w:vAlign w:val="center"/>
          </w:tcPr>
          <w:p w14:paraId="4C2D5B2B"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030F58BE"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1361" w:type="dxa"/>
            <w:noWrap/>
            <w:vAlign w:val="center"/>
          </w:tcPr>
          <w:p w14:paraId="7ECC1583"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r>
      <w:tr w:rsidR="00886C60" w:rsidRPr="00886C60" w14:paraId="7D5CE9D6" w14:textId="77777777" w:rsidTr="00886C60">
        <w:trPr>
          <w:trHeight w:val="312"/>
        </w:trPr>
        <w:tc>
          <w:tcPr>
            <w:tcW w:w="2665" w:type="dxa"/>
            <w:noWrap/>
            <w:vAlign w:val="bottom"/>
            <w:hideMark/>
          </w:tcPr>
          <w:p w14:paraId="2F8D1252"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Pain-moderate</w:t>
            </w:r>
          </w:p>
        </w:tc>
        <w:tc>
          <w:tcPr>
            <w:tcW w:w="1825" w:type="dxa"/>
            <w:noWrap/>
            <w:vAlign w:val="center"/>
            <w:hideMark/>
          </w:tcPr>
          <w:p w14:paraId="5204A1CA"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1.28</w:t>
            </w:r>
          </w:p>
        </w:tc>
        <w:tc>
          <w:tcPr>
            <w:tcW w:w="2381" w:type="dxa"/>
            <w:noWrap/>
            <w:vAlign w:val="center"/>
            <w:hideMark/>
          </w:tcPr>
          <w:p w14:paraId="16BF9F99"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0.96</w:t>
            </w:r>
          </w:p>
        </w:tc>
        <w:tc>
          <w:tcPr>
            <w:tcW w:w="2381" w:type="dxa"/>
            <w:noWrap/>
            <w:vAlign w:val="center"/>
            <w:hideMark/>
          </w:tcPr>
          <w:p w14:paraId="505A628F"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1.71</w:t>
            </w:r>
          </w:p>
        </w:tc>
        <w:tc>
          <w:tcPr>
            <w:tcW w:w="1361" w:type="dxa"/>
            <w:noWrap/>
            <w:vAlign w:val="center"/>
            <w:hideMark/>
          </w:tcPr>
          <w:p w14:paraId="3683E7B5"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0.093</w:t>
            </w:r>
          </w:p>
        </w:tc>
      </w:tr>
      <w:tr w:rsidR="00886C60" w:rsidRPr="00886C60" w14:paraId="7191B61A" w14:textId="77777777" w:rsidTr="00886C60">
        <w:trPr>
          <w:trHeight w:val="312"/>
        </w:trPr>
        <w:tc>
          <w:tcPr>
            <w:tcW w:w="2665" w:type="dxa"/>
            <w:noWrap/>
            <w:vAlign w:val="bottom"/>
            <w:hideMark/>
          </w:tcPr>
          <w:p w14:paraId="7083A3D6"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Pain-severe</w:t>
            </w:r>
          </w:p>
        </w:tc>
        <w:tc>
          <w:tcPr>
            <w:tcW w:w="1825" w:type="dxa"/>
            <w:noWrap/>
            <w:vAlign w:val="center"/>
            <w:hideMark/>
          </w:tcPr>
          <w:p w14:paraId="05313491"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2.14</w:t>
            </w:r>
          </w:p>
        </w:tc>
        <w:tc>
          <w:tcPr>
            <w:tcW w:w="2381" w:type="dxa"/>
            <w:noWrap/>
            <w:vAlign w:val="center"/>
            <w:hideMark/>
          </w:tcPr>
          <w:p w14:paraId="4BBA60D6"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1.63</w:t>
            </w:r>
          </w:p>
        </w:tc>
        <w:tc>
          <w:tcPr>
            <w:tcW w:w="2381" w:type="dxa"/>
            <w:noWrap/>
            <w:vAlign w:val="center"/>
            <w:hideMark/>
          </w:tcPr>
          <w:p w14:paraId="4821DA7E"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2.81</w:t>
            </w:r>
          </w:p>
        </w:tc>
        <w:tc>
          <w:tcPr>
            <w:tcW w:w="1361" w:type="dxa"/>
            <w:noWrap/>
            <w:vAlign w:val="center"/>
            <w:hideMark/>
          </w:tcPr>
          <w:p w14:paraId="55C7EB10"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&lt;0.001</w:t>
            </w:r>
          </w:p>
        </w:tc>
      </w:tr>
      <w:tr w:rsidR="00886C60" w:rsidRPr="00886C60" w14:paraId="094B983C" w14:textId="77777777" w:rsidTr="00886C60">
        <w:trPr>
          <w:trHeight w:val="312"/>
        </w:trPr>
        <w:tc>
          <w:tcPr>
            <w:tcW w:w="2665" w:type="dxa"/>
            <w:noWrap/>
            <w:vAlign w:val="bottom"/>
            <w:hideMark/>
          </w:tcPr>
          <w:p w14:paraId="7E03F5DB" w14:textId="4A61C60D"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lastRenderedPageBreak/>
              <w:t>Seen in ED within the last 72 hr</w:t>
            </w:r>
          </w:p>
        </w:tc>
        <w:tc>
          <w:tcPr>
            <w:tcW w:w="1825" w:type="dxa"/>
            <w:noWrap/>
            <w:vAlign w:val="center"/>
            <w:hideMark/>
          </w:tcPr>
          <w:p w14:paraId="78FBE0D8"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0.77</w:t>
            </w:r>
          </w:p>
        </w:tc>
        <w:tc>
          <w:tcPr>
            <w:tcW w:w="2381" w:type="dxa"/>
            <w:noWrap/>
            <w:vAlign w:val="center"/>
            <w:hideMark/>
          </w:tcPr>
          <w:p w14:paraId="71EDBC45"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0.56</w:t>
            </w:r>
          </w:p>
        </w:tc>
        <w:tc>
          <w:tcPr>
            <w:tcW w:w="2381" w:type="dxa"/>
            <w:noWrap/>
            <w:vAlign w:val="center"/>
            <w:hideMark/>
          </w:tcPr>
          <w:p w14:paraId="485CA25F"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1.06</w:t>
            </w:r>
          </w:p>
        </w:tc>
        <w:tc>
          <w:tcPr>
            <w:tcW w:w="1361" w:type="dxa"/>
            <w:noWrap/>
            <w:vAlign w:val="center"/>
            <w:hideMark/>
          </w:tcPr>
          <w:p w14:paraId="24CDE15E"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0.106</w:t>
            </w:r>
          </w:p>
        </w:tc>
      </w:tr>
      <w:tr w:rsidR="00886C60" w:rsidRPr="00886C60" w14:paraId="5EC1A92B" w14:textId="77777777" w:rsidTr="00886C60">
        <w:trPr>
          <w:trHeight w:val="312"/>
        </w:trPr>
        <w:tc>
          <w:tcPr>
            <w:tcW w:w="2665" w:type="dxa"/>
            <w:noWrap/>
            <w:vAlign w:val="bottom"/>
            <w:hideMark/>
          </w:tcPr>
          <w:p w14:paraId="341BFB68" w14:textId="6AA7AB10"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United States Census Region</w:t>
            </w:r>
          </w:p>
        </w:tc>
        <w:tc>
          <w:tcPr>
            <w:tcW w:w="1825" w:type="dxa"/>
            <w:noWrap/>
            <w:vAlign w:val="center"/>
          </w:tcPr>
          <w:p w14:paraId="308894CE"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02C17C61"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53CD4B09"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1361" w:type="dxa"/>
            <w:noWrap/>
            <w:vAlign w:val="center"/>
          </w:tcPr>
          <w:p w14:paraId="05C48226"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r>
      <w:tr w:rsidR="00886C60" w:rsidRPr="00886C60" w14:paraId="55412AAA" w14:textId="77777777" w:rsidTr="00886C60">
        <w:trPr>
          <w:trHeight w:val="312"/>
        </w:trPr>
        <w:tc>
          <w:tcPr>
            <w:tcW w:w="2665" w:type="dxa"/>
            <w:noWrap/>
            <w:vAlign w:val="bottom"/>
            <w:hideMark/>
          </w:tcPr>
          <w:p w14:paraId="4683CDC2"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Northeast</w:t>
            </w:r>
          </w:p>
        </w:tc>
        <w:tc>
          <w:tcPr>
            <w:tcW w:w="1825" w:type="dxa"/>
            <w:noWrap/>
            <w:vAlign w:val="center"/>
            <w:hideMark/>
          </w:tcPr>
          <w:p w14:paraId="49795DF9"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Reference</w:t>
            </w:r>
          </w:p>
        </w:tc>
        <w:tc>
          <w:tcPr>
            <w:tcW w:w="2381" w:type="dxa"/>
            <w:noWrap/>
            <w:vAlign w:val="center"/>
          </w:tcPr>
          <w:p w14:paraId="5016F2C5"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2381" w:type="dxa"/>
            <w:noWrap/>
            <w:vAlign w:val="center"/>
          </w:tcPr>
          <w:p w14:paraId="1B6C5D30"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c>
          <w:tcPr>
            <w:tcW w:w="1361" w:type="dxa"/>
            <w:noWrap/>
            <w:vAlign w:val="center"/>
          </w:tcPr>
          <w:p w14:paraId="273FCA50" w14:textId="77777777" w:rsidR="00886C60" w:rsidRPr="00886C60" w:rsidRDefault="00886C60" w:rsidP="00886C60">
            <w:pPr>
              <w:pStyle w:val="1"/>
              <w:adjustRightInd w:val="0"/>
              <w:snapToGrid w:val="0"/>
              <w:spacing w:line="360" w:lineRule="auto"/>
              <w:jc w:val="both"/>
              <w:rPr>
                <w:rFonts w:ascii="Book Antiqua" w:hAnsi="Book Antiqua"/>
                <w:color w:val="000000"/>
              </w:rPr>
            </w:pPr>
          </w:p>
        </w:tc>
      </w:tr>
      <w:tr w:rsidR="00886C60" w:rsidRPr="00886C60" w14:paraId="4809A975" w14:textId="77777777" w:rsidTr="00886C60">
        <w:trPr>
          <w:trHeight w:val="312"/>
        </w:trPr>
        <w:tc>
          <w:tcPr>
            <w:tcW w:w="2665" w:type="dxa"/>
            <w:noWrap/>
            <w:vAlign w:val="bottom"/>
            <w:hideMark/>
          </w:tcPr>
          <w:p w14:paraId="400EA029"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Midwest</w:t>
            </w:r>
          </w:p>
        </w:tc>
        <w:tc>
          <w:tcPr>
            <w:tcW w:w="1825" w:type="dxa"/>
            <w:noWrap/>
            <w:vAlign w:val="center"/>
            <w:hideMark/>
          </w:tcPr>
          <w:p w14:paraId="0C232E06"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2.42</w:t>
            </w:r>
          </w:p>
        </w:tc>
        <w:tc>
          <w:tcPr>
            <w:tcW w:w="2381" w:type="dxa"/>
            <w:noWrap/>
            <w:vAlign w:val="center"/>
            <w:hideMark/>
          </w:tcPr>
          <w:p w14:paraId="3CA94996"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1.94</w:t>
            </w:r>
          </w:p>
        </w:tc>
        <w:tc>
          <w:tcPr>
            <w:tcW w:w="2381" w:type="dxa"/>
            <w:noWrap/>
            <w:vAlign w:val="center"/>
            <w:hideMark/>
          </w:tcPr>
          <w:p w14:paraId="4578DC2E"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3.01</w:t>
            </w:r>
          </w:p>
        </w:tc>
        <w:tc>
          <w:tcPr>
            <w:tcW w:w="1361" w:type="dxa"/>
            <w:noWrap/>
            <w:vAlign w:val="center"/>
            <w:hideMark/>
          </w:tcPr>
          <w:p w14:paraId="48A39EA3" w14:textId="2CA177D0"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&lt; 0.001</w:t>
            </w:r>
          </w:p>
        </w:tc>
      </w:tr>
      <w:tr w:rsidR="00886C60" w:rsidRPr="00886C60" w14:paraId="0DC52713" w14:textId="77777777" w:rsidTr="00886C60">
        <w:trPr>
          <w:trHeight w:val="312"/>
        </w:trPr>
        <w:tc>
          <w:tcPr>
            <w:tcW w:w="2665" w:type="dxa"/>
            <w:noWrap/>
            <w:vAlign w:val="bottom"/>
            <w:hideMark/>
          </w:tcPr>
          <w:p w14:paraId="35B6C9F7"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South</w:t>
            </w:r>
          </w:p>
        </w:tc>
        <w:tc>
          <w:tcPr>
            <w:tcW w:w="1825" w:type="dxa"/>
            <w:noWrap/>
            <w:vAlign w:val="center"/>
            <w:hideMark/>
          </w:tcPr>
          <w:p w14:paraId="406EE81D"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2.35</w:t>
            </w:r>
          </w:p>
        </w:tc>
        <w:tc>
          <w:tcPr>
            <w:tcW w:w="2381" w:type="dxa"/>
            <w:noWrap/>
            <w:vAlign w:val="center"/>
            <w:hideMark/>
          </w:tcPr>
          <w:p w14:paraId="79CB8323"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1.91</w:t>
            </w:r>
          </w:p>
        </w:tc>
        <w:tc>
          <w:tcPr>
            <w:tcW w:w="2381" w:type="dxa"/>
            <w:noWrap/>
            <w:vAlign w:val="center"/>
            <w:hideMark/>
          </w:tcPr>
          <w:p w14:paraId="0F72D76B"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2.88</w:t>
            </w:r>
          </w:p>
        </w:tc>
        <w:tc>
          <w:tcPr>
            <w:tcW w:w="1361" w:type="dxa"/>
            <w:noWrap/>
            <w:vAlign w:val="center"/>
            <w:hideMark/>
          </w:tcPr>
          <w:p w14:paraId="43BEE788" w14:textId="497E33F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&lt; 0.001</w:t>
            </w:r>
          </w:p>
        </w:tc>
      </w:tr>
      <w:tr w:rsidR="00886C60" w:rsidRPr="00886C60" w14:paraId="0FC6361A" w14:textId="77777777" w:rsidTr="00886C60">
        <w:trPr>
          <w:trHeight w:val="312"/>
        </w:trPr>
        <w:tc>
          <w:tcPr>
            <w:tcW w:w="2665" w:type="dxa"/>
            <w:noWrap/>
            <w:vAlign w:val="bottom"/>
            <w:hideMark/>
          </w:tcPr>
          <w:p w14:paraId="5F78AF22" w14:textId="77777777" w:rsidR="00886C60" w:rsidRPr="00C9409C" w:rsidRDefault="00886C60" w:rsidP="00886C60">
            <w:pPr>
              <w:pStyle w:val="1"/>
              <w:adjustRightInd w:val="0"/>
              <w:snapToGrid w:val="0"/>
              <w:spacing w:line="360" w:lineRule="auto"/>
              <w:jc w:val="both"/>
              <w:rPr>
                <w:rFonts w:ascii="Book Antiqua" w:hAnsi="Book Antiqua"/>
                <w:color w:val="000000"/>
              </w:rPr>
            </w:pPr>
            <w:r w:rsidRPr="00C9409C">
              <w:rPr>
                <w:rFonts w:ascii="Book Antiqua" w:hAnsi="Book Antiqua"/>
                <w:color w:val="000000"/>
              </w:rPr>
              <w:t>West</w:t>
            </w:r>
          </w:p>
        </w:tc>
        <w:tc>
          <w:tcPr>
            <w:tcW w:w="1825" w:type="dxa"/>
            <w:noWrap/>
            <w:vAlign w:val="center"/>
            <w:hideMark/>
          </w:tcPr>
          <w:p w14:paraId="33E3A423"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2.57</w:t>
            </w:r>
          </w:p>
        </w:tc>
        <w:tc>
          <w:tcPr>
            <w:tcW w:w="2381" w:type="dxa"/>
            <w:noWrap/>
            <w:vAlign w:val="center"/>
            <w:hideMark/>
          </w:tcPr>
          <w:p w14:paraId="3F1CA510"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1.94</w:t>
            </w:r>
          </w:p>
        </w:tc>
        <w:tc>
          <w:tcPr>
            <w:tcW w:w="2381" w:type="dxa"/>
            <w:noWrap/>
            <w:vAlign w:val="center"/>
            <w:hideMark/>
          </w:tcPr>
          <w:p w14:paraId="48F52231" w14:textId="77777777"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3.42</w:t>
            </w:r>
          </w:p>
        </w:tc>
        <w:tc>
          <w:tcPr>
            <w:tcW w:w="1361" w:type="dxa"/>
            <w:noWrap/>
            <w:vAlign w:val="center"/>
            <w:hideMark/>
          </w:tcPr>
          <w:p w14:paraId="7F2D814C" w14:textId="099C5690" w:rsidR="00886C60" w:rsidRPr="00886C60" w:rsidRDefault="00886C60" w:rsidP="00886C60">
            <w:pPr>
              <w:pStyle w:val="1"/>
              <w:adjustRightInd w:val="0"/>
              <w:snapToGrid w:val="0"/>
              <w:spacing w:line="360" w:lineRule="auto"/>
              <w:jc w:val="both"/>
              <w:rPr>
                <w:rFonts w:ascii="Book Antiqua" w:hAnsi="Book Antiqua"/>
                <w:color w:val="000000"/>
              </w:rPr>
            </w:pPr>
            <w:r w:rsidRPr="00886C60">
              <w:rPr>
                <w:rFonts w:ascii="Book Antiqua" w:hAnsi="Book Antiqua"/>
                <w:color w:val="000000"/>
              </w:rPr>
              <w:t>&lt; 0.001</w:t>
            </w:r>
          </w:p>
        </w:tc>
      </w:tr>
    </w:tbl>
    <w:p w14:paraId="60C9916A" w14:textId="77777777" w:rsidR="006B35A9" w:rsidRDefault="00C9409C" w:rsidP="00886C60">
      <w:pPr>
        <w:adjustRightInd w:val="0"/>
        <w:snapToGrid w:val="0"/>
        <w:spacing w:line="360" w:lineRule="auto"/>
        <w:jc w:val="both"/>
        <w:rPr>
          <w:rFonts w:ascii="Book Antiqua" w:eastAsia="Book Antiqua" w:hAnsi="Book Antiqua" w:cs="Book Antiqua"/>
          <w:color w:val="000000"/>
        </w:rPr>
        <w:sectPr w:rsidR="006B35A9">
          <w:pgSz w:w="12240" w:h="15840"/>
          <w:pgMar w:top="1440" w:right="1440" w:bottom="1440" w:left="1440" w:header="720" w:footer="720" w:gutter="0"/>
          <w:cols w:space="720"/>
          <w:docGrid w:linePitch="360"/>
        </w:sectPr>
      </w:pPr>
      <w:r>
        <w:rPr>
          <w:rFonts w:ascii="Book Antiqua" w:eastAsia="Book Antiqua" w:hAnsi="Book Antiqua" w:cs="Book Antiqua"/>
          <w:color w:val="000000"/>
        </w:rPr>
        <w:t>ED: E</w:t>
      </w:r>
      <w:r w:rsidRPr="00886C60">
        <w:rPr>
          <w:rFonts w:ascii="Book Antiqua" w:eastAsia="Book Antiqua" w:hAnsi="Book Antiqua" w:cs="Book Antiqua"/>
          <w:color w:val="000000"/>
        </w:rPr>
        <w:t>mergency department</w:t>
      </w:r>
      <w:r w:rsidR="00AF3F1E">
        <w:rPr>
          <w:rFonts w:ascii="Book Antiqua" w:hAnsi="Book Antiqua" w:cs="Book Antiqua" w:hint="eastAsia"/>
          <w:color w:val="000000"/>
          <w:lang w:eastAsia="zh-CN"/>
        </w:rPr>
        <w:t xml:space="preserve">; CI: </w:t>
      </w:r>
      <w:r w:rsidR="00AF3F1E" w:rsidRPr="00AF3F1E">
        <w:rPr>
          <w:rFonts w:ascii="Book Antiqua" w:hAnsi="Book Antiqua" w:cs="Book Antiqua"/>
          <w:color w:val="000000"/>
          <w:lang w:eastAsia="zh-CN"/>
        </w:rPr>
        <w:t>confidence interval</w:t>
      </w:r>
      <w:r>
        <w:rPr>
          <w:rFonts w:ascii="Book Antiqua" w:eastAsia="Book Antiqua" w:hAnsi="Book Antiqua" w:cs="Book Antiqua"/>
          <w:color w:val="000000"/>
        </w:rPr>
        <w:t>.</w:t>
      </w:r>
    </w:p>
    <w:p w14:paraId="2FDC7BA1" w14:textId="77777777" w:rsidR="006B35A9" w:rsidRDefault="006B35A9" w:rsidP="006B35A9">
      <w:pPr>
        <w:jc w:val="center"/>
        <w:rPr>
          <w:rFonts w:ascii="Book Antiqua" w:hAnsi="Book Antiqua"/>
        </w:rPr>
      </w:pPr>
    </w:p>
    <w:p w14:paraId="387FAD73" w14:textId="77777777" w:rsidR="006B35A9" w:rsidRDefault="006B35A9" w:rsidP="006B35A9">
      <w:pPr>
        <w:jc w:val="center"/>
        <w:rPr>
          <w:rFonts w:ascii="Book Antiqua" w:hAnsi="Book Antiqua"/>
        </w:rPr>
      </w:pPr>
      <w:r>
        <w:rPr>
          <w:rFonts w:ascii="Book Antiqua" w:hAnsi="Book Antiqua"/>
          <w:noProof/>
        </w:rPr>
        <w:drawing>
          <wp:inline distT="0" distB="0" distL="0" distR="0" wp14:anchorId="7B2EF252" wp14:editId="53132C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2DE614" w14:textId="77777777" w:rsidR="006B35A9" w:rsidRDefault="006B35A9" w:rsidP="006B35A9">
      <w:pPr>
        <w:jc w:val="center"/>
        <w:rPr>
          <w:rFonts w:ascii="Book Antiqua" w:hAnsi="Book Antiqua"/>
        </w:rPr>
      </w:pPr>
    </w:p>
    <w:p w14:paraId="1CE043D1" w14:textId="77777777" w:rsidR="006B35A9" w:rsidRPr="00763D22" w:rsidRDefault="006B35A9" w:rsidP="006B35A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2966564" w14:textId="77777777" w:rsidR="006B35A9" w:rsidRPr="00763D22" w:rsidRDefault="006B35A9" w:rsidP="006B35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BC9D92" w14:textId="77777777" w:rsidR="006B35A9" w:rsidRPr="00763D22" w:rsidRDefault="006B35A9" w:rsidP="006B35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F5C79F" w14:textId="77777777" w:rsidR="006B35A9" w:rsidRPr="00763D22" w:rsidRDefault="006B35A9" w:rsidP="006B35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F819F2" w14:textId="77777777" w:rsidR="006B35A9" w:rsidRPr="00763D22" w:rsidRDefault="006B35A9" w:rsidP="006B35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082412" w14:textId="77777777" w:rsidR="006B35A9" w:rsidRPr="00763D22" w:rsidRDefault="006B35A9" w:rsidP="006B35A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5C8121" w14:textId="77777777" w:rsidR="006B35A9" w:rsidRDefault="006B35A9" w:rsidP="006B35A9">
      <w:pPr>
        <w:jc w:val="center"/>
        <w:rPr>
          <w:rFonts w:ascii="Book Antiqua" w:hAnsi="Book Antiqua"/>
        </w:rPr>
      </w:pPr>
    </w:p>
    <w:p w14:paraId="3ED2D0D7" w14:textId="77777777" w:rsidR="006B35A9" w:rsidRDefault="006B35A9" w:rsidP="006B35A9">
      <w:pPr>
        <w:jc w:val="center"/>
        <w:rPr>
          <w:rFonts w:ascii="Book Antiqua" w:hAnsi="Book Antiqua"/>
        </w:rPr>
      </w:pPr>
    </w:p>
    <w:p w14:paraId="38A299B4" w14:textId="77777777" w:rsidR="006B35A9" w:rsidRDefault="006B35A9" w:rsidP="006B35A9">
      <w:pPr>
        <w:jc w:val="center"/>
        <w:rPr>
          <w:rFonts w:ascii="Book Antiqua" w:hAnsi="Book Antiqua"/>
        </w:rPr>
      </w:pPr>
    </w:p>
    <w:p w14:paraId="50EF60D0" w14:textId="77777777" w:rsidR="006B35A9" w:rsidRDefault="006B35A9" w:rsidP="006B35A9">
      <w:pPr>
        <w:jc w:val="center"/>
        <w:rPr>
          <w:rFonts w:ascii="Book Antiqua" w:hAnsi="Book Antiqua"/>
        </w:rPr>
      </w:pPr>
      <w:r>
        <w:rPr>
          <w:rFonts w:ascii="Book Antiqua" w:hAnsi="Book Antiqua"/>
          <w:noProof/>
        </w:rPr>
        <w:drawing>
          <wp:inline distT="0" distB="0" distL="0" distR="0" wp14:anchorId="21993637" wp14:editId="0DC194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61DDEA" w14:textId="77777777" w:rsidR="006B35A9" w:rsidRDefault="006B35A9" w:rsidP="006B35A9">
      <w:pPr>
        <w:jc w:val="center"/>
        <w:rPr>
          <w:rFonts w:ascii="Book Antiqua" w:hAnsi="Book Antiqua"/>
        </w:rPr>
      </w:pPr>
    </w:p>
    <w:p w14:paraId="678AFF05" w14:textId="77777777" w:rsidR="006B35A9" w:rsidRDefault="006B35A9" w:rsidP="006B35A9">
      <w:pPr>
        <w:jc w:val="center"/>
        <w:rPr>
          <w:rFonts w:ascii="Book Antiqua" w:hAnsi="Book Antiqua"/>
        </w:rPr>
      </w:pPr>
    </w:p>
    <w:p w14:paraId="5A6658AD" w14:textId="77777777" w:rsidR="006B35A9" w:rsidRDefault="006B35A9" w:rsidP="006B35A9">
      <w:pPr>
        <w:jc w:val="center"/>
        <w:rPr>
          <w:rFonts w:ascii="Book Antiqua" w:hAnsi="Book Antiqua"/>
        </w:rPr>
      </w:pPr>
    </w:p>
    <w:p w14:paraId="2364DA56" w14:textId="77777777" w:rsidR="006B35A9" w:rsidRDefault="006B35A9" w:rsidP="006B35A9">
      <w:pPr>
        <w:jc w:val="center"/>
        <w:rPr>
          <w:rFonts w:ascii="Book Antiqua" w:hAnsi="Book Antiqua"/>
        </w:rPr>
      </w:pPr>
    </w:p>
    <w:p w14:paraId="6F18E7E3" w14:textId="77777777" w:rsidR="006B35A9" w:rsidRDefault="006B35A9" w:rsidP="006B35A9">
      <w:pPr>
        <w:jc w:val="center"/>
        <w:rPr>
          <w:rFonts w:ascii="Book Antiqua" w:hAnsi="Book Antiqua"/>
        </w:rPr>
      </w:pPr>
    </w:p>
    <w:p w14:paraId="2984D6B8" w14:textId="77777777" w:rsidR="006B35A9" w:rsidRDefault="006B35A9" w:rsidP="006B35A9">
      <w:pPr>
        <w:jc w:val="center"/>
        <w:rPr>
          <w:rFonts w:ascii="Book Antiqua" w:hAnsi="Book Antiqua"/>
        </w:rPr>
      </w:pPr>
    </w:p>
    <w:p w14:paraId="682E1002" w14:textId="77777777" w:rsidR="006B35A9" w:rsidRDefault="006B35A9" w:rsidP="006B35A9">
      <w:pPr>
        <w:jc w:val="center"/>
        <w:rPr>
          <w:rFonts w:ascii="Book Antiqua" w:hAnsi="Book Antiqua"/>
        </w:rPr>
      </w:pPr>
    </w:p>
    <w:p w14:paraId="4A28FB49" w14:textId="77777777" w:rsidR="006B35A9" w:rsidRDefault="006B35A9" w:rsidP="006B35A9">
      <w:pPr>
        <w:jc w:val="center"/>
        <w:rPr>
          <w:rFonts w:ascii="Book Antiqua" w:hAnsi="Book Antiqua"/>
        </w:rPr>
      </w:pPr>
    </w:p>
    <w:p w14:paraId="213D0234" w14:textId="77777777" w:rsidR="006B35A9" w:rsidRDefault="006B35A9" w:rsidP="006B35A9">
      <w:pPr>
        <w:jc w:val="center"/>
        <w:rPr>
          <w:rFonts w:ascii="Book Antiqua" w:hAnsi="Book Antiqua"/>
        </w:rPr>
      </w:pPr>
    </w:p>
    <w:p w14:paraId="3C8A40D5" w14:textId="77777777" w:rsidR="006B35A9" w:rsidRPr="00763D22" w:rsidRDefault="006B35A9" w:rsidP="006B35A9">
      <w:pPr>
        <w:jc w:val="right"/>
        <w:rPr>
          <w:rFonts w:ascii="Book Antiqua" w:hAnsi="Book Antiqua"/>
          <w:color w:val="000000" w:themeColor="text1"/>
        </w:rPr>
      </w:pPr>
    </w:p>
    <w:p w14:paraId="5ECDB143" w14:textId="62D7CE10" w:rsidR="00A77B3E" w:rsidRPr="006B35A9" w:rsidRDefault="006B35A9" w:rsidP="006B35A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6B35A9"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3E3F" w14:textId="77777777" w:rsidR="004F1DC7" w:rsidRDefault="004F1DC7" w:rsidP="000E290F">
      <w:r>
        <w:separator/>
      </w:r>
    </w:p>
  </w:endnote>
  <w:endnote w:type="continuationSeparator" w:id="0">
    <w:p w14:paraId="268F89AB" w14:textId="77777777" w:rsidR="004F1DC7" w:rsidRDefault="004F1DC7" w:rsidP="000E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35678"/>
      <w:docPartObj>
        <w:docPartGallery w:val="Page Numbers (Bottom of Page)"/>
        <w:docPartUnique/>
      </w:docPartObj>
    </w:sdtPr>
    <w:sdtEndPr>
      <w:rPr>
        <w:rFonts w:ascii="Book Antiqua" w:hAnsi="Book Antiqua"/>
        <w:noProof/>
        <w:sz w:val="24"/>
        <w:szCs w:val="24"/>
      </w:rPr>
    </w:sdtEndPr>
    <w:sdtContent>
      <w:p w14:paraId="62174E86" w14:textId="3B172271" w:rsidR="00886C60" w:rsidRPr="00886C60" w:rsidRDefault="00886C60">
        <w:pPr>
          <w:pStyle w:val="ab"/>
          <w:jc w:val="right"/>
          <w:rPr>
            <w:rFonts w:ascii="Book Antiqua" w:hAnsi="Book Antiqua"/>
            <w:sz w:val="24"/>
            <w:szCs w:val="24"/>
          </w:rPr>
        </w:pPr>
        <w:r w:rsidRPr="00886C60">
          <w:rPr>
            <w:rFonts w:ascii="Book Antiqua" w:hAnsi="Book Antiqua"/>
            <w:sz w:val="24"/>
            <w:szCs w:val="24"/>
          </w:rPr>
          <w:fldChar w:fldCharType="begin"/>
        </w:r>
        <w:r w:rsidRPr="00886C60">
          <w:rPr>
            <w:rFonts w:ascii="Book Antiqua" w:hAnsi="Book Antiqua"/>
            <w:sz w:val="24"/>
            <w:szCs w:val="24"/>
          </w:rPr>
          <w:instrText xml:space="preserve"> PAGE   \* MERGEFORMAT </w:instrText>
        </w:r>
        <w:r w:rsidRPr="00886C60">
          <w:rPr>
            <w:rFonts w:ascii="Book Antiqua" w:hAnsi="Book Antiqua"/>
            <w:sz w:val="24"/>
            <w:szCs w:val="24"/>
          </w:rPr>
          <w:fldChar w:fldCharType="separate"/>
        </w:r>
        <w:r w:rsidR="00427A4A">
          <w:rPr>
            <w:rFonts w:ascii="Book Antiqua" w:hAnsi="Book Antiqua"/>
            <w:noProof/>
            <w:sz w:val="24"/>
            <w:szCs w:val="24"/>
          </w:rPr>
          <w:t>1</w:t>
        </w:r>
        <w:r w:rsidRPr="00886C60">
          <w:rPr>
            <w:rFonts w:ascii="Book Antiqua" w:hAnsi="Book Antiqua"/>
            <w:noProof/>
            <w:sz w:val="24"/>
            <w:szCs w:val="24"/>
          </w:rPr>
          <w:fldChar w:fldCharType="end"/>
        </w:r>
        <w:r w:rsidRPr="00886C60">
          <w:rPr>
            <w:rFonts w:ascii="Book Antiqua" w:hAnsi="Book Antiqua"/>
            <w:noProof/>
            <w:sz w:val="24"/>
            <w:szCs w:val="24"/>
          </w:rPr>
          <w:t>/2</w:t>
        </w:r>
        <w:r w:rsidR="003311E0">
          <w:rPr>
            <w:rFonts w:ascii="Book Antiqua" w:hAnsi="Book Antiqua"/>
            <w:noProof/>
            <w:sz w:val="24"/>
            <w:szCs w:val="24"/>
          </w:rPr>
          <w:t>5</w:t>
        </w:r>
      </w:p>
    </w:sdtContent>
  </w:sdt>
  <w:p w14:paraId="44254761" w14:textId="77777777" w:rsidR="00886C60" w:rsidRDefault="00886C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CF9D" w14:textId="77777777" w:rsidR="004F1DC7" w:rsidRDefault="004F1DC7" w:rsidP="000E290F">
      <w:r>
        <w:separator/>
      </w:r>
    </w:p>
  </w:footnote>
  <w:footnote w:type="continuationSeparator" w:id="0">
    <w:p w14:paraId="7E2F2E84" w14:textId="77777777" w:rsidR="004F1DC7" w:rsidRDefault="004F1DC7" w:rsidP="000E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zMTM1tTA0MLVU0lEKTi0uzszPAykwrAUAsVF4CCwAAAA="/>
  </w:docVars>
  <w:rsids>
    <w:rsidRoot w:val="00A77B3E"/>
    <w:rsid w:val="00025E6E"/>
    <w:rsid w:val="00063263"/>
    <w:rsid w:val="000C102A"/>
    <w:rsid w:val="000C35F1"/>
    <w:rsid w:val="000D12CC"/>
    <w:rsid w:val="000E290F"/>
    <w:rsid w:val="00167691"/>
    <w:rsid w:val="00167F91"/>
    <w:rsid w:val="001938B7"/>
    <w:rsid w:val="001A3639"/>
    <w:rsid w:val="001B3533"/>
    <w:rsid w:val="001C6C65"/>
    <w:rsid w:val="001E22A4"/>
    <w:rsid w:val="001E6798"/>
    <w:rsid w:val="002D1B9F"/>
    <w:rsid w:val="002D3118"/>
    <w:rsid w:val="003311E0"/>
    <w:rsid w:val="00385208"/>
    <w:rsid w:val="0042770C"/>
    <w:rsid w:val="00427A4A"/>
    <w:rsid w:val="00437301"/>
    <w:rsid w:val="0044554F"/>
    <w:rsid w:val="00464614"/>
    <w:rsid w:val="004E3A4F"/>
    <w:rsid w:val="004F1DC7"/>
    <w:rsid w:val="00514C8F"/>
    <w:rsid w:val="00517B38"/>
    <w:rsid w:val="00642AB2"/>
    <w:rsid w:val="00657E05"/>
    <w:rsid w:val="00693BF7"/>
    <w:rsid w:val="006B35A9"/>
    <w:rsid w:val="006B7A25"/>
    <w:rsid w:val="006C2C92"/>
    <w:rsid w:val="007B21FC"/>
    <w:rsid w:val="0080261E"/>
    <w:rsid w:val="0082551D"/>
    <w:rsid w:val="008741F6"/>
    <w:rsid w:val="00886C60"/>
    <w:rsid w:val="00890C47"/>
    <w:rsid w:val="008931C3"/>
    <w:rsid w:val="008A7B15"/>
    <w:rsid w:val="00967C23"/>
    <w:rsid w:val="009D2015"/>
    <w:rsid w:val="009F0BD7"/>
    <w:rsid w:val="00A77B3E"/>
    <w:rsid w:val="00A83900"/>
    <w:rsid w:val="00AE1C7F"/>
    <w:rsid w:val="00AF3F1E"/>
    <w:rsid w:val="00B53F51"/>
    <w:rsid w:val="00B6605C"/>
    <w:rsid w:val="00BA1CD5"/>
    <w:rsid w:val="00C126EB"/>
    <w:rsid w:val="00C73C2A"/>
    <w:rsid w:val="00C9409C"/>
    <w:rsid w:val="00CA2A55"/>
    <w:rsid w:val="00CD7E69"/>
    <w:rsid w:val="00D461A4"/>
    <w:rsid w:val="00D573F4"/>
    <w:rsid w:val="00D639B9"/>
    <w:rsid w:val="00D73BC5"/>
    <w:rsid w:val="00DE7932"/>
    <w:rsid w:val="00E07E0B"/>
    <w:rsid w:val="00EC5138"/>
    <w:rsid w:val="00F25A0D"/>
    <w:rsid w:val="00F85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D43DD"/>
  <w15:docId w15:val="{D4FD85E6-4E26-4885-BE25-59773B6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42AB2"/>
    <w:rPr>
      <w:sz w:val="21"/>
      <w:szCs w:val="21"/>
    </w:rPr>
  </w:style>
  <w:style w:type="paragraph" w:styleId="a4">
    <w:name w:val="annotation text"/>
    <w:basedOn w:val="a"/>
    <w:link w:val="a5"/>
    <w:semiHidden/>
    <w:unhideWhenUsed/>
    <w:rsid w:val="00642AB2"/>
  </w:style>
  <w:style w:type="character" w:customStyle="1" w:styleId="a5">
    <w:name w:val="批注文字 字符"/>
    <w:basedOn w:val="a0"/>
    <w:link w:val="a4"/>
    <w:semiHidden/>
    <w:rsid w:val="00642AB2"/>
    <w:rPr>
      <w:sz w:val="24"/>
      <w:szCs w:val="24"/>
    </w:rPr>
  </w:style>
  <w:style w:type="paragraph" w:styleId="a6">
    <w:name w:val="annotation subject"/>
    <w:basedOn w:val="a4"/>
    <w:next w:val="a4"/>
    <w:link w:val="a7"/>
    <w:semiHidden/>
    <w:unhideWhenUsed/>
    <w:rsid w:val="00642AB2"/>
    <w:rPr>
      <w:b/>
      <w:bCs/>
    </w:rPr>
  </w:style>
  <w:style w:type="character" w:customStyle="1" w:styleId="a7">
    <w:name w:val="批注主题 字符"/>
    <w:basedOn w:val="a5"/>
    <w:link w:val="a6"/>
    <w:semiHidden/>
    <w:rsid w:val="00642AB2"/>
    <w:rPr>
      <w:b/>
      <w:bCs/>
      <w:sz w:val="24"/>
      <w:szCs w:val="24"/>
    </w:rPr>
  </w:style>
  <w:style w:type="paragraph" w:styleId="a8">
    <w:name w:val="Normal (Web)"/>
    <w:basedOn w:val="a"/>
    <w:uiPriority w:val="99"/>
    <w:semiHidden/>
    <w:unhideWhenUsed/>
    <w:rsid w:val="00642AB2"/>
    <w:pPr>
      <w:spacing w:before="100" w:beforeAutospacing="1" w:after="100" w:afterAutospacing="1"/>
    </w:pPr>
    <w:rPr>
      <w:rFonts w:ascii="宋体" w:eastAsia="宋体" w:hAnsi="宋体" w:cs="宋体"/>
      <w:lang w:eastAsia="zh-CN"/>
    </w:rPr>
  </w:style>
  <w:style w:type="paragraph" w:styleId="a9">
    <w:name w:val="header"/>
    <w:basedOn w:val="a"/>
    <w:link w:val="aa"/>
    <w:unhideWhenUsed/>
    <w:rsid w:val="000E290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0E290F"/>
    <w:rPr>
      <w:sz w:val="18"/>
      <w:szCs w:val="18"/>
    </w:rPr>
  </w:style>
  <w:style w:type="paragraph" w:styleId="ab">
    <w:name w:val="footer"/>
    <w:basedOn w:val="a"/>
    <w:link w:val="ac"/>
    <w:uiPriority w:val="99"/>
    <w:unhideWhenUsed/>
    <w:rsid w:val="000E290F"/>
    <w:pPr>
      <w:tabs>
        <w:tab w:val="center" w:pos="4153"/>
        <w:tab w:val="right" w:pos="8306"/>
      </w:tabs>
      <w:snapToGrid w:val="0"/>
    </w:pPr>
    <w:rPr>
      <w:sz w:val="18"/>
      <w:szCs w:val="18"/>
    </w:rPr>
  </w:style>
  <w:style w:type="character" w:customStyle="1" w:styleId="ac">
    <w:name w:val="页脚 字符"/>
    <w:basedOn w:val="a0"/>
    <w:link w:val="ab"/>
    <w:uiPriority w:val="99"/>
    <w:rsid w:val="000E290F"/>
    <w:rPr>
      <w:sz w:val="18"/>
      <w:szCs w:val="18"/>
    </w:rPr>
  </w:style>
  <w:style w:type="paragraph" w:customStyle="1" w:styleId="1">
    <w:name w:val="正文1"/>
    <w:rsid w:val="00886C60"/>
    <w:rPr>
      <w:rFonts w:ascii="Calibri" w:eastAsia="宋体" w:hAnsi="Calibri"/>
      <w:sz w:val="24"/>
      <w:szCs w:val="24"/>
      <w:lang w:eastAsia="zh-CN"/>
    </w:rPr>
  </w:style>
  <w:style w:type="table" w:customStyle="1" w:styleId="10">
    <w:name w:val="普通表格1"/>
    <w:semiHidden/>
    <w:rsid w:val="00886C60"/>
    <w:rPr>
      <w:rFonts w:eastAsia="Times New Roman"/>
      <w:lang w:eastAsia="zh-CN"/>
    </w:rPr>
    <w:tblPr>
      <w:tblCellMar>
        <w:top w:w="0" w:type="dxa"/>
        <w:left w:w="108" w:type="dxa"/>
        <w:bottom w:w="0" w:type="dxa"/>
        <w:right w:w="108" w:type="dxa"/>
      </w:tblCellMar>
    </w:tblPr>
  </w:style>
  <w:style w:type="character" w:styleId="ad">
    <w:name w:val="Hyperlink"/>
    <w:basedOn w:val="a0"/>
    <w:unhideWhenUsed/>
    <w:rsid w:val="00D573F4"/>
    <w:rPr>
      <w:color w:val="0000FF" w:themeColor="hyperlink"/>
      <w:u w:val="single"/>
    </w:rPr>
  </w:style>
  <w:style w:type="paragraph" w:styleId="ae">
    <w:name w:val="Balloon Text"/>
    <w:basedOn w:val="a"/>
    <w:link w:val="af"/>
    <w:rsid w:val="000C35F1"/>
    <w:rPr>
      <w:sz w:val="18"/>
      <w:szCs w:val="18"/>
    </w:rPr>
  </w:style>
  <w:style w:type="character" w:customStyle="1" w:styleId="af">
    <w:name w:val="批注框文本 字符"/>
    <w:basedOn w:val="a0"/>
    <w:link w:val="ae"/>
    <w:rsid w:val="000C3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362">
      <w:bodyDiv w:val="1"/>
      <w:marLeft w:val="0"/>
      <w:marRight w:val="0"/>
      <w:marTop w:val="0"/>
      <w:marBottom w:val="0"/>
      <w:divBdr>
        <w:top w:val="none" w:sz="0" w:space="0" w:color="auto"/>
        <w:left w:val="none" w:sz="0" w:space="0" w:color="auto"/>
        <w:bottom w:val="none" w:sz="0" w:space="0" w:color="auto"/>
        <w:right w:val="none" w:sz="0" w:space="0" w:color="auto"/>
      </w:divBdr>
    </w:div>
    <w:div w:id="230818036">
      <w:bodyDiv w:val="1"/>
      <w:marLeft w:val="0"/>
      <w:marRight w:val="0"/>
      <w:marTop w:val="0"/>
      <w:marBottom w:val="0"/>
      <w:divBdr>
        <w:top w:val="none" w:sz="0" w:space="0" w:color="auto"/>
        <w:left w:val="none" w:sz="0" w:space="0" w:color="auto"/>
        <w:bottom w:val="none" w:sz="0" w:space="0" w:color="auto"/>
        <w:right w:val="none" w:sz="0" w:space="0" w:color="auto"/>
      </w:divBdr>
    </w:div>
    <w:div w:id="365831084">
      <w:bodyDiv w:val="1"/>
      <w:marLeft w:val="0"/>
      <w:marRight w:val="0"/>
      <w:marTop w:val="0"/>
      <w:marBottom w:val="0"/>
      <w:divBdr>
        <w:top w:val="none" w:sz="0" w:space="0" w:color="auto"/>
        <w:left w:val="none" w:sz="0" w:space="0" w:color="auto"/>
        <w:bottom w:val="none" w:sz="0" w:space="0" w:color="auto"/>
        <w:right w:val="none" w:sz="0" w:space="0" w:color="auto"/>
      </w:divBdr>
    </w:div>
    <w:div w:id="656039180">
      <w:bodyDiv w:val="1"/>
      <w:marLeft w:val="0"/>
      <w:marRight w:val="0"/>
      <w:marTop w:val="0"/>
      <w:marBottom w:val="0"/>
      <w:divBdr>
        <w:top w:val="none" w:sz="0" w:space="0" w:color="auto"/>
        <w:left w:val="none" w:sz="0" w:space="0" w:color="auto"/>
        <w:bottom w:val="none" w:sz="0" w:space="0" w:color="auto"/>
        <w:right w:val="none" w:sz="0" w:space="0" w:color="auto"/>
      </w:divBdr>
    </w:div>
    <w:div w:id="1197697345">
      <w:bodyDiv w:val="1"/>
      <w:marLeft w:val="0"/>
      <w:marRight w:val="0"/>
      <w:marTop w:val="0"/>
      <w:marBottom w:val="0"/>
      <w:divBdr>
        <w:top w:val="none" w:sz="0" w:space="0" w:color="auto"/>
        <w:left w:val="none" w:sz="0" w:space="0" w:color="auto"/>
        <w:bottom w:val="none" w:sz="0" w:space="0" w:color="auto"/>
        <w:right w:val="none" w:sz="0" w:space="0" w:color="auto"/>
      </w:divBdr>
    </w:div>
    <w:div w:id="1566136416">
      <w:bodyDiv w:val="1"/>
      <w:marLeft w:val="0"/>
      <w:marRight w:val="0"/>
      <w:marTop w:val="0"/>
      <w:marBottom w:val="0"/>
      <w:divBdr>
        <w:top w:val="none" w:sz="0" w:space="0" w:color="auto"/>
        <w:left w:val="none" w:sz="0" w:space="0" w:color="auto"/>
        <w:bottom w:val="none" w:sz="0" w:space="0" w:color="auto"/>
        <w:right w:val="none" w:sz="0" w:space="0" w:color="auto"/>
      </w:divBdr>
    </w:div>
    <w:div w:id="1589119092">
      <w:bodyDiv w:val="1"/>
      <w:marLeft w:val="0"/>
      <w:marRight w:val="0"/>
      <w:marTop w:val="0"/>
      <w:marBottom w:val="0"/>
      <w:divBdr>
        <w:top w:val="none" w:sz="0" w:space="0" w:color="auto"/>
        <w:left w:val="none" w:sz="0" w:space="0" w:color="auto"/>
        <w:bottom w:val="none" w:sz="0" w:space="0" w:color="auto"/>
        <w:right w:val="none" w:sz="0" w:space="0" w:color="auto"/>
      </w:divBdr>
    </w:div>
    <w:div w:id="1714693548">
      <w:bodyDiv w:val="1"/>
      <w:marLeft w:val="0"/>
      <w:marRight w:val="0"/>
      <w:marTop w:val="0"/>
      <w:marBottom w:val="0"/>
      <w:divBdr>
        <w:top w:val="none" w:sz="0" w:space="0" w:color="auto"/>
        <w:left w:val="none" w:sz="0" w:space="0" w:color="auto"/>
        <w:bottom w:val="none" w:sz="0" w:space="0" w:color="auto"/>
        <w:right w:val="none" w:sz="0" w:space="0" w:color="auto"/>
      </w:divBdr>
    </w:div>
    <w:div w:id="174124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27</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Emara</dc:creator>
  <cp:lastModifiedBy>Wang, Linyutong</cp:lastModifiedBy>
  <cp:revision>46</cp:revision>
  <dcterms:created xsi:type="dcterms:W3CDTF">2021-08-21T05:05:00Z</dcterms:created>
  <dcterms:modified xsi:type="dcterms:W3CDTF">2021-09-13T06:40:00Z</dcterms:modified>
</cp:coreProperties>
</file>